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D774BB" w14:textId="77777777" w:rsidR="00A13521" w:rsidRDefault="00A13521" w:rsidP="00A13521">
      <w:pPr>
        <w:spacing w:line="360" w:lineRule="auto"/>
        <w:jc w:val="both"/>
        <w:rPr>
          <w:rFonts w:ascii="Arial" w:hAnsi="Arial" w:cs="Arial"/>
          <w:b/>
          <w:bCs/>
          <w:sz w:val="20"/>
          <w:szCs w:val="20"/>
          <w:lang w:val="en-US"/>
        </w:rPr>
      </w:pPr>
      <w:r w:rsidRPr="00A80364">
        <w:rPr>
          <w:rFonts w:ascii="Arial" w:hAnsi="Arial" w:cs="Arial"/>
          <w:b/>
          <w:bCs/>
          <w:sz w:val="20"/>
          <w:szCs w:val="20"/>
          <w:lang w:val="en-US"/>
        </w:rPr>
        <w:t>Symptomatic efficacy of pharmacological treatments for knee osteoarthritis: a systematic review and a network meta-analysis with a 6-month time horizon</w:t>
      </w:r>
    </w:p>
    <w:p w14:paraId="5CA60798" w14:textId="77777777" w:rsidR="00A13521" w:rsidRPr="00DF27C8" w:rsidRDefault="00A13521" w:rsidP="00A13521">
      <w:pPr>
        <w:spacing w:line="360" w:lineRule="auto"/>
        <w:jc w:val="both"/>
        <w:rPr>
          <w:rFonts w:ascii="Arial" w:hAnsi="Arial" w:cs="Arial"/>
          <w:b/>
          <w:bCs/>
          <w:sz w:val="20"/>
          <w:szCs w:val="20"/>
          <w:lang w:val="en-US"/>
        </w:rPr>
      </w:pPr>
      <w:r w:rsidRPr="00DF27C8">
        <w:rPr>
          <w:rFonts w:ascii="Arial" w:hAnsi="Arial" w:cs="Arial"/>
          <w:b/>
          <w:bCs/>
          <w:sz w:val="20"/>
          <w:szCs w:val="20"/>
          <w:lang w:val="en-US"/>
        </w:rPr>
        <w:t xml:space="preserve">Running </w:t>
      </w:r>
      <w:r>
        <w:rPr>
          <w:rFonts w:ascii="Arial" w:hAnsi="Arial" w:cs="Arial"/>
          <w:b/>
          <w:bCs/>
          <w:sz w:val="20"/>
          <w:szCs w:val="20"/>
          <w:lang w:val="en-US"/>
        </w:rPr>
        <w:t>title</w:t>
      </w:r>
      <w:r w:rsidRPr="00DF27C8">
        <w:rPr>
          <w:rFonts w:ascii="Arial" w:hAnsi="Arial" w:cs="Arial"/>
          <w:b/>
          <w:bCs/>
          <w:sz w:val="20"/>
          <w:szCs w:val="20"/>
          <w:lang w:val="en-US"/>
        </w:rPr>
        <w:t>: Network meta-analysis on pharmacological treatments for knee osteoarthritis</w:t>
      </w:r>
    </w:p>
    <w:p w14:paraId="687E2E01" w14:textId="77777777" w:rsidR="00A13521" w:rsidRPr="00A13521" w:rsidRDefault="00A13521" w:rsidP="00A13521">
      <w:pPr>
        <w:shd w:val="clear" w:color="auto" w:fill="FFFFFF"/>
        <w:spacing w:line="360" w:lineRule="auto"/>
        <w:jc w:val="both"/>
        <w:rPr>
          <w:rFonts w:ascii="Arial" w:hAnsi="Arial" w:cs="Arial"/>
          <w:color w:val="000000"/>
          <w:sz w:val="20"/>
          <w:szCs w:val="20"/>
          <w:shd w:val="clear" w:color="auto" w:fill="FFFFFF"/>
          <w:lang w:val="en-GB"/>
        </w:rPr>
      </w:pPr>
      <w:r w:rsidRPr="00A80364">
        <w:rPr>
          <w:rFonts w:ascii="Arial" w:hAnsi="Arial" w:cs="Arial"/>
          <w:color w:val="000000"/>
          <w:sz w:val="20"/>
          <w:szCs w:val="20"/>
          <w:shd w:val="clear" w:color="auto" w:fill="FFFFFF"/>
        </w:rPr>
        <w:t>C. Beaudart PhD</w:t>
      </w:r>
      <w:r w:rsidRPr="00A80364">
        <w:rPr>
          <w:rFonts w:ascii="Arial" w:hAnsi="Arial" w:cs="Arial"/>
          <w:color w:val="000000"/>
          <w:sz w:val="20"/>
          <w:szCs w:val="20"/>
          <w:shd w:val="clear" w:color="auto" w:fill="FFFFFF"/>
          <w:vertAlign w:val="superscript"/>
        </w:rPr>
        <w:t>1</w:t>
      </w:r>
      <w:r w:rsidRPr="00A80364">
        <w:rPr>
          <w:rFonts w:ascii="Arial" w:hAnsi="Arial" w:cs="Arial"/>
          <w:color w:val="000000"/>
          <w:sz w:val="20"/>
          <w:szCs w:val="20"/>
          <w:shd w:val="clear" w:color="auto" w:fill="FFFFFF"/>
        </w:rPr>
        <w:t>, L. Lengelé</w:t>
      </w:r>
      <w:r w:rsidRPr="00A80364">
        <w:rPr>
          <w:rFonts w:ascii="Arial" w:hAnsi="Arial" w:cs="Arial"/>
          <w:color w:val="000000"/>
          <w:sz w:val="20"/>
          <w:szCs w:val="20"/>
          <w:shd w:val="clear" w:color="auto" w:fill="FFFFFF"/>
          <w:vertAlign w:val="superscript"/>
        </w:rPr>
        <w:t>1</w:t>
      </w:r>
      <w:r w:rsidRPr="00A80364">
        <w:rPr>
          <w:rFonts w:ascii="Arial" w:hAnsi="Arial" w:cs="Arial"/>
          <w:color w:val="000000"/>
          <w:sz w:val="20"/>
          <w:szCs w:val="20"/>
          <w:shd w:val="clear" w:color="auto" w:fill="FFFFFF"/>
        </w:rPr>
        <w:t>, V. Leclercq</w:t>
      </w:r>
      <w:r w:rsidRPr="00A80364">
        <w:rPr>
          <w:rFonts w:ascii="Arial" w:hAnsi="Arial" w:cs="Arial"/>
          <w:color w:val="000000"/>
          <w:sz w:val="20"/>
          <w:szCs w:val="20"/>
          <w:shd w:val="clear" w:color="auto" w:fill="FFFFFF"/>
          <w:vertAlign w:val="superscript"/>
        </w:rPr>
        <w:t>1</w:t>
      </w:r>
      <w:r w:rsidRPr="00A80364">
        <w:rPr>
          <w:rFonts w:ascii="Arial" w:hAnsi="Arial" w:cs="Arial"/>
          <w:color w:val="000000"/>
          <w:sz w:val="20"/>
          <w:szCs w:val="20"/>
          <w:shd w:val="clear" w:color="auto" w:fill="FFFFFF"/>
        </w:rPr>
        <w:t>, A. Geerinck</w:t>
      </w:r>
      <w:r w:rsidRPr="00A80364">
        <w:rPr>
          <w:rFonts w:ascii="Arial" w:hAnsi="Arial" w:cs="Arial"/>
          <w:color w:val="000000"/>
          <w:sz w:val="20"/>
          <w:szCs w:val="20"/>
          <w:shd w:val="clear" w:color="auto" w:fill="FFFFFF"/>
          <w:vertAlign w:val="superscript"/>
        </w:rPr>
        <w:t>1</w:t>
      </w:r>
      <w:r w:rsidRPr="00A80364">
        <w:rPr>
          <w:rFonts w:ascii="Arial" w:hAnsi="Arial" w:cs="Arial"/>
          <w:color w:val="000000"/>
          <w:sz w:val="20"/>
          <w:szCs w:val="20"/>
          <w:shd w:val="clear" w:color="auto" w:fill="FFFFFF"/>
        </w:rPr>
        <w:t>, D. Sanchez-Rodriguez MD PhD</w:t>
      </w:r>
      <w:r w:rsidRPr="00A80364">
        <w:rPr>
          <w:rFonts w:ascii="Arial" w:hAnsi="Arial" w:cs="Arial"/>
          <w:color w:val="000000"/>
          <w:sz w:val="20"/>
          <w:szCs w:val="20"/>
          <w:shd w:val="clear" w:color="auto" w:fill="FFFFFF"/>
          <w:vertAlign w:val="superscript"/>
        </w:rPr>
        <w:t>1&amp;2</w:t>
      </w:r>
      <w:r w:rsidRPr="00A80364">
        <w:rPr>
          <w:rFonts w:ascii="Arial" w:hAnsi="Arial" w:cs="Arial"/>
          <w:color w:val="000000"/>
          <w:sz w:val="20"/>
          <w:szCs w:val="20"/>
          <w:shd w:val="clear" w:color="auto" w:fill="FFFFFF"/>
        </w:rPr>
        <w:t>, O. Bruyère PhD</w:t>
      </w:r>
      <w:r w:rsidRPr="00A80364">
        <w:rPr>
          <w:rFonts w:ascii="Arial" w:hAnsi="Arial" w:cs="Arial"/>
          <w:color w:val="000000"/>
          <w:sz w:val="20"/>
          <w:szCs w:val="20"/>
          <w:shd w:val="clear" w:color="auto" w:fill="FFFFFF"/>
          <w:vertAlign w:val="superscript"/>
        </w:rPr>
        <w:t>1</w:t>
      </w:r>
      <w:r w:rsidRPr="00A80364">
        <w:rPr>
          <w:rFonts w:ascii="Arial" w:hAnsi="Arial" w:cs="Arial"/>
          <w:color w:val="000000"/>
          <w:sz w:val="20"/>
          <w:szCs w:val="20"/>
          <w:shd w:val="clear" w:color="auto" w:fill="FFFFFF"/>
        </w:rPr>
        <w:t xml:space="preserve">, JY. </w:t>
      </w:r>
      <w:r w:rsidRPr="00A13521">
        <w:rPr>
          <w:rFonts w:ascii="Arial" w:hAnsi="Arial" w:cs="Arial"/>
          <w:color w:val="000000"/>
          <w:sz w:val="20"/>
          <w:szCs w:val="20"/>
          <w:shd w:val="clear" w:color="auto" w:fill="FFFFFF"/>
          <w:lang w:val="en-GB"/>
        </w:rPr>
        <w:t>Reginster MD PhD</w:t>
      </w:r>
      <w:r w:rsidRPr="00A80364">
        <w:rPr>
          <w:rFonts w:ascii="Arial" w:hAnsi="Arial" w:cs="Arial"/>
          <w:color w:val="000000"/>
          <w:sz w:val="20"/>
          <w:szCs w:val="20"/>
          <w:shd w:val="clear" w:color="auto" w:fill="FFFFFF"/>
          <w:vertAlign w:val="superscript"/>
          <w:lang w:val="en-US"/>
        </w:rPr>
        <w:t>1&amp;3</w:t>
      </w:r>
    </w:p>
    <w:p w14:paraId="4BB7C9C2" w14:textId="77777777" w:rsidR="00A13521" w:rsidRPr="00A80364" w:rsidRDefault="00A13521" w:rsidP="00A13521">
      <w:pPr>
        <w:shd w:val="clear" w:color="auto" w:fill="FFFFFF"/>
        <w:spacing w:line="360" w:lineRule="auto"/>
        <w:jc w:val="both"/>
        <w:rPr>
          <w:rFonts w:ascii="Arial" w:hAnsi="Arial" w:cs="Arial"/>
          <w:sz w:val="20"/>
          <w:szCs w:val="20"/>
          <w:lang w:val="en-US"/>
        </w:rPr>
      </w:pPr>
      <w:r w:rsidRPr="00A80364">
        <w:rPr>
          <w:rFonts w:ascii="Arial" w:hAnsi="Arial" w:cs="Arial"/>
          <w:sz w:val="20"/>
          <w:szCs w:val="20"/>
          <w:vertAlign w:val="superscript"/>
          <w:lang w:val="en-US"/>
        </w:rPr>
        <w:t>1</w:t>
      </w:r>
      <w:r w:rsidRPr="00A80364">
        <w:rPr>
          <w:rFonts w:ascii="Arial" w:hAnsi="Arial" w:cs="Arial"/>
          <w:sz w:val="20"/>
          <w:szCs w:val="20"/>
          <w:lang w:val="en-US"/>
        </w:rPr>
        <w:t xml:space="preserve"> WHO Collaborating Center for Public Health aspects of musculoskeletal health and ageing, Division of Public Health, Epidemiology and Health Economics, University of Liège, Belgium</w:t>
      </w:r>
    </w:p>
    <w:p w14:paraId="64C3F8CE" w14:textId="77777777" w:rsidR="00A13521" w:rsidRPr="00A80364" w:rsidRDefault="00A13521" w:rsidP="00A13521">
      <w:pPr>
        <w:shd w:val="clear" w:color="auto" w:fill="FFFFFF"/>
        <w:spacing w:line="360" w:lineRule="auto"/>
        <w:jc w:val="both"/>
        <w:rPr>
          <w:rFonts w:ascii="Arial" w:hAnsi="Arial" w:cs="Arial"/>
          <w:sz w:val="20"/>
          <w:szCs w:val="20"/>
          <w:lang w:val="en-US"/>
        </w:rPr>
      </w:pPr>
      <w:r w:rsidRPr="00A80364">
        <w:rPr>
          <w:rFonts w:ascii="Arial" w:hAnsi="Arial" w:cs="Arial"/>
          <w:sz w:val="20"/>
          <w:szCs w:val="20"/>
          <w:vertAlign w:val="superscript"/>
          <w:lang w:val="en-US"/>
        </w:rPr>
        <w:t xml:space="preserve">2 </w:t>
      </w:r>
      <w:r w:rsidRPr="00A80364">
        <w:rPr>
          <w:rFonts w:ascii="Arial" w:hAnsi="Arial" w:cs="Arial"/>
          <w:sz w:val="20"/>
          <w:szCs w:val="20"/>
          <w:lang w:val="en-US"/>
        </w:rPr>
        <w:t xml:space="preserve"> Geriatrics Department, Rehabilitation Research Group, Hospital del Mar Medical Research Institute (IMIM), Universitat Pompeu Fabra, Barcelona, Spain </w:t>
      </w:r>
    </w:p>
    <w:p w14:paraId="4D2CF52A" w14:textId="77777777" w:rsidR="00A13521" w:rsidRPr="00A80364" w:rsidRDefault="00A13521" w:rsidP="00A13521">
      <w:pPr>
        <w:shd w:val="clear" w:color="auto" w:fill="FFFFFF"/>
        <w:spacing w:line="360" w:lineRule="auto"/>
        <w:jc w:val="both"/>
        <w:rPr>
          <w:rFonts w:ascii="Arial" w:hAnsi="Arial" w:cs="Arial"/>
          <w:sz w:val="20"/>
          <w:szCs w:val="20"/>
          <w:lang w:val="en-US"/>
        </w:rPr>
      </w:pPr>
      <w:r w:rsidRPr="00A80364">
        <w:rPr>
          <w:rFonts w:ascii="Arial" w:hAnsi="Arial" w:cs="Arial"/>
          <w:sz w:val="20"/>
          <w:szCs w:val="20"/>
          <w:vertAlign w:val="superscript"/>
          <w:lang w:val="en-US"/>
        </w:rPr>
        <w:t>3</w:t>
      </w:r>
      <w:r w:rsidRPr="00A80364">
        <w:rPr>
          <w:rFonts w:ascii="Arial" w:hAnsi="Arial" w:cs="Arial"/>
          <w:sz w:val="20"/>
          <w:szCs w:val="20"/>
          <w:lang w:val="en-US"/>
        </w:rPr>
        <w:t xml:space="preserve"> Chair for Biomarkers of Chronic Diseases, Biochemistry Department, College of Science, King Saud University, Riyadh, KSA</w:t>
      </w:r>
    </w:p>
    <w:p w14:paraId="50C62F89" w14:textId="77777777" w:rsidR="00A13521" w:rsidRPr="00A13521" w:rsidRDefault="00A13521" w:rsidP="00A13521">
      <w:pPr>
        <w:shd w:val="clear" w:color="auto" w:fill="FFFFFF"/>
        <w:spacing w:line="360" w:lineRule="auto"/>
        <w:jc w:val="both"/>
        <w:rPr>
          <w:rFonts w:ascii="Arial" w:hAnsi="Arial" w:cs="Arial"/>
          <w:color w:val="000000"/>
          <w:sz w:val="20"/>
          <w:szCs w:val="20"/>
          <w:shd w:val="clear" w:color="auto" w:fill="FFFFFF"/>
          <w:lang w:val="en-GB"/>
        </w:rPr>
      </w:pPr>
    </w:p>
    <w:p w14:paraId="5E1A8E75" w14:textId="77777777" w:rsidR="00A13521" w:rsidRPr="00A80364" w:rsidRDefault="00A13521" w:rsidP="00A13521">
      <w:pPr>
        <w:shd w:val="clear" w:color="auto" w:fill="FFFFFF"/>
        <w:spacing w:line="360" w:lineRule="auto"/>
        <w:jc w:val="both"/>
        <w:rPr>
          <w:rFonts w:ascii="Arial" w:hAnsi="Arial" w:cs="Arial"/>
          <w:b/>
          <w:bCs/>
          <w:sz w:val="20"/>
          <w:szCs w:val="20"/>
          <w:u w:val="single"/>
          <w:lang w:val="en-US"/>
        </w:rPr>
      </w:pPr>
      <w:r w:rsidRPr="00A80364">
        <w:rPr>
          <w:rFonts w:ascii="Arial" w:hAnsi="Arial" w:cs="Arial"/>
          <w:b/>
          <w:bCs/>
          <w:sz w:val="20"/>
          <w:szCs w:val="20"/>
          <w:u w:val="single"/>
          <w:lang w:val="en-US"/>
        </w:rPr>
        <w:t>Corresponding author</w:t>
      </w:r>
    </w:p>
    <w:p w14:paraId="3BD809BA" w14:textId="77777777" w:rsidR="00A13521" w:rsidRPr="00A80364" w:rsidRDefault="00A13521" w:rsidP="00A13521">
      <w:pPr>
        <w:shd w:val="clear" w:color="auto" w:fill="FFFFFF"/>
        <w:spacing w:line="360" w:lineRule="auto"/>
        <w:jc w:val="both"/>
        <w:rPr>
          <w:rFonts w:ascii="Arial" w:hAnsi="Arial" w:cs="Arial"/>
          <w:sz w:val="20"/>
          <w:szCs w:val="20"/>
          <w:lang w:val="en-US"/>
        </w:rPr>
      </w:pPr>
      <w:r w:rsidRPr="00A80364">
        <w:rPr>
          <w:rFonts w:ascii="Arial" w:hAnsi="Arial" w:cs="Arial"/>
          <w:sz w:val="20"/>
          <w:szCs w:val="20"/>
          <w:lang w:val="en-US"/>
        </w:rPr>
        <w:t>Charlotte BEAUDART</w:t>
      </w:r>
    </w:p>
    <w:p w14:paraId="69F9FBA2" w14:textId="77777777" w:rsidR="00A13521" w:rsidRPr="00A80364" w:rsidRDefault="00A13521" w:rsidP="00A13521">
      <w:pPr>
        <w:shd w:val="clear" w:color="auto" w:fill="FFFFFF"/>
        <w:spacing w:line="360" w:lineRule="auto"/>
        <w:jc w:val="both"/>
        <w:rPr>
          <w:rFonts w:ascii="Arial" w:hAnsi="Arial" w:cs="Arial"/>
          <w:sz w:val="20"/>
          <w:szCs w:val="20"/>
          <w:lang w:val="en-US"/>
        </w:rPr>
      </w:pPr>
      <w:r w:rsidRPr="00A80364">
        <w:rPr>
          <w:rFonts w:ascii="Arial" w:hAnsi="Arial" w:cs="Arial"/>
          <w:sz w:val="20"/>
          <w:szCs w:val="20"/>
          <w:lang w:val="en-US"/>
        </w:rPr>
        <w:t>Avenue Hippocrate 13</w:t>
      </w:r>
    </w:p>
    <w:p w14:paraId="3637789A" w14:textId="77777777" w:rsidR="00A13521" w:rsidRPr="00A80364" w:rsidRDefault="00A13521" w:rsidP="00A13521">
      <w:pPr>
        <w:shd w:val="clear" w:color="auto" w:fill="FFFFFF"/>
        <w:spacing w:line="360" w:lineRule="auto"/>
        <w:jc w:val="both"/>
        <w:rPr>
          <w:rFonts w:ascii="Arial" w:hAnsi="Arial" w:cs="Arial"/>
          <w:sz w:val="20"/>
          <w:szCs w:val="20"/>
          <w:lang w:val="en-US"/>
        </w:rPr>
      </w:pPr>
      <w:r w:rsidRPr="00A80364">
        <w:rPr>
          <w:rFonts w:ascii="Arial" w:hAnsi="Arial" w:cs="Arial"/>
          <w:sz w:val="20"/>
          <w:szCs w:val="20"/>
          <w:lang w:val="en-US"/>
        </w:rPr>
        <w:t>CHU Sart Tilman, Bât B23</w:t>
      </w:r>
    </w:p>
    <w:p w14:paraId="091A845D" w14:textId="77777777" w:rsidR="00A13521" w:rsidRPr="00A80364" w:rsidRDefault="00A13521" w:rsidP="00A13521">
      <w:pPr>
        <w:shd w:val="clear" w:color="auto" w:fill="FFFFFF"/>
        <w:spacing w:line="360" w:lineRule="auto"/>
        <w:jc w:val="both"/>
        <w:rPr>
          <w:rFonts w:ascii="Arial" w:hAnsi="Arial" w:cs="Arial"/>
          <w:sz w:val="20"/>
          <w:szCs w:val="20"/>
          <w:lang w:val="en-US"/>
        </w:rPr>
      </w:pPr>
      <w:r w:rsidRPr="00A80364">
        <w:rPr>
          <w:rFonts w:ascii="Arial" w:hAnsi="Arial" w:cs="Arial"/>
          <w:sz w:val="20"/>
          <w:szCs w:val="20"/>
          <w:lang w:val="en-US"/>
        </w:rPr>
        <w:t>4000 LIEGE</w:t>
      </w:r>
    </w:p>
    <w:p w14:paraId="5954A426" w14:textId="77777777" w:rsidR="00A13521" w:rsidRPr="00A80364" w:rsidRDefault="00A13521" w:rsidP="00A13521">
      <w:pPr>
        <w:shd w:val="clear" w:color="auto" w:fill="FFFFFF"/>
        <w:spacing w:line="360" w:lineRule="auto"/>
        <w:jc w:val="both"/>
        <w:rPr>
          <w:rFonts w:ascii="Arial" w:hAnsi="Arial" w:cs="Arial"/>
          <w:sz w:val="20"/>
          <w:szCs w:val="20"/>
          <w:lang w:val="en-US"/>
        </w:rPr>
      </w:pPr>
      <w:r w:rsidRPr="00A80364">
        <w:rPr>
          <w:rFonts w:ascii="Arial" w:hAnsi="Arial" w:cs="Arial"/>
          <w:sz w:val="20"/>
          <w:szCs w:val="20"/>
          <w:lang w:val="en-US"/>
        </w:rPr>
        <w:t>BELGIUM</w:t>
      </w:r>
    </w:p>
    <w:p w14:paraId="1F2A20C5" w14:textId="77777777" w:rsidR="00A13521" w:rsidRPr="008C4C2C" w:rsidRDefault="004E4406" w:rsidP="00A13521">
      <w:pPr>
        <w:shd w:val="clear" w:color="auto" w:fill="FFFFFF"/>
        <w:spacing w:line="360" w:lineRule="auto"/>
        <w:jc w:val="both"/>
        <w:rPr>
          <w:rFonts w:ascii="Arial" w:hAnsi="Arial" w:cs="Arial"/>
          <w:sz w:val="20"/>
          <w:szCs w:val="20"/>
        </w:rPr>
      </w:pPr>
      <w:hyperlink r:id="rId7" w:history="1">
        <w:r w:rsidR="00A13521" w:rsidRPr="008C4C2C">
          <w:rPr>
            <w:rFonts w:ascii="Arial" w:hAnsi="Arial" w:cs="Arial"/>
            <w:sz w:val="20"/>
            <w:szCs w:val="20"/>
          </w:rPr>
          <w:t>c.beaudart@uliege.be</w:t>
        </w:r>
      </w:hyperlink>
    </w:p>
    <w:p w14:paraId="2E37ECAD" w14:textId="77777777" w:rsidR="00A13521" w:rsidRPr="008C4C2C" w:rsidRDefault="00A13521" w:rsidP="00A13521">
      <w:pPr>
        <w:shd w:val="clear" w:color="auto" w:fill="FFFFFF"/>
        <w:spacing w:line="360" w:lineRule="auto"/>
        <w:jc w:val="both"/>
        <w:rPr>
          <w:rFonts w:ascii="Arial" w:hAnsi="Arial" w:cs="Arial"/>
          <w:sz w:val="20"/>
          <w:szCs w:val="20"/>
        </w:rPr>
      </w:pPr>
      <w:r w:rsidRPr="008C4C2C">
        <w:rPr>
          <w:rFonts w:ascii="Arial" w:hAnsi="Arial" w:cs="Arial"/>
          <w:sz w:val="20"/>
          <w:szCs w:val="20"/>
        </w:rPr>
        <w:t>+32 4 366 25 19</w:t>
      </w:r>
    </w:p>
    <w:p w14:paraId="327F6AC9" w14:textId="77777777" w:rsidR="00A13521" w:rsidRPr="008C4C2C" w:rsidRDefault="00A13521" w:rsidP="00A13521">
      <w:pPr>
        <w:shd w:val="clear" w:color="auto" w:fill="FFFFFF"/>
        <w:spacing w:line="360" w:lineRule="auto"/>
        <w:jc w:val="both"/>
        <w:rPr>
          <w:rFonts w:ascii="Arial" w:hAnsi="Arial" w:cs="Arial"/>
          <w:sz w:val="20"/>
          <w:szCs w:val="20"/>
        </w:rPr>
      </w:pPr>
      <w:r w:rsidRPr="008C4C2C">
        <w:rPr>
          <w:rFonts w:ascii="Arial" w:hAnsi="Arial" w:cs="Arial"/>
          <w:sz w:val="20"/>
          <w:szCs w:val="20"/>
        </w:rPr>
        <w:t>16-digit ORCID: 0000-0002-0827-5303</w:t>
      </w:r>
    </w:p>
    <w:p w14:paraId="139671AE" w14:textId="77777777" w:rsidR="00A13521" w:rsidRPr="008C4C2C" w:rsidRDefault="00A13521" w:rsidP="00A13521">
      <w:pPr>
        <w:spacing w:line="240" w:lineRule="auto"/>
        <w:rPr>
          <w:rFonts w:ascii="Arial" w:hAnsi="Arial" w:cs="Arial"/>
          <w:sz w:val="20"/>
          <w:szCs w:val="20"/>
        </w:rPr>
      </w:pPr>
    </w:p>
    <w:p w14:paraId="7B0A5A28" w14:textId="77777777" w:rsidR="00A13521" w:rsidRPr="008C4C2C" w:rsidRDefault="00A13521" w:rsidP="00A13521">
      <w:pPr>
        <w:spacing w:line="240" w:lineRule="auto"/>
        <w:rPr>
          <w:rFonts w:ascii="Arial" w:hAnsi="Arial" w:cs="Arial"/>
          <w:sz w:val="20"/>
          <w:szCs w:val="20"/>
        </w:rPr>
      </w:pPr>
    </w:p>
    <w:p w14:paraId="0CB5D278" w14:textId="5166C669" w:rsidR="00A13521" w:rsidRPr="008C4C2C" w:rsidRDefault="00A13521" w:rsidP="00A13521">
      <w:pPr>
        <w:spacing w:line="240" w:lineRule="auto"/>
        <w:rPr>
          <w:rFonts w:ascii="Arial" w:hAnsi="Arial" w:cs="Arial"/>
          <w:sz w:val="20"/>
          <w:szCs w:val="20"/>
        </w:rPr>
      </w:pPr>
      <w:r w:rsidRPr="008C4C2C">
        <w:rPr>
          <w:rFonts w:ascii="Arial" w:hAnsi="Arial" w:cs="Arial"/>
          <w:sz w:val="20"/>
          <w:szCs w:val="20"/>
        </w:rPr>
        <w:t>APPENDIX FIGURES</w:t>
      </w:r>
    </w:p>
    <w:p w14:paraId="6ED68388" w14:textId="379EA8DE" w:rsidR="00A13521" w:rsidRPr="008C4C2C" w:rsidRDefault="00A13521" w:rsidP="00A13521">
      <w:pPr>
        <w:spacing w:line="240" w:lineRule="auto"/>
        <w:rPr>
          <w:rFonts w:ascii="Arial" w:hAnsi="Arial" w:cs="Arial"/>
          <w:sz w:val="20"/>
          <w:szCs w:val="20"/>
        </w:rPr>
      </w:pPr>
      <w:r w:rsidRPr="008C4C2C">
        <w:rPr>
          <w:rFonts w:ascii="Arial" w:hAnsi="Arial" w:cs="Arial"/>
          <w:sz w:val="20"/>
          <w:szCs w:val="20"/>
        </w:rPr>
        <w:t>APPENDIX TABLES</w:t>
      </w:r>
    </w:p>
    <w:p w14:paraId="347AD9D4" w14:textId="77777777" w:rsidR="00A13521" w:rsidRDefault="00A13521" w:rsidP="00A13521">
      <w:pPr>
        <w:spacing w:line="240" w:lineRule="auto"/>
        <w:rPr>
          <w:rFonts w:ascii="Arial" w:hAnsi="Arial" w:cs="Arial"/>
          <w:sz w:val="20"/>
          <w:szCs w:val="20"/>
          <w:lang w:val="en-US"/>
        </w:rPr>
      </w:pPr>
      <w:r>
        <w:rPr>
          <w:rFonts w:ascii="Arial" w:hAnsi="Arial" w:cs="Arial"/>
          <w:sz w:val="20"/>
          <w:szCs w:val="20"/>
          <w:lang w:val="en-US"/>
        </w:rPr>
        <w:t>APPENDIX REFERENCES</w:t>
      </w:r>
    </w:p>
    <w:p w14:paraId="65BA3EA9" w14:textId="77777777" w:rsidR="00A13521" w:rsidRDefault="00A13521" w:rsidP="00A13521">
      <w:pPr>
        <w:spacing w:line="240" w:lineRule="auto"/>
        <w:rPr>
          <w:rFonts w:ascii="Arial" w:hAnsi="Arial" w:cs="Arial"/>
          <w:sz w:val="20"/>
          <w:szCs w:val="20"/>
          <w:lang w:val="en-US"/>
        </w:rPr>
      </w:pPr>
    </w:p>
    <w:p w14:paraId="492916D7" w14:textId="77777777" w:rsidR="00A13521" w:rsidRDefault="00A13521" w:rsidP="00A13521">
      <w:pPr>
        <w:spacing w:line="240" w:lineRule="auto"/>
        <w:rPr>
          <w:rFonts w:ascii="Arial" w:hAnsi="Arial" w:cs="Arial"/>
          <w:sz w:val="20"/>
          <w:szCs w:val="20"/>
          <w:lang w:val="en-US"/>
        </w:rPr>
      </w:pPr>
    </w:p>
    <w:p w14:paraId="69D83F55" w14:textId="3502D819" w:rsidR="00A13521" w:rsidRPr="000B369D" w:rsidRDefault="00A13521" w:rsidP="00A13521">
      <w:pPr>
        <w:spacing w:line="240" w:lineRule="auto"/>
        <w:rPr>
          <w:rFonts w:ascii="Arial" w:hAnsi="Arial" w:cs="Arial"/>
          <w:color w:val="000000"/>
          <w:sz w:val="20"/>
          <w:szCs w:val="20"/>
          <w:shd w:val="clear" w:color="auto" w:fill="FFFFFF"/>
          <w:lang w:val="en-GB"/>
        </w:rPr>
      </w:pPr>
      <w:r w:rsidRPr="00A13521">
        <w:rPr>
          <w:rFonts w:ascii="Arial" w:hAnsi="Arial" w:cs="Arial"/>
          <w:sz w:val="20"/>
          <w:szCs w:val="20"/>
          <w:lang w:val="en-US"/>
        </w:rPr>
        <w:t>Submission to Drugs 28-07-2020</w:t>
      </w:r>
    </w:p>
    <w:p w14:paraId="2ADF7690" w14:textId="75B29967" w:rsidR="0016068E" w:rsidRPr="000B369D" w:rsidRDefault="0016068E" w:rsidP="00111BE5">
      <w:pPr>
        <w:spacing w:line="240" w:lineRule="auto"/>
        <w:rPr>
          <w:rFonts w:ascii="Arial" w:hAnsi="Arial" w:cs="Arial"/>
          <w:sz w:val="20"/>
          <w:szCs w:val="20"/>
          <w:lang w:val="en-US"/>
        </w:rPr>
      </w:pPr>
    </w:p>
    <w:p w14:paraId="700DCEDC" w14:textId="77777777" w:rsidR="00A13521" w:rsidRDefault="00A13521">
      <w:pPr>
        <w:rPr>
          <w:rFonts w:ascii="Arial" w:hAnsi="Arial" w:cs="Arial"/>
          <w:b/>
          <w:bCs/>
          <w:sz w:val="20"/>
          <w:szCs w:val="20"/>
          <w:lang w:val="en-GB"/>
        </w:rPr>
      </w:pPr>
      <w:r>
        <w:rPr>
          <w:rFonts w:ascii="Arial" w:hAnsi="Arial" w:cs="Arial"/>
          <w:b/>
          <w:bCs/>
          <w:sz w:val="20"/>
          <w:szCs w:val="20"/>
          <w:lang w:val="en-GB"/>
        </w:rPr>
        <w:br w:type="page"/>
      </w:r>
    </w:p>
    <w:p w14:paraId="63C34D88" w14:textId="77777777" w:rsidR="00A13521" w:rsidRDefault="00A13521" w:rsidP="00111BE5">
      <w:pPr>
        <w:spacing w:line="240" w:lineRule="auto"/>
        <w:rPr>
          <w:rFonts w:ascii="Arial" w:hAnsi="Arial" w:cs="Arial"/>
          <w:b/>
          <w:bCs/>
          <w:sz w:val="20"/>
          <w:szCs w:val="20"/>
          <w:lang w:val="en-GB"/>
        </w:rPr>
      </w:pPr>
      <w:r>
        <w:rPr>
          <w:rFonts w:ascii="Arial" w:hAnsi="Arial" w:cs="Arial"/>
          <w:b/>
          <w:bCs/>
          <w:sz w:val="20"/>
          <w:szCs w:val="20"/>
          <w:lang w:val="en-GB"/>
        </w:rPr>
        <w:lastRenderedPageBreak/>
        <w:t>Appendix FIGURES</w:t>
      </w:r>
    </w:p>
    <w:p w14:paraId="568242EE" w14:textId="77777777" w:rsidR="00A13521" w:rsidRPr="003213FD" w:rsidRDefault="00A13521" w:rsidP="00A13521">
      <w:pPr>
        <w:spacing w:line="240" w:lineRule="auto"/>
        <w:rPr>
          <w:rFonts w:ascii="Arial" w:hAnsi="Arial" w:cs="Arial"/>
          <w:sz w:val="20"/>
          <w:szCs w:val="20"/>
        </w:rPr>
      </w:pPr>
    </w:p>
    <w:p w14:paraId="5E4E8D36" w14:textId="77777777" w:rsidR="00A13521" w:rsidRPr="003213FD" w:rsidRDefault="00A13521" w:rsidP="00A13521">
      <w:pPr>
        <w:spacing w:line="240" w:lineRule="auto"/>
        <w:rPr>
          <w:rFonts w:ascii="Arial" w:hAnsi="Arial" w:cs="Arial"/>
          <w:sz w:val="20"/>
          <w:szCs w:val="20"/>
        </w:rPr>
      </w:pPr>
      <w:r w:rsidRPr="003213FD">
        <w:rPr>
          <w:rFonts w:ascii="Arial" w:hAnsi="Arial" w:cs="Arial"/>
          <w:noProof/>
          <w:sz w:val="20"/>
          <w:szCs w:val="20"/>
          <w:lang w:val="en-US"/>
        </w:rPr>
        <w:drawing>
          <wp:inline distT="0" distB="0" distL="0" distR="0" wp14:anchorId="7040F2EB" wp14:editId="06B411C4">
            <wp:extent cx="5760720" cy="219583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195830"/>
                    </a:xfrm>
                    <a:prstGeom prst="rect">
                      <a:avLst/>
                    </a:prstGeom>
                  </pic:spPr>
                </pic:pic>
              </a:graphicData>
            </a:graphic>
          </wp:inline>
        </w:drawing>
      </w:r>
    </w:p>
    <w:p w14:paraId="068C27EA" w14:textId="77777777" w:rsidR="00A13521" w:rsidRPr="003213FD" w:rsidRDefault="00A13521" w:rsidP="00A13521">
      <w:pPr>
        <w:spacing w:line="240" w:lineRule="auto"/>
        <w:rPr>
          <w:rFonts w:ascii="Arial" w:hAnsi="Arial" w:cs="Arial"/>
          <w:b/>
          <w:bCs/>
          <w:sz w:val="20"/>
          <w:szCs w:val="20"/>
          <w:lang w:val="en-GB"/>
        </w:rPr>
      </w:pPr>
      <w:r w:rsidRPr="003213FD">
        <w:rPr>
          <w:rFonts w:ascii="Arial" w:hAnsi="Arial" w:cs="Arial"/>
          <w:b/>
          <w:bCs/>
          <w:sz w:val="20"/>
          <w:szCs w:val="20"/>
          <w:lang w:val="en-GB"/>
        </w:rPr>
        <w:t>FigA</w:t>
      </w:r>
      <w:r>
        <w:rPr>
          <w:rFonts w:ascii="Arial" w:hAnsi="Arial" w:cs="Arial"/>
          <w:b/>
          <w:bCs/>
          <w:sz w:val="20"/>
          <w:szCs w:val="20"/>
          <w:lang w:val="en-GB"/>
        </w:rPr>
        <w:t>1</w:t>
      </w:r>
      <w:r w:rsidRPr="003213FD">
        <w:rPr>
          <w:rFonts w:ascii="Arial" w:hAnsi="Arial" w:cs="Arial"/>
          <w:b/>
          <w:bCs/>
          <w:sz w:val="20"/>
          <w:szCs w:val="20"/>
          <w:lang w:val="en-GB"/>
        </w:rPr>
        <w:t xml:space="preserve"> </w:t>
      </w:r>
      <w:r w:rsidRPr="003213FD">
        <w:rPr>
          <w:rFonts w:ascii="Arial" w:hAnsi="Arial" w:cs="Arial"/>
          <w:sz w:val="20"/>
          <w:szCs w:val="20"/>
          <w:lang w:val="en-GB"/>
        </w:rPr>
        <w:t>Risk of bias summary</w:t>
      </w:r>
    </w:p>
    <w:p w14:paraId="49E3E093" w14:textId="77777777" w:rsidR="00A13521" w:rsidRPr="003213FD" w:rsidRDefault="00A13521" w:rsidP="00A13521">
      <w:pPr>
        <w:spacing w:line="240" w:lineRule="auto"/>
        <w:rPr>
          <w:rFonts w:ascii="Arial" w:hAnsi="Arial" w:cs="Arial"/>
          <w:sz w:val="20"/>
          <w:szCs w:val="20"/>
          <w:lang w:val="en-GB"/>
        </w:rPr>
      </w:pPr>
    </w:p>
    <w:p w14:paraId="462B3374" w14:textId="77777777" w:rsidR="00A13521" w:rsidRPr="003213FD" w:rsidRDefault="00A13521" w:rsidP="00A13521">
      <w:pPr>
        <w:spacing w:line="240" w:lineRule="auto"/>
        <w:rPr>
          <w:rFonts w:ascii="Arial" w:hAnsi="Arial" w:cs="Arial"/>
          <w:sz w:val="20"/>
          <w:szCs w:val="20"/>
          <w:lang w:val="en-GB"/>
        </w:rPr>
      </w:pPr>
      <w:r w:rsidRPr="003213FD">
        <w:rPr>
          <w:rFonts w:ascii="Arial" w:hAnsi="Arial" w:cs="Arial"/>
          <w:sz w:val="20"/>
          <w:szCs w:val="20"/>
          <w:lang w:val="en-GB"/>
        </w:rPr>
        <w:br w:type="page"/>
      </w:r>
    </w:p>
    <w:p w14:paraId="0261D0FF" w14:textId="77777777" w:rsidR="00A13521" w:rsidRPr="003213FD" w:rsidRDefault="00A13521" w:rsidP="00A13521">
      <w:pPr>
        <w:spacing w:line="240" w:lineRule="auto"/>
        <w:rPr>
          <w:rFonts w:ascii="Arial" w:hAnsi="Arial" w:cs="Arial"/>
          <w:sz w:val="20"/>
          <w:szCs w:val="20"/>
        </w:rPr>
      </w:pPr>
      <w:r w:rsidRPr="003213FD">
        <w:rPr>
          <w:rFonts w:ascii="Arial" w:hAnsi="Arial" w:cs="Arial"/>
          <w:noProof/>
          <w:sz w:val="20"/>
          <w:szCs w:val="20"/>
          <w:lang w:val="en-US"/>
        </w:rPr>
        <w:lastRenderedPageBreak/>
        <w:drawing>
          <wp:inline distT="0" distB="0" distL="0" distR="0" wp14:anchorId="451A515D" wp14:editId="1DB0295D">
            <wp:extent cx="1067322" cy="856057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80732" cy="8668132"/>
                    </a:xfrm>
                    <a:prstGeom prst="rect">
                      <a:avLst/>
                    </a:prstGeom>
                  </pic:spPr>
                </pic:pic>
              </a:graphicData>
            </a:graphic>
          </wp:inline>
        </w:drawing>
      </w:r>
    </w:p>
    <w:p w14:paraId="7D9B70AB" w14:textId="77777777" w:rsidR="00A13521" w:rsidRPr="003213FD" w:rsidRDefault="00A13521" w:rsidP="00A13521">
      <w:pPr>
        <w:spacing w:line="240" w:lineRule="auto"/>
        <w:rPr>
          <w:rFonts w:ascii="Arial" w:hAnsi="Arial" w:cs="Arial"/>
          <w:sz w:val="20"/>
          <w:szCs w:val="20"/>
          <w:lang w:val="en-GB"/>
        </w:rPr>
      </w:pPr>
      <w:r w:rsidRPr="003213FD">
        <w:rPr>
          <w:rFonts w:ascii="Arial" w:hAnsi="Arial" w:cs="Arial"/>
          <w:b/>
          <w:bCs/>
          <w:sz w:val="20"/>
          <w:szCs w:val="20"/>
          <w:lang w:val="en-GB"/>
        </w:rPr>
        <w:t>FigA2</w:t>
      </w:r>
      <w:r w:rsidRPr="003213FD">
        <w:rPr>
          <w:rFonts w:ascii="Arial" w:hAnsi="Arial" w:cs="Arial"/>
          <w:sz w:val="20"/>
          <w:szCs w:val="20"/>
          <w:lang w:val="en-GB"/>
        </w:rPr>
        <w:t xml:space="preserve"> Risk of bias graph</w:t>
      </w:r>
    </w:p>
    <w:p w14:paraId="4F3E4C81" w14:textId="77777777" w:rsidR="00A13521" w:rsidRPr="003213FD" w:rsidRDefault="00A13521" w:rsidP="00A13521">
      <w:pPr>
        <w:spacing w:line="240" w:lineRule="auto"/>
        <w:jc w:val="both"/>
        <w:rPr>
          <w:rFonts w:ascii="Arial" w:hAnsi="Arial" w:cs="Arial"/>
          <w:sz w:val="20"/>
          <w:szCs w:val="20"/>
          <w:lang w:val="en-US"/>
        </w:rPr>
      </w:pPr>
      <w:r w:rsidRPr="003213FD">
        <w:rPr>
          <w:rFonts w:ascii="Arial" w:hAnsi="Arial" w:cs="Arial"/>
          <w:noProof/>
          <w:sz w:val="20"/>
          <w:szCs w:val="20"/>
        </w:rPr>
        <w:lastRenderedPageBreak/>
        <w:drawing>
          <wp:inline distT="0" distB="0" distL="0" distR="0" wp14:anchorId="0A2FA0B1" wp14:editId="603459DA">
            <wp:extent cx="5760720" cy="509206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5092065"/>
                    </a:xfrm>
                    <a:prstGeom prst="rect">
                      <a:avLst/>
                    </a:prstGeom>
                    <a:noFill/>
                    <a:ln>
                      <a:noFill/>
                    </a:ln>
                  </pic:spPr>
                </pic:pic>
              </a:graphicData>
            </a:graphic>
          </wp:inline>
        </w:drawing>
      </w:r>
    </w:p>
    <w:p w14:paraId="2409CF80" w14:textId="77777777" w:rsidR="00A13521" w:rsidRPr="003213FD" w:rsidRDefault="00A13521" w:rsidP="00A13521">
      <w:pPr>
        <w:spacing w:line="240" w:lineRule="auto"/>
        <w:jc w:val="both"/>
        <w:rPr>
          <w:rFonts w:ascii="Arial" w:hAnsi="Arial" w:cs="Arial"/>
          <w:b/>
          <w:bCs/>
          <w:sz w:val="20"/>
          <w:szCs w:val="20"/>
          <w:lang w:val="en-US"/>
        </w:rPr>
      </w:pPr>
      <w:r>
        <w:rPr>
          <w:rFonts w:ascii="Arial" w:hAnsi="Arial" w:cs="Arial"/>
          <w:b/>
          <w:bCs/>
          <w:sz w:val="20"/>
          <w:szCs w:val="20"/>
          <w:lang w:val="en-US"/>
        </w:rPr>
        <w:t>FigA3</w:t>
      </w:r>
      <w:r w:rsidRPr="003213FD">
        <w:rPr>
          <w:rFonts w:ascii="Arial" w:hAnsi="Arial" w:cs="Arial"/>
          <w:b/>
          <w:bCs/>
          <w:sz w:val="20"/>
          <w:szCs w:val="20"/>
          <w:lang w:val="en-US"/>
        </w:rPr>
        <w:t xml:space="preserve"> </w:t>
      </w:r>
      <w:r w:rsidRPr="00E06767">
        <w:rPr>
          <w:rFonts w:ascii="Arial" w:hAnsi="Arial" w:cs="Arial"/>
          <w:sz w:val="20"/>
          <w:szCs w:val="20"/>
          <w:lang w:val="en-US"/>
        </w:rPr>
        <w:t>Change in overall pain symptoms leaguetable</w:t>
      </w:r>
    </w:p>
    <w:p w14:paraId="276A24CA" w14:textId="77777777" w:rsidR="00A13521" w:rsidRPr="003213FD" w:rsidRDefault="00A13521" w:rsidP="00A13521">
      <w:pPr>
        <w:spacing w:line="240" w:lineRule="auto"/>
        <w:jc w:val="both"/>
        <w:rPr>
          <w:rFonts w:ascii="Arial" w:hAnsi="Arial" w:cs="Arial"/>
          <w:sz w:val="20"/>
          <w:szCs w:val="20"/>
          <w:lang w:val="en-US"/>
        </w:rPr>
      </w:pPr>
      <w:r w:rsidRPr="003213FD">
        <w:rPr>
          <w:rFonts w:ascii="Arial" w:hAnsi="Arial" w:cs="Arial"/>
          <w:sz w:val="20"/>
          <w:szCs w:val="20"/>
          <w:lang w:val="en-US"/>
        </w:rPr>
        <w:t xml:space="preserve">Results of the network meta-analysis are presented in the left lower half and results from pairwise meta-analysis in the upper right half, if available. Treatments are displayed in alphabetic order. </w:t>
      </w:r>
    </w:p>
    <w:p w14:paraId="2E121135" w14:textId="77777777" w:rsidR="00A13521" w:rsidRPr="003213FD" w:rsidRDefault="00A13521" w:rsidP="00A13521">
      <w:pPr>
        <w:spacing w:line="240" w:lineRule="auto"/>
        <w:jc w:val="both"/>
        <w:rPr>
          <w:rFonts w:ascii="Arial" w:hAnsi="Arial" w:cs="Arial"/>
          <w:sz w:val="20"/>
          <w:szCs w:val="20"/>
          <w:lang w:val="en-US"/>
        </w:rPr>
      </w:pPr>
      <w:r w:rsidRPr="003213FD">
        <w:rPr>
          <w:rFonts w:ascii="Arial" w:hAnsi="Arial" w:cs="Arial"/>
          <w:sz w:val="20"/>
          <w:szCs w:val="20"/>
          <w:lang w:val="en-US"/>
        </w:rPr>
        <w:t>ACETA= Acetaminophen; ASU= Avocado soybean unsaponifiables; CELE= Celecoxib; CONDRO= Chondrotide; CORTI= Cortivazol; CS = chondroitin sulfate; DEXA= Dexamethasone; DICLO = Diclofenac, ETOF= Etofenamate, ETORI= Etoricoxib; GS = Glucosamine sulfate, G+C= association of glucosamine sulfate + chondroitin sulfate ; HA= Hyaluronic acid ; KETO= Ketorolac ; LICO= Licofelone; METHYL = Methylpredinosolone ; NAPRO= Naproxen ; PBO = Placebo ; pCGS = prescription grade Crystalline Glucocamine Sulfate; pCS = Pharmaceutical grade chondroitin sulfate ; PRED = Prednisolone ; PIRO= Piroxicam ; TRIAM = Triamcinolone ; VITD = Vitamin D ; VITE = Vitamin E</w:t>
      </w:r>
    </w:p>
    <w:p w14:paraId="062ADE19" w14:textId="77777777" w:rsidR="00A13521" w:rsidRPr="003213FD" w:rsidRDefault="00A13521" w:rsidP="00A13521">
      <w:pPr>
        <w:spacing w:line="240" w:lineRule="auto"/>
        <w:rPr>
          <w:rFonts w:ascii="Arial" w:hAnsi="Arial" w:cs="Arial"/>
          <w:sz w:val="20"/>
          <w:szCs w:val="20"/>
          <w:lang w:val="en-US"/>
        </w:rPr>
      </w:pPr>
    </w:p>
    <w:p w14:paraId="35970F45" w14:textId="77777777" w:rsidR="00A13521" w:rsidRPr="003213FD" w:rsidRDefault="00A13521" w:rsidP="00A13521">
      <w:pPr>
        <w:spacing w:line="240" w:lineRule="auto"/>
        <w:rPr>
          <w:rFonts w:ascii="Arial" w:hAnsi="Arial" w:cs="Arial"/>
          <w:sz w:val="20"/>
          <w:szCs w:val="20"/>
          <w:lang w:val="en-US"/>
        </w:rPr>
      </w:pPr>
      <w:r w:rsidRPr="003213FD">
        <w:rPr>
          <w:rFonts w:ascii="Arial" w:hAnsi="Arial" w:cs="Arial"/>
          <w:noProof/>
          <w:sz w:val="20"/>
          <w:szCs w:val="20"/>
        </w:rPr>
        <w:lastRenderedPageBreak/>
        <w:drawing>
          <wp:inline distT="0" distB="0" distL="0" distR="0" wp14:anchorId="5367D8D6" wp14:editId="51F65F03">
            <wp:extent cx="5760720" cy="509460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5094605"/>
                    </a:xfrm>
                    <a:prstGeom prst="rect">
                      <a:avLst/>
                    </a:prstGeom>
                    <a:noFill/>
                    <a:ln>
                      <a:noFill/>
                    </a:ln>
                  </pic:spPr>
                </pic:pic>
              </a:graphicData>
            </a:graphic>
          </wp:inline>
        </w:drawing>
      </w:r>
    </w:p>
    <w:p w14:paraId="7F3187A7" w14:textId="77777777" w:rsidR="00A13521" w:rsidRPr="003213FD" w:rsidRDefault="00A13521" w:rsidP="00A13521">
      <w:pPr>
        <w:spacing w:line="240" w:lineRule="auto"/>
        <w:jc w:val="both"/>
        <w:rPr>
          <w:rFonts w:ascii="Arial" w:hAnsi="Arial" w:cs="Arial"/>
          <w:b/>
          <w:bCs/>
          <w:sz w:val="20"/>
          <w:szCs w:val="20"/>
          <w:lang w:val="en-US"/>
        </w:rPr>
      </w:pPr>
      <w:r>
        <w:rPr>
          <w:rFonts w:ascii="Arial" w:hAnsi="Arial" w:cs="Arial"/>
          <w:b/>
          <w:bCs/>
          <w:sz w:val="20"/>
          <w:szCs w:val="20"/>
          <w:lang w:val="en-US"/>
        </w:rPr>
        <w:t>FigA4</w:t>
      </w:r>
      <w:r w:rsidRPr="003213FD">
        <w:rPr>
          <w:rFonts w:ascii="Arial" w:hAnsi="Arial" w:cs="Arial"/>
          <w:b/>
          <w:bCs/>
          <w:sz w:val="20"/>
          <w:szCs w:val="20"/>
          <w:lang w:val="en-US"/>
        </w:rPr>
        <w:t xml:space="preserve"> </w:t>
      </w:r>
      <w:r w:rsidRPr="00E06767">
        <w:rPr>
          <w:rFonts w:ascii="Arial" w:hAnsi="Arial" w:cs="Arial"/>
          <w:sz w:val="20"/>
          <w:szCs w:val="20"/>
          <w:lang w:val="en-US"/>
        </w:rPr>
        <w:t>Change in overall function symptoms leaguetable</w:t>
      </w:r>
    </w:p>
    <w:p w14:paraId="2A2E1DB6" w14:textId="77777777" w:rsidR="00A13521" w:rsidRPr="003213FD" w:rsidRDefault="00A13521" w:rsidP="00A13521">
      <w:pPr>
        <w:spacing w:line="240" w:lineRule="auto"/>
        <w:jc w:val="both"/>
        <w:rPr>
          <w:rFonts w:ascii="Arial" w:hAnsi="Arial" w:cs="Arial"/>
          <w:sz w:val="20"/>
          <w:szCs w:val="20"/>
          <w:lang w:val="en-US"/>
        </w:rPr>
      </w:pPr>
      <w:r w:rsidRPr="003213FD">
        <w:rPr>
          <w:rFonts w:ascii="Arial" w:hAnsi="Arial" w:cs="Arial"/>
          <w:sz w:val="20"/>
          <w:szCs w:val="20"/>
          <w:lang w:val="en-US"/>
        </w:rPr>
        <w:t xml:space="preserve">Results of the network meta-analysis are presented in the left lower half and results from pairwise meta-analysis in the upper right half, if available. Treatments are displayed in alphabetic order. </w:t>
      </w:r>
    </w:p>
    <w:p w14:paraId="46369553" w14:textId="77777777" w:rsidR="00A13521" w:rsidRPr="003213FD" w:rsidRDefault="00A13521" w:rsidP="00A13521">
      <w:pPr>
        <w:spacing w:line="240" w:lineRule="auto"/>
        <w:jc w:val="both"/>
        <w:rPr>
          <w:rFonts w:ascii="Arial" w:hAnsi="Arial" w:cs="Arial"/>
          <w:sz w:val="20"/>
          <w:szCs w:val="20"/>
          <w:lang w:val="en-US"/>
        </w:rPr>
      </w:pPr>
      <w:r w:rsidRPr="003213FD">
        <w:rPr>
          <w:rFonts w:ascii="Arial" w:hAnsi="Arial" w:cs="Arial"/>
          <w:sz w:val="20"/>
          <w:szCs w:val="20"/>
          <w:lang w:val="en-US"/>
        </w:rPr>
        <w:t>ACETA= Acetaminophen; ASU= Avocado soybean unsaponifiables; CELE= Celecoxib; CONDRO= Chondrotide; CORTI= Cortivazol; CS = chondroitin sulfate; DEXA= Dexamethasone; DICLO = Diclofenac, ETOF= Etofenamate, ETORI= Etoricoxib; GS = Glucosamine sulfate, G+C= association of glucosamine sulfate + chondroitin sulfate ; HA= Hyaluronic acid ; KETO= Ketorolac ; LICO= Licofelone; METHYL = Methylpredinosolone ; NAPRO= Naproxen ; PBO = Placebo ; pCGS = prescription grade Crystalline Glucocamine Sulfate; pCS = Pharmaceutical grade chondroitin sulfate ; PRED = Prednisolone ; PIRO= Piroxicam ; TRIAM = Triamcinolone ; VITD = Vitamin D ; VITE = Vitamin E</w:t>
      </w:r>
    </w:p>
    <w:p w14:paraId="370B728F" w14:textId="77777777" w:rsidR="00A13521" w:rsidRPr="003213FD" w:rsidRDefault="00A13521" w:rsidP="00A13521">
      <w:pPr>
        <w:spacing w:line="240" w:lineRule="auto"/>
        <w:rPr>
          <w:rFonts w:ascii="Arial" w:hAnsi="Arial" w:cs="Arial"/>
          <w:sz w:val="20"/>
          <w:szCs w:val="20"/>
          <w:lang w:val="en-US"/>
        </w:rPr>
      </w:pPr>
      <w:r w:rsidRPr="003213FD">
        <w:rPr>
          <w:rFonts w:ascii="Arial" w:hAnsi="Arial" w:cs="Arial"/>
          <w:sz w:val="20"/>
          <w:szCs w:val="20"/>
          <w:lang w:val="en-US"/>
        </w:rPr>
        <w:br w:type="page"/>
      </w:r>
    </w:p>
    <w:p w14:paraId="4D36B6E2" w14:textId="77777777" w:rsidR="00A13521" w:rsidRPr="003213FD" w:rsidRDefault="00A13521" w:rsidP="00A13521">
      <w:pPr>
        <w:spacing w:line="240" w:lineRule="auto"/>
        <w:rPr>
          <w:rFonts w:ascii="Arial" w:hAnsi="Arial" w:cs="Arial"/>
          <w:sz w:val="20"/>
          <w:szCs w:val="20"/>
          <w:lang w:val="en-US"/>
        </w:rPr>
      </w:pPr>
      <w:r w:rsidRPr="003213FD">
        <w:rPr>
          <w:rFonts w:ascii="Arial" w:hAnsi="Arial" w:cs="Arial"/>
          <w:noProof/>
          <w:sz w:val="20"/>
          <w:szCs w:val="20"/>
          <w:lang w:val="en-US"/>
        </w:rPr>
        <w:lastRenderedPageBreak/>
        <w:drawing>
          <wp:inline distT="0" distB="0" distL="0" distR="0" wp14:anchorId="73A7C4B0" wp14:editId="06318289">
            <wp:extent cx="5760720" cy="3230880"/>
            <wp:effectExtent l="0" t="0" r="0" b="7620"/>
            <wp:docPr id="5" name="Image 5" descr="Une image contenant cart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nnelPAINMinuscules.png"/>
                    <pic:cNvPicPr/>
                  </pic:nvPicPr>
                  <pic:blipFill>
                    <a:blip r:embed="rId12">
                      <a:extLst>
                        <a:ext uri="{28A0092B-C50C-407E-A947-70E740481C1C}">
                          <a14:useLocalDpi xmlns:a14="http://schemas.microsoft.com/office/drawing/2010/main" val="0"/>
                        </a:ext>
                      </a:extLst>
                    </a:blip>
                    <a:stretch>
                      <a:fillRect/>
                    </a:stretch>
                  </pic:blipFill>
                  <pic:spPr>
                    <a:xfrm>
                      <a:off x="0" y="0"/>
                      <a:ext cx="5760720" cy="3230880"/>
                    </a:xfrm>
                    <a:prstGeom prst="rect">
                      <a:avLst/>
                    </a:prstGeom>
                  </pic:spPr>
                </pic:pic>
              </a:graphicData>
            </a:graphic>
          </wp:inline>
        </w:drawing>
      </w:r>
    </w:p>
    <w:p w14:paraId="4712DB43" w14:textId="066CE5DC" w:rsidR="00A13521" w:rsidRPr="003213FD" w:rsidRDefault="00A13521" w:rsidP="00A13521">
      <w:pPr>
        <w:spacing w:line="240" w:lineRule="auto"/>
        <w:rPr>
          <w:rFonts w:ascii="Arial" w:hAnsi="Arial" w:cs="Arial"/>
          <w:b/>
          <w:bCs/>
          <w:sz w:val="20"/>
          <w:szCs w:val="20"/>
          <w:lang w:val="en-US"/>
        </w:rPr>
      </w:pPr>
      <w:r>
        <w:rPr>
          <w:rFonts w:ascii="Arial" w:hAnsi="Arial" w:cs="Arial"/>
          <w:b/>
          <w:bCs/>
          <w:sz w:val="20"/>
          <w:szCs w:val="20"/>
          <w:lang w:val="en-US"/>
        </w:rPr>
        <w:t>FigA5</w:t>
      </w:r>
      <w:r w:rsidRPr="003213FD">
        <w:rPr>
          <w:rFonts w:ascii="Arial" w:hAnsi="Arial" w:cs="Arial"/>
          <w:b/>
          <w:bCs/>
          <w:sz w:val="20"/>
          <w:szCs w:val="20"/>
          <w:lang w:val="en-US"/>
        </w:rPr>
        <w:t xml:space="preserve"> </w:t>
      </w:r>
      <w:r w:rsidRPr="00E06767">
        <w:rPr>
          <w:rFonts w:ascii="Arial" w:hAnsi="Arial" w:cs="Arial"/>
          <w:sz w:val="20"/>
          <w:szCs w:val="20"/>
          <w:lang w:val="en-US"/>
        </w:rPr>
        <w:t>Comparison-adjusted funnel plot for pain efficacy of treatments against placebo</w:t>
      </w:r>
    </w:p>
    <w:p w14:paraId="3972670B" w14:textId="77777777" w:rsidR="00A13521" w:rsidRPr="003213FD" w:rsidRDefault="00A13521" w:rsidP="00A13521">
      <w:pPr>
        <w:spacing w:line="240" w:lineRule="auto"/>
        <w:jc w:val="both"/>
        <w:rPr>
          <w:rFonts w:ascii="Arial" w:hAnsi="Arial" w:cs="Arial"/>
          <w:sz w:val="20"/>
          <w:szCs w:val="20"/>
          <w:lang w:val="en-US"/>
        </w:rPr>
      </w:pPr>
      <w:r w:rsidRPr="003213FD">
        <w:rPr>
          <w:rFonts w:ascii="Arial" w:hAnsi="Arial" w:cs="Arial"/>
          <w:sz w:val="20"/>
          <w:szCs w:val="20"/>
          <w:lang w:val="en-US"/>
        </w:rPr>
        <w:t>ACETA= Acetaminophen/paracetamol; ASU= Avocado soybean unsaponifiables; CELE= Celecoxib; CORTI= Cortivazol; CS = chondroitin sulfate; DICLO = Diclofenac ; GS = Glucosamine sulfate, G+C= association of glucosamine sulfate + chondroitin sulfate ; HA= Hyaluronic acid ; NAPRO= Naproxen ; PBO = Placebo ; pCGS = prescription grade Crystalline Glucocamine Sulfate ; pCS = prescription grade Chondroitine Sulfate; TRIAM = Triamcinolone ; VITD = Vitamin D ; VITE = Vitamin E</w:t>
      </w:r>
    </w:p>
    <w:p w14:paraId="74E7D255" w14:textId="77777777" w:rsidR="00A13521" w:rsidRPr="003213FD" w:rsidRDefault="00A13521" w:rsidP="00A13521">
      <w:pPr>
        <w:spacing w:line="240" w:lineRule="auto"/>
        <w:rPr>
          <w:rFonts w:ascii="Arial" w:hAnsi="Arial" w:cs="Arial"/>
          <w:sz w:val="20"/>
          <w:szCs w:val="20"/>
          <w:lang w:val="en-US"/>
        </w:rPr>
      </w:pPr>
      <w:r w:rsidRPr="003213FD">
        <w:rPr>
          <w:rFonts w:ascii="Arial" w:hAnsi="Arial" w:cs="Arial"/>
          <w:sz w:val="20"/>
          <w:szCs w:val="20"/>
          <w:lang w:val="en-US"/>
        </w:rPr>
        <w:br w:type="page"/>
      </w:r>
    </w:p>
    <w:p w14:paraId="7C7CEFB3" w14:textId="77777777" w:rsidR="00A13521" w:rsidRPr="003213FD" w:rsidRDefault="00A13521" w:rsidP="00A13521">
      <w:pPr>
        <w:spacing w:line="240" w:lineRule="auto"/>
        <w:rPr>
          <w:rFonts w:ascii="Arial" w:hAnsi="Arial" w:cs="Arial"/>
          <w:sz w:val="20"/>
          <w:szCs w:val="20"/>
          <w:lang w:val="en-US"/>
        </w:rPr>
      </w:pPr>
    </w:p>
    <w:p w14:paraId="6004AAB9" w14:textId="77777777" w:rsidR="00A13521" w:rsidRPr="003213FD" w:rsidRDefault="00A13521" w:rsidP="00A13521">
      <w:pPr>
        <w:spacing w:line="240" w:lineRule="auto"/>
        <w:rPr>
          <w:rFonts w:ascii="Arial" w:hAnsi="Arial" w:cs="Arial"/>
          <w:sz w:val="20"/>
          <w:szCs w:val="20"/>
          <w:lang w:val="en-US"/>
        </w:rPr>
      </w:pPr>
      <w:r w:rsidRPr="003213FD">
        <w:rPr>
          <w:rFonts w:ascii="Arial" w:hAnsi="Arial" w:cs="Arial"/>
          <w:noProof/>
          <w:sz w:val="20"/>
          <w:szCs w:val="20"/>
          <w:lang w:val="en-US"/>
        </w:rPr>
        <w:drawing>
          <wp:inline distT="0" distB="0" distL="0" distR="0" wp14:anchorId="34697924" wp14:editId="4D593CD5">
            <wp:extent cx="5760720" cy="3230880"/>
            <wp:effectExtent l="0" t="0" r="0" b="7620"/>
            <wp:docPr id="6" name="Image 6" descr="Une image contenant carte, texte, table, bat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unnelFUNCTIONMinuscules.png"/>
                    <pic:cNvPicPr/>
                  </pic:nvPicPr>
                  <pic:blipFill>
                    <a:blip r:embed="rId13">
                      <a:extLst>
                        <a:ext uri="{28A0092B-C50C-407E-A947-70E740481C1C}">
                          <a14:useLocalDpi xmlns:a14="http://schemas.microsoft.com/office/drawing/2010/main" val="0"/>
                        </a:ext>
                      </a:extLst>
                    </a:blip>
                    <a:stretch>
                      <a:fillRect/>
                    </a:stretch>
                  </pic:blipFill>
                  <pic:spPr>
                    <a:xfrm>
                      <a:off x="0" y="0"/>
                      <a:ext cx="5760720" cy="3230880"/>
                    </a:xfrm>
                    <a:prstGeom prst="rect">
                      <a:avLst/>
                    </a:prstGeom>
                  </pic:spPr>
                </pic:pic>
              </a:graphicData>
            </a:graphic>
          </wp:inline>
        </w:drawing>
      </w:r>
    </w:p>
    <w:p w14:paraId="2E166F6C" w14:textId="0B2223B3" w:rsidR="00A13521" w:rsidRPr="00E06767" w:rsidRDefault="00A13521" w:rsidP="00A13521">
      <w:pPr>
        <w:spacing w:line="240" w:lineRule="auto"/>
        <w:rPr>
          <w:rFonts w:ascii="Arial" w:hAnsi="Arial" w:cs="Arial"/>
          <w:sz w:val="20"/>
          <w:szCs w:val="20"/>
          <w:lang w:val="en-US"/>
        </w:rPr>
      </w:pPr>
      <w:r>
        <w:rPr>
          <w:rFonts w:ascii="Arial" w:hAnsi="Arial" w:cs="Arial"/>
          <w:b/>
          <w:bCs/>
          <w:sz w:val="20"/>
          <w:szCs w:val="20"/>
          <w:lang w:val="en-US"/>
        </w:rPr>
        <w:t>FigA6</w:t>
      </w:r>
      <w:r w:rsidRPr="003213FD">
        <w:rPr>
          <w:rFonts w:ascii="Arial" w:hAnsi="Arial" w:cs="Arial"/>
          <w:b/>
          <w:bCs/>
          <w:sz w:val="20"/>
          <w:szCs w:val="20"/>
          <w:lang w:val="en-US"/>
        </w:rPr>
        <w:t xml:space="preserve"> </w:t>
      </w:r>
      <w:r w:rsidRPr="00E06767">
        <w:rPr>
          <w:rFonts w:ascii="Arial" w:hAnsi="Arial" w:cs="Arial"/>
          <w:sz w:val="20"/>
          <w:szCs w:val="20"/>
          <w:lang w:val="en-US"/>
        </w:rPr>
        <w:t>Comparison-adjusted funnel plot for function efficacy of treatments against placebo</w:t>
      </w:r>
    </w:p>
    <w:p w14:paraId="2DBD5183" w14:textId="77777777" w:rsidR="00A13521" w:rsidRPr="003213FD" w:rsidRDefault="00A13521" w:rsidP="00A13521">
      <w:pPr>
        <w:spacing w:line="240" w:lineRule="auto"/>
        <w:jc w:val="both"/>
        <w:rPr>
          <w:rFonts w:ascii="Arial" w:hAnsi="Arial" w:cs="Arial"/>
          <w:sz w:val="20"/>
          <w:szCs w:val="20"/>
          <w:lang w:val="en-US"/>
        </w:rPr>
      </w:pPr>
      <w:r w:rsidRPr="003213FD">
        <w:rPr>
          <w:rFonts w:ascii="Arial" w:hAnsi="Arial" w:cs="Arial"/>
          <w:sz w:val="20"/>
          <w:szCs w:val="20"/>
          <w:lang w:val="en-US"/>
        </w:rPr>
        <w:t>ACETA= Acetaminophen/paracetamol; ASU= Avocado soybean unsaponifiables; CELE= Celecoxib; CS = chondroitin sulfate; DICLO = Diclofenac ; GS = Glucosamine sulfate, G+C= association of glucosamine sulfate + chondroitin sulfate ; HA= Hyaluronic acid ; PBO = Placebo ; pCGS = prescription grade Crystalline Glucocamine Sulfate ; pCS = prescription grade Chondroitine Sulfate; TRIAM = Triamcinolone ; VITD = Vitamin D ; VITE = Vitamin E</w:t>
      </w:r>
    </w:p>
    <w:p w14:paraId="52ECC8CF" w14:textId="77777777" w:rsidR="00A13521" w:rsidRPr="003213FD" w:rsidRDefault="00A13521" w:rsidP="00A13521">
      <w:pPr>
        <w:spacing w:line="240" w:lineRule="auto"/>
        <w:rPr>
          <w:rFonts w:ascii="Arial" w:hAnsi="Arial" w:cs="Arial"/>
          <w:sz w:val="20"/>
          <w:szCs w:val="20"/>
          <w:lang w:val="en-US"/>
        </w:rPr>
      </w:pPr>
      <w:r w:rsidRPr="003213FD">
        <w:rPr>
          <w:rFonts w:ascii="Arial" w:hAnsi="Arial" w:cs="Arial"/>
          <w:sz w:val="20"/>
          <w:szCs w:val="20"/>
          <w:lang w:val="en-US"/>
        </w:rPr>
        <w:br w:type="page"/>
      </w:r>
    </w:p>
    <w:p w14:paraId="60E08C35" w14:textId="77777777" w:rsidR="00A13521" w:rsidRPr="003213FD" w:rsidRDefault="00A13521" w:rsidP="00A13521">
      <w:pPr>
        <w:spacing w:line="240" w:lineRule="auto"/>
        <w:rPr>
          <w:rFonts w:ascii="Arial" w:hAnsi="Arial" w:cs="Arial"/>
          <w:sz w:val="20"/>
          <w:szCs w:val="20"/>
          <w:lang w:val="en-US"/>
        </w:rPr>
      </w:pPr>
    </w:p>
    <w:p w14:paraId="216FB362" w14:textId="77777777" w:rsidR="00A13521" w:rsidRPr="003213FD" w:rsidRDefault="00A13521" w:rsidP="00A13521">
      <w:pPr>
        <w:spacing w:after="0" w:line="240" w:lineRule="auto"/>
        <w:rPr>
          <w:rFonts w:ascii="Arial" w:hAnsi="Arial" w:cs="Arial"/>
          <w:sz w:val="20"/>
          <w:szCs w:val="20"/>
          <w:lang w:val="en-US"/>
        </w:rPr>
      </w:pPr>
      <w:r w:rsidRPr="003213FD">
        <w:rPr>
          <w:rFonts w:ascii="Arial" w:hAnsi="Arial" w:cs="Arial"/>
          <w:noProof/>
          <w:sz w:val="20"/>
          <w:szCs w:val="20"/>
          <w:lang w:val="en-US"/>
        </w:rPr>
        <w:drawing>
          <wp:inline distT="0" distB="0" distL="0" distR="0" wp14:anchorId="737FA0A6" wp14:editId="02430861">
            <wp:extent cx="5372100" cy="313258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estPAINROBMinuscules.png"/>
                    <pic:cNvPicPr/>
                  </pic:nvPicPr>
                  <pic:blipFill rotWithShape="1">
                    <a:blip r:embed="rId14">
                      <a:extLst>
                        <a:ext uri="{28A0092B-C50C-407E-A947-70E740481C1C}">
                          <a14:useLocalDpi xmlns:a14="http://schemas.microsoft.com/office/drawing/2010/main" val="0"/>
                        </a:ext>
                      </a:extLst>
                    </a:blip>
                    <a:srcRect l="17692" t="19162" r="17659" b="13621"/>
                    <a:stretch/>
                  </pic:blipFill>
                  <pic:spPr bwMode="auto">
                    <a:xfrm>
                      <a:off x="0" y="0"/>
                      <a:ext cx="5399310" cy="3148447"/>
                    </a:xfrm>
                    <a:prstGeom prst="rect">
                      <a:avLst/>
                    </a:prstGeom>
                    <a:ln>
                      <a:noFill/>
                    </a:ln>
                    <a:extLst>
                      <a:ext uri="{53640926-AAD7-44D8-BBD7-CCE9431645EC}">
                        <a14:shadowObscured xmlns:a14="http://schemas.microsoft.com/office/drawing/2010/main"/>
                      </a:ext>
                    </a:extLst>
                  </pic:spPr>
                </pic:pic>
              </a:graphicData>
            </a:graphic>
          </wp:inline>
        </w:drawing>
      </w:r>
    </w:p>
    <w:p w14:paraId="5541802E" w14:textId="654F0C2C" w:rsidR="00A13521" w:rsidRPr="003213FD" w:rsidRDefault="00A13521" w:rsidP="00A13521">
      <w:pPr>
        <w:spacing w:line="240" w:lineRule="auto"/>
        <w:rPr>
          <w:rFonts w:ascii="Arial" w:hAnsi="Arial" w:cs="Arial"/>
          <w:b/>
          <w:bCs/>
          <w:sz w:val="20"/>
          <w:szCs w:val="20"/>
          <w:lang w:val="en-US"/>
        </w:rPr>
      </w:pPr>
      <w:r>
        <w:rPr>
          <w:rFonts w:ascii="Arial" w:hAnsi="Arial" w:cs="Arial"/>
          <w:b/>
          <w:bCs/>
          <w:sz w:val="20"/>
          <w:szCs w:val="20"/>
          <w:lang w:val="en-GB"/>
        </w:rPr>
        <w:t>FigA7</w:t>
      </w:r>
      <w:r w:rsidRPr="003213FD">
        <w:rPr>
          <w:rFonts w:ascii="Arial" w:hAnsi="Arial" w:cs="Arial"/>
          <w:b/>
          <w:bCs/>
          <w:sz w:val="20"/>
          <w:szCs w:val="20"/>
          <w:lang w:val="en-GB"/>
        </w:rPr>
        <w:t xml:space="preserve"> </w:t>
      </w:r>
      <w:r w:rsidRPr="00E06767">
        <w:rPr>
          <w:rFonts w:ascii="Arial" w:hAnsi="Arial" w:cs="Arial"/>
          <w:sz w:val="20"/>
          <w:szCs w:val="20"/>
          <w:lang w:val="en-US"/>
        </w:rPr>
        <w:t xml:space="preserve">Forest plot summarizing the efficacy of knee </w:t>
      </w:r>
      <w:r w:rsidR="00712121">
        <w:rPr>
          <w:rFonts w:ascii="Arial" w:hAnsi="Arial" w:cs="Arial"/>
          <w:sz w:val="20"/>
          <w:szCs w:val="20"/>
          <w:lang w:val="en-US"/>
        </w:rPr>
        <w:t>osteoarthritis</w:t>
      </w:r>
      <w:r w:rsidRPr="00E06767">
        <w:rPr>
          <w:rFonts w:ascii="Arial" w:hAnsi="Arial" w:cs="Arial"/>
          <w:sz w:val="20"/>
          <w:szCs w:val="20"/>
          <w:lang w:val="en-US"/>
        </w:rPr>
        <w:t xml:space="preserve"> treatments for pain excluding studies with high risk of bias</w:t>
      </w:r>
    </w:p>
    <w:p w14:paraId="4CDF4CC9" w14:textId="77777777" w:rsidR="00A13521" w:rsidRPr="003213FD" w:rsidRDefault="00A13521" w:rsidP="00A13521">
      <w:pPr>
        <w:spacing w:line="240" w:lineRule="auto"/>
        <w:rPr>
          <w:rFonts w:ascii="Arial" w:hAnsi="Arial" w:cs="Arial"/>
          <w:sz w:val="20"/>
          <w:szCs w:val="20"/>
          <w:lang w:val="en-US"/>
        </w:rPr>
      </w:pPr>
      <w:r w:rsidRPr="003213FD">
        <w:rPr>
          <w:rFonts w:ascii="Arial" w:hAnsi="Arial" w:cs="Arial"/>
          <w:sz w:val="20"/>
          <w:szCs w:val="20"/>
          <w:lang w:val="en-US"/>
        </w:rPr>
        <w:br w:type="page"/>
      </w:r>
    </w:p>
    <w:p w14:paraId="2D91A053" w14:textId="77777777" w:rsidR="00A13521" w:rsidRPr="003213FD" w:rsidRDefault="00A13521" w:rsidP="00A13521">
      <w:pPr>
        <w:spacing w:after="0" w:line="240" w:lineRule="auto"/>
        <w:rPr>
          <w:rFonts w:ascii="Arial" w:hAnsi="Arial" w:cs="Arial"/>
          <w:sz w:val="20"/>
          <w:szCs w:val="20"/>
          <w:lang w:val="en-US"/>
        </w:rPr>
      </w:pPr>
    </w:p>
    <w:p w14:paraId="46C059CF" w14:textId="77777777" w:rsidR="00A13521" w:rsidRPr="003213FD" w:rsidRDefault="00A13521" w:rsidP="00A13521">
      <w:pPr>
        <w:spacing w:after="0" w:line="240" w:lineRule="auto"/>
        <w:rPr>
          <w:rFonts w:ascii="Arial" w:hAnsi="Arial" w:cs="Arial"/>
          <w:sz w:val="20"/>
          <w:szCs w:val="20"/>
          <w:lang w:val="en-US"/>
        </w:rPr>
      </w:pPr>
      <w:r w:rsidRPr="003213FD">
        <w:rPr>
          <w:rFonts w:ascii="Arial" w:hAnsi="Arial" w:cs="Arial"/>
          <w:noProof/>
          <w:sz w:val="20"/>
          <w:szCs w:val="20"/>
          <w:lang w:val="en-US"/>
        </w:rPr>
        <w:drawing>
          <wp:inline distT="0" distB="0" distL="0" distR="0" wp14:anchorId="60A51F51" wp14:editId="39AF5B78">
            <wp:extent cx="5391150" cy="3068808"/>
            <wp:effectExtent l="0" t="0" r="0" b="0"/>
            <wp:docPr id="8" name="Image 8"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estFUNCTIONROBMinuscules.png"/>
                    <pic:cNvPicPr/>
                  </pic:nvPicPr>
                  <pic:blipFill rotWithShape="1">
                    <a:blip r:embed="rId15">
                      <a:extLst>
                        <a:ext uri="{28A0092B-C50C-407E-A947-70E740481C1C}">
                          <a14:useLocalDpi xmlns:a14="http://schemas.microsoft.com/office/drawing/2010/main" val="0"/>
                        </a:ext>
                      </a:extLst>
                    </a:blip>
                    <a:srcRect l="17692" t="20047" r="17824" b="14505"/>
                    <a:stretch/>
                  </pic:blipFill>
                  <pic:spPr bwMode="auto">
                    <a:xfrm>
                      <a:off x="0" y="0"/>
                      <a:ext cx="5424918" cy="3088030"/>
                    </a:xfrm>
                    <a:prstGeom prst="rect">
                      <a:avLst/>
                    </a:prstGeom>
                    <a:ln>
                      <a:noFill/>
                    </a:ln>
                    <a:extLst>
                      <a:ext uri="{53640926-AAD7-44D8-BBD7-CCE9431645EC}">
                        <a14:shadowObscured xmlns:a14="http://schemas.microsoft.com/office/drawing/2010/main"/>
                      </a:ext>
                    </a:extLst>
                  </pic:spPr>
                </pic:pic>
              </a:graphicData>
            </a:graphic>
          </wp:inline>
        </w:drawing>
      </w:r>
    </w:p>
    <w:p w14:paraId="5C4222E1" w14:textId="04B9762F" w:rsidR="00F20D3D" w:rsidRDefault="00A13521" w:rsidP="00A13521">
      <w:pPr>
        <w:spacing w:line="240" w:lineRule="auto"/>
        <w:rPr>
          <w:rFonts w:ascii="Arial" w:hAnsi="Arial" w:cs="Arial"/>
          <w:sz w:val="20"/>
          <w:szCs w:val="20"/>
          <w:lang w:val="en-US"/>
        </w:rPr>
      </w:pPr>
      <w:r>
        <w:rPr>
          <w:rFonts w:ascii="Arial" w:hAnsi="Arial" w:cs="Arial"/>
          <w:b/>
          <w:bCs/>
          <w:sz w:val="20"/>
          <w:szCs w:val="20"/>
          <w:lang w:val="en-GB"/>
        </w:rPr>
        <w:t>FigA8</w:t>
      </w:r>
      <w:r w:rsidRPr="003213FD">
        <w:rPr>
          <w:rFonts w:ascii="Arial" w:hAnsi="Arial" w:cs="Arial"/>
          <w:b/>
          <w:bCs/>
          <w:sz w:val="20"/>
          <w:szCs w:val="20"/>
          <w:lang w:val="en-GB"/>
        </w:rPr>
        <w:t xml:space="preserve"> </w:t>
      </w:r>
      <w:r w:rsidRPr="00E06767">
        <w:rPr>
          <w:rFonts w:ascii="Arial" w:hAnsi="Arial" w:cs="Arial"/>
          <w:sz w:val="20"/>
          <w:szCs w:val="20"/>
          <w:lang w:val="en-US"/>
        </w:rPr>
        <w:t xml:space="preserve">Forest plot summarizing the efficacy of knee </w:t>
      </w:r>
      <w:r w:rsidR="00DE7DCE">
        <w:rPr>
          <w:rFonts w:ascii="Arial" w:hAnsi="Arial" w:cs="Arial"/>
          <w:sz w:val="20"/>
          <w:szCs w:val="20"/>
          <w:lang w:val="en-US"/>
        </w:rPr>
        <w:t>osteoarthritis</w:t>
      </w:r>
      <w:r w:rsidRPr="00E06767">
        <w:rPr>
          <w:rFonts w:ascii="Arial" w:hAnsi="Arial" w:cs="Arial"/>
          <w:sz w:val="20"/>
          <w:szCs w:val="20"/>
          <w:lang w:val="en-US"/>
        </w:rPr>
        <w:t xml:space="preserve"> treatments for </w:t>
      </w:r>
      <w:r w:rsidR="00252F1D">
        <w:rPr>
          <w:rFonts w:ascii="Arial" w:hAnsi="Arial" w:cs="Arial"/>
          <w:sz w:val="20"/>
          <w:szCs w:val="20"/>
          <w:lang w:val="en-US"/>
        </w:rPr>
        <w:t>function</w:t>
      </w:r>
      <w:r w:rsidRPr="00E06767">
        <w:rPr>
          <w:rFonts w:ascii="Arial" w:hAnsi="Arial" w:cs="Arial"/>
          <w:sz w:val="20"/>
          <w:szCs w:val="20"/>
          <w:lang w:val="en-US"/>
        </w:rPr>
        <w:t xml:space="preserve"> excluding studies with high risk of bias</w:t>
      </w:r>
    </w:p>
    <w:p w14:paraId="134D0CE2" w14:textId="77777777" w:rsidR="00F20D3D" w:rsidRDefault="00F20D3D">
      <w:pPr>
        <w:rPr>
          <w:rFonts w:ascii="Arial" w:hAnsi="Arial" w:cs="Arial"/>
          <w:sz w:val="20"/>
          <w:szCs w:val="20"/>
          <w:lang w:val="en-US"/>
        </w:rPr>
      </w:pPr>
      <w:r>
        <w:rPr>
          <w:rFonts w:ascii="Arial" w:hAnsi="Arial" w:cs="Arial"/>
          <w:sz w:val="20"/>
          <w:szCs w:val="20"/>
          <w:lang w:val="en-US"/>
        </w:rPr>
        <w:br w:type="page"/>
      </w:r>
    </w:p>
    <w:p w14:paraId="3A72EC3F" w14:textId="6E5EA618" w:rsidR="00A13521" w:rsidRDefault="00F20D3D" w:rsidP="00A13521">
      <w:pPr>
        <w:spacing w:line="240" w:lineRule="auto"/>
        <w:rPr>
          <w:rFonts w:ascii="Arial" w:hAnsi="Arial" w:cs="Arial"/>
          <w:b/>
          <w:bCs/>
          <w:sz w:val="20"/>
          <w:szCs w:val="20"/>
          <w:lang w:val="en-US"/>
        </w:rPr>
      </w:pPr>
      <w:r>
        <w:rPr>
          <w:rFonts w:ascii="Arial" w:hAnsi="Arial" w:cs="Arial"/>
          <w:b/>
          <w:bCs/>
          <w:noProof/>
          <w:sz w:val="20"/>
          <w:szCs w:val="20"/>
          <w:lang w:val="en-US"/>
        </w:rPr>
        <w:lastRenderedPageBreak/>
        <w:drawing>
          <wp:inline distT="0" distB="0" distL="0" distR="0" wp14:anchorId="70C418F2" wp14:editId="154BE1DE">
            <wp:extent cx="5029200" cy="3139031"/>
            <wp:effectExtent l="0" t="0" r="0" b="444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rotWithShape="1">
                    <a:blip r:embed="rId16">
                      <a:extLst>
                        <a:ext uri="{28A0092B-C50C-407E-A947-70E740481C1C}">
                          <a14:useLocalDpi xmlns:a14="http://schemas.microsoft.com/office/drawing/2010/main" val="0"/>
                        </a:ext>
                      </a:extLst>
                    </a:blip>
                    <a:srcRect l="13394" t="16265" r="12698" b="10546"/>
                    <a:stretch/>
                  </pic:blipFill>
                  <pic:spPr bwMode="auto">
                    <a:xfrm>
                      <a:off x="0" y="0"/>
                      <a:ext cx="5041440" cy="3146671"/>
                    </a:xfrm>
                    <a:prstGeom prst="rect">
                      <a:avLst/>
                    </a:prstGeom>
                    <a:ln>
                      <a:noFill/>
                    </a:ln>
                    <a:extLst>
                      <a:ext uri="{53640926-AAD7-44D8-BBD7-CCE9431645EC}">
                        <a14:shadowObscured xmlns:a14="http://schemas.microsoft.com/office/drawing/2010/main"/>
                      </a:ext>
                    </a:extLst>
                  </pic:spPr>
                </pic:pic>
              </a:graphicData>
            </a:graphic>
          </wp:inline>
        </w:drawing>
      </w:r>
    </w:p>
    <w:p w14:paraId="47051BBE" w14:textId="10906D00" w:rsidR="00F20D3D" w:rsidRDefault="00F20D3D" w:rsidP="00F20D3D">
      <w:pPr>
        <w:spacing w:line="240" w:lineRule="auto"/>
        <w:rPr>
          <w:rFonts w:ascii="Arial" w:hAnsi="Arial" w:cs="Arial"/>
          <w:sz w:val="20"/>
          <w:szCs w:val="20"/>
          <w:lang w:val="en-US"/>
        </w:rPr>
      </w:pPr>
      <w:r>
        <w:rPr>
          <w:rFonts w:ascii="Arial" w:hAnsi="Arial" w:cs="Arial"/>
          <w:b/>
          <w:bCs/>
          <w:sz w:val="20"/>
          <w:szCs w:val="20"/>
          <w:lang w:val="en-GB"/>
        </w:rPr>
        <w:t>FigA9</w:t>
      </w:r>
      <w:r w:rsidRPr="003213FD">
        <w:rPr>
          <w:rFonts w:ascii="Arial" w:hAnsi="Arial" w:cs="Arial"/>
          <w:b/>
          <w:bCs/>
          <w:sz w:val="20"/>
          <w:szCs w:val="20"/>
          <w:lang w:val="en-GB"/>
        </w:rPr>
        <w:t xml:space="preserve"> </w:t>
      </w:r>
      <w:r w:rsidRPr="00E06767">
        <w:rPr>
          <w:rFonts w:ascii="Arial" w:hAnsi="Arial" w:cs="Arial"/>
          <w:sz w:val="20"/>
          <w:szCs w:val="20"/>
          <w:lang w:val="en-US"/>
        </w:rPr>
        <w:t xml:space="preserve">Forest plot summarizing the efficacy of knee </w:t>
      </w:r>
      <w:r>
        <w:rPr>
          <w:rFonts w:ascii="Arial" w:hAnsi="Arial" w:cs="Arial"/>
          <w:sz w:val="20"/>
          <w:szCs w:val="20"/>
          <w:lang w:val="en-US"/>
        </w:rPr>
        <w:t>osteoarthritis</w:t>
      </w:r>
      <w:r w:rsidRPr="00E06767">
        <w:rPr>
          <w:rFonts w:ascii="Arial" w:hAnsi="Arial" w:cs="Arial"/>
          <w:sz w:val="20"/>
          <w:szCs w:val="20"/>
          <w:lang w:val="en-US"/>
        </w:rPr>
        <w:t xml:space="preserve"> treatments for </w:t>
      </w:r>
      <w:r>
        <w:rPr>
          <w:rFonts w:ascii="Arial" w:hAnsi="Arial" w:cs="Arial"/>
          <w:sz w:val="20"/>
          <w:szCs w:val="20"/>
          <w:lang w:val="en-US"/>
        </w:rPr>
        <w:t>stiffness</w:t>
      </w:r>
    </w:p>
    <w:p w14:paraId="5D260D6F" w14:textId="77777777" w:rsidR="00F20D3D" w:rsidRDefault="00F20D3D">
      <w:pPr>
        <w:rPr>
          <w:rFonts w:ascii="Arial" w:hAnsi="Arial" w:cs="Arial"/>
          <w:sz w:val="20"/>
          <w:szCs w:val="20"/>
          <w:lang w:val="en-US"/>
        </w:rPr>
      </w:pPr>
      <w:r>
        <w:rPr>
          <w:rFonts w:ascii="Arial" w:hAnsi="Arial" w:cs="Arial"/>
          <w:sz w:val="20"/>
          <w:szCs w:val="20"/>
          <w:lang w:val="en-US"/>
        </w:rPr>
        <w:br w:type="page"/>
      </w:r>
    </w:p>
    <w:p w14:paraId="2C646657" w14:textId="6F948AA8" w:rsidR="00F20D3D" w:rsidRDefault="00AC4BD1" w:rsidP="00F20D3D">
      <w:pPr>
        <w:spacing w:line="240" w:lineRule="auto"/>
        <w:rPr>
          <w:rFonts w:ascii="Arial" w:hAnsi="Arial" w:cs="Arial"/>
          <w:sz w:val="20"/>
          <w:szCs w:val="20"/>
          <w:lang w:val="en-US"/>
        </w:rPr>
      </w:pPr>
      <w:r>
        <w:rPr>
          <w:noProof/>
        </w:rPr>
        <w:lastRenderedPageBreak/>
        <w:drawing>
          <wp:inline distT="0" distB="0" distL="0" distR="0" wp14:anchorId="606C248A" wp14:editId="6D91015E">
            <wp:extent cx="5172075" cy="236406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11244" t="26654" r="11706" b="20780"/>
                    <a:stretch/>
                  </pic:blipFill>
                  <pic:spPr bwMode="auto">
                    <a:xfrm>
                      <a:off x="0" y="0"/>
                      <a:ext cx="5188098" cy="2371384"/>
                    </a:xfrm>
                    <a:prstGeom prst="rect">
                      <a:avLst/>
                    </a:prstGeom>
                    <a:noFill/>
                    <a:ln>
                      <a:noFill/>
                    </a:ln>
                    <a:extLst>
                      <a:ext uri="{53640926-AAD7-44D8-BBD7-CCE9431645EC}">
                        <a14:shadowObscured xmlns:a14="http://schemas.microsoft.com/office/drawing/2010/main"/>
                      </a:ext>
                    </a:extLst>
                  </pic:spPr>
                </pic:pic>
              </a:graphicData>
            </a:graphic>
          </wp:inline>
        </w:drawing>
      </w:r>
    </w:p>
    <w:p w14:paraId="5CD24B9B" w14:textId="48C797FD" w:rsidR="00F20D3D" w:rsidRDefault="00F20D3D" w:rsidP="00F20D3D">
      <w:pPr>
        <w:spacing w:line="240" w:lineRule="auto"/>
        <w:rPr>
          <w:rFonts w:ascii="Arial" w:hAnsi="Arial" w:cs="Arial"/>
          <w:sz w:val="20"/>
          <w:szCs w:val="20"/>
          <w:lang w:val="en-US"/>
        </w:rPr>
      </w:pPr>
      <w:r>
        <w:rPr>
          <w:rFonts w:ascii="Arial" w:hAnsi="Arial" w:cs="Arial"/>
          <w:b/>
          <w:bCs/>
          <w:sz w:val="20"/>
          <w:szCs w:val="20"/>
          <w:lang w:val="en-GB"/>
        </w:rPr>
        <w:t>FigA10</w:t>
      </w:r>
      <w:r w:rsidRPr="003213FD">
        <w:rPr>
          <w:rFonts w:ascii="Arial" w:hAnsi="Arial" w:cs="Arial"/>
          <w:b/>
          <w:bCs/>
          <w:sz w:val="20"/>
          <w:szCs w:val="20"/>
          <w:lang w:val="en-GB"/>
        </w:rPr>
        <w:t xml:space="preserve"> </w:t>
      </w:r>
      <w:r w:rsidRPr="00E06767">
        <w:rPr>
          <w:rFonts w:ascii="Arial" w:hAnsi="Arial" w:cs="Arial"/>
          <w:sz w:val="20"/>
          <w:szCs w:val="20"/>
          <w:lang w:val="en-US"/>
        </w:rPr>
        <w:t xml:space="preserve">Forest plot summarizing the efficacy </w:t>
      </w:r>
      <w:r w:rsidR="00AC4BD1">
        <w:rPr>
          <w:rFonts w:ascii="Arial" w:hAnsi="Arial" w:cs="Arial"/>
          <w:sz w:val="20"/>
          <w:szCs w:val="20"/>
          <w:lang w:val="en-US"/>
        </w:rPr>
        <w:t xml:space="preserve">(Mean Difference MD) </w:t>
      </w:r>
      <w:r w:rsidRPr="00E06767">
        <w:rPr>
          <w:rFonts w:ascii="Arial" w:hAnsi="Arial" w:cs="Arial"/>
          <w:sz w:val="20"/>
          <w:szCs w:val="20"/>
          <w:lang w:val="en-US"/>
        </w:rPr>
        <w:t xml:space="preserve">of knee </w:t>
      </w:r>
      <w:r>
        <w:rPr>
          <w:rFonts w:ascii="Arial" w:hAnsi="Arial" w:cs="Arial"/>
          <w:sz w:val="20"/>
          <w:szCs w:val="20"/>
          <w:lang w:val="en-US"/>
        </w:rPr>
        <w:t>osteoarthritis</w:t>
      </w:r>
      <w:r w:rsidRPr="00E06767">
        <w:rPr>
          <w:rFonts w:ascii="Arial" w:hAnsi="Arial" w:cs="Arial"/>
          <w:sz w:val="20"/>
          <w:szCs w:val="20"/>
          <w:lang w:val="en-US"/>
        </w:rPr>
        <w:t xml:space="preserve"> treatments for </w:t>
      </w:r>
      <w:r>
        <w:rPr>
          <w:rFonts w:ascii="Arial" w:hAnsi="Arial" w:cs="Arial"/>
          <w:sz w:val="20"/>
          <w:szCs w:val="20"/>
          <w:lang w:val="en-US"/>
        </w:rPr>
        <w:t>joint space narrowing</w:t>
      </w:r>
    </w:p>
    <w:p w14:paraId="6B528949" w14:textId="77777777" w:rsidR="00F20D3D" w:rsidRDefault="00F20D3D" w:rsidP="00F20D3D">
      <w:pPr>
        <w:spacing w:line="240" w:lineRule="auto"/>
        <w:rPr>
          <w:rFonts w:ascii="Arial" w:hAnsi="Arial" w:cs="Arial"/>
          <w:sz w:val="20"/>
          <w:szCs w:val="20"/>
          <w:lang w:val="en-US"/>
        </w:rPr>
      </w:pPr>
    </w:p>
    <w:p w14:paraId="4016D563" w14:textId="77777777" w:rsidR="00F20D3D" w:rsidRPr="003213FD" w:rsidRDefault="00F20D3D" w:rsidP="00A13521">
      <w:pPr>
        <w:spacing w:line="240" w:lineRule="auto"/>
        <w:rPr>
          <w:rFonts w:ascii="Arial" w:hAnsi="Arial" w:cs="Arial"/>
          <w:b/>
          <w:bCs/>
          <w:sz w:val="20"/>
          <w:szCs w:val="20"/>
          <w:lang w:val="en-US"/>
        </w:rPr>
      </w:pPr>
    </w:p>
    <w:p w14:paraId="2058B369" w14:textId="77777777" w:rsidR="00A13521" w:rsidRDefault="00A13521">
      <w:pPr>
        <w:rPr>
          <w:rFonts w:ascii="Arial" w:hAnsi="Arial" w:cs="Arial"/>
          <w:b/>
          <w:bCs/>
          <w:sz w:val="20"/>
          <w:szCs w:val="20"/>
          <w:lang w:val="en-US"/>
        </w:rPr>
      </w:pPr>
      <w:r>
        <w:rPr>
          <w:rFonts w:ascii="Arial" w:hAnsi="Arial" w:cs="Arial"/>
          <w:b/>
          <w:bCs/>
          <w:sz w:val="20"/>
          <w:szCs w:val="20"/>
          <w:lang w:val="en-US"/>
        </w:rPr>
        <w:br w:type="page"/>
      </w:r>
    </w:p>
    <w:p w14:paraId="6D994248" w14:textId="748152F7" w:rsidR="00A13521" w:rsidRDefault="00A13521" w:rsidP="00111BE5">
      <w:pPr>
        <w:spacing w:line="240" w:lineRule="auto"/>
        <w:rPr>
          <w:rFonts w:ascii="Arial" w:hAnsi="Arial" w:cs="Arial"/>
          <w:b/>
          <w:bCs/>
          <w:sz w:val="20"/>
          <w:szCs w:val="20"/>
          <w:lang w:val="en-GB"/>
        </w:rPr>
      </w:pPr>
      <w:r>
        <w:rPr>
          <w:rFonts w:ascii="Arial" w:hAnsi="Arial" w:cs="Arial"/>
          <w:b/>
          <w:bCs/>
          <w:sz w:val="20"/>
          <w:szCs w:val="20"/>
          <w:lang w:val="en-GB"/>
        </w:rPr>
        <w:lastRenderedPageBreak/>
        <w:t>Appendix TABLES</w:t>
      </w:r>
    </w:p>
    <w:p w14:paraId="6988093C" w14:textId="77777777" w:rsidR="00A13521" w:rsidRDefault="00A13521" w:rsidP="00111BE5">
      <w:pPr>
        <w:spacing w:line="240" w:lineRule="auto"/>
        <w:rPr>
          <w:rFonts w:ascii="Arial" w:hAnsi="Arial" w:cs="Arial"/>
          <w:b/>
          <w:bCs/>
          <w:sz w:val="20"/>
          <w:szCs w:val="20"/>
          <w:lang w:val="en-GB"/>
        </w:rPr>
      </w:pPr>
    </w:p>
    <w:p w14:paraId="0C8ED040" w14:textId="34C00645" w:rsidR="0016068E" w:rsidRPr="000B369D" w:rsidRDefault="000B369D" w:rsidP="00111BE5">
      <w:pPr>
        <w:spacing w:line="240" w:lineRule="auto"/>
        <w:rPr>
          <w:rFonts w:ascii="Arial" w:hAnsi="Arial" w:cs="Arial"/>
          <w:b/>
          <w:bCs/>
          <w:sz w:val="20"/>
          <w:szCs w:val="20"/>
          <w:lang w:val="en-GB"/>
        </w:rPr>
      </w:pPr>
      <w:r>
        <w:rPr>
          <w:rFonts w:ascii="Arial" w:hAnsi="Arial" w:cs="Arial"/>
          <w:b/>
          <w:bCs/>
          <w:sz w:val="20"/>
          <w:szCs w:val="20"/>
          <w:lang w:val="en-GB"/>
        </w:rPr>
        <w:t>TableA1</w:t>
      </w:r>
      <w:r w:rsidR="0016068E" w:rsidRPr="000B369D">
        <w:rPr>
          <w:rFonts w:ascii="Arial" w:hAnsi="Arial" w:cs="Arial"/>
          <w:b/>
          <w:bCs/>
          <w:sz w:val="20"/>
          <w:szCs w:val="20"/>
          <w:lang w:val="en-GB"/>
        </w:rPr>
        <w:t xml:space="preserve"> </w:t>
      </w:r>
      <w:r w:rsidR="0016068E" w:rsidRPr="000B369D">
        <w:rPr>
          <w:rFonts w:ascii="Arial" w:hAnsi="Arial" w:cs="Arial"/>
          <w:sz w:val="20"/>
          <w:szCs w:val="20"/>
          <w:lang w:val="en-GB"/>
        </w:rPr>
        <w:t xml:space="preserve">PRISMA </w:t>
      </w:r>
      <w:r w:rsidR="00DE7DCE">
        <w:rPr>
          <w:rFonts w:ascii="Arial" w:hAnsi="Arial" w:cs="Arial"/>
          <w:sz w:val="20"/>
          <w:szCs w:val="20"/>
          <w:lang w:val="en-GB"/>
        </w:rPr>
        <w:t>Network Meta-analysis</w:t>
      </w:r>
      <w:r w:rsidR="0016068E" w:rsidRPr="000B369D">
        <w:rPr>
          <w:rFonts w:ascii="Arial" w:hAnsi="Arial" w:cs="Arial"/>
          <w:sz w:val="20"/>
          <w:szCs w:val="20"/>
          <w:lang w:val="en-GB"/>
        </w:rPr>
        <w:t xml:space="preserve"> </w:t>
      </w:r>
      <w:r w:rsidR="00DF22B7">
        <w:rPr>
          <w:rFonts w:ascii="Arial" w:hAnsi="Arial" w:cs="Arial"/>
          <w:sz w:val="20"/>
          <w:szCs w:val="20"/>
          <w:lang w:val="en-GB"/>
        </w:rPr>
        <w:t>c</w:t>
      </w:r>
      <w:r w:rsidR="0016068E" w:rsidRPr="000B369D">
        <w:rPr>
          <w:rFonts w:ascii="Arial" w:hAnsi="Arial" w:cs="Arial"/>
          <w:sz w:val="20"/>
          <w:szCs w:val="20"/>
          <w:lang w:val="en-GB"/>
        </w:rPr>
        <w:t xml:space="preserve">hecklist of </w:t>
      </w:r>
      <w:r w:rsidR="00DF22B7">
        <w:rPr>
          <w:rFonts w:ascii="Arial" w:hAnsi="Arial" w:cs="Arial"/>
          <w:sz w:val="20"/>
          <w:szCs w:val="20"/>
          <w:lang w:val="en-GB"/>
        </w:rPr>
        <w:t>i</w:t>
      </w:r>
      <w:r w:rsidR="0016068E" w:rsidRPr="000B369D">
        <w:rPr>
          <w:rFonts w:ascii="Arial" w:hAnsi="Arial" w:cs="Arial"/>
          <w:sz w:val="20"/>
          <w:szCs w:val="20"/>
          <w:lang w:val="en-GB"/>
        </w:rPr>
        <w:t xml:space="preserve">tems to </w:t>
      </w:r>
      <w:r w:rsidR="00DF22B7">
        <w:rPr>
          <w:rFonts w:ascii="Arial" w:hAnsi="Arial" w:cs="Arial"/>
          <w:sz w:val="20"/>
          <w:szCs w:val="20"/>
          <w:lang w:val="en-GB"/>
        </w:rPr>
        <w:t>i</w:t>
      </w:r>
      <w:r w:rsidR="0016068E" w:rsidRPr="000B369D">
        <w:rPr>
          <w:rFonts w:ascii="Arial" w:hAnsi="Arial" w:cs="Arial"/>
          <w:sz w:val="20"/>
          <w:szCs w:val="20"/>
          <w:lang w:val="en-GB"/>
        </w:rPr>
        <w:t xml:space="preserve">nclude </w:t>
      </w:r>
      <w:r w:rsidR="00DF22B7">
        <w:rPr>
          <w:rFonts w:ascii="Arial" w:hAnsi="Arial" w:cs="Arial"/>
          <w:sz w:val="20"/>
          <w:szCs w:val="20"/>
          <w:lang w:val="en-GB"/>
        </w:rPr>
        <w:t>w</w:t>
      </w:r>
      <w:r w:rsidR="0016068E" w:rsidRPr="000B369D">
        <w:rPr>
          <w:rFonts w:ascii="Arial" w:hAnsi="Arial" w:cs="Arial"/>
          <w:sz w:val="20"/>
          <w:szCs w:val="20"/>
          <w:lang w:val="en-GB"/>
        </w:rPr>
        <w:t xml:space="preserve">hen </w:t>
      </w:r>
      <w:r w:rsidR="00DF22B7">
        <w:rPr>
          <w:rFonts w:ascii="Arial" w:hAnsi="Arial" w:cs="Arial"/>
          <w:sz w:val="20"/>
          <w:szCs w:val="20"/>
          <w:lang w:val="en-GB"/>
        </w:rPr>
        <w:t>r</w:t>
      </w:r>
      <w:r w:rsidR="0016068E" w:rsidRPr="000B369D">
        <w:rPr>
          <w:rFonts w:ascii="Arial" w:hAnsi="Arial" w:cs="Arial"/>
          <w:sz w:val="20"/>
          <w:szCs w:val="20"/>
          <w:lang w:val="en-GB"/>
        </w:rPr>
        <w:t xml:space="preserve">eporting </w:t>
      </w:r>
      <w:r w:rsidR="00DF22B7">
        <w:rPr>
          <w:rFonts w:ascii="Arial" w:hAnsi="Arial" w:cs="Arial"/>
          <w:sz w:val="20"/>
          <w:szCs w:val="20"/>
          <w:lang w:val="en-GB"/>
        </w:rPr>
        <w:t>a</w:t>
      </w:r>
      <w:r w:rsidR="0016068E" w:rsidRPr="000B369D">
        <w:rPr>
          <w:rFonts w:ascii="Arial" w:hAnsi="Arial" w:cs="Arial"/>
          <w:sz w:val="20"/>
          <w:szCs w:val="20"/>
          <w:lang w:val="en-GB"/>
        </w:rPr>
        <w:t xml:space="preserve"> </w:t>
      </w:r>
      <w:r w:rsidR="00DF22B7">
        <w:rPr>
          <w:rFonts w:ascii="Arial" w:hAnsi="Arial" w:cs="Arial"/>
          <w:sz w:val="20"/>
          <w:szCs w:val="20"/>
          <w:lang w:val="en-GB"/>
        </w:rPr>
        <w:t>s</w:t>
      </w:r>
      <w:r w:rsidR="0016068E" w:rsidRPr="000B369D">
        <w:rPr>
          <w:rFonts w:ascii="Arial" w:hAnsi="Arial" w:cs="Arial"/>
          <w:sz w:val="20"/>
          <w:szCs w:val="20"/>
          <w:lang w:val="en-GB"/>
        </w:rPr>
        <w:t xml:space="preserve">ystematic </w:t>
      </w:r>
      <w:r w:rsidR="00DF22B7">
        <w:rPr>
          <w:rFonts w:ascii="Arial" w:hAnsi="Arial" w:cs="Arial"/>
          <w:sz w:val="20"/>
          <w:szCs w:val="20"/>
          <w:lang w:val="en-GB"/>
        </w:rPr>
        <w:t>r</w:t>
      </w:r>
      <w:r w:rsidR="0016068E" w:rsidRPr="000B369D">
        <w:rPr>
          <w:rFonts w:ascii="Arial" w:hAnsi="Arial" w:cs="Arial"/>
          <w:sz w:val="20"/>
          <w:szCs w:val="20"/>
          <w:lang w:val="en-GB"/>
        </w:rPr>
        <w:t xml:space="preserve">eview </w:t>
      </w:r>
      <w:r w:rsidR="00DF22B7">
        <w:rPr>
          <w:rFonts w:ascii="Arial" w:hAnsi="Arial" w:cs="Arial"/>
          <w:sz w:val="20"/>
          <w:szCs w:val="20"/>
          <w:lang w:val="en-GB"/>
        </w:rPr>
        <w:t>i</w:t>
      </w:r>
      <w:r w:rsidR="0016068E" w:rsidRPr="000B369D">
        <w:rPr>
          <w:rFonts w:ascii="Arial" w:hAnsi="Arial" w:cs="Arial"/>
          <w:sz w:val="20"/>
          <w:szCs w:val="20"/>
          <w:lang w:val="en-GB"/>
        </w:rPr>
        <w:t>nvolving a Network Meta-analysis</w:t>
      </w:r>
    </w:p>
    <w:tbl>
      <w:tblPr>
        <w:tblStyle w:val="Grilledutableau"/>
        <w:tblW w:w="0" w:type="auto"/>
        <w:tblLook w:val="0000" w:firstRow="0" w:lastRow="0" w:firstColumn="0" w:lastColumn="0" w:noHBand="0" w:noVBand="0"/>
      </w:tblPr>
      <w:tblGrid>
        <w:gridCol w:w="1881"/>
        <w:gridCol w:w="617"/>
        <w:gridCol w:w="4662"/>
        <w:gridCol w:w="1902"/>
      </w:tblGrid>
      <w:tr w:rsidR="0016068E" w:rsidRPr="000B369D" w14:paraId="04759965" w14:textId="77777777" w:rsidTr="00582B19">
        <w:trPr>
          <w:trHeight w:val="323"/>
        </w:trPr>
        <w:tc>
          <w:tcPr>
            <w:tcW w:w="0" w:type="auto"/>
          </w:tcPr>
          <w:p w14:paraId="5DD7CD16" w14:textId="77777777" w:rsidR="0016068E" w:rsidRPr="000B369D" w:rsidRDefault="0016068E" w:rsidP="00111BE5">
            <w:pPr>
              <w:pStyle w:val="Default"/>
              <w:jc w:val="center"/>
              <w:rPr>
                <w:rFonts w:ascii="Arial" w:hAnsi="Arial" w:cs="Arial"/>
                <w:color w:val="auto"/>
                <w:sz w:val="20"/>
                <w:szCs w:val="20"/>
              </w:rPr>
            </w:pPr>
            <w:r w:rsidRPr="000B369D">
              <w:rPr>
                <w:rFonts w:ascii="Arial" w:hAnsi="Arial" w:cs="Arial"/>
                <w:color w:val="auto"/>
                <w:sz w:val="20"/>
                <w:szCs w:val="20"/>
              </w:rPr>
              <w:t>Section/Topic</w:t>
            </w:r>
          </w:p>
        </w:tc>
        <w:tc>
          <w:tcPr>
            <w:tcW w:w="0" w:type="auto"/>
          </w:tcPr>
          <w:p w14:paraId="3AE3BAC8" w14:textId="77777777" w:rsidR="0016068E" w:rsidRPr="000B369D" w:rsidRDefault="0016068E" w:rsidP="00111BE5">
            <w:pPr>
              <w:pStyle w:val="Default"/>
              <w:jc w:val="center"/>
              <w:rPr>
                <w:rFonts w:ascii="Arial" w:hAnsi="Arial" w:cs="Arial"/>
                <w:color w:val="auto"/>
                <w:sz w:val="20"/>
                <w:szCs w:val="20"/>
              </w:rPr>
            </w:pPr>
            <w:r w:rsidRPr="000B369D">
              <w:rPr>
                <w:rFonts w:ascii="Arial" w:hAnsi="Arial" w:cs="Arial"/>
                <w:color w:val="auto"/>
                <w:sz w:val="20"/>
                <w:szCs w:val="20"/>
              </w:rPr>
              <w:t>Item #</w:t>
            </w:r>
          </w:p>
        </w:tc>
        <w:tc>
          <w:tcPr>
            <w:tcW w:w="0" w:type="auto"/>
          </w:tcPr>
          <w:p w14:paraId="4D8152D0" w14:textId="77777777" w:rsidR="0016068E" w:rsidRPr="000B369D" w:rsidRDefault="0016068E" w:rsidP="00111BE5">
            <w:pPr>
              <w:pStyle w:val="Default"/>
              <w:jc w:val="center"/>
              <w:rPr>
                <w:rFonts w:ascii="Arial" w:hAnsi="Arial" w:cs="Arial"/>
                <w:color w:val="auto"/>
                <w:sz w:val="20"/>
                <w:szCs w:val="20"/>
              </w:rPr>
            </w:pPr>
            <w:r w:rsidRPr="000B369D">
              <w:rPr>
                <w:rFonts w:ascii="Arial" w:hAnsi="Arial" w:cs="Arial"/>
                <w:color w:val="auto"/>
                <w:sz w:val="20"/>
                <w:szCs w:val="20"/>
              </w:rPr>
              <w:t>Checklist Item</w:t>
            </w:r>
          </w:p>
        </w:tc>
        <w:tc>
          <w:tcPr>
            <w:tcW w:w="0" w:type="auto"/>
          </w:tcPr>
          <w:p w14:paraId="7552CC54" w14:textId="77777777" w:rsidR="0016068E" w:rsidRPr="000B369D" w:rsidRDefault="0016068E" w:rsidP="00111BE5">
            <w:pPr>
              <w:pStyle w:val="Default"/>
              <w:jc w:val="center"/>
              <w:rPr>
                <w:rFonts w:ascii="Arial" w:hAnsi="Arial" w:cs="Arial"/>
                <w:color w:val="auto"/>
                <w:sz w:val="20"/>
                <w:szCs w:val="20"/>
              </w:rPr>
            </w:pPr>
            <w:r w:rsidRPr="000B369D">
              <w:rPr>
                <w:rFonts w:ascii="Arial" w:hAnsi="Arial" w:cs="Arial"/>
                <w:color w:val="auto"/>
                <w:sz w:val="20"/>
                <w:szCs w:val="20"/>
              </w:rPr>
              <w:t>Reported on Page #</w:t>
            </w:r>
          </w:p>
        </w:tc>
      </w:tr>
      <w:tr w:rsidR="0016068E" w:rsidRPr="000B369D" w14:paraId="0E3E0A58" w14:textId="77777777" w:rsidTr="00582B19">
        <w:trPr>
          <w:trHeight w:val="323"/>
        </w:trPr>
        <w:tc>
          <w:tcPr>
            <w:tcW w:w="0" w:type="auto"/>
          </w:tcPr>
          <w:p w14:paraId="2E8A7A4E" w14:textId="77777777" w:rsidR="0016068E" w:rsidRPr="000B369D" w:rsidRDefault="0016068E" w:rsidP="00111BE5">
            <w:pPr>
              <w:pStyle w:val="Default"/>
              <w:rPr>
                <w:rFonts w:ascii="Arial" w:hAnsi="Arial" w:cs="Arial"/>
                <w:color w:val="auto"/>
                <w:sz w:val="20"/>
                <w:szCs w:val="20"/>
              </w:rPr>
            </w:pPr>
            <w:r w:rsidRPr="000B369D">
              <w:rPr>
                <w:rFonts w:ascii="Arial" w:hAnsi="Arial" w:cs="Arial"/>
                <w:sz w:val="20"/>
                <w:szCs w:val="20"/>
              </w:rPr>
              <w:t>TITLE</w:t>
            </w:r>
          </w:p>
        </w:tc>
        <w:tc>
          <w:tcPr>
            <w:tcW w:w="0" w:type="auto"/>
          </w:tcPr>
          <w:p w14:paraId="1182C82C" w14:textId="77777777" w:rsidR="0016068E" w:rsidRPr="000B369D" w:rsidRDefault="0016068E" w:rsidP="00111BE5">
            <w:pPr>
              <w:pStyle w:val="Default"/>
              <w:rPr>
                <w:rFonts w:ascii="Arial" w:hAnsi="Arial" w:cs="Arial"/>
                <w:color w:val="auto"/>
                <w:sz w:val="20"/>
                <w:szCs w:val="20"/>
              </w:rPr>
            </w:pPr>
          </w:p>
        </w:tc>
        <w:tc>
          <w:tcPr>
            <w:tcW w:w="0" w:type="auto"/>
          </w:tcPr>
          <w:p w14:paraId="6145FE8C" w14:textId="77777777" w:rsidR="0016068E" w:rsidRPr="000B369D" w:rsidRDefault="0016068E" w:rsidP="00111BE5">
            <w:pPr>
              <w:pStyle w:val="Default"/>
              <w:rPr>
                <w:rFonts w:ascii="Arial" w:hAnsi="Arial" w:cs="Arial"/>
                <w:color w:val="auto"/>
                <w:sz w:val="20"/>
                <w:szCs w:val="20"/>
              </w:rPr>
            </w:pPr>
          </w:p>
        </w:tc>
        <w:tc>
          <w:tcPr>
            <w:tcW w:w="0" w:type="auto"/>
          </w:tcPr>
          <w:p w14:paraId="55433466" w14:textId="77777777" w:rsidR="0016068E" w:rsidRPr="000B369D" w:rsidRDefault="0016068E" w:rsidP="00111BE5">
            <w:pPr>
              <w:pStyle w:val="Default"/>
              <w:rPr>
                <w:rFonts w:ascii="Arial" w:hAnsi="Arial" w:cs="Arial"/>
                <w:color w:val="auto"/>
                <w:sz w:val="20"/>
                <w:szCs w:val="20"/>
              </w:rPr>
            </w:pPr>
          </w:p>
        </w:tc>
      </w:tr>
      <w:tr w:rsidR="0016068E" w:rsidRPr="000B369D" w14:paraId="5F24F298" w14:textId="77777777" w:rsidTr="00582B19">
        <w:trPr>
          <w:trHeight w:val="323"/>
        </w:trPr>
        <w:tc>
          <w:tcPr>
            <w:tcW w:w="0" w:type="auto"/>
          </w:tcPr>
          <w:p w14:paraId="7D1F8AE9"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Title</w:t>
            </w:r>
          </w:p>
        </w:tc>
        <w:tc>
          <w:tcPr>
            <w:tcW w:w="0" w:type="auto"/>
          </w:tcPr>
          <w:p w14:paraId="3E210EA5"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1</w:t>
            </w:r>
          </w:p>
        </w:tc>
        <w:tc>
          <w:tcPr>
            <w:tcW w:w="0" w:type="auto"/>
          </w:tcPr>
          <w:p w14:paraId="153BAF7A"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Identify the report as a systematic review </w:t>
            </w:r>
            <w:r w:rsidRPr="000B369D">
              <w:rPr>
                <w:rFonts w:ascii="Arial" w:hAnsi="Arial" w:cs="Arial"/>
                <w:i/>
                <w:sz w:val="20"/>
                <w:szCs w:val="20"/>
              </w:rPr>
              <w:t>incorporating a network meta-analysis (or related form of meta-analysis).</w:t>
            </w:r>
            <w:r w:rsidRPr="000B369D">
              <w:rPr>
                <w:rFonts w:ascii="Arial" w:hAnsi="Arial" w:cs="Arial"/>
                <w:sz w:val="20"/>
                <w:szCs w:val="20"/>
              </w:rPr>
              <w:t xml:space="preserve"> </w:t>
            </w:r>
          </w:p>
        </w:tc>
        <w:tc>
          <w:tcPr>
            <w:tcW w:w="0" w:type="auto"/>
          </w:tcPr>
          <w:p w14:paraId="2DC7A580" w14:textId="77777777" w:rsidR="0016068E" w:rsidRPr="000B369D" w:rsidRDefault="0016068E" w:rsidP="00111BE5">
            <w:pPr>
              <w:pStyle w:val="Default"/>
              <w:rPr>
                <w:rFonts w:ascii="Arial" w:hAnsi="Arial" w:cs="Arial"/>
                <w:i/>
                <w:color w:val="auto"/>
                <w:sz w:val="20"/>
                <w:szCs w:val="20"/>
              </w:rPr>
            </w:pPr>
            <w:r w:rsidRPr="000B369D">
              <w:rPr>
                <w:rFonts w:ascii="Arial" w:hAnsi="Arial" w:cs="Arial"/>
                <w:i/>
                <w:color w:val="auto"/>
                <w:sz w:val="20"/>
                <w:szCs w:val="20"/>
              </w:rPr>
              <w:t>1</w:t>
            </w:r>
          </w:p>
        </w:tc>
      </w:tr>
      <w:tr w:rsidR="0016068E" w:rsidRPr="000B369D" w14:paraId="62F8203F" w14:textId="77777777" w:rsidTr="00582B19">
        <w:trPr>
          <w:trHeight w:val="323"/>
        </w:trPr>
        <w:tc>
          <w:tcPr>
            <w:tcW w:w="0" w:type="auto"/>
          </w:tcPr>
          <w:p w14:paraId="19ED9AD9"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ABSTRACT</w:t>
            </w:r>
          </w:p>
        </w:tc>
        <w:tc>
          <w:tcPr>
            <w:tcW w:w="0" w:type="auto"/>
          </w:tcPr>
          <w:p w14:paraId="4B5A27C3" w14:textId="77777777" w:rsidR="0016068E" w:rsidRPr="000B369D" w:rsidRDefault="0016068E" w:rsidP="00111BE5">
            <w:pPr>
              <w:pStyle w:val="Default"/>
              <w:rPr>
                <w:rFonts w:ascii="Arial" w:hAnsi="Arial" w:cs="Arial"/>
                <w:sz w:val="20"/>
                <w:szCs w:val="20"/>
              </w:rPr>
            </w:pPr>
          </w:p>
        </w:tc>
        <w:tc>
          <w:tcPr>
            <w:tcW w:w="0" w:type="auto"/>
          </w:tcPr>
          <w:p w14:paraId="5CB42EC4" w14:textId="77777777" w:rsidR="0016068E" w:rsidRPr="000B369D" w:rsidRDefault="0016068E" w:rsidP="00111BE5">
            <w:pPr>
              <w:pStyle w:val="Default"/>
              <w:rPr>
                <w:rFonts w:ascii="Arial" w:hAnsi="Arial" w:cs="Arial"/>
                <w:sz w:val="20"/>
                <w:szCs w:val="20"/>
              </w:rPr>
            </w:pPr>
          </w:p>
        </w:tc>
        <w:tc>
          <w:tcPr>
            <w:tcW w:w="0" w:type="auto"/>
          </w:tcPr>
          <w:p w14:paraId="0773079F" w14:textId="23E1D809" w:rsidR="0016068E" w:rsidRPr="000B369D" w:rsidRDefault="0016068E" w:rsidP="00111BE5">
            <w:pPr>
              <w:pStyle w:val="Default"/>
              <w:rPr>
                <w:rFonts w:ascii="Arial" w:hAnsi="Arial" w:cs="Arial"/>
                <w:i/>
                <w:color w:val="auto"/>
                <w:sz w:val="20"/>
                <w:szCs w:val="20"/>
              </w:rPr>
            </w:pPr>
          </w:p>
        </w:tc>
      </w:tr>
      <w:tr w:rsidR="0016068E" w:rsidRPr="00712121" w14:paraId="7F6CB101" w14:textId="77777777" w:rsidTr="00582B19">
        <w:trPr>
          <w:trHeight w:val="810"/>
        </w:trPr>
        <w:tc>
          <w:tcPr>
            <w:tcW w:w="0" w:type="auto"/>
          </w:tcPr>
          <w:p w14:paraId="63FA07A5"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Structured summary </w:t>
            </w:r>
          </w:p>
        </w:tc>
        <w:tc>
          <w:tcPr>
            <w:tcW w:w="0" w:type="auto"/>
          </w:tcPr>
          <w:p w14:paraId="0A044153"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2</w:t>
            </w:r>
          </w:p>
        </w:tc>
        <w:tc>
          <w:tcPr>
            <w:tcW w:w="0" w:type="auto"/>
          </w:tcPr>
          <w:p w14:paraId="604AD4B5"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Provide a structured summary including, as applicable: </w:t>
            </w:r>
          </w:p>
          <w:p w14:paraId="31CF0F81"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Background: main objectives</w:t>
            </w:r>
          </w:p>
          <w:p w14:paraId="6F9282FB"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Methods: data sources; study eligibility criteria, participants, and interventions; study appraisal; and </w:t>
            </w:r>
            <w:r w:rsidRPr="000B369D">
              <w:rPr>
                <w:rFonts w:ascii="Arial" w:hAnsi="Arial" w:cs="Arial"/>
                <w:i/>
                <w:sz w:val="20"/>
                <w:szCs w:val="20"/>
              </w:rPr>
              <w:t>synthesis methods, such as network meta-analysis.</w:t>
            </w:r>
            <w:r w:rsidRPr="000B369D">
              <w:rPr>
                <w:rFonts w:ascii="Arial" w:hAnsi="Arial" w:cs="Arial"/>
                <w:sz w:val="20"/>
                <w:szCs w:val="20"/>
              </w:rPr>
              <w:t xml:space="preserve"> </w:t>
            </w:r>
          </w:p>
          <w:p w14:paraId="62B7BD16"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Results: number of studies and participants identified; summary estimates with corresponding confidence/credible intervals; </w:t>
            </w:r>
            <w:r w:rsidRPr="000B369D">
              <w:rPr>
                <w:rFonts w:ascii="Arial" w:hAnsi="Arial" w:cs="Arial"/>
                <w:i/>
                <w:sz w:val="20"/>
                <w:szCs w:val="20"/>
              </w:rPr>
              <w:t>treatment rankings may also be discussed. Authors may choose to summarize pairwise comparisons against a chosen treatment included in their analyses for brevity.</w:t>
            </w:r>
          </w:p>
          <w:p w14:paraId="3DDDD008"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Discussion/Conclusions: limitations; conclusions and implications of findings.</w:t>
            </w:r>
          </w:p>
          <w:p w14:paraId="018290FC"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Other: primary source of funding; systematic review registration number with registry name.</w:t>
            </w:r>
          </w:p>
        </w:tc>
        <w:tc>
          <w:tcPr>
            <w:tcW w:w="0" w:type="auto"/>
          </w:tcPr>
          <w:p w14:paraId="0900D15E" w14:textId="2A29A4F7" w:rsidR="0016068E" w:rsidRPr="000B369D" w:rsidRDefault="009C386E" w:rsidP="00111BE5">
            <w:pPr>
              <w:pStyle w:val="Default"/>
              <w:rPr>
                <w:rFonts w:ascii="Arial" w:hAnsi="Arial" w:cs="Arial"/>
                <w:color w:val="auto"/>
                <w:sz w:val="20"/>
                <w:szCs w:val="20"/>
              </w:rPr>
            </w:pPr>
            <w:r>
              <w:rPr>
                <w:rFonts w:ascii="Arial" w:hAnsi="Arial" w:cs="Arial"/>
                <w:i/>
                <w:color w:val="auto"/>
                <w:sz w:val="20"/>
                <w:szCs w:val="20"/>
              </w:rPr>
              <w:t>2</w:t>
            </w:r>
          </w:p>
        </w:tc>
      </w:tr>
      <w:tr w:rsidR="0016068E" w:rsidRPr="000B369D" w14:paraId="5BB2DD3A" w14:textId="77777777" w:rsidTr="00582B19">
        <w:trPr>
          <w:trHeight w:val="408"/>
        </w:trPr>
        <w:tc>
          <w:tcPr>
            <w:tcW w:w="0" w:type="auto"/>
          </w:tcPr>
          <w:p w14:paraId="3723D36D"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INTRODUCTION</w:t>
            </w:r>
          </w:p>
        </w:tc>
        <w:tc>
          <w:tcPr>
            <w:tcW w:w="0" w:type="auto"/>
          </w:tcPr>
          <w:p w14:paraId="7472C533" w14:textId="77777777" w:rsidR="0016068E" w:rsidRPr="000B369D" w:rsidRDefault="0016068E" w:rsidP="00111BE5">
            <w:pPr>
              <w:pStyle w:val="Default"/>
              <w:rPr>
                <w:rFonts w:ascii="Arial" w:hAnsi="Arial" w:cs="Arial"/>
                <w:sz w:val="20"/>
                <w:szCs w:val="20"/>
              </w:rPr>
            </w:pPr>
          </w:p>
        </w:tc>
        <w:tc>
          <w:tcPr>
            <w:tcW w:w="0" w:type="auto"/>
          </w:tcPr>
          <w:p w14:paraId="7204361A" w14:textId="77777777" w:rsidR="0016068E" w:rsidRPr="000B369D" w:rsidRDefault="0016068E" w:rsidP="00111BE5">
            <w:pPr>
              <w:pStyle w:val="Default"/>
              <w:rPr>
                <w:rFonts w:ascii="Arial" w:hAnsi="Arial" w:cs="Arial"/>
                <w:sz w:val="20"/>
                <w:szCs w:val="20"/>
              </w:rPr>
            </w:pPr>
          </w:p>
        </w:tc>
        <w:tc>
          <w:tcPr>
            <w:tcW w:w="0" w:type="auto"/>
          </w:tcPr>
          <w:p w14:paraId="269C77F6" w14:textId="77777777" w:rsidR="0016068E" w:rsidRPr="000B369D" w:rsidRDefault="0016068E" w:rsidP="00111BE5">
            <w:pPr>
              <w:pStyle w:val="Default"/>
              <w:rPr>
                <w:rFonts w:ascii="Arial" w:hAnsi="Arial" w:cs="Arial"/>
                <w:color w:val="auto"/>
                <w:sz w:val="20"/>
                <w:szCs w:val="20"/>
              </w:rPr>
            </w:pPr>
          </w:p>
        </w:tc>
      </w:tr>
      <w:tr w:rsidR="0016068E" w:rsidRPr="000B369D" w14:paraId="7F585828" w14:textId="77777777" w:rsidTr="00582B19">
        <w:trPr>
          <w:trHeight w:val="333"/>
        </w:trPr>
        <w:tc>
          <w:tcPr>
            <w:tcW w:w="0" w:type="auto"/>
          </w:tcPr>
          <w:p w14:paraId="77DDD122"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Rationale </w:t>
            </w:r>
          </w:p>
        </w:tc>
        <w:tc>
          <w:tcPr>
            <w:tcW w:w="0" w:type="auto"/>
          </w:tcPr>
          <w:p w14:paraId="13AD081B"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3</w:t>
            </w:r>
          </w:p>
        </w:tc>
        <w:tc>
          <w:tcPr>
            <w:tcW w:w="0" w:type="auto"/>
          </w:tcPr>
          <w:p w14:paraId="701CA5EF"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Describe the rationale for the review in the context of what is already known</w:t>
            </w:r>
            <w:r w:rsidRPr="000B369D">
              <w:rPr>
                <w:rFonts w:ascii="Arial" w:hAnsi="Arial" w:cs="Arial"/>
                <w:i/>
                <w:sz w:val="20"/>
                <w:szCs w:val="20"/>
              </w:rPr>
              <w:t>, including mention of why a network meta-analysis has been conducted.</w:t>
            </w:r>
            <w:r w:rsidRPr="000B369D">
              <w:rPr>
                <w:rFonts w:ascii="Arial" w:hAnsi="Arial" w:cs="Arial"/>
                <w:i/>
                <w:sz w:val="20"/>
                <w:szCs w:val="20"/>
                <w:u w:val="single"/>
              </w:rPr>
              <w:t xml:space="preserve"> </w:t>
            </w:r>
          </w:p>
        </w:tc>
        <w:tc>
          <w:tcPr>
            <w:tcW w:w="0" w:type="auto"/>
          </w:tcPr>
          <w:p w14:paraId="1616AF86" w14:textId="1735A6D4" w:rsidR="0016068E" w:rsidRPr="000B369D" w:rsidRDefault="009C386E" w:rsidP="00111BE5">
            <w:pPr>
              <w:pStyle w:val="Default"/>
              <w:rPr>
                <w:rFonts w:ascii="Arial" w:hAnsi="Arial" w:cs="Arial"/>
                <w:i/>
                <w:color w:val="auto"/>
                <w:sz w:val="20"/>
                <w:szCs w:val="20"/>
              </w:rPr>
            </w:pPr>
            <w:r>
              <w:rPr>
                <w:rFonts w:ascii="Arial" w:hAnsi="Arial" w:cs="Arial"/>
                <w:i/>
                <w:color w:val="auto"/>
                <w:sz w:val="20"/>
                <w:szCs w:val="20"/>
              </w:rPr>
              <w:t>5</w:t>
            </w:r>
          </w:p>
        </w:tc>
      </w:tr>
      <w:tr w:rsidR="0016068E" w:rsidRPr="000B369D" w14:paraId="672E4F13" w14:textId="77777777" w:rsidTr="00582B19">
        <w:trPr>
          <w:trHeight w:val="568"/>
        </w:trPr>
        <w:tc>
          <w:tcPr>
            <w:tcW w:w="0" w:type="auto"/>
          </w:tcPr>
          <w:p w14:paraId="7B3AE45F"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Objectives </w:t>
            </w:r>
          </w:p>
        </w:tc>
        <w:tc>
          <w:tcPr>
            <w:tcW w:w="0" w:type="auto"/>
          </w:tcPr>
          <w:p w14:paraId="1D581BCE"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4</w:t>
            </w:r>
          </w:p>
        </w:tc>
        <w:tc>
          <w:tcPr>
            <w:tcW w:w="0" w:type="auto"/>
          </w:tcPr>
          <w:p w14:paraId="582F7B16"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Provide an explicit statement of questions being addressed, with reference to participants, interventions, comparisons, outcomes, and study design (PICOS). </w:t>
            </w:r>
          </w:p>
        </w:tc>
        <w:tc>
          <w:tcPr>
            <w:tcW w:w="0" w:type="auto"/>
          </w:tcPr>
          <w:p w14:paraId="3091DF3F" w14:textId="422C484D" w:rsidR="0016068E" w:rsidRPr="000B369D" w:rsidRDefault="009C386E" w:rsidP="00111BE5">
            <w:pPr>
              <w:pStyle w:val="Default"/>
              <w:rPr>
                <w:rFonts w:ascii="Arial" w:hAnsi="Arial" w:cs="Arial"/>
                <w:color w:val="auto"/>
                <w:sz w:val="20"/>
                <w:szCs w:val="20"/>
              </w:rPr>
            </w:pPr>
            <w:r>
              <w:rPr>
                <w:rFonts w:ascii="Arial" w:hAnsi="Arial" w:cs="Arial"/>
                <w:color w:val="auto"/>
                <w:sz w:val="20"/>
                <w:szCs w:val="20"/>
              </w:rPr>
              <w:t>5</w:t>
            </w:r>
          </w:p>
        </w:tc>
      </w:tr>
      <w:tr w:rsidR="0016068E" w:rsidRPr="000B369D" w14:paraId="5571D0BB" w14:textId="77777777" w:rsidTr="00582B19">
        <w:trPr>
          <w:trHeight w:val="568"/>
        </w:trPr>
        <w:tc>
          <w:tcPr>
            <w:tcW w:w="0" w:type="auto"/>
          </w:tcPr>
          <w:p w14:paraId="22E39278"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METHODS</w:t>
            </w:r>
          </w:p>
        </w:tc>
        <w:tc>
          <w:tcPr>
            <w:tcW w:w="0" w:type="auto"/>
          </w:tcPr>
          <w:p w14:paraId="0F76D399" w14:textId="77777777" w:rsidR="0016068E" w:rsidRPr="000B369D" w:rsidRDefault="0016068E" w:rsidP="00111BE5">
            <w:pPr>
              <w:pStyle w:val="Default"/>
              <w:rPr>
                <w:rFonts w:ascii="Arial" w:hAnsi="Arial" w:cs="Arial"/>
                <w:sz w:val="20"/>
                <w:szCs w:val="20"/>
              </w:rPr>
            </w:pPr>
          </w:p>
        </w:tc>
        <w:tc>
          <w:tcPr>
            <w:tcW w:w="0" w:type="auto"/>
          </w:tcPr>
          <w:p w14:paraId="5CA04B6E" w14:textId="77777777" w:rsidR="0016068E" w:rsidRPr="000B369D" w:rsidRDefault="0016068E" w:rsidP="00111BE5">
            <w:pPr>
              <w:pStyle w:val="Default"/>
              <w:rPr>
                <w:rFonts w:ascii="Arial" w:hAnsi="Arial" w:cs="Arial"/>
                <w:sz w:val="20"/>
                <w:szCs w:val="20"/>
              </w:rPr>
            </w:pPr>
          </w:p>
        </w:tc>
        <w:tc>
          <w:tcPr>
            <w:tcW w:w="0" w:type="auto"/>
          </w:tcPr>
          <w:p w14:paraId="0C7A934E" w14:textId="77777777" w:rsidR="0016068E" w:rsidRPr="000B369D" w:rsidRDefault="0016068E" w:rsidP="00111BE5">
            <w:pPr>
              <w:pStyle w:val="Default"/>
              <w:rPr>
                <w:rFonts w:ascii="Arial" w:hAnsi="Arial" w:cs="Arial"/>
                <w:color w:val="auto"/>
                <w:sz w:val="20"/>
                <w:szCs w:val="20"/>
              </w:rPr>
            </w:pPr>
          </w:p>
        </w:tc>
      </w:tr>
      <w:tr w:rsidR="0016068E" w:rsidRPr="000B369D" w14:paraId="09941D2E" w14:textId="77777777" w:rsidTr="00582B19">
        <w:trPr>
          <w:trHeight w:val="578"/>
        </w:trPr>
        <w:tc>
          <w:tcPr>
            <w:tcW w:w="0" w:type="auto"/>
          </w:tcPr>
          <w:p w14:paraId="0A617505"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Protocol and registration </w:t>
            </w:r>
          </w:p>
        </w:tc>
        <w:tc>
          <w:tcPr>
            <w:tcW w:w="0" w:type="auto"/>
          </w:tcPr>
          <w:p w14:paraId="57D3078C"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5</w:t>
            </w:r>
          </w:p>
        </w:tc>
        <w:tc>
          <w:tcPr>
            <w:tcW w:w="0" w:type="auto"/>
          </w:tcPr>
          <w:p w14:paraId="55D571AE"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Indicate whether a review protocol exists and if and where it can be accessed (e.g., Web address); and, if available, provide registration information, including registration number. </w:t>
            </w:r>
          </w:p>
        </w:tc>
        <w:tc>
          <w:tcPr>
            <w:tcW w:w="0" w:type="auto"/>
          </w:tcPr>
          <w:p w14:paraId="787708A8" w14:textId="6DD1FFB3" w:rsidR="0016068E" w:rsidRPr="000B369D" w:rsidRDefault="009C386E" w:rsidP="00111BE5">
            <w:pPr>
              <w:pStyle w:val="Default"/>
              <w:rPr>
                <w:rFonts w:ascii="Arial" w:hAnsi="Arial" w:cs="Arial"/>
                <w:color w:val="auto"/>
                <w:sz w:val="20"/>
                <w:szCs w:val="20"/>
              </w:rPr>
            </w:pPr>
            <w:r>
              <w:rPr>
                <w:rFonts w:ascii="Arial" w:hAnsi="Arial" w:cs="Arial"/>
                <w:color w:val="auto"/>
                <w:sz w:val="20"/>
                <w:szCs w:val="20"/>
              </w:rPr>
              <w:t>6</w:t>
            </w:r>
          </w:p>
        </w:tc>
      </w:tr>
      <w:tr w:rsidR="0016068E" w:rsidRPr="000B369D" w14:paraId="26CC3901" w14:textId="77777777" w:rsidTr="00582B19">
        <w:trPr>
          <w:trHeight w:val="426"/>
        </w:trPr>
        <w:tc>
          <w:tcPr>
            <w:tcW w:w="0" w:type="auto"/>
          </w:tcPr>
          <w:p w14:paraId="123022D7"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Eligibility criteria </w:t>
            </w:r>
          </w:p>
        </w:tc>
        <w:tc>
          <w:tcPr>
            <w:tcW w:w="0" w:type="auto"/>
          </w:tcPr>
          <w:p w14:paraId="5BB53D43"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6</w:t>
            </w:r>
          </w:p>
        </w:tc>
        <w:tc>
          <w:tcPr>
            <w:tcW w:w="0" w:type="auto"/>
          </w:tcPr>
          <w:p w14:paraId="52FC2528"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Specify study characteristics (e.g., PICOS, length of follow-up) and report characteristics (e.g., years considered, language, publication status) used as criteria for eligibility, giving rationale. </w:t>
            </w:r>
            <w:r w:rsidRPr="000B369D">
              <w:rPr>
                <w:rFonts w:ascii="Arial" w:hAnsi="Arial" w:cs="Arial"/>
                <w:i/>
                <w:sz w:val="20"/>
                <w:szCs w:val="20"/>
              </w:rPr>
              <w:t>Clearly describe eligible treatments included in the treatment network, and note whether any have been clustered or merged into the same node (with justification).</w:t>
            </w:r>
            <w:r w:rsidRPr="000B369D">
              <w:rPr>
                <w:rFonts w:ascii="Arial" w:hAnsi="Arial" w:cs="Arial"/>
                <w:i/>
                <w:sz w:val="20"/>
                <w:szCs w:val="20"/>
                <w:u w:val="single"/>
              </w:rPr>
              <w:t xml:space="preserve"> </w:t>
            </w:r>
          </w:p>
        </w:tc>
        <w:tc>
          <w:tcPr>
            <w:tcW w:w="0" w:type="auto"/>
          </w:tcPr>
          <w:p w14:paraId="2E2A4600" w14:textId="6A1DE909" w:rsidR="0016068E" w:rsidRPr="000B369D" w:rsidRDefault="009C386E" w:rsidP="00111BE5">
            <w:pPr>
              <w:pStyle w:val="Default"/>
              <w:rPr>
                <w:rFonts w:ascii="Arial" w:hAnsi="Arial" w:cs="Arial"/>
                <w:color w:val="auto"/>
                <w:sz w:val="20"/>
                <w:szCs w:val="20"/>
              </w:rPr>
            </w:pPr>
            <w:r>
              <w:rPr>
                <w:rFonts w:ascii="Arial" w:hAnsi="Arial" w:cs="Arial"/>
                <w:color w:val="auto"/>
                <w:sz w:val="20"/>
                <w:szCs w:val="20"/>
              </w:rPr>
              <w:t>21</w:t>
            </w:r>
          </w:p>
        </w:tc>
      </w:tr>
      <w:tr w:rsidR="0016068E" w:rsidRPr="000B369D" w14:paraId="39469BA6" w14:textId="77777777" w:rsidTr="00582B19">
        <w:trPr>
          <w:trHeight w:val="578"/>
        </w:trPr>
        <w:tc>
          <w:tcPr>
            <w:tcW w:w="0" w:type="auto"/>
          </w:tcPr>
          <w:p w14:paraId="03B3AE63"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Information sources </w:t>
            </w:r>
          </w:p>
        </w:tc>
        <w:tc>
          <w:tcPr>
            <w:tcW w:w="0" w:type="auto"/>
          </w:tcPr>
          <w:p w14:paraId="1F35C955"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7</w:t>
            </w:r>
          </w:p>
        </w:tc>
        <w:tc>
          <w:tcPr>
            <w:tcW w:w="0" w:type="auto"/>
          </w:tcPr>
          <w:p w14:paraId="6D7992A6"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0" w:type="auto"/>
          </w:tcPr>
          <w:p w14:paraId="6BFBE329" w14:textId="4A4C24D3" w:rsidR="0016068E" w:rsidRPr="000B369D" w:rsidRDefault="009C386E" w:rsidP="00111BE5">
            <w:pPr>
              <w:pStyle w:val="Default"/>
              <w:rPr>
                <w:rFonts w:ascii="Arial" w:hAnsi="Arial" w:cs="Arial"/>
                <w:color w:val="auto"/>
                <w:sz w:val="20"/>
                <w:szCs w:val="20"/>
              </w:rPr>
            </w:pPr>
            <w:r>
              <w:rPr>
                <w:rFonts w:ascii="Arial" w:hAnsi="Arial" w:cs="Arial"/>
                <w:color w:val="auto"/>
                <w:sz w:val="20"/>
                <w:szCs w:val="20"/>
              </w:rPr>
              <w:t>6</w:t>
            </w:r>
          </w:p>
        </w:tc>
      </w:tr>
      <w:tr w:rsidR="0016068E" w:rsidRPr="000B369D" w14:paraId="04961A15" w14:textId="77777777" w:rsidTr="00582B19">
        <w:trPr>
          <w:trHeight w:val="303"/>
        </w:trPr>
        <w:tc>
          <w:tcPr>
            <w:tcW w:w="0" w:type="auto"/>
          </w:tcPr>
          <w:p w14:paraId="64CDFD9A"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lastRenderedPageBreak/>
              <w:t xml:space="preserve">Search </w:t>
            </w:r>
          </w:p>
        </w:tc>
        <w:tc>
          <w:tcPr>
            <w:tcW w:w="0" w:type="auto"/>
          </w:tcPr>
          <w:p w14:paraId="4D86F607"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8</w:t>
            </w:r>
          </w:p>
        </w:tc>
        <w:tc>
          <w:tcPr>
            <w:tcW w:w="0" w:type="auto"/>
          </w:tcPr>
          <w:p w14:paraId="4D9958C3"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Present full electronic search strategy for at least one database, including any limits used, such that it could be repeated. </w:t>
            </w:r>
          </w:p>
        </w:tc>
        <w:tc>
          <w:tcPr>
            <w:tcW w:w="0" w:type="auto"/>
          </w:tcPr>
          <w:p w14:paraId="0EEF121A" w14:textId="27F8CA0B" w:rsidR="0016068E" w:rsidRPr="000B369D" w:rsidRDefault="009C386E" w:rsidP="00111BE5">
            <w:pPr>
              <w:pStyle w:val="Default"/>
              <w:rPr>
                <w:rFonts w:ascii="Arial" w:hAnsi="Arial" w:cs="Arial"/>
                <w:color w:val="auto"/>
                <w:sz w:val="20"/>
                <w:szCs w:val="20"/>
              </w:rPr>
            </w:pPr>
            <w:r>
              <w:rPr>
                <w:rFonts w:ascii="Arial" w:hAnsi="Arial" w:cs="Arial"/>
                <w:color w:val="auto"/>
                <w:sz w:val="20"/>
                <w:szCs w:val="20"/>
              </w:rPr>
              <w:t>Supplementary TableA3</w:t>
            </w:r>
          </w:p>
        </w:tc>
      </w:tr>
      <w:tr w:rsidR="0016068E" w:rsidRPr="000B369D" w14:paraId="2744C288" w14:textId="77777777" w:rsidTr="00582B19">
        <w:trPr>
          <w:trHeight w:val="935"/>
        </w:trPr>
        <w:tc>
          <w:tcPr>
            <w:tcW w:w="0" w:type="auto"/>
          </w:tcPr>
          <w:p w14:paraId="0D7358AC"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Study selection </w:t>
            </w:r>
          </w:p>
        </w:tc>
        <w:tc>
          <w:tcPr>
            <w:tcW w:w="0" w:type="auto"/>
          </w:tcPr>
          <w:p w14:paraId="1D1D6513"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9</w:t>
            </w:r>
          </w:p>
        </w:tc>
        <w:tc>
          <w:tcPr>
            <w:tcW w:w="0" w:type="auto"/>
          </w:tcPr>
          <w:p w14:paraId="0BBB5249"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State the process for selecting studies (i.e., screening, eligibility, included in systematic review, and, if applicable, included in the meta-analysis). </w:t>
            </w:r>
          </w:p>
        </w:tc>
        <w:tc>
          <w:tcPr>
            <w:tcW w:w="0" w:type="auto"/>
          </w:tcPr>
          <w:p w14:paraId="2C507FD4" w14:textId="77777777" w:rsidR="0016068E" w:rsidRPr="000B369D" w:rsidRDefault="0016068E" w:rsidP="00111BE5">
            <w:pPr>
              <w:rPr>
                <w:rFonts w:ascii="Arial" w:hAnsi="Arial" w:cs="Arial"/>
                <w:sz w:val="20"/>
                <w:szCs w:val="20"/>
              </w:rPr>
            </w:pPr>
            <w:r w:rsidRPr="000B369D">
              <w:rPr>
                <w:rFonts w:ascii="Arial" w:hAnsi="Arial" w:cs="Arial"/>
                <w:sz w:val="20"/>
                <w:szCs w:val="20"/>
              </w:rPr>
              <w:t>6</w:t>
            </w:r>
          </w:p>
        </w:tc>
      </w:tr>
      <w:tr w:rsidR="0016068E" w:rsidRPr="000B369D" w14:paraId="1FD29AE9" w14:textId="77777777" w:rsidTr="00582B19">
        <w:trPr>
          <w:trHeight w:val="578"/>
        </w:trPr>
        <w:tc>
          <w:tcPr>
            <w:tcW w:w="0" w:type="auto"/>
          </w:tcPr>
          <w:p w14:paraId="13E79F12"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Data collection process </w:t>
            </w:r>
          </w:p>
        </w:tc>
        <w:tc>
          <w:tcPr>
            <w:tcW w:w="0" w:type="auto"/>
          </w:tcPr>
          <w:p w14:paraId="37CE29D7"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10</w:t>
            </w:r>
          </w:p>
        </w:tc>
        <w:tc>
          <w:tcPr>
            <w:tcW w:w="0" w:type="auto"/>
          </w:tcPr>
          <w:p w14:paraId="7B27EEB3"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0" w:type="auto"/>
          </w:tcPr>
          <w:p w14:paraId="45FD41D0" w14:textId="77777777" w:rsidR="0016068E" w:rsidRPr="000B369D" w:rsidRDefault="0016068E" w:rsidP="00111BE5">
            <w:pPr>
              <w:rPr>
                <w:rFonts w:ascii="Arial" w:hAnsi="Arial" w:cs="Arial"/>
                <w:sz w:val="20"/>
                <w:szCs w:val="20"/>
              </w:rPr>
            </w:pPr>
            <w:r w:rsidRPr="000B369D">
              <w:rPr>
                <w:rFonts w:ascii="Arial" w:hAnsi="Arial" w:cs="Arial"/>
                <w:sz w:val="20"/>
                <w:szCs w:val="20"/>
              </w:rPr>
              <w:t>6-7</w:t>
            </w:r>
          </w:p>
        </w:tc>
      </w:tr>
      <w:tr w:rsidR="0016068E" w:rsidRPr="000B369D" w14:paraId="31F9197B" w14:textId="77777777" w:rsidTr="00582B19">
        <w:trPr>
          <w:trHeight w:val="578"/>
        </w:trPr>
        <w:tc>
          <w:tcPr>
            <w:tcW w:w="0" w:type="auto"/>
          </w:tcPr>
          <w:p w14:paraId="6D8DA805"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Data items </w:t>
            </w:r>
          </w:p>
        </w:tc>
        <w:tc>
          <w:tcPr>
            <w:tcW w:w="0" w:type="auto"/>
          </w:tcPr>
          <w:p w14:paraId="6E73BDAD"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11</w:t>
            </w:r>
          </w:p>
        </w:tc>
        <w:tc>
          <w:tcPr>
            <w:tcW w:w="0" w:type="auto"/>
          </w:tcPr>
          <w:p w14:paraId="69408B68"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List and define all variables for which data were sought (e.g., PICOS, funding sources) and any assumptions and simplifications made. </w:t>
            </w:r>
          </w:p>
        </w:tc>
        <w:tc>
          <w:tcPr>
            <w:tcW w:w="0" w:type="auto"/>
          </w:tcPr>
          <w:p w14:paraId="6C3114D5" w14:textId="77777777" w:rsidR="0016068E" w:rsidRPr="000B369D" w:rsidRDefault="0016068E" w:rsidP="00111BE5">
            <w:pPr>
              <w:rPr>
                <w:rFonts w:ascii="Arial" w:hAnsi="Arial" w:cs="Arial"/>
                <w:sz w:val="20"/>
                <w:szCs w:val="20"/>
              </w:rPr>
            </w:pPr>
            <w:r w:rsidRPr="000B369D">
              <w:rPr>
                <w:rFonts w:ascii="Arial" w:hAnsi="Arial" w:cs="Arial"/>
                <w:sz w:val="20"/>
                <w:szCs w:val="20"/>
              </w:rPr>
              <w:t>7</w:t>
            </w:r>
          </w:p>
        </w:tc>
      </w:tr>
      <w:tr w:rsidR="0016068E" w:rsidRPr="000B369D" w14:paraId="5E6D548B" w14:textId="77777777" w:rsidTr="00582B19">
        <w:trPr>
          <w:trHeight w:val="578"/>
        </w:trPr>
        <w:tc>
          <w:tcPr>
            <w:tcW w:w="0" w:type="auto"/>
          </w:tcPr>
          <w:p w14:paraId="3C533EF4"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Geometry of the network</w:t>
            </w:r>
          </w:p>
        </w:tc>
        <w:tc>
          <w:tcPr>
            <w:tcW w:w="0" w:type="auto"/>
          </w:tcPr>
          <w:p w14:paraId="60A2E41D"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S1</w:t>
            </w:r>
          </w:p>
        </w:tc>
        <w:tc>
          <w:tcPr>
            <w:tcW w:w="0" w:type="auto"/>
          </w:tcPr>
          <w:p w14:paraId="641625B1"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Pr>
          <w:p w14:paraId="40B0EC7D" w14:textId="5A58D86E" w:rsidR="0016068E" w:rsidRPr="000B369D" w:rsidRDefault="009C386E" w:rsidP="00111BE5">
            <w:pPr>
              <w:pStyle w:val="Default"/>
              <w:rPr>
                <w:rFonts w:ascii="Arial" w:hAnsi="Arial" w:cs="Arial"/>
                <w:i/>
                <w:color w:val="auto"/>
                <w:sz w:val="20"/>
                <w:szCs w:val="20"/>
              </w:rPr>
            </w:pPr>
            <w:r>
              <w:rPr>
                <w:rFonts w:ascii="Arial" w:hAnsi="Arial" w:cs="Arial"/>
                <w:i/>
                <w:color w:val="auto"/>
                <w:sz w:val="20"/>
                <w:szCs w:val="20"/>
              </w:rPr>
              <w:t>7-8</w:t>
            </w:r>
          </w:p>
        </w:tc>
      </w:tr>
      <w:tr w:rsidR="0016068E" w:rsidRPr="000B369D" w14:paraId="7B4EB8A3" w14:textId="77777777" w:rsidTr="00582B19">
        <w:trPr>
          <w:trHeight w:val="578"/>
        </w:trPr>
        <w:tc>
          <w:tcPr>
            <w:tcW w:w="0" w:type="auto"/>
          </w:tcPr>
          <w:p w14:paraId="2351503C"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Risk of bias within individual studies </w:t>
            </w:r>
          </w:p>
        </w:tc>
        <w:tc>
          <w:tcPr>
            <w:tcW w:w="0" w:type="auto"/>
          </w:tcPr>
          <w:p w14:paraId="017FCB51"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12</w:t>
            </w:r>
          </w:p>
        </w:tc>
        <w:tc>
          <w:tcPr>
            <w:tcW w:w="0" w:type="auto"/>
          </w:tcPr>
          <w:p w14:paraId="1EA79AC6"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Pr>
          <w:p w14:paraId="1EE96830" w14:textId="2B9257EA" w:rsidR="0016068E" w:rsidRPr="000B369D" w:rsidRDefault="0016068E" w:rsidP="00111BE5">
            <w:pPr>
              <w:pStyle w:val="Default"/>
              <w:rPr>
                <w:rFonts w:ascii="Arial" w:hAnsi="Arial" w:cs="Arial"/>
                <w:color w:val="auto"/>
                <w:sz w:val="20"/>
                <w:szCs w:val="20"/>
              </w:rPr>
            </w:pPr>
            <w:r w:rsidRPr="000B369D">
              <w:rPr>
                <w:rFonts w:ascii="Arial" w:hAnsi="Arial" w:cs="Arial"/>
                <w:color w:val="auto"/>
                <w:sz w:val="20"/>
                <w:szCs w:val="20"/>
              </w:rPr>
              <w:t>7</w:t>
            </w:r>
          </w:p>
        </w:tc>
      </w:tr>
      <w:tr w:rsidR="0016068E" w:rsidRPr="000B369D" w14:paraId="44B040E0" w14:textId="77777777" w:rsidTr="00582B19">
        <w:trPr>
          <w:trHeight w:val="333"/>
        </w:trPr>
        <w:tc>
          <w:tcPr>
            <w:tcW w:w="0" w:type="auto"/>
          </w:tcPr>
          <w:p w14:paraId="160E3A71"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Summary measures </w:t>
            </w:r>
          </w:p>
        </w:tc>
        <w:tc>
          <w:tcPr>
            <w:tcW w:w="0" w:type="auto"/>
          </w:tcPr>
          <w:p w14:paraId="3AE4CE9A"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13</w:t>
            </w:r>
          </w:p>
        </w:tc>
        <w:tc>
          <w:tcPr>
            <w:tcW w:w="0" w:type="auto"/>
          </w:tcPr>
          <w:p w14:paraId="76D6C3B5"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State the principal summary measures (e.g., risk ratio, difference in means). </w:t>
            </w:r>
            <w:r w:rsidRPr="000B369D">
              <w:rPr>
                <w:rFonts w:ascii="Arial" w:hAnsi="Arial" w:cs="Arial"/>
                <w:i/>
                <w:sz w:val="20"/>
                <w:szCs w:val="20"/>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Pr>
          <w:p w14:paraId="281EE7D3" w14:textId="221BF0CB" w:rsidR="0016068E" w:rsidRPr="000B369D" w:rsidRDefault="009C386E" w:rsidP="00111BE5">
            <w:pPr>
              <w:pStyle w:val="Default"/>
              <w:rPr>
                <w:rFonts w:ascii="Arial" w:hAnsi="Arial" w:cs="Arial"/>
                <w:color w:val="auto"/>
                <w:sz w:val="20"/>
                <w:szCs w:val="20"/>
              </w:rPr>
            </w:pPr>
            <w:r>
              <w:rPr>
                <w:rFonts w:ascii="Arial" w:hAnsi="Arial" w:cs="Arial"/>
                <w:color w:val="auto"/>
                <w:sz w:val="20"/>
                <w:szCs w:val="20"/>
              </w:rPr>
              <w:t>7-8</w:t>
            </w:r>
          </w:p>
        </w:tc>
      </w:tr>
      <w:tr w:rsidR="0016068E" w:rsidRPr="000B369D" w14:paraId="36318CEE" w14:textId="77777777" w:rsidTr="00582B19">
        <w:trPr>
          <w:trHeight w:val="580"/>
        </w:trPr>
        <w:tc>
          <w:tcPr>
            <w:tcW w:w="0" w:type="auto"/>
          </w:tcPr>
          <w:p w14:paraId="38B5A632"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Planned methods of analysis</w:t>
            </w:r>
          </w:p>
        </w:tc>
        <w:tc>
          <w:tcPr>
            <w:tcW w:w="0" w:type="auto"/>
          </w:tcPr>
          <w:p w14:paraId="2BB59752"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14</w:t>
            </w:r>
          </w:p>
        </w:tc>
        <w:tc>
          <w:tcPr>
            <w:tcW w:w="0" w:type="auto"/>
          </w:tcPr>
          <w:p w14:paraId="707ADF61"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Describe the methods of handling data and combining results of studies for each network meta-analysis. This should include, but not be limited to:  </w:t>
            </w:r>
          </w:p>
          <w:p w14:paraId="34D88E17" w14:textId="77777777" w:rsidR="0016068E" w:rsidRPr="000B369D" w:rsidRDefault="0016068E" w:rsidP="00111BE5">
            <w:pPr>
              <w:pStyle w:val="Default"/>
              <w:numPr>
                <w:ilvl w:val="0"/>
                <w:numId w:val="1"/>
              </w:numPr>
              <w:rPr>
                <w:rFonts w:ascii="Arial" w:hAnsi="Arial" w:cs="Arial"/>
                <w:i/>
                <w:sz w:val="20"/>
                <w:szCs w:val="20"/>
              </w:rPr>
            </w:pPr>
            <w:r w:rsidRPr="000B369D">
              <w:rPr>
                <w:rFonts w:ascii="Arial" w:hAnsi="Arial" w:cs="Arial"/>
                <w:i/>
                <w:sz w:val="20"/>
                <w:szCs w:val="20"/>
              </w:rPr>
              <w:t>Handling of multi-arm trials;</w:t>
            </w:r>
          </w:p>
          <w:p w14:paraId="72CFD9F3" w14:textId="77777777" w:rsidR="0016068E" w:rsidRPr="000B369D" w:rsidRDefault="0016068E" w:rsidP="00111BE5">
            <w:pPr>
              <w:pStyle w:val="Default"/>
              <w:numPr>
                <w:ilvl w:val="0"/>
                <w:numId w:val="1"/>
              </w:numPr>
              <w:rPr>
                <w:rFonts w:ascii="Arial" w:hAnsi="Arial" w:cs="Arial"/>
                <w:i/>
                <w:sz w:val="20"/>
                <w:szCs w:val="20"/>
              </w:rPr>
            </w:pPr>
            <w:r w:rsidRPr="000B369D">
              <w:rPr>
                <w:rFonts w:ascii="Arial" w:hAnsi="Arial" w:cs="Arial"/>
                <w:i/>
                <w:sz w:val="20"/>
                <w:szCs w:val="20"/>
              </w:rPr>
              <w:t>Selection of variance structure;</w:t>
            </w:r>
          </w:p>
          <w:p w14:paraId="2AE93810" w14:textId="77777777" w:rsidR="0016068E" w:rsidRPr="000B369D" w:rsidRDefault="0016068E" w:rsidP="00111BE5">
            <w:pPr>
              <w:pStyle w:val="Default"/>
              <w:numPr>
                <w:ilvl w:val="0"/>
                <w:numId w:val="1"/>
              </w:numPr>
              <w:rPr>
                <w:rFonts w:ascii="Arial" w:hAnsi="Arial" w:cs="Arial"/>
                <w:i/>
                <w:sz w:val="20"/>
                <w:szCs w:val="20"/>
              </w:rPr>
            </w:pPr>
            <w:r w:rsidRPr="000B369D">
              <w:rPr>
                <w:rFonts w:ascii="Arial" w:hAnsi="Arial" w:cs="Arial"/>
                <w:i/>
                <w:sz w:val="20"/>
                <w:szCs w:val="20"/>
              </w:rPr>
              <w:t>Selection of prior distributions in Bayesian analyses; and</w:t>
            </w:r>
          </w:p>
          <w:p w14:paraId="50189028" w14:textId="77777777" w:rsidR="0016068E" w:rsidRPr="000B369D" w:rsidRDefault="0016068E" w:rsidP="00111BE5">
            <w:pPr>
              <w:pStyle w:val="Default"/>
              <w:numPr>
                <w:ilvl w:val="0"/>
                <w:numId w:val="1"/>
              </w:numPr>
              <w:rPr>
                <w:rFonts w:ascii="Arial" w:hAnsi="Arial" w:cs="Arial"/>
                <w:sz w:val="20"/>
                <w:szCs w:val="20"/>
              </w:rPr>
            </w:pPr>
            <w:r w:rsidRPr="000B369D">
              <w:rPr>
                <w:rFonts w:ascii="Arial" w:hAnsi="Arial" w:cs="Arial"/>
                <w:i/>
                <w:sz w:val="20"/>
                <w:szCs w:val="20"/>
              </w:rPr>
              <w:t xml:space="preserve"> Assessment of model fit.</w:t>
            </w:r>
            <w:r w:rsidRPr="000B369D">
              <w:rPr>
                <w:rFonts w:ascii="Arial" w:hAnsi="Arial" w:cs="Arial"/>
                <w:sz w:val="20"/>
                <w:szCs w:val="20"/>
              </w:rPr>
              <w:t xml:space="preserve"> </w:t>
            </w:r>
          </w:p>
        </w:tc>
        <w:tc>
          <w:tcPr>
            <w:tcW w:w="0" w:type="auto"/>
          </w:tcPr>
          <w:p w14:paraId="595F4045" w14:textId="7D862E83" w:rsidR="0016068E" w:rsidRPr="000B369D" w:rsidRDefault="009C386E" w:rsidP="00111BE5">
            <w:pPr>
              <w:pStyle w:val="Default"/>
              <w:rPr>
                <w:rFonts w:ascii="Arial" w:hAnsi="Arial" w:cs="Arial"/>
                <w:color w:val="auto"/>
                <w:sz w:val="20"/>
                <w:szCs w:val="20"/>
              </w:rPr>
            </w:pPr>
            <w:r>
              <w:rPr>
                <w:rFonts w:ascii="Arial" w:hAnsi="Arial" w:cs="Arial"/>
                <w:color w:val="auto"/>
                <w:sz w:val="20"/>
                <w:szCs w:val="20"/>
              </w:rPr>
              <w:t>7-8</w:t>
            </w:r>
          </w:p>
        </w:tc>
      </w:tr>
      <w:tr w:rsidR="0016068E" w:rsidRPr="000B369D" w14:paraId="43219ACB" w14:textId="77777777" w:rsidTr="00582B19">
        <w:trPr>
          <w:trHeight w:val="580"/>
        </w:trPr>
        <w:tc>
          <w:tcPr>
            <w:tcW w:w="0" w:type="auto"/>
          </w:tcPr>
          <w:p w14:paraId="25F85596"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Assessment of Inconsistency</w:t>
            </w:r>
          </w:p>
        </w:tc>
        <w:tc>
          <w:tcPr>
            <w:tcW w:w="0" w:type="auto"/>
          </w:tcPr>
          <w:p w14:paraId="42F82E23"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S2</w:t>
            </w:r>
          </w:p>
        </w:tc>
        <w:tc>
          <w:tcPr>
            <w:tcW w:w="0" w:type="auto"/>
          </w:tcPr>
          <w:p w14:paraId="460EDBF7" w14:textId="77777777" w:rsidR="0016068E" w:rsidRPr="000B369D" w:rsidRDefault="0016068E" w:rsidP="00111BE5">
            <w:pPr>
              <w:pStyle w:val="Default"/>
              <w:rPr>
                <w:rFonts w:ascii="Arial" w:hAnsi="Arial" w:cs="Arial"/>
                <w:i/>
                <w:sz w:val="20"/>
                <w:szCs w:val="20"/>
              </w:rPr>
            </w:pPr>
            <w:r w:rsidRPr="000B369D">
              <w:rPr>
                <w:rFonts w:ascii="Arial" w:hAnsi="Arial" w:cs="Arial"/>
                <w:color w:val="auto"/>
                <w:sz w:val="20"/>
                <w:szCs w:val="20"/>
              </w:rPr>
              <w:t>Describe the statistical methods used to evaluate the agreement of direct and indirect evidence in the treatment network(s) studied. Describe efforts taken to address its presence when found.</w:t>
            </w:r>
          </w:p>
        </w:tc>
        <w:tc>
          <w:tcPr>
            <w:tcW w:w="0" w:type="auto"/>
          </w:tcPr>
          <w:p w14:paraId="4319781C" w14:textId="7E269377" w:rsidR="0016068E" w:rsidRPr="000B369D" w:rsidRDefault="009C386E" w:rsidP="00111BE5">
            <w:pPr>
              <w:pStyle w:val="Default"/>
              <w:rPr>
                <w:rFonts w:ascii="Arial" w:hAnsi="Arial" w:cs="Arial"/>
                <w:color w:val="auto"/>
                <w:sz w:val="20"/>
                <w:szCs w:val="20"/>
              </w:rPr>
            </w:pPr>
            <w:r>
              <w:rPr>
                <w:rFonts w:ascii="Arial" w:hAnsi="Arial" w:cs="Arial"/>
                <w:color w:val="auto"/>
                <w:sz w:val="20"/>
                <w:szCs w:val="20"/>
              </w:rPr>
              <w:t>7-8</w:t>
            </w:r>
          </w:p>
        </w:tc>
      </w:tr>
      <w:tr w:rsidR="0016068E" w:rsidRPr="000B369D" w14:paraId="0867AE13" w14:textId="77777777" w:rsidTr="00582B19">
        <w:trPr>
          <w:trHeight w:val="580"/>
        </w:trPr>
        <w:tc>
          <w:tcPr>
            <w:tcW w:w="0" w:type="auto"/>
          </w:tcPr>
          <w:p w14:paraId="7B3C48AA"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Risk of bias across studies </w:t>
            </w:r>
          </w:p>
        </w:tc>
        <w:tc>
          <w:tcPr>
            <w:tcW w:w="0" w:type="auto"/>
          </w:tcPr>
          <w:p w14:paraId="52BCA9AD"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15</w:t>
            </w:r>
          </w:p>
        </w:tc>
        <w:tc>
          <w:tcPr>
            <w:tcW w:w="0" w:type="auto"/>
          </w:tcPr>
          <w:p w14:paraId="2AC63EDF"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Specify any assessment of risk of bias that may affect the cumulative evidence (e.g., publication bias, selective reporting within studies). </w:t>
            </w:r>
          </w:p>
        </w:tc>
        <w:tc>
          <w:tcPr>
            <w:tcW w:w="0" w:type="auto"/>
          </w:tcPr>
          <w:p w14:paraId="1266AF81" w14:textId="711961BF" w:rsidR="0016068E" w:rsidRPr="000B369D" w:rsidRDefault="009C386E" w:rsidP="00111BE5">
            <w:pPr>
              <w:pStyle w:val="Default"/>
              <w:rPr>
                <w:rFonts w:ascii="Arial" w:hAnsi="Arial" w:cs="Arial"/>
                <w:color w:val="auto"/>
                <w:sz w:val="20"/>
                <w:szCs w:val="20"/>
              </w:rPr>
            </w:pPr>
            <w:r>
              <w:rPr>
                <w:rFonts w:ascii="Arial" w:hAnsi="Arial" w:cs="Arial"/>
                <w:color w:val="auto"/>
                <w:sz w:val="20"/>
                <w:szCs w:val="20"/>
              </w:rPr>
              <w:t>7-8</w:t>
            </w:r>
          </w:p>
        </w:tc>
      </w:tr>
      <w:tr w:rsidR="0016068E" w:rsidRPr="000B369D" w14:paraId="5E938515" w14:textId="77777777" w:rsidTr="00582B19">
        <w:trPr>
          <w:trHeight w:val="580"/>
        </w:trPr>
        <w:tc>
          <w:tcPr>
            <w:tcW w:w="0" w:type="auto"/>
          </w:tcPr>
          <w:p w14:paraId="0C8DC9F3"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Additional analyses </w:t>
            </w:r>
          </w:p>
        </w:tc>
        <w:tc>
          <w:tcPr>
            <w:tcW w:w="0" w:type="auto"/>
          </w:tcPr>
          <w:p w14:paraId="368927D9"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16</w:t>
            </w:r>
          </w:p>
        </w:tc>
        <w:tc>
          <w:tcPr>
            <w:tcW w:w="0" w:type="auto"/>
          </w:tcPr>
          <w:p w14:paraId="46CA8EFE"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Describe methods of additional analyses if done, indicating which were pre-specified. This may include, but not be limited to, the following: </w:t>
            </w:r>
          </w:p>
          <w:p w14:paraId="63DC73F9" w14:textId="77777777" w:rsidR="0016068E" w:rsidRPr="000B369D" w:rsidRDefault="0016068E" w:rsidP="00111BE5">
            <w:pPr>
              <w:pStyle w:val="Default"/>
              <w:numPr>
                <w:ilvl w:val="0"/>
                <w:numId w:val="2"/>
              </w:numPr>
              <w:rPr>
                <w:rFonts w:ascii="Arial" w:hAnsi="Arial" w:cs="Arial"/>
                <w:sz w:val="20"/>
                <w:szCs w:val="20"/>
              </w:rPr>
            </w:pPr>
            <w:r w:rsidRPr="000B369D">
              <w:rPr>
                <w:rFonts w:ascii="Arial" w:hAnsi="Arial" w:cs="Arial"/>
                <w:sz w:val="20"/>
                <w:szCs w:val="20"/>
              </w:rPr>
              <w:t>Sensitivity or subgroup analyses;</w:t>
            </w:r>
          </w:p>
          <w:p w14:paraId="1B59FF29" w14:textId="77777777" w:rsidR="0016068E" w:rsidRPr="000B369D" w:rsidRDefault="0016068E" w:rsidP="00111BE5">
            <w:pPr>
              <w:pStyle w:val="Default"/>
              <w:numPr>
                <w:ilvl w:val="0"/>
                <w:numId w:val="2"/>
              </w:numPr>
              <w:rPr>
                <w:rFonts w:ascii="Arial" w:hAnsi="Arial" w:cs="Arial"/>
                <w:sz w:val="20"/>
                <w:szCs w:val="20"/>
              </w:rPr>
            </w:pPr>
            <w:r w:rsidRPr="000B369D">
              <w:rPr>
                <w:rFonts w:ascii="Arial" w:hAnsi="Arial" w:cs="Arial"/>
                <w:sz w:val="20"/>
                <w:szCs w:val="20"/>
              </w:rPr>
              <w:t xml:space="preserve">Meta-regression analyses; </w:t>
            </w:r>
          </w:p>
          <w:p w14:paraId="669E8A5B" w14:textId="77777777" w:rsidR="0016068E" w:rsidRPr="000B369D" w:rsidRDefault="0016068E" w:rsidP="00111BE5">
            <w:pPr>
              <w:pStyle w:val="Default"/>
              <w:numPr>
                <w:ilvl w:val="0"/>
                <w:numId w:val="2"/>
              </w:numPr>
              <w:rPr>
                <w:rFonts w:ascii="Arial" w:hAnsi="Arial" w:cs="Arial"/>
                <w:i/>
                <w:sz w:val="20"/>
                <w:szCs w:val="20"/>
              </w:rPr>
            </w:pPr>
            <w:r w:rsidRPr="000B369D">
              <w:rPr>
                <w:rFonts w:ascii="Arial" w:hAnsi="Arial" w:cs="Arial"/>
                <w:i/>
                <w:sz w:val="20"/>
                <w:szCs w:val="20"/>
              </w:rPr>
              <w:t>Alternative formulations of the treatment network; and</w:t>
            </w:r>
          </w:p>
          <w:p w14:paraId="6B2EA351" w14:textId="77777777" w:rsidR="0016068E" w:rsidRPr="000B369D" w:rsidRDefault="0016068E" w:rsidP="00111BE5">
            <w:pPr>
              <w:pStyle w:val="Default"/>
              <w:numPr>
                <w:ilvl w:val="0"/>
                <w:numId w:val="2"/>
              </w:numPr>
              <w:rPr>
                <w:rFonts w:ascii="Arial" w:hAnsi="Arial" w:cs="Arial"/>
                <w:i/>
                <w:sz w:val="20"/>
                <w:szCs w:val="20"/>
                <w:u w:val="single"/>
              </w:rPr>
            </w:pPr>
            <w:r w:rsidRPr="000B369D">
              <w:rPr>
                <w:rFonts w:ascii="Arial" w:hAnsi="Arial" w:cs="Arial"/>
                <w:i/>
                <w:sz w:val="20"/>
                <w:szCs w:val="20"/>
              </w:rPr>
              <w:t>Use of alternative prior distributions for Bayesian analyses (if applicable).</w:t>
            </w:r>
            <w:r w:rsidRPr="000B369D">
              <w:rPr>
                <w:rFonts w:ascii="Arial" w:hAnsi="Arial" w:cs="Arial"/>
                <w:i/>
                <w:sz w:val="20"/>
                <w:szCs w:val="20"/>
                <w:u w:val="single"/>
              </w:rPr>
              <w:t xml:space="preserve"> </w:t>
            </w:r>
          </w:p>
        </w:tc>
        <w:tc>
          <w:tcPr>
            <w:tcW w:w="0" w:type="auto"/>
          </w:tcPr>
          <w:p w14:paraId="773C4798" w14:textId="694BE674" w:rsidR="0016068E" w:rsidRPr="000B369D" w:rsidRDefault="009C386E" w:rsidP="00111BE5">
            <w:pPr>
              <w:pStyle w:val="Default"/>
              <w:rPr>
                <w:rFonts w:ascii="Arial" w:hAnsi="Arial" w:cs="Arial"/>
                <w:i/>
                <w:color w:val="auto"/>
                <w:sz w:val="20"/>
                <w:szCs w:val="20"/>
              </w:rPr>
            </w:pPr>
            <w:r>
              <w:rPr>
                <w:rFonts w:ascii="Arial" w:hAnsi="Arial" w:cs="Arial"/>
                <w:i/>
                <w:color w:val="auto"/>
                <w:sz w:val="20"/>
                <w:szCs w:val="20"/>
              </w:rPr>
              <w:t>7-8</w:t>
            </w:r>
          </w:p>
        </w:tc>
      </w:tr>
      <w:tr w:rsidR="0016068E" w:rsidRPr="000B369D" w14:paraId="7B3CE790" w14:textId="77777777" w:rsidTr="00582B19">
        <w:trPr>
          <w:trHeight w:val="580"/>
        </w:trPr>
        <w:tc>
          <w:tcPr>
            <w:tcW w:w="0" w:type="auto"/>
          </w:tcPr>
          <w:p w14:paraId="41748642"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lastRenderedPageBreak/>
              <w:t>RESULTS†</w:t>
            </w:r>
          </w:p>
        </w:tc>
        <w:tc>
          <w:tcPr>
            <w:tcW w:w="0" w:type="auto"/>
          </w:tcPr>
          <w:p w14:paraId="2E4F6346" w14:textId="77777777" w:rsidR="0016068E" w:rsidRPr="000B369D" w:rsidRDefault="0016068E" w:rsidP="00111BE5">
            <w:pPr>
              <w:pStyle w:val="Default"/>
              <w:rPr>
                <w:rFonts w:ascii="Arial" w:hAnsi="Arial" w:cs="Arial"/>
                <w:sz w:val="20"/>
                <w:szCs w:val="20"/>
              </w:rPr>
            </w:pPr>
          </w:p>
        </w:tc>
        <w:tc>
          <w:tcPr>
            <w:tcW w:w="0" w:type="auto"/>
          </w:tcPr>
          <w:p w14:paraId="36A05157" w14:textId="77777777" w:rsidR="0016068E" w:rsidRPr="000B369D" w:rsidRDefault="0016068E" w:rsidP="00111BE5">
            <w:pPr>
              <w:pStyle w:val="Default"/>
              <w:rPr>
                <w:rFonts w:ascii="Arial" w:hAnsi="Arial" w:cs="Arial"/>
                <w:sz w:val="20"/>
                <w:szCs w:val="20"/>
              </w:rPr>
            </w:pPr>
          </w:p>
        </w:tc>
        <w:tc>
          <w:tcPr>
            <w:tcW w:w="0" w:type="auto"/>
          </w:tcPr>
          <w:p w14:paraId="3F5D5970" w14:textId="77777777" w:rsidR="0016068E" w:rsidRPr="000B369D" w:rsidRDefault="0016068E" w:rsidP="00111BE5">
            <w:pPr>
              <w:pStyle w:val="Default"/>
              <w:rPr>
                <w:rFonts w:ascii="Arial" w:hAnsi="Arial" w:cs="Arial"/>
                <w:i/>
                <w:color w:val="auto"/>
                <w:sz w:val="20"/>
                <w:szCs w:val="20"/>
              </w:rPr>
            </w:pPr>
          </w:p>
        </w:tc>
      </w:tr>
      <w:tr w:rsidR="0016068E" w:rsidRPr="000B369D" w14:paraId="058CE632" w14:textId="77777777" w:rsidTr="00582B19">
        <w:trPr>
          <w:trHeight w:val="580"/>
        </w:trPr>
        <w:tc>
          <w:tcPr>
            <w:tcW w:w="0" w:type="auto"/>
          </w:tcPr>
          <w:p w14:paraId="6A8C8342"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Study selection </w:t>
            </w:r>
          </w:p>
        </w:tc>
        <w:tc>
          <w:tcPr>
            <w:tcW w:w="0" w:type="auto"/>
          </w:tcPr>
          <w:p w14:paraId="2B94763C"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17</w:t>
            </w:r>
          </w:p>
        </w:tc>
        <w:tc>
          <w:tcPr>
            <w:tcW w:w="0" w:type="auto"/>
          </w:tcPr>
          <w:p w14:paraId="7988ADEA"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0" w:type="auto"/>
          </w:tcPr>
          <w:p w14:paraId="0B84ED36" w14:textId="46C4B543" w:rsidR="0016068E" w:rsidRPr="000B369D" w:rsidRDefault="009C386E" w:rsidP="00111BE5">
            <w:pPr>
              <w:pStyle w:val="Default"/>
              <w:rPr>
                <w:rFonts w:ascii="Arial" w:hAnsi="Arial" w:cs="Arial"/>
                <w:color w:val="auto"/>
                <w:sz w:val="20"/>
                <w:szCs w:val="20"/>
              </w:rPr>
            </w:pPr>
            <w:r>
              <w:rPr>
                <w:rFonts w:ascii="Arial" w:hAnsi="Arial" w:cs="Arial"/>
                <w:color w:val="auto"/>
                <w:sz w:val="20"/>
                <w:szCs w:val="20"/>
              </w:rPr>
              <w:t>9</w:t>
            </w:r>
          </w:p>
        </w:tc>
      </w:tr>
      <w:tr w:rsidR="0016068E" w:rsidRPr="000B369D" w14:paraId="03CC109C" w14:textId="77777777" w:rsidTr="00582B19">
        <w:trPr>
          <w:trHeight w:val="272"/>
        </w:trPr>
        <w:tc>
          <w:tcPr>
            <w:tcW w:w="0" w:type="auto"/>
          </w:tcPr>
          <w:p w14:paraId="0967BAC6"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Presentation of network structure</w:t>
            </w:r>
          </w:p>
        </w:tc>
        <w:tc>
          <w:tcPr>
            <w:tcW w:w="0" w:type="auto"/>
          </w:tcPr>
          <w:p w14:paraId="6B74F0A7"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S3</w:t>
            </w:r>
          </w:p>
        </w:tc>
        <w:tc>
          <w:tcPr>
            <w:tcW w:w="0" w:type="auto"/>
          </w:tcPr>
          <w:p w14:paraId="004135C0"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Provide a network graph of the included studies to enable visualization of the geometry of the treatment network. </w:t>
            </w:r>
          </w:p>
        </w:tc>
        <w:tc>
          <w:tcPr>
            <w:tcW w:w="0" w:type="auto"/>
          </w:tcPr>
          <w:p w14:paraId="60B7BC9F" w14:textId="5F40C9BD" w:rsidR="0016068E" w:rsidRPr="000B369D" w:rsidRDefault="009C386E" w:rsidP="00111BE5">
            <w:pPr>
              <w:pStyle w:val="Default"/>
              <w:rPr>
                <w:rFonts w:ascii="Arial" w:hAnsi="Arial" w:cs="Arial"/>
                <w:i/>
                <w:color w:val="auto"/>
                <w:sz w:val="20"/>
                <w:szCs w:val="20"/>
              </w:rPr>
            </w:pPr>
            <w:r>
              <w:rPr>
                <w:rFonts w:ascii="Arial" w:hAnsi="Arial" w:cs="Arial"/>
                <w:color w:val="auto"/>
                <w:sz w:val="20"/>
                <w:szCs w:val="20"/>
              </w:rPr>
              <w:t>Fig2</w:t>
            </w:r>
          </w:p>
        </w:tc>
      </w:tr>
      <w:tr w:rsidR="0016068E" w:rsidRPr="000B369D" w14:paraId="386EE3B3" w14:textId="77777777" w:rsidTr="00582B19">
        <w:trPr>
          <w:trHeight w:val="580"/>
        </w:trPr>
        <w:tc>
          <w:tcPr>
            <w:tcW w:w="0" w:type="auto"/>
          </w:tcPr>
          <w:p w14:paraId="46A5E14D"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Summary of network geometry</w:t>
            </w:r>
          </w:p>
        </w:tc>
        <w:tc>
          <w:tcPr>
            <w:tcW w:w="0" w:type="auto"/>
          </w:tcPr>
          <w:p w14:paraId="64C11C64"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S4</w:t>
            </w:r>
          </w:p>
        </w:tc>
        <w:tc>
          <w:tcPr>
            <w:tcW w:w="0" w:type="auto"/>
          </w:tcPr>
          <w:p w14:paraId="5F6B04DD"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Pr>
          <w:p w14:paraId="27A678A4" w14:textId="5902397F" w:rsidR="0016068E" w:rsidRPr="000B369D" w:rsidRDefault="009C386E" w:rsidP="00111BE5">
            <w:pPr>
              <w:pStyle w:val="Default"/>
              <w:rPr>
                <w:rFonts w:ascii="Arial" w:hAnsi="Arial" w:cs="Arial"/>
                <w:i/>
                <w:color w:val="auto"/>
                <w:sz w:val="20"/>
                <w:szCs w:val="20"/>
              </w:rPr>
            </w:pPr>
            <w:r>
              <w:rPr>
                <w:rFonts w:ascii="Arial" w:hAnsi="Arial" w:cs="Arial"/>
                <w:color w:val="auto"/>
                <w:sz w:val="20"/>
                <w:szCs w:val="20"/>
              </w:rPr>
              <w:t>22</w:t>
            </w:r>
          </w:p>
        </w:tc>
      </w:tr>
      <w:tr w:rsidR="0016068E" w:rsidRPr="000B369D" w14:paraId="3A16F12A" w14:textId="77777777" w:rsidTr="00582B19">
        <w:trPr>
          <w:trHeight w:val="580"/>
        </w:trPr>
        <w:tc>
          <w:tcPr>
            <w:tcW w:w="0" w:type="auto"/>
          </w:tcPr>
          <w:p w14:paraId="112225BE"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Study characteristics </w:t>
            </w:r>
          </w:p>
        </w:tc>
        <w:tc>
          <w:tcPr>
            <w:tcW w:w="0" w:type="auto"/>
          </w:tcPr>
          <w:p w14:paraId="660EAA16"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18</w:t>
            </w:r>
          </w:p>
        </w:tc>
        <w:tc>
          <w:tcPr>
            <w:tcW w:w="0" w:type="auto"/>
          </w:tcPr>
          <w:p w14:paraId="5B9FF372"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For each study, present characteristics for which data were extracted (e.g., study size, PICOS, follow-up period) and provide the citations. </w:t>
            </w:r>
          </w:p>
        </w:tc>
        <w:tc>
          <w:tcPr>
            <w:tcW w:w="0" w:type="auto"/>
          </w:tcPr>
          <w:p w14:paraId="224B3402" w14:textId="4D7243D7" w:rsidR="0016068E" w:rsidRPr="000B369D" w:rsidRDefault="009C386E" w:rsidP="00111BE5">
            <w:pPr>
              <w:pStyle w:val="Default"/>
              <w:rPr>
                <w:rFonts w:ascii="Arial" w:hAnsi="Arial" w:cs="Arial"/>
                <w:color w:val="auto"/>
                <w:sz w:val="20"/>
                <w:szCs w:val="20"/>
              </w:rPr>
            </w:pPr>
            <w:r>
              <w:rPr>
                <w:rFonts w:ascii="Arial" w:hAnsi="Arial" w:cs="Arial"/>
                <w:color w:val="auto"/>
                <w:sz w:val="20"/>
                <w:szCs w:val="20"/>
              </w:rPr>
              <w:t>Supplementary TableA</w:t>
            </w:r>
            <w:r w:rsidR="00F476B0">
              <w:rPr>
                <w:rFonts w:ascii="Arial" w:hAnsi="Arial" w:cs="Arial"/>
                <w:color w:val="auto"/>
                <w:sz w:val="20"/>
                <w:szCs w:val="20"/>
              </w:rPr>
              <w:t>4</w:t>
            </w:r>
          </w:p>
        </w:tc>
      </w:tr>
      <w:tr w:rsidR="0016068E" w:rsidRPr="000B369D" w14:paraId="30969FF6" w14:textId="77777777" w:rsidTr="00582B19">
        <w:trPr>
          <w:trHeight w:val="580"/>
        </w:trPr>
        <w:tc>
          <w:tcPr>
            <w:tcW w:w="0" w:type="auto"/>
          </w:tcPr>
          <w:p w14:paraId="1D2EBA31"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Risk of bias within studies </w:t>
            </w:r>
          </w:p>
        </w:tc>
        <w:tc>
          <w:tcPr>
            <w:tcW w:w="0" w:type="auto"/>
          </w:tcPr>
          <w:p w14:paraId="24A9ACCA"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19</w:t>
            </w:r>
          </w:p>
        </w:tc>
        <w:tc>
          <w:tcPr>
            <w:tcW w:w="0" w:type="auto"/>
          </w:tcPr>
          <w:p w14:paraId="1C5683B2"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Present data on risk of bias of each study and, if available, any outcome level assessment. </w:t>
            </w:r>
          </w:p>
        </w:tc>
        <w:tc>
          <w:tcPr>
            <w:tcW w:w="0" w:type="auto"/>
          </w:tcPr>
          <w:p w14:paraId="3E0713FD" w14:textId="25D418EB" w:rsidR="0016068E" w:rsidRPr="000B369D" w:rsidRDefault="009C386E" w:rsidP="00111BE5">
            <w:pPr>
              <w:pStyle w:val="Default"/>
              <w:rPr>
                <w:rFonts w:ascii="Arial" w:hAnsi="Arial" w:cs="Arial"/>
                <w:color w:val="auto"/>
                <w:sz w:val="20"/>
                <w:szCs w:val="20"/>
              </w:rPr>
            </w:pPr>
            <w:r>
              <w:rPr>
                <w:rFonts w:ascii="Arial" w:hAnsi="Arial" w:cs="Arial"/>
                <w:color w:val="auto"/>
                <w:sz w:val="20"/>
                <w:szCs w:val="20"/>
              </w:rPr>
              <w:t>Supplementary FigA1-FigA2</w:t>
            </w:r>
          </w:p>
        </w:tc>
      </w:tr>
      <w:tr w:rsidR="0016068E" w:rsidRPr="000B369D" w14:paraId="1337663B" w14:textId="77777777" w:rsidTr="00582B19">
        <w:trPr>
          <w:trHeight w:val="580"/>
        </w:trPr>
        <w:tc>
          <w:tcPr>
            <w:tcW w:w="0" w:type="auto"/>
          </w:tcPr>
          <w:p w14:paraId="1D836C0C"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Results of individual studies </w:t>
            </w:r>
          </w:p>
        </w:tc>
        <w:tc>
          <w:tcPr>
            <w:tcW w:w="0" w:type="auto"/>
          </w:tcPr>
          <w:p w14:paraId="55D4CD5E"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20</w:t>
            </w:r>
          </w:p>
        </w:tc>
        <w:tc>
          <w:tcPr>
            <w:tcW w:w="0" w:type="auto"/>
          </w:tcPr>
          <w:p w14:paraId="5FD77426"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For all outcomes considered (benefits or harms), present, for each study: 1) simple summary data for each intervention group, and 2) effect estimates and confidence intervals. </w:t>
            </w:r>
            <w:r w:rsidRPr="000B369D">
              <w:rPr>
                <w:rFonts w:ascii="Arial" w:hAnsi="Arial" w:cs="Arial"/>
                <w:i/>
                <w:sz w:val="20"/>
                <w:szCs w:val="20"/>
              </w:rPr>
              <w:t>Modified approaches may be needed to deal with information from larger networks.</w:t>
            </w:r>
          </w:p>
        </w:tc>
        <w:tc>
          <w:tcPr>
            <w:tcW w:w="0" w:type="auto"/>
          </w:tcPr>
          <w:p w14:paraId="678FD04F" w14:textId="77777777" w:rsidR="0016068E" w:rsidRPr="000B369D" w:rsidRDefault="0016068E" w:rsidP="00111BE5">
            <w:pPr>
              <w:pStyle w:val="Default"/>
              <w:rPr>
                <w:rFonts w:ascii="Arial" w:hAnsi="Arial" w:cs="Arial"/>
                <w:color w:val="auto"/>
                <w:sz w:val="20"/>
                <w:szCs w:val="20"/>
              </w:rPr>
            </w:pPr>
            <w:r w:rsidRPr="000B369D">
              <w:rPr>
                <w:rFonts w:ascii="Arial" w:hAnsi="Arial" w:cs="Arial"/>
                <w:color w:val="auto"/>
                <w:sz w:val="20"/>
                <w:szCs w:val="20"/>
              </w:rPr>
              <w:t xml:space="preserve"> Not provided</w:t>
            </w:r>
          </w:p>
        </w:tc>
      </w:tr>
      <w:tr w:rsidR="0016068E" w:rsidRPr="000B369D" w14:paraId="63A182B3" w14:textId="77777777" w:rsidTr="00582B19">
        <w:trPr>
          <w:trHeight w:val="580"/>
        </w:trPr>
        <w:tc>
          <w:tcPr>
            <w:tcW w:w="0" w:type="auto"/>
          </w:tcPr>
          <w:p w14:paraId="4F599EC1"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Synthesis of results </w:t>
            </w:r>
          </w:p>
        </w:tc>
        <w:tc>
          <w:tcPr>
            <w:tcW w:w="0" w:type="auto"/>
          </w:tcPr>
          <w:p w14:paraId="3C2C2A3B"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21</w:t>
            </w:r>
          </w:p>
        </w:tc>
        <w:tc>
          <w:tcPr>
            <w:tcW w:w="0" w:type="auto"/>
          </w:tcPr>
          <w:p w14:paraId="055CE44A"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Present results of each meta-analysis done, including confidence/credible intervals. </w:t>
            </w:r>
            <w:r w:rsidRPr="000B369D">
              <w:rPr>
                <w:rFonts w:ascii="Arial" w:hAnsi="Arial" w:cs="Arial"/>
                <w:i/>
                <w:color w:val="auto"/>
                <w:sz w:val="20"/>
                <w:szCs w:val="20"/>
              </w:rPr>
              <w:t>In larger networks, authors may focus on comparisons versus a particular comparator (e.g. placebo or standard care), with full findings presented in an appendix. League tables and forest plots may be considered to summarize pairwise comparisons.</w:t>
            </w:r>
            <w:r w:rsidRPr="000B369D">
              <w:rPr>
                <w:rFonts w:ascii="Arial" w:hAnsi="Arial" w:cs="Arial"/>
                <w:color w:val="auto"/>
                <w:sz w:val="20"/>
                <w:szCs w:val="20"/>
              </w:rPr>
              <w:t xml:space="preserve"> If additional summary measures were explored (such as treatment rankings), these should also be presented.</w:t>
            </w:r>
          </w:p>
        </w:tc>
        <w:tc>
          <w:tcPr>
            <w:tcW w:w="0" w:type="auto"/>
          </w:tcPr>
          <w:p w14:paraId="57AEAFF7" w14:textId="37CA60FD" w:rsidR="0016068E" w:rsidRPr="000B369D" w:rsidRDefault="009C386E" w:rsidP="00111BE5">
            <w:pPr>
              <w:pStyle w:val="Default"/>
              <w:rPr>
                <w:rFonts w:ascii="Arial" w:hAnsi="Arial" w:cs="Arial"/>
                <w:i/>
                <w:color w:val="auto"/>
                <w:sz w:val="20"/>
                <w:szCs w:val="20"/>
                <w:highlight w:val="yellow"/>
              </w:rPr>
            </w:pPr>
            <w:r>
              <w:rPr>
                <w:rFonts w:ascii="Arial" w:hAnsi="Arial" w:cs="Arial"/>
                <w:color w:val="auto"/>
                <w:sz w:val="20"/>
                <w:szCs w:val="20"/>
              </w:rPr>
              <w:t>9-10</w:t>
            </w:r>
          </w:p>
        </w:tc>
      </w:tr>
      <w:tr w:rsidR="0016068E" w:rsidRPr="000B369D" w14:paraId="2E63A387" w14:textId="77777777" w:rsidTr="00582B19">
        <w:trPr>
          <w:trHeight w:val="580"/>
        </w:trPr>
        <w:tc>
          <w:tcPr>
            <w:tcW w:w="0" w:type="auto"/>
          </w:tcPr>
          <w:p w14:paraId="4620036A"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Exploration for inconsistency</w:t>
            </w:r>
          </w:p>
        </w:tc>
        <w:tc>
          <w:tcPr>
            <w:tcW w:w="0" w:type="auto"/>
          </w:tcPr>
          <w:p w14:paraId="552FD30C"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S5</w:t>
            </w:r>
          </w:p>
        </w:tc>
        <w:tc>
          <w:tcPr>
            <w:tcW w:w="0" w:type="auto"/>
          </w:tcPr>
          <w:p w14:paraId="26C04F86" w14:textId="77777777" w:rsidR="0016068E" w:rsidRPr="000B369D" w:rsidRDefault="0016068E" w:rsidP="00111BE5">
            <w:pPr>
              <w:pStyle w:val="Default"/>
              <w:rPr>
                <w:rFonts w:ascii="Arial" w:hAnsi="Arial" w:cs="Arial"/>
                <w:sz w:val="20"/>
                <w:szCs w:val="20"/>
              </w:rPr>
            </w:pPr>
            <w:r w:rsidRPr="000B369D">
              <w:rPr>
                <w:rFonts w:ascii="Arial" w:hAnsi="Arial" w:cs="Arial"/>
                <w:color w:val="auto"/>
                <w:sz w:val="20"/>
                <w:szCs w:val="20"/>
              </w:rPr>
              <w:t xml:space="preserve">Describe results from investigations of inconsistency. This may include such information as measures of model fit to compare consistency and inconsistency models, </w:t>
            </w:r>
            <w:r w:rsidRPr="000B369D">
              <w:rPr>
                <w:rFonts w:ascii="Arial" w:hAnsi="Arial" w:cs="Arial"/>
                <w:i/>
                <w:color w:val="auto"/>
                <w:sz w:val="20"/>
                <w:szCs w:val="20"/>
              </w:rPr>
              <w:t xml:space="preserve">P </w:t>
            </w:r>
            <w:r w:rsidRPr="000B369D">
              <w:rPr>
                <w:rFonts w:ascii="Arial" w:hAnsi="Arial" w:cs="Arial"/>
                <w:color w:val="auto"/>
                <w:sz w:val="20"/>
                <w:szCs w:val="20"/>
              </w:rPr>
              <w:t>values from statistical tests, or summary of inconsistency estimates from different parts of the treatment network.</w:t>
            </w:r>
          </w:p>
        </w:tc>
        <w:tc>
          <w:tcPr>
            <w:tcW w:w="0" w:type="auto"/>
          </w:tcPr>
          <w:p w14:paraId="3AB78B31" w14:textId="798FCD19" w:rsidR="0016068E" w:rsidRPr="000B369D" w:rsidRDefault="009C386E" w:rsidP="00111BE5">
            <w:pPr>
              <w:pStyle w:val="Default"/>
              <w:rPr>
                <w:rFonts w:ascii="Arial" w:hAnsi="Arial" w:cs="Arial"/>
                <w:iCs/>
                <w:color w:val="auto"/>
                <w:sz w:val="20"/>
                <w:szCs w:val="20"/>
              </w:rPr>
            </w:pPr>
            <w:r>
              <w:rPr>
                <w:rFonts w:ascii="Arial" w:hAnsi="Arial" w:cs="Arial"/>
                <w:color w:val="auto"/>
                <w:sz w:val="20"/>
                <w:szCs w:val="20"/>
              </w:rPr>
              <w:t>9-10</w:t>
            </w:r>
          </w:p>
        </w:tc>
      </w:tr>
      <w:tr w:rsidR="0016068E" w:rsidRPr="000B369D" w14:paraId="3AF21014" w14:textId="77777777" w:rsidTr="00582B19">
        <w:trPr>
          <w:trHeight w:val="580"/>
        </w:trPr>
        <w:tc>
          <w:tcPr>
            <w:tcW w:w="0" w:type="auto"/>
          </w:tcPr>
          <w:p w14:paraId="3F854BE2"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Risk of bias across studies </w:t>
            </w:r>
          </w:p>
        </w:tc>
        <w:tc>
          <w:tcPr>
            <w:tcW w:w="0" w:type="auto"/>
          </w:tcPr>
          <w:p w14:paraId="77BCEEC5"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22</w:t>
            </w:r>
          </w:p>
        </w:tc>
        <w:tc>
          <w:tcPr>
            <w:tcW w:w="0" w:type="auto"/>
          </w:tcPr>
          <w:p w14:paraId="2620FB52"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Present results of any assessment of risk of bias across studies for the evidence base being studied. </w:t>
            </w:r>
          </w:p>
        </w:tc>
        <w:tc>
          <w:tcPr>
            <w:tcW w:w="0" w:type="auto"/>
          </w:tcPr>
          <w:p w14:paraId="5A564716" w14:textId="1A355823" w:rsidR="0016068E" w:rsidRPr="000B369D" w:rsidRDefault="009C386E" w:rsidP="00111BE5">
            <w:pPr>
              <w:pStyle w:val="Default"/>
              <w:rPr>
                <w:rFonts w:ascii="Arial" w:hAnsi="Arial" w:cs="Arial"/>
                <w:color w:val="auto"/>
                <w:sz w:val="20"/>
                <w:szCs w:val="20"/>
              </w:rPr>
            </w:pPr>
            <w:r>
              <w:rPr>
                <w:rFonts w:ascii="Arial" w:hAnsi="Arial" w:cs="Arial"/>
                <w:color w:val="auto"/>
                <w:sz w:val="20"/>
                <w:szCs w:val="20"/>
              </w:rPr>
              <w:t xml:space="preserve">9-10 </w:t>
            </w:r>
          </w:p>
        </w:tc>
      </w:tr>
      <w:tr w:rsidR="0016068E" w:rsidRPr="00252F1D" w14:paraId="2D1A25F7" w14:textId="77777777" w:rsidTr="00582B19">
        <w:trPr>
          <w:trHeight w:val="580"/>
        </w:trPr>
        <w:tc>
          <w:tcPr>
            <w:tcW w:w="0" w:type="auto"/>
          </w:tcPr>
          <w:p w14:paraId="735F971E"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Results of additional analyses</w:t>
            </w:r>
          </w:p>
        </w:tc>
        <w:tc>
          <w:tcPr>
            <w:tcW w:w="0" w:type="auto"/>
          </w:tcPr>
          <w:p w14:paraId="35356185"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23</w:t>
            </w:r>
          </w:p>
        </w:tc>
        <w:tc>
          <w:tcPr>
            <w:tcW w:w="0" w:type="auto"/>
          </w:tcPr>
          <w:p w14:paraId="5BEAFC76"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Give results of additional analyses, if done (e.g., sensitivity or subgroup analyses, meta-regression analyses</w:t>
            </w:r>
            <w:r w:rsidRPr="000B369D">
              <w:rPr>
                <w:rFonts w:ascii="Arial" w:hAnsi="Arial" w:cs="Arial"/>
                <w:i/>
                <w:sz w:val="20"/>
                <w:szCs w:val="20"/>
              </w:rPr>
              <w:t>, alternative network geometries studied, alternative choice of prior distributions for Bayesian analyses,</w:t>
            </w:r>
            <w:r w:rsidRPr="000B369D">
              <w:rPr>
                <w:rFonts w:ascii="Arial" w:hAnsi="Arial" w:cs="Arial"/>
                <w:sz w:val="20"/>
                <w:szCs w:val="20"/>
              </w:rPr>
              <w:t xml:space="preserve"> and so forth). </w:t>
            </w:r>
          </w:p>
        </w:tc>
        <w:tc>
          <w:tcPr>
            <w:tcW w:w="0" w:type="auto"/>
          </w:tcPr>
          <w:p w14:paraId="60E43034" w14:textId="7F123644" w:rsidR="0016068E" w:rsidRPr="000B369D" w:rsidRDefault="009C386E" w:rsidP="00111BE5">
            <w:pPr>
              <w:pStyle w:val="Default"/>
              <w:rPr>
                <w:rFonts w:ascii="Arial" w:hAnsi="Arial" w:cs="Arial"/>
                <w:i/>
                <w:color w:val="auto"/>
                <w:sz w:val="20"/>
                <w:szCs w:val="20"/>
              </w:rPr>
            </w:pPr>
            <w:r>
              <w:rPr>
                <w:rFonts w:ascii="Arial" w:hAnsi="Arial" w:cs="Arial"/>
                <w:color w:val="auto"/>
                <w:sz w:val="20"/>
                <w:szCs w:val="20"/>
              </w:rPr>
              <w:t>9-10 + Supplementary FigA3, FigA4, FigA5, FigA6, FigA7 and FigA8</w:t>
            </w:r>
          </w:p>
        </w:tc>
      </w:tr>
      <w:tr w:rsidR="0016068E" w:rsidRPr="000B369D" w14:paraId="522D43F3" w14:textId="77777777" w:rsidTr="00582B19">
        <w:trPr>
          <w:trHeight w:val="331"/>
        </w:trPr>
        <w:tc>
          <w:tcPr>
            <w:tcW w:w="0" w:type="auto"/>
          </w:tcPr>
          <w:p w14:paraId="2202A209"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DISCUSSION</w:t>
            </w:r>
          </w:p>
        </w:tc>
        <w:tc>
          <w:tcPr>
            <w:tcW w:w="0" w:type="auto"/>
          </w:tcPr>
          <w:p w14:paraId="5A0EF20F" w14:textId="77777777" w:rsidR="0016068E" w:rsidRPr="000B369D" w:rsidRDefault="0016068E" w:rsidP="00111BE5">
            <w:pPr>
              <w:pStyle w:val="Default"/>
              <w:rPr>
                <w:rFonts w:ascii="Arial" w:hAnsi="Arial" w:cs="Arial"/>
                <w:sz w:val="20"/>
                <w:szCs w:val="20"/>
              </w:rPr>
            </w:pPr>
          </w:p>
        </w:tc>
        <w:tc>
          <w:tcPr>
            <w:tcW w:w="0" w:type="auto"/>
          </w:tcPr>
          <w:p w14:paraId="0A690B89" w14:textId="77777777" w:rsidR="0016068E" w:rsidRPr="000B369D" w:rsidRDefault="0016068E" w:rsidP="00111BE5">
            <w:pPr>
              <w:pStyle w:val="Default"/>
              <w:rPr>
                <w:rFonts w:ascii="Arial" w:hAnsi="Arial" w:cs="Arial"/>
                <w:sz w:val="20"/>
                <w:szCs w:val="20"/>
              </w:rPr>
            </w:pPr>
          </w:p>
        </w:tc>
        <w:tc>
          <w:tcPr>
            <w:tcW w:w="0" w:type="auto"/>
          </w:tcPr>
          <w:p w14:paraId="7AEC3153" w14:textId="77777777" w:rsidR="0016068E" w:rsidRPr="000B369D" w:rsidRDefault="0016068E" w:rsidP="00111BE5">
            <w:pPr>
              <w:pStyle w:val="Default"/>
              <w:rPr>
                <w:rFonts w:ascii="Arial" w:hAnsi="Arial" w:cs="Arial"/>
                <w:i/>
                <w:color w:val="auto"/>
                <w:sz w:val="20"/>
                <w:szCs w:val="20"/>
              </w:rPr>
            </w:pPr>
          </w:p>
        </w:tc>
      </w:tr>
      <w:tr w:rsidR="0016068E" w:rsidRPr="000B369D" w14:paraId="62EE6D62" w14:textId="77777777" w:rsidTr="00582B19">
        <w:trPr>
          <w:trHeight w:val="580"/>
        </w:trPr>
        <w:tc>
          <w:tcPr>
            <w:tcW w:w="0" w:type="auto"/>
          </w:tcPr>
          <w:p w14:paraId="2D94926D"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Summary of evidence </w:t>
            </w:r>
          </w:p>
        </w:tc>
        <w:tc>
          <w:tcPr>
            <w:tcW w:w="0" w:type="auto"/>
          </w:tcPr>
          <w:p w14:paraId="37C22E93"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24</w:t>
            </w:r>
          </w:p>
        </w:tc>
        <w:tc>
          <w:tcPr>
            <w:tcW w:w="0" w:type="auto"/>
          </w:tcPr>
          <w:p w14:paraId="2F81821D"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Summarize the main findings, including the strength of evidence for each main outcome; consider their relevance to key groups (e.g., healthcare providers, users, and policy-makers). </w:t>
            </w:r>
          </w:p>
        </w:tc>
        <w:tc>
          <w:tcPr>
            <w:tcW w:w="0" w:type="auto"/>
          </w:tcPr>
          <w:p w14:paraId="16695BAB" w14:textId="5C29DD9A" w:rsidR="0016068E" w:rsidRPr="000B369D" w:rsidRDefault="0016068E" w:rsidP="00111BE5">
            <w:pPr>
              <w:pStyle w:val="Default"/>
              <w:rPr>
                <w:rFonts w:ascii="Arial" w:hAnsi="Arial" w:cs="Arial"/>
                <w:color w:val="auto"/>
                <w:sz w:val="20"/>
                <w:szCs w:val="20"/>
              </w:rPr>
            </w:pPr>
            <w:r w:rsidRPr="000B369D">
              <w:rPr>
                <w:rFonts w:ascii="Arial" w:hAnsi="Arial" w:cs="Arial"/>
                <w:color w:val="auto"/>
                <w:sz w:val="20"/>
                <w:szCs w:val="20"/>
              </w:rPr>
              <w:t>1</w:t>
            </w:r>
            <w:r w:rsidR="00F476B0">
              <w:rPr>
                <w:rFonts w:ascii="Arial" w:hAnsi="Arial" w:cs="Arial"/>
                <w:color w:val="auto"/>
                <w:sz w:val="20"/>
                <w:szCs w:val="20"/>
              </w:rPr>
              <w:t>0</w:t>
            </w:r>
          </w:p>
        </w:tc>
      </w:tr>
      <w:tr w:rsidR="0016068E" w:rsidRPr="000B369D" w14:paraId="093FA512" w14:textId="77777777" w:rsidTr="00582B19">
        <w:trPr>
          <w:trHeight w:val="580"/>
        </w:trPr>
        <w:tc>
          <w:tcPr>
            <w:tcW w:w="0" w:type="auto"/>
          </w:tcPr>
          <w:p w14:paraId="6FE746A1"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lastRenderedPageBreak/>
              <w:t xml:space="preserve">Limitations </w:t>
            </w:r>
          </w:p>
        </w:tc>
        <w:tc>
          <w:tcPr>
            <w:tcW w:w="0" w:type="auto"/>
          </w:tcPr>
          <w:p w14:paraId="168D7C43"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25</w:t>
            </w:r>
          </w:p>
        </w:tc>
        <w:tc>
          <w:tcPr>
            <w:tcW w:w="0" w:type="auto"/>
          </w:tcPr>
          <w:p w14:paraId="4CE4CDDC"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Discuss limitations at study and outcome level (e.g., risk of bias), and at review level (e.g., incomplete retrieval of identified research, reporting bias). </w:t>
            </w:r>
            <w:r w:rsidRPr="000B369D">
              <w:rPr>
                <w:rFonts w:ascii="Arial" w:hAnsi="Arial" w:cs="Arial"/>
                <w:i/>
                <w:sz w:val="20"/>
                <w:szCs w:val="20"/>
              </w:rPr>
              <w:t>Comment on the validity of the assumptions, such as transitivity and consistency. Comment on any concerns regarding network geometry (e.g., avoidance of certain comparisons).</w:t>
            </w:r>
          </w:p>
        </w:tc>
        <w:tc>
          <w:tcPr>
            <w:tcW w:w="0" w:type="auto"/>
          </w:tcPr>
          <w:p w14:paraId="00BA619E" w14:textId="2B90AD0D" w:rsidR="0016068E" w:rsidRPr="000B369D" w:rsidRDefault="00F476B0" w:rsidP="00111BE5">
            <w:pPr>
              <w:pStyle w:val="Default"/>
              <w:rPr>
                <w:rFonts w:ascii="Arial" w:hAnsi="Arial" w:cs="Arial"/>
                <w:color w:val="auto"/>
                <w:sz w:val="20"/>
                <w:szCs w:val="20"/>
              </w:rPr>
            </w:pPr>
            <w:r>
              <w:rPr>
                <w:rFonts w:ascii="Arial" w:hAnsi="Arial" w:cs="Arial"/>
                <w:color w:val="auto"/>
                <w:sz w:val="20"/>
                <w:szCs w:val="20"/>
              </w:rPr>
              <w:t>10-13</w:t>
            </w:r>
          </w:p>
        </w:tc>
      </w:tr>
      <w:tr w:rsidR="0016068E" w:rsidRPr="000B369D" w14:paraId="6B300077" w14:textId="77777777" w:rsidTr="00582B19">
        <w:trPr>
          <w:trHeight w:val="580"/>
        </w:trPr>
        <w:tc>
          <w:tcPr>
            <w:tcW w:w="0" w:type="auto"/>
          </w:tcPr>
          <w:p w14:paraId="69AC5FA1"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Conclusions </w:t>
            </w:r>
          </w:p>
        </w:tc>
        <w:tc>
          <w:tcPr>
            <w:tcW w:w="0" w:type="auto"/>
          </w:tcPr>
          <w:p w14:paraId="14DDA2C2"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26</w:t>
            </w:r>
          </w:p>
        </w:tc>
        <w:tc>
          <w:tcPr>
            <w:tcW w:w="0" w:type="auto"/>
          </w:tcPr>
          <w:p w14:paraId="15B9A0A1"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 xml:space="preserve">Provide a general interpretation of the results in the context of other evidence, and implications for future research. </w:t>
            </w:r>
          </w:p>
        </w:tc>
        <w:tc>
          <w:tcPr>
            <w:tcW w:w="0" w:type="auto"/>
          </w:tcPr>
          <w:p w14:paraId="0D540427" w14:textId="1E42D687" w:rsidR="0016068E" w:rsidRPr="000B369D" w:rsidRDefault="00F476B0" w:rsidP="00111BE5">
            <w:pPr>
              <w:pStyle w:val="Default"/>
              <w:rPr>
                <w:rFonts w:ascii="Arial" w:hAnsi="Arial" w:cs="Arial"/>
                <w:color w:val="auto"/>
                <w:sz w:val="20"/>
                <w:szCs w:val="20"/>
              </w:rPr>
            </w:pPr>
            <w:r>
              <w:rPr>
                <w:rFonts w:ascii="Arial" w:hAnsi="Arial" w:cs="Arial"/>
                <w:color w:val="auto"/>
                <w:sz w:val="20"/>
                <w:szCs w:val="20"/>
              </w:rPr>
              <w:t>13-14</w:t>
            </w:r>
          </w:p>
        </w:tc>
      </w:tr>
      <w:tr w:rsidR="0016068E" w:rsidRPr="000B369D" w14:paraId="5A68C3BC" w14:textId="77777777" w:rsidTr="00582B19">
        <w:trPr>
          <w:trHeight w:val="153"/>
        </w:trPr>
        <w:tc>
          <w:tcPr>
            <w:tcW w:w="0" w:type="auto"/>
          </w:tcPr>
          <w:p w14:paraId="40773F6E"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FUNDING</w:t>
            </w:r>
          </w:p>
        </w:tc>
        <w:tc>
          <w:tcPr>
            <w:tcW w:w="0" w:type="auto"/>
          </w:tcPr>
          <w:p w14:paraId="39C93A4D" w14:textId="77777777" w:rsidR="0016068E" w:rsidRPr="000B369D" w:rsidRDefault="0016068E" w:rsidP="00111BE5">
            <w:pPr>
              <w:pStyle w:val="Default"/>
              <w:rPr>
                <w:rFonts w:ascii="Arial" w:hAnsi="Arial" w:cs="Arial"/>
                <w:sz w:val="20"/>
                <w:szCs w:val="20"/>
              </w:rPr>
            </w:pPr>
          </w:p>
        </w:tc>
        <w:tc>
          <w:tcPr>
            <w:tcW w:w="0" w:type="auto"/>
          </w:tcPr>
          <w:p w14:paraId="77CE5F8E" w14:textId="77777777" w:rsidR="0016068E" w:rsidRPr="000B369D" w:rsidRDefault="0016068E" w:rsidP="00111BE5">
            <w:pPr>
              <w:pStyle w:val="Default"/>
              <w:rPr>
                <w:rFonts w:ascii="Arial" w:hAnsi="Arial" w:cs="Arial"/>
                <w:sz w:val="20"/>
                <w:szCs w:val="20"/>
              </w:rPr>
            </w:pPr>
          </w:p>
        </w:tc>
        <w:tc>
          <w:tcPr>
            <w:tcW w:w="0" w:type="auto"/>
          </w:tcPr>
          <w:p w14:paraId="4334C4A5" w14:textId="77777777" w:rsidR="0016068E" w:rsidRPr="000B369D" w:rsidRDefault="0016068E" w:rsidP="00111BE5">
            <w:pPr>
              <w:pStyle w:val="Default"/>
              <w:rPr>
                <w:rFonts w:ascii="Arial" w:hAnsi="Arial" w:cs="Arial"/>
                <w:color w:val="auto"/>
                <w:sz w:val="20"/>
                <w:szCs w:val="20"/>
              </w:rPr>
            </w:pPr>
          </w:p>
        </w:tc>
      </w:tr>
      <w:tr w:rsidR="0016068E" w:rsidRPr="00712121" w14:paraId="51999362" w14:textId="77777777" w:rsidTr="00582B19">
        <w:trPr>
          <w:trHeight w:val="580"/>
        </w:trPr>
        <w:tc>
          <w:tcPr>
            <w:tcW w:w="0" w:type="auto"/>
          </w:tcPr>
          <w:p w14:paraId="0029DC51" w14:textId="77777777" w:rsidR="0016068E" w:rsidRPr="000B369D" w:rsidRDefault="0016068E" w:rsidP="00111BE5">
            <w:pPr>
              <w:pStyle w:val="Default"/>
              <w:ind w:left="176"/>
              <w:rPr>
                <w:rFonts w:ascii="Arial" w:hAnsi="Arial" w:cs="Arial"/>
                <w:sz w:val="20"/>
                <w:szCs w:val="20"/>
              </w:rPr>
            </w:pPr>
            <w:r w:rsidRPr="000B369D">
              <w:rPr>
                <w:rFonts w:ascii="Arial" w:hAnsi="Arial" w:cs="Arial"/>
                <w:sz w:val="20"/>
                <w:szCs w:val="20"/>
              </w:rPr>
              <w:t xml:space="preserve">Funding </w:t>
            </w:r>
          </w:p>
        </w:tc>
        <w:tc>
          <w:tcPr>
            <w:tcW w:w="0" w:type="auto"/>
          </w:tcPr>
          <w:p w14:paraId="60F5BACF"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27</w:t>
            </w:r>
          </w:p>
        </w:tc>
        <w:tc>
          <w:tcPr>
            <w:tcW w:w="0" w:type="auto"/>
          </w:tcPr>
          <w:p w14:paraId="4E0C778F" w14:textId="77777777" w:rsidR="0016068E" w:rsidRPr="000B369D" w:rsidRDefault="0016068E" w:rsidP="00111BE5">
            <w:pPr>
              <w:pStyle w:val="Default"/>
              <w:rPr>
                <w:rFonts w:ascii="Arial" w:hAnsi="Arial" w:cs="Arial"/>
                <w:sz w:val="20"/>
                <w:szCs w:val="20"/>
              </w:rPr>
            </w:pPr>
            <w:r w:rsidRPr="000B369D">
              <w:rPr>
                <w:rFonts w:ascii="Arial" w:hAnsi="Arial" w:cs="Arial"/>
                <w:sz w:val="20"/>
                <w:szCs w:val="20"/>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Pr>
          <w:p w14:paraId="4F538170" w14:textId="0E04B6D2" w:rsidR="0016068E" w:rsidRPr="000B369D" w:rsidRDefault="00F476B0" w:rsidP="00111BE5">
            <w:pPr>
              <w:pStyle w:val="Default"/>
              <w:rPr>
                <w:rFonts w:ascii="Arial" w:hAnsi="Arial" w:cs="Arial"/>
                <w:color w:val="auto"/>
                <w:sz w:val="20"/>
                <w:szCs w:val="20"/>
              </w:rPr>
            </w:pPr>
            <w:r>
              <w:rPr>
                <w:rFonts w:ascii="Arial" w:hAnsi="Arial" w:cs="Arial"/>
                <w:color w:val="auto"/>
                <w:sz w:val="20"/>
                <w:szCs w:val="20"/>
              </w:rPr>
              <w:t>Supplementary TableA4</w:t>
            </w:r>
          </w:p>
        </w:tc>
      </w:tr>
    </w:tbl>
    <w:p w14:paraId="0BB7ED72" w14:textId="77777777" w:rsidR="0016068E" w:rsidRPr="000B369D" w:rsidRDefault="0016068E" w:rsidP="00111BE5">
      <w:pPr>
        <w:spacing w:after="0" w:line="240" w:lineRule="auto"/>
        <w:rPr>
          <w:rFonts w:ascii="Arial" w:hAnsi="Arial" w:cs="Arial"/>
          <w:sz w:val="20"/>
          <w:szCs w:val="20"/>
          <w:lang w:val="en-GB"/>
        </w:rPr>
      </w:pPr>
    </w:p>
    <w:p w14:paraId="2A1CF5E6" w14:textId="77777777" w:rsidR="0016068E" w:rsidRPr="000B369D" w:rsidRDefault="0016068E" w:rsidP="00111BE5">
      <w:pPr>
        <w:spacing w:after="0" w:line="240" w:lineRule="auto"/>
        <w:rPr>
          <w:rFonts w:ascii="Arial" w:hAnsi="Arial" w:cs="Arial"/>
          <w:sz w:val="20"/>
          <w:szCs w:val="20"/>
          <w:lang w:val="en-GB"/>
        </w:rPr>
      </w:pPr>
      <w:r w:rsidRPr="000B369D">
        <w:rPr>
          <w:rFonts w:ascii="Arial" w:hAnsi="Arial" w:cs="Arial"/>
          <w:sz w:val="20"/>
          <w:szCs w:val="20"/>
          <w:lang w:val="en-GB"/>
        </w:rPr>
        <w:t>PICOS = population, intervention, comparators, outcomes, study design.</w:t>
      </w:r>
    </w:p>
    <w:p w14:paraId="341236F9" w14:textId="77777777" w:rsidR="0016068E" w:rsidRPr="000B369D" w:rsidRDefault="0016068E" w:rsidP="00111BE5">
      <w:pPr>
        <w:spacing w:after="0" w:line="240" w:lineRule="auto"/>
        <w:rPr>
          <w:rFonts w:ascii="Arial" w:hAnsi="Arial" w:cs="Arial"/>
          <w:sz w:val="20"/>
          <w:szCs w:val="20"/>
          <w:lang w:val="en-GB"/>
        </w:rPr>
      </w:pPr>
      <w:r w:rsidRPr="000B369D">
        <w:rPr>
          <w:rFonts w:ascii="Arial" w:hAnsi="Arial" w:cs="Arial"/>
          <w:sz w:val="20"/>
          <w:szCs w:val="20"/>
          <w:lang w:val="en-GB"/>
        </w:rPr>
        <w:t>* Text in italics indicateS wording specific to reporting of network meta-analyses that has been added to guidance from the PRISMA statement.</w:t>
      </w:r>
    </w:p>
    <w:p w14:paraId="39D3ADB2" w14:textId="77777777" w:rsidR="0016068E" w:rsidRPr="000B369D" w:rsidRDefault="0016068E" w:rsidP="00111BE5">
      <w:pPr>
        <w:spacing w:line="240" w:lineRule="auto"/>
        <w:rPr>
          <w:rFonts w:ascii="Arial" w:hAnsi="Arial" w:cs="Arial"/>
          <w:sz w:val="20"/>
          <w:szCs w:val="20"/>
          <w:lang w:val="en-GB"/>
        </w:rPr>
      </w:pPr>
      <w:r w:rsidRPr="000B369D">
        <w:rPr>
          <w:rFonts w:ascii="Arial" w:hAnsi="Arial" w:cs="Arial"/>
          <w:sz w:val="20"/>
          <w:szCs w:val="20"/>
          <w:lang w:val="en-GB"/>
        </w:rPr>
        <w:t>† Authors may wish to plan for use of appendices to present all relevant information in full detail for items in this section.</w:t>
      </w:r>
    </w:p>
    <w:p w14:paraId="76BE0208" w14:textId="72C2F592" w:rsidR="0016068E" w:rsidRPr="000B369D" w:rsidRDefault="0016068E" w:rsidP="00111BE5">
      <w:pPr>
        <w:spacing w:line="240" w:lineRule="auto"/>
        <w:rPr>
          <w:rFonts w:ascii="Arial" w:hAnsi="Arial" w:cs="Arial"/>
          <w:sz w:val="20"/>
          <w:szCs w:val="20"/>
          <w:lang w:val="en-GB"/>
        </w:rPr>
      </w:pPr>
      <w:r w:rsidRPr="000B369D">
        <w:rPr>
          <w:rFonts w:ascii="Arial" w:hAnsi="Arial" w:cs="Arial"/>
          <w:sz w:val="20"/>
          <w:szCs w:val="20"/>
          <w:lang w:val="en-GB"/>
        </w:rPr>
        <w:br w:type="page"/>
      </w:r>
    </w:p>
    <w:p w14:paraId="3C53DEDF" w14:textId="7213F52D" w:rsidR="0016068E" w:rsidRPr="000B369D" w:rsidRDefault="000B369D" w:rsidP="00111BE5">
      <w:pPr>
        <w:spacing w:line="240" w:lineRule="auto"/>
        <w:rPr>
          <w:rFonts w:ascii="Arial" w:hAnsi="Arial" w:cs="Arial"/>
          <w:sz w:val="20"/>
          <w:szCs w:val="20"/>
          <w:lang w:val="en-GB"/>
        </w:rPr>
      </w:pPr>
      <w:r w:rsidRPr="000B369D">
        <w:rPr>
          <w:rFonts w:ascii="Arial" w:hAnsi="Arial" w:cs="Arial"/>
          <w:b/>
          <w:bCs/>
          <w:sz w:val="20"/>
          <w:szCs w:val="20"/>
          <w:lang w:val="en-GB"/>
        </w:rPr>
        <w:lastRenderedPageBreak/>
        <w:t>TableA2</w:t>
      </w:r>
      <w:r w:rsidR="0016068E" w:rsidRPr="000B369D">
        <w:rPr>
          <w:rFonts w:ascii="Arial" w:hAnsi="Arial" w:cs="Arial"/>
          <w:sz w:val="20"/>
          <w:szCs w:val="20"/>
          <w:lang w:val="en-GB"/>
        </w:rPr>
        <w:t xml:space="preserve"> Electronic search strategies</w:t>
      </w:r>
      <w:r w:rsidR="00DF22B7">
        <w:rPr>
          <w:rFonts w:ascii="Arial" w:hAnsi="Arial" w:cs="Arial"/>
          <w:sz w:val="20"/>
          <w:szCs w:val="20"/>
          <w:lang w:val="en-GB"/>
        </w:rPr>
        <w:t xml:space="preserve"> applied on bibliographic databases</w:t>
      </w:r>
    </w:p>
    <w:tbl>
      <w:tblPr>
        <w:tblStyle w:val="Grilledutableau"/>
        <w:tblW w:w="9351" w:type="dxa"/>
        <w:tblLayout w:type="fixed"/>
        <w:tblLook w:val="04A0" w:firstRow="1" w:lastRow="0" w:firstColumn="1" w:lastColumn="0" w:noHBand="0" w:noVBand="1"/>
      </w:tblPr>
      <w:tblGrid>
        <w:gridCol w:w="2122"/>
        <w:gridCol w:w="7229"/>
      </w:tblGrid>
      <w:tr w:rsidR="00FA506A" w:rsidRPr="000B369D" w14:paraId="5F000E6F" w14:textId="77777777" w:rsidTr="00FA506A">
        <w:tc>
          <w:tcPr>
            <w:tcW w:w="2122" w:type="dxa"/>
          </w:tcPr>
          <w:p w14:paraId="42CA9170" w14:textId="02696290"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Database</w:t>
            </w:r>
          </w:p>
        </w:tc>
        <w:tc>
          <w:tcPr>
            <w:tcW w:w="7229" w:type="dxa"/>
          </w:tcPr>
          <w:p w14:paraId="2075B727" w14:textId="7DF0A05C" w:rsidR="00FA506A" w:rsidRPr="000B369D" w:rsidRDefault="00FA506A" w:rsidP="00FA506A">
            <w:pPr>
              <w:rPr>
                <w:rFonts w:ascii="Arial" w:hAnsi="Arial" w:cs="Arial"/>
                <w:sz w:val="20"/>
                <w:szCs w:val="20"/>
                <w:lang w:val="en-GB"/>
              </w:rPr>
            </w:pPr>
            <w:r w:rsidRPr="000B369D">
              <w:rPr>
                <w:rFonts w:ascii="Arial" w:hAnsi="Arial" w:cs="Arial"/>
                <w:sz w:val="20"/>
                <w:szCs w:val="20"/>
                <w:lang w:val="en-GB"/>
              </w:rPr>
              <w:t>Search strategy used</w:t>
            </w:r>
          </w:p>
        </w:tc>
      </w:tr>
      <w:tr w:rsidR="00FA506A" w:rsidRPr="000B369D" w14:paraId="6C779A0D" w14:textId="77777777" w:rsidTr="00FA506A">
        <w:tc>
          <w:tcPr>
            <w:tcW w:w="2122" w:type="dxa"/>
          </w:tcPr>
          <w:p w14:paraId="5BB15467" w14:textId="77777777" w:rsidR="00FA506A" w:rsidRPr="000B369D" w:rsidRDefault="00FA506A" w:rsidP="00FA506A">
            <w:pPr>
              <w:rPr>
                <w:rFonts w:ascii="Arial" w:hAnsi="Arial" w:cs="Arial"/>
                <w:sz w:val="20"/>
                <w:szCs w:val="20"/>
                <w:lang w:val="en-GB"/>
              </w:rPr>
            </w:pPr>
            <w:r w:rsidRPr="000B369D">
              <w:rPr>
                <w:rFonts w:ascii="Arial" w:eastAsia="Arial Unicode MS" w:hAnsi="Arial" w:cs="Arial"/>
                <w:sz w:val="20"/>
                <w:szCs w:val="20"/>
                <w:lang w:val="en-GB"/>
              </w:rPr>
              <w:t xml:space="preserve">Ovid MEDLINE(R) and Epub Ahead of Print, In-Process &amp; Other Non-Indexed Citations, Daily and Versions(R) </w:t>
            </w:r>
          </w:p>
          <w:p w14:paraId="0A99223B" w14:textId="77777777" w:rsidR="00FA506A" w:rsidRPr="000B369D" w:rsidRDefault="00FA506A" w:rsidP="00111BE5">
            <w:pPr>
              <w:rPr>
                <w:rFonts w:ascii="Arial" w:eastAsia="Arial Unicode MS" w:hAnsi="Arial" w:cs="Arial"/>
                <w:sz w:val="20"/>
                <w:szCs w:val="20"/>
                <w:lang w:val="en-GB"/>
              </w:rPr>
            </w:pPr>
          </w:p>
        </w:tc>
        <w:tc>
          <w:tcPr>
            <w:tcW w:w="7229" w:type="dxa"/>
          </w:tcPr>
          <w:p w14:paraId="522DA3A0" w14:textId="703A609C"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     Osteoarthritis, Knee/ (18241)</w:t>
            </w:r>
          </w:p>
          <w:p w14:paraId="3BEB0FF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     Osteoarthritis/ (35585)</w:t>
            </w:r>
          </w:p>
          <w:p w14:paraId="43D10EB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     Knee Joint/ (52172)</w:t>
            </w:r>
          </w:p>
          <w:p w14:paraId="462F3A7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     knee*.ti,ab,kf. (140899)</w:t>
            </w:r>
          </w:p>
          <w:p w14:paraId="1CE3680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     osteoarthr*.ti,ab,kf. (68358)</w:t>
            </w:r>
          </w:p>
          <w:p w14:paraId="5B1A011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     arthriti*.ti,ab,kf. (178030)</w:t>
            </w:r>
          </w:p>
          <w:p w14:paraId="0FA80268"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     (joint* adj2 (knee* or tibiofibular*)).ti,ab,kf. (25036)</w:t>
            </w:r>
          </w:p>
          <w:p w14:paraId="3B7114B7"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     OA.ti,ab,kf. (32128)</w:t>
            </w:r>
          </w:p>
          <w:p w14:paraId="7C348E8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     ((osteoarthrit* or arthriti* or OA) adj2 knee*).ti,ab,kf. (14541)</w:t>
            </w:r>
          </w:p>
          <w:p w14:paraId="074C3639"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     2 and (3 or 4 or 7) (7492)</w:t>
            </w:r>
          </w:p>
          <w:p w14:paraId="11C8DB49"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     (5 or 6 or 8) and (3 or 4 or 7) (37049)</w:t>
            </w:r>
          </w:p>
          <w:p w14:paraId="61914A4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     1 or 9 or 10 or 11 (43201)</w:t>
            </w:r>
          </w:p>
          <w:p w14:paraId="1DDC2A17"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13     Randomized Controlled Trial/ (488278)</w:t>
            </w:r>
          </w:p>
          <w:p w14:paraId="22477E1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14     randomi*.ti,ab,kf. (597643)</w:t>
            </w:r>
          </w:p>
          <w:p w14:paraId="2BBCE1A4"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15     RCT*.ti,ab,kf. (44034)</w:t>
            </w:r>
          </w:p>
          <w:p w14:paraId="08292DA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16     Random Allocation/ (100207)</w:t>
            </w:r>
          </w:p>
          <w:p w14:paraId="2EC8B6F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17     Double-Blind Method/ (152977)</w:t>
            </w:r>
          </w:p>
          <w:p w14:paraId="6520A32F"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18     single-blind method/ (27234)</w:t>
            </w:r>
          </w:p>
          <w:p w14:paraId="30212069"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19     ((singl* or doubl* or trip* or trebl*) adj2 (blind* or mask* or conceal*)).ti,ab,kf. (166851)</w:t>
            </w:r>
          </w:p>
          <w:p w14:paraId="01E529E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20     exp clinical trial/ (834616)</w:t>
            </w:r>
          </w:p>
          <w:p w14:paraId="4F860B0A"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21     Controlled Clinical Trial/ (93253)</w:t>
            </w:r>
          </w:p>
          <w:p w14:paraId="6462635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22     ((clinic* or interventi*) adj4 (stud* or trial*)).ti,ab,kf. (762408)</w:t>
            </w:r>
          </w:p>
          <w:p w14:paraId="2D89CFE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23     or/13-22 (1751129)</w:t>
            </w:r>
          </w:p>
          <w:p w14:paraId="1AF8CB5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24     (aceclofenac or falcol or clanza or preservex or biofenac or sanein or beofenac or sanein or beofenac or aital or airtal or bristaflam or gerbin).ti,ab,kf. (402)</w:t>
            </w:r>
          </w:p>
          <w:p w14:paraId="559CE7C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25     Acetaminophen/ (17518)</w:t>
            </w:r>
          </w:p>
          <w:p w14:paraId="7F75633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26     (apap or acamol or acephen or acetaco or acetamino* or algotropyl or anacin 3 or datril or hydroxyacetanilide or panadol or paracetamol or tylenol or p-acetamidophenol or p-hydroxyacetanilide).ti,ab,kf. (24464)</w:t>
            </w:r>
          </w:p>
          <w:p w14:paraId="556CE4B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27     Aspirin/ (43761)</w:t>
            </w:r>
          </w:p>
          <w:p w14:paraId="4D900EE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28     (aspirin or "acetylsalicylic acid" or acetysal or acylpyrin or aloxiprimum or colfarit or dispril or easprin or ecotrin or endosprin or magnecyl or micristin or polopirin or polopiryna or solprin or solupsan or zorprin).ti,ab,kf. (54362)</w:t>
            </w:r>
          </w:p>
          <w:p w14:paraId="2A97E758"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29     (benoxaprofen or oraflex).ti,ab,kf. (370)</w:t>
            </w:r>
          </w:p>
          <w:p w14:paraId="2092DC6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30     exp Betamethasone/ (7204)</w:t>
            </w:r>
          </w:p>
          <w:p w14:paraId="3D1D6508"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31     (betadexamethasone or betamethasone or celeston* or cellestoderm or flubenisolone).ti,ab,kf. (4838)</w:t>
            </w:r>
          </w:p>
          <w:p w14:paraId="2BB9BE0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32     Calcitonin/ (15656)</w:t>
            </w:r>
          </w:p>
          <w:p w14:paraId="0FBC998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33     (calcitrin or calcitonin or thyrocalcitonin).ti,ab,kf. (24926)</w:t>
            </w:r>
          </w:p>
          <w:p w14:paraId="515B3267"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34     Capsaicin/ (10180)</w:t>
            </w:r>
          </w:p>
          <w:p w14:paraId="32A9692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35     ("8-methyl-n-vanillyl-6-nonenamide" or axsain or capsaicin* or capsidol or "capsicum farmaya" or capsin or capzasin or gelcen or katrum or zacin or zostric or "ngx 4010").ti,ab,kf. (13483)</w:t>
            </w:r>
          </w:p>
          <w:p w14:paraId="28336E1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36     Celecoxib/ (4215)</w:t>
            </w:r>
          </w:p>
          <w:p w14:paraId="5813EE74"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37     (celebrex or celecoxib).ti,ab,kf. (6009)</w:t>
            </w:r>
          </w:p>
          <w:p w14:paraId="0FAFC08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38     Chondroitin Sulfates/ (7118)</w:t>
            </w:r>
          </w:p>
          <w:p w14:paraId="647962C4"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39     (blutal or (chondroitin adj3 sulfat*) or chonsurid or translagen).ti,ab,kf. (10782)</w:t>
            </w:r>
          </w:p>
          <w:p w14:paraId="1FCED8B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40     cortivazol.ti,ab,kf. (56)</w:t>
            </w:r>
          </w:p>
          <w:p w14:paraId="5D5D94D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41     exp Dexamethasone/ (50202)</w:t>
            </w:r>
          </w:p>
          <w:p w14:paraId="6A23CF3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42     (decaject or decameth or decaspray or dexamethasone or dexasone or dexpak or hexadecadrol or hexadrol or maxidex or methylfluorprednisolone or millicorten or oradexon).ti,ab,kf. (55062)</w:t>
            </w:r>
          </w:p>
          <w:p w14:paraId="7AD0C239"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43     (diacerein or diacethylrhein or diacerhein or zondar).ti,ab,kf. (276)</w:t>
            </w:r>
          </w:p>
          <w:p w14:paraId="35B7F7B9"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44     Diclofenac/ (7577)</w:t>
            </w:r>
          </w:p>
          <w:p w14:paraId="6DA7472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lastRenderedPageBreak/>
              <w:t>45     (diclofenac or dichlofenac or diclophenac or dicrofenac or feloran or novapirina or orthofen or orthophen or ortofen or voltaren or voltarol).ti,ab,kf. (11344)</w:t>
            </w:r>
          </w:p>
          <w:p w14:paraId="45617FE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46     Diflunisal/ (493)</w:t>
            </w:r>
          </w:p>
          <w:p w14:paraId="4875A28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47     (diflunisal or apodiflunisal or dolobid* or novodiflunisal or nudiflunisal).ti,ab,kf. (717)</w:t>
            </w:r>
          </w:p>
          <w:p w14:paraId="63E80EE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48     Doxycycline/ (9360)</w:t>
            </w:r>
          </w:p>
          <w:p w14:paraId="58914854"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49     ("alpha 6 deoxyoxytetracycline" or atridox or doryx or doxycycline or hydramycin or oraceo or periostat or "vibra tabs" or vibramycin or vibravenos).ti,ab,kf. (13020)</w:t>
            </w:r>
          </w:p>
          <w:p w14:paraId="58909B20"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50     Duloxetine Hydrochloride/ (1495)</w:t>
            </w:r>
          </w:p>
          <w:p w14:paraId="3E9C07F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51     (cymbalta or duloxetine).ti,ab,kf. (2364)</w:t>
            </w:r>
          </w:p>
          <w:p w14:paraId="02E9A948"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52     (eltenac or telzenac).ti,ab,kf. (10)</w:t>
            </w:r>
          </w:p>
          <w:p w14:paraId="590FE4E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53     Etodolac/ (470)</w:t>
            </w:r>
          </w:p>
          <w:p w14:paraId="51CC6EA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54     (etodolac or iodine or ramodar or ultradol or etodilic).ti,ab,kf. (53301)</w:t>
            </w:r>
          </w:p>
          <w:p w14:paraId="2ABD97C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55     (etoricoxib or arcoxial).ti,ab,kf. (675)</w:t>
            </w:r>
          </w:p>
          <w:p w14:paraId="4675172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56     Fentanyl/ (13196)</w:t>
            </w:r>
          </w:p>
          <w:p w14:paraId="1505BC7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57     (fentanyl or duragesic or durogesic or fentanest or fentora or phentanyl or sublimaze).ti,ab,kf. (18057)</w:t>
            </w:r>
          </w:p>
          <w:p w14:paraId="181BC26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58     Flurbiprofen/ (1848)</w:t>
            </w:r>
          </w:p>
          <w:p w14:paraId="7BFE94FA"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59     (ansaid or flubiprofen or cebutid or doprofen or flugalin or flurbiprofen or fluriproben or froben or "neo artrol" or fluprofen or ocufen or ocuflur or strefen).ti,ab,kf. (2337)</w:t>
            </w:r>
          </w:p>
          <w:p w14:paraId="70A642AA"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60     Adrenal Cortex Hormones/ (62720)</w:t>
            </w:r>
          </w:p>
          <w:p w14:paraId="355859B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61     (corticoid* or corticosteroid* or "adrenal cortex hormone").ti,ab,kf. (104507)</w:t>
            </w:r>
          </w:p>
          <w:p w14:paraId="1977636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62     Glucosamine/ (9838)</w:t>
            </w:r>
          </w:p>
          <w:p w14:paraId="142C512A"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63     (glucosamine or dona or hespercorbin or xicil).ti,ab,kf. (13867)</w:t>
            </w:r>
          </w:p>
          <w:p w14:paraId="0332725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64     Hyaluronic Acid/ (20461)</w:t>
            </w:r>
          </w:p>
          <w:p w14:paraId="4158D197"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65     ("hyaluronic adic" or "amo vitrax" or amvisc or biolon or etamucine or healon or hyaluron* or hyvisc or iuronit).ti,ab,kf. (35276)</w:t>
            </w:r>
          </w:p>
          <w:p w14:paraId="076D55D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66     Hydrocortisone/ (70564)</w:t>
            </w:r>
          </w:p>
          <w:p w14:paraId="0883DF1F"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67     (hydrocortisone or cortifair or cortisol or cortril or epicortisol).ti,ab,kf. (75518)</w:t>
            </w:r>
          </w:p>
          <w:p w14:paraId="461367F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68     Ibuprofen/ (8503)</w:t>
            </w:r>
          </w:p>
          <w:p w14:paraId="7187BE40"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69     (brufen or ibumetin or ibuprofen or motrin or nuprin or rufen or salprofen or "trauma dolgit gel").ti,ab,kf. (12835)</w:t>
            </w:r>
          </w:p>
          <w:p w14:paraId="7F9A897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70     Indomethacin/ (27998)</w:t>
            </w:r>
          </w:p>
          <w:p w14:paraId="6697BF57"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71     (amuno or indoci* or indomet* or metindol or osmosin).ti,ab,kf. (36359)</w:t>
            </w:r>
          </w:p>
          <w:p w14:paraId="66946038"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72     Ketoprofen/ (2688)</w:t>
            </w:r>
          </w:p>
          <w:p w14:paraId="653C2899"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73     (alrheum* or "benzoylhydratropic acid" or ketoprofen or orudis or profenid).ti,ab,kf. (3734)</w:t>
            </w:r>
          </w:p>
          <w:p w14:paraId="4FEE50C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74     Ketorolac/ (1420)</w:t>
            </w:r>
          </w:p>
          <w:p w14:paraId="049D719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75     (ketorolac or acular or toradol).ti,ab,kf. (2798)</w:t>
            </w:r>
          </w:p>
          <w:p w14:paraId="271B16B4"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76     licofelone.ti,ab,kf. (109)</w:t>
            </w:r>
          </w:p>
          <w:p w14:paraId="5542CC5C" w14:textId="77777777" w:rsidR="00FA506A" w:rsidRPr="000B369D" w:rsidRDefault="00FA506A" w:rsidP="00111BE5">
            <w:pPr>
              <w:rPr>
                <w:rFonts w:ascii="Arial" w:eastAsia="Arial Unicode MS" w:hAnsi="Arial" w:cs="Arial"/>
                <w:sz w:val="20"/>
                <w:szCs w:val="20"/>
              </w:rPr>
            </w:pPr>
            <w:r w:rsidRPr="000B369D">
              <w:rPr>
                <w:rFonts w:ascii="Arial" w:eastAsia="Arial Unicode MS" w:hAnsi="Arial" w:cs="Arial"/>
                <w:sz w:val="20"/>
                <w:szCs w:val="20"/>
                <w:lang w:val="en-GB"/>
              </w:rPr>
              <w:t xml:space="preserve">77     (lornoxicam or chlortenoxicam or xefocam).ti,ab,kf. </w:t>
            </w:r>
            <w:r w:rsidRPr="000B369D">
              <w:rPr>
                <w:rFonts w:ascii="Arial" w:eastAsia="Arial Unicode MS" w:hAnsi="Arial" w:cs="Arial"/>
                <w:sz w:val="20"/>
                <w:szCs w:val="20"/>
              </w:rPr>
              <w:t>(393)</w:t>
            </w:r>
          </w:p>
          <w:p w14:paraId="7EA6BE8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rPr>
              <w:t xml:space="preserve">78     (lumiracoxib or prexige).ti,ab,kf. </w:t>
            </w:r>
            <w:r w:rsidRPr="000B369D">
              <w:rPr>
                <w:rFonts w:ascii="Arial" w:eastAsia="Arial Unicode MS" w:hAnsi="Arial" w:cs="Arial"/>
                <w:sz w:val="20"/>
                <w:szCs w:val="20"/>
                <w:lang w:val="en-GB"/>
              </w:rPr>
              <w:t>(224)</w:t>
            </w:r>
          </w:p>
          <w:p w14:paraId="5DE7804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79     Meloxicam/ (1379)</w:t>
            </w:r>
          </w:p>
          <w:p w14:paraId="15320C9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80     (meloxicam or masflex or miloxicam or mobec or mobic* or movalis or movicox or parocin or reumoxicam or uticox).ti,ab,kf. (1977)</w:t>
            </w:r>
          </w:p>
          <w:p w14:paraId="3C192DE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81     Dipyrone/ (1513)</w:t>
            </w:r>
          </w:p>
          <w:p w14:paraId="2D01FFB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82     (algopyrin or analgin or biopyrin or dipyron* or metamizol* or methamizole or methampyrone or narone or "noramidopyrine methanesulfonate" or normelubrine or novalgetol or novalgetol or novalgin or novamidazophen or novaminsulfone or optalgin or pyralgin or sulpyrin*).ti,ab,kf. (1917)</w:t>
            </w:r>
          </w:p>
          <w:p w14:paraId="40BB9CF8"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83     Methylprednisolone/ (18437)</w:t>
            </w:r>
          </w:p>
          <w:p w14:paraId="7881A43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84     (methylprednisolone or medrol or metipred or urbason).ti,ab,kf. (15746)</w:t>
            </w:r>
          </w:p>
          <w:p w14:paraId="2086C9A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85     (methylsulfonylmethane or "dimethyl sulfone" or "methyl sulfone").ti,ab,kf. (326)</w:t>
            </w:r>
          </w:p>
          <w:p w14:paraId="6DF39BB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lastRenderedPageBreak/>
              <w:t>86     Nabumetone/ (353)</w:t>
            </w:r>
          </w:p>
          <w:p w14:paraId="35AA436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87     (aponabumetone or nabumeton* or arthraxan or gennabumetone or listran or mebutan or nabucox or relafen or relif or relifex).ti,ab,kf. (452)</w:t>
            </w:r>
          </w:p>
          <w:p w14:paraId="5FE7B02F"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88     (naproxcinod or "no-naproxen" or "nitric oxide naproxen" or "nicox").ti,ab,kf. (64)</w:t>
            </w:r>
          </w:p>
          <w:p w14:paraId="565EF40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89     Naproxen/ (3992)</w:t>
            </w:r>
          </w:p>
          <w:p w14:paraId="13C3D10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90     (naproxen* or aleve or anaprox or methoxypropiocin or napros* or proxen or synflex).ti,ab,kf. (6015)</w:t>
            </w:r>
          </w:p>
          <w:p w14:paraId="5A362339"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91     (nimesulide or aulin or eskaflam or lizepat or mesulid or nexen or nimesil or redaflam or antifloxil or guaxan).ti,ab,kf. (1583)</w:t>
            </w:r>
          </w:p>
          <w:p w14:paraId="69F2385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92     Analgesics, Opioid/ (40695)</w:t>
            </w:r>
          </w:p>
          <w:p w14:paraId="0C6769E0"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93     opioid*.ti,ab,kf. (83814)</w:t>
            </w:r>
          </w:p>
          <w:p w14:paraId="76555FCF"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94     oxaprozin/ (119)</w:t>
            </w:r>
          </w:p>
          <w:p w14:paraId="4449733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95     (oxaprozin or danoprox or daypro or dayrun).ti,ab,kf. (152)</w:t>
            </w:r>
          </w:p>
          <w:p w14:paraId="50D52DB0"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96     (parecoxib or dynastat).ti,ab,kf. (525)</w:t>
            </w:r>
          </w:p>
          <w:p w14:paraId="1D46A1B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97     pennsaid.ti,ab,kf. (12)</w:t>
            </w:r>
          </w:p>
          <w:p w14:paraId="39B5B43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98     (piroxicam or feldene).ti,ab,kf. (2958)</w:t>
            </w:r>
          </w:p>
          <w:p w14:paraId="0AD0065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99     Prednisolone/ (32204)</w:t>
            </w:r>
          </w:p>
          <w:p w14:paraId="6990E9D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100     (prednisolon* or diadresonf or predate or predonine).ti,ab,kf. (28271)</w:t>
            </w:r>
          </w:p>
          <w:p w14:paraId="77679E97"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101     S-Adenosylmethionine/ (5368)</w:t>
            </w:r>
          </w:p>
          <w:p w14:paraId="5D3BFD9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102     (ademetionine or adomet or gumbaral or adenosylmethionine or adenosyl or samyr).ti,ab,kf. (11200)</w:t>
            </w:r>
          </w:p>
          <w:p w14:paraId="617D6C7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103     Steroids/ (36204)</w:t>
            </w:r>
          </w:p>
          <w:p w14:paraId="23B7EC4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104     steroid*.ti,ab,kf. (229339)</w:t>
            </w:r>
          </w:p>
          <w:p w14:paraId="61F1073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105     Sulindac/ (1331)</w:t>
            </w:r>
          </w:p>
          <w:p w14:paraId="76AF6AA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106     (sulindac or aclin or "apo sulin" or arthrobid or arthrocine or chibret or clinoril or copal or kenalin or klinoril or "novo sundac" or sulinda*).ti,ab,kf. (1980)</w:t>
            </w:r>
          </w:p>
          <w:p w14:paraId="429B6B0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107     tenidap.ti,ab,kf. (161)</w:t>
            </w:r>
          </w:p>
          <w:p w14:paraId="5F66983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108     (tenoxicam or reutenox or artriunic or mobiflex or tilcotil).ti,ab,kf. (585)</w:t>
            </w:r>
          </w:p>
          <w:p w14:paraId="7DEAE659"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109     ("tiaprofenic acid" or flanid or "nu tiaprofenic" or surgam or "novo tiaprofenic").ti,ab,kf. (330)</w:t>
            </w:r>
          </w:p>
          <w:p w14:paraId="3793D92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110     Tolmetin/ (1295)</w:t>
            </w:r>
          </w:p>
          <w:p w14:paraId="3DFE412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111     (tolmetin or tolectin).ti,ab,kf. (427)</w:t>
            </w:r>
          </w:p>
          <w:p w14:paraId="5E1721E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112     Tramadol/ (2986)</w:t>
            </w:r>
          </w:p>
          <w:p w14:paraId="387D8559"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113     (adolonta or amadol or biodalgic or biokanol or contramal or jutadol or nobligan or prontofort or ranitidin or takadol or theradol or trial or topalgic or tradol* or tralgiol or tramado* or tramabeta or tramadin or tramadura or tramagetic or tramagit or tramake or tramal or tramex or tramundin or trasedal or ultram or zamudol or zumalgic or zydol or zytram).ti,ab,kf. (565751)</w:t>
            </w:r>
          </w:p>
          <w:p w14:paraId="427171A9"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114     Triamcinolone/ (3767)</w:t>
            </w:r>
          </w:p>
          <w:p w14:paraId="1522416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115     ("trolamine salicylate" or triethanolamine or myoflex).ti,ab,kf. (1143)</w:t>
            </w:r>
          </w:p>
          <w:p w14:paraId="5E34D50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116     (valdecoxib or bextra).ti,ab,kf. (477)</w:t>
            </w:r>
          </w:p>
          <w:p w14:paraId="2BDE477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117     exp Vitamin D/ (56640)</w:t>
            </w:r>
          </w:p>
          <w:p w14:paraId="0969523E" w14:textId="77777777" w:rsidR="00FA506A" w:rsidRPr="000B369D" w:rsidRDefault="00FA506A" w:rsidP="00111BE5">
            <w:pPr>
              <w:rPr>
                <w:rFonts w:ascii="Arial" w:eastAsia="Arial Unicode MS" w:hAnsi="Arial" w:cs="Arial"/>
                <w:sz w:val="20"/>
                <w:szCs w:val="20"/>
              </w:rPr>
            </w:pPr>
            <w:r w:rsidRPr="000B369D">
              <w:rPr>
                <w:rFonts w:ascii="Arial" w:eastAsia="Arial Unicode MS" w:hAnsi="Arial" w:cs="Arial"/>
                <w:sz w:val="20"/>
                <w:szCs w:val="20"/>
                <w:lang w:val="en-GB"/>
              </w:rPr>
              <w:t xml:space="preserve">118     ("vitamin d" or calciol or cholecalciferol* or calciferol* or ergocalciferol* or 25OHD or hydroxycalciferol or hydroxyergocalciferol or hydroxyvitamin).ti,ab,kf. </w:t>
            </w:r>
            <w:r w:rsidRPr="000B369D">
              <w:rPr>
                <w:rFonts w:ascii="Arial" w:eastAsia="Arial Unicode MS" w:hAnsi="Arial" w:cs="Arial"/>
                <w:sz w:val="20"/>
                <w:szCs w:val="20"/>
              </w:rPr>
              <w:t>(63829)</w:t>
            </w:r>
          </w:p>
          <w:p w14:paraId="2884C11C" w14:textId="77777777" w:rsidR="00FA506A" w:rsidRPr="000B369D" w:rsidRDefault="00FA506A" w:rsidP="00111BE5">
            <w:pPr>
              <w:rPr>
                <w:rFonts w:ascii="Arial" w:eastAsia="Arial Unicode MS" w:hAnsi="Arial" w:cs="Arial"/>
                <w:sz w:val="20"/>
                <w:szCs w:val="20"/>
              </w:rPr>
            </w:pPr>
            <w:r w:rsidRPr="000B369D">
              <w:rPr>
                <w:rFonts w:ascii="Arial" w:eastAsia="Arial Unicode MS" w:hAnsi="Arial" w:cs="Arial"/>
                <w:sz w:val="20"/>
                <w:szCs w:val="20"/>
              </w:rPr>
              <w:t>119     exp Vitamin E/ (32100)</w:t>
            </w:r>
          </w:p>
          <w:p w14:paraId="07F1059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rPr>
              <w:t xml:space="preserve">120     ("vitamin e" or "vit e").ti,ab,kf. </w:t>
            </w:r>
            <w:r w:rsidRPr="000B369D">
              <w:rPr>
                <w:rFonts w:ascii="Arial" w:eastAsia="Arial Unicode MS" w:hAnsi="Arial" w:cs="Arial"/>
                <w:sz w:val="20"/>
                <w:szCs w:val="20"/>
                <w:lang w:val="en-GB"/>
              </w:rPr>
              <w:t>(28215)</w:t>
            </w:r>
          </w:p>
          <w:p w14:paraId="446F86EF"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121     or/24-120 (1607176)</w:t>
            </w:r>
          </w:p>
          <w:p w14:paraId="059850F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122     12 and 23 and 121 (4416)</w:t>
            </w:r>
          </w:p>
          <w:p w14:paraId="3F6630C0"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123     "joint space narrowing".ti,ab,kf. (1542)</w:t>
            </w:r>
          </w:p>
          <w:p w14:paraId="4E69119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124     "joint space width".ti,ab,kf. (716)</w:t>
            </w:r>
          </w:p>
          <w:p w14:paraId="2FD58209"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125     jsn.ti,ab,kf. (456)</w:t>
            </w:r>
          </w:p>
          <w:p w14:paraId="2CEA707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126     jsw.ti,ab,kf. (312)</w:t>
            </w:r>
          </w:p>
          <w:p w14:paraId="38E9F70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127     (kellgren adj2 grade).ti,ab,kf. (536)</w:t>
            </w:r>
          </w:p>
          <w:p w14:paraId="02B680F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128     womac.ti,ab,kf. (4041)</w:t>
            </w:r>
          </w:p>
          <w:p w14:paraId="2E7D564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129     "Western Ontario and McMaster Universities osteoarthritis index".ti,ab,kf. (1838)</w:t>
            </w:r>
          </w:p>
          <w:p w14:paraId="1963822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130     pain.ti,ab,kf. (589183)</w:t>
            </w:r>
          </w:p>
          <w:p w14:paraId="198561B9"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lastRenderedPageBreak/>
              <w:t>131     function.ti,ab,kf. (1919497)</w:t>
            </w:r>
          </w:p>
          <w:p w14:paraId="2D02AF3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132     stiffness.ti,ab,kf. (61755)</w:t>
            </w:r>
          </w:p>
          <w:p w14:paraId="5B0926A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133     thickness.ti,ab,kf. (209225)</w:t>
            </w:r>
          </w:p>
          <w:p w14:paraId="091D9630"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134     VAS.ti,ab,kf. (43722)</w:t>
            </w:r>
          </w:p>
          <w:p w14:paraId="4F17730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135     (visual adj1 analogue adj1 (scale or score)).ti,ab,kf. (23373)</w:t>
            </w:r>
          </w:p>
          <w:p w14:paraId="51A480E0"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136     dysfunction.ti,ab,kf. (376664)</w:t>
            </w:r>
          </w:p>
          <w:p w14:paraId="2EF0E718"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137     "functional index".ti,ab,kf. (1856)</w:t>
            </w:r>
          </w:p>
          <w:p w14:paraId="6ADE55C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138     treatment outcome/ (920147)</w:t>
            </w:r>
          </w:p>
          <w:p w14:paraId="6E8D161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139     effectiveness.ti,ab,kf. (419382)</w:t>
            </w:r>
          </w:p>
          <w:p w14:paraId="359490A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140     symptom*.ti,ab,kf. (1077140)</w:t>
            </w:r>
          </w:p>
          <w:p w14:paraId="1F7EF220"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141     lequesne.ti,b,kf (523)</w:t>
            </w:r>
          </w:p>
          <w:p w14:paraId="641B6EB8"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142     or/123-141 (4716445)</w:t>
            </w:r>
          </w:p>
          <w:p w14:paraId="2036AC2A" w14:textId="66F94A16" w:rsidR="00FA506A" w:rsidRPr="000B369D" w:rsidRDefault="00FA506A" w:rsidP="00111BE5">
            <w:pPr>
              <w:rPr>
                <w:rFonts w:ascii="Arial" w:eastAsia="Arial Unicode MS" w:hAnsi="Arial" w:cs="Arial"/>
                <w:sz w:val="20"/>
                <w:szCs w:val="20"/>
              </w:rPr>
            </w:pPr>
            <w:r w:rsidRPr="000B369D">
              <w:rPr>
                <w:rFonts w:ascii="Arial" w:eastAsia="Arial Unicode MS" w:hAnsi="Arial" w:cs="Arial"/>
                <w:sz w:val="20"/>
                <w:szCs w:val="20"/>
              </w:rPr>
              <w:t xml:space="preserve">143     122 and 142 </w:t>
            </w:r>
          </w:p>
        </w:tc>
      </w:tr>
      <w:tr w:rsidR="00FA506A" w:rsidRPr="00252F1D" w14:paraId="45806A60" w14:textId="77777777" w:rsidTr="00FA506A">
        <w:tc>
          <w:tcPr>
            <w:tcW w:w="2122" w:type="dxa"/>
          </w:tcPr>
          <w:p w14:paraId="6C2CF00F" w14:textId="72DA771C"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lastRenderedPageBreak/>
              <w:t>SCOPUS</w:t>
            </w:r>
          </w:p>
        </w:tc>
        <w:tc>
          <w:tcPr>
            <w:tcW w:w="7229" w:type="dxa"/>
          </w:tcPr>
          <w:p w14:paraId="4BE7EDAF" w14:textId="561B30D3"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 ( TITLE-ABS-KEY ( ( ( osteoarthr*  OR  arthriti*  OR  OA )  W/2  knee ) ) )  OR  ( ( ( TITLE-ABS-KEY ( osteoarthr* ) )  OR  ( TITLE-ABS-KEY ( arthriti* ) )  OR  ( TITLE-ABS-KEY ( OA ) ) )  AND  ( ( TITLE-ABS-KEY ( knee ) )  OR  ( TITLE-ABS-KEY ( joint  W/2  ( knee  OR  tibiofibular ) ) ) ) ) )  AND  ( ( TITLE-ABS-KEY ( randomi* ) )  OR  ( TITLE-ABS-KEY ( rct ) )  OR  ( TITLE-ABS-KEY ( "randomized controlled trial" ) )  OR  ( TITLE-ABS-KEY ( ( ( singl*  OR  doubl*  OR  trip*  OR  trebl* )  W/2  ( blind*  OR  mask*  OR  conceal* ) ) ) )  OR  ( TITLE-ABS-KEY ( ( ( clinic*  OR  interventi*  OR  controlled )  W/4  ( study  OR  trial ) ) ) ) )  AND  ( ( ( TITLE-ABS-KEY ( ( decaject  OR  decameth  OR  decaspray  OR  dexamethasone  OR  dexasone  OR  dexpak  OR  hexadecadrol  OR  hexadrol  OR  maxidex  OR  methylfluorprednisolone  OR  millicorten  OR  oradexon ) ) )  OR  ( TITLE-ABS-KEY ( ( diacerein  OR  diacethylrhein  OR  diacerhein  OR  zondar ) ) )  OR  ( TITLE-ABS-KEY ( ( diclofenac  OR  dichlofenac  OR  diclophenac  OR  dicrofenac  OR  feloran  OR  novapirina  OR  orthofen  OR  orthophen  OR  ortofen  OR  voltaren  OR  voltarol ) ) )  OR  ( TITLE-ABS-KEY ( ( diflunisal  OR  apodiflunisal  OR  dolobid*  OR  novodiflunisal  OR  nudiflunisal ) ) )  OR  ( TITLE-ABS-KEY ( ( "alpha 6 deoxyoxytetracycline"  OR  atridox  OR  doryx  OR  doxycycline  OR  hydramycin  OR  oraceo  OR  periostat  OR  "vibra tabs"  OR  vibramycin  OR  vibravenos ) ) )  OR  ( TITLE-ABS-KEY ( ( cymbalta  OR  duloxetine ) ) )  OR  ( TITLE-ABS-KEY ( ( eltenac  OR  telzenac ) ) )  OR  ( TITLE-ABS-KEY ( ( etodolac  OR  iodine  OR  ramodar  OR  ultradol  OR  etodilic ) ) )  OR  ( TITLE-ABS-KEY ( ( etoricoxib  OR  arcoxial ) ) )  OR  ( TITLE-ABS-KEY ( ( fentanyl  OR  duragesic  OR  durogesic  OR  fentanest  OR  fentora  OR  phentanyl  OR  sublimaze ) ) )  OR  ( TITLE-ABS-KEY ( ( ansaid  OR  flubiprofen  OR  cebutid  OR  doprofen  OR  flugalin  OR  flurbiprofen  OR  fluriproben  OR  froben  OR  "neo artrol"  OR  fluprofen  OR  ocufen  OR  ocuflur  OR  strefen ) ) )  OR  ( TITLE-ABS-KEY ( ( corticoid  OR  corticosteroid  OR  "adrenal cortex hormone" ) ) )  OR  ( TITLE-ABS-KEY ( ( glucosamine  OR  dona  OR  hespercorbin  OR  xicil ) ) )  OR  ( TITLE-ABS-KEY ( ( "hyaluronic adic"  OR  "amo vitrax"  OR  amvisc  OR  biolon  OR  etamucine  OR  healon  OR  hyaluron*  OR  hyvisc  OR  iuronit ) ) )  OR  ( TITLE-ABS-KEY ( ( hydrocortisone  OR  cortifair  OR  cortisol  OR  cortril  OR  epicortisol ) ) )  OR  ( TITLE-ABS-KEY ( ( brufen  OR  ibumetin  OR  ibuprofen  OR  motrin  OR  nuprin  OR  rufen  OR  salprofen  OR  "trauma dolgit gel" ) ) )  OR  ( TITLE-ABS-KEY ( ( amuno  OR  indoci*  OR  indomet*  OR  metindol  OR  osmosin ) ) )  OR  ( TITLE-ABS-KEY ( ( alrheum*  OR  "benzoylhydratropic acid"  OR  ketoprofen  OR  orudis  OR  profenid ) ) )  OR  ( TITLE-ABS-KEY ( ( ketorolac  OR  acular  OR  toradol ) ) )  OR  ( TITLE-ABS-</w:t>
            </w:r>
            <w:r w:rsidRPr="000B369D">
              <w:rPr>
                <w:rFonts w:ascii="Arial" w:eastAsia="Arial Unicode MS" w:hAnsi="Arial" w:cs="Arial"/>
                <w:sz w:val="20"/>
                <w:szCs w:val="20"/>
                <w:lang w:val="en-GB"/>
              </w:rPr>
              <w:lastRenderedPageBreak/>
              <w:t>KEY ( licofelone ) )  OR  ( TITLE-ABS-KEY ( ( lornoxicam  OR  chlortenoxicam  OR  xefocam ) ) )  OR  ( TITLE-ABS-KEY ( ( lumiracoxib  OR  prexige ) ) )  OR  ( TITLE-ABS-KEY ( ( meloxicam  OR  masflex  OR  miloxicam  OR  mobec  OR  mobic*  OR  movalis  OR  movicox  OR  parocin  OR  reumoxicam  OR  uticox ) ) )  OR  ( TITLE-ABS-KEY ( ( algopyrin  OR  analgin  OR  biopyrin  OR  dipyron*  OR  metamizol*  OR  methamizole  OR  methampyrone  OR  narone  OR  "noramidopyrine methanesulfonate"  OR  normelubrine  OR  novalgetol  OR  novalgetol  OR  novalgin  OR  novamidazophen  OR  novaminsulfone  OR  optalgin  OR  pyralgin ) ) )  OR  ( TITLE-ABS-KEY ( sulpyrine ) )  OR  ( TITLE-ABS-KEY ( ( methylprednisolone  OR  medrol  OR  metipred  OR  urbason ) ) )  OR  ( TITLE-ABS-KEY ( ( methylsulfonylmethane  OR  "dimethyl sulfone"  OR  "methyl sulfone" ) ) )  OR  ( TITLE-ABS-KEY ( ( aponabumetone  OR  nabumeton*  OR  arthraxan  OR  gennabumetone  OR  listran  OR  mebutan  OR  nabucox  OR  relafen  OR  relif  OR  relifex ) ) )  OR  ( TITLE-ABS-KEY ( ( naproxcinod  OR  "no-naproxen"  OR  "nitric oxide naproxen"  OR  "nicox" ) ) ) )  OR  ( ( TITLE-ABS-KEY ( ( naproxen*  OR  aleve  OR  anaprox  OR  methoxypropiocin  OR  napros*  OR  proxen  OR  synflex ) ) )  OR  ( TITLE-ABS-KEY ( ( nimesulide  OR  aulin  OR  eskaflam  OR  lizepat  OR  mesulid  OR  nexen  OR  nimesil  OR  redaflam  OR  antifloxil  OR  guaxan ) ) )  OR  ( TITLE-ABS-KEY ( opioid ) )  OR  ( TITLE-ABS-KEY ( ( oxaprozin  OR  danoprox  OR  daypro  OR  dayrun ) ) )  OR  ( TITLE-ABS-KEY ( ( parecoxib  OR  dynastat ) ) )  OR  ( TITLE-ABS-KEY ( pennsaid ) )  OR  ( TITLE-ABS-KEY ( ( piroxicam  OR  feldene ) ) )  OR  ( TITLE-ABS-KEY ( ( prednisolon*  OR  diadresonf  OR  predate  OR  predonine ) ) )  OR  ( TITLE-ABS-KEY ( ( ademetionine  OR  adomet  OR  gumbaral  OR  adenosylmethionine  OR  adenosyl  OR  samyr ) ) )  OR  ( TITLE-ABS-KEY ( steroids ) )  OR  ( TITLE-ABS-KEY ( ( sulindac  OR  aclin  OR  "apo sulin"  OR  arthrobid  OR  arthrocine  OR  chibret  OR  clinoril  OR  copal  OR  kenalin  OR  klinoril  OR  "novo sundac"  OR  sulinda* ) ) )  OR  ( TITLE-ABS-KEY ( tenidap ) )  OR  ( TITLE-ABS-KEY ( ( tenoxicam  OR  reutenox  OR  artriunic  OR  mobiflex  OR  tilcotil ) ) )  OR  ( TITLE-ABS-KEY ( ( "tiaprofenic acid"  OR  flanid  OR  "nu tiaprofenic"  OR  surgam  OR  "novo tiaprofenic" ) ) )  OR  ( TITLE-ABS-KEY ( ( tolmetin  OR  tolectin ) ) )  OR  ( TITLE-ABS-KEY ( ( tramake  OR  tramal  OR  tramex  OR  tramundin  OR  trasedal  OR  ultram  OR  zamudol  OR  zumalgic  OR  zydol  OR  zytram ) ) )  OR  ( TITLE-ABS-KEY ( ( adolonta  OR  amadol  OR  biodalgic  OR  biokanol  OR  contramal  OR  jutadol  OR  nobligan  OR  prontofort  OR  ranitidin  OR  takadol  OR  theradol  OR  topalgic  OR  tradol*  OR  tralgiol  OR  tramado*  OR  tramabeta  OR  tramadin  OR  tramadura  OR  tramagetic  OR  tramagit ) ) )  OR  ( TITLE-ABS-KEY ( ( "trolamine salicylate"  OR  triethanolamine  OR  myoflex ) ) )  OR  ( TITLE-ABS-KEY ( ( valdecoxib  OR  bextra ) ) )  OR  ( TITLE-ABS-KEY ( ( "vitamin d"  OR  calciol  OR  cholecalciferol*  OR  calciferol*  OR  ergocalciferol*  OR  25ohd  OR  hydroxycalciferol  OR  hydroxyergocalciferol  OR  hydroxyvitamin ) ) ) )  OR  ( ( TITLE-ABS-KEY ( ( aceclofenac  OR  falcol  OR  clanza  OR  preservex  OR  biofenac  OR  sanein  OR  beofenac  OR  sanein  OR  beofenac  OR  aital  OR  airtal  OR  bristaflam  OR  gerbin ) ) )  OR  ( TITLE-ABS-KEY ( ( apap  OR  acamol  OR  acephen  OR  acetaco  OR  acetamino*  OR  algotropyl  OR  anacin  3  OR  datril  OR  hydroxyacetanilide  OR  panadol  OR  paracetamol  OR  tylenol  OR  p-acetamidophenol  OR  p-hydroxyacetanilide ) ) )  OR  ( TITLE-ABS-KEY ( ( aspirin  OR  "acetylsalicylic acid"  OR  acetysal  OR  acylpyrin  OR  aloxiprimum  OR  colfarit  OR  dispril  </w:t>
            </w:r>
            <w:r w:rsidRPr="000B369D">
              <w:rPr>
                <w:rFonts w:ascii="Arial" w:eastAsia="Arial Unicode MS" w:hAnsi="Arial" w:cs="Arial"/>
                <w:sz w:val="20"/>
                <w:szCs w:val="20"/>
                <w:lang w:val="en-GB"/>
              </w:rPr>
              <w:lastRenderedPageBreak/>
              <w:t>OR  easprin  OR  ecotrin  OR  endosprin  OR  magnecyl  OR  micristin  OR  polopirin  OR  polopiryna  OR  solprin  OR  solupsan  OR  zorprin ) ) )  OR  ( TITLE-ABS-KEY ( ( benoxaprofen  OR  oraflex ) ) )  OR  ( TITLE-ABS-KEY ( ( betadexamethasone  OR  betamethasone  OR  celeston*  OR  cellestoderm  OR  flubenisolone ) ) )  OR  ( TITLE-ABS-KEY ( ( calcitrin  OR  calcitonin  OR  thyrocalcitonin ) ) )  OR  ( TITLE-ABS-KEY ( ( "8-methyl-n-vanillyl-6-nonenamide"  OR  axsain  OR  capsaicin*  OR  capsidol  OR  "capsicum farmaya"  OR  capsin  OR  capzasin  OR  gelcen  OR  katrum  OR  zacin  OR  zostric  OR  "ngx 4010" ) ) )  OR  ( TITLE-ABS-KEY ( ( celebrex  OR  celecoxib ) ) )  OR  ( TITLE-ABS-KEY ( ( blutal  OR  ( chondroitin  W/3  sulfat* )  OR  chonsurid  OR  translagen ) ) )  OR  ( TITLE-ABS-KEY ( cortivazol ) ) ) )  AND  ( ( TITLE-ABS-KEY ( "joint space narrowing" ) )  OR  ( TITLE-ABS-KEY ( "joint space width" ) )  OR  ( TITLE-ABS-KEY ( jsn ) )  OR  ( TITLE-ABS-KEY ( jsw ) )  OR  ( TITLE-ABS-KEY ( ( kellgren  AND adj2  AND grade ) ) )  OR  ( TITLE-ABS-KEY ( ( kellgren  W/2  grade ) ) )  OR  ( TITLE-ABS-KEY ( womac ) )  OR  ( TITLE-ABS-KEY ( "Western Ontario and McMaster Universities osteoarthritis index" ) )  OR  ( TITLE-ABS-KEY ( pain ) )  OR  ( TITLE-ABS-KEY ( function ) )  OR  ( TITLE-ABS-KEY ( stiffness ) )  OR  ( TITLE-ABS-KEY ( thickness ) )  OR  ( TITLE-ABS-KEY ( vas ) )  OR  ( TITLE-ABS-KEY ( ( visual  W/1  analogue  W/1  ( scale  OR  score ) ) ) )  OR  ( TITLE-ABS-KEY ( dysfunction ) )  OR  ( TITLE-ABS-KEY ( "functional index" ) )  OR  ( TITLE-ABS-KEY ( "treatment outcome" ) )  OR  ( TITLE-ABS-KEY ( effectiveness ) )  OR  ( TITLE-ABS-KEY ( symptom ) ) OR  ( TITLE-ABS-KEY ( lequesne ) ) ) </w:t>
            </w:r>
          </w:p>
          <w:p w14:paraId="3A395BB8" w14:textId="77777777" w:rsidR="00FA506A" w:rsidRPr="000B369D" w:rsidRDefault="00FA506A" w:rsidP="00111BE5">
            <w:pPr>
              <w:rPr>
                <w:rFonts w:ascii="Arial" w:eastAsia="Arial Unicode MS" w:hAnsi="Arial" w:cs="Arial"/>
                <w:sz w:val="20"/>
                <w:szCs w:val="20"/>
                <w:lang w:val="en-GB"/>
              </w:rPr>
            </w:pPr>
          </w:p>
        </w:tc>
      </w:tr>
      <w:tr w:rsidR="00FA506A" w:rsidRPr="00252F1D" w14:paraId="6E55528B" w14:textId="77777777" w:rsidTr="00FA506A">
        <w:tc>
          <w:tcPr>
            <w:tcW w:w="2122" w:type="dxa"/>
          </w:tcPr>
          <w:p w14:paraId="2D0431BA" w14:textId="11FA75AD"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lastRenderedPageBreak/>
              <w:t>EBM Reviews - Cochrane Central Register of Controlled Trials</w:t>
            </w:r>
          </w:p>
        </w:tc>
        <w:tc>
          <w:tcPr>
            <w:tcW w:w="7229" w:type="dxa"/>
          </w:tcPr>
          <w:p w14:paraId="5E091F0E" w14:textId="5DA8BA69"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     Osteoarthritis, Knee/ (3562)</w:t>
            </w:r>
          </w:p>
          <w:p w14:paraId="1EF953C0"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     Osteoarthritis/ (3384)</w:t>
            </w:r>
          </w:p>
          <w:p w14:paraId="5E0EA34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     Knee Joint/ (2889)</w:t>
            </w:r>
          </w:p>
          <w:p w14:paraId="729B7D70"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     knee*.ti,ab. (25032)</w:t>
            </w:r>
          </w:p>
          <w:p w14:paraId="522821E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     osteoarthr*.ti,ab. (12984)</w:t>
            </w:r>
          </w:p>
          <w:p w14:paraId="68AA853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     arthriti*.ti,ab. (18725)</w:t>
            </w:r>
          </w:p>
          <w:p w14:paraId="70C4B1E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     (joint* adj2 (knee* or tibiofibular*)).ti,ab. (3096)</w:t>
            </w:r>
          </w:p>
          <w:p w14:paraId="44EA6DA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     OA.ti,ab. (5314)</w:t>
            </w:r>
          </w:p>
          <w:p w14:paraId="707D34B8"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     ((osteoarthrit* or arthriti* or OA) adj2 knee*).ti,ab. (8217)</w:t>
            </w:r>
          </w:p>
          <w:p w14:paraId="0E5C789F"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     2 and (3 or 4 or 7) (1889)</w:t>
            </w:r>
          </w:p>
          <w:p w14:paraId="0C8C365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     (5 or 6 or 8) and (3 or 4 or 7) (9830)</w:t>
            </w:r>
          </w:p>
          <w:p w14:paraId="7A0C90FF"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     1 or 9 or 10 or 11 (10726)</w:t>
            </w:r>
          </w:p>
          <w:p w14:paraId="4F238318"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13     (aceclofenac or falcol or clanza or preservex or biofenac or sanein or beofenac or sanein or beofenac or aital or airtal or bristaflam or gerbin).ti,ab. (145)</w:t>
            </w:r>
          </w:p>
          <w:p w14:paraId="2068FE5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14     Acetaminophen/ (2886)</w:t>
            </w:r>
          </w:p>
          <w:p w14:paraId="76F15804"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15     (apap or acamol or acephen or acetaco or acetamino* or algotropyl or anacin 3 or datril or hydroxyacetanilide or panadol or paracetamol or tylenol or p-acetamidophenol or p-hydroxyacetanilide).ti,ab. (7866)</w:t>
            </w:r>
          </w:p>
          <w:p w14:paraId="23CA958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16     Aspirin/ (5400)</w:t>
            </w:r>
          </w:p>
          <w:p w14:paraId="2DD8250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17     (aspirin or "acetylsalicylic acid" or acetysal or acylpyrin or aloxiprimum or colfarit or dispril or easprin or ecotrin or endosprin or magnecyl or micristin or polopirin or polopiryna or solprin or solupsan or zorprin).ti,ab. (12742)</w:t>
            </w:r>
          </w:p>
          <w:p w14:paraId="581253F7"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18     (benoxaprofen or oraflex).ti,ab. (39)</w:t>
            </w:r>
          </w:p>
          <w:p w14:paraId="522C085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19     exp Betamethasone/ (1370)</w:t>
            </w:r>
          </w:p>
          <w:p w14:paraId="7E47E03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20     (betadexamethasone or betamethasone or celeston* or cellestoderm or flubenisolone).ti,ab. (1863)</w:t>
            </w:r>
          </w:p>
          <w:p w14:paraId="26729C0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21     Calcitonin/ (618)</w:t>
            </w:r>
          </w:p>
          <w:p w14:paraId="15D90CA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22     (calcitrin or calcitonin or thyrocalcitonin).ti,ab. (1401)</w:t>
            </w:r>
          </w:p>
          <w:p w14:paraId="42C7B837"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23     Capsaicin/ (560)</w:t>
            </w:r>
          </w:p>
          <w:p w14:paraId="02F2E36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lastRenderedPageBreak/>
              <w:t>24     ("8-methyl-n-vanillyl-6-nonenamide" or axsain or capsaicin* or capsidol or "capsicum farmaya" or capsin or capzasin or gelcen or katrum or zacin or zostric or "ngx 4010").ti,ab. (1191)</w:t>
            </w:r>
          </w:p>
          <w:p w14:paraId="3B09F26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25     Celecoxib/ (849)</w:t>
            </w:r>
          </w:p>
          <w:p w14:paraId="07A638EA"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26     (celebrex or celecoxib).ti,ab. (1850)</w:t>
            </w:r>
          </w:p>
          <w:p w14:paraId="0EE2100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27     Chondroitin Sulfates/ (222)</w:t>
            </w:r>
          </w:p>
          <w:p w14:paraId="118E683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28     (blutal or (chondroitin adj3 sulfat*) or chonsurid or translagen).ti,ab. (358)</w:t>
            </w:r>
          </w:p>
          <w:p w14:paraId="1F3FCC6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29     cortivazol.ti,ab. (12)</w:t>
            </w:r>
          </w:p>
          <w:p w14:paraId="6D90A85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30     exp Dexamethasone/ (3930)</w:t>
            </w:r>
          </w:p>
          <w:p w14:paraId="6197CCA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31     (decaject or decameth or decaspray or dexamethasone or dexasone or dexpak or hexadecadrol or hexadrol or maxidex or methylfluorprednisolone or millicorten or oradexon).ti,ab. (9295)</w:t>
            </w:r>
          </w:p>
          <w:p w14:paraId="17940169"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32     (diacerein or diacethylrhein or diacerhein or zondar).ti,ab. (105)</w:t>
            </w:r>
          </w:p>
          <w:p w14:paraId="2406D69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33     Diclofenac/ (1814)</w:t>
            </w:r>
          </w:p>
          <w:p w14:paraId="3563103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34     (diclofenac or dichlofenac or diclophenac or dicrofenac or feloran or novapirina or orthofen or orthophen or ortofen or voltaren or voltarol).ti,ab. (4355)</w:t>
            </w:r>
          </w:p>
          <w:p w14:paraId="34729C2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35     Diflunisal/ (98)</w:t>
            </w:r>
          </w:p>
          <w:p w14:paraId="2BDE1DA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36     (diflunisal or apodiflunisal or dolobid* or novodiflunisal or nudiflunisal).ti,ab. (245)</w:t>
            </w:r>
          </w:p>
          <w:p w14:paraId="0325399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37     Doxycycline/ (976)</w:t>
            </w:r>
          </w:p>
          <w:p w14:paraId="461EEAC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38     ("alpha 6 deoxyoxytetracycline" or atridox or doryx or doxycycline or hydramycin or oraceo or periostat or "vibra tabs" or vibramycin or vibravenos).ti,ab. (1746)</w:t>
            </w:r>
          </w:p>
          <w:p w14:paraId="2B21085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39     Duloxetine Hydrochloride/ (425)</w:t>
            </w:r>
          </w:p>
          <w:p w14:paraId="2D48F53A"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40     (cymbalta or duloxetine).ti,ab. (1148)</w:t>
            </w:r>
          </w:p>
          <w:p w14:paraId="62F477D4"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41     (eltenac or telzenac).ti,ab. (2)</w:t>
            </w:r>
          </w:p>
          <w:p w14:paraId="57A5DDF9"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42     Etodolac/ (108)</w:t>
            </w:r>
          </w:p>
          <w:p w14:paraId="1141911F"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43     (etodolac or iodine or ramodar or ultradol or etodilic).ti,ab. (3675)</w:t>
            </w:r>
          </w:p>
          <w:p w14:paraId="1B6908D0"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44     (etoricoxib or arcoxial).ti,ab. (384)</w:t>
            </w:r>
          </w:p>
          <w:p w14:paraId="2783D008"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45     Fentanyl/ (4045)</w:t>
            </w:r>
          </w:p>
          <w:p w14:paraId="06D08CCA"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46     (fentanyl or duragesic or durogesic or fentanest or fentora or phentanyl or sublimaze).ti,ab. (11526)</w:t>
            </w:r>
          </w:p>
          <w:p w14:paraId="09B5D89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47     Flurbiprofen/ (428)</w:t>
            </w:r>
          </w:p>
          <w:p w14:paraId="2043872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48     (ansaid or flubiprofen or cebutid or doprofen or flugalin or flurbiprofen or fluriproben or froben or "neo artrol" or fluprofen or ocufen or ocuflur or strefen).ti,ab. (823)</w:t>
            </w:r>
          </w:p>
          <w:p w14:paraId="59A3C824"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49     Adrenal Cortex Hormones/ (2024)</w:t>
            </w:r>
          </w:p>
          <w:p w14:paraId="7B41EE08"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50     (corticoid* or corticosteroid* or "adrenal cortex hormone").ti,ab. (19044)</w:t>
            </w:r>
          </w:p>
          <w:p w14:paraId="2B55AAC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51     Glucosamine/ (206)</w:t>
            </w:r>
          </w:p>
          <w:p w14:paraId="1084A614"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52     (glucosamine or dona or hespercorbin or xicil).ti,ab. (578)</w:t>
            </w:r>
          </w:p>
          <w:p w14:paraId="4BE3F95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53     Hyaluronic Acid/ (1425)</w:t>
            </w:r>
          </w:p>
          <w:p w14:paraId="03E0B78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54     ("hyaluronic adic" or "amo vitrax" or amvisc or biolon or etamucine or healon or hyaluron* or hyvisc or iuronit).ti,ab. (3650)</w:t>
            </w:r>
          </w:p>
          <w:p w14:paraId="5EEC74E0"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55     Hydrocortisone/ (5672)</w:t>
            </w:r>
          </w:p>
          <w:p w14:paraId="304CAB3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56     (hydrocortisone or cortifair or cortisol or cortril or epicortisol).ti,ab. (11922)</w:t>
            </w:r>
          </w:p>
          <w:p w14:paraId="0852124A"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57     Ibuprofen/ (1761)</w:t>
            </w:r>
          </w:p>
          <w:p w14:paraId="4F944D2A"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58     (brufen or ibumetin or ibuprofen or motrin or nuprin or rufen or salprofen or "trauma dolgit gel").ti,ab. (3892)</w:t>
            </w:r>
          </w:p>
          <w:p w14:paraId="07612B8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59     Indomethacin/ (1504)</w:t>
            </w:r>
          </w:p>
          <w:p w14:paraId="35CEFF9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60     (amuno or indoci* or indomet* or metindol or osmosin).ti,ab. (2897)</w:t>
            </w:r>
          </w:p>
          <w:p w14:paraId="6130ADE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61     Ketoprofen/ (536)</w:t>
            </w:r>
          </w:p>
          <w:p w14:paraId="238D6E6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62     (alrheum* or "benzoylhydratropic acid" or ketoprofen or orudis or profenid).ti,ab. (977)</w:t>
            </w:r>
          </w:p>
          <w:p w14:paraId="03D0872A"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63     Ketorolac/ (785)</w:t>
            </w:r>
          </w:p>
          <w:p w14:paraId="71DDF66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64     (ketorolac or acular or toradol).ti,ab. (2218)</w:t>
            </w:r>
          </w:p>
          <w:p w14:paraId="6B42A45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65     licofelone.ti,ab. (8)</w:t>
            </w:r>
          </w:p>
          <w:p w14:paraId="76A745B0" w14:textId="77777777" w:rsidR="00FA506A" w:rsidRPr="000B369D" w:rsidRDefault="00FA506A" w:rsidP="00111BE5">
            <w:pPr>
              <w:rPr>
                <w:rFonts w:ascii="Arial" w:eastAsia="Arial Unicode MS" w:hAnsi="Arial" w:cs="Arial"/>
                <w:sz w:val="20"/>
                <w:szCs w:val="20"/>
              </w:rPr>
            </w:pPr>
            <w:r w:rsidRPr="000B369D">
              <w:rPr>
                <w:rFonts w:ascii="Arial" w:eastAsia="Arial Unicode MS" w:hAnsi="Arial" w:cs="Arial"/>
                <w:sz w:val="20"/>
                <w:szCs w:val="20"/>
                <w:lang w:val="en-GB"/>
              </w:rPr>
              <w:t xml:space="preserve">66     (lornoxicam or chlortenoxicam or xefocam).ti,ab. </w:t>
            </w:r>
            <w:r w:rsidRPr="000B369D">
              <w:rPr>
                <w:rFonts w:ascii="Arial" w:eastAsia="Arial Unicode MS" w:hAnsi="Arial" w:cs="Arial"/>
                <w:sz w:val="20"/>
                <w:szCs w:val="20"/>
              </w:rPr>
              <w:t>(270)</w:t>
            </w:r>
          </w:p>
          <w:p w14:paraId="0A297809"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rPr>
              <w:t xml:space="preserve">67     (lumiracoxib or prexige).ti,ab. </w:t>
            </w:r>
            <w:r w:rsidRPr="000B369D">
              <w:rPr>
                <w:rFonts w:ascii="Arial" w:eastAsia="Arial Unicode MS" w:hAnsi="Arial" w:cs="Arial"/>
                <w:sz w:val="20"/>
                <w:szCs w:val="20"/>
                <w:lang w:val="en-GB"/>
              </w:rPr>
              <w:t>(97)</w:t>
            </w:r>
          </w:p>
          <w:p w14:paraId="73EEB7ED"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lastRenderedPageBreak/>
              <w:t>68     Meloxicam/ (207)</w:t>
            </w:r>
          </w:p>
          <w:p w14:paraId="2812E3F4"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69     (meloxicam or masflex or miloxicam or mobec or mobic* or movalis or movicox or parocin or reumoxicam or uticox).ti,ab. (466)</w:t>
            </w:r>
          </w:p>
          <w:p w14:paraId="77BFCDFF"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70     Dipyrone/ (219)</w:t>
            </w:r>
          </w:p>
          <w:p w14:paraId="144E9EF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71     (algopyrin or analgin or biopyrin or dipyron* or metamizol* or methamizole or methampyrone or narone or "noramidopyrine methanesulfonate" or normelubrine or novalgetol or novalgetol or novalgin or novamidazophen or novaminsulfone or optalgin or pyralgin or sulpyrin*).ti,ab. (627)</w:t>
            </w:r>
          </w:p>
          <w:p w14:paraId="2735DA07"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72     Methylprednisolone/ (2357)</w:t>
            </w:r>
          </w:p>
          <w:p w14:paraId="57FA060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73     (methylprednisolone or medrol or metipred or urbason).ti,ab. (3305)</w:t>
            </w:r>
          </w:p>
          <w:p w14:paraId="2DC5F8F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74     (methylsulfonylmethane or "dimethyl sulfone" or "methyl sulfone").ti,ab. (41)</w:t>
            </w:r>
          </w:p>
          <w:p w14:paraId="1EECB49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75     Nabumetone/ (89)</w:t>
            </w:r>
          </w:p>
          <w:p w14:paraId="79D983D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76     (aponabumetone or nabumeton* or arthraxan or gennabumetone or listran or mebutan or nabucox or relafen or relif or relifex).ti,ab. (181)</w:t>
            </w:r>
          </w:p>
          <w:p w14:paraId="28A3874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77     (naproxcinod or "no-naproxen" or "nitric oxide naproxen" or "nicox").ti,ab. (1990)</w:t>
            </w:r>
          </w:p>
          <w:p w14:paraId="248A77CE"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78     Naproxen/ (1076)</w:t>
            </w:r>
          </w:p>
          <w:p w14:paraId="6F22E3B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79     (naproxen* or aleve or anaprox or methoxypropiocin or napros* or proxen or synflex).ti,ab. (2026)</w:t>
            </w:r>
          </w:p>
          <w:p w14:paraId="2886C11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80     (nimesulide or aulin or eskaflam or lizepat or mesulid or nexen or nimesil or redaflam or antifloxil or guaxan).ti,ab. (362)</w:t>
            </w:r>
          </w:p>
          <w:p w14:paraId="54A97E1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81     Analgesics, Opioid/ (6894)</w:t>
            </w:r>
          </w:p>
          <w:p w14:paraId="05564AAA"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82     opioid*.ti,ab. (16889)</w:t>
            </w:r>
          </w:p>
          <w:p w14:paraId="5A7B123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83     oxaprozin/ (22)</w:t>
            </w:r>
          </w:p>
          <w:p w14:paraId="3E773D4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84     (oxaprozin or danoprox or daypro or dayrun).ti,ab. (56)</w:t>
            </w:r>
          </w:p>
          <w:p w14:paraId="7F775A9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85     (parecoxib or dynastat).ti,ab. (430)</w:t>
            </w:r>
          </w:p>
          <w:p w14:paraId="20DBEFE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86     pennsaid.ti,ab. (10)</w:t>
            </w:r>
          </w:p>
          <w:p w14:paraId="308E897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87     (piroxicam or feldene).ti,ab. (847)</w:t>
            </w:r>
          </w:p>
          <w:p w14:paraId="673B93CF"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88     Prednisolone/ (2667)</w:t>
            </w:r>
          </w:p>
          <w:p w14:paraId="73A24B48"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89     (prednisolon* or diadresonf or predate or predonine).ti,ab. (5040)</w:t>
            </w:r>
          </w:p>
          <w:p w14:paraId="342EF64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90     S-Adenosylmethionine/ (121)</w:t>
            </w:r>
          </w:p>
          <w:p w14:paraId="08A9E11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91     (ademetionine or adomet or gumbaral or adenosylmethionine or adenosyl or samyr).ti,ab. (316)</w:t>
            </w:r>
          </w:p>
          <w:p w14:paraId="782C57F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92     Steroids/ (634)</w:t>
            </w:r>
          </w:p>
          <w:p w14:paraId="583866B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93     steroid*.ti,ab. (22421)</w:t>
            </w:r>
          </w:p>
          <w:p w14:paraId="06C86FC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94     Sulindac/ (160)</w:t>
            </w:r>
          </w:p>
          <w:p w14:paraId="527569E7"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95     (sulindac or aclin or "apo sulin" or arthrobid or arthrocine or chibret or clinoril or copal or kenalin or klinoril or "novo sundac" or sulinda*).ti,ab. (344)</w:t>
            </w:r>
          </w:p>
          <w:p w14:paraId="7D6CB4B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96     tenidap.ti,ab. (37)</w:t>
            </w:r>
          </w:p>
          <w:p w14:paraId="4E5E66C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97     (tenoxicam or reutenox or artriunic or mobiflex or tilcotil).ti,ab. (378)</w:t>
            </w:r>
          </w:p>
          <w:p w14:paraId="1699385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98     ("tiaprofenic acid" or flanid or "nu tiaprofenic" or surgam or "novo tiaprofenic").ti,ab. (120)</w:t>
            </w:r>
          </w:p>
          <w:p w14:paraId="0F13DC0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99     Tolmetin/ (361)</w:t>
            </w:r>
          </w:p>
          <w:p w14:paraId="07EC60F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100     (tolmetin or tolectin).ti,ab. (98)</w:t>
            </w:r>
          </w:p>
          <w:p w14:paraId="124FCF13"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101     Tramadol/ (1050)</w:t>
            </w:r>
          </w:p>
          <w:p w14:paraId="1AC7D75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102     (adolonta or amadol or biodalgic or biokanol or contramal or jutadol or nobligan or prontofort or ranitidin or takadol or theradol or trial or topalgic or tradol* or tralgiol or tramado* or tramabeta or tramadin or tramadura or tramagetic or tramagit or tramake or tramal or tramex or tramundin or trasedal or ultram or zamudol or zumalgic or zydol or zytram).ti,ab. (524734)</w:t>
            </w:r>
          </w:p>
          <w:p w14:paraId="7F9D948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103     Triamcinolone/ (526)</w:t>
            </w:r>
          </w:p>
          <w:p w14:paraId="5B57CA0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104     ("trolamine salicylate" or triethanolamine or myoflex).ti,ab. (39)</w:t>
            </w:r>
          </w:p>
          <w:p w14:paraId="51EF0174"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105     (valdecoxib or bextra).ti,ab. (157)</w:t>
            </w:r>
          </w:p>
          <w:p w14:paraId="5917A9D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106     exp Vitamin D/ (4594)</w:t>
            </w:r>
          </w:p>
          <w:p w14:paraId="7BDB69C1" w14:textId="77777777" w:rsidR="00FA506A" w:rsidRPr="000B369D" w:rsidRDefault="00FA506A" w:rsidP="00111BE5">
            <w:pPr>
              <w:rPr>
                <w:rFonts w:ascii="Arial" w:eastAsia="Arial Unicode MS" w:hAnsi="Arial" w:cs="Arial"/>
                <w:sz w:val="20"/>
                <w:szCs w:val="20"/>
              </w:rPr>
            </w:pPr>
            <w:r w:rsidRPr="000B369D">
              <w:rPr>
                <w:rFonts w:ascii="Arial" w:eastAsia="Arial Unicode MS" w:hAnsi="Arial" w:cs="Arial"/>
                <w:sz w:val="20"/>
                <w:szCs w:val="20"/>
                <w:lang w:val="en-GB"/>
              </w:rPr>
              <w:t xml:space="preserve">107     ("vitamin d" or calciol or cholecalciferol* or calciferol* or ergocalciferol* or 25OHD or hydroxycalciferol or hydroxyergocalciferol or hydroxyvitamin).ti,ab. </w:t>
            </w:r>
            <w:r w:rsidRPr="000B369D">
              <w:rPr>
                <w:rFonts w:ascii="Arial" w:eastAsia="Arial Unicode MS" w:hAnsi="Arial" w:cs="Arial"/>
                <w:sz w:val="20"/>
                <w:szCs w:val="20"/>
              </w:rPr>
              <w:t>(10195)</w:t>
            </w:r>
          </w:p>
          <w:p w14:paraId="2B750A59" w14:textId="77777777" w:rsidR="00FA506A" w:rsidRPr="000B369D" w:rsidRDefault="00FA506A" w:rsidP="00111BE5">
            <w:pPr>
              <w:rPr>
                <w:rFonts w:ascii="Arial" w:eastAsia="Arial Unicode MS" w:hAnsi="Arial" w:cs="Arial"/>
                <w:sz w:val="20"/>
                <w:szCs w:val="20"/>
              </w:rPr>
            </w:pPr>
            <w:r w:rsidRPr="000B369D">
              <w:rPr>
                <w:rFonts w:ascii="Arial" w:eastAsia="Arial Unicode MS" w:hAnsi="Arial" w:cs="Arial"/>
                <w:sz w:val="20"/>
                <w:szCs w:val="20"/>
              </w:rPr>
              <w:t>108     exp Vitamin E/ (2367)</w:t>
            </w:r>
          </w:p>
          <w:p w14:paraId="441ACE46" w14:textId="77777777" w:rsidR="00FA506A" w:rsidRPr="000B369D" w:rsidRDefault="00FA506A" w:rsidP="00111BE5">
            <w:pPr>
              <w:rPr>
                <w:rFonts w:ascii="Arial" w:eastAsia="Arial Unicode MS" w:hAnsi="Arial" w:cs="Arial"/>
                <w:sz w:val="20"/>
                <w:szCs w:val="20"/>
                <w:lang w:val="en-GB"/>
              </w:rPr>
            </w:pPr>
            <w:r w:rsidRPr="00F20D3D">
              <w:rPr>
                <w:rFonts w:ascii="Arial" w:eastAsia="Arial Unicode MS" w:hAnsi="Arial" w:cs="Arial"/>
                <w:sz w:val="20"/>
                <w:szCs w:val="20"/>
              </w:rPr>
              <w:lastRenderedPageBreak/>
              <w:t xml:space="preserve">109     ("vitamin e" or "vit e").ti,ab. </w:t>
            </w:r>
            <w:r w:rsidRPr="000B369D">
              <w:rPr>
                <w:rFonts w:ascii="Arial" w:eastAsia="Arial Unicode MS" w:hAnsi="Arial" w:cs="Arial"/>
                <w:sz w:val="20"/>
                <w:szCs w:val="20"/>
                <w:lang w:val="en-GB"/>
              </w:rPr>
              <w:t>(3882)</w:t>
            </w:r>
          </w:p>
          <w:p w14:paraId="53683A61"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110     or/13-109 (620547)</w:t>
            </w:r>
          </w:p>
          <w:p w14:paraId="60948B1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111     "joint space narrowing".ti,ab. (364)</w:t>
            </w:r>
          </w:p>
          <w:p w14:paraId="3DA96BE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112     "joint space width".ti,ab. (236)</w:t>
            </w:r>
          </w:p>
          <w:p w14:paraId="279DD96F"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113     jsn.ti,ab. (176)</w:t>
            </w:r>
          </w:p>
          <w:p w14:paraId="6DAB409A"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114     jsw.ti,ab. (140)</w:t>
            </w:r>
          </w:p>
          <w:p w14:paraId="5DDA468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115     (kellgren adj2 grade).ti,ab. (386)</w:t>
            </w:r>
          </w:p>
          <w:p w14:paraId="19CFDF17"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116     womac.ti,ab. (3345)</w:t>
            </w:r>
          </w:p>
          <w:p w14:paraId="56AE447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117     "Western Ontario and McMaster Universities osteoarthritis index".ti,ab. (1055)</w:t>
            </w:r>
          </w:p>
          <w:p w14:paraId="7685F554"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118     pain.ti,ab. (140134)</w:t>
            </w:r>
          </w:p>
          <w:p w14:paraId="0C217EC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119     function.ti,ab. (141734)</w:t>
            </w:r>
          </w:p>
          <w:p w14:paraId="7C090ABA"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120     stiffness.ti,ab. (7693)</w:t>
            </w:r>
          </w:p>
          <w:p w14:paraId="01ED867F"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121     thickness.ti,ab. (16577)</w:t>
            </w:r>
          </w:p>
          <w:p w14:paraId="104D729B"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122     VAS.ti,ab. (29390)</w:t>
            </w:r>
          </w:p>
          <w:p w14:paraId="06326E3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123     (visual adj1 analogue adj1 (scale or score)).ti,ab. (18858)</w:t>
            </w:r>
          </w:p>
          <w:p w14:paraId="57BA1C06"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124     dysfunction.ti,ab. (29887)</w:t>
            </w:r>
          </w:p>
          <w:p w14:paraId="19D2044C"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125     "functional index".ti,ab. (530)</w:t>
            </w:r>
          </w:p>
          <w:p w14:paraId="28FBA397"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126     treatment outcome/ (124657)</w:t>
            </w:r>
          </w:p>
          <w:p w14:paraId="58BF9260"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127     effectiveness.ti,ab. (108906)</w:t>
            </w:r>
          </w:p>
          <w:p w14:paraId="485F4165"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128     symptom*.ti,ab. (170671)</w:t>
            </w:r>
          </w:p>
          <w:p w14:paraId="095C9557"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129     lequesne.ti,ab (445)</w:t>
            </w:r>
          </w:p>
          <w:p w14:paraId="3FD9CF52" w14:textId="77777777"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130     or/111-129 (564076)</w:t>
            </w:r>
          </w:p>
          <w:p w14:paraId="3BD17A80" w14:textId="0F54EFE8" w:rsidR="00FA506A" w:rsidRPr="000B369D" w:rsidRDefault="00FA506A" w:rsidP="00111BE5">
            <w:pPr>
              <w:rPr>
                <w:rFonts w:ascii="Arial" w:eastAsia="Arial Unicode MS" w:hAnsi="Arial" w:cs="Arial"/>
                <w:sz w:val="20"/>
                <w:szCs w:val="20"/>
                <w:lang w:val="en-GB"/>
              </w:rPr>
            </w:pPr>
            <w:r w:rsidRPr="000B369D">
              <w:rPr>
                <w:rFonts w:ascii="Arial" w:eastAsia="Arial Unicode MS" w:hAnsi="Arial" w:cs="Arial"/>
                <w:sz w:val="20"/>
                <w:szCs w:val="20"/>
                <w:lang w:val="en-GB"/>
              </w:rPr>
              <w:t xml:space="preserve">131     12 and 110 and 130 </w:t>
            </w:r>
          </w:p>
        </w:tc>
      </w:tr>
    </w:tbl>
    <w:p w14:paraId="30D5E5E7" w14:textId="77777777" w:rsidR="0016068E" w:rsidRPr="000B369D" w:rsidRDefault="0016068E" w:rsidP="00111BE5">
      <w:pPr>
        <w:spacing w:line="240" w:lineRule="auto"/>
        <w:rPr>
          <w:rFonts w:ascii="Arial" w:hAnsi="Arial" w:cs="Arial"/>
          <w:sz w:val="20"/>
          <w:szCs w:val="20"/>
          <w:lang w:val="en-GB"/>
        </w:rPr>
      </w:pPr>
    </w:p>
    <w:p w14:paraId="5FC0930C" w14:textId="77777777" w:rsidR="00FA506A" w:rsidRPr="000B369D" w:rsidRDefault="00FA506A" w:rsidP="00111BE5">
      <w:pPr>
        <w:spacing w:line="240" w:lineRule="auto"/>
        <w:rPr>
          <w:rFonts w:ascii="Arial" w:hAnsi="Arial" w:cs="Arial"/>
          <w:b/>
          <w:bCs/>
          <w:sz w:val="20"/>
          <w:szCs w:val="20"/>
          <w:lang w:val="en-GB"/>
        </w:rPr>
        <w:sectPr w:rsidR="00FA506A" w:rsidRPr="000B369D">
          <w:footerReference w:type="default" r:id="rId18"/>
          <w:pgSz w:w="11906" w:h="16838"/>
          <w:pgMar w:top="1417" w:right="1417" w:bottom="1417" w:left="1417" w:header="708" w:footer="708" w:gutter="0"/>
          <w:cols w:space="708"/>
          <w:docGrid w:linePitch="360"/>
        </w:sectPr>
      </w:pPr>
    </w:p>
    <w:p w14:paraId="70D0FC7E" w14:textId="5BDE380F" w:rsidR="0016068E" w:rsidRDefault="000B369D" w:rsidP="00111BE5">
      <w:pPr>
        <w:spacing w:line="240" w:lineRule="auto"/>
        <w:rPr>
          <w:rFonts w:ascii="Arial" w:hAnsi="Arial" w:cs="Arial"/>
          <w:sz w:val="20"/>
          <w:szCs w:val="20"/>
          <w:lang w:val="en-GB"/>
        </w:rPr>
      </w:pPr>
      <w:r>
        <w:rPr>
          <w:rFonts w:ascii="Arial" w:hAnsi="Arial" w:cs="Arial"/>
          <w:b/>
          <w:bCs/>
          <w:sz w:val="20"/>
          <w:szCs w:val="20"/>
          <w:lang w:val="en-GB"/>
        </w:rPr>
        <w:lastRenderedPageBreak/>
        <w:t>TableA</w:t>
      </w:r>
      <w:r w:rsidR="00A13521">
        <w:rPr>
          <w:rFonts w:ascii="Arial" w:hAnsi="Arial" w:cs="Arial"/>
          <w:b/>
          <w:bCs/>
          <w:sz w:val="20"/>
          <w:szCs w:val="20"/>
          <w:lang w:val="en-GB"/>
        </w:rPr>
        <w:t>3</w:t>
      </w:r>
      <w:r w:rsidR="00582B19" w:rsidRPr="000B369D">
        <w:rPr>
          <w:rFonts w:ascii="Arial" w:hAnsi="Arial" w:cs="Arial"/>
          <w:b/>
          <w:bCs/>
          <w:sz w:val="20"/>
          <w:szCs w:val="20"/>
          <w:lang w:val="en-GB"/>
        </w:rPr>
        <w:t xml:space="preserve"> </w:t>
      </w:r>
      <w:r w:rsidR="00DE7DCE">
        <w:rPr>
          <w:rFonts w:ascii="Arial" w:hAnsi="Arial" w:cs="Arial"/>
          <w:sz w:val="20"/>
          <w:szCs w:val="20"/>
          <w:lang w:val="en-GB"/>
        </w:rPr>
        <w:t>Excluded studies after full-text screening</w:t>
      </w:r>
    </w:p>
    <w:tbl>
      <w:tblPr>
        <w:tblStyle w:val="Grilledutableau"/>
        <w:tblW w:w="0" w:type="auto"/>
        <w:tblLook w:val="04A0" w:firstRow="1" w:lastRow="0" w:firstColumn="1" w:lastColumn="0" w:noHBand="0" w:noVBand="1"/>
      </w:tblPr>
      <w:tblGrid>
        <w:gridCol w:w="4461"/>
        <w:gridCol w:w="3605"/>
        <w:gridCol w:w="1095"/>
        <w:gridCol w:w="2663"/>
        <w:gridCol w:w="2168"/>
      </w:tblGrid>
      <w:tr w:rsidR="0084671B" w14:paraId="47261823" w14:textId="77777777" w:rsidTr="0084671B">
        <w:tc>
          <w:tcPr>
            <w:tcW w:w="4815" w:type="dxa"/>
          </w:tcPr>
          <w:p w14:paraId="2C4A9207" w14:textId="61308897" w:rsidR="0084671B" w:rsidRDefault="0084671B" w:rsidP="0084671B">
            <w:pPr>
              <w:rPr>
                <w:rFonts w:ascii="Arial" w:hAnsi="Arial" w:cs="Arial"/>
                <w:b/>
                <w:bCs/>
                <w:sz w:val="20"/>
                <w:szCs w:val="20"/>
                <w:lang w:val="en-GB"/>
              </w:rPr>
            </w:pPr>
            <w:r w:rsidRPr="000B369D">
              <w:rPr>
                <w:rFonts w:ascii="Arial" w:eastAsia="Times New Roman" w:hAnsi="Arial" w:cs="Arial"/>
                <w:sz w:val="20"/>
                <w:szCs w:val="20"/>
                <w:lang w:eastAsia="fr-BE"/>
              </w:rPr>
              <w:t>Title</w:t>
            </w:r>
          </w:p>
        </w:tc>
        <w:tc>
          <w:tcPr>
            <w:tcW w:w="3951" w:type="dxa"/>
          </w:tcPr>
          <w:p w14:paraId="43D0DCFA" w14:textId="1DF4F1FB" w:rsidR="0084671B" w:rsidRDefault="0084671B" w:rsidP="0084671B">
            <w:pPr>
              <w:rPr>
                <w:rFonts w:ascii="Arial" w:hAnsi="Arial" w:cs="Arial"/>
                <w:b/>
                <w:bCs/>
                <w:sz w:val="20"/>
                <w:szCs w:val="20"/>
                <w:lang w:val="en-GB"/>
              </w:rPr>
            </w:pPr>
            <w:r w:rsidRPr="000B369D">
              <w:rPr>
                <w:rFonts w:ascii="Arial" w:eastAsia="Times New Roman" w:hAnsi="Arial" w:cs="Arial"/>
                <w:sz w:val="20"/>
                <w:szCs w:val="20"/>
                <w:lang w:eastAsia="fr-BE"/>
              </w:rPr>
              <w:t>Authors</w:t>
            </w:r>
          </w:p>
        </w:tc>
        <w:tc>
          <w:tcPr>
            <w:tcW w:w="1095" w:type="dxa"/>
          </w:tcPr>
          <w:p w14:paraId="3EBA32C5" w14:textId="58F3FDF4" w:rsidR="0084671B" w:rsidRDefault="0084671B" w:rsidP="0084671B">
            <w:pPr>
              <w:rPr>
                <w:rFonts w:ascii="Arial" w:hAnsi="Arial" w:cs="Arial"/>
                <w:b/>
                <w:bCs/>
                <w:sz w:val="20"/>
                <w:szCs w:val="20"/>
                <w:lang w:val="en-GB"/>
              </w:rPr>
            </w:pPr>
            <w:r w:rsidRPr="000B369D">
              <w:rPr>
                <w:rFonts w:ascii="Arial" w:eastAsia="Times New Roman" w:hAnsi="Arial" w:cs="Arial"/>
                <w:sz w:val="20"/>
                <w:szCs w:val="20"/>
                <w:lang w:eastAsia="fr-BE"/>
              </w:rPr>
              <w:t>Published Year</w:t>
            </w:r>
          </w:p>
        </w:tc>
        <w:tc>
          <w:tcPr>
            <w:tcW w:w="1758" w:type="dxa"/>
          </w:tcPr>
          <w:p w14:paraId="083A8224" w14:textId="23625654" w:rsidR="0084671B" w:rsidRDefault="0084671B" w:rsidP="0084671B">
            <w:pPr>
              <w:rPr>
                <w:rFonts w:ascii="Arial" w:hAnsi="Arial" w:cs="Arial"/>
                <w:b/>
                <w:bCs/>
                <w:sz w:val="20"/>
                <w:szCs w:val="20"/>
                <w:lang w:val="en-GB"/>
              </w:rPr>
            </w:pPr>
            <w:r w:rsidRPr="000B369D">
              <w:rPr>
                <w:rFonts w:ascii="Arial" w:eastAsia="Times New Roman" w:hAnsi="Arial" w:cs="Arial"/>
                <w:sz w:val="20"/>
                <w:szCs w:val="20"/>
                <w:lang w:eastAsia="fr-BE"/>
              </w:rPr>
              <w:t>Journal</w:t>
            </w:r>
          </w:p>
        </w:tc>
        <w:tc>
          <w:tcPr>
            <w:tcW w:w="2373" w:type="dxa"/>
          </w:tcPr>
          <w:p w14:paraId="479F58FF" w14:textId="0E96A272" w:rsidR="0084671B" w:rsidRDefault="0084671B" w:rsidP="0084671B">
            <w:pPr>
              <w:rPr>
                <w:rFonts w:ascii="Arial" w:hAnsi="Arial" w:cs="Arial"/>
                <w:b/>
                <w:bCs/>
                <w:sz w:val="20"/>
                <w:szCs w:val="20"/>
                <w:lang w:val="en-GB"/>
              </w:rPr>
            </w:pPr>
            <w:r w:rsidRPr="008831C9">
              <w:rPr>
                <w:rFonts w:ascii="Arial" w:eastAsia="Times New Roman" w:hAnsi="Arial" w:cs="Arial"/>
                <w:sz w:val="20"/>
                <w:szCs w:val="20"/>
                <w:lang w:eastAsia="fr-BE"/>
              </w:rPr>
              <w:t>Reason of exclusion</w:t>
            </w:r>
          </w:p>
        </w:tc>
      </w:tr>
      <w:tr w:rsidR="0084671B" w14:paraId="20BFDC72" w14:textId="77777777" w:rsidTr="0084671B">
        <w:tc>
          <w:tcPr>
            <w:tcW w:w="4815" w:type="dxa"/>
          </w:tcPr>
          <w:p w14:paraId="1B78C6F7" w14:textId="474A60E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effect of glucosamine and/or chondroitin sulfate on the progression of knee osteoarthritis: a report from the glucosamine/chondroitin arthritis intervention trial.</w:t>
            </w:r>
          </w:p>
        </w:tc>
        <w:tc>
          <w:tcPr>
            <w:tcW w:w="3951" w:type="dxa"/>
          </w:tcPr>
          <w:p w14:paraId="0375B9D1" w14:textId="0B7436B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Sawitzke, Allen D; Shi, Helen; Finco, Martha F; Dunlop, Dorothy D; Bingham, Clifton O 3rd; Harris, Crystal L; Singer, Nora G; Bradley, John D; Silver, David; Jackson, Christopher G; Lane, Nancy E; Oddis, Chester V; Wolfe, Fred; Lisse, Jeffrey; Furst, Daniel E; Reda, Domenic J; Moskowitz, Roland W; Williams, H James; Clegg, Daniel O</w:t>
            </w:r>
          </w:p>
        </w:tc>
        <w:tc>
          <w:tcPr>
            <w:tcW w:w="1095" w:type="dxa"/>
          </w:tcPr>
          <w:p w14:paraId="5666305C" w14:textId="0463D82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2008</w:t>
            </w:r>
          </w:p>
        </w:tc>
        <w:tc>
          <w:tcPr>
            <w:tcW w:w="1758" w:type="dxa"/>
          </w:tcPr>
          <w:p w14:paraId="295A246C" w14:textId="0569446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Arthritis and rheumatism</w:t>
            </w:r>
          </w:p>
        </w:tc>
        <w:tc>
          <w:tcPr>
            <w:tcW w:w="2373" w:type="dxa"/>
          </w:tcPr>
          <w:p w14:paraId="02340566" w14:textId="327258F8"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outcomes</w:t>
            </w:r>
          </w:p>
        </w:tc>
      </w:tr>
      <w:tr w:rsidR="0084671B" w14:paraId="00848FC1" w14:textId="77777777" w:rsidTr="0084671B">
        <w:tc>
          <w:tcPr>
            <w:tcW w:w="4815" w:type="dxa"/>
          </w:tcPr>
          <w:p w14:paraId="7B78B257" w14:textId="67CC005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of chondroitin sulfate and glucosamine sulfate in the progression of symptomatic knee osteoarthritis: A randomized, placebo-controlled, double blind study</w:t>
            </w:r>
          </w:p>
        </w:tc>
        <w:tc>
          <w:tcPr>
            <w:tcW w:w="3951" w:type="dxa"/>
          </w:tcPr>
          <w:p w14:paraId="605EBBE6" w14:textId="183669D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Rai, J.; Pal, S.K.; Gul, A.; Senthil, R.; Singh, H.</w:t>
            </w:r>
          </w:p>
        </w:tc>
        <w:tc>
          <w:tcPr>
            <w:tcW w:w="1095" w:type="dxa"/>
          </w:tcPr>
          <w:p w14:paraId="2D5B4FFB" w14:textId="7A88361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2004</w:t>
            </w:r>
          </w:p>
        </w:tc>
        <w:tc>
          <w:tcPr>
            <w:tcW w:w="1758" w:type="dxa"/>
          </w:tcPr>
          <w:p w14:paraId="23181977" w14:textId="568F5B3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Bulletin, Postgraduate Institute of Medical Education and Research, Chandigarh</w:t>
            </w:r>
          </w:p>
        </w:tc>
        <w:tc>
          <w:tcPr>
            <w:tcW w:w="2373" w:type="dxa"/>
          </w:tcPr>
          <w:p w14:paraId="6E95B66E" w14:textId="54ABC8A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outcomes</w:t>
            </w:r>
          </w:p>
        </w:tc>
      </w:tr>
      <w:tr w:rsidR="0084671B" w14:paraId="2D7E201B" w14:textId="77777777" w:rsidTr="0084671B">
        <w:tc>
          <w:tcPr>
            <w:tcW w:w="4815" w:type="dxa"/>
          </w:tcPr>
          <w:p w14:paraId="788B80E7" w14:textId="5D3E009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one-year, randomised, placebo (saline) controlled clinical trial of 500-730 kDa sodium hyaluronate (Hyalgan) on the radiological change in osteoarthritis of the knee.</w:t>
            </w:r>
          </w:p>
        </w:tc>
        <w:tc>
          <w:tcPr>
            <w:tcW w:w="3951" w:type="dxa"/>
          </w:tcPr>
          <w:p w14:paraId="1ADD1B0D" w14:textId="2EAA859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Jubb, R W; Piva, S; Beinat, L; Dacre, J; Gishen, P</w:t>
            </w:r>
          </w:p>
        </w:tc>
        <w:tc>
          <w:tcPr>
            <w:tcW w:w="1095" w:type="dxa"/>
          </w:tcPr>
          <w:p w14:paraId="2F638DC7" w14:textId="5ED3C3A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2003</w:t>
            </w:r>
          </w:p>
        </w:tc>
        <w:tc>
          <w:tcPr>
            <w:tcW w:w="1758" w:type="dxa"/>
          </w:tcPr>
          <w:p w14:paraId="1942CCC8" w14:textId="7D06AB2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International journal of clinical practice</w:t>
            </w:r>
          </w:p>
        </w:tc>
        <w:tc>
          <w:tcPr>
            <w:tcW w:w="2373" w:type="dxa"/>
          </w:tcPr>
          <w:p w14:paraId="32B6E50E" w14:textId="03E1A356"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outcomes</w:t>
            </w:r>
          </w:p>
        </w:tc>
      </w:tr>
      <w:tr w:rsidR="0084671B" w:rsidRPr="00252F1D" w14:paraId="1B53D284" w14:textId="77777777" w:rsidTr="0084671B">
        <w:tc>
          <w:tcPr>
            <w:tcW w:w="4815" w:type="dxa"/>
          </w:tcPr>
          <w:p w14:paraId="5AA2735D" w14:textId="0243C08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efficacy and safety of glucosamine, chondroitin sulphate, their combination, celecoxib or placebo taken to treat osteoarthritis of the knee: 2-year results from GAIT.</w:t>
            </w:r>
          </w:p>
        </w:tc>
        <w:tc>
          <w:tcPr>
            <w:tcW w:w="3951" w:type="dxa"/>
          </w:tcPr>
          <w:p w14:paraId="2530A289" w14:textId="7C3DF44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Sawitzke, Allen D; Shi, Helen; Finco, Martha F; Dunlop, Dorothy D; Harris, Crystal L; Singer, Nora G; Bradley, John D; Silver, David; Jackson, Christopher G; Lane, Nancy E; Oddis, Chester V; Wolfe, Fred; Lisse, Jeffrey; Furst, Daniel E; Bingham, Clifton O; Reda, Domenic J; Moskowitz, Roland W; Williams, H James; Clegg, Daniel O</w:t>
            </w:r>
          </w:p>
        </w:tc>
        <w:tc>
          <w:tcPr>
            <w:tcW w:w="1095" w:type="dxa"/>
          </w:tcPr>
          <w:p w14:paraId="55D81CE3" w14:textId="6FD11D9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2010</w:t>
            </w:r>
          </w:p>
        </w:tc>
        <w:tc>
          <w:tcPr>
            <w:tcW w:w="1758" w:type="dxa"/>
          </w:tcPr>
          <w:p w14:paraId="5ED9165E" w14:textId="4468F38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Annals of the rheumatic diseases</w:t>
            </w:r>
          </w:p>
        </w:tc>
        <w:tc>
          <w:tcPr>
            <w:tcW w:w="2373" w:type="dxa"/>
          </w:tcPr>
          <w:p w14:paraId="493BEF30" w14:textId="0952B15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 xml:space="preserve">Exclusion reason: Post-hoc analysis; </w:t>
            </w:r>
          </w:p>
        </w:tc>
      </w:tr>
      <w:tr w:rsidR="0084671B" w:rsidRPr="00252F1D" w14:paraId="0EC694EF" w14:textId="77777777" w:rsidTr="0084671B">
        <w:tc>
          <w:tcPr>
            <w:tcW w:w="4815" w:type="dxa"/>
          </w:tcPr>
          <w:p w14:paraId="79BFCFC4" w14:textId="446A651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therapy of hyaluronic acid combined with platelet-rich plasma for the treatment of knee osteoarthritis.</w:t>
            </w:r>
          </w:p>
        </w:tc>
        <w:tc>
          <w:tcPr>
            <w:tcW w:w="3951" w:type="dxa"/>
          </w:tcPr>
          <w:p w14:paraId="4E928CC9" w14:textId="40B61C2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Yu, Wenxing; Xu, Peng; Huang, Guiling; Liu, Lin</w:t>
            </w:r>
          </w:p>
        </w:tc>
        <w:tc>
          <w:tcPr>
            <w:tcW w:w="1095" w:type="dxa"/>
          </w:tcPr>
          <w:p w14:paraId="672FDB27" w14:textId="2563898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31F742BB" w14:textId="769F7C5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Experimental and therapeutic medicine</w:t>
            </w:r>
          </w:p>
        </w:tc>
        <w:tc>
          <w:tcPr>
            <w:tcW w:w="2373" w:type="dxa"/>
          </w:tcPr>
          <w:p w14:paraId="75C7D86C" w14:textId="5F73262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14:paraId="08079C71" w14:textId="77777777" w:rsidTr="0084671B">
        <w:tc>
          <w:tcPr>
            <w:tcW w:w="4815" w:type="dxa"/>
          </w:tcPr>
          <w:p w14:paraId="734C454D" w14:textId="5F8C41E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of chondroitin sulfate with glucosamine versus diacerein in grade ii and iii osteoarthritis knee: A randomized comparative study</w:t>
            </w:r>
          </w:p>
        </w:tc>
        <w:tc>
          <w:tcPr>
            <w:tcW w:w="3951" w:type="dxa"/>
          </w:tcPr>
          <w:p w14:paraId="500B88D1" w14:textId="22C9CFB5"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Mirunalini, R.; Chandrasekaran, M.; Manimekalai, K.</w:t>
            </w:r>
          </w:p>
        </w:tc>
        <w:tc>
          <w:tcPr>
            <w:tcW w:w="1095" w:type="dxa"/>
          </w:tcPr>
          <w:p w14:paraId="658C9EDA" w14:textId="3332057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2015</w:t>
            </w:r>
          </w:p>
        </w:tc>
        <w:tc>
          <w:tcPr>
            <w:tcW w:w="1758" w:type="dxa"/>
          </w:tcPr>
          <w:p w14:paraId="5EB704BC" w14:textId="2109186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Asian Journal of Pharmaceutical and Clinical Research</w:t>
            </w:r>
          </w:p>
        </w:tc>
        <w:tc>
          <w:tcPr>
            <w:tcW w:w="2373" w:type="dxa"/>
          </w:tcPr>
          <w:p w14:paraId="2E3D7D96" w14:textId="74F9DD4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46FD11BD" w14:textId="77777777" w:rsidTr="0084671B">
        <w:tc>
          <w:tcPr>
            <w:tcW w:w="4815" w:type="dxa"/>
          </w:tcPr>
          <w:p w14:paraId="27095054" w14:textId="30AB50B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Evaluation of the symptomatic and structural efficacy of a new hyaluronic acid compound, NRD101, in comparison with diacerein and placebo in a 1 year randomised controlled study in symptomatic knee osteoarthritis.</w:t>
            </w:r>
          </w:p>
        </w:tc>
        <w:tc>
          <w:tcPr>
            <w:tcW w:w="3951" w:type="dxa"/>
          </w:tcPr>
          <w:p w14:paraId="2B5B5F9D" w14:textId="3744B854"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Pham, T; Le Henanff, A; Ravaud, Ph; Dieppe, P; Paolozzi, L; Dougados, M</w:t>
            </w:r>
          </w:p>
        </w:tc>
        <w:tc>
          <w:tcPr>
            <w:tcW w:w="1095" w:type="dxa"/>
          </w:tcPr>
          <w:p w14:paraId="6B6FCD3E" w14:textId="6260304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2004</w:t>
            </w:r>
          </w:p>
        </w:tc>
        <w:tc>
          <w:tcPr>
            <w:tcW w:w="1758" w:type="dxa"/>
          </w:tcPr>
          <w:p w14:paraId="3B21C11B" w14:textId="1F29E63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Annals of the rheumatic diseases</w:t>
            </w:r>
          </w:p>
        </w:tc>
        <w:tc>
          <w:tcPr>
            <w:tcW w:w="2373" w:type="dxa"/>
          </w:tcPr>
          <w:p w14:paraId="18F9ECC5" w14:textId="2572C46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5862618D" w14:textId="77777777" w:rsidTr="0084671B">
        <w:tc>
          <w:tcPr>
            <w:tcW w:w="4815" w:type="dxa"/>
          </w:tcPr>
          <w:p w14:paraId="759E6722" w14:textId="3EE62C4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Will a single periarticular lidocaine-corticosteroid injection improve the clinical efficacy of intraarticular hyaluronic acid treatment of symptomatic knee osteoarthritis?.</w:t>
            </w:r>
          </w:p>
        </w:tc>
        <w:tc>
          <w:tcPr>
            <w:tcW w:w="3951" w:type="dxa"/>
          </w:tcPr>
          <w:p w14:paraId="58E77DA2" w14:textId="1F3DF08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Erturk, Cemil; Altay, Mehmet Akif; Altay, Nuray; Kalender, Ali Murat; Ozturk, Ibrahim Avsin</w:t>
            </w:r>
          </w:p>
        </w:tc>
        <w:tc>
          <w:tcPr>
            <w:tcW w:w="1095" w:type="dxa"/>
          </w:tcPr>
          <w:p w14:paraId="43CB9A7A" w14:textId="2641E04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2016</w:t>
            </w:r>
          </w:p>
        </w:tc>
        <w:tc>
          <w:tcPr>
            <w:tcW w:w="1758" w:type="dxa"/>
          </w:tcPr>
          <w:p w14:paraId="74F20000" w14:textId="4846178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Knee surgery, sports traumatology, arthroscopy : official journal of the ESSKA</w:t>
            </w:r>
          </w:p>
        </w:tc>
        <w:tc>
          <w:tcPr>
            <w:tcW w:w="2373" w:type="dxa"/>
          </w:tcPr>
          <w:p w14:paraId="02F6FD5C" w14:textId="44025D8E"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08E69909" w14:textId="77777777" w:rsidTr="0084671B">
        <w:tc>
          <w:tcPr>
            <w:tcW w:w="4815" w:type="dxa"/>
          </w:tcPr>
          <w:p w14:paraId="514541BB" w14:textId="29CBE88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single-blind, placebo-controlled study of glycosaminoglycan-peptide complex ('Rumalon') in patients with osteoarthritis of the hip or knee.</w:t>
            </w:r>
          </w:p>
        </w:tc>
        <w:tc>
          <w:tcPr>
            <w:tcW w:w="3951" w:type="dxa"/>
          </w:tcPr>
          <w:p w14:paraId="68F775CD" w14:textId="0EA54C8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Gramajo, R J; Cutroneo, E J; Fernandez, D E; Gibson, J L; Caceres Maldonado, J C; Romero, F L; Houssay, R H</w:t>
            </w:r>
          </w:p>
        </w:tc>
        <w:tc>
          <w:tcPr>
            <w:tcW w:w="1095" w:type="dxa"/>
          </w:tcPr>
          <w:p w14:paraId="786F35A0" w14:textId="7674BE3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1989</w:t>
            </w:r>
          </w:p>
        </w:tc>
        <w:tc>
          <w:tcPr>
            <w:tcW w:w="1758" w:type="dxa"/>
          </w:tcPr>
          <w:p w14:paraId="5D693A80" w14:textId="77B122A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Current medical research and opinion</w:t>
            </w:r>
          </w:p>
        </w:tc>
        <w:tc>
          <w:tcPr>
            <w:tcW w:w="2373" w:type="dxa"/>
          </w:tcPr>
          <w:p w14:paraId="28F6389D" w14:textId="618B848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377E147A" w14:textId="77777777" w:rsidTr="0084671B">
        <w:tc>
          <w:tcPr>
            <w:tcW w:w="4815" w:type="dxa"/>
          </w:tcPr>
          <w:p w14:paraId="11899203" w14:textId="40685F3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Significant pain reduction with oral methotrexate in knee osteoarthritis; results from the promote randomised controlled phase iii trial of treatment effectiveness</w:t>
            </w:r>
          </w:p>
        </w:tc>
        <w:tc>
          <w:tcPr>
            <w:tcW w:w="3951" w:type="dxa"/>
          </w:tcPr>
          <w:p w14:paraId="65B34937" w14:textId="7F1902C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Kingsbury SR, Tharmanathan P, Keding A, Corbacho B, Watt FE, Scott DL, Roddy E, Birrell F, Arden NK, Bowes MA, Arundal C, Ronaldon S, Vernon L, Hewitt C, Doherty M, Torgerson DJ, Conaghan PG</w:t>
            </w:r>
          </w:p>
        </w:tc>
        <w:tc>
          <w:tcPr>
            <w:tcW w:w="1095" w:type="dxa"/>
          </w:tcPr>
          <w:p w14:paraId="2A0CB1CD" w14:textId="7D8CE25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2019</w:t>
            </w:r>
          </w:p>
        </w:tc>
        <w:tc>
          <w:tcPr>
            <w:tcW w:w="1758" w:type="dxa"/>
          </w:tcPr>
          <w:p w14:paraId="440DD1C0" w14:textId="77777777" w:rsidR="0084671B" w:rsidRDefault="0084671B" w:rsidP="0084671B">
            <w:pPr>
              <w:rPr>
                <w:rFonts w:ascii="Arial" w:hAnsi="Arial" w:cs="Arial"/>
                <w:b/>
                <w:bCs/>
                <w:sz w:val="20"/>
                <w:szCs w:val="20"/>
                <w:lang w:val="en-GB"/>
              </w:rPr>
            </w:pPr>
          </w:p>
        </w:tc>
        <w:tc>
          <w:tcPr>
            <w:tcW w:w="2373" w:type="dxa"/>
          </w:tcPr>
          <w:p w14:paraId="61348924" w14:textId="20D4E1AE"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0EEF9C7B" w14:textId="77777777" w:rsidTr="0084671B">
        <w:tc>
          <w:tcPr>
            <w:tcW w:w="4815" w:type="dxa"/>
          </w:tcPr>
          <w:p w14:paraId="7AE46375" w14:textId="21E2863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of glucosamine plus diacerein versus monotherapy of glucosamine: a double-blind, parallel randomized clinical trial.</w:t>
            </w:r>
          </w:p>
        </w:tc>
        <w:tc>
          <w:tcPr>
            <w:tcW w:w="3951" w:type="dxa"/>
          </w:tcPr>
          <w:p w14:paraId="26C88939" w14:textId="0A44843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Kongtharvonskul, Jatupon; Woratanarat, Patarawan; McEvoy, Mark; Attia, John; Wongsak, Siwadol; Kawinwonggowit, Viroj; Thakkinstian, Ammarin</w:t>
            </w:r>
          </w:p>
        </w:tc>
        <w:tc>
          <w:tcPr>
            <w:tcW w:w="1095" w:type="dxa"/>
          </w:tcPr>
          <w:p w14:paraId="76452426" w14:textId="0190F25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2016</w:t>
            </w:r>
          </w:p>
        </w:tc>
        <w:tc>
          <w:tcPr>
            <w:tcW w:w="1758" w:type="dxa"/>
          </w:tcPr>
          <w:p w14:paraId="5588BAD7" w14:textId="30ADF4E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Arthritis research &amp; therapy</w:t>
            </w:r>
          </w:p>
        </w:tc>
        <w:tc>
          <w:tcPr>
            <w:tcW w:w="2373" w:type="dxa"/>
          </w:tcPr>
          <w:p w14:paraId="7974BFD1" w14:textId="1C9A3BE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Wrong intervention; </w:t>
            </w:r>
          </w:p>
        </w:tc>
      </w:tr>
      <w:tr w:rsidR="0084671B" w14:paraId="2DAD1B77" w14:textId="77777777" w:rsidTr="0084671B">
        <w:tc>
          <w:tcPr>
            <w:tcW w:w="4815" w:type="dxa"/>
          </w:tcPr>
          <w:p w14:paraId="1952CF5C" w14:textId="63FA0D4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Corticosteroid compared with hyaluronic acid injections for the treatment of osteoarthritis of the knee. A prospective, randomized trial.</w:t>
            </w:r>
          </w:p>
        </w:tc>
        <w:tc>
          <w:tcPr>
            <w:tcW w:w="3951" w:type="dxa"/>
          </w:tcPr>
          <w:p w14:paraId="18E9CA80" w14:textId="0ADBA5D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Leopold, Seth S; Redd, Brigham B; Warme, Winston J; Wehrle, Paul A; Pettis, Patrick D; Shott, Susan</w:t>
            </w:r>
          </w:p>
        </w:tc>
        <w:tc>
          <w:tcPr>
            <w:tcW w:w="1095" w:type="dxa"/>
          </w:tcPr>
          <w:p w14:paraId="5C0A4E51" w14:textId="2775C07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2003</w:t>
            </w:r>
          </w:p>
        </w:tc>
        <w:tc>
          <w:tcPr>
            <w:tcW w:w="1758" w:type="dxa"/>
          </w:tcPr>
          <w:p w14:paraId="126B4DA6" w14:textId="6B66224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The Journal of bone and joint surgery. </w:t>
            </w:r>
            <w:r w:rsidRPr="000B369D">
              <w:rPr>
                <w:rFonts w:ascii="Arial" w:eastAsia="Times New Roman" w:hAnsi="Arial" w:cs="Arial"/>
                <w:color w:val="000000"/>
                <w:sz w:val="20"/>
                <w:szCs w:val="20"/>
                <w:lang w:eastAsia="fr-BE"/>
              </w:rPr>
              <w:t>American volume</w:t>
            </w:r>
          </w:p>
        </w:tc>
        <w:tc>
          <w:tcPr>
            <w:tcW w:w="2373" w:type="dxa"/>
          </w:tcPr>
          <w:p w14:paraId="398E9313" w14:textId="483EA1D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1D382F5B" w14:textId="77777777" w:rsidTr="0084671B">
        <w:tc>
          <w:tcPr>
            <w:tcW w:w="4815" w:type="dxa"/>
          </w:tcPr>
          <w:p w14:paraId="65037CB8" w14:textId="25D476A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Preliminary study of highly cross-linked hyaluronic acid-based combination therapy for management of knee osteoarthritis-related pain.</w:t>
            </w:r>
          </w:p>
        </w:tc>
        <w:tc>
          <w:tcPr>
            <w:tcW w:w="3951" w:type="dxa"/>
          </w:tcPr>
          <w:p w14:paraId="51D48C8A" w14:textId="62D79BB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Palmieri, Beniamino; Rottigni, Valentina; Iannitti, Tommaso</w:t>
            </w:r>
          </w:p>
        </w:tc>
        <w:tc>
          <w:tcPr>
            <w:tcW w:w="1095" w:type="dxa"/>
          </w:tcPr>
          <w:p w14:paraId="622060F9" w14:textId="047D68D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2013</w:t>
            </w:r>
          </w:p>
        </w:tc>
        <w:tc>
          <w:tcPr>
            <w:tcW w:w="1758" w:type="dxa"/>
          </w:tcPr>
          <w:p w14:paraId="0F351E4E" w14:textId="5A2AC94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Drug design, development and therapy</w:t>
            </w:r>
          </w:p>
        </w:tc>
        <w:tc>
          <w:tcPr>
            <w:tcW w:w="2373" w:type="dxa"/>
          </w:tcPr>
          <w:p w14:paraId="03D854C1" w14:textId="3678A134"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70660A3D" w14:textId="77777777" w:rsidTr="0084671B">
        <w:tc>
          <w:tcPr>
            <w:tcW w:w="4815" w:type="dxa"/>
          </w:tcPr>
          <w:p w14:paraId="0F7D753A" w14:textId="4CCD1DC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Medicinal methods of knee osteoarthritis treatment and indices of T2-mapping of the cartilage</w:t>
            </w:r>
          </w:p>
        </w:tc>
        <w:tc>
          <w:tcPr>
            <w:tcW w:w="3951" w:type="dxa"/>
          </w:tcPr>
          <w:p w14:paraId="5B06EA44" w14:textId="73FB7B7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Trofimov E, Mazurov V, Trofimova A, Melnikov E, Gaidukova I</w:t>
            </w:r>
          </w:p>
        </w:tc>
        <w:tc>
          <w:tcPr>
            <w:tcW w:w="1095" w:type="dxa"/>
          </w:tcPr>
          <w:p w14:paraId="33561563" w14:textId="11BC2B7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087F32E9" w14:textId="77777777" w:rsidR="0084671B" w:rsidRDefault="0084671B" w:rsidP="0084671B">
            <w:pPr>
              <w:rPr>
                <w:rFonts w:ascii="Arial" w:hAnsi="Arial" w:cs="Arial"/>
                <w:b/>
                <w:bCs/>
                <w:sz w:val="20"/>
                <w:szCs w:val="20"/>
                <w:lang w:val="en-GB"/>
              </w:rPr>
            </w:pPr>
          </w:p>
        </w:tc>
        <w:tc>
          <w:tcPr>
            <w:tcW w:w="2373" w:type="dxa"/>
          </w:tcPr>
          <w:p w14:paraId="12D0D41D" w14:textId="7ADD6181"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49BF1404" w14:textId="77777777" w:rsidTr="0084671B">
        <w:tc>
          <w:tcPr>
            <w:tcW w:w="4815" w:type="dxa"/>
          </w:tcPr>
          <w:p w14:paraId="15A3BEB9" w14:textId="19F27ED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efficacy of intra-articular injections in knee osteoarthritis: a prospective randomized study comparing hyaluronic acid and betamethasone.</w:t>
            </w:r>
          </w:p>
        </w:tc>
        <w:tc>
          <w:tcPr>
            <w:tcW w:w="3951" w:type="dxa"/>
          </w:tcPr>
          <w:p w14:paraId="45D87CB9" w14:textId="06F7A93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Trueba Davalillo, Cesareo Angel; Trueba Vasavilbaso, Cesareo; Navarrete Alvarez, Jose Mario; Coronel Granado, Pilar; Garcia </w:t>
            </w:r>
            <w:r w:rsidRPr="000B369D">
              <w:rPr>
                <w:rFonts w:ascii="Arial" w:eastAsia="Times New Roman" w:hAnsi="Arial" w:cs="Arial"/>
                <w:color w:val="000000"/>
                <w:sz w:val="20"/>
                <w:szCs w:val="20"/>
                <w:lang w:val="en-GB" w:eastAsia="fr-BE"/>
              </w:rPr>
              <w:lastRenderedPageBreak/>
              <w:t>Jimenez, Ozcar Alejandro; Gimeno Del Sol, Mercedes; Gil Orbezo, Felix</w:t>
            </w:r>
          </w:p>
        </w:tc>
        <w:tc>
          <w:tcPr>
            <w:tcW w:w="1095" w:type="dxa"/>
          </w:tcPr>
          <w:p w14:paraId="1D35A3EB" w14:textId="66243B0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lastRenderedPageBreak/>
              <w:t>2015</w:t>
            </w:r>
          </w:p>
        </w:tc>
        <w:tc>
          <w:tcPr>
            <w:tcW w:w="1758" w:type="dxa"/>
          </w:tcPr>
          <w:p w14:paraId="2DDE38A0" w14:textId="16FAAD9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Open access rheumatology : research and reviews</w:t>
            </w:r>
          </w:p>
        </w:tc>
        <w:tc>
          <w:tcPr>
            <w:tcW w:w="2373" w:type="dxa"/>
          </w:tcPr>
          <w:p w14:paraId="412F2C30" w14:textId="29E2D02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2D0F0870" w14:textId="77777777" w:rsidTr="0084671B">
        <w:tc>
          <w:tcPr>
            <w:tcW w:w="4815" w:type="dxa"/>
          </w:tcPr>
          <w:p w14:paraId="426FAA7B" w14:textId="7D582E8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Intra-articular, single-shot co-injection of hyaluronic acid and corticosteroids in knee osteoarthritis: A randomized controlled trial.</w:t>
            </w:r>
          </w:p>
        </w:tc>
        <w:tc>
          <w:tcPr>
            <w:tcW w:w="3951" w:type="dxa"/>
          </w:tcPr>
          <w:p w14:paraId="50EC0008" w14:textId="3AFDBA0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Wang, Shan-Zheng; Wu, Dong-Ying; Chang, Qing; Guo, Yu-Dong; Wang, Chen; Fan, Wei-Min</w:t>
            </w:r>
          </w:p>
        </w:tc>
        <w:tc>
          <w:tcPr>
            <w:tcW w:w="1095" w:type="dxa"/>
          </w:tcPr>
          <w:p w14:paraId="08CA1A76" w14:textId="32D64F0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4C65D564" w14:textId="62A260A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Experimental and therapeutic medicine</w:t>
            </w:r>
          </w:p>
        </w:tc>
        <w:tc>
          <w:tcPr>
            <w:tcW w:w="2373" w:type="dxa"/>
          </w:tcPr>
          <w:p w14:paraId="79B843D4" w14:textId="0A63182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Wrong intervention; </w:t>
            </w:r>
          </w:p>
        </w:tc>
      </w:tr>
      <w:tr w:rsidR="0084671B" w14:paraId="7D5263D7" w14:textId="77777777" w:rsidTr="0084671B">
        <w:tc>
          <w:tcPr>
            <w:tcW w:w="4815" w:type="dxa"/>
          </w:tcPr>
          <w:p w14:paraId="34C3843C" w14:textId="16A3359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Evaluation of the effect of adding corticosteroid to viscosupplementation: A prospective and randomized study.</w:t>
            </w:r>
          </w:p>
        </w:tc>
        <w:tc>
          <w:tcPr>
            <w:tcW w:w="3951" w:type="dxa"/>
          </w:tcPr>
          <w:p w14:paraId="4BB4B994" w14:textId="0E4BA106"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Campos GC, Rezende MU, Pailo AF, Frucchi R, Pasqualin T</w:t>
            </w:r>
          </w:p>
        </w:tc>
        <w:tc>
          <w:tcPr>
            <w:tcW w:w="1095" w:type="dxa"/>
          </w:tcPr>
          <w:p w14:paraId="6F403D0D" w14:textId="066D1B6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2012</w:t>
            </w:r>
          </w:p>
        </w:tc>
        <w:tc>
          <w:tcPr>
            <w:tcW w:w="1758" w:type="dxa"/>
          </w:tcPr>
          <w:p w14:paraId="0E731735" w14:textId="77777777" w:rsidR="0084671B" w:rsidRDefault="0084671B" w:rsidP="0084671B">
            <w:pPr>
              <w:rPr>
                <w:rFonts w:ascii="Arial" w:hAnsi="Arial" w:cs="Arial"/>
                <w:b/>
                <w:bCs/>
                <w:sz w:val="20"/>
                <w:szCs w:val="20"/>
                <w:lang w:val="en-GB"/>
              </w:rPr>
            </w:pPr>
          </w:p>
        </w:tc>
        <w:tc>
          <w:tcPr>
            <w:tcW w:w="2373" w:type="dxa"/>
          </w:tcPr>
          <w:p w14:paraId="704E0CEA" w14:textId="22C0148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Abstracts</w:t>
            </w:r>
          </w:p>
        </w:tc>
      </w:tr>
      <w:tr w:rsidR="0084671B" w14:paraId="24F7FC44" w14:textId="77777777" w:rsidTr="0084671B">
        <w:tc>
          <w:tcPr>
            <w:tcW w:w="4815" w:type="dxa"/>
          </w:tcPr>
          <w:p w14:paraId="5CCD329A" w14:textId="3DE16DE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clinical trial of glycosaminoglycan-peptide complex ('Rumalon') in patients with osteoarthritis of the knee.</w:t>
            </w:r>
          </w:p>
        </w:tc>
        <w:tc>
          <w:tcPr>
            <w:tcW w:w="3951" w:type="dxa"/>
          </w:tcPr>
          <w:p w14:paraId="471B35C1" w14:textId="0C41A9A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Katona, G</w:t>
            </w:r>
          </w:p>
        </w:tc>
        <w:tc>
          <w:tcPr>
            <w:tcW w:w="1095" w:type="dxa"/>
          </w:tcPr>
          <w:p w14:paraId="79EA17F5" w14:textId="4E16661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1987</w:t>
            </w:r>
          </w:p>
        </w:tc>
        <w:tc>
          <w:tcPr>
            <w:tcW w:w="1758" w:type="dxa"/>
          </w:tcPr>
          <w:p w14:paraId="24A612F5" w14:textId="4C57C5A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Current medical research and opinion</w:t>
            </w:r>
          </w:p>
        </w:tc>
        <w:tc>
          <w:tcPr>
            <w:tcW w:w="2373" w:type="dxa"/>
          </w:tcPr>
          <w:p w14:paraId="12320BB6" w14:textId="5E46086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outcomes</w:t>
            </w:r>
          </w:p>
        </w:tc>
      </w:tr>
      <w:tr w:rsidR="0084671B" w:rsidRPr="0084671B" w14:paraId="063FE07F" w14:textId="77777777" w:rsidTr="0084671B">
        <w:tc>
          <w:tcPr>
            <w:tcW w:w="4815" w:type="dxa"/>
          </w:tcPr>
          <w:p w14:paraId="58958A8D" w14:textId="3FBC6F5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double-blind test of sodium hyaluronate (ARTZ) on osteoarthritis knee.</w:t>
            </w:r>
          </w:p>
        </w:tc>
        <w:tc>
          <w:tcPr>
            <w:tcW w:w="3951" w:type="dxa"/>
          </w:tcPr>
          <w:p w14:paraId="7BF138DB" w14:textId="3B085158"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Wu, J J; Shih, L Y; Hsu, H C; Chen, T H</w:t>
            </w:r>
          </w:p>
        </w:tc>
        <w:tc>
          <w:tcPr>
            <w:tcW w:w="1095" w:type="dxa"/>
          </w:tcPr>
          <w:p w14:paraId="701F3080" w14:textId="492576A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1997</w:t>
            </w:r>
          </w:p>
        </w:tc>
        <w:tc>
          <w:tcPr>
            <w:tcW w:w="1758" w:type="dxa"/>
          </w:tcPr>
          <w:p w14:paraId="7794A3F2" w14:textId="3D45F52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Zhonghua yi xue za zhi = Chinese medical journal; Free China ed</w:t>
            </w:r>
          </w:p>
        </w:tc>
        <w:tc>
          <w:tcPr>
            <w:tcW w:w="2373" w:type="dxa"/>
          </w:tcPr>
          <w:p w14:paraId="1C626816" w14:textId="3FD9D49F" w:rsidR="0084671B" w:rsidRPr="0084671B" w:rsidRDefault="0084671B" w:rsidP="0084671B">
            <w:pPr>
              <w:rPr>
                <w:rFonts w:ascii="Arial" w:hAnsi="Arial" w:cs="Arial"/>
                <w:b/>
                <w:bCs/>
                <w:sz w:val="20"/>
                <w:szCs w:val="20"/>
              </w:rPr>
            </w:pPr>
            <w:r w:rsidRPr="008831C9">
              <w:rPr>
                <w:rFonts w:ascii="Arial" w:eastAsia="Times New Roman" w:hAnsi="Arial" w:cs="Arial"/>
                <w:color w:val="000000"/>
                <w:sz w:val="20"/>
                <w:szCs w:val="20"/>
                <w:lang w:eastAsia="fr-BE"/>
              </w:rPr>
              <w:t>Exclusion reason: non-exploitable data</w:t>
            </w:r>
          </w:p>
        </w:tc>
      </w:tr>
      <w:tr w:rsidR="0084671B" w:rsidRPr="00252F1D" w14:paraId="7089B68D" w14:textId="77777777" w:rsidTr="0084671B">
        <w:tc>
          <w:tcPr>
            <w:tcW w:w="4815" w:type="dxa"/>
          </w:tcPr>
          <w:p w14:paraId="5B942D12" w14:textId="22BEA53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Flurbiprofen versus diclofenac for the treatment of osteoarthritis of the knee.</w:t>
            </w:r>
          </w:p>
        </w:tc>
        <w:tc>
          <w:tcPr>
            <w:tcW w:w="3951" w:type="dxa"/>
          </w:tcPr>
          <w:p w14:paraId="5E91E993" w14:textId="06D5E7F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Atra, E; Metz, C A; Brown, B L; Teoh, K</w:t>
            </w:r>
          </w:p>
        </w:tc>
        <w:tc>
          <w:tcPr>
            <w:tcW w:w="1095" w:type="dxa"/>
          </w:tcPr>
          <w:p w14:paraId="1EBA84AC" w14:textId="573070D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1990</w:t>
            </w:r>
          </w:p>
        </w:tc>
        <w:tc>
          <w:tcPr>
            <w:tcW w:w="1758" w:type="dxa"/>
          </w:tcPr>
          <w:p w14:paraId="74806CE9" w14:textId="7865522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DICP : the annals of pharmacotherapy</w:t>
            </w:r>
          </w:p>
        </w:tc>
        <w:tc>
          <w:tcPr>
            <w:tcW w:w="2373" w:type="dxa"/>
          </w:tcPr>
          <w:p w14:paraId="7DDF09D9" w14:textId="620D738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115C5572" w14:textId="77777777" w:rsidTr="0084671B">
        <w:tc>
          <w:tcPr>
            <w:tcW w:w="4815" w:type="dxa"/>
          </w:tcPr>
          <w:p w14:paraId="6E2D2EA3" w14:textId="3916592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randomized double-blind short-term trial of tenoxicam versus piroxicam in osteoarthritis of the knee</w:t>
            </w:r>
          </w:p>
        </w:tc>
        <w:tc>
          <w:tcPr>
            <w:tcW w:w="3951" w:type="dxa"/>
          </w:tcPr>
          <w:p w14:paraId="56632750" w14:textId="2967668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Alballa, S.R.; Al-Nasser, A.; Al-Arfaj, H.; Hamooh, Z.; Al-Sugair, S.; Saddique, A.</w:t>
            </w:r>
          </w:p>
        </w:tc>
        <w:tc>
          <w:tcPr>
            <w:tcW w:w="1095" w:type="dxa"/>
          </w:tcPr>
          <w:p w14:paraId="34E80AE5" w14:textId="7ED5A48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1990</w:t>
            </w:r>
          </w:p>
        </w:tc>
        <w:tc>
          <w:tcPr>
            <w:tcW w:w="1758" w:type="dxa"/>
          </w:tcPr>
          <w:p w14:paraId="44F6BD12" w14:textId="6514EA0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Current Therapeutic Research - Clinical and Experimental</w:t>
            </w:r>
          </w:p>
        </w:tc>
        <w:tc>
          <w:tcPr>
            <w:tcW w:w="2373" w:type="dxa"/>
          </w:tcPr>
          <w:p w14:paraId="48C03920" w14:textId="6E63612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14:paraId="04BD4399" w14:textId="77777777" w:rsidTr="0084671B">
        <w:tc>
          <w:tcPr>
            <w:tcW w:w="4815" w:type="dxa"/>
          </w:tcPr>
          <w:p w14:paraId="1E46C192" w14:textId="759378C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Galactosaminoglycuronoglycan sulfate (matrix) in therapy of tibiofibular osteoarthritis of the knee.</w:t>
            </w:r>
          </w:p>
        </w:tc>
        <w:tc>
          <w:tcPr>
            <w:tcW w:w="3951" w:type="dxa"/>
          </w:tcPr>
          <w:p w14:paraId="1B7CB8A3" w14:textId="358E23B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Rovetta, G</w:t>
            </w:r>
          </w:p>
        </w:tc>
        <w:tc>
          <w:tcPr>
            <w:tcW w:w="1095" w:type="dxa"/>
          </w:tcPr>
          <w:p w14:paraId="1AC3FA57" w14:textId="28FD1C3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1991</w:t>
            </w:r>
          </w:p>
        </w:tc>
        <w:tc>
          <w:tcPr>
            <w:tcW w:w="1758" w:type="dxa"/>
          </w:tcPr>
          <w:p w14:paraId="6B67AD20" w14:textId="112F4F2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Drugs under experimental and clinical research</w:t>
            </w:r>
          </w:p>
        </w:tc>
        <w:tc>
          <w:tcPr>
            <w:tcW w:w="2373" w:type="dxa"/>
          </w:tcPr>
          <w:p w14:paraId="03699672" w14:textId="5EFD673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4C177DEB" w14:textId="77777777" w:rsidTr="0084671B">
        <w:tc>
          <w:tcPr>
            <w:tcW w:w="4815" w:type="dxa"/>
          </w:tcPr>
          <w:p w14:paraId="6BD6F030" w14:textId="3A6D51B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Intra-articular corticosteroids are safe and have no major effect on structural progression of synovitic knee OA: A 2-year randomized controlled trial of 3-monthly triamcinolone hexacetonide.</w:t>
            </w:r>
          </w:p>
        </w:tc>
        <w:tc>
          <w:tcPr>
            <w:tcW w:w="3951" w:type="dxa"/>
          </w:tcPr>
          <w:p w14:paraId="2FC956B4" w14:textId="0EE5B8A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Driban J, Lavalley MP, Price LL, Harvey WF, McAlindon TE</w:t>
            </w:r>
          </w:p>
        </w:tc>
        <w:tc>
          <w:tcPr>
            <w:tcW w:w="1095" w:type="dxa"/>
          </w:tcPr>
          <w:p w14:paraId="5A0FF535" w14:textId="1DEA5F6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2015</w:t>
            </w:r>
          </w:p>
        </w:tc>
        <w:tc>
          <w:tcPr>
            <w:tcW w:w="1758" w:type="dxa"/>
          </w:tcPr>
          <w:p w14:paraId="313EC679" w14:textId="77777777" w:rsidR="0084671B" w:rsidRDefault="0084671B" w:rsidP="0084671B">
            <w:pPr>
              <w:rPr>
                <w:rFonts w:ascii="Arial" w:hAnsi="Arial" w:cs="Arial"/>
                <w:b/>
                <w:bCs/>
                <w:sz w:val="20"/>
                <w:szCs w:val="20"/>
                <w:lang w:val="en-GB"/>
              </w:rPr>
            </w:pPr>
          </w:p>
        </w:tc>
        <w:tc>
          <w:tcPr>
            <w:tcW w:w="2373" w:type="dxa"/>
          </w:tcPr>
          <w:p w14:paraId="5050F017" w14:textId="4359A4E4"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Abstracts</w:t>
            </w:r>
          </w:p>
        </w:tc>
      </w:tr>
      <w:tr w:rsidR="0084671B" w14:paraId="0A247693" w14:textId="77777777" w:rsidTr="0084671B">
        <w:tc>
          <w:tcPr>
            <w:tcW w:w="4815" w:type="dxa"/>
          </w:tcPr>
          <w:p w14:paraId="3C4678DD" w14:textId="61178F7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Double-blind study comparing the long-term efficacy of the COX-2 inhibitor nimesulide and naproxen in patients with osteoarthritis.</w:t>
            </w:r>
          </w:p>
        </w:tc>
        <w:tc>
          <w:tcPr>
            <w:tcW w:w="3951" w:type="dxa"/>
          </w:tcPr>
          <w:p w14:paraId="76977D9D" w14:textId="5FE719B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Kriegel, W; Korff, K J; Ehrlich, J C; Lehnhardt, K; Macciocchi, A; Moresino, C; Pawlowski, C</w:t>
            </w:r>
          </w:p>
        </w:tc>
        <w:tc>
          <w:tcPr>
            <w:tcW w:w="1095" w:type="dxa"/>
          </w:tcPr>
          <w:p w14:paraId="2CBAED3E" w14:textId="3FD1C99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2001</w:t>
            </w:r>
          </w:p>
        </w:tc>
        <w:tc>
          <w:tcPr>
            <w:tcW w:w="1758" w:type="dxa"/>
          </w:tcPr>
          <w:p w14:paraId="1A2C2B15" w14:textId="6E2F45F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International journal of clinical practice</w:t>
            </w:r>
          </w:p>
        </w:tc>
        <w:tc>
          <w:tcPr>
            <w:tcW w:w="2373" w:type="dxa"/>
          </w:tcPr>
          <w:p w14:paraId="2B7D8A04" w14:textId="269D44EB"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patient population</w:t>
            </w:r>
          </w:p>
        </w:tc>
      </w:tr>
      <w:tr w:rsidR="0084671B" w14:paraId="176DCD3F" w14:textId="77777777" w:rsidTr="0084671B">
        <w:tc>
          <w:tcPr>
            <w:tcW w:w="4815" w:type="dxa"/>
          </w:tcPr>
          <w:p w14:paraId="33E5A4F1" w14:textId="7A69B9D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Vitamin d supplementation for the management of knee osteoarthritis: a two year double blind randomized controlled trial</w:t>
            </w:r>
          </w:p>
        </w:tc>
        <w:tc>
          <w:tcPr>
            <w:tcW w:w="3951" w:type="dxa"/>
          </w:tcPr>
          <w:p w14:paraId="0BF58C98" w14:textId="450A8DF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Jin X, Cicuttini F, Wluka A, Zhu Z, Han W, Antony B, Wang X, Winzenberg T, Blizzard L, Jones G, Ding C</w:t>
            </w:r>
          </w:p>
        </w:tc>
        <w:tc>
          <w:tcPr>
            <w:tcW w:w="1095" w:type="dxa"/>
          </w:tcPr>
          <w:p w14:paraId="661F4AEE" w14:textId="40F4630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2015</w:t>
            </w:r>
          </w:p>
        </w:tc>
        <w:tc>
          <w:tcPr>
            <w:tcW w:w="1758" w:type="dxa"/>
          </w:tcPr>
          <w:p w14:paraId="598A70A4" w14:textId="77777777" w:rsidR="0084671B" w:rsidRDefault="0084671B" w:rsidP="0084671B">
            <w:pPr>
              <w:rPr>
                <w:rFonts w:ascii="Arial" w:hAnsi="Arial" w:cs="Arial"/>
                <w:b/>
                <w:bCs/>
                <w:sz w:val="20"/>
                <w:szCs w:val="20"/>
                <w:lang w:val="en-GB"/>
              </w:rPr>
            </w:pPr>
          </w:p>
        </w:tc>
        <w:tc>
          <w:tcPr>
            <w:tcW w:w="2373" w:type="dxa"/>
          </w:tcPr>
          <w:p w14:paraId="2F1017CD" w14:textId="7A886693"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Abstracts</w:t>
            </w:r>
          </w:p>
        </w:tc>
      </w:tr>
      <w:tr w:rsidR="0084671B" w14:paraId="0A3F09F5" w14:textId="77777777" w:rsidTr="0084671B">
        <w:tc>
          <w:tcPr>
            <w:tcW w:w="4815" w:type="dxa"/>
          </w:tcPr>
          <w:p w14:paraId="6A679F15" w14:textId="5DD3FD7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Multicentric osteoarthritis intervention study with sysadoa (moves): Effects of combined glucosamine hydrochloride and chondroitin </w:t>
            </w:r>
            <w:r w:rsidRPr="000B369D">
              <w:rPr>
                <w:rFonts w:ascii="Arial" w:eastAsia="Times New Roman" w:hAnsi="Arial" w:cs="Arial"/>
                <w:color w:val="000000"/>
                <w:sz w:val="20"/>
                <w:szCs w:val="20"/>
                <w:lang w:val="en-GB" w:eastAsia="fr-BE"/>
              </w:rPr>
              <w:lastRenderedPageBreak/>
              <w:t>sulfate vs. Celecoxib for painful knee osteoarthritis.</w:t>
            </w:r>
          </w:p>
        </w:tc>
        <w:tc>
          <w:tcPr>
            <w:tcW w:w="3951" w:type="dxa"/>
          </w:tcPr>
          <w:p w14:paraId="244EE77C" w14:textId="28B016B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 xml:space="preserve">Castillo JR, Hochberg MC, Martel-Pelletier J, Monfort J, Mooller I, Arden N, Berenbaum F, Conaghan P, Pap </w:t>
            </w:r>
            <w:r w:rsidRPr="000B369D">
              <w:rPr>
                <w:rFonts w:ascii="Arial" w:eastAsia="Times New Roman" w:hAnsi="Arial" w:cs="Arial"/>
                <w:color w:val="000000"/>
                <w:sz w:val="20"/>
                <w:szCs w:val="20"/>
                <w:lang w:val="en-GB" w:eastAsia="fr-BE"/>
              </w:rPr>
              <w:lastRenderedPageBreak/>
              <w:t>T, Richette P, Sawwitzke A, Du Soucih P, Pelletier JP</w:t>
            </w:r>
          </w:p>
        </w:tc>
        <w:tc>
          <w:tcPr>
            <w:tcW w:w="1095" w:type="dxa"/>
          </w:tcPr>
          <w:p w14:paraId="02134762" w14:textId="0663A1A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lastRenderedPageBreak/>
              <w:t>2014</w:t>
            </w:r>
          </w:p>
        </w:tc>
        <w:tc>
          <w:tcPr>
            <w:tcW w:w="1758" w:type="dxa"/>
          </w:tcPr>
          <w:p w14:paraId="38A62B15" w14:textId="77777777" w:rsidR="0084671B" w:rsidRDefault="0084671B" w:rsidP="0084671B">
            <w:pPr>
              <w:rPr>
                <w:rFonts w:ascii="Arial" w:hAnsi="Arial" w:cs="Arial"/>
                <w:b/>
                <w:bCs/>
                <w:sz w:val="20"/>
                <w:szCs w:val="20"/>
                <w:lang w:val="en-GB"/>
              </w:rPr>
            </w:pPr>
          </w:p>
        </w:tc>
        <w:tc>
          <w:tcPr>
            <w:tcW w:w="2373" w:type="dxa"/>
          </w:tcPr>
          <w:p w14:paraId="59CF8C1D" w14:textId="373D483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Abstracts</w:t>
            </w:r>
          </w:p>
        </w:tc>
      </w:tr>
      <w:tr w:rsidR="0084671B" w:rsidRPr="0084671B" w14:paraId="01C12683" w14:textId="77777777" w:rsidTr="0084671B">
        <w:tc>
          <w:tcPr>
            <w:tcW w:w="4815" w:type="dxa"/>
          </w:tcPr>
          <w:p w14:paraId="2F6DB22E" w14:textId="4508BAA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comparative study of the efficacy and safety of hyaluronan viscosupplements and placebo in patients with symptomatic and arthroscopy-verified cartilage pathology</w:t>
            </w:r>
          </w:p>
        </w:tc>
        <w:tc>
          <w:tcPr>
            <w:tcW w:w="3951" w:type="dxa"/>
          </w:tcPr>
          <w:p w14:paraId="1E594EB4" w14:textId="7AEC78F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Rolf, C.G.; Engstrom, B.; Ã–hrvik, J.; Valentin, A.; Lilja, B.; Levine, D.W.</w:t>
            </w:r>
          </w:p>
        </w:tc>
        <w:tc>
          <w:tcPr>
            <w:tcW w:w="1095" w:type="dxa"/>
          </w:tcPr>
          <w:p w14:paraId="632D0783" w14:textId="5CEAA58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2005</w:t>
            </w:r>
          </w:p>
        </w:tc>
        <w:tc>
          <w:tcPr>
            <w:tcW w:w="1758" w:type="dxa"/>
          </w:tcPr>
          <w:p w14:paraId="5186084D" w14:textId="30DE070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Journal of Clinical Research</w:t>
            </w:r>
          </w:p>
        </w:tc>
        <w:tc>
          <w:tcPr>
            <w:tcW w:w="2373" w:type="dxa"/>
          </w:tcPr>
          <w:p w14:paraId="1DF95867" w14:textId="50C0C4ED" w:rsidR="0084671B" w:rsidRPr="0084671B" w:rsidRDefault="0084671B" w:rsidP="0084671B">
            <w:pPr>
              <w:rPr>
                <w:rFonts w:ascii="Arial" w:hAnsi="Arial" w:cs="Arial"/>
                <w:b/>
                <w:bCs/>
                <w:sz w:val="20"/>
                <w:szCs w:val="20"/>
              </w:rPr>
            </w:pPr>
            <w:r w:rsidRPr="008831C9">
              <w:rPr>
                <w:rFonts w:ascii="Arial" w:eastAsia="Times New Roman" w:hAnsi="Arial" w:cs="Arial"/>
                <w:color w:val="000000"/>
                <w:sz w:val="20"/>
                <w:szCs w:val="20"/>
                <w:lang w:eastAsia="fr-BE"/>
              </w:rPr>
              <w:t>Exclusion reason: non-exploitable data</w:t>
            </w:r>
          </w:p>
        </w:tc>
      </w:tr>
      <w:tr w:rsidR="0084671B" w:rsidRPr="00252F1D" w14:paraId="2C963ECD" w14:textId="77777777" w:rsidTr="0084671B">
        <w:tc>
          <w:tcPr>
            <w:tcW w:w="4815" w:type="dxa"/>
          </w:tcPr>
          <w:p w14:paraId="69EF20D1" w14:textId="0E4F9E1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long-term effects of non-steroidal anti-inflammatory drugs in osteoarthritis of the knee: a randomized placebo-controlled trial.</w:t>
            </w:r>
          </w:p>
        </w:tc>
        <w:tc>
          <w:tcPr>
            <w:tcW w:w="3951" w:type="dxa"/>
          </w:tcPr>
          <w:p w14:paraId="15CAD8BC" w14:textId="1F7020E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Scott, D L; Berry, H; Capell, H; Coppock, J; Daymond, T; Doyle, D V; Fernandes, L; Hazleman, B; Hunter, J; Huskisson, E C; Jawad, A; Jubb, R; Kennedy, T; McGill, P; Nichol, F; Palit, J; Webley, M; Woolf, A; Wotjulewski, J</w:t>
            </w:r>
          </w:p>
        </w:tc>
        <w:tc>
          <w:tcPr>
            <w:tcW w:w="1095" w:type="dxa"/>
          </w:tcPr>
          <w:p w14:paraId="21E95082" w14:textId="2BAB549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2000</w:t>
            </w:r>
          </w:p>
        </w:tc>
        <w:tc>
          <w:tcPr>
            <w:tcW w:w="1758" w:type="dxa"/>
          </w:tcPr>
          <w:p w14:paraId="0EC24526" w14:textId="66D9562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Rheumatology (Oxford, England)</w:t>
            </w:r>
          </w:p>
        </w:tc>
        <w:tc>
          <w:tcPr>
            <w:tcW w:w="2373" w:type="dxa"/>
          </w:tcPr>
          <w:p w14:paraId="4DE385F1" w14:textId="3ACA4D6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14:paraId="62E5463D" w14:textId="77777777" w:rsidTr="0084671B">
        <w:tc>
          <w:tcPr>
            <w:tcW w:w="4815" w:type="dxa"/>
          </w:tcPr>
          <w:p w14:paraId="1AF4068E" w14:textId="7E08A70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Intra-articular Injection of Platelet-Rich Plasma Is Superior to Hyaluronic Acid or Saline Solution in the Treatment of Mild to Moderate Knee Osteoarthritis: A Randomized, Double-Blind, Triple-Parallel, Placebo-Controlled Clinical Trial.</w:t>
            </w:r>
          </w:p>
        </w:tc>
        <w:tc>
          <w:tcPr>
            <w:tcW w:w="3951" w:type="dxa"/>
          </w:tcPr>
          <w:p w14:paraId="1EAC4563" w14:textId="2CFCE1B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Lin, Kuan-Yu; Yang, Chia-Chi; Hsu, Chien-Jen; Yeh, Ming-Long; Renn, Jenn-Huei</w:t>
            </w:r>
          </w:p>
        </w:tc>
        <w:tc>
          <w:tcPr>
            <w:tcW w:w="1095" w:type="dxa"/>
          </w:tcPr>
          <w:p w14:paraId="51EEAB99" w14:textId="7C6BA3B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2019</w:t>
            </w:r>
          </w:p>
        </w:tc>
        <w:tc>
          <w:tcPr>
            <w:tcW w:w="1758" w:type="dxa"/>
          </w:tcPr>
          <w:p w14:paraId="4C39F51B" w14:textId="4874577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Arthroscopy : the journal of arthroscopic &amp; related surgery : official publication of the Arthroscopy Association of North America and the International Arthroscopy Association</w:t>
            </w:r>
          </w:p>
        </w:tc>
        <w:tc>
          <w:tcPr>
            <w:tcW w:w="2373" w:type="dxa"/>
          </w:tcPr>
          <w:p w14:paraId="667CF58E" w14:textId="324CE5E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Wrong outcomes; </w:t>
            </w:r>
          </w:p>
        </w:tc>
      </w:tr>
      <w:tr w:rsidR="0084671B" w14:paraId="0F8E9E98" w14:textId="77777777" w:rsidTr="0084671B">
        <w:tc>
          <w:tcPr>
            <w:tcW w:w="4815" w:type="dxa"/>
          </w:tcPr>
          <w:p w14:paraId="10C48374" w14:textId="4B1D593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High molecular weight sodium hyaluronate (hyalectin) in osteoarthritis of the knee: a 1 year placebo-controlled trial.</w:t>
            </w:r>
          </w:p>
        </w:tc>
        <w:tc>
          <w:tcPr>
            <w:tcW w:w="3951" w:type="dxa"/>
          </w:tcPr>
          <w:p w14:paraId="5DF3C531" w14:textId="3FF45B96"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Dougados, M; Nguyen, M; Listrat, V; Amor, B</w:t>
            </w:r>
          </w:p>
        </w:tc>
        <w:tc>
          <w:tcPr>
            <w:tcW w:w="1095" w:type="dxa"/>
          </w:tcPr>
          <w:p w14:paraId="6BE0D0A6" w14:textId="1C6A63B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1993</w:t>
            </w:r>
          </w:p>
        </w:tc>
        <w:tc>
          <w:tcPr>
            <w:tcW w:w="1758" w:type="dxa"/>
          </w:tcPr>
          <w:p w14:paraId="2AB16711" w14:textId="387FE4E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Osteoarthritis and cartilage</w:t>
            </w:r>
          </w:p>
        </w:tc>
        <w:tc>
          <w:tcPr>
            <w:tcW w:w="2373" w:type="dxa"/>
          </w:tcPr>
          <w:p w14:paraId="72CBCD44" w14:textId="1D7D5D11"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Wrong patient population; </w:t>
            </w:r>
          </w:p>
        </w:tc>
      </w:tr>
      <w:tr w:rsidR="0084671B" w14:paraId="2DB168FC" w14:textId="77777777" w:rsidTr="0084671B">
        <w:tc>
          <w:tcPr>
            <w:tcW w:w="4815" w:type="dxa"/>
          </w:tcPr>
          <w:p w14:paraId="6D66EE7B" w14:textId="6D68254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effectiveness of high molecular weight hyaluronic acid for knee osteoarthritis in patients in the working age: a randomised controlled trial.</w:t>
            </w:r>
          </w:p>
        </w:tc>
        <w:tc>
          <w:tcPr>
            <w:tcW w:w="3951" w:type="dxa"/>
          </w:tcPr>
          <w:p w14:paraId="20D7C68B" w14:textId="4F6ACEF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Hermans, Job; Bierma-Zeinstra, Sita M A; Bos, Pieter K; Niesten, Dieu Donne; Verhaar, Jan A N; Reijman, Max</w:t>
            </w:r>
          </w:p>
        </w:tc>
        <w:tc>
          <w:tcPr>
            <w:tcW w:w="1095" w:type="dxa"/>
          </w:tcPr>
          <w:p w14:paraId="10E87EAB" w14:textId="4F91A53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2019</w:t>
            </w:r>
          </w:p>
        </w:tc>
        <w:tc>
          <w:tcPr>
            <w:tcW w:w="1758" w:type="dxa"/>
          </w:tcPr>
          <w:p w14:paraId="42501421" w14:textId="217C8C5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BMC musculoskeletal disorders</w:t>
            </w:r>
          </w:p>
        </w:tc>
        <w:tc>
          <w:tcPr>
            <w:tcW w:w="2373" w:type="dxa"/>
          </w:tcPr>
          <w:p w14:paraId="1520FDB3" w14:textId="421FEEF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wrong comparator; </w:t>
            </w:r>
          </w:p>
        </w:tc>
      </w:tr>
      <w:tr w:rsidR="0084671B" w:rsidRPr="00252F1D" w14:paraId="20FDD84C" w14:textId="77777777" w:rsidTr="0084671B">
        <w:tc>
          <w:tcPr>
            <w:tcW w:w="4815" w:type="dxa"/>
          </w:tcPr>
          <w:p w14:paraId="0A1564CA" w14:textId="5E2071D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Safety and efficacy of retreatment with a bioengineered hyaluronate for painful osteoarthritis of the knee: results of the open-label Extension Study of the FLEXX Trial.</w:t>
            </w:r>
          </w:p>
        </w:tc>
        <w:tc>
          <w:tcPr>
            <w:tcW w:w="3951" w:type="dxa"/>
          </w:tcPr>
          <w:p w14:paraId="71C859AB" w14:textId="1DBD4B8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Altman, R D; Rosen, J E; Bloch, D A; Hatoum, H T</w:t>
            </w:r>
          </w:p>
        </w:tc>
        <w:tc>
          <w:tcPr>
            <w:tcW w:w="1095" w:type="dxa"/>
          </w:tcPr>
          <w:p w14:paraId="2E24EF7B" w14:textId="020874B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2011</w:t>
            </w:r>
          </w:p>
        </w:tc>
        <w:tc>
          <w:tcPr>
            <w:tcW w:w="1758" w:type="dxa"/>
          </w:tcPr>
          <w:p w14:paraId="5A040CFC" w14:textId="1973043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Osteoarthritis and cartilage</w:t>
            </w:r>
          </w:p>
        </w:tc>
        <w:tc>
          <w:tcPr>
            <w:tcW w:w="2373" w:type="dxa"/>
          </w:tcPr>
          <w:p w14:paraId="68730E70" w14:textId="6C75D3D3"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Post-hoc analysis</w:t>
            </w:r>
          </w:p>
        </w:tc>
      </w:tr>
      <w:tr w:rsidR="0084671B" w14:paraId="5A7B7737" w14:textId="77777777" w:rsidTr="0084671B">
        <w:tc>
          <w:tcPr>
            <w:tcW w:w="4815" w:type="dxa"/>
          </w:tcPr>
          <w:p w14:paraId="455FADE1" w14:textId="7F4C43A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Treatment of symptomatic knee osteoarthritis with oral salmon calcitonin: results from two phase 3 trials.</w:t>
            </w:r>
          </w:p>
        </w:tc>
        <w:tc>
          <w:tcPr>
            <w:tcW w:w="3951" w:type="dxa"/>
          </w:tcPr>
          <w:p w14:paraId="029E7B84" w14:textId="2BCD582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Karsdal, M A; Byrjalsen, I; Alexandersen, P; Bihlet, A; Andersen, J R; Riis, B J; Bay-Jensen, A C; Christiansen, C; CSMC021C2301/2 investigators</w:t>
            </w:r>
          </w:p>
        </w:tc>
        <w:tc>
          <w:tcPr>
            <w:tcW w:w="1095" w:type="dxa"/>
          </w:tcPr>
          <w:p w14:paraId="14F52436" w14:textId="7FBAD5C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2015</w:t>
            </w:r>
          </w:p>
        </w:tc>
        <w:tc>
          <w:tcPr>
            <w:tcW w:w="1758" w:type="dxa"/>
          </w:tcPr>
          <w:p w14:paraId="1B7AFA5F" w14:textId="3DA94EA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Osteoarthritis and cartilage</w:t>
            </w:r>
          </w:p>
        </w:tc>
        <w:tc>
          <w:tcPr>
            <w:tcW w:w="2373" w:type="dxa"/>
          </w:tcPr>
          <w:p w14:paraId="57E3D551" w14:textId="233B183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Wrong intervention; </w:t>
            </w:r>
          </w:p>
        </w:tc>
      </w:tr>
      <w:tr w:rsidR="0084671B" w14:paraId="01C87053" w14:textId="77777777" w:rsidTr="0084671B">
        <w:tc>
          <w:tcPr>
            <w:tcW w:w="4815" w:type="dxa"/>
          </w:tcPr>
          <w:p w14:paraId="4D995D4F" w14:textId="2D1D9F2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effect of alendronate on symptoms of knee osteoarthritis: a randomized controlled trial</w:t>
            </w:r>
          </w:p>
        </w:tc>
        <w:tc>
          <w:tcPr>
            <w:tcW w:w="3951" w:type="dxa"/>
          </w:tcPr>
          <w:p w14:paraId="0F9D81DC" w14:textId="646F371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Jokar M, Mirfeizi Z, Keyvanpajoh K</w:t>
            </w:r>
          </w:p>
        </w:tc>
        <w:tc>
          <w:tcPr>
            <w:tcW w:w="1095" w:type="dxa"/>
          </w:tcPr>
          <w:p w14:paraId="288B8674" w14:textId="19A24A3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2010</w:t>
            </w:r>
          </w:p>
        </w:tc>
        <w:tc>
          <w:tcPr>
            <w:tcW w:w="1758" w:type="dxa"/>
          </w:tcPr>
          <w:p w14:paraId="0BB1C618" w14:textId="77777777" w:rsidR="0084671B" w:rsidRDefault="0084671B" w:rsidP="0084671B">
            <w:pPr>
              <w:rPr>
                <w:rFonts w:ascii="Arial" w:hAnsi="Arial" w:cs="Arial"/>
                <w:b/>
                <w:bCs/>
                <w:sz w:val="20"/>
                <w:szCs w:val="20"/>
                <w:lang w:val="en-GB"/>
              </w:rPr>
            </w:pPr>
          </w:p>
        </w:tc>
        <w:tc>
          <w:tcPr>
            <w:tcW w:w="2373" w:type="dxa"/>
          </w:tcPr>
          <w:p w14:paraId="3E0931CE" w14:textId="02063BC3"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66357148" w14:textId="77777777" w:rsidTr="0084671B">
        <w:tc>
          <w:tcPr>
            <w:tcW w:w="4815" w:type="dxa"/>
          </w:tcPr>
          <w:p w14:paraId="0189D462" w14:textId="442F4D2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Chondroitin sulfate reduces pain and improves function in knee osteoarthritis significantly better than placebo, independently of the definition of responders</w:t>
            </w:r>
          </w:p>
        </w:tc>
        <w:tc>
          <w:tcPr>
            <w:tcW w:w="3951" w:type="dxa"/>
          </w:tcPr>
          <w:p w14:paraId="1FA557DF" w14:textId="77777777" w:rsidR="0084671B" w:rsidRDefault="0084671B" w:rsidP="0084671B">
            <w:pPr>
              <w:rPr>
                <w:rFonts w:ascii="Arial" w:hAnsi="Arial" w:cs="Arial"/>
                <w:b/>
                <w:bCs/>
                <w:sz w:val="20"/>
                <w:szCs w:val="20"/>
                <w:lang w:val="en-GB"/>
              </w:rPr>
            </w:pPr>
          </w:p>
        </w:tc>
        <w:tc>
          <w:tcPr>
            <w:tcW w:w="1095" w:type="dxa"/>
          </w:tcPr>
          <w:p w14:paraId="2528CD31" w14:textId="65AFBC8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2017</w:t>
            </w:r>
          </w:p>
        </w:tc>
        <w:tc>
          <w:tcPr>
            <w:tcW w:w="1758" w:type="dxa"/>
          </w:tcPr>
          <w:p w14:paraId="29548690" w14:textId="21E0F62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Chondroitin sulfate reduces pain and improves function in knee osteoarthritis significantly better than placebo, independently of the definition of responders</w:t>
            </w:r>
          </w:p>
        </w:tc>
        <w:tc>
          <w:tcPr>
            <w:tcW w:w="2373" w:type="dxa"/>
          </w:tcPr>
          <w:p w14:paraId="2ABB1586" w14:textId="4E4F8E28"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outcomes</w:t>
            </w:r>
          </w:p>
        </w:tc>
      </w:tr>
      <w:tr w:rsidR="0084671B" w14:paraId="2A25137D" w14:textId="77777777" w:rsidTr="0084671B">
        <w:tc>
          <w:tcPr>
            <w:tcW w:w="4815" w:type="dxa"/>
          </w:tcPr>
          <w:p w14:paraId="2B47D72C" w14:textId="5D0D6E8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Vitamin d supplementation improves depression in knee osteoarthritis patients</w:t>
            </w:r>
          </w:p>
        </w:tc>
        <w:tc>
          <w:tcPr>
            <w:tcW w:w="3951" w:type="dxa"/>
          </w:tcPr>
          <w:p w14:paraId="7E168673" w14:textId="6755C3EC" w:rsidR="0084671B" w:rsidRDefault="0084671B" w:rsidP="0084671B">
            <w:pPr>
              <w:rPr>
                <w:rFonts w:ascii="Arial" w:hAnsi="Arial" w:cs="Arial"/>
                <w:b/>
                <w:bCs/>
                <w:sz w:val="20"/>
                <w:szCs w:val="20"/>
                <w:lang w:val="en-GB"/>
              </w:rPr>
            </w:pPr>
            <w:r w:rsidRPr="0084671B">
              <w:rPr>
                <w:rFonts w:ascii="Arial" w:eastAsia="Times New Roman" w:hAnsi="Arial" w:cs="Arial"/>
                <w:color w:val="000000"/>
                <w:sz w:val="20"/>
                <w:szCs w:val="20"/>
                <w:lang w:val="en-GB" w:eastAsia="fr-BE"/>
              </w:rPr>
              <w:t>Zheng S, Tu LD, Cicuttini F, Han WY, Zhu ZH, Antony B, Wluka A, Winzenberg T, Aitken D, Blizzard L, Jones G, Ding CH</w:t>
            </w:r>
          </w:p>
        </w:tc>
        <w:tc>
          <w:tcPr>
            <w:tcW w:w="1095" w:type="dxa"/>
          </w:tcPr>
          <w:p w14:paraId="4130F751" w14:textId="604A2C3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0E8CBCEA" w14:textId="77777777" w:rsidR="0084671B" w:rsidRDefault="0084671B" w:rsidP="0084671B">
            <w:pPr>
              <w:rPr>
                <w:rFonts w:ascii="Arial" w:hAnsi="Arial" w:cs="Arial"/>
                <w:b/>
                <w:bCs/>
                <w:sz w:val="20"/>
                <w:szCs w:val="20"/>
                <w:lang w:val="en-GB"/>
              </w:rPr>
            </w:pPr>
          </w:p>
        </w:tc>
        <w:tc>
          <w:tcPr>
            <w:tcW w:w="2373" w:type="dxa"/>
          </w:tcPr>
          <w:p w14:paraId="4838125B" w14:textId="18903BD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outcomes</w:t>
            </w:r>
          </w:p>
        </w:tc>
      </w:tr>
      <w:tr w:rsidR="0084671B" w:rsidRPr="00252F1D" w14:paraId="0573FEDD" w14:textId="77777777" w:rsidTr="0084671B">
        <w:tc>
          <w:tcPr>
            <w:tcW w:w="4815" w:type="dxa"/>
          </w:tcPr>
          <w:p w14:paraId="6B69617F" w14:textId="705551F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Factors associated with depression and effects of vitamin D supplementation and maintaining vitamin D sufficiency on depression in patients with knee osteoarthritis</w:t>
            </w:r>
          </w:p>
        </w:tc>
        <w:tc>
          <w:tcPr>
            <w:tcW w:w="3951" w:type="dxa"/>
          </w:tcPr>
          <w:p w14:paraId="44CE4317" w14:textId="14376CC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Zheng S, Tu L, Cicuttini F, Han W, Zhu Z, Antony B, Wluka A, Winzenberg T, Aitken D, Blizzard L, Jones G, Ding C</w:t>
            </w:r>
          </w:p>
        </w:tc>
        <w:tc>
          <w:tcPr>
            <w:tcW w:w="1095" w:type="dxa"/>
          </w:tcPr>
          <w:p w14:paraId="37F0B03C" w14:textId="2D547FD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27A5B056" w14:textId="77777777" w:rsidR="0084671B" w:rsidRDefault="0084671B" w:rsidP="0084671B">
            <w:pPr>
              <w:rPr>
                <w:rFonts w:ascii="Arial" w:hAnsi="Arial" w:cs="Arial"/>
                <w:b/>
                <w:bCs/>
                <w:sz w:val="20"/>
                <w:szCs w:val="20"/>
                <w:lang w:val="en-GB"/>
              </w:rPr>
            </w:pPr>
          </w:p>
        </w:tc>
        <w:tc>
          <w:tcPr>
            <w:tcW w:w="2373" w:type="dxa"/>
          </w:tcPr>
          <w:p w14:paraId="1A6A921C" w14:textId="1DB8E60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 xml:space="preserve">Exclusion reason: Not enough information ; </w:t>
            </w:r>
          </w:p>
        </w:tc>
      </w:tr>
      <w:tr w:rsidR="0084671B" w:rsidRPr="00252F1D" w14:paraId="49946E8D" w14:textId="77777777" w:rsidTr="0084671B">
        <w:tc>
          <w:tcPr>
            <w:tcW w:w="4815" w:type="dxa"/>
          </w:tcPr>
          <w:p w14:paraId="4E050AB9" w14:textId="595E21C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Open trial of Glucosamine Hydrochloride (Arthroid) in the Treatment of Pain of Osteoarthritis of the Knee</w:t>
            </w:r>
          </w:p>
        </w:tc>
        <w:tc>
          <w:tcPr>
            <w:tcW w:w="3951" w:type="dxa"/>
          </w:tcPr>
          <w:p w14:paraId="32793C04" w14:textId="0B423A0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Wein CR, Houpt JB, McMillan R, Russell AHK</w:t>
            </w:r>
          </w:p>
        </w:tc>
        <w:tc>
          <w:tcPr>
            <w:tcW w:w="1095" w:type="dxa"/>
          </w:tcPr>
          <w:p w14:paraId="70003300" w14:textId="06B86ED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1998</w:t>
            </w:r>
          </w:p>
        </w:tc>
        <w:tc>
          <w:tcPr>
            <w:tcW w:w="1758" w:type="dxa"/>
          </w:tcPr>
          <w:p w14:paraId="52B18720" w14:textId="77777777" w:rsidR="0084671B" w:rsidRDefault="0084671B" w:rsidP="0084671B">
            <w:pPr>
              <w:rPr>
                <w:rFonts w:ascii="Arial" w:hAnsi="Arial" w:cs="Arial"/>
                <w:b/>
                <w:bCs/>
                <w:sz w:val="20"/>
                <w:szCs w:val="20"/>
                <w:lang w:val="en-GB"/>
              </w:rPr>
            </w:pPr>
          </w:p>
        </w:tc>
        <w:tc>
          <w:tcPr>
            <w:tcW w:w="2373" w:type="dxa"/>
          </w:tcPr>
          <w:p w14:paraId="7F99C7D7" w14:textId="6C8006B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Clinical trial (not published)</w:t>
            </w:r>
          </w:p>
        </w:tc>
      </w:tr>
      <w:tr w:rsidR="0084671B" w14:paraId="03AE0FE2" w14:textId="77777777" w:rsidTr="0084671B">
        <w:tc>
          <w:tcPr>
            <w:tcW w:w="4815" w:type="dxa"/>
          </w:tcPr>
          <w:p w14:paraId="5E620358" w14:textId="068E7C9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Effects of Hylan G-F 20 supplementation on cartilage preservation detected by magnetic resonance imaging in osteoarthritis of the knee: a two-year single-blind clinical trial.</w:t>
            </w:r>
          </w:p>
        </w:tc>
        <w:tc>
          <w:tcPr>
            <w:tcW w:w="3951" w:type="dxa"/>
          </w:tcPr>
          <w:p w14:paraId="712724ED" w14:textId="234D715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Wang, Yuanyuan; Hall, Stephen; Hanna, Fahad; Wluka, Anita E; Grant, Gail; Marks, Paul; Feletar, Marie; Cicuttini, Flavia M</w:t>
            </w:r>
          </w:p>
        </w:tc>
        <w:tc>
          <w:tcPr>
            <w:tcW w:w="1095" w:type="dxa"/>
          </w:tcPr>
          <w:p w14:paraId="05C08FC3" w14:textId="6D00CB1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2011</w:t>
            </w:r>
          </w:p>
        </w:tc>
        <w:tc>
          <w:tcPr>
            <w:tcW w:w="1758" w:type="dxa"/>
          </w:tcPr>
          <w:p w14:paraId="4757E276" w14:textId="527C716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BMC musculoskeletal disorders</w:t>
            </w:r>
          </w:p>
        </w:tc>
        <w:tc>
          <w:tcPr>
            <w:tcW w:w="2373" w:type="dxa"/>
          </w:tcPr>
          <w:p w14:paraId="1197B2AB" w14:textId="0B171E84"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622141DF" w14:textId="77777777" w:rsidTr="0084671B">
        <w:tc>
          <w:tcPr>
            <w:tcW w:w="4815" w:type="dxa"/>
          </w:tcPr>
          <w:p w14:paraId="47A408B3" w14:textId="10FA53D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Knee effusion-synovitis volume measurement and effects of vitamin D supplementation in patients with knee osteoarthritis</w:t>
            </w:r>
          </w:p>
        </w:tc>
        <w:tc>
          <w:tcPr>
            <w:tcW w:w="3951" w:type="dxa"/>
          </w:tcPr>
          <w:p w14:paraId="7AEE8C52" w14:textId="6E70420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Wang X, Cicuttini F, Jin X, Wluka AE, Han W, Zhu Z, Blizzard L, Antony B, Winzenberg T, Jones G, Ding C</w:t>
            </w:r>
          </w:p>
        </w:tc>
        <w:tc>
          <w:tcPr>
            <w:tcW w:w="1095" w:type="dxa"/>
          </w:tcPr>
          <w:p w14:paraId="2C8A2911" w14:textId="63A2640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2017</w:t>
            </w:r>
          </w:p>
        </w:tc>
        <w:tc>
          <w:tcPr>
            <w:tcW w:w="1758" w:type="dxa"/>
          </w:tcPr>
          <w:p w14:paraId="4B562DA4" w14:textId="77777777" w:rsidR="0084671B" w:rsidRDefault="0084671B" w:rsidP="0084671B">
            <w:pPr>
              <w:rPr>
                <w:rFonts w:ascii="Arial" w:hAnsi="Arial" w:cs="Arial"/>
                <w:b/>
                <w:bCs/>
                <w:sz w:val="20"/>
                <w:szCs w:val="20"/>
                <w:lang w:val="en-GB"/>
              </w:rPr>
            </w:pPr>
          </w:p>
        </w:tc>
        <w:tc>
          <w:tcPr>
            <w:tcW w:w="2373" w:type="dxa"/>
          </w:tcPr>
          <w:p w14:paraId="4421DCD2" w14:textId="67E45E0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rsidRPr="00252F1D" w14:paraId="3D4C44F9" w14:textId="77777777" w:rsidTr="0084671B">
        <w:tc>
          <w:tcPr>
            <w:tcW w:w="4815" w:type="dxa"/>
          </w:tcPr>
          <w:p w14:paraId="30E90332" w14:textId="3EF8D5B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Knee effusion-synovitis volume measurement and effects of vitamin D supplementation in patients with knee osteoarthritis.</w:t>
            </w:r>
          </w:p>
        </w:tc>
        <w:tc>
          <w:tcPr>
            <w:tcW w:w="3951" w:type="dxa"/>
          </w:tcPr>
          <w:p w14:paraId="762C6050" w14:textId="6B2BA1C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Wang, X; Cicuttini, F; Jin, X; Wluka, A E; Han, W; Zhu, Z; Blizzard, L; Antony, B; Winzenberg, T; Jones, G; Ding, C</w:t>
            </w:r>
          </w:p>
        </w:tc>
        <w:tc>
          <w:tcPr>
            <w:tcW w:w="1095" w:type="dxa"/>
          </w:tcPr>
          <w:p w14:paraId="1F77E463" w14:textId="03EA100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2017</w:t>
            </w:r>
          </w:p>
        </w:tc>
        <w:tc>
          <w:tcPr>
            <w:tcW w:w="1758" w:type="dxa"/>
          </w:tcPr>
          <w:p w14:paraId="55815F3D" w14:textId="4575DA5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Osteoarthritis and cartilage</w:t>
            </w:r>
          </w:p>
        </w:tc>
        <w:tc>
          <w:tcPr>
            <w:tcW w:w="2373" w:type="dxa"/>
          </w:tcPr>
          <w:p w14:paraId="5F2F869E" w14:textId="5546613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Post-hoc analysis</w:t>
            </w:r>
          </w:p>
        </w:tc>
      </w:tr>
      <w:tr w:rsidR="0084671B" w14:paraId="4F3C6BA3" w14:textId="77777777" w:rsidTr="0084671B">
        <w:tc>
          <w:tcPr>
            <w:tcW w:w="4815" w:type="dxa"/>
          </w:tcPr>
          <w:p w14:paraId="31FEDBAD" w14:textId="080BA55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of intraarticular infliximab in patients with chronic or recurrent gonarthritis: A clinical randomized trial</w:t>
            </w:r>
          </w:p>
        </w:tc>
        <w:tc>
          <w:tcPr>
            <w:tcW w:w="3951" w:type="dxa"/>
          </w:tcPr>
          <w:p w14:paraId="193E3FCF" w14:textId="41D2BCD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Van Der Bijl, A.E.; Teng, Y.K.O.; Van Oosterhout, M.; Breedveld, F.C.; Allaart, C.F.; Huizinga, T.W.J.</w:t>
            </w:r>
          </w:p>
        </w:tc>
        <w:tc>
          <w:tcPr>
            <w:tcW w:w="1095" w:type="dxa"/>
          </w:tcPr>
          <w:p w14:paraId="0422B860" w14:textId="4CA373D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2009</w:t>
            </w:r>
          </w:p>
        </w:tc>
        <w:tc>
          <w:tcPr>
            <w:tcW w:w="1758" w:type="dxa"/>
          </w:tcPr>
          <w:p w14:paraId="4307FBFD" w14:textId="359F38D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Arthritis Care and Research</w:t>
            </w:r>
          </w:p>
        </w:tc>
        <w:tc>
          <w:tcPr>
            <w:tcW w:w="2373" w:type="dxa"/>
          </w:tcPr>
          <w:p w14:paraId="245AECD5" w14:textId="3853C1F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patient population</w:t>
            </w:r>
          </w:p>
        </w:tc>
      </w:tr>
      <w:tr w:rsidR="0084671B" w14:paraId="5C78FA3B" w14:textId="77777777" w:rsidTr="0084671B">
        <w:tc>
          <w:tcPr>
            <w:tcW w:w="4815" w:type="dxa"/>
          </w:tcPr>
          <w:p w14:paraId="5BFA3843" w14:textId="00449C8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comparison of triamcinolonehexacetonide and betamethasone in the treatment of osteoarthrosis of the knee-joint</w:t>
            </w:r>
          </w:p>
        </w:tc>
        <w:tc>
          <w:tcPr>
            <w:tcW w:w="3951" w:type="dxa"/>
          </w:tcPr>
          <w:p w14:paraId="294D3955" w14:textId="6336070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Valtonen, J.</w:t>
            </w:r>
          </w:p>
        </w:tc>
        <w:tc>
          <w:tcPr>
            <w:tcW w:w="1095" w:type="dxa"/>
          </w:tcPr>
          <w:p w14:paraId="129D474D" w14:textId="2AB7F6B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1981</w:t>
            </w:r>
          </w:p>
        </w:tc>
        <w:tc>
          <w:tcPr>
            <w:tcW w:w="1758" w:type="dxa"/>
          </w:tcPr>
          <w:p w14:paraId="36C50B26" w14:textId="6E81105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Scandinavian Journal of Rheumatology</w:t>
            </w:r>
          </w:p>
        </w:tc>
        <w:tc>
          <w:tcPr>
            <w:tcW w:w="2373" w:type="dxa"/>
          </w:tcPr>
          <w:p w14:paraId="404970CB" w14:textId="685DB4F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rsidRPr="00252F1D" w14:paraId="69216D78" w14:textId="77777777" w:rsidTr="0084671B">
        <w:tc>
          <w:tcPr>
            <w:tcW w:w="4815" w:type="dxa"/>
          </w:tcPr>
          <w:p w14:paraId="28248526" w14:textId="6DF4919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effect of different treatments on the clinical course of knee osteoarthritis</w:t>
            </w:r>
          </w:p>
        </w:tc>
        <w:tc>
          <w:tcPr>
            <w:tcW w:w="3951" w:type="dxa"/>
          </w:tcPr>
          <w:p w14:paraId="1C14C2DF" w14:textId="5A82459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Trofimov E, Trofimova A, Mazurov V</w:t>
            </w:r>
          </w:p>
        </w:tc>
        <w:tc>
          <w:tcPr>
            <w:tcW w:w="1095" w:type="dxa"/>
          </w:tcPr>
          <w:p w14:paraId="6384A419" w14:textId="52B495E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72985109" w14:textId="77777777" w:rsidR="0084671B" w:rsidRDefault="0084671B" w:rsidP="0084671B">
            <w:pPr>
              <w:rPr>
                <w:rFonts w:ascii="Arial" w:hAnsi="Arial" w:cs="Arial"/>
                <w:b/>
                <w:bCs/>
                <w:sz w:val="20"/>
                <w:szCs w:val="20"/>
                <w:lang w:val="en-GB"/>
              </w:rPr>
            </w:pPr>
          </w:p>
        </w:tc>
        <w:tc>
          <w:tcPr>
            <w:tcW w:w="2373" w:type="dxa"/>
          </w:tcPr>
          <w:p w14:paraId="5869AD12" w14:textId="74E6EBB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 xml:space="preserve">Exclusion reason: Not enough information ; </w:t>
            </w:r>
          </w:p>
        </w:tc>
      </w:tr>
      <w:tr w:rsidR="0084671B" w14:paraId="769DAF44" w14:textId="77777777" w:rsidTr="0084671B">
        <w:tc>
          <w:tcPr>
            <w:tcW w:w="4815" w:type="dxa"/>
          </w:tcPr>
          <w:p w14:paraId="42717DF1" w14:textId="59EEE6C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A prospective, randomized, pragmatic, health outcomes trial evaluating the incorporation of hylan G-F 20 into the treatment paradigm for patients with knee osteoarthritis (Part 2 of 2): economic results.</w:t>
            </w:r>
          </w:p>
        </w:tc>
        <w:tc>
          <w:tcPr>
            <w:tcW w:w="3951" w:type="dxa"/>
          </w:tcPr>
          <w:p w14:paraId="16F96F3A" w14:textId="3D17A1B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Torrance, G W; Raynauld, J P; Walker, V; Goldsmith, C H; Bellamy, N; Band, P A; Schultz, M; Tugwell, P; Canadian Knee OA Study Group</w:t>
            </w:r>
          </w:p>
        </w:tc>
        <w:tc>
          <w:tcPr>
            <w:tcW w:w="1095" w:type="dxa"/>
          </w:tcPr>
          <w:p w14:paraId="7A2CD464" w14:textId="4EA4431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2002</w:t>
            </w:r>
          </w:p>
        </w:tc>
        <w:tc>
          <w:tcPr>
            <w:tcW w:w="1758" w:type="dxa"/>
          </w:tcPr>
          <w:p w14:paraId="24DCF5BE" w14:textId="0EADF5F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Osteoarthritis and cartilage</w:t>
            </w:r>
          </w:p>
        </w:tc>
        <w:tc>
          <w:tcPr>
            <w:tcW w:w="2373" w:type="dxa"/>
          </w:tcPr>
          <w:p w14:paraId="4BCC45C7" w14:textId="42C1B1D6"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outcomes</w:t>
            </w:r>
          </w:p>
        </w:tc>
      </w:tr>
      <w:tr w:rsidR="0084671B" w14:paraId="5DA493BB" w14:textId="77777777" w:rsidTr="0084671B">
        <w:tc>
          <w:tcPr>
            <w:tcW w:w="4815" w:type="dxa"/>
          </w:tcPr>
          <w:p w14:paraId="1A59CAF4" w14:textId="1BD045E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Comparison of Single Intra-Articular Injection of Novel Hyaluronan (HYA-JOINT Plus) with Synvisc-One for Knee Osteoarthritis: A Randomized, Controlled, Double-Blind Trial of Efficacy and Safety.</w:t>
            </w:r>
          </w:p>
        </w:tc>
        <w:tc>
          <w:tcPr>
            <w:tcW w:w="3951" w:type="dxa"/>
          </w:tcPr>
          <w:p w14:paraId="01CBA0E0" w14:textId="201726C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Sun, Shu-Fen; Hsu, Chien-Wei; Lin, Huey-Shyan; Liou, I-Hsiu; Chen, Yin-Han; Hung, Chia-Ling</w:t>
            </w:r>
          </w:p>
        </w:tc>
        <w:tc>
          <w:tcPr>
            <w:tcW w:w="1095" w:type="dxa"/>
          </w:tcPr>
          <w:p w14:paraId="7BE7679F" w14:textId="33379B6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2017</w:t>
            </w:r>
          </w:p>
        </w:tc>
        <w:tc>
          <w:tcPr>
            <w:tcW w:w="1758" w:type="dxa"/>
          </w:tcPr>
          <w:p w14:paraId="777F2C15" w14:textId="7751829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The Journal of bone and joint surgery. </w:t>
            </w:r>
            <w:r w:rsidRPr="000B369D">
              <w:rPr>
                <w:rFonts w:ascii="Arial" w:eastAsia="Times New Roman" w:hAnsi="Arial" w:cs="Arial"/>
                <w:color w:val="000000"/>
                <w:sz w:val="20"/>
                <w:szCs w:val="20"/>
                <w:lang w:eastAsia="fr-BE"/>
              </w:rPr>
              <w:t>American volume</w:t>
            </w:r>
          </w:p>
        </w:tc>
        <w:tc>
          <w:tcPr>
            <w:tcW w:w="2373" w:type="dxa"/>
          </w:tcPr>
          <w:p w14:paraId="64CB12FE" w14:textId="0D0C330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comparator</w:t>
            </w:r>
          </w:p>
        </w:tc>
      </w:tr>
      <w:tr w:rsidR="0084671B" w14:paraId="427FB042" w14:textId="77777777" w:rsidTr="0084671B">
        <w:tc>
          <w:tcPr>
            <w:tcW w:w="4815" w:type="dxa"/>
          </w:tcPr>
          <w:p w14:paraId="0DC457A3" w14:textId="280E485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Comparison of tolmetin sodium with indomethacin in osteoarthritis</w:t>
            </w:r>
          </w:p>
        </w:tc>
        <w:tc>
          <w:tcPr>
            <w:tcW w:w="3951" w:type="dxa"/>
          </w:tcPr>
          <w:p w14:paraId="4062AE81" w14:textId="46FB1A2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Shephard, N.W.; Steele, C.E.</w:t>
            </w:r>
          </w:p>
        </w:tc>
        <w:tc>
          <w:tcPr>
            <w:tcW w:w="1095" w:type="dxa"/>
          </w:tcPr>
          <w:p w14:paraId="24CD5DBC" w14:textId="2A2772D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1981</w:t>
            </w:r>
          </w:p>
        </w:tc>
        <w:tc>
          <w:tcPr>
            <w:tcW w:w="1758" w:type="dxa"/>
          </w:tcPr>
          <w:p w14:paraId="7591CB16" w14:textId="466D2A5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Practitioner</w:t>
            </w:r>
          </w:p>
        </w:tc>
        <w:tc>
          <w:tcPr>
            <w:tcW w:w="2373" w:type="dxa"/>
          </w:tcPr>
          <w:p w14:paraId="75290A5E" w14:textId="64FE716B"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patient population</w:t>
            </w:r>
          </w:p>
        </w:tc>
      </w:tr>
      <w:tr w:rsidR="0084671B" w14:paraId="4A7C5B42" w14:textId="77777777" w:rsidTr="0084671B">
        <w:tc>
          <w:tcPr>
            <w:tcW w:w="4815" w:type="dxa"/>
          </w:tcPr>
          <w:p w14:paraId="3799B469" w14:textId="105214F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Chondroitin/glucosamine equal to celecoxib for knee osteoarthritis</w:t>
            </w:r>
          </w:p>
        </w:tc>
        <w:tc>
          <w:tcPr>
            <w:tcW w:w="3951" w:type="dxa"/>
          </w:tcPr>
          <w:p w14:paraId="1EAAF138" w14:textId="37FA8A8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Shaughnessy, A.F.</w:t>
            </w:r>
          </w:p>
        </w:tc>
        <w:tc>
          <w:tcPr>
            <w:tcW w:w="1095" w:type="dxa"/>
          </w:tcPr>
          <w:p w14:paraId="1EF4B95A" w14:textId="21A0B46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2016</w:t>
            </w:r>
          </w:p>
        </w:tc>
        <w:tc>
          <w:tcPr>
            <w:tcW w:w="1758" w:type="dxa"/>
          </w:tcPr>
          <w:p w14:paraId="2D777A87" w14:textId="2D36CEE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American Family Physician</w:t>
            </w:r>
          </w:p>
        </w:tc>
        <w:tc>
          <w:tcPr>
            <w:tcW w:w="2373" w:type="dxa"/>
          </w:tcPr>
          <w:p w14:paraId="5BA455CC" w14:textId="2AAD5AA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commentary</w:t>
            </w:r>
          </w:p>
        </w:tc>
      </w:tr>
      <w:tr w:rsidR="0084671B" w14:paraId="6336597A" w14:textId="77777777" w:rsidTr="0084671B">
        <w:tc>
          <w:tcPr>
            <w:tcW w:w="4815" w:type="dxa"/>
          </w:tcPr>
          <w:p w14:paraId="1FC5DF40" w14:textId="577C6CF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and safety of naproxcinod in patients with osteoarthritis of the knee: a 53-week prospective randomized multicenter study.</w:t>
            </w:r>
          </w:p>
        </w:tc>
        <w:tc>
          <w:tcPr>
            <w:tcW w:w="3951" w:type="dxa"/>
          </w:tcPr>
          <w:p w14:paraId="05125FCA" w14:textId="5B6E5DC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Schnitzer, Thomas J; Hochberg, Marc C; Marrero, Christopher E; Duquesroix, Brigitte; Frayssinet, Hayet; Beekman, Maarten</w:t>
            </w:r>
          </w:p>
        </w:tc>
        <w:tc>
          <w:tcPr>
            <w:tcW w:w="1095" w:type="dxa"/>
          </w:tcPr>
          <w:p w14:paraId="2CF16B13" w14:textId="3410B81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2011</w:t>
            </w:r>
          </w:p>
        </w:tc>
        <w:tc>
          <w:tcPr>
            <w:tcW w:w="1758" w:type="dxa"/>
          </w:tcPr>
          <w:p w14:paraId="44A59590" w14:textId="0074376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Seminars in arthritis and rheumatism</w:t>
            </w:r>
          </w:p>
        </w:tc>
        <w:tc>
          <w:tcPr>
            <w:tcW w:w="2373" w:type="dxa"/>
          </w:tcPr>
          <w:p w14:paraId="1F67911A" w14:textId="057E68D3"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rsidRPr="00252F1D" w14:paraId="5825FCE7" w14:textId="77777777" w:rsidTr="0084671B">
        <w:tc>
          <w:tcPr>
            <w:tcW w:w="4815" w:type="dxa"/>
          </w:tcPr>
          <w:p w14:paraId="37137EA7" w14:textId="5D882A8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comparison of the efficacy and safety of intra-articular injections of sodium hyaluronate and methylprednisolone in the treatment of osteoarthritis of knee</w:t>
            </w:r>
          </w:p>
        </w:tc>
        <w:tc>
          <w:tcPr>
            <w:tcW w:w="3951" w:type="dxa"/>
          </w:tcPr>
          <w:p w14:paraId="01EEA4A3" w14:textId="4BD4C4D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Sarumathy S, Haripriya CH, Rao MVP, Gayathri K, Bala Sudhakar CH, Divya M, Shanmugasundaram P</w:t>
            </w:r>
          </w:p>
        </w:tc>
        <w:tc>
          <w:tcPr>
            <w:tcW w:w="1095" w:type="dxa"/>
          </w:tcPr>
          <w:p w14:paraId="3B2EBE22" w14:textId="3C90120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2015</w:t>
            </w:r>
          </w:p>
        </w:tc>
        <w:tc>
          <w:tcPr>
            <w:tcW w:w="1758" w:type="dxa"/>
          </w:tcPr>
          <w:p w14:paraId="0B40EBAF" w14:textId="7E10203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comparison of the efficacy and safety of intra-articular injections of sodium hyaluronate and methylprednisolone in the treatment of osteoarthritis of knee</w:t>
            </w:r>
          </w:p>
        </w:tc>
        <w:tc>
          <w:tcPr>
            <w:tcW w:w="2373" w:type="dxa"/>
          </w:tcPr>
          <w:p w14:paraId="549E4E12" w14:textId="4BB07BA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rsidRPr="00252F1D" w14:paraId="2A8BAA66" w14:textId="77777777" w:rsidTr="0084671B">
        <w:tc>
          <w:tcPr>
            <w:tcW w:w="4815" w:type="dxa"/>
          </w:tcPr>
          <w:p w14:paraId="44640721" w14:textId="4C848CC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Vitamin D receptor gene polymorphisms modulate the clinico-radiological response to vitamin D supplementation in knee osteoarthritis.</w:t>
            </w:r>
          </w:p>
        </w:tc>
        <w:tc>
          <w:tcPr>
            <w:tcW w:w="3951" w:type="dxa"/>
          </w:tcPr>
          <w:p w14:paraId="4C725554" w14:textId="141AC48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Sanghi D, Srivastava RN, Raj S, Mishra A, Natu SM, Agarwal S</w:t>
            </w:r>
          </w:p>
        </w:tc>
        <w:tc>
          <w:tcPr>
            <w:tcW w:w="1095" w:type="dxa"/>
          </w:tcPr>
          <w:p w14:paraId="59405746" w14:textId="61F34FE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2014</w:t>
            </w:r>
          </w:p>
        </w:tc>
        <w:tc>
          <w:tcPr>
            <w:tcW w:w="1758" w:type="dxa"/>
          </w:tcPr>
          <w:p w14:paraId="1460F784" w14:textId="77777777" w:rsidR="0084671B" w:rsidRDefault="0084671B" w:rsidP="0084671B">
            <w:pPr>
              <w:rPr>
                <w:rFonts w:ascii="Arial" w:hAnsi="Arial" w:cs="Arial"/>
                <w:b/>
                <w:bCs/>
                <w:sz w:val="20"/>
                <w:szCs w:val="20"/>
                <w:lang w:val="en-GB"/>
              </w:rPr>
            </w:pPr>
          </w:p>
        </w:tc>
        <w:tc>
          <w:tcPr>
            <w:tcW w:w="2373" w:type="dxa"/>
          </w:tcPr>
          <w:p w14:paraId="670449AF" w14:textId="4E4C51D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14:paraId="49D12FD1" w14:textId="77777777" w:rsidTr="0084671B">
        <w:tc>
          <w:tcPr>
            <w:tcW w:w="4815" w:type="dxa"/>
          </w:tcPr>
          <w:p w14:paraId="4B14CD24" w14:textId="60EC7C8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Role of vitamin d in osteoarthritis knee: A six month double blind, randomized, placebo control trial.</w:t>
            </w:r>
          </w:p>
        </w:tc>
        <w:tc>
          <w:tcPr>
            <w:tcW w:w="3951" w:type="dxa"/>
          </w:tcPr>
          <w:p w14:paraId="780EBFDB" w14:textId="6B72DFB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Sanghi D, Srivastava RN, Mishra A, Natu S, Mishra R, Agarwal S</w:t>
            </w:r>
          </w:p>
        </w:tc>
        <w:tc>
          <w:tcPr>
            <w:tcW w:w="1095" w:type="dxa"/>
          </w:tcPr>
          <w:p w14:paraId="68E33655" w14:textId="30FDA66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2013</w:t>
            </w:r>
          </w:p>
        </w:tc>
        <w:tc>
          <w:tcPr>
            <w:tcW w:w="1758" w:type="dxa"/>
          </w:tcPr>
          <w:p w14:paraId="6FA84BCB" w14:textId="77777777" w:rsidR="0084671B" w:rsidRDefault="0084671B" w:rsidP="0084671B">
            <w:pPr>
              <w:rPr>
                <w:rFonts w:ascii="Arial" w:hAnsi="Arial" w:cs="Arial"/>
                <w:b/>
                <w:bCs/>
                <w:sz w:val="20"/>
                <w:szCs w:val="20"/>
                <w:lang w:val="en-GB"/>
              </w:rPr>
            </w:pPr>
          </w:p>
        </w:tc>
        <w:tc>
          <w:tcPr>
            <w:tcW w:w="2373" w:type="dxa"/>
          </w:tcPr>
          <w:p w14:paraId="2670A0AF" w14:textId="0DE4BFEB"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Duplicate</w:t>
            </w:r>
          </w:p>
        </w:tc>
      </w:tr>
      <w:tr w:rsidR="0084671B" w14:paraId="66CAC025" w14:textId="77777777" w:rsidTr="0084671B">
        <w:tc>
          <w:tcPr>
            <w:tcW w:w="4815" w:type="dxa"/>
          </w:tcPr>
          <w:p w14:paraId="79244162" w14:textId="1BA3445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Safety and performance of Hydros and Hydros-TA for knee osteoarthritis: A prospective, multicenter, randomized, double-blind feasibility trial Clinical rheumatology and osteoporosis</w:t>
            </w:r>
          </w:p>
        </w:tc>
        <w:tc>
          <w:tcPr>
            <w:tcW w:w="3951" w:type="dxa"/>
          </w:tcPr>
          <w:p w14:paraId="7EED5258" w14:textId="61813FE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Petrella, R.J.; Emans, P.J.; Alleyne, J.; Dellaert, F.; Gill, D.P.; Maroney, M.</w:t>
            </w:r>
          </w:p>
        </w:tc>
        <w:tc>
          <w:tcPr>
            <w:tcW w:w="1095" w:type="dxa"/>
          </w:tcPr>
          <w:p w14:paraId="717D0303" w14:textId="367E592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2015</w:t>
            </w:r>
          </w:p>
        </w:tc>
        <w:tc>
          <w:tcPr>
            <w:tcW w:w="1758" w:type="dxa"/>
          </w:tcPr>
          <w:p w14:paraId="63E96C78" w14:textId="282E7F1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BMC Musculoskeletal Disorders</w:t>
            </w:r>
          </w:p>
        </w:tc>
        <w:tc>
          <w:tcPr>
            <w:tcW w:w="2373" w:type="dxa"/>
          </w:tcPr>
          <w:p w14:paraId="0CF32478" w14:textId="1ACE540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Duplicate</w:t>
            </w:r>
          </w:p>
        </w:tc>
      </w:tr>
      <w:tr w:rsidR="0084671B" w14:paraId="644F6EFA" w14:textId="77777777" w:rsidTr="0084671B">
        <w:tc>
          <w:tcPr>
            <w:tcW w:w="4815" w:type="dxa"/>
          </w:tcPr>
          <w:p w14:paraId="0B3A4042" w14:textId="787931C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Comparison of Effectiveness and Safety of Tramadol/Acetaminophen and Non-steroidal Anti-inflammatory Drugs (NSAIDs) for Treatment of Knee Osteoarthritis in Elderly Patients</w:t>
            </w:r>
          </w:p>
        </w:tc>
        <w:tc>
          <w:tcPr>
            <w:tcW w:w="3951" w:type="dxa"/>
          </w:tcPr>
          <w:p w14:paraId="54BFDE45" w14:textId="5C779ED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Kim SY, Ryou JW, Hur JW</w:t>
            </w:r>
          </w:p>
        </w:tc>
        <w:tc>
          <w:tcPr>
            <w:tcW w:w="1095" w:type="dxa"/>
          </w:tcPr>
          <w:p w14:paraId="5FBEE30B" w14:textId="7414BE1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2012</w:t>
            </w:r>
          </w:p>
        </w:tc>
        <w:tc>
          <w:tcPr>
            <w:tcW w:w="1758" w:type="dxa"/>
          </w:tcPr>
          <w:p w14:paraId="3918FF01" w14:textId="77777777" w:rsidR="0084671B" w:rsidRDefault="0084671B" w:rsidP="0084671B">
            <w:pPr>
              <w:rPr>
                <w:rFonts w:ascii="Arial" w:hAnsi="Arial" w:cs="Arial"/>
                <w:b/>
                <w:bCs/>
                <w:sz w:val="20"/>
                <w:szCs w:val="20"/>
                <w:lang w:val="en-GB"/>
              </w:rPr>
            </w:pPr>
          </w:p>
        </w:tc>
        <w:tc>
          <w:tcPr>
            <w:tcW w:w="2373" w:type="dxa"/>
          </w:tcPr>
          <w:p w14:paraId="0EFB9352" w14:textId="5ACE915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rsidRPr="00252F1D" w14:paraId="6F3FB2BB" w14:textId="77777777" w:rsidTr="0084671B">
        <w:tc>
          <w:tcPr>
            <w:tcW w:w="4815" w:type="dxa"/>
          </w:tcPr>
          <w:p w14:paraId="566163E1" w14:textId="41A9933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and safety of intra-articular therapy with methotrexate on knee synovitis in patients with osteoarthritis</w:t>
            </w:r>
          </w:p>
        </w:tc>
        <w:tc>
          <w:tcPr>
            <w:tcW w:w="3951" w:type="dxa"/>
          </w:tcPr>
          <w:p w14:paraId="7141A0A0" w14:textId="21806C3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Hu S, Rui W</w:t>
            </w:r>
          </w:p>
        </w:tc>
        <w:tc>
          <w:tcPr>
            <w:tcW w:w="1095" w:type="dxa"/>
          </w:tcPr>
          <w:p w14:paraId="7DBC1DEC" w14:textId="56C409F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2016</w:t>
            </w:r>
          </w:p>
        </w:tc>
        <w:tc>
          <w:tcPr>
            <w:tcW w:w="1758" w:type="dxa"/>
          </w:tcPr>
          <w:p w14:paraId="34D4D40E" w14:textId="77777777" w:rsidR="0084671B" w:rsidRDefault="0084671B" w:rsidP="0084671B">
            <w:pPr>
              <w:rPr>
                <w:rFonts w:ascii="Arial" w:hAnsi="Arial" w:cs="Arial"/>
                <w:b/>
                <w:bCs/>
                <w:sz w:val="20"/>
                <w:szCs w:val="20"/>
                <w:lang w:val="en-GB"/>
              </w:rPr>
            </w:pPr>
          </w:p>
        </w:tc>
        <w:tc>
          <w:tcPr>
            <w:tcW w:w="2373" w:type="dxa"/>
          </w:tcPr>
          <w:p w14:paraId="63D7F786" w14:textId="39BE307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14:paraId="7DC520CD" w14:textId="77777777" w:rsidTr="0084671B">
        <w:tc>
          <w:tcPr>
            <w:tcW w:w="4815" w:type="dxa"/>
          </w:tcPr>
          <w:p w14:paraId="79B8B514" w14:textId="50568E9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comparative double-blind trial of ketoprofen in a sustained-release preparation and indomethacin in osteoarthritis of the hip and knee</w:t>
            </w:r>
          </w:p>
        </w:tc>
        <w:tc>
          <w:tcPr>
            <w:tcW w:w="3951" w:type="dxa"/>
          </w:tcPr>
          <w:p w14:paraId="3E07B7ED" w14:textId="23A806C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Gougeon, J.</w:t>
            </w:r>
          </w:p>
        </w:tc>
        <w:tc>
          <w:tcPr>
            <w:tcW w:w="1095" w:type="dxa"/>
          </w:tcPr>
          <w:p w14:paraId="4927DC15" w14:textId="0018B95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1983</w:t>
            </w:r>
          </w:p>
        </w:tc>
        <w:tc>
          <w:tcPr>
            <w:tcW w:w="1758" w:type="dxa"/>
          </w:tcPr>
          <w:p w14:paraId="1932FB6E" w14:textId="4F8A14A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Semaine des Hopitaux</w:t>
            </w:r>
          </w:p>
        </w:tc>
        <w:tc>
          <w:tcPr>
            <w:tcW w:w="2373" w:type="dxa"/>
          </w:tcPr>
          <w:p w14:paraId="53E470B8" w14:textId="7F47BF7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patient population</w:t>
            </w:r>
          </w:p>
        </w:tc>
      </w:tr>
      <w:tr w:rsidR="0084671B" w:rsidRPr="00252F1D" w14:paraId="6E622532" w14:textId="77777777" w:rsidTr="0084671B">
        <w:tc>
          <w:tcPr>
            <w:tcW w:w="4815" w:type="dxa"/>
          </w:tcPr>
          <w:p w14:paraId="0E885023" w14:textId="7E88E31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Etoricoxib in the treatment of osteoarthritis over 52-weeks: a double-blind, active-comparator controlled trial [NCT00242489].</w:t>
            </w:r>
          </w:p>
        </w:tc>
        <w:tc>
          <w:tcPr>
            <w:tcW w:w="3951" w:type="dxa"/>
          </w:tcPr>
          <w:p w14:paraId="1E770557" w14:textId="647CBF4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Curtis, Sean P; Bockow, Barry; Fisher, Chester; Olaleye, Joseph; Compton, Amy; Ko, Amy T; Reicin, Alise S</w:t>
            </w:r>
          </w:p>
        </w:tc>
        <w:tc>
          <w:tcPr>
            <w:tcW w:w="1095" w:type="dxa"/>
          </w:tcPr>
          <w:p w14:paraId="57149E0A" w14:textId="20C3ADA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2005</w:t>
            </w:r>
          </w:p>
        </w:tc>
        <w:tc>
          <w:tcPr>
            <w:tcW w:w="1758" w:type="dxa"/>
          </w:tcPr>
          <w:p w14:paraId="4CFFD1C1" w14:textId="0DE916B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BMC musculoskeletal disorders</w:t>
            </w:r>
          </w:p>
        </w:tc>
        <w:tc>
          <w:tcPr>
            <w:tcW w:w="2373" w:type="dxa"/>
          </w:tcPr>
          <w:p w14:paraId="0D1EB714" w14:textId="42183AE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rsidRPr="00252F1D" w14:paraId="150C4E32" w14:textId="77777777" w:rsidTr="0084671B">
        <w:tc>
          <w:tcPr>
            <w:tcW w:w="4815" w:type="dxa"/>
          </w:tcPr>
          <w:p w14:paraId="4639F270" w14:textId="3699598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randomised double blind placebo controlled study of vitamin E versus placebo in symptomatic osteoarthritis of the knee</w:t>
            </w:r>
          </w:p>
        </w:tc>
        <w:tc>
          <w:tcPr>
            <w:tcW w:w="3951" w:type="dxa"/>
          </w:tcPr>
          <w:p w14:paraId="38169585" w14:textId="340CA28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Brand C, Snaddon J, Bailey M, Cicuttini F</w:t>
            </w:r>
          </w:p>
        </w:tc>
        <w:tc>
          <w:tcPr>
            <w:tcW w:w="1095" w:type="dxa"/>
          </w:tcPr>
          <w:p w14:paraId="5572D932" w14:textId="63C3F30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2000</w:t>
            </w:r>
          </w:p>
        </w:tc>
        <w:tc>
          <w:tcPr>
            <w:tcW w:w="1758" w:type="dxa"/>
          </w:tcPr>
          <w:p w14:paraId="320330C0" w14:textId="77777777" w:rsidR="0084671B" w:rsidRDefault="0084671B" w:rsidP="0084671B">
            <w:pPr>
              <w:rPr>
                <w:rFonts w:ascii="Arial" w:hAnsi="Arial" w:cs="Arial"/>
                <w:b/>
                <w:bCs/>
                <w:sz w:val="20"/>
                <w:szCs w:val="20"/>
                <w:lang w:val="en-GB"/>
              </w:rPr>
            </w:pPr>
          </w:p>
        </w:tc>
        <w:tc>
          <w:tcPr>
            <w:tcW w:w="2373" w:type="dxa"/>
          </w:tcPr>
          <w:p w14:paraId="3F720A92" w14:textId="6F4E3EA8" w:rsidR="0084671B" w:rsidRDefault="0084671B" w:rsidP="0084671B">
            <w:pPr>
              <w:rPr>
                <w:rFonts w:ascii="Arial" w:hAnsi="Arial" w:cs="Arial"/>
                <w:b/>
                <w:bCs/>
                <w:sz w:val="20"/>
                <w:szCs w:val="20"/>
                <w:lang w:val="en-GB"/>
              </w:rPr>
            </w:pPr>
            <w:r w:rsidRPr="008831C9">
              <w:rPr>
                <w:rFonts w:ascii="Arial" w:eastAsia="Times New Roman" w:hAnsi="Arial" w:cs="Arial"/>
                <w:sz w:val="20"/>
                <w:szCs w:val="20"/>
                <w:lang w:val="en-GB" w:eastAsia="fr-BE"/>
              </w:rPr>
              <w:t>Exclusion reason: Abstract of irrelevant full-text</w:t>
            </w:r>
          </w:p>
        </w:tc>
      </w:tr>
      <w:tr w:rsidR="0084671B" w:rsidRPr="00252F1D" w14:paraId="1683ABD1" w14:textId="77777777" w:rsidTr="0084671B">
        <w:tc>
          <w:tcPr>
            <w:tcW w:w="4815" w:type="dxa"/>
          </w:tcPr>
          <w:p w14:paraId="14208EC3" w14:textId="27C6B64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Intra-articular sodium hyaluronate (Hyalgan(TM)) in gonarthrosis. </w:t>
            </w:r>
            <w:r w:rsidRPr="000B369D">
              <w:rPr>
                <w:rFonts w:ascii="Arial" w:eastAsia="Times New Roman" w:hAnsi="Arial" w:cs="Arial"/>
                <w:color w:val="000000"/>
                <w:sz w:val="20"/>
                <w:szCs w:val="20"/>
                <w:lang w:eastAsia="fr-BE"/>
              </w:rPr>
              <w:t>A controlled study comparing methylprednisolone acetate</w:t>
            </w:r>
          </w:p>
        </w:tc>
        <w:tc>
          <w:tcPr>
            <w:tcW w:w="3951" w:type="dxa"/>
          </w:tcPr>
          <w:p w14:paraId="401183F7" w14:textId="0D4CB12B"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Leardini G, Franceschini M, Mattara L, Bruno R, Perbellini A</w:t>
            </w:r>
          </w:p>
        </w:tc>
        <w:tc>
          <w:tcPr>
            <w:tcW w:w="1095" w:type="dxa"/>
          </w:tcPr>
          <w:p w14:paraId="7B006C40" w14:textId="5235888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1987</w:t>
            </w:r>
          </w:p>
        </w:tc>
        <w:tc>
          <w:tcPr>
            <w:tcW w:w="1758" w:type="dxa"/>
          </w:tcPr>
          <w:p w14:paraId="5A45C511" w14:textId="77777777" w:rsidR="0084671B" w:rsidRDefault="0084671B" w:rsidP="0084671B">
            <w:pPr>
              <w:rPr>
                <w:rFonts w:ascii="Arial" w:hAnsi="Arial" w:cs="Arial"/>
                <w:b/>
                <w:bCs/>
                <w:sz w:val="20"/>
                <w:szCs w:val="20"/>
                <w:lang w:val="en-GB"/>
              </w:rPr>
            </w:pPr>
          </w:p>
        </w:tc>
        <w:tc>
          <w:tcPr>
            <w:tcW w:w="2373" w:type="dxa"/>
          </w:tcPr>
          <w:p w14:paraId="41A5F3B8" w14:textId="6AC2741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Post-hoc analysis</w:t>
            </w:r>
          </w:p>
        </w:tc>
      </w:tr>
      <w:tr w:rsidR="0084671B" w:rsidRPr="00252F1D" w14:paraId="215C5E29" w14:textId="77777777" w:rsidTr="0084671B">
        <w:tc>
          <w:tcPr>
            <w:tcW w:w="4815" w:type="dxa"/>
          </w:tcPr>
          <w:p w14:paraId="54633FD3" w14:textId="40EC44D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randomised, single blind, comparative study of diclofenac and lornoxicam in osteoartitis patients.</w:t>
            </w:r>
          </w:p>
        </w:tc>
        <w:tc>
          <w:tcPr>
            <w:tcW w:w="3951" w:type="dxa"/>
          </w:tcPr>
          <w:p w14:paraId="7E9465C1" w14:textId="4318AAB7"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Maheswari TU, Siva Prasad KV, Raju RSN, Rao N</w:t>
            </w:r>
          </w:p>
        </w:tc>
        <w:tc>
          <w:tcPr>
            <w:tcW w:w="1095" w:type="dxa"/>
          </w:tcPr>
          <w:p w14:paraId="1E1090BB" w14:textId="245A0F7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2013</w:t>
            </w:r>
          </w:p>
        </w:tc>
        <w:tc>
          <w:tcPr>
            <w:tcW w:w="1758" w:type="dxa"/>
          </w:tcPr>
          <w:p w14:paraId="7C8D13E5" w14:textId="77777777" w:rsidR="0084671B" w:rsidRDefault="0084671B" w:rsidP="0084671B">
            <w:pPr>
              <w:rPr>
                <w:rFonts w:ascii="Arial" w:hAnsi="Arial" w:cs="Arial"/>
                <w:b/>
                <w:bCs/>
                <w:sz w:val="20"/>
                <w:szCs w:val="20"/>
                <w:lang w:val="en-GB"/>
              </w:rPr>
            </w:pPr>
          </w:p>
        </w:tc>
        <w:tc>
          <w:tcPr>
            <w:tcW w:w="2373" w:type="dxa"/>
          </w:tcPr>
          <w:p w14:paraId="4B4140B6" w14:textId="2E0F172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rsidRPr="00252F1D" w14:paraId="0B72C3AC" w14:textId="77777777" w:rsidTr="0084671B">
        <w:tc>
          <w:tcPr>
            <w:tcW w:w="4815" w:type="dxa"/>
          </w:tcPr>
          <w:p w14:paraId="6F950EC7" w14:textId="13F8EAD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randomized trial of the effectiveness, cost effectiveness and cost utility of Hylan G-F 20 for osteoarthritis of the knee</w:t>
            </w:r>
          </w:p>
        </w:tc>
        <w:tc>
          <w:tcPr>
            <w:tcW w:w="3951" w:type="dxa"/>
          </w:tcPr>
          <w:p w14:paraId="4464D7DC" w14:textId="4F57387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Torrance GW, Raynauld J-P, Bellamy N, Goldsmith CH, Tugwell P, Walker V, Schultz M, Band P</w:t>
            </w:r>
          </w:p>
        </w:tc>
        <w:tc>
          <w:tcPr>
            <w:tcW w:w="1095" w:type="dxa"/>
          </w:tcPr>
          <w:p w14:paraId="6BB9FE97" w14:textId="601E03B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2000</w:t>
            </w:r>
          </w:p>
        </w:tc>
        <w:tc>
          <w:tcPr>
            <w:tcW w:w="1758" w:type="dxa"/>
          </w:tcPr>
          <w:p w14:paraId="5968E7BB" w14:textId="77777777" w:rsidR="0084671B" w:rsidRDefault="0084671B" w:rsidP="0084671B">
            <w:pPr>
              <w:rPr>
                <w:rFonts w:ascii="Arial" w:hAnsi="Arial" w:cs="Arial"/>
                <w:b/>
                <w:bCs/>
                <w:sz w:val="20"/>
                <w:szCs w:val="20"/>
                <w:lang w:val="en-GB"/>
              </w:rPr>
            </w:pPr>
          </w:p>
        </w:tc>
        <w:tc>
          <w:tcPr>
            <w:tcW w:w="2373" w:type="dxa"/>
          </w:tcPr>
          <w:p w14:paraId="288EDAF5" w14:textId="7A80B50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14:paraId="2C73D11D" w14:textId="77777777" w:rsidTr="0084671B">
        <w:tc>
          <w:tcPr>
            <w:tcW w:w="4815" w:type="dxa"/>
          </w:tcPr>
          <w:p w14:paraId="4CC948B8" w14:textId="36ADC6E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Role of vitamin D in osteoarthritis knee: A six month double blind, randomized, placebo control trial.</w:t>
            </w:r>
          </w:p>
        </w:tc>
        <w:tc>
          <w:tcPr>
            <w:tcW w:w="3951" w:type="dxa"/>
          </w:tcPr>
          <w:p w14:paraId="60F78D43" w14:textId="43B555D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Sanghi D, Srivastava RN, Agarwal S, Natu SM, Singh A, Avasthi S</w:t>
            </w:r>
          </w:p>
        </w:tc>
        <w:tc>
          <w:tcPr>
            <w:tcW w:w="1095" w:type="dxa"/>
          </w:tcPr>
          <w:p w14:paraId="13F33C0D" w14:textId="1EAA76C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2011</w:t>
            </w:r>
          </w:p>
        </w:tc>
        <w:tc>
          <w:tcPr>
            <w:tcW w:w="1758" w:type="dxa"/>
          </w:tcPr>
          <w:p w14:paraId="75538A19" w14:textId="77777777" w:rsidR="0084671B" w:rsidRDefault="0084671B" w:rsidP="0084671B">
            <w:pPr>
              <w:rPr>
                <w:rFonts w:ascii="Arial" w:hAnsi="Arial" w:cs="Arial"/>
                <w:b/>
                <w:bCs/>
                <w:sz w:val="20"/>
                <w:szCs w:val="20"/>
                <w:lang w:val="en-GB"/>
              </w:rPr>
            </w:pPr>
          </w:p>
        </w:tc>
        <w:tc>
          <w:tcPr>
            <w:tcW w:w="2373" w:type="dxa"/>
          </w:tcPr>
          <w:p w14:paraId="20E5D6F2" w14:textId="0C9BF5E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5ABF085D" w14:textId="77777777" w:rsidTr="0084671B">
        <w:tc>
          <w:tcPr>
            <w:tcW w:w="4815" w:type="dxa"/>
          </w:tcPr>
          <w:p w14:paraId="722A1F26" w14:textId="5634920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Vitamin D receptor gene polymorphisms modulate the clinicoradiological response to vitamin D supplementation in knee osteoarthritis.</w:t>
            </w:r>
          </w:p>
        </w:tc>
        <w:tc>
          <w:tcPr>
            <w:tcW w:w="3951" w:type="dxa"/>
          </w:tcPr>
          <w:p w14:paraId="54F9D7EF" w14:textId="39D3EA5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Sanghi D, Srivastava RN, Agarwal S</w:t>
            </w:r>
          </w:p>
        </w:tc>
        <w:tc>
          <w:tcPr>
            <w:tcW w:w="1095" w:type="dxa"/>
          </w:tcPr>
          <w:p w14:paraId="0FDDD1A8" w14:textId="11D201D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2014</w:t>
            </w:r>
          </w:p>
        </w:tc>
        <w:tc>
          <w:tcPr>
            <w:tcW w:w="1758" w:type="dxa"/>
          </w:tcPr>
          <w:p w14:paraId="4BC0C7BD" w14:textId="77777777" w:rsidR="0084671B" w:rsidRDefault="0084671B" w:rsidP="0084671B">
            <w:pPr>
              <w:rPr>
                <w:rFonts w:ascii="Arial" w:hAnsi="Arial" w:cs="Arial"/>
                <w:b/>
                <w:bCs/>
                <w:sz w:val="20"/>
                <w:szCs w:val="20"/>
                <w:lang w:val="en-GB"/>
              </w:rPr>
            </w:pPr>
          </w:p>
        </w:tc>
        <w:tc>
          <w:tcPr>
            <w:tcW w:w="2373" w:type="dxa"/>
          </w:tcPr>
          <w:p w14:paraId="3DBB6FDB" w14:textId="409D871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2290F4E6" w14:textId="77777777" w:rsidTr="0084671B">
        <w:tc>
          <w:tcPr>
            <w:tcW w:w="4815" w:type="dxa"/>
          </w:tcPr>
          <w:p w14:paraId="6DB0AF86" w14:textId="7653A1F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study of nabumetone on osteoarthritis of the knee</w:t>
            </w:r>
          </w:p>
        </w:tc>
        <w:tc>
          <w:tcPr>
            <w:tcW w:w="3951" w:type="dxa"/>
          </w:tcPr>
          <w:p w14:paraId="2E4A9C6B" w14:textId="017883A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Igarashi, M.; Ohshima, M.; Negishi, T.; Ohno, S.; Kudo, H.; Iwano, K.; Ogino, M.; Segawa, M.; Ohi, Y.; Itou, </w:t>
            </w:r>
            <w:r w:rsidRPr="000B369D">
              <w:rPr>
                <w:rFonts w:ascii="Arial" w:eastAsia="Times New Roman" w:hAnsi="Arial" w:cs="Arial"/>
                <w:color w:val="000000"/>
                <w:sz w:val="20"/>
                <w:szCs w:val="20"/>
                <w:lang w:val="en-GB" w:eastAsia="fr-BE"/>
              </w:rPr>
              <w:lastRenderedPageBreak/>
              <w:t>K.; Mikami, R.; Miyanaga, Y.; Ben, M.; Matsumoto, S.; Nagata, Y.; Tanaka, S.; Kabata, K.; Masuda, A.</w:t>
            </w:r>
          </w:p>
        </w:tc>
        <w:tc>
          <w:tcPr>
            <w:tcW w:w="1095" w:type="dxa"/>
          </w:tcPr>
          <w:p w14:paraId="7F5F8EB5" w14:textId="076057B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lastRenderedPageBreak/>
              <w:t>1988</w:t>
            </w:r>
          </w:p>
        </w:tc>
        <w:tc>
          <w:tcPr>
            <w:tcW w:w="1758" w:type="dxa"/>
          </w:tcPr>
          <w:p w14:paraId="0FF2ADCB" w14:textId="161104F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Japanese Pharmacology and Therapeutics</w:t>
            </w:r>
          </w:p>
        </w:tc>
        <w:tc>
          <w:tcPr>
            <w:tcW w:w="2373" w:type="dxa"/>
          </w:tcPr>
          <w:p w14:paraId="6C01F7EB" w14:textId="25F8005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73C0F333" w14:textId="77777777" w:rsidTr="0084671B">
        <w:tc>
          <w:tcPr>
            <w:tcW w:w="4815" w:type="dxa"/>
          </w:tcPr>
          <w:p w14:paraId="2E0FDF37" w14:textId="3630BBF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and safety of intra-articular CNTX-4975 (highly purified, synthetic trans-capsaicin) in subjects with moderate to severe knee pain associated with osteoarthritis: 24-week results of a randomized, double-blind, placebo-controlled, phase 2b study</w:t>
            </w:r>
          </w:p>
        </w:tc>
        <w:tc>
          <w:tcPr>
            <w:tcW w:w="3951" w:type="dxa"/>
          </w:tcPr>
          <w:p w14:paraId="31F31BA5" w14:textId="06A7CC1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Stevens R, Hanson P, Campbell J, Guedes K, Burges R, Nieves Y</w:t>
            </w:r>
          </w:p>
        </w:tc>
        <w:tc>
          <w:tcPr>
            <w:tcW w:w="1095" w:type="dxa"/>
          </w:tcPr>
          <w:p w14:paraId="56785A8A" w14:textId="6E4D1F9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6236328D" w14:textId="77777777" w:rsidR="0084671B" w:rsidRDefault="0084671B" w:rsidP="0084671B">
            <w:pPr>
              <w:rPr>
                <w:rFonts w:ascii="Arial" w:hAnsi="Arial" w:cs="Arial"/>
                <w:b/>
                <w:bCs/>
                <w:sz w:val="20"/>
                <w:szCs w:val="20"/>
                <w:lang w:val="en-GB"/>
              </w:rPr>
            </w:pPr>
          </w:p>
        </w:tc>
        <w:tc>
          <w:tcPr>
            <w:tcW w:w="2373" w:type="dxa"/>
          </w:tcPr>
          <w:p w14:paraId="543E43EE" w14:textId="1FC1B528"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rsidRPr="00252F1D" w14:paraId="5C544B68" w14:textId="77777777" w:rsidTr="0084671B">
        <w:tc>
          <w:tcPr>
            <w:tcW w:w="4815" w:type="dxa"/>
          </w:tcPr>
          <w:p w14:paraId="4C3EE164" w14:textId="654F762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Orudis in the management of osteo arthritis of the knee. A double blind trial</w:t>
            </w:r>
          </w:p>
        </w:tc>
        <w:tc>
          <w:tcPr>
            <w:tcW w:w="3951" w:type="dxa"/>
          </w:tcPr>
          <w:p w14:paraId="23598888" w14:textId="34749FF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Solomon, L.; Abrams, G.</w:t>
            </w:r>
          </w:p>
        </w:tc>
        <w:tc>
          <w:tcPr>
            <w:tcW w:w="1095" w:type="dxa"/>
          </w:tcPr>
          <w:p w14:paraId="3CD77CA8" w14:textId="7929B2D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1974</w:t>
            </w:r>
          </w:p>
        </w:tc>
        <w:tc>
          <w:tcPr>
            <w:tcW w:w="1758" w:type="dxa"/>
          </w:tcPr>
          <w:p w14:paraId="31D61C2A" w14:textId="4FBF332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South African Medical Journal</w:t>
            </w:r>
          </w:p>
        </w:tc>
        <w:tc>
          <w:tcPr>
            <w:tcW w:w="2373" w:type="dxa"/>
          </w:tcPr>
          <w:p w14:paraId="7E0336A5" w14:textId="751A56F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14:paraId="0B855C83" w14:textId="77777777" w:rsidTr="0084671B">
        <w:tc>
          <w:tcPr>
            <w:tcW w:w="4815" w:type="dxa"/>
          </w:tcPr>
          <w:p w14:paraId="28DDAB2D" w14:textId="0E879FA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Multicenter, randomized, double-blind, active-controlled, parallel-group trial of the long-term (6-12 months) safety of acetaminophen in adult patients with osteoarthritis.</w:t>
            </w:r>
          </w:p>
        </w:tc>
        <w:tc>
          <w:tcPr>
            <w:tcW w:w="3951" w:type="dxa"/>
          </w:tcPr>
          <w:p w14:paraId="5AFCA162" w14:textId="04053DD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Temple, Anthony R; Benson, Gordon D; Zinsenheim, Joyce R; Schweinle, Jo Ellen</w:t>
            </w:r>
          </w:p>
        </w:tc>
        <w:tc>
          <w:tcPr>
            <w:tcW w:w="1095" w:type="dxa"/>
          </w:tcPr>
          <w:p w14:paraId="28C803BF" w14:textId="5822F97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2006</w:t>
            </w:r>
          </w:p>
        </w:tc>
        <w:tc>
          <w:tcPr>
            <w:tcW w:w="1758" w:type="dxa"/>
          </w:tcPr>
          <w:p w14:paraId="1C447361" w14:textId="50C9FEB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Clinical therapeutics</w:t>
            </w:r>
          </w:p>
        </w:tc>
        <w:tc>
          <w:tcPr>
            <w:tcW w:w="2373" w:type="dxa"/>
          </w:tcPr>
          <w:p w14:paraId="090B2489" w14:textId="703D5ED6"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patient population</w:t>
            </w:r>
          </w:p>
        </w:tc>
      </w:tr>
      <w:tr w:rsidR="0084671B" w:rsidRPr="00252F1D" w14:paraId="154ED0BD" w14:textId="77777777" w:rsidTr="0084671B">
        <w:tc>
          <w:tcPr>
            <w:tcW w:w="4815" w:type="dxa"/>
          </w:tcPr>
          <w:p w14:paraId="163ABEAC" w14:textId="7D6C25F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Intra-articular triamcinolone acetonide and methylprednisolone acetate in arthritis</w:t>
            </w:r>
          </w:p>
        </w:tc>
        <w:tc>
          <w:tcPr>
            <w:tcW w:w="3951" w:type="dxa"/>
          </w:tcPr>
          <w:p w14:paraId="66B17EFC" w14:textId="38F92FB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Thorpe, P.</w:t>
            </w:r>
          </w:p>
        </w:tc>
        <w:tc>
          <w:tcPr>
            <w:tcW w:w="1095" w:type="dxa"/>
          </w:tcPr>
          <w:p w14:paraId="426173B8" w14:textId="4AA7BE1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1985</w:t>
            </w:r>
          </w:p>
        </w:tc>
        <w:tc>
          <w:tcPr>
            <w:tcW w:w="1758" w:type="dxa"/>
          </w:tcPr>
          <w:p w14:paraId="2FA14272" w14:textId="20337C6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Current Therapeutic Research - Clinical and Experimental</w:t>
            </w:r>
          </w:p>
        </w:tc>
        <w:tc>
          <w:tcPr>
            <w:tcW w:w="2373" w:type="dxa"/>
          </w:tcPr>
          <w:p w14:paraId="587ED8C5" w14:textId="72392AC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4E5BC3A8" w14:textId="77777777" w:rsidTr="0084671B">
        <w:tc>
          <w:tcPr>
            <w:tcW w:w="4815" w:type="dxa"/>
          </w:tcPr>
          <w:p w14:paraId="0BAAADF7" w14:textId="162BE61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effect of intraarticular glucocorticoid and hyaluronic injections as the combination strategy with a week free interval between each other in knee osteoarthritis</w:t>
            </w:r>
          </w:p>
        </w:tc>
        <w:tc>
          <w:tcPr>
            <w:tcW w:w="3951" w:type="dxa"/>
          </w:tcPr>
          <w:p w14:paraId="2DE0A543" w14:textId="2D26141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Sokolovic S</w:t>
            </w:r>
          </w:p>
        </w:tc>
        <w:tc>
          <w:tcPr>
            <w:tcW w:w="1095" w:type="dxa"/>
          </w:tcPr>
          <w:p w14:paraId="1E30CE96" w14:textId="28DD57C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517222C3" w14:textId="77777777" w:rsidR="0084671B" w:rsidRDefault="0084671B" w:rsidP="0084671B">
            <w:pPr>
              <w:rPr>
                <w:rFonts w:ascii="Arial" w:hAnsi="Arial" w:cs="Arial"/>
                <w:b/>
                <w:bCs/>
                <w:sz w:val="20"/>
                <w:szCs w:val="20"/>
                <w:lang w:val="en-GB"/>
              </w:rPr>
            </w:pPr>
          </w:p>
        </w:tc>
        <w:tc>
          <w:tcPr>
            <w:tcW w:w="2373" w:type="dxa"/>
          </w:tcPr>
          <w:p w14:paraId="22AC7D9D" w14:textId="4E7D2138"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rsidRPr="00252F1D" w14:paraId="6075724D" w14:textId="77777777" w:rsidTr="0084671B">
        <w:tc>
          <w:tcPr>
            <w:tcW w:w="4815" w:type="dxa"/>
          </w:tcPr>
          <w:p w14:paraId="316DD2C8" w14:textId="3170367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Changes of gait patterns and muscle activity after intraarticular treatment of patients with osteoarthritis of the knee: a prospective, randomised, doubleblind study.</w:t>
            </w:r>
          </w:p>
        </w:tc>
        <w:tc>
          <w:tcPr>
            <w:tcW w:w="3951" w:type="dxa"/>
          </w:tcPr>
          <w:p w14:paraId="5D3C18D3" w14:textId="38E633E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Skwara, Adrian; Peterlein, Christian Dominik; Tibesku, Carsten Oliver; Rosenbaum, Dieter; Fuchs-Winkelmann, Susanne</w:t>
            </w:r>
          </w:p>
        </w:tc>
        <w:tc>
          <w:tcPr>
            <w:tcW w:w="1095" w:type="dxa"/>
          </w:tcPr>
          <w:p w14:paraId="65912C25" w14:textId="7261A8A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2009</w:t>
            </w:r>
          </w:p>
        </w:tc>
        <w:tc>
          <w:tcPr>
            <w:tcW w:w="1758" w:type="dxa"/>
          </w:tcPr>
          <w:p w14:paraId="0D576AF3" w14:textId="27905EB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The Knee</w:t>
            </w:r>
          </w:p>
        </w:tc>
        <w:tc>
          <w:tcPr>
            <w:tcW w:w="2373" w:type="dxa"/>
          </w:tcPr>
          <w:p w14:paraId="6DAEA825" w14:textId="688F88E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6DB80483" w14:textId="77777777" w:rsidTr="0084671B">
        <w:tc>
          <w:tcPr>
            <w:tcW w:w="4815" w:type="dxa"/>
          </w:tcPr>
          <w:p w14:paraId="14AECC51" w14:textId="6583AC4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Gait patterns after intraarticular treatment of patients with osteoarthritis of the knee--hyaluronan versus triamcinolone: a prospective, randomized, doubleblind, monocentric study.</w:t>
            </w:r>
          </w:p>
        </w:tc>
        <w:tc>
          <w:tcPr>
            <w:tcW w:w="3951" w:type="dxa"/>
          </w:tcPr>
          <w:p w14:paraId="10E0F8D3" w14:textId="0775200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Skwara, A; Ponelis, R; Tibesku, C O; Rosenbaum, D; Fuchs-Winkelmann, S</w:t>
            </w:r>
          </w:p>
        </w:tc>
        <w:tc>
          <w:tcPr>
            <w:tcW w:w="1095" w:type="dxa"/>
          </w:tcPr>
          <w:p w14:paraId="21B66F60" w14:textId="33594B4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2009</w:t>
            </w:r>
          </w:p>
        </w:tc>
        <w:tc>
          <w:tcPr>
            <w:tcW w:w="1758" w:type="dxa"/>
          </w:tcPr>
          <w:p w14:paraId="6EDB7C9B" w14:textId="03AAEF1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European journal of medical research</w:t>
            </w:r>
          </w:p>
        </w:tc>
        <w:tc>
          <w:tcPr>
            <w:tcW w:w="2373" w:type="dxa"/>
          </w:tcPr>
          <w:p w14:paraId="75483221" w14:textId="4FA31394"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14:paraId="0C948280" w14:textId="77777777" w:rsidTr="0084671B">
        <w:tc>
          <w:tcPr>
            <w:tcW w:w="4815" w:type="dxa"/>
          </w:tcPr>
          <w:p w14:paraId="4791FE6A" w14:textId="3E3306E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comparison of tenoxicam and piroxicam in a long-term clinical study in patients with osteoarthritis of hip or knee joints</w:t>
            </w:r>
          </w:p>
        </w:tc>
        <w:tc>
          <w:tcPr>
            <w:tcW w:w="3951" w:type="dxa"/>
          </w:tcPr>
          <w:p w14:paraId="46DA06D8" w14:textId="469BD81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Waterworth, R.F.; Waterworth, S.M.; Taylor, K.M.</w:t>
            </w:r>
          </w:p>
        </w:tc>
        <w:tc>
          <w:tcPr>
            <w:tcW w:w="1095" w:type="dxa"/>
          </w:tcPr>
          <w:p w14:paraId="35455A3F" w14:textId="63BD582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1985</w:t>
            </w:r>
          </w:p>
        </w:tc>
        <w:tc>
          <w:tcPr>
            <w:tcW w:w="1758" w:type="dxa"/>
          </w:tcPr>
          <w:p w14:paraId="40A3EB31" w14:textId="71EB7E5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European Journal of Rheumatology and Inflammation</w:t>
            </w:r>
          </w:p>
        </w:tc>
        <w:tc>
          <w:tcPr>
            <w:tcW w:w="2373" w:type="dxa"/>
          </w:tcPr>
          <w:p w14:paraId="6B829B81" w14:textId="725A0BCB"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patient population</w:t>
            </w:r>
          </w:p>
        </w:tc>
      </w:tr>
      <w:tr w:rsidR="0084671B" w:rsidRPr="00252F1D" w14:paraId="588FDB9D" w14:textId="77777777" w:rsidTr="0084671B">
        <w:tc>
          <w:tcPr>
            <w:tcW w:w="4815" w:type="dxa"/>
          </w:tcPr>
          <w:p w14:paraId="385F2BDD" w14:textId="03835C4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deeper look at pain variability and its relationship with the placebo response: results from a randomized, double-blind, placebo-</w:t>
            </w:r>
            <w:r w:rsidRPr="000B369D">
              <w:rPr>
                <w:rFonts w:ascii="Arial" w:eastAsia="Times New Roman" w:hAnsi="Arial" w:cs="Arial"/>
                <w:color w:val="000000"/>
                <w:sz w:val="20"/>
                <w:szCs w:val="20"/>
                <w:lang w:val="en-GB" w:eastAsia="fr-BE"/>
              </w:rPr>
              <w:lastRenderedPageBreak/>
              <w:t>controlled clinical trial of naproxen in osteoarthritis of the knee.</w:t>
            </w:r>
          </w:p>
        </w:tc>
        <w:tc>
          <w:tcPr>
            <w:tcW w:w="3951" w:type="dxa"/>
          </w:tcPr>
          <w:p w14:paraId="36227C13" w14:textId="6177575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lastRenderedPageBreak/>
              <w:t>Treister, Roi; Honigman, Liat; Lawal, Oluwadolapo D; Lanier, Ryan K; Katz, Nathaniel P</w:t>
            </w:r>
          </w:p>
        </w:tc>
        <w:tc>
          <w:tcPr>
            <w:tcW w:w="1095" w:type="dxa"/>
          </w:tcPr>
          <w:p w14:paraId="63FEC6FB" w14:textId="3A5FB9F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2019</w:t>
            </w:r>
          </w:p>
        </w:tc>
        <w:tc>
          <w:tcPr>
            <w:tcW w:w="1758" w:type="dxa"/>
          </w:tcPr>
          <w:p w14:paraId="40248278" w14:textId="056E2C8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Pain</w:t>
            </w:r>
          </w:p>
        </w:tc>
        <w:tc>
          <w:tcPr>
            <w:tcW w:w="2373" w:type="dxa"/>
          </w:tcPr>
          <w:p w14:paraId="53AE1607" w14:textId="6EADCFF6"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39DE23BF" w14:textId="77777777" w:rsidTr="0084671B">
        <w:tc>
          <w:tcPr>
            <w:tcW w:w="4815" w:type="dxa"/>
          </w:tcPr>
          <w:p w14:paraId="21E90468" w14:textId="1D1009A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Assessment of pain and activity using an electronic pain diary and actigraphy device in a randomized, placebo-controlled crossover trial of celecoxib in osteoarthritis of the knee.</w:t>
            </w:r>
          </w:p>
        </w:tc>
        <w:tc>
          <w:tcPr>
            <w:tcW w:w="3951" w:type="dxa"/>
          </w:tcPr>
          <w:p w14:paraId="035AD29E" w14:textId="0B500EB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Trudeau, Jeremiah; Van Inwegen, Richard; Eaton, Thomas; Bhat, Gajanan; Paillard, Florence; Ng, Dik; Tan, Keith; Katz, Nathaniel P</w:t>
            </w:r>
          </w:p>
        </w:tc>
        <w:tc>
          <w:tcPr>
            <w:tcW w:w="1095" w:type="dxa"/>
          </w:tcPr>
          <w:p w14:paraId="4E4E99CA" w14:textId="19502B7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2015</w:t>
            </w:r>
          </w:p>
        </w:tc>
        <w:tc>
          <w:tcPr>
            <w:tcW w:w="1758" w:type="dxa"/>
          </w:tcPr>
          <w:p w14:paraId="386EC289" w14:textId="339F35B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Pain practice : the official journal of World Institute of Pain</w:t>
            </w:r>
          </w:p>
        </w:tc>
        <w:tc>
          <w:tcPr>
            <w:tcW w:w="2373" w:type="dxa"/>
          </w:tcPr>
          <w:p w14:paraId="0C29C7AE" w14:textId="7DDB7E2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14:paraId="0FDAA7AA" w14:textId="77777777" w:rsidTr="0084671B">
        <w:tc>
          <w:tcPr>
            <w:tcW w:w="4815" w:type="dxa"/>
          </w:tcPr>
          <w:p w14:paraId="1A0E1F72" w14:textId="6883502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Effects of oral chondroitin sulfate on the progression of knee osteoarthritis: A pilot study</w:t>
            </w:r>
          </w:p>
        </w:tc>
        <w:tc>
          <w:tcPr>
            <w:tcW w:w="3951" w:type="dxa"/>
          </w:tcPr>
          <w:p w14:paraId="2AD90FB6" w14:textId="10A67B4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Uebelhart, D.; Thonar, E.J.-M.A.; Delmas, P.D.; Chantraine, A.; Vignon, E.</w:t>
            </w:r>
          </w:p>
        </w:tc>
        <w:tc>
          <w:tcPr>
            <w:tcW w:w="1095" w:type="dxa"/>
          </w:tcPr>
          <w:p w14:paraId="643C94E7" w14:textId="5DD4127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1998</w:t>
            </w:r>
          </w:p>
        </w:tc>
        <w:tc>
          <w:tcPr>
            <w:tcW w:w="1758" w:type="dxa"/>
          </w:tcPr>
          <w:p w14:paraId="03294F51" w14:textId="2BD5E1A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Osteoarthritis and Cartilage</w:t>
            </w:r>
          </w:p>
        </w:tc>
        <w:tc>
          <w:tcPr>
            <w:tcW w:w="2373" w:type="dxa"/>
          </w:tcPr>
          <w:p w14:paraId="62D49164" w14:textId="473ED63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rsidRPr="00252F1D" w14:paraId="232F9A72" w14:textId="77777777" w:rsidTr="0084671B">
        <w:tc>
          <w:tcPr>
            <w:tcW w:w="4815" w:type="dxa"/>
          </w:tcPr>
          <w:p w14:paraId="525ED250" w14:textId="50AD53F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Double blind comparison of tiaprofenic acid and indometacin for oral treatment of knee osteoarthritis</w:t>
            </w:r>
          </w:p>
        </w:tc>
        <w:tc>
          <w:tcPr>
            <w:tcW w:w="3951" w:type="dxa"/>
          </w:tcPr>
          <w:p w14:paraId="1AB731B0" w14:textId="247C512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Van Elslande Ph.</w:t>
            </w:r>
          </w:p>
        </w:tc>
        <w:tc>
          <w:tcPr>
            <w:tcW w:w="1095" w:type="dxa"/>
          </w:tcPr>
          <w:p w14:paraId="00F9F2A0" w14:textId="504308A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1980</w:t>
            </w:r>
          </w:p>
        </w:tc>
        <w:tc>
          <w:tcPr>
            <w:tcW w:w="1758" w:type="dxa"/>
          </w:tcPr>
          <w:p w14:paraId="0FDD94C2" w14:textId="36AF0E29"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Ars Medici Revue Internationale de Therapie Pratique</w:t>
            </w:r>
          </w:p>
        </w:tc>
        <w:tc>
          <w:tcPr>
            <w:tcW w:w="2373" w:type="dxa"/>
          </w:tcPr>
          <w:p w14:paraId="42A08588" w14:textId="74BF168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11819954" w14:textId="77777777" w:rsidTr="0084671B">
        <w:tc>
          <w:tcPr>
            <w:tcW w:w="4815" w:type="dxa"/>
          </w:tcPr>
          <w:p w14:paraId="7444D616" w14:textId="61D03ED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comparative study of diclofenac and tiaprofenic acid in gonarthrosis</w:t>
            </w:r>
          </w:p>
        </w:tc>
        <w:tc>
          <w:tcPr>
            <w:tcW w:w="3951" w:type="dxa"/>
          </w:tcPr>
          <w:p w14:paraId="0FD5FF8F" w14:textId="0D088E0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Van Elslande Ph.</w:t>
            </w:r>
          </w:p>
        </w:tc>
        <w:tc>
          <w:tcPr>
            <w:tcW w:w="1095" w:type="dxa"/>
          </w:tcPr>
          <w:p w14:paraId="1FB9C447" w14:textId="1C3CC7E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1984</w:t>
            </w:r>
          </w:p>
        </w:tc>
        <w:tc>
          <w:tcPr>
            <w:tcW w:w="1758" w:type="dxa"/>
          </w:tcPr>
          <w:p w14:paraId="34AB9B87" w14:textId="62CCE4D1"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Ars Medici Revue Internationale de Therapie Pratique</w:t>
            </w:r>
          </w:p>
        </w:tc>
        <w:tc>
          <w:tcPr>
            <w:tcW w:w="2373" w:type="dxa"/>
          </w:tcPr>
          <w:p w14:paraId="367A6BAD" w14:textId="69731D36"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14:paraId="382B5CF3" w14:textId="77777777" w:rsidTr="0084671B">
        <w:tc>
          <w:tcPr>
            <w:tcW w:w="4815" w:type="dxa"/>
          </w:tcPr>
          <w:p w14:paraId="33E3D7F3" w14:textId="0034810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Pharmaceutical-grade chondroitin sulfate is as effective as celecoxib and superior to placebo in symptomatic knee osteoarthritis: the chondroitin vs celecoxib vs placebo trial (CONCEPT)</w:t>
            </w:r>
          </w:p>
        </w:tc>
        <w:tc>
          <w:tcPr>
            <w:tcW w:w="3951" w:type="dxa"/>
          </w:tcPr>
          <w:p w14:paraId="46E0541A" w14:textId="77777777" w:rsidR="0084671B" w:rsidRDefault="0084671B" w:rsidP="0084671B">
            <w:pPr>
              <w:rPr>
                <w:rFonts w:ascii="Arial" w:hAnsi="Arial" w:cs="Arial"/>
                <w:b/>
                <w:bCs/>
                <w:sz w:val="20"/>
                <w:szCs w:val="20"/>
                <w:lang w:val="en-GB"/>
              </w:rPr>
            </w:pPr>
          </w:p>
        </w:tc>
        <w:tc>
          <w:tcPr>
            <w:tcW w:w="1095" w:type="dxa"/>
          </w:tcPr>
          <w:p w14:paraId="27074695" w14:textId="7947A0C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2017</w:t>
            </w:r>
          </w:p>
        </w:tc>
        <w:tc>
          <w:tcPr>
            <w:tcW w:w="1758" w:type="dxa"/>
          </w:tcPr>
          <w:p w14:paraId="5D2B9380" w14:textId="4BF07A1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Pharmaceutical-grade chondroitin sulfate is as effective as celecoxib and superior to placebo in symptomatic knee osteoarthritis: the chondroitin vs celecoxib vs placebo trial (CONCEPT)</w:t>
            </w:r>
          </w:p>
        </w:tc>
        <w:tc>
          <w:tcPr>
            <w:tcW w:w="2373" w:type="dxa"/>
          </w:tcPr>
          <w:p w14:paraId="6BC67961" w14:textId="6389A83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58E04CA5" w14:textId="77777777" w:rsidTr="0084671B">
        <w:tc>
          <w:tcPr>
            <w:tcW w:w="4815" w:type="dxa"/>
          </w:tcPr>
          <w:p w14:paraId="7299A087" w14:textId="33062AB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Effect of Vitamin D Supplementation on Depressive Symptoms in Patients With Knee Osteoarthritis.</w:t>
            </w:r>
          </w:p>
        </w:tc>
        <w:tc>
          <w:tcPr>
            <w:tcW w:w="3951" w:type="dxa"/>
          </w:tcPr>
          <w:p w14:paraId="0AB05B79" w14:textId="0EA213F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Zheng, Shuang; Tu, Liudan; Cicuttini, Flavia; Han, Weiyu; Zhu, Zhaohua; Antony, Benny; Wluka, Anita; Winzenberg, Tania; Meng, Tao; Aitken, Dawn; Blizzard, Leigh; Jones, Graeme; Ding, Changhai</w:t>
            </w:r>
          </w:p>
        </w:tc>
        <w:tc>
          <w:tcPr>
            <w:tcW w:w="1095" w:type="dxa"/>
          </w:tcPr>
          <w:p w14:paraId="2AB1F152" w14:textId="7AE5926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0783B1C1" w14:textId="542E237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Journal of the American Medical Directors Association</w:t>
            </w:r>
          </w:p>
        </w:tc>
        <w:tc>
          <w:tcPr>
            <w:tcW w:w="2373" w:type="dxa"/>
          </w:tcPr>
          <w:p w14:paraId="62470038" w14:textId="0912EF3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outcomes</w:t>
            </w:r>
          </w:p>
        </w:tc>
      </w:tr>
      <w:tr w:rsidR="0084671B" w14:paraId="194F28A6" w14:textId="77777777" w:rsidTr="0084671B">
        <w:tc>
          <w:tcPr>
            <w:tcW w:w="4815" w:type="dxa"/>
          </w:tcPr>
          <w:p w14:paraId="2FE929CA" w14:textId="36709F5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Vitamin D supplementation improves depression in knee osteoarthritis patients over 24 months</w:t>
            </w:r>
          </w:p>
        </w:tc>
        <w:tc>
          <w:tcPr>
            <w:tcW w:w="3951" w:type="dxa"/>
          </w:tcPr>
          <w:p w14:paraId="1EF4E7AD" w14:textId="199CF46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Zheng S, Tu L, Cicuttini F, Han W, Zhu Z, Antony B, Wluka A, Winzenberg T, Aitken D, Blizzard L, Jones G, Ding C</w:t>
            </w:r>
          </w:p>
        </w:tc>
        <w:tc>
          <w:tcPr>
            <w:tcW w:w="1095" w:type="dxa"/>
          </w:tcPr>
          <w:p w14:paraId="3468A1A7" w14:textId="3559685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2D0E5A49" w14:textId="77777777" w:rsidR="0084671B" w:rsidRDefault="0084671B" w:rsidP="0084671B">
            <w:pPr>
              <w:rPr>
                <w:rFonts w:ascii="Arial" w:hAnsi="Arial" w:cs="Arial"/>
                <w:b/>
                <w:bCs/>
                <w:sz w:val="20"/>
                <w:szCs w:val="20"/>
                <w:lang w:val="en-GB"/>
              </w:rPr>
            </w:pPr>
          </w:p>
        </w:tc>
        <w:tc>
          <w:tcPr>
            <w:tcW w:w="2373" w:type="dxa"/>
          </w:tcPr>
          <w:p w14:paraId="1AAA7B76" w14:textId="42059A2B"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outcomes</w:t>
            </w:r>
          </w:p>
        </w:tc>
      </w:tr>
      <w:tr w:rsidR="0084671B" w14:paraId="0B90A9E1" w14:textId="77777777" w:rsidTr="0084671B">
        <w:tc>
          <w:tcPr>
            <w:tcW w:w="4815" w:type="dxa"/>
          </w:tcPr>
          <w:p w14:paraId="0CD7266C" w14:textId="6BF82A0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Long-term study with tenoxicam (Ro 12-0068) in the treatment of gonarthrosis and coxarthrosis</w:t>
            </w:r>
          </w:p>
        </w:tc>
        <w:tc>
          <w:tcPr>
            <w:tcW w:w="3951" w:type="dxa"/>
          </w:tcPr>
          <w:p w14:paraId="34E9C6F7" w14:textId="2A722B0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Rubinstein, J.; Sidi, A.</w:t>
            </w:r>
          </w:p>
        </w:tc>
        <w:tc>
          <w:tcPr>
            <w:tcW w:w="1095" w:type="dxa"/>
          </w:tcPr>
          <w:p w14:paraId="0782C162" w14:textId="78E9CAE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1987</w:t>
            </w:r>
          </w:p>
        </w:tc>
        <w:tc>
          <w:tcPr>
            <w:tcW w:w="1758" w:type="dxa"/>
          </w:tcPr>
          <w:p w14:paraId="3E41834D" w14:textId="3C1A5A4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European Journal of Rheumatology and Inflammation</w:t>
            </w:r>
          </w:p>
        </w:tc>
        <w:tc>
          <w:tcPr>
            <w:tcW w:w="2373" w:type="dxa"/>
          </w:tcPr>
          <w:p w14:paraId="7256EB60" w14:textId="5A057B81"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patient population</w:t>
            </w:r>
          </w:p>
        </w:tc>
      </w:tr>
      <w:tr w:rsidR="0084671B" w14:paraId="63DBCA4F" w14:textId="77777777" w:rsidTr="0084671B">
        <w:tc>
          <w:tcPr>
            <w:tcW w:w="4815" w:type="dxa"/>
          </w:tcPr>
          <w:p w14:paraId="47D1D4B6" w14:textId="1F5FE26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A long-term, double-blind, comparative study of tenoxicam (Ro 12-0068) and piroxicam in gonarthrosis and coxarthrosis</w:t>
            </w:r>
          </w:p>
        </w:tc>
        <w:tc>
          <w:tcPr>
            <w:tcW w:w="3951" w:type="dxa"/>
          </w:tcPr>
          <w:p w14:paraId="57DA17E4" w14:textId="3C7E2BEA"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Orozco-Alcala, J.J.; Barrera-Tenorio, E.F.</w:t>
            </w:r>
          </w:p>
        </w:tc>
        <w:tc>
          <w:tcPr>
            <w:tcW w:w="1095" w:type="dxa"/>
          </w:tcPr>
          <w:p w14:paraId="64D3747F" w14:textId="4F67925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1987</w:t>
            </w:r>
          </w:p>
        </w:tc>
        <w:tc>
          <w:tcPr>
            <w:tcW w:w="1758" w:type="dxa"/>
          </w:tcPr>
          <w:p w14:paraId="1F2910D8" w14:textId="5364ECE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European Journal of Rheumatology and Inflammation</w:t>
            </w:r>
          </w:p>
        </w:tc>
        <w:tc>
          <w:tcPr>
            <w:tcW w:w="2373" w:type="dxa"/>
          </w:tcPr>
          <w:p w14:paraId="0577E6BE" w14:textId="61E0BAE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patient population</w:t>
            </w:r>
          </w:p>
        </w:tc>
      </w:tr>
      <w:tr w:rsidR="0084671B" w14:paraId="08DB9BC6" w14:textId="77777777" w:rsidTr="0084671B">
        <w:tc>
          <w:tcPr>
            <w:tcW w:w="4815" w:type="dxa"/>
          </w:tcPr>
          <w:p w14:paraId="01ED16E3" w14:textId="056EDBC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Chondroitin sulfates (CS 4 and 6): Efficacy and tolerance</w:t>
            </w:r>
          </w:p>
        </w:tc>
        <w:tc>
          <w:tcPr>
            <w:tcW w:w="3951" w:type="dxa"/>
          </w:tcPr>
          <w:p w14:paraId="7F93C24D" w14:textId="08F1388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Conrozier, Th.</w:t>
            </w:r>
          </w:p>
        </w:tc>
        <w:tc>
          <w:tcPr>
            <w:tcW w:w="1095" w:type="dxa"/>
          </w:tcPr>
          <w:p w14:paraId="6291FAE2" w14:textId="2913775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1998</w:t>
            </w:r>
          </w:p>
        </w:tc>
        <w:tc>
          <w:tcPr>
            <w:tcW w:w="1758" w:type="dxa"/>
          </w:tcPr>
          <w:p w14:paraId="1552AB10" w14:textId="6AD59FE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Presse Medicale</w:t>
            </w:r>
          </w:p>
        </w:tc>
        <w:tc>
          <w:tcPr>
            <w:tcW w:w="2373" w:type="dxa"/>
          </w:tcPr>
          <w:p w14:paraId="1F793B10" w14:textId="2063C78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211759BA" w14:textId="77777777" w:rsidTr="0084671B">
        <w:tc>
          <w:tcPr>
            <w:tcW w:w="4815" w:type="dxa"/>
          </w:tcPr>
          <w:p w14:paraId="6BF3AEED" w14:textId="2EE9FD2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Radiological progression of internal femorotibial osteoarthritis in gonarthrosis: Effect of chondroitin sulfates ACS4-ACS6 as a structure modifying drug in knee OA (SMOAD)</w:t>
            </w:r>
          </w:p>
        </w:tc>
        <w:tc>
          <w:tcPr>
            <w:tcW w:w="3951" w:type="dxa"/>
          </w:tcPr>
          <w:p w14:paraId="7E8ABC8B" w14:textId="61A09D3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Mathieu, P.</w:t>
            </w:r>
          </w:p>
        </w:tc>
        <w:tc>
          <w:tcPr>
            <w:tcW w:w="1095" w:type="dxa"/>
          </w:tcPr>
          <w:p w14:paraId="2B7029D7" w14:textId="69BC836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2002</w:t>
            </w:r>
          </w:p>
        </w:tc>
        <w:tc>
          <w:tcPr>
            <w:tcW w:w="1758" w:type="dxa"/>
          </w:tcPr>
          <w:p w14:paraId="0901F500" w14:textId="000ABFC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Presse Medicale</w:t>
            </w:r>
          </w:p>
        </w:tc>
        <w:tc>
          <w:tcPr>
            <w:tcW w:w="2373" w:type="dxa"/>
          </w:tcPr>
          <w:p w14:paraId="2B20B6F3" w14:textId="376BB3D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Duplicate</w:t>
            </w:r>
          </w:p>
        </w:tc>
      </w:tr>
      <w:tr w:rsidR="0084671B" w:rsidRPr="00252F1D" w14:paraId="6F55EBE0" w14:textId="77777777" w:rsidTr="0084671B">
        <w:tc>
          <w:tcPr>
            <w:tcW w:w="4815" w:type="dxa"/>
          </w:tcPr>
          <w:p w14:paraId="17D9F90F" w14:textId="39E03A8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double blind study of antrafenine, naproxen and placebo in osteoarthrosis</w:t>
            </w:r>
          </w:p>
        </w:tc>
        <w:tc>
          <w:tcPr>
            <w:tcW w:w="3951" w:type="dxa"/>
          </w:tcPr>
          <w:p w14:paraId="203468AD" w14:textId="6A32C76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Leatham, P.A.; Bird, H.A.; Wright, V.; Seymour, D.; Gordon, A.</w:t>
            </w:r>
          </w:p>
        </w:tc>
        <w:tc>
          <w:tcPr>
            <w:tcW w:w="1095" w:type="dxa"/>
          </w:tcPr>
          <w:p w14:paraId="15A07F7B" w14:textId="3917A8C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1983</w:t>
            </w:r>
          </w:p>
        </w:tc>
        <w:tc>
          <w:tcPr>
            <w:tcW w:w="1758" w:type="dxa"/>
          </w:tcPr>
          <w:p w14:paraId="494741DD" w14:textId="5BB1F01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European Journal of Rheumatology and Inflammation</w:t>
            </w:r>
          </w:p>
        </w:tc>
        <w:tc>
          <w:tcPr>
            <w:tcW w:w="2373" w:type="dxa"/>
          </w:tcPr>
          <w:p w14:paraId="4DB68D42" w14:textId="5455A05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14:paraId="78815C1A" w14:textId="77777777" w:rsidTr="0084671B">
        <w:tc>
          <w:tcPr>
            <w:tcW w:w="4815" w:type="dxa"/>
          </w:tcPr>
          <w:p w14:paraId="4E46D47B" w14:textId="73F5039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Quality of life assessment during six months of NSAID treatment</w:t>
            </w:r>
          </w:p>
        </w:tc>
        <w:tc>
          <w:tcPr>
            <w:tcW w:w="3951" w:type="dxa"/>
          </w:tcPr>
          <w:p w14:paraId="0E523FF0" w14:textId="1997BDD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La Montagna G, Tirri G, Cacace E, Perpignano G, Covelli M, Pipitone V, D'Agostino P, Magaro M, Ferraccioli G, Mascia MT, Manzini E, Minari C, Barreca C, Marcolongo R, Paresce E, Colombo B</w:t>
            </w:r>
          </w:p>
        </w:tc>
        <w:tc>
          <w:tcPr>
            <w:tcW w:w="1095" w:type="dxa"/>
          </w:tcPr>
          <w:p w14:paraId="046B9815" w14:textId="6D5A3F2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1998</w:t>
            </w:r>
          </w:p>
        </w:tc>
        <w:tc>
          <w:tcPr>
            <w:tcW w:w="1758" w:type="dxa"/>
          </w:tcPr>
          <w:p w14:paraId="2EB61274" w14:textId="77777777" w:rsidR="0084671B" w:rsidRDefault="0084671B" w:rsidP="0084671B">
            <w:pPr>
              <w:rPr>
                <w:rFonts w:ascii="Arial" w:hAnsi="Arial" w:cs="Arial"/>
                <w:b/>
                <w:bCs/>
                <w:sz w:val="20"/>
                <w:szCs w:val="20"/>
                <w:lang w:val="en-GB"/>
              </w:rPr>
            </w:pPr>
          </w:p>
        </w:tc>
        <w:tc>
          <w:tcPr>
            <w:tcW w:w="2373" w:type="dxa"/>
          </w:tcPr>
          <w:p w14:paraId="19EEC828" w14:textId="3A35FD3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68272580" w14:textId="77777777" w:rsidTr="0084671B">
        <w:tc>
          <w:tcPr>
            <w:tcW w:w="4815" w:type="dxa"/>
          </w:tcPr>
          <w:p w14:paraId="15B74CC8" w14:textId="4440ABA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Double blind comparative crossover study between fenbufen and indomethacin in the treatment of hip and knee osteoarthritis</w:t>
            </w:r>
          </w:p>
        </w:tc>
        <w:tc>
          <w:tcPr>
            <w:tcW w:w="3951" w:type="dxa"/>
          </w:tcPr>
          <w:p w14:paraId="34094789" w14:textId="0006231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Klein, B.</w:t>
            </w:r>
          </w:p>
        </w:tc>
        <w:tc>
          <w:tcPr>
            <w:tcW w:w="1095" w:type="dxa"/>
          </w:tcPr>
          <w:p w14:paraId="630A130E" w14:textId="067D527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1976</w:t>
            </w:r>
          </w:p>
        </w:tc>
        <w:tc>
          <w:tcPr>
            <w:tcW w:w="1758" w:type="dxa"/>
          </w:tcPr>
          <w:p w14:paraId="1489FA72" w14:textId="10D19E0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Folha Medica</w:t>
            </w:r>
          </w:p>
        </w:tc>
        <w:tc>
          <w:tcPr>
            <w:tcW w:w="2373" w:type="dxa"/>
          </w:tcPr>
          <w:p w14:paraId="0C59B2A5" w14:textId="54A7A71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rsidRPr="00252F1D" w14:paraId="6C7F5EE1" w14:textId="77777777" w:rsidTr="0084671B">
        <w:tc>
          <w:tcPr>
            <w:tcW w:w="4815" w:type="dxa"/>
          </w:tcPr>
          <w:p w14:paraId="40D69D3B" w14:textId="3EC2B28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Tolmetin sodium versus aspirin: A double-blind multicenter comparison in the treatment of osteoarthritis of the knee</w:t>
            </w:r>
          </w:p>
        </w:tc>
        <w:tc>
          <w:tcPr>
            <w:tcW w:w="3951" w:type="dxa"/>
          </w:tcPr>
          <w:p w14:paraId="045AB256" w14:textId="4E47FF7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Kaplan, S.; Salzman, R.</w:t>
            </w:r>
          </w:p>
        </w:tc>
        <w:tc>
          <w:tcPr>
            <w:tcW w:w="1095" w:type="dxa"/>
          </w:tcPr>
          <w:p w14:paraId="26782ED0" w14:textId="3B20864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1979</w:t>
            </w:r>
          </w:p>
        </w:tc>
        <w:tc>
          <w:tcPr>
            <w:tcW w:w="1758" w:type="dxa"/>
          </w:tcPr>
          <w:p w14:paraId="6BA8A36C" w14:textId="69CCD41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Current Therapeutic Research - Clinical and Experimental</w:t>
            </w:r>
          </w:p>
        </w:tc>
        <w:tc>
          <w:tcPr>
            <w:tcW w:w="2373" w:type="dxa"/>
          </w:tcPr>
          <w:p w14:paraId="3F925979" w14:textId="71F094C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33B487E3" w14:textId="77777777" w:rsidTr="0084671B">
        <w:tc>
          <w:tcPr>
            <w:tcW w:w="4815" w:type="dxa"/>
          </w:tcPr>
          <w:p w14:paraId="6D67DB77" w14:textId="3589434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Double-blind study of Naproxen in osteoarthritis of the knee joint.</w:t>
            </w:r>
          </w:p>
        </w:tc>
        <w:tc>
          <w:tcPr>
            <w:tcW w:w="3951" w:type="dxa"/>
          </w:tcPr>
          <w:p w14:paraId="445B5CA4" w14:textId="6DE6EDA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Tanaka, S; Ito, T; Mori, E; Muroga, T; Nakajima, A</w:t>
            </w:r>
          </w:p>
        </w:tc>
        <w:tc>
          <w:tcPr>
            <w:tcW w:w="1095" w:type="dxa"/>
          </w:tcPr>
          <w:p w14:paraId="7FFDD584" w14:textId="4F38315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1976</w:t>
            </w:r>
          </w:p>
        </w:tc>
        <w:tc>
          <w:tcPr>
            <w:tcW w:w="1758" w:type="dxa"/>
          </w:tcPr>
          <w:p w14:paraId="47F53645" w14:textId="39C9418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The Journal of rheumatology</w:t>
            </w:r>
          </w:p>
        </w:tc>
        <w:tc>
          <w:tcPr>
            <w:tcW w:w="2373" w:type="dxa"/>
          </w:tcPr>
          <w:p w14:paraId="252FBEB9" w14:textId="78E4967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14:paraId="6E7BD70B" w14:textId="77777777" w:rsidTr="0084671B">
        <w:tc>
          <w:tcPr>
            <w:tcW w:w="4815" w:type="dxa"/>
          </w:tcPr>
          <w:p w14:paraId="2FCDF0A6" w14:textId="746E123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Effects of antiinflammatory drugs on the progression of osteoarthritis of the knee</w:t>
            </w:r>
          </w:p>
        </w:tc>
        <w:tc>
          <w:tcPr>
            <w:tcW w:w="3951" w:type="dxa"/>
          </w:tcPr>
          <w:p w14:paraId="0A95DA56" w14:textId="3DBD11C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Huskisson, E.C.; Berry, H.; Gishen, P.; Jubb, R.W.; Whitehead, J.</w:t>
            </w:r>
          </w:p>
        </w:tc>
        <w:tc>
          <w:tcPr>
            <w:tcW w:w="1095" w:type="dxa"/>
          </w:tcPr>
          <w:p w14:paraId="31E5DA67" w14:textId="1960FF9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1995</w:t>
            </w:r>
          </w:p>
        </w:tc>
        <w:tc>
          <w:tcPr>
            <w:tcW w:w="1758" w:type="dxa"/>
          </w:tcPr>
          <w:p w14:paraId="59F86DFE" w14:textId="393A82C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Journal of Rheumatology</w:t>
            </w:r>
          </w:p>
        </w:tc>
        <w:tc>
          <w:tcPr>
            <w:tcW w:w="2373" w:type="dxa"/>
          </w:tcPr>
          <w:p w14:paraId="2AA09B8A" w14:textId="14B7B8E1"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31A7EE16" w14:textId="77777777" w:rsidTr="0084671B">
        <w:tc>
          <w:tcPr>
            <w:tcW w:w="4815" w:type="dxa"/>
          </w:tcPr>
          <w:p w14:paraId="1FF5C000" w14:textId="673C462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nine-month cost-effectiveness analysis of two therapeutic strategies in patients with knee osteoarthritis</w:t>
            </w:r>
          </w:p>
        </w:tc>
        <w:tc>
          <w:tcPr>
            <w:tcW w:w="3951" w:type="dxa"/>
          </w:tcPr>
          <w:p w14:paraId="31D39558" w14:textId="0E5B819D"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Kahan, A.; Le Pen, C.; Lleu, P.-L.; Maurel, F.; Salin, L.</w:t>
            </w:r>
          </w:p>
        </w:tc>
        <w:tc>
          <w:tcPr>
            <w:tcW w:w="1095" w:type="dxa"/>
          </w:tcPr>
          <w:p w14:paraId="1D15268A" w14:textId="67880FC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2002</w:t>
            </w:r>
          </w:p>
        </w:tc>
        <w:tc>
          <w:tcPr>
            <w:tcW w:w="1758" w:type="dxa"/>
          </w:tcPr>
          <w:p w14:paraId="4F74403E" w14:textId="69D2BB9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Journal d'Economie Medicale</w:t>
            </w:r>
          </w:p>
        </w:tc>
        <w:tc>
          <w:tcPr>
            <w:tcW w:w="2373" w:type="dxa"/>
          </w:tcPr>
          <w:p w14:paraId="39D168A2" w14:textId="54731EF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comparator</w:t>
            </w:r>
          </w:p>
        </w:tc>
      </w:tr>
      <w:tr w:rsidR="0084671B" w14:paraId="00167C87" w14:textId="77777777" w:rsidTr="0084671B">
        <w:tc>
          <w:tcPr>
            <w:tcW w:w="4815" w:type="dxa"/>
          </w:tcPr>
          <w:p w14:paraId="126596AA" w14:textId="5F78C44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Evaluation of the efficacy and safety of etoricoxib compared with naproxen in two, 138-week randomised studies of patients with osteoarthritis.</w:t>
            </w:r>
          </w:p>
        </w:tc>
        <w:tc>
          <w:tcPr>
            <w:tcW w:w="3951" w:type="dxa"/>
          </w:tcPr>
          <w:p w14:paraId="5E51B4F9" w14:textId="370E8EA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Reginster, J Y; Malmstrom, K; Mehta, A; Bergman, G; Ko, A T; Curtis, S P; Reicin, A S</w:t>
            </w:r>
          </w:p>
        </w:tc>
        <w:tc>
          <w:tcPr>
            <w:tcW w:w="1095" w:type="dxa"/>
          </w:tcPr>
          <w:p w14:paraId="7F989DA7" w14:textId="448301E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2007</w:t>
            </w:r>
          </w:p>
        </w:tc>
        <w:tc>
          <w:tcPr>
            <w:tcW w:w="1758" w:type="dxa"/>
          </w:tcPr>
          <w:p w14:paraId="1CE510C6" w14:textId="70ED742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Annals of the rheumatic diseases</w:t>
            </w:r>
          </w:p>
        </w:tc>
        <w:tc>
          <w:tcPr>
            <w:tcW w:w="2373" w:type="dxa"/>
          </w:tcPr>
          <w:p w14:paraId="1AC12E36" w14:textId="608CF51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patient population</w:t>
            </w:r>
          </w:p>
        </w:tc>
      </w:tr>
      <w:tr w:rsidR="0084671B" w:rsidRPr="00252F1D" w14:paraId="3348FF7A" w14:textId="77777777" w:rsidTr="0084671B">
        <w:tc>
          <w:tcPr>
            <w:tcW w:w="4815" w:type="dxa"/>
          </w:tcPr>
          <w:p w14:paraId="79B3EF47" w14:textId="1AA2A0B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Evaluation of the effect of adding corticosteroid to viscosupplementation: A prospective and randomized study.</w:t>
            </w:r>
          </w:p>
        </w:tc>
        <w:tc>
          <w:tcPr>
            <w:tcW w:w="3951" w:type="dxa"/>
          </w:tcPr>
          <w:p w14:paraId="06EF6564" w14:textId="6BFC328B"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Rezende MU, Campos GC, Pailo AF, Frucchi R, Pasqualim T</w:t>
            </w:r>
          </w:p>
        </w:tc>
        <w:tc>
          <w:tcPr>
            <w:tcW w:w="1095" w:type="dxa"/>
          </w:tcPr>
          <w:p w14:paraId="2911727D" w14:textId="452BE2D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2012</w:t>
            </w:r>
          </w:p>
        </w:tc>
        <w:tc>
          <w:tcPr>
            <w:tcW w:w="1758" w:type="dxa"/>
          </w:tcPr>
          <w:p w14:paraId="1D61F1FD" w14:textId="77777777" w:rsidR="0084671B" w:rsidRDefault="0084671B" w:rsidP="0084671B">
            <w:pPr>
              <w:rPr>
                <w:rFonts w:ascii="Arial" w:hAnsi="Arial" w:cs="Arial"/>
                <w:b/>
                <w:bCs/>
                <w:sz w:val="20"/>
                <w:szCs w:val="20"/>
                <w:lang w:val="en-GB"/>
              </w:rPr>
            </w:pPr>
          </w:p>
        </w:tc>
        <w:tc>
          <w:tcPr>
            <w:tcW w:w="2373" w:type="dxa"/>
          </w:tcPr>
          <w:p w14:paraId="518D42D0" w14:textId="3FA99AE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2B55D35A" w14:textId="77777777" w:rsidTr="0084671B">
        <w:tc>
          <w:tcPr>
            <w:tcW w:w="4815" w:type="dxa"/>
          </w:tcPr>
          <w:p w14:paraId="127DC3F7" w14:textId="68A7AEF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comparative study of naproxen with diclofenac sodium in osteoathrosis of the knees</w:t>
            </w:r>
          </w:p>
        </w:tc>
        <w:tc>
          <w:tcPr>
            <w:tcW w:w="3951" w:type="dxa"/>
          </w:tcPr>
          <w:p w14:paraId="7DD389A2" w14:textId="03EFEB90"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Scharf, Y.; Nahir, M.; Schapira, D.; Lorber, M.</w:t>
            </w:r>
          </w:p>
        </w:tc>
        <w:tc>
          <w:tcPr>
            <w:tcW w:w="1095" w:type="dxa"/>
          </w:tcPr>
          <w:p w14:paraId="375400D1" w14:textId="262C9EC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1982</w:t>
            </w:r>
          </w:p>
        </w:tc>
        <w:tc>
          <w:tcPr>
            <w:tcW w:w="1758" w:type="dxa"/>
          </w:tcPr>
          <w:p w14:paraId="2CB01A3C" w14:textId="18D3D2E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Rheumatology</w:t>
            </w:r>
          </w:p>
        </w:tc>
        <w:tc>
          <w:tcPr>
            <w:tcW w:w="2373" w:type="dxa"/>
          </w:tcPr>
          <w:p w14:paraId="7AEB2E22" w14:textId="114E612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2463E0E8" w14:textId="77777777" w:rsidTr="0084671B">
        <w:tc>
          <w:tcPr>
            <w:tcW w:w="4815" w:type="dxa"/>
          </w:tcPr>
          <w:p w14:paraId="1699E70F" w14:textId="06F2C7D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Effect of vitamin D supplementation on effusion synovitis in knee osteoarthritis: a randomised controlled trial</w:t>
            </w:r>
          </w:p>
        </w:tc>
        <w:tc>
          <w:tcPr>
            <w:tcW w:w="3951" w:type="dxa"/>
          </w:tcPr>
          <w:p w14:paraId="2941E93E" w14:textId="2AE9BB2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Samuel EAB, Xia W, Flavia C, Xingzhong J, Anita W, Weiyu H, Leigh B, Graeme J, Changhai D</w:t>
            </w:r>
          </w:p>
        </w:tc>
        <w:tc>
          <w:tcPr>
            <w:tcW w:w="1095" w:type="dxa"/>
          </w:tcPr>
          <w:p w14:paraId="609DAB3D" w14:textId="63BCBF0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2016</w:t>
            </w:r>
          </w:p>
        </w:tc>
        <w:tc>
          <w:tcPr>
            <w:tcW w:w="1758" w:type="dxa"/>
          </w:tcPr>
          <w:p w14:paraId="1BBF3A73" w14:textId="77777777" w:rsidR="0084671B" w:rsidRDefault="0084671B" w:rsidP="0084671B">
            <w:pPr>
              <w:rPr>
                <w:rFonts w:ascii="Arial" w:hAnsi="Arial" w:cs="Arial"/>
                <w:b/>
                <w:bCs/>
                <w:sz w:val="20"/>
                <w:szCs w:val="20"/>
                <w:lang w:val="en-GB"/>
              </w:rPr>
            </w:pPr>
          </w:p>
        </w:tc>
        <w:tc>
          <w:tcPr>
            <w:tcW w:w="2373" w:type="dxa"/>
          </w:tcPr>
          <w:p w14:paraId="123207DA" w14:textId="5AF9217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Post-hoc analysis</w:t>
            </w:r>
          </w:p>
        </w:tc>
      </w:tr>
      <w:tr w:rsidR="0084671B" w14:paraId="0B9731DD" w14:textId="77777777" w:rsidTr="0084671B">
        <w:tc>
          <w:tcPr>
            <w:tcW w:w="4815" w:type="dxa"/>
          </w:tcPr>
          <w:p w14:paraId="26B7EC4A" w14:textId="2284EB3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prospective, randomized, pragmatic, health outcomes trial evaluating the incorporation of hylan G-F 20 into the treatment paradigm for patients with knee osteoarthritis (Part 1 of 2): clinical results.</w:t>
            </w:r>
          </w:p>
        </w:tc>
        <w:tc>
          <w:tcPr>
            <w:tcW w:w="3951" w:type="dxa"/>
          </w:tcPr>
          <w:p w14:paraId="78F09BB6" w14:textId="60400D1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Raynauld, J-P; Torrance, G W; Band, P A; Goldsmith, C H; Tugwell, P; Walker, V; Schultz, M; Bellamy, N; Canadian Knee OA Study Group</w:t>
            </w:r>
          </w:p>
        </w:tc>
        <w:tc>
          <w:tcPr>
            <w:tcW w:w="1095" w:type="dxa"/>
          </w:tcPr>
          <w:p w14:paraId="4192843C" w14:textId="14433E7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2002</w:t>
            </w:r>
          </w:p>
        </w:tc>
        <w:tc>
          <w:tcPr>
            <w:tcW w:w="1758" w:type="dxa"/>
          </w:tcPr>
          <w:p w14:paraId="2CE7DA06" w14:textId="72BF3E0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Osteoarthritis and cartilage</w:t>
            </w:r>
          </w:p>
        </w:tc>
        <w:tc>
          <w:tcPr>
            <w:tcW w:w="2373" w:type="dxa"/>
          </w:tcPr>
          <w:p w14:paraId="55A3E50E" w14:textId="2DBB8F9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comparator</w:t>
            </w:r>
          </w:p>
        </w:tc>
      </w:tr>
      <w:tr w:rsidR="0084671B" w14:paraId="0DFAB71F" w14:textId="77777777" w:rsidTr="0084671B">
        <w:tc>
          <w:tcPr>
            <w:tcW w:w="4815" w:type="dxa"/>
          </w:tcPr>
          <w:p w14:paraId="4260B4B7" w14:textId="0F80C09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of Hylan G-F 20 and Sodium Hyaluronate in the treatment of osteoarthritis of the knee -- a prospective randomized clinical trial.</w:t>
            </w:r>
          </w:p>
        </w:tc>
        <w:tc>
          <w:tcPr>
            <w:tcW w:w="3951" w:type="dxa"/>
          </w:tcPr>
          <w:p w14:paraId="1301AA9F" w14:textId="5968484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Raman, R; Dutta, A; Day, N; Sharma, H K; Shaw, C J; Johnson, G V</w:t>
            </w:r>
          </w:p>
        </w:tc>
        <w:tc>
          <w:tcPr>
            <w:tcW w:w="1095" w:type="dxa"/>
          </w:tcPr>
          <w:p w14:paraId="41FB5CF2" w14:textId="10AA92B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2008</w:t>
            </w:r>
          </w:p>
        </w:tc>
        <w:tc>
          <w:tcPr>
            <w:tcW w:w="1758" w:type="dxa"/>
          </w:tcPr>
          <w:p w14:paraId="632978D1" w14:textId="7ACAF05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The Knee</w:t>
            </w:r>
          </w:p>
        </w:tc>
        <w:tc>
          <w:tcPr>
            <w:tcW w:w="2373" w:type="dxa"/>
          </w:tcPr>
          <w:p w14:paraId="490CE003" w14:textId="5672F12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comparator</w:t>
            </w:r>
          </w:p>
        </w:tc>
      </w:tr>
      <w:tr w:rsidR="0084671B" w14:paraId="187B607F" w14:textId="77777777" w:rsidTr="0084671B">
        <w:tc>
          <w:tcPr>
            <w:tcW w:w="4815" w:type="dxa"/>
          </w:tcPr>
          <w:p w14:paraId="664FE68B" w14:textId="1299496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Glycosaminoglycan polysulfuric acid (GAGPS) in osteoarthritis of the knee.</w:t>
            </w:r>
          </w:p>
        </w:tc>
        <w:tc>
          <w:tcPr>
            <w:tcW w:w="3951" w:type="dxa"/>
          </w:tcPr>
          <w:p w14:paraId="224C4AE0" w14:textId="1DA1695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Pavelka, K Jr; Sedlackova, M; Gatterova, J; Becvar, R; Pavelka, K Sr</w:t>
            </w:r>
          </w:p>
        </w:tc>
        <w:tc>
          <w:tcPr>
            <w:tcW w:w="1095" w:type="dxa"/>
          </w:tcPr>
          <w:p w14:paraId="63E127D3" w14:textId="545299D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1995</w:t>
            </w:r>
          </w:p>
        </w:tc>
        <w:tc>
          <w:tcPr>
            <w:tcW w:w="1758" w:type="dxa"/>
          </w:tcPr>
          <w:p w14:paraId="4FC1A92F" w14:textId="7FE50DF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Osteoarthritis and cartilage</w:t>
            </w:r>
          </w:p>
        </w:tc>
        <w:tc>
          <w:tcPr>
            <w:tcW w:w="2373" w:type="dxa"/>
          </w:tcPr>
          <w:p w14:paraId="5384609E" w14:textId="1155D1C4"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rsidRPr="00252F1D" w14:paraId="4D271F4D" w14:textId="77777777" w:rsidTr="0084671B">
        <w:tc>
          <w:tcPr>
            <w:tcW w:w="4815" w:type="dxa"/>
          </w:tcPr>
          <w:p w14:paraId="5031AC78" w14:textId="245D0A9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Knee joint space width progression: Results of a 3.3 years randomized, double blind clinical trial with hyaluronic acid. the AMELIA project.</w:t>
            </w:r>
          </w:p>
        </w:tc>
        <w:tc>
          <w:tcPr>
            <w:tcW w:w="3951" w:type="dxa"/>
          </w:tcPr>
          <w:p w14:paraId="1CB26A9C" w14:textId="206D350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Navarro-Sarabia F, Toyos FJ, Herrero-Beaumont G, Coronel P, Gimeno M, Hernandez-Cruz B</w:t>
            </w:r>
          </w:p>
        </w:tc>
        <w:tc>
          <w:tcPr>
            <w:tcW w:w="1095" w:type="dxa"/>
          </w:tcPr>
          <w:p w14:paraId="03B0B58C" w14:textId="1897268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2012</w:t>
            </w:r>
          </w:p>
        </w:tc>
        <w:tc>
          <w:tcPr>
            <w:tcW w:w="1758" w:type="dxa"/>
          </w:tcPr>
          <w:p w14:paraId="2D316B4A" w14:textId="77777777" w:rsidR="0084671B" w:rsidRDefault="0084671B" w:rsidP="0084671B">
            <w:pPr>
              <w:rPr>
                <w:rFonts w:ascii="Arial" w:hAnsi="Arial" w:cs="Arial"/>
                <w:b/>
                <w:bCs/>
                <w:sz w:val="20"/>
                <w:szCs w:val="20"/>
                <w:lang w:val="en-GB"/>
              </w:rPr>
            </w:pPr>
          </w:p>
        </w:tc>
        <w:tc>
          <w:tcPr>
            <w:tcW w:w="2373" w:type="dxa"/>
          </w:tcPr>
          <w:p w14:paraId="5BEDCEE5" w14:textId="79ADE79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rsidRPr="00252F1D" w14:paraId="0EAC30A2" w14:textId="77777777" w:rsidTr="0084671B">
        <w:tc>
          <w:tcPr>
            <w:tcW w:w="4815" w:type="dxa"/>
          </w:tcPr>
          <w:p w14:paraId="70E8AD54" w14:textId="1F9AE1A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and safety of long-term repeated, intraarticular injections of hyaluronic acid in knee osteoarthritis: Final results of the amelia trial.</w:t>
            </w:r>
          </w:p>
        </w:tc>
        <w:tc>
          <w:tcPr>
            <w:tcW w:w="3951" w:type="dxa"/>
          </w:tcPr>
          <w:p w14:paraId="294E5FFC" w14:textId="13CE9982"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Navarro-Sarabia F, Coronel P, Blanco F, Rodriguez De La Serna A, Gimeno M, Herrero-Beaumont G</w:t>
            </w:r>
          </w:p>
        </w:tc>
        <w:tc>
          <w:tcPr>
            <w:tcW w:w="1095" w:type="dxa"/>
          </w:tcPr>
          <w:p w14:paraId="3EC512C0" w14:textId="77E3D6A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2012</w:t>
            </w:r>
          </w:p>
        </w:tc>
        <w:tc>
          <w:tcPr>
            <w:tcW w:w="1758" w:type="dxa"/>
          </w:tcPr>
          <w:p w14:paraId="296D1F2D" w14:textId="77777777" w:rsidR="0084671B" w:rsidRDefault="0084671B" w:rsidP="0084671B">
            <w:pPr>
              <w:rPr>
                <w:rFonts w:ascii="Arial" w:hAnsi="Arial" w:cs="Arial"/>
                <w:b/>
                <w:bCs/>
                <w:sz w:val="20"/>
                <w:szCs w:val="20"/>
                <w:lang w:val="en-GB"/>
              </w:rPr>
            </w:pPr>
          </w:p>
        </w:tc>
        <w:tc>
          <w:tcPr>
            <w:tcW w:w="2373" w:type="dxa"/>
          </w:tcPr>
          <w:p w14:paraId="5A51C981" w14:textId="7AAEE15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rsidRPr="00252F1D" w14:paraId="091DF863" w14:textId="77777777" w:rsidTr="0084671B">
        <w:tc>
          <w:tcPr>
            <w:tcW w:w="4815" w:type="dxa"/>
          </w:tcPr>
          <w:p w14:paraId="7ED2775C" w14:textId="2207BF9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Comparison of quantitative and semiquantitative indicators of joint space narrowing in subjects with knee osteoarthritis.</w:t>
            </w:r>
          </w:p>
        </w:tc>
        <w:tc>
          <w:tcPr>
            <w:tcW w:w="3951" w:type="dxa"/>
          </w:tcPr>
          <w:p w14:paraId="6B3A13AF" w14:textId="1E4ED15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Mazzuca, S A; Brandt, K D; Katz, B P; Lane, K A; Buckwalter, K A</w:t>
            </w:r>
          </w:p>
        </w:tc>
        <w:tc>
          <w:tcPr>
            <w:tcW w:w="1095" w:type="dxa"/>
          </w:tcPr>
          <w:p w14:paraId="2E1205CE" w14:textId="50C2A2C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2006</w:t>
            </w:r>
          </w:p>
        </w:tc>
        <w:tc>
          <w:tcPr>
            <w:tcW w:w="1758" w:type="dxa"/>
          </w:tcPr>
          <w:p w14:paraId="0475729A" w14:textId="55EB2C1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Annals of the rheumatic diseases</w:t>
            </w:r>
          </w:p>
        </w:tc>
        <w:tc>
          <w:tcPr>
            <w:tcW w:w="2373" w:type="dxa"/>
          </w:tcPr>
          <w:p w14:paraId="28BA2B5B" w14:textId="3A06737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Post-hoc analysis</w:t>
            </w:r>
          </w:p>
        </w:tc>
      </w:tr>
      <w:tr w:rsidR="0084671B" w14:paraId="6880D87E" w14:textId="77777777" w:rsidTr="0084671B">
        <w:tc>
          <w:tcPr>
            <w:tcW w:w="4815" w:type="dxa"/>
          </w:tcPr>
          <w:p w14:paraId="5DCE9587" w14:textId="2488C6F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[Radiological progression of internal femoro-tibial osteoarthritis in gonarthrosis. </w:t>
            </w:r>
            <w:r w:rsidRPr="000B369D">
              <w:rPr>
                <w:rFonts w:ascii="Arial" w:eastAsia="Times New Roman" w:hAnsi="Arial" w:cs="Arial"/>
                <w:color w:val="000000"/>
                <w:sz w:val="20"/>
                <w:szCs w:val="20"/>
                <w:lang w:eastAsia="fr-BE"/>
              </w:rPr>
              <w:t>Chondro-protective effect of chondroitin sulfates ACS4-ACS6].</w:t>
            </w:r>
          </w:p>
        </w:tc>
        <w:tc>
          <w:tcPr>
            <w:tcW w:w="3951" w:type="dxa"/>
          </w:tcPr>
          <w:p w14:paraId="594B3249" w14:textId="2E46D68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Mathieu, Pierre</w:t>
            </w:r>
          </w:p>
        </w:tc>
        <w:tc>
          <w:tcPr>
            <w:tcW w:w="1095" w:type="dxa"/>
          </w:tcPr>
          <w:p w14:paraId="34D4F6FB" w14:textId="6EA144E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2002</w:t>
            </w:r>
          </w:p>
        </w:tc>
        <w:tc>
          <w:tcPr>
            <w:tcW w:w="1758" w:type="dxa"/>
          </w:tcPr>
          <w:p w14:paraId="6913DA91" w14:textId="3BDDF4F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Presse medicale (Paris, France : 1983)</w:t>
            </w:r>
          </w:p>
        </w:tc>
        <w:tc>
          <w:tcPr>
            <w:tcW w:w="2373" w:type="dxa"/>
          </w:tcPr>
          <w:p w14:paraId="39B4CF48" w14:textId="4D0A87E8"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commentary</w:t>
            </w:r>
          </w:p>
        </w:tc>
      </w:tr>
      <w:tr w:rsidR="0084671B" w:rsidRPr="00252F1D" w14:paraId="16A3B289" w14:textId="77777777" w:rsidTr="0084671B">
        <w:tc>
          <w:tcPr>
            <w:tcW w:w="4815" w:type="dxa"/>
          </w:tcPr>
          <w:p w14:paraId="31FE43B9" w14:textId="280CBEA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multicenter, randomized, double blind study comparing lornoxicam with diclofenac in osteoarthritis.</w:t>
            </w:r>
          </w:p>
        </w:tc>
        <w:tc>
          <w:tcPr>
            <w:tcW w:w="3951" w:type="dxa"/>
          </w:tcPr>
          <w:p w14:paraId="0278E3E8" w14:textId="0BF9D6D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Kidd, B; Frenzel, W</w:t>
            </w:r>
          </w:p>
        </w:tc>
        <w:tc>
          <w:tcPr>
            <w:tcW w:w="1095" w:type="dxa"/>
          </w:tcPr>
          <w:p w14:paraId="72CBEAA2" w14:textId="0AB2EFD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1996</w:t>
            </w:r>
          </w:p>
        </w:tc>
        <w:tc>
          <w:tcPr>
            <w:tcW w:w="1758" w:type="dxa"/>
          </w:tcPr>
          <w:p w14:paraId="13F54144" w14:textId="0DA7AB6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The Journal of rheumatology</w:t>
            </w:r>
          </w:p>
        </w:tc>
        <w:tc>
          <w:tcPr>
            <w:tcW w:w="2373" w:type="dxa"/>
          </w:tcPr>
          <w:p w14:paraId="42D59436" w14:textId="74674CE8"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14:paraId="26DE8AA6" w14:textId="77777777" w:rsidTr="0084671B">
        <w:tc>
          <w:tcPr>
            <w:tcW w:w="4815" w:type="dxa"/>
          </w:tcPr>
          <w:p w14:paraId="21050039" w14:textId="39FE4CD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Prospective randomized trial comparing the efficacy of single 6-ml injection of hylan G-F 20 and hyaluronic acid for primary knee arthritis: a preliminary study.</w:t>
            </w:r>
          </w:p>
        </w:tc>
        <w:tc>
          <w:tcPr>
            <w:tcW w:w="3951" w:type="dxa"/>
          </w:tcPr>
          <w:p w14:paraId="57E64500" w14:textId="6BD728A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Khanasuk, Yutthana; Dechmaneenin, Teerayut; Tanavalee, Aree</w:t>
            </w:r>
          </w:p>
        </w:tc>
        <w:tc>
          <w:tcPr>
            <w:tcW w:w="1095" w:type="dxa"/>
          </w:tcPr>
          <w:p w14:paraId="37F1F6FA" w14:textId="38405AC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2012</w:t>
            </w:r>
          </w:p>
        </w:tc>
        <w:tc>
          <w:tcPr>
            <w:tcW w:w="1758" w:type="dxa"/>
          </w:tcPr>
          <w:p w14:paraId="589CB6D3" w14:textId="17E652C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Journal of the Medical Association of Thailand = Chotmaihet thangphaet</w:t>
            </w:r>
          </w:p>
        </w:tc>
        <w:tc>
          <w:tcPr>
            <w:tcW w:w="2373" w:type="dxa"/>
          </w:tcPr>
          <w:p w14:paraId="0F1EACF9" w14:textId="7A02DD74"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comparator</w:t>
            </w:r>
          </w:p>
        </w:tc>
      </w:tr>
      <w:tr w:rsidR="0084671B" w14:paraId="6B420CBF" w14:textId="77777777" w:rsidTr="0084671B">
        <w:tc>
          <w:tcPr>
            <w:tcW w:w="4815" w:type="dxa"/>
          </w:tcPr>
          <w:p w14:paraId="4279D301" w14:textId="5AF6B5A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Prospective randomized study comparing the medicoeconomic benefits of Hylan GF-20 vs. conventional treatment in knee osteoarthritis.</w:t>
            </w:r>
          </w:p>
        </w:tc>
        <w:tc>
          <w:tcPr>
            <w:tcW w:w="3951" w:type="dxa"/>
          </w:tcPr>
          <w:p w14:paraId="56A098E4" w14:textId="45A4CEDE"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Kahan, Andre; Lleu, Pierre-Louis; Salin, Laurence</w:t>
            </w:r>
          </w:p>
        </w:tc>
        <w:tc>
          <w:tcPr>
            <w:tcW w:w="1095" w:type="dxa"/>
          </w:tcPr>
          <w:p w14:paraId="6A164043" w14:textId="5EA101C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2003</w:t>
            </w:r>
          </w:p>
        </w:tc>
        <w:tc>
          <w:tcPr>
            <w:tcW w:w="1758" w:type="dxa"/>
          </w:tcPr>
          <w:p w14:paraId="72AC3795" w14:textId="61CCFA31"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Joint, bone, spine : revue du rhumatisme</w:t>
            </w:r>
          </w:p>
        </w:tc>
        <w:tc>
          <w:tcPr>
            <w:tcW w:w="2373" w:type="dxa"/>
          </w:tcPr>
          <w:p w14:paraId="53DD48E3" w14:textId="0FA702AB"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comparator</w:t>
            </w:r>
          </w:p>
        </w:tc>
      </w:tr>
      <w:tr w:rsidR="0084671B" w14:paraId="11E67305" w14:textId="77777777" w:rsidTr="0084671B">
        <w:tc>
          <w:tcPr>
            <w:tcW w:w="4815" w:type="dxa"/>
          </w:tcPr>
          <w:p w14:paraId="5FEFE4E2" w14:textId="151E1DE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and safety of intraarticular hylan or hyaluronic acids for osteoarthritis of the knee: a randomized controlled trial.</w:t>
            </w:r>
          </w:p>
        </w:tc>
        <w:tc>
          <w:tcPr>
            <w:tcW w:w="3951" w:type="dxa"/>
          </w:tcPr>
          <w:p w14:paraId="112CA8B7" w14:textId="3F6F1C1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Juni, Peter; Reichenbach, Stephan; Trelle, Sven; Tschannen, Beatrice; Wandel, Simon; Jordi, Beat; Zullig, Maya; Guetg, Reto; Hauselmann, Hans Jorg; Schwarz, Hans; Theiler, Robert; Ziswiler, Hans Rudolf; Dieppe, Paul A; Villiger, Peter M; Egger, Matthias; Swiss Viscosupplementation Trial Group</w:t>
            </w:r>
          </w:p>
        </w:tc>
        <w:tc>
          <w:tcPr>
            <w:tcW w:w="1095" w:type="dxa"/>
          </w:tcPr>
          <w:p w14:paraId="79513C8F" w14:textId="24945B2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2007</w:t>
            </w:r>
          </w:p>
        </w:tc>
        <w:tc>
          <w:tcPr>
            <w:tcW w:w="1758" w:type="dxa"/>
          </w:tcPr>
          <w:p w14:paraId="3C8D301D" w14:textId="6A7A53C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Arthritis and rheumatism</w:t>
            </w:r>
          </w:p>
        </w:tc>
        <w:tc>
          <w:tcPr>
            <w:tcW w:w="2373" w:type="dxa"/>
          </w:tcPr>
          <w:p w14:paraId="0F7B8D3F" w14:textId="71ED5E0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rsidRPr="00252F1D" w14:paraId="15320CDC" w14:textId="77777777" w:rsidTr="0084671B">
        <w:tc>
          <w:tcPr>
            <w:tcW w:w="4815" w:type="dxa"/>
          </w:tcPr>
          <w:p w14:paraId="50D74515" w14:textId="3A3DE14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Intra-articular hyaluronan is without clinical effect in knee osteoarthritis: a multicentre, randomised, placebo-controlled, double-blind study of 337 patients followed for 1 year.</w:t>
            </w:r>
          </w:p>
        </w:tc>
        <w:tc>
          <w:tcPr>
            <w:tcW w:w="3951" w:type="dxa"/>
          </w:tcPr>
          <w:p w14:paraId="6D820E4B" w14:textId="72F74DD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Jorgensen, Anette; Stengaard-Pedersen, Kristian; Simonsen, Ole; Pfeiffer-Jensen, Mogens; Eriksen, Christian; Bliddal, Henning; Pedersen, Niels Wisbech; Bodtker, Soren; Horslev-Petersen, Kim; Snerum, Lennart Ortoft; Egund, Niels; Frimer-Larsen, Helle</w:t>
            </w:r>
          </w:p>
        </w:tc>
        <w:tc>
          <w:tcPr>
            <w:tcW w:w="1095" w:type="dxa"/>
          </w:tcPr>
          <w:p w14:paraId="316B4104" w14:textId="1472C33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2010</w:t>
            </w:r>
          </w:p>
        </w:tc>
        <w:tc>
          <w:tcPr>
            <w:tcW w:w="1758" w:type="dxa"/>
          </w:tcPr>
          <w:p w14:paraId="7AAA1456" w14:textId="11B719B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Annals of the rheumatic diseases</w:t>
            </w:r>
          </w:p>
        </w:tc>
        <w:tc>
          <w:tcPr>
            <w:tcW w:w="2373" w:type="dxa"/>
          </w:tcPr>
          <w:p w14:paraId="69DB17EF" w14:textId="3862AFC4"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7369C4AC" w14:textId="77777777" w:rsidTr="0084671B">
        <w:tc>
          <w:tcPr>
            <w:tcW w:w="4815" w:type="dxa"/>
          </w:tcPr>
          <w:p w14:paraId="3C241004" w14:textId="3CFDB8B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Comparison between efficacy of methylprednisolone and triamcinolone in intra articular injection for osteoarthritis pain relief</w:t>
            </w:r>
          </w:p>
        </w:tc>
        <w:tc>
          <w:tcPr>
            <w:tcW w:w="3951" w:type="dxa"/>
          </w:tcPr>
          <w:p w14:paraId="4E8736DA" w14:textId="6CA3F50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Jameel, H.; Liaquat, F.; Khan, S.</w:t>
            </w:r>
          </w:p>
        </w:tc>
        <w:tc>
          <w:tcPr>
            <w:tcW w:w="1095" w:type="dxa"/>
          </w:tcPr>
          <w:p w14:paraId="34503B63" w14:textId="68FC28B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050317EA" w14:textId="2CB2FB9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Medical Forum Monthly</w:t>
            </w:r>
          </w:p>
        </w:tc>
        <w:tc>
          <w:tcPr>
            <w:tcW w:w="2373" w:type="dxa"/>
          </w:tcPr>
          <w:p w14:paraId="62B92267" w14:textId="696A235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14:paraId="1D3A5E95" w14:textId="77777777" w:rsidTr="0084671B">
        <w:tc>
          <w:tcPr>
            <w:tcW w:w="4815" w:type="dxa"/>
          </w:tcPr>
          <w:p w14:paraId="3BAAF2F8" w14:textId="27DAEB3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Effects of antiinflammatory drugs on the progression of osteoarthritis of the knee. LINK Study Group. Longitudinal Investigation of Nonsteroidal Antiinflammatory Drugs in Knee Osteoarthritis.</w:t>
            </w:r>
          </w:p>
        </w:tc>
        <w:tc>
          <w:tcPr>
            <w:tcW w:w="3951" w:type="dxa"/>
          </w:tcPr>
          <w:p w14:paraId="2837F0EF" w14:textId="147E8DA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Huskisson, E C; Berry, H; Gishen, P; Jubb, R W; Whitehead, J</w:t>
            </w:r>
          </w:p>
        </w:tc>
        <w:tc>
          <w:tcPr>
            <w:tcW w:w="1095" w:type="dxa"/>
          </w:tcPr>
          <w:p w14:paraId="0522B654" w14:textId="560DE08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1995</w:t>
            </w:r>
          </w:p>
        </w:tc>
        <w:tc>
          <w:tcPr>
            <w:tcW w:w="1758" w:type="dxa"/>
          </w:tcPr>
          <w:p w14:paraId="1FB95C28" w14:textId="6D6B0A6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The Journal of rheumatology</w:t>
            </w:r>
          </w:p>
        </w:tc>
        <w:tc>
          <w:tcPr>
            <w:tcW w:w="2373" w:type="dxa"/>
          </w:tcPr>
          <w:p w14:paraId="25112161" w14:textId="3E7B2B8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outcomes</w:t>
            </w:r>
          </w:p>
        </w:tc>
      </w:tr>
      <w:tr w:rsidR="0084671B" w:rsidRPr="00252F1D" w14:paraId="315BA71C" w14:textId="77777777" w:rsidTr="0084671B">
        <w:tc>
          <w:tcPr>
            <w:tcW w:w="4815" w:type="dxa"/>
          </w:tcPr>
          <w:p w14:paraId="634B3386" w14:textId="164265C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analgesic effectiveness and safety of tramadol 37.5 mg/acetaminophen 325 mg combination with non-steroidal anti-inflammatory drugs for treatment of osteoarthritis in elderly patients: A randomized controlled study from South Korea.</w:t>
            </w:r>
          </w:p>
        </w:tc>
        <w:tc>
          <w:tcPr>
            <w:tcW w:w="3951" w:type="dxa"/>
          </w:tcPr>
          <w:p w14:paraId="57047AC3" w14:textId="0C46C3C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Hur J-W</w:t>
            </w:r>
          </w:p>
        </w:tc>
        <w:tc>
          <w:tcPr>
            <w:tcW w:w="1095" w:type="dxa"/>
          </w:tcPr>
          <w:p w14:paraId="61E677EF" w14:textId="11D09BC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2012</w:t>
            </w:r>
          </w:p>
        </w:tc>
        <w:tc>
          <w:tcPr>
            <w:tcW w:w="1758" w:type="dxa"/>
          </w:tcPr>
          <w:p w14:paraId="6193F7A5" w14:textId="77777777" w:rsidR="0084671B" w:rsidRDefault="0084671B" w:rsidP="0084671B">
            <w:pPr>
              <w:rPr>
                <w:rFonts w:ascii="Arial" w:hAnsi="Arial" w:cs="Arial"/>
                <w:b/>
                <w:bCs/>
                <w:sz w:val="20"/>
                <w:szCs w:val="20"/>
                <w:lang w:val="en-GB"/>
              </w:rPr>
            </w:pPr>
          </w:p>
        </w:tc>
        <w:tc>
          <w:tcPr>
            <w:tcW w:w="2373" w:type="dxa"/>
          </w:tcPr>
          <w:p w14:paraId="04905D65" w14:textId="0AF41063"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14:paraId="3796C778" w14:textId="77777777" w:rsidTr="0084671B">
        <w:tc>
          <w:tcPr>
            <w:tcW w:w="4815" w:type="dxa"/>
          </w:tcPr>
          <w:p w14:paraId="2426B896" w14:textId="50254E3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Intra-articular injections of sodium hyaluronate (Hyalgan(R)) in osteoarthritis of the knee. a randomized, controlled, double-blind, multicenter trial in the Asian population</w:t>
            </w:r>
          </w:p>
        </w:tc>
        <w:tc>
          <w:tcPr>
            <w:tcW w:w="3951" w:type="dxa"/>
          </w:tcPr>
          <w:p w14:paraId="7C841D0B" w14:textId="4235E91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Huang TL, Chang CC, Lee CH, Chen SC, Lai CH, Tsai CL</w:t>
            </w:r>
          </w:p>
        </w:tc>
        <w:tc>
          <w:tcPr>
            <w:tcW w:w="1095" w:type="dxa"/>
          </w:tcPr>
          <w:p w14:paraId="735B24EE" w14:textId="293D280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2011</w:t>
            </w:r>
          </w:p>
        </w:tc>
        <w:tc>
          <w:tcPr>
            <w:tcW w:w="1758" w:type="dxa"/>
          </w:tcPr>
          <w:p w14:paraId="0AA4BB12" w14:textId="77777777" w:rsidR="0084671B" w:rsidRDefault="0084671B" w:rsidP="0084671B">
            <w:pPr>
              <w:rPr>
                <w:rFonts w:ascii="Arial" w:hAnsi="Arial" w:cs="Arial"/>
                <w:b/>
                <w:bCs/>
                <w:sz w:val="20"/>
                <w:szCs w:val="20"/>
                <w:lang w:val="en-GB"/>
              </w:rPr>
            </w:pPr>
          </w:p>
        </w:tc>
        <w:tc>
          <w:tcPr>
            <w:tcW w:w="2373" w:type="dxa"/>
          </w:tcPr>
          <w:p w14:paraId="6CA957B6" w14:textId="2A34446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3857A3AC" w14:textId="77777777" w:rsidTr="0084671B">
        <w:tc>
          <w:tcPr>
            <w:tcW w:w="4815" w:type="dxa"/>
          </w:tcPr>
          <w:p w14:paraId="2E6F253B" w14:textId="3230999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Meloxicam in osteoarthritis: A 6-month, double-blind comparison with diclofenac sodium</w:t>
            </w:r>
          </w:p>
        </w:tc>
        <w:tc>
          <w:tcPr>
            <w:tcW w:w="3951" w:type="dxa"/>
          </w:tcPr>
          <w:p w14:paraId="78F40BB7" w14:textId="0D818AA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Hosie, J.; Distel, M.; Bluhmki, E.</w:t>
            </w:r>
          </w:p>
        </w:tc>
        <w:tc>
          <w:tcPr>
            <w:tcW w:w="1095" w:type="dxa"/>
          </w:tcPr>
          <w:p w14:paraId="45727007" w14:textId="3DB0FD1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1996</w:t>
            </w:r>
          </w:p>
        </w:tc>
        <w:tc>
          <w:tcPr>
            <w:tcW w:w="1758" w:type="dxa"/>
          </w:tcPr>
          <w:p w14:paraId="5240A2D2" w14:textId="49EB103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British Journal of Rheumatology</w:t>
            </w:r>
          </w:p>
        </w:tc>
        <w:tc>
          <w:tcPr>
            <w:tcW w:w="2373" w:type="dxa"/>
          </w:tcPr>
          <w:p w14:paraId="14B329CF" w14:textId="59D9B6D1"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rsidRPr="00252F1D" w14:paraId="19DDEA5F" w14:textId="77777777" w:rsidTr="0084671B">
        <w:tc>
          <w:tcPr>
            <w:tcW w:w="4815" w:type="dxa"/>
          </w:tcPr>
          <w:p w14:paraId="152EBD2D" w14:textId="1047498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Effects of naproxcinod and naproxen on change in joint space width in the tibio-femoral joint: results of a 52-week, randomized controlled trial</w:t>
            </w:r>
          </w:p>
        </w:tc>
        <w:tc>
          <w:tcPr>
            <w:tcW w:w="3951" w:type="dxa"/>
          </w:tcPr>
          <w:p w14:paraId="3D1C29F6" w14:textId="19DD164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Hochberg MC, Schnitzer TJ, Marrero CE, Berembaum F, Duquesroix B, Frayssinet H</w:t>
            </w:r>
          </w:p>
        </w:tc>
        <w:tc>
          <w:tcPr>
            <w:tcW w:w="1095" w:type="dxa"/>
          </w:tcPr>
          <w:p w14:paraId="7C828832" w14:textId="51ABEE1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2010</w:t>
            </w:r>
          </w:p>
        </w:tc>
        <w:tc>
          <w:tcPr>
            <w:tcW w:w="1758" w:type="dxa"/>
          </w:tcPr>
          <w:p w14:paraId="36AFF175" w14:textId="77777777" w:rsidR="0084671B" w:rsidRDefault="0084671B" w:rsidP="0084671B">
            <w:pPr>
              <w:rPr>
                <w:rFonts w:ascii="Arial" w:hAnsi="Arial" w:cs="Arial"/>
                <w:b/>
                <w:bCs/>
                <w:sz w:val="20"/>
                <w:szCs w:val="20"/>
                <w:lang w:val="en-GB"/>
              </w:rPr>
            </w:pPr>
          </w:p>
        </w:tc>
        <w:tc>
          <w:tcPr>
            <w:tcW w:w="2373" w:type="dxa"/>
          </w:tcPr>
          <w:p w14:paraId="16CEE2C2" w14:textId="4BD9DBD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16823C5D" w14:textId="77777777" w:rsidTr="0084671B">
        <w:tc>
          <w:tcPr>
            <w:tcW w:w="4815" w:type="dxa"/>
          </w:tcPr>
          <w:p w14:paraId="7174F355" w14:textId="7FD2DD9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Combined chondroitin sulfate and glucosamine is more efficient than celebrex in reducing serum levels of COLL2-1, a cartilage degradation biomarker, in patients with severe OA: Results from a randomized, double-blind, multicentric clinical trial.</w:t>
            </w:r>
          </w:p>
        </w:tc>
        <w:tc>
          <w:tcPr>
            <w:tcW w:w="3951" w:type="dxa"/>
          </w:tcPr>
          <w:p w14:paraId="2EA80641" w14:textId="578C66B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Henrotin Y, Arden N, Berenbaum F, Blanco FJ, Castillo JR, Conaghan PG, Hick AC, Hochberg MC, Martel-Pelletier J, Monfort J, Moller I, Pap T, Pelletier J-P, Richette P, Sawitzke AD, Du Souich P</w:t>
            </w:r>
          </w:p>
        </w:tc>
        <w:tc>
          <w:tcPr>
            <w:tcW w:w="1095" w:type="dxa"/>
          </w:tcPr>
          <w:p w14:paraId="7F04C78C" w14:textId="404E3C0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2015</w:t>
            </w:r>
          </w:p>
        </w:tc>
        <w:tc>
          <w:tcPr>
            <w:tcW w:w="1758" w:type="dxa"/>
          </w:tcPr>
          <w:p w14:paraId="75684130" w14:textId="77777777" w:rsidR="0084671B" w:rsidRDefault="0084671B" w:rsidP="0084671B">
            <w:pPr>
              <w:rPr>
                <w:rFonts w:ascii="Arial" w:hAnsi="Arial" w:cs="Arial"/>
                <w:b/>
                <w:bCs/>
                <w:sz w:val="20"/>
                <w:szCs w:val="20"/>
                <w:lang w:val="en-GB"/>
              </w:rPr>
            </w:pPr>
          </w:p>
        </w:tc>
        <w:tc>
          <w:tcPr>
            <w:tcW w:w="2373" w:type="dxa"/>
          </w:tcPr>
          <w:p w14:paraId="3B99CE0A" w14:textId="14608F9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14:paraId="6CECF57F" w14:textId="77777777" w:rsidTr="0084671B">
        <w:tc>
          <w:tcPr>
            <w:tcW w:w="4815" w:type="dxa"/>
          </w:tcPr>
          <w:p w14:paraId="1D527063" w14:textId="5771413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Combined chondroitin sulfate and glucosamine is more efficient than celebrex in reducing serum levels of Coll2-1, a cartilage degradation biomarker, in patients with severe OA: Results from a randomized, doubleblind, multicentric clinical trial.</w:t>
            </w:r>
          </w:p>
        </w:tc>
        <w:tc>
          <w:tcPr>
            <w:tcW w:w="3951" w:type="dxa"/>
          </w:tcPr>
          <w:p w14:paraId="7EAE4D11" w14:textId="2EDEA42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Henrotin Y, Arden N, Berenbaum F, Blanco FJ, Castillo JR, Conaghan PG, Hick AC, Hochberg MC, Martel-Pelletier J, Monfort J, Moller I, Pap T, Pelletier J-P, Richette P, Sawitzke AD, Du Souich P</w:t>
            </w:r>
          </w:p>
        </w:tc>
        <w:tc>
          <w:tcPr>
            <w:tcW w:w="1095" w:type="dxa"/>
          </w:tcPr>
          <w:p w14:paraId="7FCF93D6" w14:textId="2E4C649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2015</w:t>
            </w:r>
          </w:p>
        </w:tc>
        <w:tc>
          <w:tcPr>
            <w:tcW w:w="1758" w:type="dxa"/>
          </w:tcPr>
          <w:p w14:paraId="596772F3" w14:textId="77777777" w:rsidR="0084671B" w:rsidRDefault="0084671B" w:rsidP="0084671B">
            <w:pPr>
              <w:rPr>
                <w:rFonts w:ascii="Arial" w:hAnsi="Arial" w:cs="Arial"/>
                <w:b/>
                <w:bCs/>
                <w:sz w:val="20"/>
                <w:szCs w:val="20"/>
                <w:lang w:val="en-GB"/>
              </w:rPr>
            </w:pPr>
          </w:p>
        </w:tc>
        <w:tc>
          <w:tcPr>
            <w:tcW w:w="2373" w:type="dxa"/>
          </w:tcPr>
          <w:p w14:paraId="70B1B801" w14:textId="43BB57A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724E12D4" w14:textId="77777777" w:rsidTr="0084671B">
        <w:tc>
          <w:tcPr>
            <w:tcW w:w="4815" w:type="dxa"/>
          </w:tcPr>
          <w:p w14:paraId="59930225" w14:textId="051DC1D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comparative double-blind trial of ketoprofen in a sustained-release preparation and indomethacin in osteoarthritis of the hip and knee</w:t>
            </w:r>
          </w:p>
        </w:tc>
        <w:tc>
          <w:tcPr>
            <w:tcW w:w="3951" w:type="dxa"/>
          </w:tcPr>
          <w:p w14:paraId="77C62CC4" w14:textId="61A1FC5E"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Gougeon, J.; Tellart, M.O.</w:t>
            </w:r>
          </w:p>
        </w:tc>
        <w:tc>
          <w:tcPr>
            <w:tcW w:w="1095" w:type="dxa"/>
          </w:tcPr>
          <w:p w14:paraId="08B0478E" w14:textId="1E5B82E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1984</w:t>
            </w:r>
          </w:p>
        </w:tc>
        <w:tc>
          <w:tcPr>
            <w:tcW w:w="1758" w:type="dxa"/>
          </w:tcPr>
          <w:p w14:paraId="6DB5B8DF" w14:textId="37B8DEA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Semaine des Hopitaux</w:t>
            </w:r>
          </w:p>
        </w:tc>
        <w:tc>
          <w:tcPr>
            <w:tcW w:w="2373" w:type="dxa"/>
          </w:tcPr>
          <w:p w14:paraId="6F823C3E" w14:textId="4A43BD76"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79E9466E" w14:textId="77777777" w:rsidTr="0084671B">
        <w:tc>
          <w:tcPr>
            <w:tcW w:w="4815" w:type="dxa"/>
          </w:tcPr>
          <w:p w14:paraId="3835360B" w14:textId="23C8223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Glucosamine and chondroitin sulfate in the management of osteoarthritis</w:t>
            </w:r>
          </w:p>
        </w:tc>
        <w:tc>
          <w:tcPr>
            <w:tcW w:w="3951" w:type="dxa"/>
          </w:tcPr>
          <w:p w14:paraId="6C67148B" w14:textId="4FD4B93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DiNubile, N.A.</w:t>
            </w:r>
          </w:p>
        </w:tc>
        <w:tc>
          <w:tcPr>
            <w:tcW w:w="1095" w:type="dxa"/>
          </w:tcPr>
          <w:p w14:paraId="498BFC73" w14:textId="2ED1959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2009</w:t>
            </w:r>
          </w:p>
        </w:tc>
        <w:tc>
          <w:tcPr>
            <w:tcW w:w="1758" w:type="dxa"/>
          </w:tcPr>
          <w:p w14:paraId="1A60AD9C" w14:textId="3965C22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Postgraduate Medicine</w:t>
            </w:r>
          </w:p>
        </w:tc>
        <w:tc>
          <w:tcPr>
            <w:tcW w:w="2373" w:type="dxa"/>
          </w:tcPr>
          <w:p w14:paraId="09F0E762" w14:textId="0FD6911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commentary</w:t>
            </w:r>
          </w:p>
        </w:tc>
      </w:tr>
      <w:tr w:rsidR="0084671B" w14:paraId="1AE8E467" w14:textId="77777777" w:rsidTr="0084671B">
        <w:tc>
          <w:tcPr>
            <w:tcW w:w="4815" w:type="dxa"/>
          </w:tcPr>
          <w:p w14:paraId="053FF422" w14:textId="3588CBF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evaluation of the efficacy and tolerance of SULINDAC in patients with osteoarthritis of the hip and/or knee during 144 weeks: comparative study with aspirin during the first 96 weeks</w:t>
            </w:r>
          </w:p>
        </w:tc>
        <w:tc>
          <w:tcPr>
            <w:tcW w:w="3951" w:type="dxa"/>
          </w:tcPr>
          <w:p w14:paraId="01856DBC" w14:textId="5C0492F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Chahade, W.H.; Josef, H.</w:t>
            </w:r>
          </w:p>
        </w:tc>
        <w:tc>
          <w:tcPr>
            <w:tcW w:w="1095" w:type="dxa"/>
          </w:tcPr>
          <w:p w14:paraId="76CF6D4E" w14:textId="3686492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1978</w:t>
            </w:r>
          </w:p>
        </w:tc>
        <w:tc>
          <w:tcPr>
            <w:tcW w:w="1758" w:type="dxa"/>
          </w:tcPr>
          <w:p w14:paraId="0EA14965" w14:textId="58B1EF1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European Journal of Rheumatology and Inflammation</w:t>
            </w:r>
          </w:p>
        </w:tc>
        <w:tc>
          <w:tcPr>
            <w:tcW w:w="2373" w:type="dxa"/>
          </w:tcPr>
          <w:p w14:paraId="5C8950AD" w14:textId="3D2EBBA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outcomes</w:t>
            </w:r>
          </w:p>
        </w:tc>
      </w:tr>
      <w:tr w:rsidR="0084671B" w14:paraId="40445BB3" w14:textId="77777777" w:rsidTr="0084671B">
        <w:tc>
          <w:tcPr>
            <w:tcW w:w="4815" w:type="dxa"/>
          </w:tcPr>
          <w:p w14:paraId="738EF7F1" w14:textId="44E184C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Do intra-articular (IA) steroid injections relieve pain and improve outcomes beyond two weeks for patients with osteoarthritis (OA) of the knee.</w:t>
            </w:r>
          </w:p>
        </w:tc>
        <w:tc>
          <w:tcPr>
            <w:tcW w:w="3951" w:type="dxa"/>
          </w:tcPr>
          <w:p w14:paraId="4ECABF0D" w14:textId="1AB0A0D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Canillas, M.; Kandavanam, R.; Reilly, K.</w:t>
            </w:r>
          </w:p>
        </w:tc>
        <w:tc>
          <w:tcPr>
            <w:tcW w:w="1095" w:type="dxa"/>
          </w:tcPr>
          <w:p w14:paraId="53104225" w14:textId="05170EF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2011</w:t>
            </w:r>
          </w:p>
        </w:tc>
        <w:tc>
          <w:tcPr>
            <w:tcW w:w="1758" w:type="dxa"/>
          </w:tcPr>
          <w:p w14:paraId="31C658EA" w14:textId="60A57EF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Journal of the Oklahoma State Medical Association</w:t>
            </w:r>
          </w:p>
        </w:tc>
        <w:tc>
          <w:tcPr>
            <w:tcW w:w="2373" w:type="dxa"/>
          </w:tcPr>
          <w:p w14:paraId="214DC9D3" w14:textId="480542F1"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commentary</w:t>
            </w:r>
          </w:p>
        </w:tc>
      </w:tr>
      <w:tr w:rsidR="0084671B" w14:paraId="5D6123E3" w14:textId="77777777" w:rsidTr="0084671B">
        <w:tc>
          <w:tcPr>
            <w:tcW w:w="4815" w:type="dxa"/>
          </w:tcPr>
          <w:p w14:paraId="197EB6C6" w14:textId="0CE5F6A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A multicenter study of nabumetone and diclofenac SR in patients with osteoarthritis.</w:t>
            </w:r>
          </w:p>
        </w:tc>
        <w:tc>
          <w:tcPr>
            <w:tcW w:w="3951" w:type="dxa"/>
          </w:tcPr>
          <w:p w14:paraId="2D368E1E" w14:textId="6D3391F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Bellamy, N; Bensen, W G; Beaulieu, A; Siminovitch, K A; Kraag, G R; Lussier, A; Ahmad, S; Khanna, V N; Davis, P; Bell, M J</w:t>
            </w:r>
          </w:p>
        </w:tc>
        <w:tc>
          <w:tcPr>
            <w:tcW w:w="1095" w:type="dxa"/>
          </w:tcPr>
          <w:p w14:paraId="20F6D39E" w14:textId="6E72DCB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1995</w:t>
            </w:r>
          </w:p>
        </w:tc>
        <w:tc>
          <w:tcPr>
            <w:tcW w:w="1758" w:type="dxa"/>
          </w:tcPr>
          <w:p w14:paraId="38210926" w14:textId="478B00D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The Journal of rheumatology</w:t>
            </w:r>
          </w:p>
        </w:tc>
        <w:tc>
          <w:tcPr>
            <w:tcW w:w="2373" w:type="dxa"/>
          </w:tcPr>
          <w:p w14:paraId="6668CBD9" w14:textId="3AAB611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patient population</w:t>
            </w:r>
          </w:p>
        </w:tc>
      </w:tr>
      <w:tr w:rsidR="0084671B" w14:paraId="1480FADE" w14:textId="77777777" w:rsidTr="0084671B">
        <w:tc>
          <w:tcPr>
            <w:tcW w:w="4815" w:type="dxa"/>
          </w:tcPr>
          <w:p w14:paraId="72AAB66B" w14:textId="5BB973C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comparison of orgotein and methylprednisolone acetate in the treatment of osteoarthrosis of the knee joint.</w:t>
            </w:r>
          </w:p>
        </w:tc>
        <w:tc>
          <w:tcPr>
            <w:tcW w:w="3951" w:type="dxa"/>
          </w:tcPr>
          <w:p w14:paraId="1A2529D9" w14:textId="749C1FE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Gammer, W; Broback, L G</w:t>
            </w:r>
          </w:p>
        </w:tc>
        <w:tc>
          <w:tcPr>
            <w:tcW w:w="1095" w:type="dxa"/>
          </w:tcPr>
          <w:p w14:paraId="1EC330CB" w14:textId="248146C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1984</w:t>
            </w:r>
          </w:p>
        </w:tc>
        <w:tc>
          <w:tcPr>
            <w:tcW w:w="1758" w:type="dxa"/>
          </w:tcPr>
          <w:p w14:paraId="41338FBF" w14:textId="0E85E47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Scandinavian journal of rheumatology</w:t>
            </w:r>
          </w:p>
        </w:tc>
        <w:tc>
          <w:tcPr>
            <w:tcW w:w="2373" w:type="dxa"/>
          </w:tcPr>
          <w:p w14:paraId="721E6E79" w14:textId="41997ED8"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rsidRPr="00252F1D" w14:paraId="4CAB37DB" w14:textId="77777777" w:rsidTr="0084671B">
        <w:tc>
          <w:tcPr>
            <w:tcW w:w="4815" w:type="dxa"/>
          </w:tcPr>
          <w:p w14:paraId="3324C122" w14:textId="38A3FC5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study on the effects of diclofenac sodium and etoricoxib in the treatment of osteoarthritis.</w:t>
            </w:r>
          </w:p>
        </w:tc>
        <w:tc>
          <w:tcPr>
            <w:tcW w:w="3951" w:type="dxa"/>
          </w:tcPr>
          <w:p w14:paraId="24120ED1" w14:textId="061531B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Ghosh, S; Paul, S; Das, N; Bhattacharyya, T K</w:t>
            </w:r>
          </w:p>
        </w:tc>
        <w:tc>
          <w:tcPr>
            <w:tcW w:w="1095" w:type="dxa"/>
          </w:tcPr>
          <w:p w14:paraId="63CF3D1E" w14:textId="7621CAB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2007</w:t>
            </w:r>
          </w:p>
        </w:tc>
        <w:tc>
          <w:tcPr>
            <w:tcW w:w="1758" w:type="dxa"/>
          </w:tcPr>
          <w:p w14:paraId="206895E5" w14:textId="096BC5E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Journal of the Indian Medical Association</w:t>
            </w:r>
          </w:p>
        </w:tc>
        <w:tc>
          <w:tcPr>
            <w:tcW w:w="2373" w:type="dxa"/>
          </w:tcPr>
          <w:p w14:paraId="674B3E8B" w14:textId="0692D6C1"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148E4BE8" w14:textId="77777777" w:rsidTr="0084671B">
        <w:tc>
          <w:tcPr>
            <w:tcW w:w="4815" w:type="dxa"/>
          </w:tcPr>
          <w:p w14:paraId="5F8AB2D6" w14:textId="4A455C5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double-blind crossover study of benoxaprofen and indomethacin in outpatients suffering from osteoarthrosis of knees.</w:t>
            </w:r>
          </w:p>
        </w:tc>
        <w:tc>
          <w:tcPr>
            <w:tcW w:w="3951" w:type="dxa"/>
          </w:tcPr>
          <w:p w14:paraId="66FB9342" w14:textId="61F35DB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Franchimont, P; Mailleux, E; Hauwaert, C; Halleux, R; Heymen, G</w:t>
            </w:r>
          </w:p>
        </w:tc>
        <w:tc>
          <w:tcPr>
            <w:tcW w:w="1095" w:type="dxa"/>
          </w:tcPr>
          <w:p w14:paraId="5C4D2ACF" w14:textId="505F7B4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1982</w:t>
            </w:r>
          </w:p>
        </w:tc>
        <w:tc>
          <w:tcPr>
            <w:tcW w:w="1758" w:type="dxa"/>
          </w:tcPr>
          <w:p w14:paraId="17702D41" w14:textId="7A09B41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European journal of rheumatology and inflammation</w:t>
            </w:r>
          </w:p>
        </w:tc>
        <w:tc>
          <w:tcPr>
            <w:tcW w:w="2373" w:type="dxa"/>
          </w:tcPr>
          <w:p w14:paraId="4584D939" w14:textId="614F2AB3"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7D105B20" w14:textId="77777777" w:rsidTr="0084671B">
        <w:tc>
          <w:tcPr>
            <w:tcW w:w="4815" w:type="dxa"/>
          </w:tcPr>
          <w:p w14:paraId="3202C1D9" w14:textId="35260C8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double-blind, multicentric study of etodolac 300 mg twice daily verus 200 mg three times daily in patients with osteoarthritis of the knee</w:t>
            </w:r>
          </w:p>
        </w:tc>
        <w:tc>
          <w:tcPr>
            <w:tcW w:w="3951" w:type="dxa"/>
          </w:tcPr>
          <w:p w14:paraId="2ED36F02" w14:textId="0FBBD91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Dreiser, R.L.; Dropsy, R.</w:t>
            </w:r>
          </w:p>
        </w:tc>
        <w:tc>
          <w:tcPr>
            <w:tcW w:w="1095" w:type="dxa"/>
          </w:tcPr>
          <w:p w14:paraId="00567D04" w14:textId="3484CBE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1992</w:t>
            </w:r>
          </w:p>
        </w:tc>
        <w:tc>
          <w:tcPr>
            <w:tcW w:w="1758" w:type="dxa"/>
          </w:tcPr>
          <w:p w14:paraId="1106BB67" w14:textId="658E663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Today's Therapeutic Trends</w:t>
            </w:r>
          </w:p>
        </w:tc>
        <w:tc>
          <w:tcPr>
            <w:tcW w:w="2373" w:type="dxa"/>
          </w:tcPr>
          <w:p w14:paraId="4A5013B1" w14:textId="22F4CA1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647203A1" w14:textId="77777777" w:rsidTr="0084671B">
        <w:tc>
          <w:tcPr>
            <w:tcW w:w="4815" w:type="dxa"/>
          </w:tcPr>
          <w:p w14:paraId="7784C745" w14:textId="23F89F7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Double-blind controlled evaluation of benoxaprofen for treatment of coxarthrosis and gonarthrosis</w:t>
            </w:r>
          </w:p>
        </w:tc>
        <w:tc>
          <w:tcPr>
            <w:tcW w:w="3951" w:type="dxa"/>
          </w:tcPr>
          <w:p w14:paraId="3BDD8A98" w14:textId="140AF91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De Blecourt, J.J.</w:t>
            </w:r>
          </w:p>
        </w:tc>
        <w:tc>
          <w:tcPr>
            <w:tcW w:w="1095" w:type="dxa"/>
          </w:tcPr>
          <w:p w14:paraId="3D1AABAE" w14:textId="0402C52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1981</w:t>
            </w:r>
          </w:p>
        </w:tc>
        <w:tc>
          <w:tcPr>
            <w:tcW w:w="1758" w:type="dxa"/>
          </w:tcPr>
          <w:p w14:paraId="43391079" w14:textId="7952C5F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European Journal of Rheumatology and Inflammation</w:t>
            </w:r>
          </w:p>
        </w:tc>
        <w:tc>
          <w:tcPr>
            <w:tcW w:w="2373" w:type="dxa"/>
          </w:tcPr>
          <w:p w14:paraId="7F39B8C3" w14:textId="7782135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380446AC" w14:textId="77777777" w:rsidTr="0084671B">
        <w:tc>
          <w:tcPr>
            <w:tcW w:w="4815" w:type="dxa"/>
          </w:tcPr>
          <w:p w14:paraId="05021BD2" w14:textId="542CAC7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Tenoxicam or diclofenac in the treatment of gonarthrosis</w:t>
            </w:r>
          </w:p>
        </w:tc>
        <w:tc>
          <w:tcPr>
            <w:tcW w:w="3951" w:type="dxa"/>
          </w:tcPr>
          <w:p w14:paraId="3CF20315" w14:textId="50E17CE4"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Chahade, W.H.; Marques, G.C.</w:t>
            </w:r>
          </w:p>
        </w:tc>
        <w:tc>
          <w:tcPr>
            <w:tcW w:w="1095" w:type="dxa"/>
          </w:tcPr>
          <w:p w14:paraId="2B6D1485" w14:textId="758115F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1987</w:t>
            </w:r>
          </w:p>
        </w:tc>
        <w:tc>
          <w:tcPr>
            <w:tcW w:w="1758" w:type="dxa"/>
          </w:tcPr>
          <w:p w14:paraId="12B90EA2" w14:textId="7435589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European Journal of Rheumatology and Inflammation</w:t>
            </w:r>
          </w:p>
        </w:tc>
        <w:tc>
          <w:tcPr>
            <w:tcW w:w="2373" w:type="dxa"/>
          </w:tcPr>
          <w:p w14:paraId="607307EF" w14:textId="3D954073"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14:paraId="0C8EC8EA" w14:textId="77777777" w:rsidTr="0084671B">
        <w:tc>
          <w:tcPr>
            <w:tcW w:w="4815" w:type="dxa"/>
          </w:tcPr>
          <w:p w14:paraId="17180F13" w14:textId="21D6454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SULINDAC in the treatment of osteoarthritis: a double-blind 8-week study comparing SULINDAC with ibuprofen and 96 weeks of long term therapy</w:t>
            </w:r>
          </w:p>
        </w:tc>
        <w:tc>
          <w:tcPr>
            <w:tcW w:w="3951" w:type="dxa"/>
          </w:tcPr>
          <w:p w14:paraId="11071689" w14:textId="342CBC4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Andrade, L.; Fernandez, A.</w:t>
            </w:r>
          </w:p>
        </w:tc>
        <w:tc>
          <w:tcPr>
            <w:tcW w:w="1095" w:type="dxa"/>
          </w:tcPr>
          <w:p w14:paraId="57F835F3" w14:textId="333F3FC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1978</w:t>
            </w:r>
          </w:p>
        </w:tc>
        <w:tc>
          <w:tcPr>
            <w:tcW w:w="1758" w:type="dxa"/>
          </w:tcPr>
          <w:p w14:paraId="683A7D3F" w14:textId="1C7E0B7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European Journal of Rheumatology and Inflammation</w:t>
            </w:r>
          </w:p>
        </w:tc>
        <w:tc>
          <w:tcPr>
            <w:tcW w:w="2373" w:type="dxa"/>
          </w:tcPr>
          <w:p w14:paraId="26E3CF27" w14:textId="2A8B604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outcomes</w:t>
            </w:r>
          </w:p>
        </w:tc>
      </w:tr>
      <w:tr w:rsidR="0084671B" w:rsidRPr="00252F1D" w14:paraId="467D8B98" w14:textId="77777777" w:rsidTr="0084671B">
        <w:tc>
          <w:tcPr>
            <w:tcW w:w="4815" w:type="dxa"/>
          </w:tcPr>
          <w:p w14:paraId="5CBE5FE5" w14:textId="3FF846A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Evaluation of acetaminophen in the management of osteoarthritis of the knee</w:t>
            </w:r>
          </w:p>
        </w:tc>
        <w:tc>
          <w:tcPr>
            <w:tcW w:w="3951" w:type="dxa"/>
          </w:tcPr>
          <w:p w14:paraId="0E71B873" w14:textId="32BC230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Amadio Jr., P.; Cummings, D.M.</w:t>
            </w:r>
          </w:p>
        </w:tc>
        <w:tc>
          <w:tcPr>
            <w:tcW w:w="1095" w:type="dxa"/>
          </w:tcPr>
          <w:p w14:paraId="3BBDC89A" w14:textId="7697B42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1983</w:t>
            </w:r>
          </w:p>
        </w:tc>
        <w:tc>
          <w:tcPr>
            <w:tcW w:w="1758" w:type="dxa"/>
          </w:tcPr>
          <w:p w14:paraId="7AC597F4" w14:textId="34E63CD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Current Therapeutic Research - Clinical and Experimental</w:t>
            </w:r>
          </w:p>
        </w:tc>
        <w:tc>
          <w:tcPr>
            <w:tcW w:w="2373" w:type="dxa"/>
          </w:tcPr>
          <w:p w14:paraId="09636DF2" w14:textId="7FB9D34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022B5821" w14:textId="77777777" w:rsidTr="0084671B">
        <w:tc>
          <w:tcPr>
            <w:tcW w:w="4815" w:type="dxa"/>
          </w:tcPr>
          <w:p w14:paraId="59612647" w14:textId="16EA772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comparison of triamcinolonehexacetonide and betamethasone in the treatment of osteoarthrosis of the knee-joint.</w:t>
            </w:r>
          </w:p>
        </w:tc>
        <w:tc>
          <w:tcPr>
            <w:tcW w:w="3951" w:type="dxa"/>
          </w:tcPr>
          <w:p w14:paraId="7F064662" w14:textId="3BEAB7E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Valtonen, E J</w:t>
            </w:r>
          </w:p>
        </w:tc>
        <w:tc>
          <w:tcPr>
            <w:tcW w:w="1095" w:type="dxa"/>
          </w:tcPr>
          <w:p w14:paraId="2EC72094" w14:textId="369E592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1981</w:t>
            </w:r>
          </w:p>
        </w:tc>
        <w:tc>
          <w:tcPr>
            <w:tcW w:w="1758" w:type="dxa"/>
          </w:tcPr>
          <w:p w14:paraId="283994B9" w14:textId="73D03D5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Scandinavian journal of rheumatology. Supplement</w:t>
            </w:r>
          </w:p>
        </w:tc>
        <w:tc>
          <w:tcPr>
            <w:tcW w:w="2373" w:type="dxa"/>
          </w:tcPr>
          <w:p w14:paraId="440B5792" w14:textId="16CED1B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50F637DD" w14:textId="77777777" w:rsidTr="0084671B">
        <w:tc>
          <w:tcPr>
            <w:tcW w:w="4815" w:type="dxa"/>
          </w:tcPr>
          <w:p w14:paraId="53E0A688" w14:textId="1750CE9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Double-blind, parallel-group evaluation of the safety and efficacy of etodolac compared with diclofenac in patients with osteoarthritis of the knee</w:t>
            </w:r>
          </w:p>
        </w:tc>
        <w:tc>
          <w:tcPr>
            <w:tcW w:w="3951" w:type="dxa"/>
          </w:tcPr>
          <w:p w14:paraId="6C618041" w14:textId="1211968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Eisenkolb, T.; Cawley, M.I.D.; Dean, S.; Wagenhauser, F.</w:t>
            </w:r>
          </w:p>
        </w:tc>
        <w:tc>
          <w:tcPr>
            <w:tcW w:w="1095" w:type="dxa"/>
          </w:tcPr>
          <w:p w14:paraId="73822E14" w14:textId="47C76FB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1993</w:t>
            </w:r>
          </w:p>
        </w:tc>
        <w:tc>
          <w:tcPr>
            <w:tcW w:w="1758" w:type="dxa"/>
          </w:tcPr>
          <w:p w14:paraId="642EA7D4" w14:textId="4915705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Acta Therapeutica</w:t>
            </w:r>
          </w:p>
        </w:tc>
        <w:tc>
          <w:tcPr>
            <w:tcW w:w="2373" w:type="dxa"/>
          </w:tcPr>
          <w:p w14:paraId="6CE965E0" w14:textId="56835733"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7044729C" w14:textId="77777777" w:rsidTr="0084671B">
        <w:tc>
          <w:tcPr>
            <w:tcW w:w="4815" w:type="dxa"/>
          </w:tcPr>
          <w:p w14:paraId="10C9EBEF" w14:textId="07B5361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Role of vitamin D in osteoarthritis knee: A six month double blind, randomized, placebo control trial.</w:t>
            </w:r>
          </w:p>
        </w:tc>
        <w:tc>
          <w:tcPr>
            <w:tcW w:w="3951" w:type="dxa"/>
          </w:tcPr>
          <w:p w14:paraId="2D6CF0B7" w14:textId="4DE7EB4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Sanghi D, Srivastava RN</w:t>
            </w:r>
          </w:p>
        </w:tc>
        <w:tc>
          <w:tcPr>
            <w:tcW w:w="1095" w:type="dxa"/>
          </w:tcPr>
          <w:p w14:paraId="475B5B7F" w14:textId="553A49C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2013</w:t>
            </w:r>
          </w:p>
        </w:tc>
        <w:tc>
          <w:tcPr>
            <w:tcW w:w="1758" w:type="dxa"/>
          </w:tcPr>
          <w:p w14:paraId="16D1E7C3" w14:textId="77777777" w:rsidR="0084671B" w:rsidRDefault="0084671B" w:rsidP="0084671B">
            <w:pPr>
              <w:rPr>
                <w:rFonts w:ascii="Arial" w:hAnsi="Arial" w:cs="Arial"/>
                <w:b/>
                <w:bCs/>
                <w:sz w:val="20"/>
                <w:szCs w:val="20"/>
                <w:lang w:val="en-GB"/>
              </w:rPr>
            </w:pPr>
          </w:p>
        </w:tc>
        <w:tc>
          <w:tcPr>
            <w:tcW w:w="2373" w:type="dxa"/>
          </w:tcPr>
          <w:p w14:paraId="0DB4E867" w14:textId="382E281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rsidRPr="00252F1D" w14:paraId="4A4EAFE3" w14:textId="77777777" w:rsidTr="0084671B">
        <w:tc>
          <w:tcPr>
            <w:tcW w:w="4815" w:type="dxa"/>
          </w:tcPr>
          <w:p w14:paraId="0CEDB78C" w14:textId="5DC50CC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Vitamin d receptor (VDR) gene polymorphisms modulate the clinico-radiological response to vitamin d supplementation in knee osteoarthritis.</w:t>
            </w:r>
          </w:p>
        </w:tc>
        <w:tc>
          <w:tcPr>
            <w:tcW w:w="3951" w:type="dxa"/>
          </w:tcPr>
          <w:p w14:paraId="16A7267E" w14:textId="6B87923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Sanghi D, Mishra A, Singh A, Natu SM, Agarwal S, Srivastava RN</w:t>
            </w:r>
          </w:p>
        </w:tc>
        <w:tc>
          <w:tcPr>
            <w:tcW w:w="1095" w:type="dxa"/>
          </w:tcPr>
          <w:p w14:paraId="257C5ED5" w14:textId="4B005D9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2013</w:t>
            </w:r>
          </w:p>
        </w:tc>
        <w:tc>
          <w:tcPr>
            <w:tcW w:w="1758" w:type="dxa"/>
          </w:tcPr>
          <w:p w14:paraId="2F4EC78E" w14:textId="77777777" w:rsidR="0084671B" w:rsidRDefault="0084671B" w:rsidP="0084671B">
            <w:pPr>
              <w:rPr>
                <w:rFonts w:ascii="Arial" w:hAnsi="Arial" w:cs="Arial"/>
                <w:b/>
                <w:bCs/>
                <w:sz w:val="20"/>
                <w:szCs w:val="20"/>
                <w:lang w:val="en-GB"/>
              </w:rPr>
            </w:pPr>
          </w:p>
        </w:tc>
        <w:tc>
          <w:tcPr>
            <w:tcW w:w="2373" w:type="dxa"/>
          </w:tcPr>
          <w:p w14:paraId="7C4A5292" w14:textId="6812F9A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 xml:space="preserve">Exclusion reason: Not enough information </w:t>
            </w:r>
          </w:p>
        </w:tc>
      </w:tr>
      <w:tr w:rsidR="0084671B" w14:paraId="3D8D57AD" w14:textId="77777777" w:rsidTr="0084671B">
        <w:tc>
          <w:tcPr>
            <w:tcW w:w="4815" w:type="dxa"/>
          </w:tcPr>
          <w:p w14:paraId="47BE7340" w14:textId="3B00D51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pragmatic trial of oxaceprol 200 mg in the long-term treatment of lower limb osteoarthritis</w:t>
            </w:r>
          </w:p>
        </w:tc>
        <w:tc>
          <w:tcPr>
            <w:tcW w:w="3951" w:type="dxa"/>
          </w:tcPr>
          <w:p w14:paraId="70584BA5" w14:textId="29FC71A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Juvin, E.</w:t>
            </w:r>
          </w:p>
        </w:tc>
        <w:tc>
          <w:tcPr>
            <w:tcW w:w="1095" w:type="dxa"/>
          </w:tcPr>
          <w:p w14:paraId="065ADA47" w14:textId="54A115B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1998</w:t>
            </w:r>
          </w:p>
        </w:tc>
        <w:tc>
          <w:tcPr>
            <w:tcW w:w="1758" w:type="dxa"/>
          </w:tcPr>
          <w:p w14:paraId="66748778" w14:textId="42CC007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Semaine des Hopitaux</w:t>
            </w:r>
          </w:p>
        </w:tc>
        <w:tc>
          <w:tcPr>
            <w:tcW w:w="2373" w:type="dxa"/>
          </w:tcPr>
          <w:p w14:paraId="1F7DF0D8" w14:textId="273A213B"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comparator</w:t>
            </w:r>
          </w:p>
        </w:tc>
      </w:tr>
      <w:tr w:rsidR="0084671B" w14:paraId="7FBB15DF" w14:textId="77777777" w:rsidTr="0084671B">
        <w:tc>
          <w:tcPr>
            <w:tcW w:w="4815" w:type="dxa"/>
          </w:tcPr>
          <w:p w14:paraId="72694D14" w14:textId="7C19AC0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Pharmaceutical-grade Chondroitin sulfate is as effective as celecoxib and superior to placebo in symptomatic knee osteoarthritis: the ChONdroitin versus CElecoxib versus Placebo Trial (CONCEPT)</w:t>
            </w:r>
          </w:p>
        </w:tc>
        <w:tc>
          <w:tcPr>
            <w:tcW w:w="3951" w:type="dxa"/>
          </w:tcPr>
          <w:p w14:paraId="4CBEF22C" w14:textId="7FE948FA"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Reginster J-Y, Dudler J, Blicharski T, Pavelka K</w:t>
            </w:r>
          </w:p>
        </w:tc>
        <w:tc>
          <w:tcPr>
            <w:tcW w:w="1095" w:type="dxa"/>
          </w:tcPr>
          <w:p w14:paraId="545D7034" w14:textId="33A1A71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2017</w:t>
            </w:r>
          </w:p>
        </w:tc>
        <w:tc>
          <w:tcPr>
            <w:tcW w:w="1758" w:type="dxa"/>
          </w:tcPr>
          <w:p w14:paraId="1FA65C26" w14:textId="77777777" w:rsidR="0084671B" w:rsidRDefault="0084671B" w:rsidP="0084671B">
            <w:pPr>
              <w:rPr>
                <w:rFonts w:ascii="Arial" w:hAnsi="Arial" w:cs="Arial"/>
                <w:b/>
                <w:bCs/>
                <w:sz w:val="20"/>
                <w:szCs w:val="20"/>
                <w:lang w:val="en-GB"/>
              </w:rPr>
            </w:pPr>
          </w:p>
        </w:tc>
        <w:tc>
          <w:tcPr>
            <w:tcW w:w="2373" w:type="dxa"/>
          </w:tcPr>
          <w:p w14:paraId="4C29EECD" w14:textId="5B94ECF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16415F51" w14:textId="77777777" w:rsidTr="0084671B">
        <w:tc>
          <w:tcPr>
            <w:tcW w:w="4815" w:type="dxa"/>
          </w:tcPr>
          <w:p w14:paraId="4742FF54" w14:textId="7B5362A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Pharmaceutical grade chondroitin sulfate improves knee osteoarthritis symptoms more than placebo and as much as celecoxib: results of the chondroitin vs celecoxib vs placebo trial (CONCEPT)</w:t>
            </w:r>
          </w:p>
        </w:tc>
        <w:tc>
          <w:tcPr>
            <w:tcW w:w="3951" w:type="dxa"/>
          </w:tcPr>
          <w:p w14:paraId="704A01F8" w14:textId="48FC468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Reginster J-Y</w:t>
            </w:r>
          </w:p>
        </w:tc>
        <w:tc>
          <w:tcPr>
            <w:tcW w:w="1095" w:type="dxa"/>
          </w:tcPr>
          <w:p w14:paraId="623A79BB" w14:textId="1129B8B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2016</w:t>
            </w:r>
          </w:p>
        </w:tc>
        <w:tc>
          <w:tcPr>
            <w:tcW w:w="1758" w:type="dxa"/>
          </w:tcPr>
          <w:p w14:paraId="785CF7D6" w14:textId="08A086B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Pharmaceutical grade chondroitin sulfate improves knee osteoarthritis symptoms more than placebo and as much as celecoxib: results of the chondroitin vs celecoxib vs placebo trial (CONCEPT)</w:t>
            </w:r>
          </w:p>
        </w:tc>
        <w:tc>
          <w:tcPr>
            <w:tcW w:w="2373" w:type="dxa"/>
          </w:tcPr>
          <w:p w14:paraId="219CC514" w14:textId="115C2D5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rsidRPr="00252F1D" w14:paraId="66C73EA3" w14:textId="77777777" w:rsidTr="0084671B">
        <w:tc>
          <w:tcPr>
            <w:tcW w:w="4815" w:type="dxa"/>
          </w:tcPr>
          <w:p w14:paraId="64F2721A" w14:textId="184316F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Osteoarthritis of the knee refractory to standard care: Comparison of intraarticular hylan G-F 20 with triamcinolone acetonide. </w:t>
            </w:r>
            <w:r w:rsidRPr="000B369D">
              <w:rPr>
                <w:rFonts w:ascii="Arial" w:eastAsia="Times New Roman" w:hAnsi="Arial" w:cs="Arial"/>
                <w:color w:val="000000"/>
                <w:sz w:val="20"/>
                <w:szCs w:val="20"/>
                <w:lang w:eastAsia="fr-BE"/>
              </w:rPr>
              <w:t>A real life study in a developing country</w:t>
            </w:r>
          </w:p>
        </w:tc>
        <w:tc>
          <w:tcPr>
            <w:tcW w:w="3951" w:type="dxa"/>
          </w:tcPr>
          <w:p w14:paraId="44103AD1" w14:textId="60D44DA7" w:rsidR="0084671B" w:rsidRDefault="0084671B" w:rsidP="0084671B">
            <w:pPr>
              <w:rPr>
                <w:rFonts w:ascii="Arial" w:hAnsi="Arial" w:cs="Arial"/>
                <w:b/>
                <w:bCs/>
                <w:sz w:val="20"/>
                <w:szCs w:val="20"/>
                <w:lang w:val="en-GB"/>
              </w:rPr>
            </w:pPr>
            <w:r w:rsidRPr="00F20D3D">
              <w:rPr>
                <w:rFonts w:ascii="Arial" w:eastAsia="Times New Roman" w:hAnsi="Arial" w:cs="Arial"/>
                <w:color w:val="000000"/>
                <w:sz w:val="20"/>
                <w:szCs w:val="20"/>
                <w:lang w:val="en-GB" w:eastAsia="fr-BE"/>
              </w:rPr>
              <w:t>Razzaque, M.A.; Islam, M.N.; Devnath, N.; Ferdous, N.; Nazrul, F.B.; Rasker, J.J.</w:t>
            </w:r>
          </w:p>
        </w:tc>
        <w:tc>
          <w:tcPr>
            <w:tcW w:w="1095" w:type="dxa"/>
          </w:tcPr>
          <w:p w14:paraId="3DAD48EE" w14:textId="4BB3F6A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3BD3A69B" w14:textId="520A4F9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Current Orthopaedic Practice</w:t>
            </w:r>
          </w:p>
        </w:tc>
        <w:tc>
          <w:tcPr>
            <w:tcW w:w="2373" w:type="dxa"/>
          </w:tcPr>
          <w:p w14:paraId="41AB6179" w14:textId="709C356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14:paraId="25BBE038" w14:textId="77777777" w:rsidTr="0084671B">
        <w:tc>
          <w:tcPr>
            <w:tcW w:w="4815" w:type="dxa"/>
          </w:tcPr>
          <w:p w14:paraId="04BAF1B3" w14:textId="33B9EA0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Significant pain reduction with oral methotrexate in knee osteoarthritis; results from a randomised controlled phase III trial of treatment effectiveness</w:t>
            </w:r>
          </w:p>
        </w:tc>
        <w:tc>
          <w:tcPr>
            <w:tcW w:w="3951" w:type="dxa"/>
          </w:tcPr>
          <w:p w14:paraId="12D70485" w14:textId="7E53727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Kingsbury SR, Tharmanathan P, Keding A, Corbacho B, Watt FE, Scott DL, Roddy E, Birrell F, Arden NK, Arundel C, Ronaldson S, Vernon L, Hewitt C, Doherty M, Torgerson D, Conaghan PG</w:t>
            </w:r>
          </w:p>
        </w:tc>
        <w:tc>
          <w:tcPr>
            <w:tcW w:w="1095" w:type="dxa"/>
          </w:tcPr>
          <w:p w14:paraId="5DD52766" w14:textId="625A54D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55556006" w14:textId="77777777" w:rsidR="0084671B" w:rsidRDefault="0084671B" w:rsidP="0084671B">
            <w:pPr>
              <w:rPr>
                <w:rFonts w:ascii="Arial" w:hAnsi="Arial" w:cs="Arial"/>
                <w:b/>
                <w:bCs/>
                <w:sz w:val="20"/>
                <w:szCs w:val="20"/>
                <w:lang w:val="en-GB"/>
              </w:rPr>
            </w:pPr>
          </w:p>
        </w:tc>
        <w:tc>
          <w:tcPr>
            <w:tcW w:w="2373" w:type="dxa"/>
          </w:tcPr>
          <w:p w14:paraId="4751BC91" w14:textId="3E754BE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rsidRPr="00252F1D" w14:paraId="69D83484" w14:textId="77777777" w:rsidTr="0084671B">
        <w:tc>
          <w:tcPr>
            <w:tcW w:w="4815" w:type="dxa"/>
          </w:tcPr>
          <w:p w14:paraId="33957A25" w14:textId="34EE365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prospective, multi-center, randomized, double-blind feasibility study to evaluate the safety and performance of hydros joint therapy and hydros-ta joint therapy for management of pain associated with osteoarthritis in the knee.</w:t>
            </w:r>
          </w:p>
        </w:tc>
        <w:tc>
          <w:tcPr>
            <w:tcW w:w="3951" w:type="dxa"/>
          </w:tcPr>
          <w:p w14:paraId="087BA0F5" w14:textId="31A845E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Petrella RJ, Eamans P, Alleyne J, Maroney M</w:t>
            </w:r>
          </w:p>
        </w:tc>
        <w:tc>
          <w:tcPr>
            <w:tcW w:w="1095" w:type="dxa"/>
          </w:tcPr>
          <w:p w14:paraId="09DA7D5F" w14:textId="1F8EB0F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2012</w:t>
            </w:r>
          </w:p>
        </w:tc>
        <w:tc>
          <w:tcPr>
            <w:tcW w:w="1758" w:type="dxa"/>
          </w:tcPr>
          <w:p w14:paraId="1E0858FD" w14:textId="77777777" w:rsidR="0084671B" w:rsidRDefault="0084671B" w:rsidP="0084671B">
            <w:pPr>
              <w:rPr>
                <w:rFonts w:ascii="Arial" w:hAnsi="Arial" w:cs="Arial"/>
                <w:b/>
                <w:bCs/>
                <w:sz w:val="20"/>
                <w:szCs w:val="20"/>
                <w:lang w:val="en-GB"/>
              </w:rPr>
            </w:pPr>
          </w:p>
        </w:tc>
        <w:tc>
          <w:tcPr>
            <w:tcW w:w="2373" w:type="dxa"/>
          </w:tcPr>
          <w:p w14:paraId="414AB395" w14:textId="4028E6B3"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rsidRPr="00252F1D" w14:paraId="6F553389" w14:textId="77777777" w:rsidTr="0084671B">
        <w:tc>
          <w:tcPr>
            <w:tcW w:w="4815" w:type="dxa"/>
          </w:tcPr>
          <w:p w14:paraId="2663A08B" w14:textId="7C27467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Treatment with chondroitin sulfate reduces cartilage volume loss in knee oa patients assessed by MRI: a randomized, double-blind, placebo controlled pilot study</w:t>
            </w:r>
          </w:p>
        </w:tc>
        <w:tc>
          <w:tcPr>
            <w:tcW w:w="3951" w:type="dxa"/>
          </w:tcPr>
          <w:p w14:paraId="5712C03F" w14:textId="09C7B44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Pelletier JP, Wildi LM, Raynauld JP, Beaulieu AD, Bessette L, Morin F, Dorais M, Martel-Pelletier J</w:t>
            </w:r>
          </w:p>
        </w:tc>
        <w:tc>
          <w:tcPr>
            <w:tcW w:w="1095" w:type="dxa"/>
          </w:tcPr>
          <w:p w14:paraId="0566233B" w14:textId="4D5BC84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2010</w:t>
            </w:r>
          </w:p>
        </w:tc>
        <w:tc>
          <w:tcPr>
            <w:tcW w:w="1758" w:type="dxa"/>
          </w:tcPr>
          <w:p w14:paraId="3A6248F4" w14:textId="77777777" w:rsidR="0084671B" w:rsidRDefault="0084671B" w:rsidP="0084671B">
            <w:pPr>
              <w:rPr>
                <w:rFonts w:ascii="Arial" w:hAnsi="Arial" w:cs="Arial"/>
                <w:b/>
                <w:bCs/>
                <w:sz w:val="20"/>
                <w:szCs w:val="20"/>
                <w:lang w:val="en-GB"/>
              </w:rPr>
            </w:pPr>
          </w:p>
        </w:tc>
        <w:tc>
          <w:tcPr>
            <w:tcW w:w="2373" w:type="dxa"/>
          </w:tcPr>
          <w:p w14:paraId="67958D28" w14:textId="5520413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 xml:space="preserve">Exclusion reason: Not enough information </w:t>
            </w:r>
          </w:p>
        </w:tc>
      </w:tr>
      <w:tr w:rsidR="0084671B" w14:paraId="2DD1DFB2" w14:textId="77777777" w:rsidTr="0084671B">
        <w:tc>
          <w:tcPr>
            <w:tcW w:w="4815" w:type="dxa"/>
          </w:tcPr>
          <w:p w14:paraId="32A70036" w14:textId="5173800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In a 2-year double-blind randomized controlled multicenter study, chondroitin sulfate was significantly superior to celecoxib at reducing cartilage loss with similar efficacy at reducing disease symptoms in knee osteoarthritis patients</w:t>
            </w:r>
          </w:p>
        </w:tc>
        <w:tc>
          <w:tcPr>
            <w:tcW w:w="3951" w:type="dxa"/>
          </w:tcPr>
          <w:p w14:paraId="4BBFF1C1" w14:textId="57034F3A"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Pelletier JP, Raynauld JP, Beaulieu A, Bessette L, Morin F, De Brum-Fernandes AJ, Abram F, Dorais M, Verges J, Martel-Pelletier J</w:t>
            </w:r>
          </w:p>
        </w:tc>
        <w:tc>
          <w:tcPr>
            <w:tcW w:w="1095" w:type="dxa"/>
          </w:tcPr>
          <w:p w14:paraId="1DAA66A9" w14:textId="3503573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2016</w:t>
            </w:r>
          </w:p>
        </w:tc>
        <w:tc>
          <w:tcPr>
            <w:tcW w:w="1758" w:type="dxa"/>
          </w:tcPr>
          <w:p w14:paraId="2D312A4D" w14:textId="77777777" w:rsidR="0084671B" w:rsidRDefault="0084671B" w:rsidP="0084671B">
            <w:pPr>
              <w:rPr>
                <w:rFonts w:ascii="Arial" w:hAnsi="Arial" w:cs="Arial"/>
                <w:b/>
                <w:bCs/>
                <w:sz w:val="20"/>
                <w:szCs w:val="20"/>
                <w:lang w:val="en-GB"/>
              </w:rPr>
            </w:pPr>
          </w:p>
        </w:tc>
        <w:tc>
          <w:tcPr>
            <w:tcW w:w="2373" w:type="dxa"/>
          </w:tcPr>
          <w:p w14:paraId="52309BB2" w14:textId="5C36799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3DD7A6B8" w14:textId="77777777" w:rsidTr="0084671B">
        <w:tc>
          <w:tcPr>
            <w:tcW w:w="4815" w:type="dxa"/>
          </w:tcPr>
          <w:p w14:paraId="677F75F2" w14:textId="30E3FCD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In a two-year double-blind randomized controlled multicenter study, chondroitin sulfate was significantly superior to celecoxib at reducing cartilage loss with similar efficacy at reducing disease symptoms in knee osteoarthritis patients</w:t>
            </w:r>
          </w:p>
        </w:tc>
        <w:tc>
          <w:tcPr>
            <w:tcW w:w="3951" w:type="dxa"/>
          </w:tcPr>
          <w:p w14:paraId="1FDCAD4B" w14:textId="35685DB0" w:rsidR="0084671B" w:rsidRPr="00F20D3D"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Pelletier J-P, Raynauld JP, Beaulieu A, Bessette L, Morin F, Fernandes AJ, Abram F, Dorais M, Martel-Pelletier J</w:t>
            </w:r>
          </w:p>
        </w:tc>
        <w:tc>
          <w:tcPr>
            <w:tcW w:w="1095" w:type="dxa"/>
          </w:tcPr>
          <w:p w14:paraId="6FF0CAB1" w14:textId="7FDEF3A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2015</w:t>
            </w:r>
          </w:p>
        </w:tc>
        <w:tc>
          <w:tcPr>
            <w:tcW w:w="1758" w:type="dxa"/>
          </w:tcPr>
          <w:p w14:paraId="039CEE34" w14:textId="77777777" w:rsidR="0084671B" w:rsidRDefault="0084671B" w:rsidP="0084671B">
            <w:pPr>
              <w:rPr>
                <w:rFonts w:ascii="Arial" w:hAnsi="Arial" w:cs="Arial"/>
                <w:b/>
                <w:bCs/>
                <w:sz w:val="20"/>
                <w:szCs w:val="20"/>
                <w:lang w:val="en-GB"/>
              </w:rPr>
            </w:pPr>
          </w:p>
        </w:tc>
        <w:tc>
          <w:tcPr>
            <w:tcW w:w="2373" w:type="dxa"/>
          </w:tcPr>
          <w:p w14:paraId="366AE4C8" w14:textId="2735B81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1262BB30" w14:textId="77777777" w:rsidTr="0084671B">
        <w:tc>
          <w:tcPr>
            <w:tcW w:w="4815" w:type="dxa"/>
          </w:tcPr>
          <w:p w14:paraId="1523C76C" w14:textId="52E4183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In a two-year double-blind randomized controlled multicenter study, chondroitin sulfate was significantly superior to celecoxib at reducing cartilage loss with similar efficacy at reducing disease symptoms in knee osteoarthritis patients</w:t>
            </w:r>
          </w:p>
        </w:tc>
        <w:tc>
          <w:tcPr>
            <w:tcW w:w="3951" w:type="dxa"/>
          </w:tcPr>
          <w:p w14:paraId="18A64743" w14:textId="13817888"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Pelletier JP, Raynauld JP, Beaulieu A, Bessette L, Morin F, Brum-Fernandes AJ, Abram F, Dorais M, Martel-Pelletier J</w:t>
            </w:r>
          </w:p>
        </w:tc>
        <w:tc>
          <w:tcPr>
            <w:tcW w:w="1095" w:type="dxa"/>
          </w:tcPr>
          <w:p w14:paraId="3E08A4B0" w14:textId="68F9B3A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2016</w:t>
            </w:r>
          </w:p>
        </w:tc>
        <w:tc>
          <w:tcPr>
            <w:tcW w:w="1758" w:type="dxa"/>
          </w:tcPr>
          <w:p w14:paraId="6CA2DB7C" w14:textId="77777777" w:rsidR="0084671B" w:rsidRDefault="0084671B" w:rsidP="0084671B">
            <w:pPr>
              <w:rPr>
                <w:rFonts w:ascii="Arial" w:hAnsi="Arial" w:cs="Arial"/>
                <w:b/>
                <w:bCs/>
                <w:sz w:val="20"/>
                <w:szCs w:val="20"/>
                <w:lang w:val="en-GB"/>
              </w:rPr>
            </w:pPr>
          </w:p>
        </w:tc>
        <w:tc>
          <w:tcPr>
            <w:tcW w:w="2373" w:type="dxa"/>
          </w:tcPr>
          <w:p w14:paraId="3ECB254C" w14:textId="4E6CE02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Duplicate</w:t>
            </w:r>
          </w:p>
        </w:tc>
      </w:tr>
      <w:tr w:rsidR="0084671B" w14:paraId="2A066BF0" w14:textId="77777777" w:rsidTr="0084671B">
        <w:tc>
          <w:tcPr>
            <w:tcW w:w="4815" w:type="dxa"/>
          </w:tcPr>
          <w:p w14:paraId="70B3ED76" w14:textId="41DF5E7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In a two-year double-blind randomized controlled multicenter study, chondroitin sulfate was significantly superior to celecoxib at reducing cartilage loss with similar efficacy at reducing disease symptoms in knee osteoarthritis patients</w:t>
            </w:r>
          </w:p>
        </w:tc>
        <w:tc>
          <w:tcPr>
            <w:tcW w:w="3951" w:type="dxa"/>
          </w:tcPr>
          <w:p w14:paraId="41A9BD94" w14:textId="31385E44"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Pelletier J-P, Raynauld J-P, Beaulieu A, Bessette L, Morin F, De Brum-Fernandes AJ, Abram F, Dorais M, Martel-Pelletier J</w:t>
            </w:r>
          </w:p>
        </w:tc>
        <w:tc>
          <w:tcPr>
            <w:tcW w:w="1095" w:type="dxa"/>
          </w:tcPr>
          <w:p w14:paraId="27DABE65" w14:textId="5A85186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2016</w:t>
            </w:r>
          </w:p>
        </w:tc>
        <w:tc>
          <w:tcPr>
            <w:tcW w:w="1758" w:type="dxa"/>
          </w:tcPr>
          <w:p w14:paraId="0DC6E430" w14:textId="3F067FD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In a two-year double-blind randomized controlled multicenter study, chondroitin sulfate was significantly superior to celecoxib at reducing cartilage loss with similar efficacy at reducing disease symptoms in knee osteoarthritis patients</w:t>
            </w:r>
          </w:p>
        </w:tc>
        <w:tc>
          <w:tcPr>
            <w:tcW w:w="2373" w:type="dxa"/>
          </w:tcPr>
          <w:p w14:paraId="222CC175" w14:textId="7762183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rsidRPr="00252F1D" w14:paraId="50A68FD6" w14:textId="77777777" w:rsidTr="0084671B">
        <w:tc>
          <w:tcPr>
            <w:tcW w:w="4815" w:type="dxa"/>
          </w:tcPr>
          <w:p w14:paraId="5367A623" w14:textId="0947E50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and Safety of a Biweekly Viscosupplementation Regimen for Knee Osteoarthritis.</w:t>
            </w:r>
          </w:p>
        </w:tc>
        <w:tc>
          <w:tcPr>
            <w:tcW w:w="3951" w:type="dxa"/>
          </w:tcPr>
          <w:p w14:paraId="4A5D5F49" w14:textId="2629F88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Yiasemidou, Marina; Munir, Usama; Glassman, Daniel; Teanby, David</w:t>
            </w:r>
          </w:p>
        </w:tc>
        <w:tc>
          <w:tcPr>
            <w:tcW w:w="1095" w:type="dxa"/>
          </w:tcPr>
          <w:p w14:paraId="7B1D53CD" w14:textId="332F918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2016</w:t>
            </w:r>
          </w:p>
        </w:tc>
        <w:tc>
          <w:tcPr>
            <w:tcW w:w="1758" w:type="dxa"/>
          </w:tcPr>
          <w:p w14:paraId="2F24C8F9" w14:textId="42EFD7D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journal of knee surgery</w:t>
            </w:r>
          </w:p>
        </w:tc>
        <w:tc>
          <w:tcPr>
            <w:tcW w:w="2373" w:type="dxa"/>
          </w:tcPr>
          <w:p w14:paraId="313EC8B5" w14:textId="06392CF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rsidRPr="00252F1D" w14:paraId="11266B7C" w14:textId="77777777" w:rsidTr="0084671B">
        <w:tc>
          <w:tcPr>
            <w:tcW w:w="4815" w:type="dxa"/>
          </w:tcPr>
          <w:p w14:paraId="20E8D48B" w14:textId="5A7F37A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Daily management of knee osteoarthritis: from the ESCEO algorithm to the concept study</w:t>
            </w:r>
          </w:p>
        </w:tc>
        <w:tc>
          <w:tcPr>
            <w:tcW w:w="3951" w:type="dxa"/>
          </w:tcPr>
          <w:p w14:paraId="1F2E9D22" w14:textId="5D87E54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Reginster J-Y</w:t>
            </w:r>
          </w:p>
        </w:tc>
        <w:tc>
          <w:tcPr>
            <w:tcW w:w="1095" w:type="dxa"/>
          </w:tcPr>
          <w:p w14:paraId="5A4EE383" w14:textId="4173B12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2017</w:t>
            </w:r>
          </w:p>
        </w:tc>
        <w:tc>
          <w:tcPr>
            <w:tcW w:w="1758" w:type="dxa"/>
          </w:tcPr>
          <w:p w14:paraId="1F7B0158" w14:textId="77777777" w:rsidR="0084671B" w:rsidRDefault="0084671B" w:rsidP="0084671B">
            <w:pPr>
              <w:rPr>
                <w:rFonts w:ascii="Arial" w:hAnsi="Arial" w:cs="Arial"/>
                <w:b/>
                <w:bCs/>
                <w:sz w:val="20"/>
                <w:szCs w:val="20"/>
                <w:lang w:val="en-GB"/>
              </w:rPr>
            </w:pPr>
          </w:p>
        </w:tc>
        <w:tc>
          <w:tcPr>
            <w:tcW w:w="2373" w:type="dxa"/>
          </w:tcPr>
          <w:p w14:paraId="4CEF3DE5" w14:textId="0E610A21"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rsidRPr="00252F1D" w14:paraId="015EAD73" w14:textId="77777777" w:rsidTr="0084671B">
        <w:tc>
          <w:tcPr>
            <w:tcW w:w="4815" w:type="dxa"/>
          </w:tcPr>
          <w:p w14:paraId="09F6401A" w14:textId="3BCE545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A double-blind, randomized, placebo-controlled study of efficacy and tolerance of meloxicam treatment in patients with osteoarthritis of the knee.</w:t>
            </w:r>
          </w:p>
        </w:tc>
        <w:tc>
          <w:tcPr>
            <w:tcW w:w="3951" w:type="dxa"/>
          </w:tcPr>
          <w:p w14:paraId="4705E6EF" w14:textId="7586DBA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Lund, B; Distel, M; Bluhmki, E</w:t>
            </w:r>
          </w:p>
        </w:tc>
        <w:tc>
          <w:tcPr>
            <w:tcW w:w="1095" w:type="dxa"/>
          </w:tcPr>
          <w:p w14:paraId="48792F39" w14:textId="51A5A98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1998</w:t>
            </w:r>
          </w:p>
        </w:tc>
        <w:tc>
          <w:tcPr>
            <w:tcW w:w="1758" w:type="dxa"/>
          </w:tcPr>
          <w:p w14:paraId="6C1573B9" w14:textId="5B647BE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Scandinavian journal of rheumatology</w:t>
            </w:r>
          </w:p>
        </w:tc>
        <w:tc>
          <w:tcPr>
            <w:tcW w:w="2373" w:type="dxa"/>
          </w:tcPr>
          <w:p w14:paraId="0E056E21" w14:textId="38F11B3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1A0D5802" w14:textId="77777777" w:rsidTr="0084671B">
        <w:tc>
          <w:tcPr>
            <w:tcW w:w="4815" w:type="dxa"/>
          </w:tcPr>
          <w:p w14:paraId="2830D6DE" w14:textId="14ACDFF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Dexamethasone and viscossuplementation in the treatment of patients with knee osteoarthritis: comparing isolated and associated use</w:t>
            </w:r>
          </w:p>
        </w:tc>
        <w:tc>
          <w:tcPr>
            <w:tcW w:w="3951" w:type="dxa"/>
          </w:tcPr>
          <w:p w14:paraId="74AFBE11" w14:textId="47191DA3"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Maia PAV, De Farias GC, Cossich V, Salles JI, Aguiar DP, De Sousa EB</w:t>
            </w:r>
          </w:p>
        </w:tc>
        <w:tc>
          <w:tcPr>
            <w:tcW w:w="1095" w:type="dxa"/>
          </w:tcPr>
          <w:p w14:paraId="151B7918" w14:textId="2992C95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2016</w:t>
            </w:r>
          </w:p>
        </w:tc>
        <w:tc>
          <w:tcPr>
            <w:tcW w:w="1758" w:type="dxa"/>
          </w:tcPr>
          <w:p w14:paraId="5A014098" w14:textId="77777777" w:rsidR="0084671B" w:rsidRDefault="0084671B" w:rsidP="0084671B">
            <w:pPr>
              <w:rPr>
                <w:rFonts w:ascii="Arial" w:hAnsi="Arial" w:cs="Arial"/>
                <w:b/>
                <w:bCs/>
                <w:sz w:val="20"/>
                <w:szCs w:val="20"/>
                <w:lang w:val="en-GB"/>
              </w:rPr>
            </w:pPr>
          </w:p>
        </w:tc>
        <w:tc>
          <w:tcPr>
            <w:tcW w:w="2373" w:type="dxa"/>
          </w:tcPr>
          <w:p w14:paraId="7D17EDDE" w14:textId="7F41C66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rsidRPr="00252F1D" w14:paraId="55B80964" w14:textId="77777777" w:rsidTr="0084671B">
        <w:tc>
          <w:tcPr>
            <w:tcW w:w="4815" w:type="dxa"/>
          </w:tcPr>
          <w:p w14:paraId="0CF61008" w14:textId="196503B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Double-blind comparison of etodolac and naproxen in patients with osteoarthritis</w:t>
            </w:r>
          </w:p>
        </w:tc>
        <w:tc>
          <w:tcPr>
            <w:tcW w:w="3951" w:type="dxa"/>
          </w:tcPr>
          <w:p w14:paraId="56D1CB70" w14:textId="534C09B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Pena, M.; Lizarazo, H.</w:t>
            </w:r>
          </w:p>
        </w:tc>
        <w:tc>
          <w:tcPr>
            <w:tcW w:w="1095" w:type="dxa"/>
          </w:tcPr>
          <w:p w14:paraId="49765AEF" w14:textId="271CF4C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1991</w:t>
            </w:r>
          </w:p>
        </w:tc>
        <w:tc>
          <w:tcPr>
            <w:tcW w:w="1758" w:type="dxa"/>
          </w:tcPr>
          <w:p w14:paraId="5C8B5518" w14:textId="1CE7BE4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Acta Therapeutica</w:t>
            </w:r>
          </w:p>
        </w:tc>
        <w:tc>
          <w:tcPr>
            <w:tcW w:w="2373" w:type="dxa"/>
          </w:tcPr>
          <w:p w14:paraId="684C647D" w14:textId="017B7BEB"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569C1B98" w14:textId="77777777" w:rsidTr="0084671B">
        <w:tc>
          <w:tcPr>
            <w:tcW w:w="4815" w:type="dxa"/>
          </w:tcPr>
          <w:p w14:paraId="104D3672" w14:textId="794D9CD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Tenoxicam Versus Diclofenac Retard in Osteoarthritis of the Knee: A Double-Blind Multicentre Study</w:t>
            </w:r>
          </w:p>
        </w:tc>
        <w:tc>
          <w:tcPr>
            <w:tcW w:w="3951" w:type="dxa"/>
          </w:tcPr>
          <w:p w14:paraId="7D2E6337" w14:textId="3186E65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Dunky, A.; Fasching, U.; Eberl, R.; Thumb, N.; Klein, G.; Rainer, F.; Siegmeth, W.; BrÃ¶ll, H.; Mayrhofer, F.; Singer, F.</w:t>
            </w:r>
          </w:p>
        </w:tc>
        <w:tc>
          <w:tcPr>
            <w:tcW w:w="1095" w:type="dxa"/>
          </w:tcPr>
          <w:p w14:paraId="77A130D5" w14:textId="1F3F246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1990</w:t>
            </w:r>
          </w:p>
        </w:tc>
        <w:tc>
          <w:tcPr>
            <w:tcW w:w="1758" w:type="dxa"/>
          </w:tcPr>
          <w:p w14:paraId="7DDB6552" w14:textId="5464F90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Drug Investigation</w:t>
            </w:r>
          </w:p>
        </w:tc>
        <w:tc>
          <w:tcPr>
            <w:tcW w:w="2373" w:type="dxa"/>
          </w:tcPr>
          <w:p w14:paraId="64CAE410" w14:textId="40B291C8"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316333EE" w14:textId="77777777" w:rsidTr="0084671B">
        <w:tc>
          <w:tcPr>
            <w:tcW w:w="4815" w:type="dxa"/>
          </w:tcPr>
          <w:p w14:paraId="3DDB71A2" w14:textId="1D8F726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Treatment of knee osteoarthritis: relationship of clinical features of joint inflammation to the response to a nonsteroidal antiinflammatory drug or pure analgesic.</w:t>
            </w:r>
          </w:p>
        </w:tc>
        <w:tc>
          <w:tcPr>
            <w:tcW w:w="3951" w:type="dxa"/>
          </w:tcPr>
          <w:p w14:paraId="26A31E68" w14:textId="2323F37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Bradley, J D; Brandt, K D; Katz, B P; Kalasinski, L A; Ryan, S I</w:t>
            </w:r>
          </w:p>
        </w:tc>
        <w:tc>
          <w:tcPr>
            <w:tcW w:w="1095" w:type="dxa"/>
          </w:tcPr>
          <w:p w14:paraId="5AD24B5B" w14:textId="353F07B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1992</w:t>
            </w:r>
          </w:p>
        </w:tc>
        <w:tc>
          <w:tcPr>
            <w:tcW w:w="1758" w:type="dxa"/>
          </w:tcPr>
          <w:p w14:paraId="50A1B827" w14:textId="4E181D9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The Journal of rheumatology</w:t>
            </w:r>
          </w:p>
        </w:tc>
        <w:tc>
          <w:tcPr>
            <w:tcW w:w="2373" w:type="dxa"/>
          </w:tcPr>
          <w:p w14:paraId="67227EB1" w14:textId="0E3444C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051D1E2F" w14:textId="77777777" w:rsidTr="0084671B">
        <w:tc>
          <w:tcPr>
            <w:tcW w:w="4815" w:type="dxa"/>
          </w:tcPr>
          <w:p w14:paraId="45CBECF4" w14:textId="064084F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Double-blind, randomised, comparative trial of etodolac SR versus diclofenac in the treatment of osteoarthritis of the knee.</w:t>
            </w:r>
          </w:p>
        </w:tc>
        <w:tc>
          <w:tcPr>
            <w:tcW w:w="3951" w:type="dxa"/>
          </w:tcPr>
          <w:p w14:paraId="3B4E2F06" w14:textId="7439509D" w:rsidR="0084671B" w:rsidRPr="00F20D3D"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Liang, T H; Hsu, P N</w:t>
            </w:r>
          </w:p>
        </w:tc>
        <w:tc>
          <w:tcPr>
            <w:tcW w:w="1095" w:type="dxa"/>
          </w:tcPr>
          <w:p w14:paraId="416EBF9D" w14:textId="55D69E4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2003</w:t>
            </w:r>
          </w:p>
        </w:tc>
        <w:tc>
          <w:tcPr>
            <w:tcW w:w="1758" w:type="dxa"/>
          </w:tcPr>
          <w:p w14:paraId="50B9B9FC" w14:textId="258304C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Current medical research and opinion</w:t>
            </w:r>
          </w:p>
        </w:tc>
        <w:tc>
          <w:tcPr>
            <w:tcW w:w="2373" w:type="dxa"/>
          </w:tcPr>
          <w:p w14:paraId="0020CB1F" w14:textId="2E5A165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14:paraId="59F2388A" w14:textId="77777777" w:rsidTr="0084671B">
        <w:tc>
          <w:tcPr>
            <w:tcW w:w="4815" w:type="dxa"/>
          </w:tcPr>
          <w:p w14:paraId="491BB436" w14:textId="5118B4B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Chondroitin sulfate is superior to placebo in symptomatic knee osteoarthritis.</w:t>
            </w:r>
          </w:p>
        </w:tc>
        <w:tc>
          <w:tcPr>
            <w:tcW w:w="3951" w:type="dxa"/>
          </w:tcPr>
          <w:p w14:paraId="46DD5A3D" w14:textId="3BDAB76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Lee, Young Ho</w:t>
            </w:r>
          </w:p>
        </w:tc>
        <w:tc>
          <w:tcPr>
            <w:tcW w:w="1095" w:type="dxa"/>
          </w:tcPr>
          <w:p w14:paraId="34DBA8F5" w14:textId="50BA2D0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69ED8DD4" w14:textId="115F2EA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Annals of the rheumatic diseases</w:t>
            </w:r>
          </w:p>
        </w:tc>
        <w:tc>
          <w:tcPr>
            <w:tcW w:w="2373" w:type="dxa"/>
          </w:tcPr>
          <w:p w14:paraId="5966DB26" w14:textId="0B8CA75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commentary</w:t>
            </w:r>
          </w:p>
        </w:tc>
      </w:tr>
      <w:tr w:rsidR="0084671B" w:rsidRPr="00252F1D" w14:paraId="532E3010" w14:textId="77777777" w:rsidTr="0084671B">
        <w:tc>
          <w:tcPr>
            <w:tcW w:w="4815" w:type="dxa"/>
          </w:tcPr>
          <w:p w14:paraId="3C6FEA03" w14:textId="2DFC67B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Topical glucosamine and chondroitin for osteoarthritis</w:t>
            </w:r>
          </w:p>
        </w:tc>
        <w:tc>
          <w:tcPr>
            <w:tcW w:w="3951" w:type="dxa"/>
          </w:tcPr>
          <w:p w14:paraId="2C7153CD" w14:textId="77777777" w:rsidR="0084671B" w:rsidRDefault="0084671B" w:rsidP="0084671B">
            <w:pPr>
              <w:rPr>
                <w:rFonts w:ascii="Arial" w:hAnsi="Arial" w:cs="Arial"/>
                <w:b/>
                <w:bCs/>
                <w:sz w:val="20"/>
                <w:szCs w:val="20"/>
                <w:lang w:val="en-GB"/>
              </w:rPr>
            </w:pPr>
          </w:p>
        </w:tc>
        <w:tc>
          <w:tcPr>
            <w:tcW w:w="1095" w:type="dxa"/>
          </w:tcPr>
          <w:p w14:paraId="12A8A9BB" w14:textId="47235FF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2003</w:t>
            </w:r>
          </w:p>
        </w:tc>
        <w:tc>
          <w:tcPr>
            <w:tcW w:w="1758" w:type="dxa"/>
          </w:tcPr>
          <w:p w14:paraId="6B841EA2" w14:textId="3324B4E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Medicine Today</w:t>
            </w:r>
          </w:p>
        </w:tc>
        <w:tc>
          <w:tcPr>
            <w:tcW w:w="2373" w:type="dxa"/>
          </w:tcPr>
          <w:p w14:paraId="4698136E" w14:textId="223D1B0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 xml:space="preserve">Exclusion reason: Wrong study design; </w:t>
            </w:r>
          </w:p>
        </w:tc>
      </w:tr>
      <w:tr w:rsidR="0084671B" w14:paraId="7003C1F0" w14:textId="77777777" w:rsidTr="0084671B">
        <w:tc>
          <w:tcPr>
            <w:tcW w:w="4815" w:type="dxa"/>
          </w:tcPr>
          <w:p w14:paraId="2DF6AC22" w14:textId="1D41860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Fenbufen: a new anti inflammatory agent. Double blind and comparative trial with acetylsalicylic acid in patients with osteoarthritis of the hip or knee</w:t>
            </w:r>
          </w:p>
        </w:tc>
        <w:tc>
          <w:tcPr>
            <w:tcW w:w="3951" w:type="dxa"/>
          </w:tcPr>
          <w:p w14:paraId="6B36516A" w14:textId="75BE6DE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Lederman, R.; Rubinstein, J.; Leite, N.H.</w:t>
            </w:r>
          </w:p>
        </w:tc>
        <w:tc>
          <w:tcPr>
            <w:tcW w:w="1095" w:type="dxa"/>
          </w:tcPr>
          <w:p w14:paraId="1DDE5123" w14:textId="258B818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1977</w:t>
            </w:r>
          </w:p>
        </w:tc>
        <w:tc>
          <w:tcPr>
            <w:tcW w:w="1758" w:type="dxa"/>
          </w:tcPr>
          <w:p w14:paraId="74DB687B" w14:textId="73F4D18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Folha Medica</w:t>
            </w:r>
          </w:p>
        </w:tc>
        <w:tc>
          <w:tcPr>
            <w:tcW w:w="2373" w:type="dxa"/>
          </w:tcPr>
          <w:p w14:paraId="20441C70" w14:textId="121674A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rsidRPr="00252F1D" w14:paraId="38534C00" w14:textId="77777777" w:rsidTr="0084671B">
        <w:tc>
          <w:tcPr>
            <w:tcW w:w="4815" w:type="dxa"/>
          </w:tcPr>
          <w:p w14:paraId="5B33F871" w14:textId="0285A0B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Glucosamine sulphate more effective than paracetamol to treat osteoarthritis</w:t>
            </w:r>
          </w:p>
        </w:tc>
        <w:tc>
          <w:tcPr>
            <w:tcW w:w="3951" w:type="dxa"/>
          </w:tcPr>
          <w:p w14:paraId="73CEE263" w14:textId="77777777" w:rsidR="0084671B" w:rsidRDefault="0084671B" w:rsidP="0084671B">
            <w:pPr>
              <w:rPr>
                <w:rFonts w:ascii="Arial" w:hAnsi="Arial" w:cs="Arial"/>
                <w:b/>
                <w:bCs/>
                <w:sz w:val="20"/>
                <w:szCs w:val="20"/>
                <w:lang w:val="en-GB"/>
              </w:rPr>
            </w:pPr>
          </w:p>
        </w:tc>
        <w:tc>
          <w:tcPr>
            <w:tcW w:w="1095" w:type="dxa"/>
          </w:tcPr>
          <w:p w14:paraId="62CFD9E9" w14:textId="5B72ED2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2010</w:t>
            </w:r>
          </w:p>
        </w:tc>
        <w:tc>
          <w:tcPr>
            <w:tcW w:w="1758" w:type="dxa"/>
          </w:tcPr>
          <w:p w14:paraId="5AE7B9DA" w14:textId="63011A9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Australian Journal of Pharmacy</w:t>
            </w:r>
          </w:p>
        </w:tc>
        <w:tc>
          <w:tcPr>
            <w:tcW w:w="2373" w:type="dxa"/>
          </w:tcPr>
          <w:p w14:paraId="06D1C3DB" w14:textId="3C65AB0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 xml:space="preserve">Exclusion reason: Wrong study design; </w:t>
            </w:r>
          </w:p>
        </w:tc>
      </w:tr>
      <w:tr w:rsidR="0084671B" w:rsidRPr="00252F1D" w14:paraId="035F045A" w14:textId="77777777" w:rsidTr="0084671B">
        <w:tc>
          <w:tcPr>
            <w:tcW w:w="4815" w:type="dxa"/>
          </w:tcPr>
          <w:p w14:paraId="6E97729D" w14:textId="23602BA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trial of diclofenac in rheumatology</w:t>
            </w:r>
          </w:p>
        </w:tc>
        <w:tc>
          <w:tcPr>
            <w:tcW w:w="3951" w:type="dxa"/>
          </w:tcPr>
          <w:p w14:paraId="4314F057" w14:textId="3B767669" w:rsidR="0084671B" w:rsidRPr="00F20D3D"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Viallat, P.; Chauvin, M.; Sorba, L.</w:t>
            </w:r>
          </w:p>
        </w:tc>
        <w:tc>
          <w:tcPr>
            <w:tcW w:w="1095" w:type="dxa"/>
          </w:tcPr>
          <w:p w14:paraId="15550476" w14:textId="4AA9797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1978</w:t>
            </w:r>
          </w:p>
        </w:tc>
        <w:tc>
          <w:tcPr>
            <w:tcW w:w="1758" w:type="dxa"/>
          </w:tcPr>
          <w:p w14:paraId="7998E7F3" w14:textId="62A532C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Mediterranee Medicale</w:t>
            </w:r>
          </w:p>
        </w:tc>
        <w:tc>
          <w:tcPr>
            <w:tcW w:w="2373" w:type="dxa"/>
          </w:tcPr>
          <w:p w14:paraId="7A07413F" w14:textId="7699DBC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rsidRPr="00252F1D" w14:paraId="295DC752" w14:textId="77777777" w:rsidTr="0084671B">
        <w:tc>
          <w:tcPr>
            <w:tcW w:w="4815" w:type="dxa"/>
          </w:tcPr>
          <w:p w14:paraId="6F36AAE9" w14:textId="07903E5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Chondroitin in arthrosis of the knee</w:t>
            </w:r>
          </w:p>
        </w:tc>
        <w:tc>
          <w:tcPr>
            <w:tcW w:w="3951" w:type="dxa"/>
          </w:tcPr>
          <w:p w14:paraId="1F47B205" w14:textId="43B3CD72"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RodrÃ</w:t>
            </w:r>
            <w:r w:rsidRPr="000B369D">
              <w:rPr>
                <w:rFonts w:ascii="Arial" w:eastAsia="Times New Roman" w:hAnsi="Arial" w:cs="Arial"/>
                <w:color w:val="000000"/>
                <w:sz w:val="20"/>
                <w:szCs w:val="20"/>
                <w:lang w:eastAsia="fr-BE"/>
              </w:rPr>
              <w:softHyphen/>
              <w:t>guez De La Serna, A.</w:t>
            </w:r>
          </w:p>
        </w:tc>
        <w:tc>
          <w:tcPr>
            <w:tcW w:w="1095" w:type="dxa"/>
          </w:tcPr>
          <w:p w14:paraId="1C852995" w14:textId="63DD595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2008</w:t>
            </w:r>
          </w:p>
        </w:tc>
        <w:tc>
          <w:tcPr>
            <w:tcW w:w="1758" w:type="dxa"/>
          </w:tcPr>
          <w:p w14:paraId="3B9902B6" w14:textId="3DB9510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DOLOR</w:t>
            </w:r>
          </w:p>
        </w:tc>
        <w:tc>
          <w:tcPr>
            <w:tcW w:w="2373" w:type="dxa"/>
          </w:tcPr>
          <w:p w14:paraId="7809C1D4" w14:textId="096614A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rsidRPr="00252F1D" w14:paraId="0ACA2845" w14:textId="77777777" w:rsidTr="0084671B">
        <w:tc>
          <w:tcPr>
            <w:tcW w:w="4815" w:type="dxa"/>
          </w:tcPr>
          <w:p w14:paraId="0DB45E72" w14:textId="2C33B48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Benefit of NSAIDs limited in osteoarthritic knee pain</w:t>
            </w:r>
          </w:p>
        </w:tc>
        <w:tc>
          <w:tcPr>
            <w:tcW w:w="3951" w:type="dxa"/>
          </w:tcPr>
          <w:p w14:paraId="5B980418" w14:textId="77777777" w:rsidR="0084671B" w:rsidRDefault="0084671B" w:rsidP="0084671B">
            <w:pPr>
              <w:rPr>
                <w:rFonts w:ascii="Arial" w:hAnsi="Arial" w:cs="Arial"/>
                <w:b/>
                <w:bCs/>
                <w:sz w:val="20"/>
                <w:szCs w:val="20"/>
                <w:lang w:val="en-GB"/>
              </w:rPr>
            </w:pPr>
          </w:p>
        </w:tc>
        <w:tc>
          <w:tcPr>
            <w:tcW w:w="1095" w:type="dxa"/>
          </w:tcPr>
          <w:p w14:paraId="71E1EDE6" w14:textId="56A1285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2005</w:t>
            </w:r>
          </w:p>
        </w:tc>
        <w:tc>
          <w:tcPr>
            <w:tcW w:w="1758" w:type="dxa"/>
          </w:tcPr>
          <w:p w14:paraId="037080F3" w14:textId="7F9532C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Geriatrics and Aging</w:t>
            </w:r>
          </w:p>
        </w:tc>
        <w:tc>
          <w:tcPr>
            <w:tcW w:w="2373" w:type="dxa"/>
          </w:tcPr>
          <w:p w14:paraId="0E0FAF71" w14:textId="19CAA7D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 xml:space="preserve">Exclusion reason: Wrong study design; </w:t>
            </w:r>
          </w:p>
        </w:tc>
      </w:tr>
      <w:tr w:rsidR="0084671B" w:rsidRPr="00252F1D" w14:paraId="3D2080FB" w14:textId="77777777" w:rsidTr="0084671B">
        <w:tc>
          <w:tcPr>
            <w:tcW w:w="4815" w:type="dxa"/>
          </w:tcPr>
          <w:p w14:paraId="0877849C" w14:textId="0E965E3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Glucosamine and chondroitin effective for knee osteoarthritis</w:t>
            </w:r>
          </w:p>
        </w:tc>
        <w:tc>
          <w:tcPr>
            <w:tcW w:w="3951" w:type="dxa"/>
          </w:tcPr>
          <w:p w14:paraId="6C270838" w14:textId="39A84B4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Longyhore, D.S.; Seaton, T.L.</w:t>
            </w:r>
          </w:p>
        </w:tc>
        <w:tc>
          <w:tcPr>
            <w:tcW w:w="1095" w:type="dxa"/>
          </w:tcPr>
          <w:p w14:paraId="30734B59" w14:textId="085CB59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2003</w:t>
            </w:r>
          </w:p>
        </w:tc>
        <w:tc>
          <w:tcPr>
            <w:tcW w:w="1758" w:type="dxa"/>
          </w:tcPr>
          <w:p w14:paraId="521E6AAD" w14:textId="67AF30A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Journal of Family Practice</w:t>
            </w:r>
          </w:p>
        </w:tc>
        <w:tc>
          <w:tcPr>
            <w:tcW w:w="2373" w:type="dxa"/>
          </w:tcPr>
          <w:p w14:paraId="73EF446A" w14:textId="46EB605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rsidRPr="00252F1D" w14:paraId="3C317FE5" w14:textId="77777777" w:rsidTr="0084671B">
        <w:tc>
          <w:tcPr>
            <w:tcW w:w="4815" w:type="dxa"/>
          </w:tcPr>
          <w:p w14:paraId="2300FB5F" w14:textId="4EDC07B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and tolerance of diacerhein in the treatment of gonarthrosis and coxarthrosis].</w:t>
            </w:r>
          </w:p>
        </w:tc>
        <w:tc>
          <w:tcPr>
            <w:tcW w:w="3951" w:type="dxa"/>
          </w:tcPr>
          <w:p w14:paraId="77B82B59" w14:textId="6A20684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Lequesne, M; Berdah, L; Gerentes, I</w:t>
            </w:r>
          </w:p>
        </w:tc>
        <w:tc>
          <w:tcPr>
            <w:tcW w:w="1095" w:type="dxa"/>
          </w:tcPr>
          <w:p w14:paraId="6F63EC3E" w14:textId="784CFDC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1998</w:t>
            </w:r>
          </w:p>
        </w:tc>
        <w:tc>
          <w:tcPr>
            <w:tcW w:w="1758" w:type="dxa"/>
          </w:tcPr>
          <w:p w14:paraId="676AEA8D" w14:textId="3CB0858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La Revue du praticien</w:t>
            </w:r>
          </w:p>
        </w:tc>
        <w:tc>
          <w:tcPr>
            <w:tcW w:w="2373" w:type="dxa"/>
          </w:tcPr>
          <w:p w14:paraId="0BB50FF2" w14:textId="5B0025F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rsidRPr="00252F1D" w14:paraId="254F186B" w14:textId="77777777" w:rsidTr="0084671B">
        <w:tc>
          <w:tcPr>
            <w:tcW w:w="4815" w:type="dxa"/>
          </w:tcPr>
          <w:p w14:paraId="52044AE2" w14:textId="2FBE952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Osteoarthritis: NSAIDs, paracetamol or other treatment approaches?</w:t>
            </w:r>
          </w:p>
        </w:tc>
        <w:tc>
          <w:tcPr>
            <w:tcW w:w="3951" w:type="dxa"/>
          </w:tcPr>
          <w:p w14:paraId="09B9A003" w14:textId="3D6DF4F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Day, R.O.; Fransen, M.; Zochling, J.; March, L.</w:t>
            </w:r>
          </w:p>
        </w:tc>
        <w:tc>
          <w:tcPr>
            <w:tcW w:w="1095" w:type="dxa"/>
          </w:tcPr>
          <w:p w14:paraId="313C59C0" w14:textId="3E5C10E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2008</w:t>
            </w:r>
          </w:p>
        </w:tc>
        <w:tc>
          <w:tcPr>
            <w:tcW w:w="1758" w:type="dxa"/>
          </w:tcPr>
          <w:p w14:paraId="734BD93D" w14:textId="6D01784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Medicine Today</w:t>
            </w:r>
          </w:p>
        </w:tc>
        <w:tc>
          <w:tcPr>
            <w:tcW w:w="2373" w:type="dxa"/>
          </w:tcPr>
          <w:p w14:paraId="3FD9E5BB" w14:textId="6C715B58"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rsidRPr="00252F1D" w14:paraId="174F1B57" w14:textId="77777777" w:rsidTr="0084671B">
        <w:tc>
          <w:tcPr>
            <w:tcW w:w="4815" w:type="dxa"/>
          </w:tcPr>
          <w:p w14:paraId="66688069" w14:textId="53CA277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Multicenter clinical trial of 'Spectyon parathyroid cartilage' against sulindac and placebo</w:t>
            </w:r>
          </w:p>
        </w:tc>
        <w:tc>
          <w:tcPr>
            <w:tcW w:w="3951" w:type="dxa"/>
          </w:tcPr>
          <w:p w14:paraId="5213172E" w14:textId="0D59F59A"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Bellaiche, D.; Bollet, C.; Ferraris, J.</w:t>
            </w:r>
          </w:p>
        </w:tc>
        <w:tc>
          <w:tcPr>
            <w:tcW w:w="1095" w:type="dxa"/>
          </w:tcPr>
          <w:p w14:paraId="416D3426" w14:textId="4F2FCCD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1985</w:t>
            </w:r>
          </w:p>
        </w:tc>
        <w:tc>
          <w:tcPr>
            <w:tcW w:w="1758" w:type="dxa"/>
          </w:tcPr>
          <w:p w14:paraId="157679FD" w14:textId="77D24146"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Rhumatologie - Revue International de Rhumatologie</w:t>
            </w:r>
          </w:p>
        </w:tc>
        <w:tc>
          <w:tcPr>
            <w:tcW w:w="2373" w:type="dxa"/>
          </w:tcPr>
          <w:p w14:paraId="7D328CC3" w14:textId="581F0D38"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rsidRPr="00252F1D" w14:paraId="11915634" w14:textId="77777777" w:rsidTr="0084671B">
        <w:tc>
          <w:tcPr>
            <w:tcW w:w="4815" w:type="dxa"/>
          </w:tcPr>
          <w:p w14:paraId="50D88DE1" w14:textId="3A4B01A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Medicinal treatment other than analgesics</w:t>
            </w:r>
          </w:p>
        </w:tc>
        <w:tc>
          <w:tcPr>
            <w:tcW w:w="3951" w:type="dxa"/>
          </w:tcPr>
          <w:p w14:paraId="1EC7D033" w14:textId="6A8C05A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Armingeat, T.</w:t>
            </w:r>
          </w:p>
        </w:tc>
        <w:tc>
          <w:tcPr>
            <w:tcW w:w="1095" w:type="dxa"/>
          </w:tcPr>
          <w:p w14:paraId="728AF7BC" w14:textId="18C13C7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2005</w:t>
            </w:r>
          </w:p>
        </w:tc>
        <w:tc>
          <w:tcPr>
            <w:tcW w:w="1758" w:type="dxa"/>
          </w:tcPr>
          <w:p w14:paraId="584EE4E0" w14:textId="4839A3E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Douleurs</w:t>
            </w:r>
          </w:p>
        </w:tc>
        <w:tc>
          <w:tcPr>
            <w:tcW w:w="2373" w:type="dxa"/>
          </w:tcPr>
          <w:p w14:paraId="65AF4FB2" w14:textId="6651CCB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rsidRPr="00252F1D" w14:paraId="31CAF100" w14:textId="77777777" w:rsidTr="0084671B">
        <w:tc>
          <w:tcPr>
            <w:tcW w:w="4815" w:type="dxa"/>
          </w:tcPr>
          <w:p w14:paraId="0FA4CA02" w14:textId="6B27E66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evaluation of disposable unit for rectal dosage form of diclofenac sodium (OED 25,50) on rheumatoid arthritis, osteoarthritis of the knee, low back pain and post operative pain</w:t>
            </w:r>
          </w:p>
        </w:tc>
        <w:tc>
          <w:tcPr>
            <w:tcW w:w="3951" w:type="dxa"/>
          </w:tcPr>
          <w:p w14:paraId="3FE65C49" w14:textId="74BF717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Aoki, T.</w:t>
            </w:r>
          </w:p>
        </w:tc>
        <w:tc>
          <w:tcPr>
            <w:tcW w:w="1095" w:type="dxa"/>
          </w:tcPr>
          <w:p w14:paraId="036F20C9" w14:textId="6F70869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1998</w:t>
            </w:r>
          </w:p>
        </w:tc>
        <w:tc>
          <w:tcPr>
            <w:tcW w:w="1758" w:type="dxa"/>
          </w:tcPr>
          <w:p w14:paraId="59495E57" w14:textId="4AE76CA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Japanese Pharmacology and Therapeutics</w:t>
            </w:r>
          </w:p>
        </w:tc>
        <w:tc>
          <w:tcPr>
            <w:tcW w:w="2373" w:type="dxa"/>
          </w:tcPr>
          <w:p w14:paraId="6EB50698" w14:textId="2B3F0B0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14:paraId="236076C2" w14:textId="77777777" w:rsidTr="0084671B">
        <w:tc>
          <w:tcPr>
            <w:tcW w:w="4815" w:type="dxa"/>
          </w:tcPr>
          <w:p w14:paraId="518C6989" w14:textId="2C9690F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Cost-Utility Analysis of High Molecular Weight Hyaluronic Acid for Knee Osteoarthritis in Everyday Clinical Care in Patients at a Working Age: An Economic Evaluation of a Randomized Clinical Trial.</w:t>
            </w:r>
          </w:p>
        </w:tc>
        <w:tc>
          <w:tcPr>
            <w:tcW w:w="3951" w:type="dxa"/>
          </w:tcPr>
          <w:p w14:paraId="12B99320" w14:textId="2743240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Hermans, Job; Reijman, Max; Goossens, Lucas M A; Verburg, Hennie; Bierma-Zeinstra, Sita M A; Koopmanschap, Marc A</w:t>
            </w:r>
          </w:p>
        </w:tc>
        <w:tc>
          <w:tcPr>
            <w:tcW w:w="1095" w:type="dxa"/>
          </w:tcPr>
          <w:p w14:paraId="744DEABE" w14:textId="55C9D60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6C337D19" w14:textId="3B2531F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Arthritis care &amp; research</w:t>
            </w:r>
          </w:p>
        </w:tc>
        <w:tc>
          <w:tcPr>
            <w:tcW w:w="2373" w:type="dxa"/>
          </w:tcPr>
          <w:p w14:paraId="0E530E83" w14:textId="1CFBE0D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comparator</w:t>
            </w:r>
          </w:p>
        </w:tc>
      </w:tr>
      <w:tr w:rsidR="0084671B" w:rsidRPr="00252F1D" w14:paraId="23B56501" w14:textId="77777777" w:rsidTr="0084671B">
        <w:tc>
          <w:tcPr>
            <w:tcW w:w="4815" w:type="dxa"/>
          </w:tcPr>
          <w:p w14:paraId="46B8A8AC" w14:textId="05EDBD2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Effects of different hyaluronic acid products on synovial fluid NO levels in knee osteoarthritis.</w:t>
            </w:r>
          </w:p>
        </w:tc>
        <w:tc>
          <w:tcPr>
            <w:tcW w:w="3951" w:type="dxa"/>
          </w:tcPr>
          <w:p w14:paraId="352BB12A" w14:textId="0C7F20B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Karatay, Saliha; Kiziltunc, Ahmet; Yildirim, Kadir; Karanfil, Rabia Cerrah; Senel, Kazim</w:t>
            </w:r>
          </w:p>
        </w:tc>
        <w:tc>
          <w:tcPr>
            <w:tcW w:w="1095" w:type="dxa"/>
          </w:tcPr>
          <w:p w14:paraId="68387A90" w14:textId="0417F81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2005</w:t>
            </w:r>
          </w:p>
        </w:tc>
        <w:tc>
          <w:tcPr>
            <w:tcW w:w="1758" w:type="dxa"/>
          </w:tcPr>
          <w:p w14:paraId="59C2CC24" w14:textId="269610E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Clinical rheumatology</w:t>
            </w:r>
          </w:p>
        </w:tc>
        <w:tc>
          <w:tcPr>
            <w:tcW w:w="2373" w:type="dxa"/>
          </w:tcPr>
          <w:p w14:paraId="211E5526" w14:textId="661359B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14:paraId="137F12C3" w14:textId="77777777" w:rsidTr="0084671B">
        <w:tc>
          <w:tcPr>
            <w:tcW w:w="4815" w:type="dxa"/>
          </w:tcPr>
          <w:p w14:paraId="00F094CF" w14:textId="0F66901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South African multicentre trial with Voltaren in osteoarthritis of the knee</w:t>
            </w:r>
          </w:p>
        </w:tc>
        <w:tc>
          <w:tcPr>
            <w:tcW w:w="3951" w:type="dxa"/>
          </w:tcPr>
          <w:p w14:paraId="28897A94" w14:textId="6CB363F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Joubert, P.H.; Kushlick, A.R.; McNeill, W.G.; Sheard, E.S.; MÃ¼ller, F.O.</w:t>
            </w:r>
          </w:p>
        </w:tc>
        <w:tc>
          <w:tcPr>
            <w:tcW w:w="1095" w:type="dxa"/>
          </w:tcPr>
          <w:p w14:paraId="3D304E24" w14:textId="390E630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1974</w:t>
            </w:r>
          </w:p>
        </w:tc>
        <w:tc>
          <w:tcPr>
            <w:tcW w:w="1758" w:type="dxa"/>
          </w:tcPr>
          <w:p w14:paraId="0132A046" w14:textId="77FADAA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South African Medical Journal</w:t>
            </w:r>
          </w:p>
        </w:tc>
        <w:tc>
          <w:tcPr>
            <w:tcW w:w="2373" w:type="dxa"/>
          </w:tcPr>
          <w:p w14:paraId="0E3B497E" w14:textId="6DA29526"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rsidRPr="00252F1D" w14:paraId="19E931FD" w14:textId="77777777" w:rsidTr="0084671B">
        <w:tc>
          <w:tcPr>
            <w:tcW w:w="4815" w:type="dxa"/>
          </w:tcPr>
          <w:p w14:paraId="0CFF735C" w14:textId="1140CF6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evaluation of naproxen in the treatment of osteoarthritis-double-blind, Cross-over trial</w:t>
            </w:r>
          </w:p>
        </w:tc>
        <w:tc>
          <w:tcPr>
            <w:tcW w:w="3951" w:type="dxa"/>
          </w:tcPr>
          <w:p w14:paraId="3EF94835" w14:textId="7E61CBA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Kageyama, T.</w:t>
            </w:r>
          </w:p>
        </w:tc>
        <w:tc>
          <w:tcPr>
            <w:tcW w:w="1095" w:type="dxa"/>
          </w:tcPr>
          <w:p w14:paraId="7C53E8C9" w14:textId="08CFB89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1973</w:t>
            </w:r>
          </w:p>
        </w:tc>
        <w:tc>
          <w:tcPr>
            <w:tcW w:w="1758" w:type="dxa"/>
          </w:tcPr>
          <w:p w14:paraId="3A167323" w14:textId="23E84AF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Scandinavian Journal of Rheumatology</w:t>
            </w:r>
          </w:p>
        </w:tc>
        <w:tc>
          <w:tcPr>
            <w:tcW w:w="2373" w:type="dxa"/>
          </w:tcPr>
          <w:p w14:paraId="0A4BD2F8" w14:textId="21900F91"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14:paraId="5EDCDAF9" w14:textId="77777777" w:rsidTr="0084671B">
        <w:tc>
          <w:tcPr>
            <w:tcW w:w="4815" w:type="dxa"/>
          </w:tcPr>
          <w:p w14:paraId="222F6BBD" w14:textId="2EB1E58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Effects of pentosan polysulfate in osteoarthritis of the knee: A randomized, double-blind, placebo-controlled pilot study.</w:t>
            </w:r>
          </w:p>
        </w:tc>
        <w:tc>
          <w:tcPr>
            <w:tcW w:w="3951" w:type="dxa"/>
          </w:tcPr>
          <w:p w14:paraId="1044E750" w14:textId="79BE1F5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Ghosh, Peter; Edelman, Jack; March, Lyn; Smith, Margaret</w:t>
            </w:r>
          </w:p>
        </w:tc>
        <w:tc>
          <w:tcPr>
            <w:tcW w:w="1095" w:type="dxa"/>
          </w:tcPr>
          <w:p w14:paraId="3E6A9DA3" w14:textId="0DC51D2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2005</w:t>
            </w:r>
          </w:p>
        </w:tc>
        <w:tc>
          <w:tcPr>
            <w:tcW w:w="1758" w:type="dxa"/>
          </w:tcPr>
          <w:p w14:paraId="1B2E4B30" w14:textId="5DFC453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Current therapeutic research, clinical and experimental</w:t>
            </w:r>
          </w:p>
        </w:tc>
        <w:tc>
          <w:tcPr>
            <w:tcW w:w="2373" w:type="dxa"/>
          </w:tcPr>
          <w:p w14:paraId="5A07232A" w14:textId="31F77BD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70FE9471" w14:textId="77777777" w:rsidTr="0084671B">
        <w:tc>
          <w:tcPr>
            <w:tcW w:w="4815" w:type="dxa"/>
          </w:tcPr>
          <w:p w14:paraId="59C95EB1" w14:textId="7E559C9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Efficiency of glucosamine and chondroitin sulfate in knee osteoarthritis</w:t>
            </w:r>
          </w:p>
        </w:tc>
        <w:tc>
          <w:tcPr>
            <w:tcW w:w="3951" w:type="dxa"/>
          </w:tcPr>
          <w:p w14:paraId="1D429D25" w14:textId="77777777" w:rsidR="0084671B" w:rsidRDefault="0084671B" w:rsidP="0084671B">
            <w:pPr>
              <w:rPr>
                <w:rFonts w:ascii="Arial" w:hAnsi="Arial" w:cs="Arial"/>
                <w:b/>
                <w:bCs/>
                <w:sz w:val="20"/>
                <w:szCs w:val="20"/>
                <w:lang w:val="en-GB"/>
              </w:rPr>
            </w:pPr>
          </w:p>
        </w:tc>
        <w:tc>
          <w:tcPr>
            <w:tcW w:w="1095" w:type="dxa"/>
          </w:tcPr>
          <w:p w14:paraId="1F935D0D" w14:textId="35648E3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2009</w:t>
            </w:r>
          </w:p>
        </w:tc>
        <w:tc>
          <w:tcPr>
            <w:tcW w:w="1758" w:type="dxa"/>
          </w:tcPr>
          <w:p w14:paraId="73656F92" w14:textId="6DB0B38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Schweizerische Zeitschrift fur GanzheitsMedizin</w:t>
            </w:r>
          </w:p>
        </w:tc>
        <w:tc>
          <w:tcPr>
            <w:tcW w:w="2373" w:type="dxa"/>
          </w:tcPr>
          <w:p w14:paraId="1576288E" w14:textId="2EE3992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601D6179" w14:textId="77777777" w:rsidTr="0084671B">
        <w:tc>
          <w:tcPr>
            <w:tcW w:w="4815" w:type="dxa"/>
          </w:tcPr>
          <w:p w14:paraId="7191B07A" w14:textId="6C76809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double blind trial of flufenamic acid (ArlefÂ®) and mefenaminic acid (PonstanÂ®) in coxarthritis and gonarthritis</w:t>
            </w:r>
          </w:p>
        </w:tc>
        <w:tc>
          <w:tcPr>
            <w:tcW w:w="3951" w:type="dxa"/>
          </w:tcPr>
          <w:p w14:paraId="7D2C3B37" w14:textId="19303FD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Zelvelder, W.G.</w:t>
            </w:r>
          </w:p>
        </w:tc>
        <w:tc>
          <w:tcPr>
            <w:tcW w:w="1095" w:type="dxa"/>
          </w:tcPr>
          <w:p w14:paraId="24E8B9C6" w14:textId="6B0E791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1982</w:t>
            </w:r>
          </w:p>
        </w:tc>
        <w:tc>
          <w:tcPr>
            <w:tcW w:w="1758" w:type="dxa"/>
          </w:tcPr>
          <w:p w14:paraId="0F2BA019" w14:textId="2549557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Tijdschrift voor Geneesmiddelenonderzoek</w:t>
            </w:r>
          </w:p>
        </w:tc>
        <w:tc>
          <w:tcPr>
            <w:tcW w:w="2373" w:type="dxa"/>
          </w:tcPr>
          <w:p w14:paraId="17A99748" w14:textId="0960302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466EE24B" w14:textId="77777777" w:rsidTr="0084671B">
        <w:tc>
          <w:tcPr>
            <w:tcW w:w="4815" w:type="dxa"/>
          </w:tcPr>
          <w:p w14:paraId="62314143" w14:textId="4A2479B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Clinical characterization of therapeutic effectiveness and tolerance of two non-steroid antinnflammatory drugs in patients suffering from gonarthrosis</w:t>
            </w:r>
          </w:p>
        </w:tc>
        <w:tc>
          <w:tcPr>
            <w:tcW w:w="3951" w:type="dxa"/>
          </w:tcPr>
          <w:p w14:paraId="16A18D2C" w14:textId="745F80F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Gudino Quiroz, J.</w:t>
            </w:r>
          </w:p>
        </w:tc>
        <w:tc>
          <w:tcPr>
            <w:tcW w:w="1095" w:type="dxa"/>
          </w:tcPr>
          <w:p w14:paraId="4EB17EB1" w14:textId="0EE3186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1988</w:t>
            </w:r>
          </w:p>
        </w:tc>
        <w:tc>
          <w:tcPr>
            <w:tcW w:w="1758" w:type="dxa"/>
          </w:tcPr>
          <w:p w14:paraId="0A561E80" w14:textId="392C531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Compendium de Investigaciones Clinicas Latinoamericanas</w:t>
            </w:r>
          </w:p>
        </w:tc>
        <w:tc>
          <w:tcPr>
            <w:tcW w:w="2373" w:type="dxa"/>
          </w:tcPr>
          <w:p w14:paraId="24DCD1F1" w14:textId="747C056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07EA7190" w14:textId="77777777" w:rsidTr="0084671B">
        <w:tc>
          <w:tcPr>
            <w:tcW w:w="4815" w:type="dxa"/>
          </w:tcPr>
          <w:p w14:paraId="26EC259F" w14:textId="54E8F44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An open study of proglumethacin vs. diclofenac in the management of hip and knee osteoarthritis.</w:t>
            </w:r>
          </w:p>
        </w:tc>
        <w:tc>
          <w:tcPr>
            <w:tcW w:w="3951" w:type="dxa"/>
          </w:tcPr>
          <w:p w14:paraId="4C6C1E73" w14:textId="07F0EF64" w:rsidR="0084671B" w:rsidRPr="00F20D3D"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Montrone, F.; Fumagalli, M.; Santandrea, S.; Boccassini, L.; Greco, M.; Caruso, I.</w:t>
            </w:r>
          </w:p>
        </w:tc>
        <w:tc>
          <w:tcPr>
            <w:tcW w:w="1095" w:type="dxa"/>
          </w:tcPr>
          <w:p w14:paraId="6AD90BE0" w14:textId="411C726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1985</w:t>
            </w:r>
          </w:p>
        </w:tc>
        <w:tc>
          <w:tcPr>
            <w:tcW w:w="1758" w:type="dxa"/>
          </w:tcPr>
          <w:p w14:paraId="23A97202" w14:textId="7B5D66D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Clinica Terapeutica</w:t>
            </w:r>
          </w:p>
        </w:tc>
        <w:tc>
          <w:tcPr>
            <w:tcW w:w="2373" w:type="dxa"/>
          </w:tcPr>
          <w:p w14:paraId="36878447" w14:textId="493EC09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142100EA" w14:textId="77777777" w:rsidTr="0084671B">
        <w:tc>
          <w:tcPr>
            <w:tcW w:w="4815" w:type="dxa"/>
          </w:tcPr>
          <w:p w14:paraId="481345A7" w14:textId="076E1D5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Plasma rich in platelets versus hyaluronic acid and corticosteroids in the treatment of knee osteoarthritis.</w:t>
            </w:r>
          </w:p>
        </w:tc>
        <w:tc>
          <w:tcPr>
            <w:tcW w:w="3951" w:type="dxa"/>
          </w:tcPr>
          <w:p w14:paraId="2663F52E" w14:textId="26697CD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Gharaibeh A</w:t>
            </w:r>
          </w:p>
        </w:tc>
        <w:tc>
          <w:tcPr>
            <w:tcW w:w="1095" w:type="dxa"/>
          </w:tcPr>
          <w:p w14:paraId="63C1B38F" w14:textId="37E5ECF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2015</w:t>
            </w:r>
          </w:p>
        </w:tc>
        <w:tc>
          <w:tcPr>
            <w:tcW w:w="1758" w:type="dxa"/>
          </w:tcPr>
          <w:p w14:paraId="19126A97" w14:textId="77777777" w:rsidR="0084671B" w:rsidRDefault="0084671B" w:rsidP="0084671B">
            <w:pPr>
              <w:rPr>
                <w:rFonts w:ascii="Arial" w:hAnsi="Arial" w:cs="Arial"/>
                <w:b/>
                <w:bCs/>
                <w:sz w:val="20"/>
                <w:szCs w:val="20"/>
                <w:lang w:val="en-GB"/>
              </w:rPr>
            </w:pPr>
          </w:p>
        </w:tc>
        <w:tc>
          <w:tcPr>
            <w:tcW w:w="2373" w:type="dxa"/>
          </w:tcPr>
          <w:p w14:paraId="728FDD12" w14:textId="0AC16CF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rsidRPr="00252F1D" w14:paraId="4DE3C875" w14:textId="77777777" w:rsidTr="0084671B">
        <w:tc>
          <w:tcPr>
            <w:tcW w:w="4815" w:type="dxa"/>
          </w:tcPr>
          <w:p w14:paraId="512CD0C5" w14:textId="397D3AE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Double-Blind, Double Dummy, Randomized Comparison Study Of The Efficacy And Safety Of Valdecoxib 10mg Once Daily And Naproxen 500mg Twice Daily In Treating The Signs And Symptoms Of Osteoarthritis Of The Knee Or Hip In Taiwan</w:t>
            </w:r>
          </w:p>
        </w:tc>
        <w:tc>
          <w:tcPr>
            <w:tcW w:w="3951" w:type="dxa"/>
          </w:tcPr>
          <w:p w14:paraId="3F520582" w14:textId="1448C81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NCT00648258</w:t>
            </w:r>
          </w:p>
        </w:tc>
        <w:tc>
          <w:tcPr>
            <w:tcW w:w="1095" w:type="dxa"/>
          </w:tcPr>
          <w:p w14:paraId="48AA344D" w14:textId="4730177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2008</w:t>
            </w:r>
          </w:p>
        </w:tc>
        <w:tc>
          <w:tcPr>
            <w:tcW w:w="1758" w:type="dxa"/>
          </w:tcPr>
          <w:p w14:paraId="44A55347" w14:textId="1B00B0D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Double-Blind, Double Dummy, Randomized Comparison Study Of The Efficacy And Safety Of Valdecoxib 10mg QD And Naproxen 500mg BID In Treating The Signs And Symptoms Of Osteoarthritis Of The Knee Or Hip In Taiwan</w:t>
            </w:r>
          </w:p>
        </w:tc>
        <w:tc>
          <w:tcPr>
            <w:tcW w:w="2373" w:type="dxa"/>
          </w:tcPr>
          <w:p w14:paraId="15789473" w14:textId="048CA03E"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Clinical trial (not published)</w:t>
            </w:r>
          </w:p>
        </w:tc>
      </w:tr>
      <w:tr w:rsidR="0084671B" w:rsidRPr="00252F1D" w14:paraId="48DC3D9A" w14:textId="77777777" w:rsidTr="0084671B">
        <w:tc>
          <w:tcPr>
            <w:tcW w:w="4815" w:type="dxa"/>
          </w:tcPr>
          <w:p w14:paraId="368E11B0" w14:textId="21EC1B3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Dose-Ranging Study Of Valdecoxib 5 Mg, 10 Mg, And 20 Mg Once Daily Versus Placebo In Patients With Osteoarthritis Of The Knee (Japan)</w:t>
            </w:r>
          </w:p>
        </w:tc>
        <w:tc>
          <w:tcPr>
            <w:tcW w:w="3951" w:type="dxa"/>
          </w:tcPr>
          <w:p w14:paraId="034956F8" w14:textId="79DD5C7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NCT00650624</w:t>
            </w:r>
          </w:p>
        </w:tc>
        <w:tc>
          <w:tcPr>
            <w:tcW w:w="1095" w:type="dxa"/>
          </w:tcPr>
          <w:p w14:paraId="2F9A2D41" w14:textId="3C30CCE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2008</w:t>
            </w:r>
          </w:p>
        </w:tc>
        <w:tc>
          <w:tcPr>
            <w:tcW w:w="1758" w:type="dxa"/>
          </w:tcPr>
          <w:p w14:paraId="48C6E331" w14:textId="37323A1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Dose-Ranging Study Of Valdecoxib 5 Mg, 10 Mg, And 20 Mg QD Versus Placebo In Patients With OA Of The Knee</w:t>
            </w:r>
          </w:p>
        </w:tc>
        <w:tc>
          <w:tcPr>
            <w:tcW w:w="2373" w:type="dxa"/>
          </w:tcPr>
          <w:p w14:paraId="1106B1B6" w14:textId="1CEBAC0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Clinical trial (not published)</w:t>
            </w:r>
          </w:p>
        </w:tc>
      </w:tr>
      <w:tr w:rsidR="0084671B" w14:paraId="5DEF5A8E" w14:textId="77777777" w:rsidTr="0084671B">
        <w:tc>
          <w:tcPr>
            <w:tcW w:w="4815" w:type="dxa"/>
          </w:tcPr>
          <w:p w14:paraId="44341669" w14:textId="18340F7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Results of multicenter clinical trial of the drug structum in Russia</w:t>
            </w:r>
          </w:p>
        </w:tc>
        <w:tc>
          <w:tcPr>
            <w:tcW w:w="3951" w:type="dxa"/>
          </w:tcPr>
          <w:p w14:paraId="1D4C8F57" w14:textId="2042308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Nasonova, V.A.; Alekseeva, L.I.; Arkhangelskaya, G.S.; Davydova, A.F.; Karmiltseva, E.A.; Kogan, K.M.; Mazurov, V.I.; Rebrov, A.P.; Ryabtseva, O.F.; Shemerovskaya, T.G.; Shmidt, E.I.; Yakushin, S.S.; Soldatov, D.G.</w:t>
            </w:r>
          </w:p>
        </w:tc>
        <w:tc>
          <w:tcPr>
            <w:tcW w:w="1095" w:type="dxa"/>
          </w:tcPr>
          <w:p w14:paraId="1D23C43D" w14:textId="264CA54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2001</w:t>
            </w:r>
          </w:p>
        </w:tc>
        <w:tc>
          <w:tcPr>
            <w:tcW w:w="1758" w:type="dxa"/>
          </w:tcPr>
          <w:p w14:paraId="002C2484" w14:textId="656C6BE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Terapevticheskii Arkhiv</w:t>
            </w:r>
          </w:p>
        </w:tc>
        <w:tc>
          <w:tcPr>
            <w:tcW w:w="2373" w:type="dxa"/>
          </w:tcPr>
          <w:p w14:paraId="388192F4" w14:textId="0B746D1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6166D0DA" w14:textId="77777777" w:rsidTr="0084671B">
        <w:tc>
          <w:tcPr>
            <w:tcW w:w="4815" w:type="dxa"/>
          </w:tcPr>
          <w:p w14:paraId="4271DF7D" w14:textId="0C89BB9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[Results of the multicenter clinical trial of structum preparation in Russia].</w:t>
            </w:r>
          </w:p>
        </w:tc>
        <w:tc>
          <w:tcPr>
            <w:tcW w:w="3951" w:type="dxa"/>
          </w:tcPr>
          <w:p w14:paraId="25979973" w14:textId="1AEF289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Nasonova, V A; Alekseeva, L I; Arkhangel'skaia, G S; Davydova, A F; Karmil'tseva, E A; Kogan, K M; Mazurov, V I; Rebrov, A P; Riabitseva, O F; Shemerovskaia, T G; Shmidt, E I; Iakushin, S S; Soldatov, D G</w:t>
            </w:r>
          </w:p>
        </w:tc>
        <w:tc>
          <w:tcPr>
            <w:tcW w:w="1095" w:type="dxa"/>
          </w:tcPr>
          <w:p w14:paraId="43E69EDA" w14:textId="63F5D9D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2001</w:t>
            </w:r>
          </w:p>
        </w:tc>
        <w:tc>
          <w:tcPr>
            <w:tcW w:w="1758" w:type="dxa"/>
          </w:tcPr>
          <w:p w14:paraId="0168F561" w14:textId="69B1E50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Terapevticheskii arkhiv</w:t>
            </w:r>
          </w:p>
        </w:tc>
        <w:tc>
          <w:tcPr>
            <w:tcW w:w="2373" w:type="dxa"/>
          </w:tcPr>
          <w:p w14:paraId="329A3818" w14:textId="68ACA0B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2C8BBFA4" w14:textId="77777777" w:rsidTr="0084671B">
        <w:tc>
          <w:tcPr>
            <w:tcW w:w="4815" w:type="dxa"/>
          </w:tcPr>
          <w:p w14:paraId="40672242" w14:textId="419ECF3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Glucosamin sulphate versus Piroxicam in symptomatic therapy of the osteoarthritits of the knee: a randomised and double-blind study</w:t>
            </w:r>
          </w:p>
        </w:tc>
        <w:tc>
          <w:tcPr>
            <w:tcW w:w="3951" w:type="dxa"/>
          </w:tcPr>
          <w:p w14:paraId="4F9A2514" w14:textId="0480746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Forster KK, Giacovelli G, Schmid K, Rovati LC</w:t>
            </w:r>
          </w:p>
        </w:tc>
        <w:tc>
          <w:tcPr>
            <w:tcW w:w="1095" w:type="dxa"/>
          </w:tcPr>
          <w:p w14:paraId="678D47B4" w14:textId="4EFE842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2001</w:t>
            </w:r>
          </w:p>
        </w:tc>
        <w:tc>
          <w:tcPr>
            <w:tcW w:w="1758" w:type="dxa"/>
          </w:tcPr>
          <w:p w14:paraId="3204C39F" w14:textId="1521E71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Glucosaminsulfat versus Piroxicam in der symptomatischen Therapie der Gonarthrose: eine randomisierte und doppelblind durchgefuhrte Studie</w:t>
            </w:r>
          </w:p>
        </w:tc>
        <w:tc>
          <w:tcPr>
            <w:tcW w:w="2373" w:type="dxa"/>
          </w:tcPr>
          <w:p w14:paraId="7BD16E92" w14:textId="50AAA23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6D0AFCB8" w14:textId="77777777" w:rsidTr="0084671B">
        <w:tc>
          <w:tcPr>
            <w:tcW w:w="4815" w:type="dxa"/>
          </w:tcPr>
          <w:p w14:paraId="0843BFF0" w14:textId="3D1ECBF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double-blind comparative study between proquazon and indomethacin in out-patients with osteoarthritis of the knee</w:t>
            </w:r>
          </w:p>
        </w:tc>
        <w:tc>
          <w:tcPr>
            <w:tcW w:w="3951" w:type="dxa"/>
          </w:tcPr>
          <w:p w14:paraId="2A2706FF" w14:textId="61827E7E"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Genti, G.; Reti, P.; Jakab, M.</w:t>
            </w:r>
          </w:p>
        </w:tc>
        <w:tc>
          <w:tcPr>
            <w:tcW w:w="1095" w:type="dxa"/>
          </w:tcPr>
          <w:p w14:paraId="36442FF1" w14:textId="663B8C7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1981</w:t>
            </w:r>
          </w:p>
        </w:tc>
        <w:tc>
          <w:tcPr>
            <w:tcW w:w="1758" w:type="dxa"/>
          </w:tcPr>
          <w:p w14:paraId="70EFF914" w14:textId="158902F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Magyar Reumatologia</w:t>
            </w:r>
          </w:p>
        </w:tc>
        <w:tc>
          <w:tcPr>
            <w:tcW w:w="2373" w:type="dxa"/>
          </w:tcPr>
          <w:p w14:paraId="41336DE0" w14:textId="4443344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430CC0E9" w14:textId="77777777" w:rsidTr="0084671B">
        <w:tc>
          <w:tcPr>
            <w:tcW w:w="4815" w:type="dxa"/>
          </w:tcPr>
          <w:p w14:paraId="598E1095" w14:textId="6139D91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Comparative clinical trial of tiaprofenic acid against naproxen in osteoarthritis of the knee</w:t>
            </w:r>
          </w:p>
        </w:tc>
        <w:tc>
          <w:tcPr>
            <w:tcW w:w="3951" w:type="dxa"/>
          </w:tcPr>
          <w:p w14:paraId="3A1F1A24" w14:textId="0349476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Escalante Triay, F.J.</w:t>
            </w:r>
          </w:p>
        </w:tc>
        <w:tc>
          <w:tcPr>
            <w:tcW w:w="1095" w:type="dxa"/>
          </w:tcPr>
          <w:p w14:paraId="563AB423" w14:textId="2D4424C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1981</w:t>
            </w:r>
          </w:p>
        </w:tc>
        <w:tc>
          <w:tcPr>
            <w:tcW w:w="1758" w:type="dxa"/>
          </w:tcPr>
          <w:p w14:paraId="251D937C" w14:textId="2A4416F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Investigacion Medica Internacional</w:t>
            </w:r>
          </w:p>
        </w:tc>
        <w:tc>
          <w:tcPr>
            <w:tcW w:w="2373" w:type="dxa"/>
          </w:tcPr>
          <w:p w14:paraId="7AAFBDAE" w14:textId="11324B24"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0D7CDAC6" w14:textId="77777777" w:rsidTr="0084671B">
        <w:tc>
          <w:tcPr>
            <w:tcW w:w="4815" w:type="dxa"/>
          </w:tcPr>
          <w:p w14:paraId="5B51787E" w14:textId="5179612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Comparative, double-blind study on clinical efficacy and tolerance of microcapsulated butibufen and naproxen in patients with osteoarthritis of the knee joint</w:t>
            </w:r>
          </w:p>
        </w:tc>
        <w:tc>
          <w:tcPr>
            <w:tcW w:w="3951" w:type="dxa"/>
          </w:tcPr>
          <w:p w14:paraId="5F886F69" w14:textId="3890A3B4"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Fernandez-Calvet, L.; Alamo, C.; Beato, I.; Tornero, J.; Carballo, F.; Dominguez, E.; De La Morena, J.</w:t>
            </w:r>
          </w:p>
        </w:tc>
        <w:tc>
          <w:tcPr>
            <w:tcW w:w="1095" w:type="dxa"/>
          </w:tcPr>
          <w:p w14:paraId="1026EFBB" w14:textId="1FE5136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1990</w:t>
            </w:r>
          </w:p>
        </w:tc>
        <w:tc>
          <w:tcPr>
            <w:tcW w:w="1758" w:type="dxa"/>
          </w:tcPr>
          <w:p w14:paraId="40C79194" w14:textId="3224FB5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Revista Espanola de Reumatologia</w:t>
            </w:r>
          </w:p>
        </w:tc>
        <w:tc>
          <w:tcPr>
            <w:tcW w:w="2373" w:type="dxa"/>
          </w:tcPr>
          <w:p w14:paraId="4328C0E5" w14:textId="4FCA9AD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Foreign language; </w:t>
            </w:r>
          </w:p>
        </w:tc>
      </w:tr>
      <w:tr w:rsidR="0084671B" w14:paraId="22935A54" w14:textId="77777777" w:rsidTr="0084671B">
        <w:tc>
          <w:tcPr>
            <w:tcW w:w="4815" w:type="dxa"/>
          </w:tcPr>
          <w:p w14:paraId="09E19FA5" w14:textId="2AA3BF7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Relifex in treatment of coxarthrosis and gonarthrosis</w:t>
            </w:r>
          </w:p>
        </w:tc>
        <w:tc>
          <w:tcPr>
            <w:tcW w:w="3951" w:type="dxa"/>
          </w:tcPr>
          <w:p w14:paraId="2FB63BE2" w14:textId="66F608E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Filipowicz-Sosnowska, A.; Maldyk, H.; Bernacka, K.; Mackiewicz, S.H.; Zubrzycka-Sienkiewicz, A.</w:t>
            </w:r>
          </w:p>
        </w:tc>
        <w:tc>
          <w:tcPr>
            <w:tcW w:w="1095" w:type="dxa"/>
          </w:tcPr>
          <w:p w14:paraId="7D2416C1" w14:textId="07BFA43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1997</w:t>
            </w:r>
          </w:p>
        </w:tc>
        <w:tc>
          <w:tcPr>
            <w:tcW w:w="1758" w:type="dxa"/>
          </w:tcPr>
          <w:p w14:paraId="6C89D928" w14:textId="5E0B8AD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Reumatologia</w:t>
            </w:r>
          </w:p>
        </w:tc>
        <w:tc>
          <w:tcPr>
            <w:tcW w:w="2373" w:type="dxa"/>
          </w:tcPr>
          <w:p w14:paraId="7F5CB4DC" w14:textId="7BDAA1D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62254691" w14:textId="77777777" w:rsidTr="0084671B">
        <w:tc>
          <w:tcPr>
            <w:tcW w:w="4815" w:type="dxa"/>
          </w:tcPr>
          <w:p w14:paraId="09FD0C7B" w14:textId="0D807ED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clinical assessment of Sulindac in the treatment of arthrosis</w:t>
            </w:r>
          </w:p>
        </w:tc>
        <w:tc>
          <w:tcPr>
            <w:tcW w:w="3951" w:type="dxa"/>
          </w:tcPr>
          <w:p w14:paraId="4BD4747E" w14:textId="158FCD90" w:rsidR="0084671B" w:rsidRPr="00F20D3D"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Carcassi, A.; Macri, P.; Gioffre, W.R.</w:t>
            </w:r>
          </w:p>
        </w:tc>
        <w:tc>
          <w:tcPr>
            <w:tcW w:w="1095" w:type="dxa"/>
          </w:tcPr>
          <w:p w14:paraId="3085ED40" w14:textId="48CDC8A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1979</w:t>
            </w:r>
          </w:p>
        </w:tc>
        <w:tc>
          <w:tcPr>
            <w:tcW w:w="1758" w:type="dxa"/>
          </w:tcPr>
          <w:p w14:paraId="1CEB842C" w14:textId="1997A97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Gazzetta Medica Italiana</w:t>
            </w:r>
          </w:p>
        </w:tc>
        <w:tc>
          <w:tcPr>
            <w:tcW w:w="2373" w:type="dxa"/>
          </w:tcPr>
          <w:p w14:paraId="123A503F" w14:textId="6A4D7BFE"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0F4D64B3" w14:textId="77777777" w:rsidTr="0084671B">
        <w:tc>
          <w:tcPr>
            <w:tcW w:w="4815" w:type="dxa"/>
          </w:tcPr>
          <w:p w14:paraId="4B112608" w14:textId="399AB4D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Therapeutic efficacy of tenoxicam in osteoarthrosis disease. A comparative double-blind study of diclofenac</w:t>
            </w:r>
          </w:p>
        </w:tc>
        <w:tc>
          <w:tcPr>
            <w:tcW w:w="3951" w:type="dxa"/>
          </w:tcPr>
          <w:p w14:paraId="6BECD652" w14:textId="7F184F5A"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Ciolli, L.; Mannarini, M.; Specchia, N.; Gigante, A.; Teti, A.</w:t>
            </w:r>
          </w:p>
        </w:tc>
        <w:tc>
          <w:tcPr>
            <w:tcW w:w="1095" w:type="dxa"/>
          </w:tcPr>
          <w:p w14:paraId="77E70AB0" w14:textId="62A9393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1993</w:t>
            </w:r>
          </w:p>
        </w:tc>
        <w:tc>
          <w:tcPr>
            <w:tcW w:w="1758" w:type="dxa"/>
          </w:tcPr>
          <w:p w14:paraId="7591E85D" w14:textId="1103CC4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Rivista Italiana di Biologia e Medicina</w:t>
            </w:r>
          </w:p>
        </w:tc>
        <w:tc>
          <w:tcPr>
            <w:tcW w:w="2373" w:type="dxa"/>
          </w:tcPr>
          <w:p w14:paraId="798C1D4F" w14:textId="59C020C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7CE66298" w14:textId="77777777" w:rsidTr="0084671B">
        <w:tc>
          <w:tcPr>
            <w:tcW w:w="4815" w:type="dxa"/>
          </w:tcPr>
          <w:p w14:paraId="271CEA64" w14:textId="3AB61E2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Comparative double blind, crossover, randomized trials of efficacy and tolerance of fenbufen and acetylsalicylic acid in osteoarthrosis of the hip and knee</w:t>
            </w:r>
          </w:p>
        </w:tc>
        <w:tc>
          <w:tcPr>
            <w:tcW w:w="3951" w:type="dxa"/>
          </w:tcPr>
          <w:p w14:paraId="1B58BD1F" w14:textId="77AE956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Corts Giner, J.R.</w:t>
            </w:r>
          </w:p>
        </w:tc>
        <w:tc>
          <w:tcPr>
            <w:tcW w:w="1095" w:type="dxa"/>
          </w:tcPr>
          <w:p w14:paraId="365C09FB" w14:textId="7FA774B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1979</w:t>
            </w:r>
          </w:p>
        </w:tc>
        <w:tc>
          <w:tcPr>
            <w:tcW w:w="1758" w:type="dxa"/>
          </w:tcPr>
          <w:p w14:paraId="03F7B31C" w14:textId="5634EBD7"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Revista Espanola de Reumatismo y Enfermedades Osteoarticulares</w:t>
            </w:r>
          </w:p>
        </w:tc>
        <w:tc>
          <w:tcPr>
            <w:tcW w:w="2373" w:type="dxa"/>
          </w:tcPr>
          <w:p w14:paraId="509EF33E" w14:textId="474877D6"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3F0519A0" w14:textId="77777777" w:rsidTr="0084671B">
        <w:tc>
          <w:tcPr>
            <w:tcW w:w="4815" w:type="dxa"/>
          </w:tcPr>
          <w:p w14:paraId="2D614F97" w14:textId="422A39B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Acemetacin in the treatment of arthrosis of the hip and knee joints. </w:t>
            </w:r>
            <w:r w:rsidRPr="000B369D">
              <w:rPr>
                <w:rFonts w:ascii="Arial" w:eastAsia="Times New Roman" w:hAnsi="Arial" w:cs="Arial"/>
                <w:color w:val="000000"/>
                <w:sz w:val="20"/>
                <w:szCs w:val="20"/>
                <w:lang w:eastAsia="fr-BE"/>
              </w:rPr>
              <w:t>Results from a double-blind study vs. piroxicam</w:t>
            </w:r>
          </w:p>
        </w:tc>
        <w:tc>
          <w:tcPr>
            <w:tcW w:w="3951" w:type="dxa"/>
          </w:tcPr>
          <w:p w14:paraId="09371CC4" w14:textId="68F3F2D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Kronhagel, R.</w:t>
            </w:r>
          </w:p>
        </w:tc>
        <w:tc>
          <w:tcPr>
            <w:tcW w:w="1095" w:type="dxa"/>
          </w:tcPr>
          <w:p w14:paraId="22573491" w14:textId="71B752F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1985</w:t>
            </w:r>
          </w:p>
        </w:tc>
        <w:tc>
          <w:tcPr>
            <w:tcW w:w="1758" w:type="dxa"/>
          </w:tcPr>
          <w:p w14:paraId="06885C58" w14:textId="20F7483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Fortschritte der Medizin</w:t>
            </w:r>
          </w:p>
        </w:tc>
        <w:tc>
          <w:tcPr>
            <w:tcW w:w="2373" w:type="dxa"/>
          </w:tcPr>
          <w:p w14:paraId="384B6241" w14:textId="499A4883"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49006B75" w14:textId="77777777" w:rsidTr="0084671B">
        <w:tc>
          <w:tcPr>
            <w:tcW w:w="4815" w:type="dxa"/>
          </w:tcPr>
          <w:p w14:paraId="41B4E9F0" w14:textId="3EDC9DF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Comparative clinical trial of tiaprofenic acid against naproxen in osteoarthritis of the knee.  </w:t>
            </w:r>
            <w:r w:rsidRPr="000B369D">
              <w:rPr>
                <w:rFonts w:ascii="Arial" w:eastAsia="Times New Roman" w:hAnsi="Arial" w:cs="Arial"/>
                <w:color w:val="000000"/>
                <w:sz w:val="20"/>
                <w:szCs w:val="20"/>
                <w:lang w:eastAsia="fr-BE"/>
              </w:rPr>
              <w:t>ENSAYO CLINICO COMPARATIVO DEL ACIDO TIAPROFENICO VS NAPROXEN EN PACIENTES CON GONARTROSIS</w:t>
            </w:r>
          </w:p>
        </w:tc>
        <w:tc>
          <w:tcPr>
            <w:tcW w:w="3951" w:type="dxa"/>
          </w:tcPr>
          <w:p w14:paraId="547F7BB8" w14:textId="30A4AE1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Escalante TFJ</w:t>
            </w:r>
          </w:p>
        </w:tc>
        <w:tc>
          <w:tcPr>
            <w:tcW w:w="1095" w:type="dxa"/>
          </w:tcPr>
          <w:p w14:paraId="39BA3263" w14:textId="38B6E23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1981</w:t>
            </w:r>
          </w:p>
        </w:tc>
        <w:tc>
          <w:tcPr>
            <w:tcW w:w="1758" w:type="dxa"/>
          </w:tcPr>
          <w:p w14:paraId="372BD310" w14:textId="77777777" w:rsidR="0084671B" w:rsidRDefault="0084671B" w:rsidP="0084671B">
            <w:pPr>
              <w:rPr>
                <w:rFonts w:ascii="Arial" w:hAnsi="Arial" w:cs="Arial"/>
                <w:b/>
                <w:bCs/>
                <w:sz w:val="20"/>
                <w:szCs w:val="20"/>
                <w:lang w:val="en-GB"/>
              </w:rPr>
            </w:pPr>
          </w:p>
        </w:tc>
        <w:tc>
          <w:tcPr>
            <w:tcW w:w="2373" w:type="dxa"/>
          </w:tcPr>
          <w:p w14:paraId="274CD126" w14:textId="5B117DF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3A59C52D" w14:textId="77777777" w:rsidTr="0084671B">
        <w:tc>
          <w:tcPr>
            <w:tcW w:w="4815" w:type="dxa"/>
          </w:tcPr>
          <w:p w14:paraId="30273A60" w14:textId="4919939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[Use of prolonged corticosteroids and hyaluronic acid salts in treatment of gonarthrosis].</w:t>
            </w:r>
          </w:p>
        </w:tc>
        <w:tc>
          <w:tcPr>
            <w:tcW w:w="3951" w:type="dxa"/>
          </w:tcPr>
          <w:p w14:paraId="6BF74AAA" w14:textId="753EF5A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Kaplunov, O A; Biriukov, S N; Bersanov, V Kh</w:t>
            </w:r>
          </w:p>
        </w:tc>
        <w:tc>
          <w:tcPr>
            <w:tcW w:w="1095" w:type="dxa"/>
          </w:tcPr>
          <w:p w14:paraId="08F85B24" w14:textId="0B6392B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2015</w:t>
            </w:r>
          </w:p>
        </w:tc>
        <w:tc>
          <w:tcPr>
            <w:tcW w:w="1758" w:type="dxa"/>
          </w:tcPr>
          <w:p w14:paraId="3ACD1F76" w14:textId="0600380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Khirurgiia</w:t>
            </w:r>
          </w:p>
        </w:tc>
        <w:tc>
          <w:tcPr>
            <w:tcW w:w="2373" w:type="dxa"/>
          </w:tcPr>
          <w:p w14:paraId="6A3CD239" w14:textId="5172D55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Foreign language; </w:t>
            </w:r>
          </w:p>
        </w:tc>
      </w:tr>
      <w:tr w:rsidR="0084671B" w14:paraId="2D9D8291" w14:textId="77777777" w:rsidTr="0084671B">
        <w:tc>
          <w:tcPr>
            <w:tcW w:w="4815" w:type="dxa"/>
          </w:tcPr>
          <w:p w14:paraId="20EE1B7A" w14:textId="3D7022A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COX-2 selective NSAID's in gonarthrosis: More effective than high doses of paracetamol?</w:t>
            </w:r>
          </w:p>
        </w:tc>
        <w:tc>
          <w:tcPr>
            <w:tcW w:w="3951" w:type="dxa"/>
          </w:tcPr>
          <w:p w14:paraId="69A0DFC6" w14:textId="11EF5B8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Kerst, A.J.F.A.</w:t>
            </w:r>
          </w:p>
        </w:tc>
        <w:tc>
          <w:tcPr>
            <w:tcW w:w="1095" w:type="dxa"/>
          </w:tcPr>
          <w:p w14:paraId="5BB5A192" w14:textId="26964C1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2002</w:t>
            </w:r>
          </w:p>
        </w:tc>
        <w:tc>
          <w:tcPr>
            <w:tcW w:w="1758" w:type="dxa"/>
          </w:tcPr>
          <w:p w14:paraId="6204346E" w14:textId="6EF1DB3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Geneesmiddelenbulletin</w:t>
            </w:r>
          </w:p>
        </w:tc>
        <w:tc>
          <w:tcPr>
            <w:tcW w:w="2373" w:type="dxa"/>
          </w:tcPr>
          <w:p w14:paraId="565C4A5C" w14:textId="4F744E3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Foreign language; </w:t>
            </w:r>
          </w:p>
        </w:tc>
      </w:tr>
      <w:tr w:rsidR="0084671B" w14:paraId="6D5F763A" w14:textId="77777777" w:rsidTr="0084671B">
        <w:tc>
          <w:tcPr>
            <w:tcW w:w="4815" w:type="dxa"/>
          </w:tcPr>
          <w:p w14:paraId="0EA6B1AC" w14:textId="3BE9371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and tolerance of piroxicam gel. Percutaneous nonsteroidal antirheumatic agents in the treatment of gonarthrosis</w:t>
            </w:r>
          </w:p>
        </w:tc>
        <w:tc>
          <w:tcPr>
            <w:tcW w:w="3951" w:type="dxa"/>
          </w:tcPr>
          <w:p w14:paraId="2BFAC16B" w14:textId="7CF4815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Kullich, W.; Klein, G.</w:t>
            </w:r>
          </w:p>
        </w:tc>
        <w:tc>
          <w:tcPr>
            <w:tcW w:w="1095" w:type="dxa"/>
          </w:tcPr>
          <w:p w14:paraId="4DDAE69C" w14:textId="4B13DC9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1993</w:t>
            </w:r>
          </w:p>
        </w:tc>
        <w:tc>
          <w:tcPr>
            <w:tcW w:w="1758" w:type="dxa"/>
          </w:tcPr>
          <w:p w14:paraId="61CDC61D" w14:textId="5401BCC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Therapiewoche Osterreich</w:t>
            </w:r>
          </w:p>
        </w:tc>
        <w:tc>
          <w:tcPr>
            <w:tcW w:w="2373" w:type="dxa"/>
          </w:tcPr>
          <w:p w14:paraId="2E361F67" w14:textId="61B331A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493ADC7D" w14:textId="77777777" w:rsidTr="0084671B">
        <w:tc>
          <w:tcPr>
            <w:tcW w:w="4815" w:type="dxa"/>
          </w:tcPr>
          <w:p w14:paraId="024777AD" w14:textId="3284789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of chondroitin sulphate in the treatment of elderly patients with gonarthrosis and coxarthrosis].</w:t>
            </w:r>
          </w:p>
        </w:tc>
        <w:tc>
          <w:tcPr>
            <w:tcW w:w="3951" w:type="dxa"/>
          </w:tcPr>
          <w:p w14:paraId="0AC6CAD8" w14:textId="1F13C13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Lazebnik, L B; Drozdov, V N</w:t>
            </w:r>
          </w:p>
        </w:tc>
        <w:tc>
          <w:tcPr>
            <w:tcW w:w="1095" w:type="dxa"/>
          </w:tcPr>
          <w:p w14:paraId="07606D48" w14:textId="53E7BB2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2005</w:t>
            </w:r>
          </w:p>
        </w:tc>
        <w:tc>
          <w:tcPr>
            <w:tcW w:w="1758" w:type="dxa"/>
          </w:tcPr>
          <w:p w14:paraId="194D1F18" w14:textId="7C02FFF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Terapevticheskii arkhiv</w:t>
            </w:r>
          </w:p>
        </w:tc>
        <w:tc>
          <w:tcPr>
            <w:tcW w:w="2373" w:type="dxa"/>
          </w:tcPr>
          <w:p w14:paraId="3EAE8BED" w14:textId="1A235153"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4F956AF5" w14:textId="77777777" w:rsidTr="0084671B">
        <w:tc>
          <w:tcPr>
            <w:tcW w:w="4815" w:type="dxa"/>
          </w:tcPr>
          <w:p w14:paraId="722975A2" w14:textId="57F38A7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Therapy of gonarthrosis with hyaluronic acid</w:t>
            </w:r>
          </w:p>
        </w:tc>
        <w:tc>
          <w:tcPr>
            <w:tcW w:w="3951" w:type="dxa"/>
          </w:tcPr>
          <w:p w14:paraId="3B92B9F8" w14:textId="35148CC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Linker, R.; Jerosch, J.</w:t>
            </w:r>
          </w:p>
        </w:tc>
        <w:tc>
          <w:tcPr>
            <w:tcW w:w="1095" w:type="dxa"/>
          </w:tcPr>
          <w:p w14:paraId="06F52B26" w14:textId="70690D3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2009</w:t>
            </w:r>
          </w:p>
        </w:tc>
        <w:tc>
          <w:tcPr>
            <w:tcW w:w="1758" w:type="dxa"/>
          </w:tcPr>
          <w:p w14:paraId="0685124C" w14:textId="092E261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Internistische Praxis</w:t>
            </w:r>
          </w:p>
        </w:tc>
        <w:tc>
          <w:tcPr>
            <w:tcW w:w="2373" w:type="dxa"/>
          </w:tcPr>
          <w:p w14:paraId="3A1B97A5" w14:textId="4A792D08"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Foreign language; </w:t>
            </w:r>
          </w:p>
        </w:tc>
      </w:tr>
      <w:tr w:rsidR="0084671B" w14:paraId="443311E6" w14:textId="77777777" w:rsidTr="0084671B">
        <w:tc>
          <w:tcPr>
            <w:tcW w:w="4815" w:type="dxa"/>
          </w:tcPr>
          <w:p w14:paraId="323526ED" w14:textId="25C1677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Tenoxicam versus pyroxicam in osteoarthritis of the knee: A multicentric study</w:t>
            </w:r>
          </w:p>
        </w:tc>
        <w:tc>
          <w:tcPr>
            <w:tcW w:w="3951" w:type="dxa"/>
          </w:tcPr>
          <w:p w14:paraId="3C23177B" w14:textId="07AB3F1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Morales Torres, J.L.A.; Reyes Lopez, P.A.; Herrejon Cervantes, G.</w:t>
            </w:r>
          </w:p>
        </w:tc>
        <w:tc>
          <w:tcPr>
            <w:tcW w:w="1095" w:type="dxa"/>
          </w:tcPr>
          <w:p w14:paraId="2948AB2B" w14:textId="4F9FF65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1990</w:t>
            </w:r>
          </w:p>
        </w:tc>
        <w:tc>
          <w:tcPr>
            <w:tcW w:w="1758" w:type="dxa"/>
          </w:tcPr>
          <w:p w14:paraId="63DB5029" w14:textId="46B9A4F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Investigacion Medica Internacional</w:t>
            </w:r>
          </w:p>
        </w:tc>
        <w:tc>
          <w:tcPr>
            <w:tcW w:w="2373" w:type="dxa"/>
          </w:tcPr>
          <w:p w14:paraId="6F9F0FEE" w14:textId="5AFB921E"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Foreign language; </w:t>
            </w:r>
          </w:p>
        </w:tc>
      </w:tr>
      <w:tr w:rsidR="0084671B" w14:paraId="482EC5B5" w14:textId="77777777" w:rsidTr="0084671B">
        <w:tc>
          <w:tcPr>
            <w:tcW w:w="4815" w:type="dxa"/>
          </w:tcPr>
          <w:p w14:paraId="764288E1" w14:textId="00216DA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Efficiency of local diclophenac treatment in knee osteoartritis, Diz osteoartritinde lokal diklofenak tedavisinin etkinliti. </w:t>
            </w:r>
            <w:r w:rsidRPr="000B369D">
              <w:rPr>
                <w:rFonts w:ascii="Arial" w:eastAsia="Times New Roman" w:hAnsi="Arial" w:cs="Arial"/>
                <w:color w:val="000000"/>
                <w:sz w:val="20"/>
                <w:szCs w:val="20"/>
                <w:lang w:eastAsia="fr-BE"/>
              </w:rPr>
              <w:t>[Turkish, English]</w:t>
            </w:r>
          </w:p>
        </w:tc>
        <w:tc>
          <w:tcPr>
            <w:tcW w:w="3951" w:type="dxa"/>
          </w:tcPr>
          <w:p w14:paraId="718A2841" w14:textId="1D796B7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Ozgen M, Mehmetotlu O, Armatan O</w:t>
            </w:r>
          </w:p>
        </w:tc>
        <w:tc>
          <w:tcPr>
            <w:tcW w:w="1095" w:type="dxa"/>
          </w:tcPr>
          <w:p w14:paraId="5C374404" w14:textId="561C004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2011</w:t>
            </w:r>
          </w:p>
        </w:tc>
        <w:tc>
          <w:tcPr>
            <w:tcW w:w="1758" w:type="dxa"/>
          </w:tcPr>
          <w:p w14:paraId="4F3937C7" w14:textId="77777777" w:rsidR="0084671B" w:rsidRDefault="0084671B" w:rsidP="0084671B">
            <w:pPr>
              <w:rPr>
                <w:rFonts w:ascii="Arial" w:hAnsi="Arial" w:cs="Arial"/>
                <w:b/>
                <w:bCs/>
                <w:sz w:val="20"/>
                <w:szCs w:val="20"/>
                <w:lang w:val="en-GB"/>
              </w:rPr>
            </w:pPr>
          </w:p>
        </w:tc>
        <w:tc>
          <w:tcPr>
            <w:tcW w:w="2373" w:type="dxa"/>
          </w:tcPr>
          <w:p w14:paraId="611D9D77" w14:textId="0B449D4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280C3E1E" w14:textId="77777777" w:rsidTr="0084671B">
        <w:tc>
          <w:tcPr>
            <w:tcW w:w="4815" w:type="dxa"/>
          </w:tcPr>
          <w:p w14:paraId="456384AC" w14:textId="6252B10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Evaluation of clinical effectiveness and tolerability of diacerhein retard in knee arthrosis</w:t>
            </w:r>
          </w:p>
        </w:tc>
        <w:tc>
          <w:tcPr>
            <w:tcW w:w="3951" w:type="dxa"/>
          </w:tcPr>
          <w:p w14:paraId="15E5A51C" w14:textId="195EBD54" w:rsidR="0084671B" w:rsidRPr="00F20D3D"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Paresce, E.; Angelini, M.; Carabba, M.</w:t>
            </w:r>
          </w:p>
        </w:tc>
        <w:tc>
          <w:tcPr>
            <w:tcW w:w="1095" w:type="dxa"/>
          </w:tcPr>
          <w:p w14:paraId="25FBE8DB" w14:textId="6291FA2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1992</w:t>
            </w:r>
          </w:p>
        </w:tc>
        <w:tc>
          <w:tcPr>
            <w:tcW w:w="1758" w:type="dxa"/>
          </w:tcPr>
          <w:p w14:paraId="4C20F08D" w14:textId="1537BF88" w:rsidR="0084671B" w:rsidRPr="00F20D3D"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Giornale Italiano di Ricerche Cliniche e Terapeutiche</w:t>
            </w:r>
          </w:p>
        </w:tc>
        <w:tc>
          <w:tcPr>
            <w:tcW w:w="2373" w:type="dxa"/>
          </w:tcPr>
          <w:p w14:paraId="26B926A5" w14:textId="16BB91C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Foreign language; </w:t>
            </w:r>
          </w:p>
        </w:tc>
      </w:tr>
      <w:tr w:rsidR="0084671B" w14:paraId="7A1A1B74" w14:textId="77777777" w:rsidTr="0084671B">
        <w:tc>
          <w:tcPr>
            <w:tcW w:w="4815" w:type="dxa"/>
          </w:tcPr>
          <w:p w14:paraId="78B7C4E2" w14:textId="34D57E0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Painful knee osteoarthritis: Chondroitin sulfate with glucosamine hydrochloride is equally effective and safe as celecoxib</w:t>
            </w:r>
          </w:p>
        </w:tc>
        <w:tc>
          <w:tcPr>
            <w:tcW w:w="3951" w:type="dxa"/>
          </w:tcPr>
          <w:p w14:paraId="3D0916F3" w14:textId="7D50A57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Plate, A.</w:t>
            </w:r>
          </w:p>
        </w:tc>
        <w:tc>
          <w:tcPr>
            <w:tcW w:w="1095" w:type="dxa"/>
          </w:tcPr>
          <w:p w14:paraId="20C24411" w14:textId="19E9892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2016</w:t>
            </w:r>
          </w:p>
        </w:tc>
        <w:tc>
          <w:tcPr>
            <w:tcW w:w="1758" w:type="dxa"/>
          </w:tcPr>
          <w:p w14:paraId="57BA0735" w14:textId="2F40320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Praxis</w:t>
            </w:r>
          </w:p>
        </w:tc>
        <w:tc>
          <w:tcPr>
            <w:tcW w:w="2373" w:type="dxa"/>
          </w:tcPr>
          <w:p w14:paraId="16B35D97" w14:textId="4CCC169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4AFAE8ED" w14:textId="77777777" w:rsidTr="0084671B">
        <w:tc>
          <w:tcPr>
            <w:tcW w:w="4815" w:type="dxa"/>
          </w:tcPr>
          <w:p w14:paraId="569C3AC8" w14:textId="4C8BE68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Topical application of Piroxicam-Gel in the treatment of activated gonarthrosis</w:t>
            </w:r>
          </w:p>
        </w:tc>
        <w:tc>
          <w:tcPr>
            <w:tcW w:w="3951" w:type="dxa"/>
          </w:tcPr>
          <w:p w14:paraId="4287FE6C" w14:textId="2E1818BF"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Rose, W.; Manz, G.; Lemmel, E.-M.</w:t>
            </w:r>
          </w:p>
        </w:tc>
        <w:tc>
          <w:tcPr>
            <w:tcW w:w="1095" w:type="dxa"/>
          </w:tcPr>
          <w:p w14:paraId="7638410F" w14:textId="6D7A1E5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1991</w:t>
            </w:r>
          </w:p>
        </w:tc>
        <w:tc>
          <w:tcPr>
            <w:tcW w:w="1758" w:type="dxa"/>
          </w:tcPr>
          <w:p w14:paraId="6724D5C2" w14:textId="00EAF05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Munchener Medizinische Wochenschrift</w:t>
            </w:r>
          </w:p>
        </w:tc>
        <w:tc>
          <w:tcPr>
            <w:tcW w:w="2373" w:type="dxa"/>
          </w:tcPr>
          <w:p w14:paraId="0B295051" w14:textId="5012C91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5F22890C" w14:textId="77777777" w:rsidTr="0084671B">
        <w:tc>
          <w:tcPr>
            <w:tcW w:w="4815" w:type="dxa"/>
          </w:tcPr>
          <w:p w14:paraId="16C69A1A" w14:textId="7BBA4E6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Proquazone in the treatment of osteoarthritis of the knee: a double blind comparison with naproxen</w:t>
            </w:r>
          </w:p>
        </w:tc>
        <w:tc>
          <w:tcPr>
            <w:tcW w:w="3951" w:type="dxa"/>
          </w:tcPr>
          <w:p w14:paraId="5C128E4B" w14:textId="355DB34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Sfikakis, P.; Tsachalos, P.</w:t>
            </w:r>
          </w:p>
        </w:tc>
        <w:tc>
          <w:tcPr>
            <w:tcW w:w="1095" w:type="dxa"/>
          </w:tcPr>
          <w:p w14:paraId="4EE9AB96" w14:textId="66B4B00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1977</w:t>
            </w:r>
          </w:p>
        </w:tc>
        <w:tc>
          <w:tcPr>
            <w:tcW w:w="1758" w:type="dxa"/>
          </w:tcPr>
          <w:p w14:paraId="7568793F" w14:textId="3CD287B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Therapeutische Umschau</w:t>
            </w:r>
          </w:p>
        </w:tc>
        <w:tc>
          <w:tcPr>
            <w:tcW w:w="2373" w:type="dxa"/>
          </w:tcPr>
          <w:p w14:paraId="44006B56" w14:textId="73AE2D28"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4957AF10" w14:textId="77777777" w:rsidTr="0084671B">
        <w:tc>
          <w:tcPr>
            <w:tcW w:w="4815" w:type="dxa"/>
          </w:tcPr>
          <w:p w14:paraId="4AF08426" w14:textId="7C074D0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Effect of chondroitin sulphate on synovitis of knee osteoarthritic patients</w:t>
            </w:r>
          </w:p>
        </w:tc>
        <w:tc>
          <w:tcPr>
            <w:tcW w:w="3951" w:type="dxa"/>
          </w:tcPr>
          <w:p w14:paraId="080A8A23" w14:textId="3F228B7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Tio L, Orellana C, Perez-Garcia S, Piqueras L, Escudero P, Juarranz Y, Garcia-Giralt N, Montanes F, Farran A, Benito P, Gomariz RP, Sanz M-J, Monfort J</w:t>
            </w:r>
          </w:p>
        </w:tc>
        <w:tc>
          <w:tcPr>
            <w:tcW w:w="1095" w:type="dxa"/>
          </w:tcPr>
          <w:p w14:paraId="17621C83" w14:textId="2B4D153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2017</w:t>
            </w:r>
          </w:p>
        </w:tc>
        <w:tc>
          <w:tcPr>
            <w:tcW w:w="1758" w:type="dxa"/>
          </w:tcPr>
          <w:p w14:paraId="29EC7F1E" w14:textId="4732E52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Effect of chondroitin sulphate on synovitis of knee osteoarthritic patients</w:t>
            </w:r>
          </w:p>
        </w:tc>
        <w:tc>
          <w:tcPr>
            <w:tcW w:w="2373" w:type="dxa"/>
          </w:tcPr>
          <w:p w14:paraId="70D57E35" w14:textId="068DAF4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Foreign language; </w:t>
            </w:r>
          </w:p>
        </w:tc>
      </w:tr>
      <w:tr w:rsidR="0084671B" w14:paraId="158E3448" w14:textId="77777777" w:rsidTr="0084671B">
        <w:tc>
          <w:tcPr>
            <w:tcW w:w="4815" w:type="dxa"/>
          </w:tcPr>
          <w:p w14:paraId="43E3E3BC" w14:textId="048B2EA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Comparative double-blind trial of tiaprofenic acid and indometacin for oral treatment of osteoarthritis of the knee</w:t>
            </w:r>
          </w:p>
        </w:tc>
        <w:tc>
          <w:tcPr>
            <w:tcW w:w="3951" w:type="dxa"/>
          </w:tcPr>
          <w:p w14:paraId="18A484DB" w14:textId="6A88DAE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Van Elslande, P.</w:t>
            </w:r>
          </w:p>
        </w:tc>
        <w:tc>
          <w:tcPr>
            <w:tcW w:w="1095" w:type="dxa"/>
          </w:tcPr>
          <w:p w14:paraId="7A898C10" w14:textId="1F420EB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1981</w:t>
            </w:r>
          </w:p>
        </w:tc>
        <w:tc>
          <w:tcPr>
            <w:tcW w:w="1758" w:type="dxa"/>
          </w:tcPr>
          <w:p w14:paraId="09CF3F19" w14:textId="443BF4B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Ars Medici Internationaal Tijdschrift voor Praktische Therapie</w:t>
            </w:r>
          </w:p>
        </w:tc>
        <w:tc>
          <w:tcPr>
            <w:tcW w:w="2373" w:type="dxa"/>
          </w:tcPr>
          <w:p w14:paraId="6EB44A2B" w14:textId="4B28406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43202CA3" w14:textId="77777777" w:rsidTr="0084671B">
        <w:tc>
          <w:tcPr>
            <w:tcW w:w="4815" w:type="dxa"/>
          </w:tcPr>
          <w:p w14:paraId="0B786DEC" w14:textId="623BE8D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Controlled clinical study of the effectiveness and tolerability of Etodolac and Pirprophene in the treatment of osteoarthrosis</w:t>
            </w:r>
          </w:p>
        </w:tc>
        <w:tc>
          <w:tcPr>
            <w:tcW w:w="3951" w:type="dxa"/>
          </w:tcPr>
          <w:p w14:paraId="261DC051" w14:textId="2F6155A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Ventura, R.</w:t>
            </w:r>
          </w:p>
        </w:tc>
        <w:tc>
          <w:tcPr>
            <w:tcW w:w="1095" w:type="dxa"/>
          </w:tcPr>
          <w:p w14:paraId="5E67A523" w14:textId="441ED82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1987</w:t>
            </w:r>
          </w:p>
        </w:tc>
        <w:tc>
          <w:tcPr>
            <w:tcW w:w="1758" w:type="dxa"/>
          </w:tcPr>
          <w:p w14:paraId="49371505" w14:textId="6E583C9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Ortopedia e Traumatologia Oggi</w:t>
            </w:r>
          </w:p>
        </w:tc>
        <w:tc>
          <w:tcPr>
            <w:tcW w:w="2373" w:type="dxa"/>
          </w:tcPr>
          <w:p w14:paraId="612E2A78" w14:textId="4A1A666B"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Foreign language; </w:t>
            </w:r>
          </w:p>
        </w:tc>
      </w:tr>
      <w:tr w:rsidR="0084671B" w14:paraId="7D9AEDCB" w14:textId="77777777" w:rsidTr="0084671B">
        <w:tc>
          <w:tcPr>
            <w:tcW w:w="4815" w:type="dxa"/>
          </w:tcPr>
          <w:p w14:paraId="445D4A66" w14:textId="71D7FBC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Compared with other pain medications, opiates do not improve function in back pain, knee and hip osteoarthritis pain</w:t>
            </w:r>
          </w:p>
        </w:tc>
        <w:tc>
          <w:tcPr>
            <w:tcW w:w="3951" w:type="dxa"/>
          </w:tcPr>
          <w:p w14:paraId="49FBF515" w14:textId="05E3B4A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Wertli, M.</w:t>
            </w:r>
          </w:p>
        </w:tc>
        <w:tc>
          <w:tcPr>
            <w:tcW w:w="1095" w:type="dxa"/>
          </w:tcPr>
          <w:p w14:paraId="61F61226" w14:textId="0B9621B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38232EBF" w14:textId="19993CE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Praxis</w:t>
            </w:r>
          </w:p>
        </w:tc>
        <w:tc>
          <w:tcPr>
            <w:tcW w:w="2373" w:type="dxa"/>
          </w:tcPr>
          <w:p w14:paraId="38C5214A" w14:textId="26C263AE"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3FF006B5" w14:textId="77777777" w:rsidTr="0084671B">
        <w:tc>
          <w:tcPr>
            <w:tcW w:w="4815" w:type="dxa"/>
          </w:tcPr>
          <w:p w14:paraId="3BA183C0" w14:textId="0A76C40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efficacy and safety of etoricoxib versus meloxicam in the treatment of patients with gonarthrosis].</w:t>
            </w:r>
          </w:p>
        </w:tc>
        <w:tc>
          <w:tcPr>
            <w:tcW w:w="3951" w:type="dxa"/>
          </w:tcPr>
          <w:p w14:paraId="3E483218" w14:textId="094C2F9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Zavodovsky, B V; Sivordova, L E; Polyakova, Yu V; Akhverdyan, Yu R; Kuznetsova, M I; Zborovskaya, I A</w:t>
            </w:r>
          </w:p>
        </w:tc>
        <w:tc>
          <w:tcPr>
            <w:tcW w:w="1095" w:type="dxa"/>
          </w:tcPr>
          <w:p w14:paraId="72B69849" w14:textId="4ACB94C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2016</w:t>
            </w:r>
          </w:p>
        </w:tc>
        <w:tc>
          <w:tcPr>
            <w:tcW w:w="1758" w:type="dxa"/>
          </w:tcPr>
          <w:p w14:paraId="61FD12FE" w14:textId="7F17114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Terapevticheskii arkhiv</w:t>
            </w:r>
          </w:p>
        </w:tc>
        <w:tc>
          <w:tcPr>
            <w:tcW w:w="2373" w:type="dxa"/>
          </w:tcPr>
          <w:p w14:paraId="44CE7875" w14:textId="32FE7DC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Foreign language; </w:t>
            </w:r>
          </w:p>
        </w:tc>
      </w:tr>
      <w:tr w:rsidR="0084671B" w14:paraId="705A74BA" w14:textId="77777777" w:rsidTr="0084671B">
        <w:tc>
          <w:tcPr>
            <w:tcW w:w="4815" w:type="dxa"/>
          </w:tcPr>
          <w:p w14:paraId="763E1E4D" w14:textId="682B07F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efficacy and safety of single daily doses of oxaprozin in the treatment of osteoarthritis: A comparison with aspirin</w:t>
            </w:r>
          </w:p>
        </w:tc>
        <w:tc>
          <w:tcPr>
            <w:tcW w:w="3951" w:type="dxa"/>
          </w:tcPr>
          <w:p w14:paraId="481D53ED" w14:textId="55DE5B9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Lewis Kolodny, A.; Klipper, A.R.; Harris, B.K.; Howard, F.M.; Kahn, C.B.; Riskin, W.G.; Weaver, A.L.; Willkens, R.F.</w:t>
            </w:r>
          </w:p>
        </w:tc>
        <w:tc>
          <w:tcPr>
            <w:tcW w:w="1095" w:type="dxa"/>
          </w:tcPr>
          <w:p w14:paraId="282990ED" w14:textId="4E6B774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1986</w:t>
            </w:r>
          </w:p>
        </w:tc>
        <w:tc>
          <w:tcPr>
            <w:tcW w:w="1758" w:type="dxa"/>
          </w:tcPr>
          <w:p w14:paraId="5DA9A82A" w14:textId="0BCCDCE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Seminars in Arthritis and Rheumatism</w:t>
            </w:r>
          </w:p>
        </w:tc>
        <w:tc>
          <w:tcPr>
            <w:tcW w:w="2373" w:type="dxa"/>
          </w:tcPr>
          <w:p w14:paraId="50A54BD1" w14:textId="4D445806"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patient population</w:t>
            </w:r>
          </w:p>
        </w:tc>
      </w:tr>
      <w:tr w:rsidR="0084671B" w14:paraId="3BA3614C" w14:textId="77777777" w:rsidTr="0084671B">
        <w:tc>
          <w:tcPr>
            <w:tcW w:w="4815" w:type="dxa"/>
          </w:tcPr>
          <w:p w14:paraId="593D01AC" w14:textId="51F1B58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Long-term effects of glucosamine sulfate on progression of knee osteoarthritis</w:t>
            </w:r>
          </w:p>
        </w:tc>
        <w:tc>
          <w:tcPr>
            <w:tcW w:w="3951" w:type="dxa"/>
          </w:tcPr>
          <w:p w14:paraId="1476184D" w14:textId="40CE8DC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Hart, L.E.</w:t>
            </w:r>
          </w:p>
        </w:tc>
        <w:tc>
          <w:tcPr>
            <w:tcW w:w="1095" w:type="dxa"/>
          </w:tcPr>
          <w:p w14:paraId="118EFC45" w14:textId="4F21136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2002</w:t>
            </w:r>
          </w:p>
        </w:tc>
        <w:tc>
          <w:tcPr>
            <w:tcW w:w="1758" w:type="dxa"/>
          </w:tcPr>
          <w:p w14:paraId="3570A2AE" w14:textId="42F2650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Journal of Sport Medicine</w:t>
            </w:r>
          </w:p>
        </w:tc>
        <w:tc>
          <w:tcPr>
            <w:tcW w:w="2373" w:type="dxa"/>
          </w:tcPr>
          <w:p w14:paraId="3D1DCF38" w14:textId="6819CA9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commentary</w:t>
            </w:r>
          </w:p>
        </w:tc>
      </w:tr>
      <w:tr w:rsidR="0084671B" w14:paraId="1EFE04F7" w14:textId="77777777" w:rsidTr="0084671B">
        <w:tc>
          <w:tcPr>
            <w:tcW w:w="4815" w:type="dxa"/>
          </w:tcPr>
          <w:p w14:paraId="05D8852B" w14:textId="407E5DB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[Experiences with a new administration form of indomethacin. Blind study on the comparison of its effectiveness and tolerance with piroxicam].</w:t>
            </w:r>
          </w:p>
        </w:tc>
        <w:tc>
          <w:tcPr>
            <w:tcW w:w="3951" w:type="dxa"/>
          </w:tcPr>
          <w:p w14:paraId="5E796CF4" w14:textId="4ADE4BA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Gallacchi, G; Strolz, F; Muller, W</w:t>
            </w:r>
          </w:p>
        </w:tc>
        <w:tc>
          <w:tcPr>
            <w:tcW w:w="1095" w:type="dxa"/>
          </w:tcPr>
          <w:p w14:paraId="7355BE87" w14:textId="4D08865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1982</w:t>
            </w:r>
          </w:p>
        </w:tc>
        <w:tc>
          <w:tcPr>
            <w:tcW w:w="1758" w:type="dxa"/>
          </w:tcPr>
          <w:p w14:paraId="3B7B44D8" w14:textId="5B17183D" w:rsidR="0084671B" w:rsidRPr="00F20D3D"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Schweizerische Rundschau fur Medizin Praxis = Revue suisse de medecine Praxis</w:t>
            </w:r>
          </w:p>
        </w:tc>
        <w:tc>
          <w:tcPr>
            <w:tcW w:w="2373" w:type="dxa"/>
          </w:tcPr>
          <w:p w14:paraId="030CD96E" w14:textId="2009CB6E"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74DFFE8B" w14:textId="77777777" w:rsidTr="0084671B">
        <w:tc>
          <w:tcPr>
            <w:tcW w:w="4815" w:type="dxa"/>
          </w:tcPr>
          <w:p w14:paraId="12112D76" w14:textId="32CE0AB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Comparison of effectiveness and safety of tramadol/acetaminophen and non-steroidal anti-inflammatory drugs (NSAIDs) for treatment of knee osteoarthritis in elderly patients</w:t>
            </w:r>
          </w:p>
        </w:tc>
        <w:tc>
          <w:tcPr>
            <w:tcW w:w="3951" w:type="dxa"/>
          </w:tcPr>
          <w:p w14:paraId="3809B50D" w14:textId="257CBF9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Kim SY, Ryou JW, Hur JW</w:t>
            </w:r>
          </w:p>
        </w:tc>
        <w:tc>
          <w:tcPr>
            <w:tcW w:w="1095" w:type="dxa"/>
          </w:tcPr>
          <w:p w14:paraId="67737B80" w14:textId="3DCF639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5455DE27" w14:textId="77777777" w:rsidR="0084671B" w:rsidRDefault="0084671B" w:rsidP="0084671B">
            <w:pPr>
              <w:rPr>
                <w:rFonts w:ascii="Arial" w:hAnsi="Arial" w:cs="Arial"/>
                <w:b/>
                <w:bCs/>
                <w:sz w:val="20"/>
                <w:szCs w:val="20"/>
                <w:lang w:val="en-GB"/>
              </w:rPr>
            </w:pPr>
          </w:p>
        </w:tc>
        <w:tc>
          <w:tcPr>
            <w:tcW w:w="2373" w:type="dxa"/>
          </w:tcPr>
          <w:p w14:paraId="7D385348" w14:textId="582C803B"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rsidRPr="00252F1D" w14:paraId="2BE38FB1" w14:textId="77777777" w:rsidTr="0084671B">
        <w:tc>
          <w:tcPr>
            <w:tcW w:w="4815" w:type="dxa"/>
          </w:tcPr>
          <w:p w14:paraId="50351168" w14:textId="3E40323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Effect of diacerin vs glucosaminechondroitin on disease progression, and measures of function in persons with knee osteoarthritis: a 2-year randomised, doubleblind, placebo-controlled trial</w:t>
            </w:r>
          </w:p>
        </w:tc>
        <w:tc>
          <w:tcPr>
            <w:tcW w:w="3951" w:type="dxa"/>
          </w:tcPr>
          <w:p w14:paraId="1EE9A6D0" w14:textId="3FD47A6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Khan MA, Chinoy M, Iftikhar S, Siddiqui D, Ashfaq S</w:t>
            </w:r>
          </w:p>
        </w:tc>
        <w:tc>
          <w:tcPr>
            <w:tcW w:w="1095" w:type="dxa"/>
          </w:tcPr>
          <w:p w14:paraId="04B13FD9" w14:textId="55694B6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1EEB29D9" w14:textId="77777777" w:rsidR="0084671B" w:rsidRDefault="0084671B" w:rsidP="0084671B">
            <w:pPr>
              <w:rPr>
                <w:rFonts w:ascii="Arial" w:hAnsi="Arial" w:cs="Arial"/>
                <w:b/>
                <w:bCs/>
                <w:sz w:val="20"/>
                <w:szCs w:val="20"/>
                <w:lang w:val="en-GB"/>
              </w:rPr>
            </w:pPr>
          </w:p>
        </w:tc>
        <w:tc>
          <w:tcPr>
            <w:tcW w:w="2373" w:type="dxa"/>
          </w:tcPr>
          <w:p w14:paraId="3EB11E48" w14:textId="437EF49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 xml:space="preserve">Exclusion reason: Not enough information ; </w:t>
            </w:r>
          </w:p>
        </w:tc>
      </w:tr>
      <w:tr w:rsidR="0084671B" w14:paraId="44CEBDE3" w14:textId="77777777" w:rsidTr="0084671B">
        <w:tc>
          <w:tcPr>
            <w:tcW w:w="4815" w:type="dxa"/>
          </w:tcPr>
          <w:p w14:paraId="540C437B" w14:textId="787AA2A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Prospective randomized study comparing the medico-economic benefits of hylan GF-20 versus conventional treatment in knee osteoarthritis</w:t>
            </w:r>
          </w:p>
        </w:tc>
        <w:tc>
          <w:tcPr>
            <w:tcW w:w="3951" w:type="dxa"/>
          </w:tcPr>
          <w:p w14:paraId="758598C7" w14:textId="13BE6099" w:rsidR="0084671B" w:rsidRPr="00F20D3D"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Kahan, A.; Lleu, P.-L.; Salin, L.</w:t>
            </w:r>
          </w:p>
        </w:tc>
        <w:tc>
          <w:tcPr>
            <w:tcW w:w="1095" w:type="dxa"/>
          </w:tcPr>
          <w:p w14:paraId="2142F4FE" w14:textId="098C7A2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2003</w:t>
            </w:r>
          </w:p>
        </w:tc>
        <w:tc>
          <w:tcPr>
            <w:tcW w:w="1758" w:type="dxa"/>
          </w:tcPr>
          <w:p w14:paraId="20BD80ED" w14:textId="6D377A04" w:rsidR="0084671B" w:rsidRPr="00F20D3D"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Revue du Rhumatisme (Edition Francaise)</w:t>
            </w:r>
          </w:p>
        </w:tc>
        <w:tc>
          <w:tcPr>
            <w:tcW w:w="2373" w:type="dxa"/>
          </w:tcPr>
          <w:p w14:paraId="2107D6F8" w14:textId="0450E6B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2060A03F" w14:textId="77777777" w:rsidTr="0084671B">
        <w:tc>
          <w:tcPr>
            <w:tcW w:w="4815" w:type="dxa"/>
          </w:tcPr>
          <w:p w14:paraId="4A57867B" w14:textId="2EAFA65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Efficacy and tolerability of meloxicam versus piroxicam in patients with osteoarthritis of the hip or knee. </w:t>
            </w:r>
            <w:r w:rsidRPr="000B369D">
              <w:rPr>
                <w:rFonts w:ascii="Arial" w:eastAsia="Times New Roman" w:hAnsi="Arial" w:cs="Arial"/>
                <w:color w:val="000000"/>
                <w:sz w:val="20"/>
                <w:szCs w:val="20"/>
                <w:lang w:eastAsia="fr-BE"/>
              </w:rPr>
              <w:t>A six-month double-blind study</w:t>
            </w:r>
          </w:p>
        </w:tc>
        <w:tc>
          <w:tcPr>
            <w:tcW w:w="3951" w:type="dxa"/>
          </w:tcPr>
          <w:p w14:paraId="1ACEEE6F" w14:textId="238C2ED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Hosie, J.; Distel, M.; Bluhmki, E.</w:t>
            </w:r>
          </w:p>
        </w:tc>
        <w:tc>
          <w:tcPr>
            <w:tcW w:w="1095" w:type="dxa"/>
          </w:tcPr>
          <w:p w14:paraId="0F9DD252" w14:textId="53EED26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1997</w:t>
            </w:r>
          </w:p>
        </w:tc>
        <w:tc>
          <w:tcPr>
            <w:tcW w:w="1758" w:type="dxa"/>
          </w:tcPr>
          <w:p w14:paraId="349A5DE5" w14:textId="0C0A14B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Clinical Drug Investigation</w:t>
            </w:r>
          </w:p>
        </w:tc>
        <w:tc>
          <w:tcPr>
            <w:tcW w:w="2373" w:type="dxa"/>
          </w:tcPr>
          <w:p w14:paraId="2110E652" w14:textId="79C91714"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Wrong patient population; </w:t>
            </w:r>
          </w:p>
        </w:tc>
      </w:tr>
      <w:tr w:rsidR="0084671B" w14:paraId="6F70ED01" w14:textId="77777777" w:rsidTr="0084671B">
        <w:tc>
          <w:tcPr>
            <w:tcW w:w="4815" w:type="dxa"/>
          </w:tcPr>
          <w:p w14:paraId="35F05D2A" w14:textId="3287445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Meloxicam in osteoarthritis: a 6-month, double-blind comparison with diclofenac sodium.</w:t>
            </w:r>
          </w:p>
        </w:tc>
        <w:tc>
          <w:tcPr>
            <w:tcW w:w="3951" w:type="dxa"/>
          </w:tcPr>
          <w:p w14:paraId="6132EAA6" w14:textId="0A56856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Hosie, J; Distel, M; Bluhmki, E</w:t>
            </w:r>
          </w:p>
        </w:tc>
        <w:tc>
          <w:tcPr>
            <w:tcW w:w="1095" w:type="dxa"/>
          </w:tcPr>
          <w:p w14:paraId="7960CCB3" w14:textId="3449275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1996</w:t>
            </w:r>
          </w:p>
        </w:tc>
        <w:tc>
          <w:tcPr>
            <w:tcW w:w="1758" w:type="dxa"/>
          </w:tcPr>
          <w:p w14:paraId="1199EC89" w14:textId="7577542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British journal of rheumatology</w:t>
            </w:r>
          </w:p>
        </w:tc>
        <w:tc>
          <w:tcPr>
            <w:tcW w:w="2373" w:type="dxa"/>
          </w:tcPr>
          <w:p w14:paraId="591400D6" w14:textId="7DE344C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Wrong patient population; </w:t>
            </w:r>
          </w:p>
        </w:tc>
      </w:tr>
      <w:tr w:rsidR="0084671B" w14:paraId="16D7341A" w14:textId="77777777" w:rsidTr="0084671B">
        <w:tc>
          <w:tcPr>
            <w:tcW w:w="4815" w:type="dxa"/>
          </w:tcPr>
          <w:p w14:paraId="5A412258" w14:textId="12D3BCB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Randomized, double-blind, multicenter, non inferiority clinical trial with combined glucosamine and chondroitin sulfate vs celecoxib for painful knee osteoarthritis.</w:t>
            </w:r>
          </w:p>
        </w:tc>
        <w:tc>
          <w:tcPr>
            <w:tcW w:w="3951" w:type="dxa"/>
          </w:tcPr>
          <w:p w14:paraId="0FCF61DD" w14:textId="5FFAF079"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Hochberg MC, Martel-Pelletier J, Monfort J, Moller I, Du Souich P, Pelletier J-P</w:t>
            </w:r>
          </w:p>
        </w:tc>
        <w:tc>
          <w:tcPr>
            <w:tcW w:w="1095" w:type="dxa"/>
          </w:tcPr>
          <w:p w14:paraId="21EA113C" w14:textId="38E83CC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2014</w:t>
            </w:r>
          </w:p>
        </w:tc>
        <w:tc>
          <w:tcPr>
            <w:tcW w:w="1758" w:type="dxa"/>
          </w:tcPr>
          <w:p w14:paraId="2BA3FC3F" w14:textId="77777777" w:rsidR="0084671B" w:rsidRDefault="0084671B" w:rsidP="0084671B">
            <w:pPr>
              <w:rPr>
                <w:rFonts w:ascii="Arial" w:hAnsi="Arial" w:cs="Arial"/>
                <w:b/>
                <w:bCs/>
                <w:sz w:val="20"/>
                <w:szCs w:val="20"/>
                <w:lang w:val="en-GB"/>
              </w:rPr>
            </w:pPr>
          </w:p>
        </w:tc>
        <w:tc>
          <w:tcPr>
            <w:tcW w:w="2373" w:type="dxa"/>
          </w:tcPr>
          <w:p w14:paraId="4D10C15F" w14:textId="4071856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Abstracts; </w:t>
            </w:r>
          </w:p>
        </w:tc>
      </w:tr>
      <w:tr w:rsidR="0084671B" w14:paraId="7521AD94" w14:textId="77777777" w:rsidTr="0084671B">
        <w:tc>
          <w:tcPr>
            <w:tcW w:w="4815" w:type="dxa"/>
          </w:tcPr>
          <w:p w14:paraId="58F69413" w14:textId="5E18713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Combined chondroitin sulfate and glucosamine is more efficient than celebrex in reducing serum levels of Coll2-1, a cartilage degradation biomarker, in patients with severe OA: results from a randomized, double-blind, multicentric clinical trial</w:t>
            </w:r>
          </w:p>
        </w:tc>
        <w:tc>
          <w:tcPr>
            <w:tcW w:w="3951" w:type="dxa"/>
          </w:tcPr>
          <w:p w14:paraId="069B7373" w14:textId="6ABC949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Henrotin Y, Arden N, Berenbaum F, Blanco FJ, Castillo JR, Conaghan P, Hick AC, Hochberg M, Martel-Pelletier J, Monfort J, Moller I, Pap T, Pelletier JP, Richette P, Sawitzke A, Du Souich P</w:t>
            </w:r>
          </w:p>
        </w:tc>
        <w:tc>
          <w:tcPr>
            <w:tcW w:w="1095" w:type="dxa"/>
          </w:tcPr>
          <w:p w14:paraId="14A8AE63" w14:textId="5F9E1D0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2015</w:t>
            </w:r>
          </w:p>
        </w:tc>
        <w:tc>
          <w:tcPr>
            <w:tcW w:w="1758" w:type="dxa"/>
          </w:tcPr>
          <w:p w14:paraId="2636DADE" w14:textId="77777777" w:rsidR="0084671B" w:rsidRDefault="0084671B" w:rsidP="0084671B">
            <w:pPr>
              <w:rPr>
                <w:rFonts w:ascii="Arial" w:hAnsi="Arial" w:cs="Arial"/>
                <w:b/>
                <w:bCs/>
                <w:sz w:val="20"/>
                <w:szCs w:val="20"/>
                <w:lang w:val="en-GB"/>
              </w:rPr>
            </w:pPr>
          </w:p>
        </w:tc>
        <w:tc>
          <w:tcPr>
            <w:tcW w:w="2373" w:type="dxa"/>
          </w:tcPr>
          <w:p w14:paraId="21773464" w14:textId="4FCBA4A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Abstracts; </w:t>
            </w:r>
          </w:p>
        </w:tc>
      </w:tr>
      <w:tr w:rsidR="0084671B" w:rsidRPr="00252F1D" w14:paraId="475BBB3C" w14:textId="77777777" w:rsidTr="0084671B">
        <w:tc>
          <w:tcPr>
            <w:tcW w:w="4815" w:type="dxa"/>
          </w:tcPr>
          <w:p w14:paraId="280CEB05" w14:textId="5277723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Assessment of the health-related quality of life impact of euflexxa (1% SODIUM HYALURONATE) using the short form (SF)-36 data collected in a randomized clinical trial.</w:t>
            </w:r>
          </w:p>
        </w:tc>
        <w:tc>
          <w:tcPr>
            <w:tcW w:w="3951" w:type="dxa"/>
          </w:tcPr>
          <w:p w14:paraId="12A0FA28" w14:textId="4B660EA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Hatoum HT, Rosen JE, Fierlinger AL, Lin S-J, Altman RD</w:t>
            </w:r>
          </w:p>
        </w:tc>
        <w:tc>
          <w:tcPr>
            <w:tcW w:w="1095" w:type="dxa"/>
          </w:tcPr>
          <w:p w14:paraId="44A9941E" w14:textId="254E33D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2013</w:t>
            </w:r>
          </w:p>
        </w:tc>
        <w:tc>
          <w:tcPr>
            <w:tcW w:w="1758" w:type="dxa"/>
          </w:tcPr>
          <w:p w14:paraId="38A41698" w14:textId="77777777" w:rsidR="0084671B" w:rsidRDefault="0084671B" w:rsidP="0084671B">
            <w:pPr>
              <w:rPr>
                <w:rFonts w:ascii="Arial" w:hAnsi="Arial" w:cs="Arial"/>
                <w:b/>
                <w:bCs/>
                <w:sz w:val="20"/>
                <w:szCs w:val="20"/>
                <w:lang w:val="en-GB"/>
              </w:rPr>
            </w:pPr>
          </w:p>
        </w:tc>
        <w:tc>
          <w:tcPr>
            <w:tcW w:w="2373" w:type="dxa"/>
          </w:tcPr>
          <w:p w14:paraId="0A039AF1" w14:textId="44272734"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rsidRPr="00252F1D" w14:paraId="1873B3DE" w14:textId="77777777" w:rsidTr="0084671B">
        <w:tc>
          <w:tcPr>
            <w:tcW w:w="4815" w:type="dxa"/>
          </w:tcPr>
          <w:p w14:paraId="252AC2AB" w14:textId="2D17D1E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Hylan G-F 20 single-injection formulation.</w:t>
            </w:r>
          </w:p>
        </w:tc>
        <w:tc>
          <w:tcPr>
            <w:tcW w:w="3951" w:type="dxa"/>
          </w:tcPr>
          <w:p w14:paraId="747AD3BD" w14:textId="05DC66D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Frampton, James E</w:t>
            </w:r>
          </w:p>
        </w:tc>
        <w:tc>
          <w:tcPr>
            <w:tcW w:w="1095" w:type="dxa"/>
          </w:tcPr>
          <w:p w14:paraId="2719EDA7" w14:textId="7362B48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2010</w:t>
            </w:r>
          </w:p>
        </w:tc>
        <w:tc>
          <w:tcPr>
            <w:tcW w:w="1758" w:type="dxa"/>
          </w:tcPr>
          <w:p w14:paraId="28BEDA0A" w14:textId="2CB4782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Drugs &amp; aging</w:t>
            </w:r>
          </w:p>
        </w:tc>
        <w:tc>
          <w:tcPr>
            <w:tcW w:w="2373" w:type="dxa"/>
          </w:tcPr>
          <w:p w14:paraId="3CBF7837" w14:textId="2271892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 xml:space="preserve">Exclusion reason: Wrong study design; </w:t>
            </w:r>
          </w:p>
        </w:tc>
      </w:tr>
      <w:tr w:rsidR="0084671B" w14:paraId="11012FE1" w14:textId="77777777" w:rsidTr="0084671B">
        <w:tc>
          <w:tcPr>
            <w:tcW w:w="4815" w:type="dxa"/>
          </w:tcPr>
          <w:p w14:paraId="29C815FB" w14:textId="78A70D4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randomized, double-blind, multicenter trial of nimesulide-beta-cyclodextrin versus naproxen in patients with osteoarthritis.</w:t>
            </w:r>
          </w:p>
        </w:tc>
        <w:tc>
          <w:tcPr>
            <w:tcW w:w="3951" w:type="dxa"/>
          </w:tcPr>
          <w:p w14:paraId="7BFFF8D9" w14:textId="3BB56FE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Fioravanti, Antonella; Storri, Lara; Di Martino, Stefania; Bisogno, Stefania; Oldani, Virginio; Scotti, Aurelio; Marcolongo, Roberto</w:t>
            </w:r>
          </w:p>
        </w:tc>
        <w:tc>
          <w:tcPr>
            <w:tcW w:w="1095" w:type="dxa"/>
          </w:tcPr>
          <w:p w14:paraId="25FAA5A7" w14:textId="3A91D3C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2002</w:t>
            </w:r>
          </w:p>
        </w:tc>
        <w:tc>
          <w:tcPr>
            <w:tcW w:w="1758" w:type="dxa"/>
          </w:tcPr>
          <w:p w14:paraId="1BB1C539" w14:textId="0776F06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Clinical therapeutics</w:t>
            </w:r>
          </w:p>
        </w:tc>
        <w:tc>
          <w:tcPr>
            <w:tcW w:w="2373" w:type="dxa"/>
          </w:tcPr>
          <w:p w14:paraId="0DE7CF1C" w14:textId="78F1A191"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patient population</w:t>
            </w:r>
          </w:p>
        </w:tc>
      </w:tr>
      <w:tr w:rsidR="0084671B" w14:paraId="5DA0509D" w14:textId="77777777" w:rsidTr="0084671B">
        <w:tc>
          <w:tcPr>
            <w:tcW w:w="4815" w:type="dxa"/>
          </w:tcPr>
          <w:p w14:paraId="759681E2" w14:textId="68D0251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of methotrexate on pain severity reduction and improvement of quality of life in patients with moderate to severe knee osteoarthritis</w:t>
            </w:r>
          </w:p>
        </w:tc>
        <w:tc>
          <w:tcPr>
            <w:tcW w:w="3951" w:type="dxa"/>
          </w:tcPr>
          <w:p w14:paraId="2A01AF51" w14:textId="142B04E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Enteshari-Moghaddam, A.; Isazadehfar, K.; Habibzadeh, A.; Hemmati, M.</w:t>
            </w:r>
          </w:p>
        </w:tc>
        <w:tc>
          <w:tcPr>
            <w:tcW w:w="1095" w:type="dxa"/>
          </w:tcPr>
          <w:p w14:paraId="1DAF85C7" w14:textId="5166B6F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2019</w:t>
            </w:r>
          </w:p>
        </w:tc>
        <w:tc>
          <w:tcPr>
            <w:tcW w:w="1758" w:type="dxa"/>
          </w:tcPr>
          <w:p w14:paraId="71ABE47A" w14:textId="6C86781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Anesthesiology and Pain Medicine</w:t>
            </w:r>
          </w:p>
        </w:tc>
        <w:tc>
          <w:tcPr>
            <w:tcW w:w="2373" w:type="dxa"/>
          </w:tcPr>
          <w:p w14:paraId="6A691D92" w14:textId="7DBA4AC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rsidRPr="00252F1D" w14:paraId="2FD9E769" w14:textId="77777777" w:rsidTr="0084671B">
        <w:tc>
          <w:tcPr>
            <w:tcW w:w="4815" w:type="dxa"/>
          </w:tcPr>
          <w:p w14:paraId="6A418A6C" w14:textId="6ED352C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Long-term effects of vitamin D supplementation and maintaining vitamin D sufficiency on knee osteoarthritis over 5 years</w:t>
            </w:r>
          </w:p>
        </w:tc>
        <w:tc>
          <w:tcPr>
            <w:tcW w:w="3951" w:type="dxa"/>
          </w:tcPr>
          <w:p w14:paraId="6F6846F2" w14:textId="3C1BE68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Eathakkattu Antony BS, Zheng S, Burgess J, Ding C</w:t>
            </w:r>
          </w:p>
        </w:tc>
        <w:tc>
          <w:tcPr>
            <w:tcW w:w="1095" w:type="dxa"/>
          </w:tcPr>
          <w:p w14:paraId="0E769978" w14:textId="1567861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76EA4544" w14:textId="77777777" w:rsidR="0084671B" w:rsidRDefault="0084671B" w:rsidP="0084671B">
            <w:pPr>
              <w:rPr>
                <w:rFonts w:ascii="Arial" w:hAnsi="Arial" w:cs="Arial"/>
                <w:b/>
                <w:bCs/>
                <w:sz w:val="20"/>
                <w:szCs w:val="20"/>
                <w:lang w:val="en-GB"/>
              </w:rPr>
            </w:pPr>
          </w:p>
        </w:tc>
        <w:tc>
          <w:tcPr>
            <w:tcW w:w="2373" w:type="dxa"/>
          </w:tcPr>
          <w:p w14:paraId="14703625" w14:textId="3F90BB6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rsidRPr="00252F1D" w14:paraId="3508A0D2" w14:textId="77777777" w:rsidTr="0084671B">
        <w:tc>
          <w:tcPr>
            <w:tcW w:w="4815" w:type="dxa"/>
          </w:tcPr>
          <w:p w14:paraId="558F62F0" w14:textId="2E73744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Celecoxib improves the efficiency of the locomotor mechanism in patients with knee osteoarthritis. </w:t>
            </w:r>
            <w:r w:rsidRPr="000B369D">
              <w:rPr>
                <w:rFonts w:ascii="Arial" w:eastAsia="Times New Roman" w:hAnsi="Arial" w:cs="Arial"/>
                <w:color w:val="000000"/>
                <w:sz w:val="20"/>
                <w:szCs w:val="20"/>
                <w:lang w:eastAsia="fr-BE"/>
              </w:rPr>
              <w:t>A randomised, placebo, double-blind and cross-over trial.</w:t>
            </w:r>
          </w:p>
        </w:tc>
        <w:tc>
          <w:tcPr>
            <w:tcW w:w="3951" w:type="dxa"/>
          </w:tcPr>
          <w:p w14:paraId="78D36913" w14:textId="1E41AC2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Detrembleur, C; De Nayer, J; van den Hecke, A</w:t>
            </w:r>
          </w:p>
        </w:tc>
        <w:tc>
          <w:tcPr>
            <w:tcW w:w="1095" w:type="dxa"/>
          </w:tcPr>
          <w:p w14:paraId="61730093" w14:textId="5876298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2005</w:t>
            </w:r>
          </w:p>
        </w:tc>
        <w:tc>
          <w:tcPr>
            <w:tcW w:w="1758" w:type="dxa"/>
          </w:tcPr>
          <w:p w14:paraId="13E9FF37" w14:textId="48235C2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Osteoarthritis and cartilage</w:t>
            </w:r>
          </w:p>
        </w:tc>
        <w:tc>
          <w:tcPr>
            <w:tcW w:w="2373" w:type="dxa"/>
          </w:tcPr>
          <w:p w14:paraId="12F0A578" w14:textId="0F93550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14:paraId="086F9F55" w14:textId="77777777" w:rsidTr="0084671B">
        <w:tc>
          <w:tcPr>
            <w:tcW w:w="4815" w:type="dxa"/>
          </w:tcPr>
          <w:p w14:paraId="270E62EB" w14:textId="2230E57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effect of intra-articular hyaluronic acid treatment on gait velocity in older knee osteoarthritis patients: a randomized, controlled study.</w:t>
            </w:r>
          </w:p>
        </w:tc>
        <w:tc>
          <w:tcPr>
            <w:tcW w:w="3951" w:type="dxa"/>
          </w:tcPr>
          <w:p w14:paraId="6DF5A7E9" w14:textId="48E0323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DeCaria, Joseph E; Montero-Odasso, Manuel; Wolfe, Dalton; Chesworth, Bert M; Petrella, Robert J</w:t>
            </w:r>
          </w:p>
        </w:tc>
        <w:tc>
          <w:tcPr>
            <w:tcW w:w="1095" w:type="dxa"/>
          </w:tcPr>
          <w:p w14:paraId="04378DFC" w14:textId="5BF2567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2012</w:t>
            </w:r>
          </w:p>
        </w:tc>
        <w:tc>
          <w:tcPr>
            <w:tcW w:w="1758" w:type="dxa"/>
          </w:tcPr>
          <w:p w14:paraId="624EA53B" w14:textId="7AEC1D2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Archives of gerontology and geriatrics</w:t>
            </w:r>
          </w:p>
        </w:tc>
        <w:tc>
          <w:tcPr>
            <w:tcW w:w="2373" w:type="dxa"/>
          </w:tcPr>
          <w:p w14:paraId="7E25BA79" w14:textId="4F280A2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26478838" w14:textId="77777777" w:rsidTr="0084671B">
        <w:tc>
          <w:tcPr>
            <w:tcW w:w="4815" w:type="dxa"/>
          </w:tcPr>
          <w:p w14:paraId="3D403E98" w14:textId="4E1B87D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Efficacy of a combination of FCHG49 glucosamine hydrochloride, TRH122 low molecular weight sodium chondroitin sulfate </w:t>
            </w:r>
            <w:r w:rsidRPr="000B369D">
              <w:rPr>
                <w:rFonts w:ascii="Arial" w:eastAsia="Times New Roman" w:hAnsi="Arial" w:cs="Arial"/>
                <w:color w:val="000000"/>
                <w:sz w:val="20"/>
                <w:szCs w:val="20"/>
                <w:lang w:val="en-GB" w:eastAsia="fr-BE"/>
              </w:rPr>
              <w:lastRenderedPageBreak/>
              <w:t>and manganese ascorbate in the management of knee osteoarthritis.</w:t>
            </w:r>
          </w:p>
        </w:tc>
        <w:tc>
          <w:tcPr>
            <w:tcW w:w="3951" w:type="dxa"/>
          </w:tcPr>
          <w:p w14:paraId="64AE2854" w14:textId="11360F2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lastRenderedPageBreak/>
              <w:t>Das, A Jr; Hammad, T A</w:t>
            </w:r>
          </w:p>
        </w:tc>
        <w:tc>
          <w:tcPr>
            <w:tcW w:w="1095" w:type="dxa"/>
          </w:tcPr>
          <w:p w14:paraId="084E19ED" w14:textId="61EF334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2000</w:t>
            </w:r>
          </w:p>
        </w:tc>
        <w:tc>
          <w:tcPr>
            <w:tcW w:w="1758" w:type="dxa"/>
          </w:tcPr>
          <w:p w14:paraId="374552CB" w14:textId="308F709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Osteoarthritis and cartilage</w:t>
            </w:r>
          </w:p>
        </w:tc>
        <w:tc>
          <w:tcPr>
            <w:tcW w:w="2373" w:type="dxa"/>
          </w:tcPr>
          <w:p w14:paraId="79860A56" w14:textId="09DFB22B"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69BBDFFB" w14:textId="77777777" w:rsidTr="0084671B">
        <w:tc>
          <w:tcPr>
            <w:tcW w:w="4815" w:type="dxa"/>
          </w:tcPr>
          <w:p w14:paraId="2141934E" w14:textId="65C2D68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Efficacy, Tolerability and Joint Safety of Fasinumab in Osteoarthritis Pain: A Phase IIb/III Double-blind, Placebo-controlled, Randomized Clinical Trial.</w:t>
            </w:r>
          </w:p>
        </w:tc>
        <w:tc>
          <w:tcPr>
            <w:tcW w:w="3951" w:type="dxa"/>
          </w:tcPr>
          <w:p w14:paraId="6BBCCB55" w14:textId="7EAC56F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Dakin, Paula; DiMartino, Stephen J; Gao, Haitao; Maloney, Jennifer; Kivitz, Alan J; Schnitzer, Thomas J; Stahl, Neil; Yancopoulos, George D; Geba, Gregory P</w:t>
            </w:r>
          </w:p>
        </w:tc>
        <w:tc>
          <w:tcPr>
            <w:tcW w:w="1095" w:type="dxa"/>
          </w:tcPr>
          <w:p w14:paraId="44D17E54" w14:textId="34908FA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2019</w:t>
            </w:r>
          </w:p>
        </w:tc>
        <w:tc>
          <w:tcPr>
            <w:tcW w:w="1758" w:type="dxa"/>
          </w:tcPr>
          <w:p w14:paraId="33E83F7F" w14:textId="28E4D32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Arthritis &amp; rheumatology (Hoboken, N.J.)</w:t>
            </w:r>
          </w:p>
        </w:tc>
        <w:tc>
          <w:tcPr>
            <w:tcW w:w="2373" w:type="dxa"/>
          </w:tcPr>
          <w:p w14:paraId="6FD8C2F3" w14:textId="6D85BAA3"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504081E5" w14:textId="77777777" w:rsidTr="0084671B">
        <w:tc>
          <w:tcPr>
            <w:tcW w:w="4815" w:type="dxa"/>
          </w:tcPr>
          <w:p w14:paraId="678C9C30" w14:textId="3E55EAE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randomized, multicentre, double-blind, parallel-group study to assess the adverse event-related discontinuation rate with celecoxib and diclofenac in elderly patients with osteoarthritis.</w:t>
            </w:r>
          </w:p>
        </w:tc>
        <w:tc>
          <w:tcPr>
            <w:tcW w:w="3951" w:type="dxa"/>
          </w:tcPr>
          <w:p w14:paraId="1850CEE2" w14:textId="0120E10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Dahlberg, L E; Holme, I; Hoye, K; Ringertz, B</w:t>
            </w:r>
          </w:p>
        </w:tc>
        <w:tc>
          <w:tcPr>
            <w:tcW w:w="1095" w:type="dxa"/>
          </w:tcPr>
          <w:p w14:paraId="6F1D67BA" w14:textId="6566A0B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2009</w:t>
            </w:r>
          </w:p>
        </w:tc>
        <w:tc>
          <w:tcPr>
            <w:tcW w:w="1758" w:type="dxa"/>
          </w:tcPr>
          <w:p w14:paraId="56212A2E" w14:textId="2D30630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Scandinavian journal of rheumatology</w:t>
            </w:r>
          </w:p>
        </w:tc>
        <w:tc>
          <w:tcPr>
            <w:tcW w:w="2373" w:type="dxa"/>
          </w:tcPr>
          <w:p w14:paraId="515BF7DC" w14:textId="3453BA9E"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patient population</w:t>
            </w:r>
          </w:p>
        </w:tc>
      </w:tr>
      <w:tr w:rsidR="0084671B" w14:paraId="430D60E4" w14:textId="77777777" w:rsidTr="0084671B">
        <w:tc>
          <w:tcPr>
            <w:tcW w:w="4815" w:type="dxa"/>
          </w:tcPr>
          <w:p w14:paraId="55C41943" w14:textId="0B2B064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[Anti-arthrosis treatments: efficacy and tolerance of chondroitin sulfates (CS 4&amp;6)].</w:t>
            </w:r>
          </w:p>
        </w:tc>
        <w:tc>
          <w:tcPr>
            <w:tcW w:w="3951" w:type="dxa"/>
          </w:tcPr>
          <w:p w14:paraId="5F0A0ED5" w14:textId="0C9CCB8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Conrozier, T</w:t>
            </w:r>
          </w:p>
        </w:tc>
        <w:tc>
          <w:tcPr>
            <w:tcW w:w="1095" w:type="dxa"/>
          </w:tcPr>
          <w:p w14:paraId="1FE7E603" w14:textId="7639C06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1998</w:t>
            </w:r>
          </w:p>
        </w:tc>
        <w:tc>
          <w:tcPr>
            <w:tcW w:w="1758" w:type="dxa"/>
          </w:tcPr>
          <w:p w14:paraId="1E6FB265" w14:textId="20981E7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Presse medicale (Paris, France : 1983)</w:t>
            </w:r>
          </w:p>
        </w:tc>
        <w:tc>
          <w:tcPr>
            <w:tcW w:w="2373" w:type="dxa"/>
          </w:tcPr>
          <w:p w14:paraId="3E1B9419" w14:textId="06D69C3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commentary</w:t>
            </w:r>
          </w:p>
        </w:tc>
      </w:tr>
      <w:tr w:rsidR="0084671B" w14:paraId="6C2703A0" w14:textId="77777777" w:rsidTr="0084671B">
        <w:tc>
          <w:tcPr>
            <w:tcW w:w="4815" w:type="dxa"/>
          </w:tcPr>
          <w:p w14:paraId="734AF48D" w14:textId="7233DF0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Long-term treatment of symptomatic osteoarthritis with benoxaprofen. </w:t>
            </w:r>
            <w:r w:rsidRPr="000B369D">
              <w:rPr>
                <w:rFonts w:ascii="Arial" w:eastAsia="Times New Roman" w:hAnsi="Arial" w:cs="Arial"/>
                <w:color w:val="000000"/>
                <w:sz w:val="20"/>
                <w:szCs w:val="20"/>
                <w:lang w:eastAsia="fr-BE"/>
              </w:rPr>
              <w:t>Double-blind comparison with aspirin and ibuprofen.</w:t>
            </w:r>
          </w:p>
        </w:tc>
        <w:tc>
          <w:tcPr>
            <w:tcW w:w="3951" w:type="dxa"/>
          </w:tcPr>
          <w:p w14:paraId="1D94AA61" w14:textId="4AFF920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Alarcon-Segovia, D</w:t>
            </w:r>
          </w:p>
        </w:tc>
        <w:tc>
          <w:tcPr>
            <w:tcW w:w="1095" w:type="dxa"/>
          </w:tcPr>
          <w:p w14:paraId="6B59071B" w14:textId="49917D2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1980</w:t>
            </w:r>
          </w:p>
        </w:tc>
        <w:tc>
          <w:tcPr>
            <w:tcW w:w="1758" w:type="dxa"/>
          </w:tcPr>
          <w:p w14:paraId="517275AB" w14:textId="6D7AB82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Journal of rheumatology. Supplement</w:t>
            </w:r>
          </w:p>
        </w:tc>
        <w:tc>
          <w:tcPr>
            <w:tcW w:w="2373" w:type="dxa"/>
          </w:tcPr>
          <w:p w14:paraId="2F18F977" w14:textId="17F877FB"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patient population</w:t>
            </w:r>
          </w:p>
        </w:tc>
      </w:tr>
      <w:tr w:rsidR="0084671B" w:rsidRPr="00252F1D" w14:paraId="76D6027D" w14:textId="77777777" w:rsidTr="0084671B">
        <w:tc>
          <w:tcPr>
            <w:tcW w:w="4815" w:type="dxa"/>
          </w:tcPr>
          <w:p w14:paraId="2FC2F036" w14:textId="321FA5B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Glucosamine sulfate and cartilage type II collagen degradation in patients with knee osteoarthritis: randomized discontinuation trial results employing biomarkers.</w:t>
            </w:r>
          </w:p>
        </w:tc>
        <w:tc>
          <w:tcPr>
            <w:tcW w:w="3951" w:type="dxa"/>
          </w:tcPr>
          <w:p w14:paraId="64860E6C" w14:textId="0325F71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Cibere, Jolanda; Thorne, Anona; Kopec, Jacek A; Singer, Joel; Canvin, Janice; Robinson, David B; Pope, Janet; Hong, Paul; Grant, Eric; Lobanok, Tatiana; Ionescu, Mirela; Poole, A Robin; Esdaile, John M</w:t>
            </w:r>
          </w:p>
        </w:tc>
        <w:tc>
          <w:tcPr>
            <w:tcW w:w="1095" w:type="dxa"/>
          </w:tcPr>
          <w:p w14:paraId="05E43807" w14:textId="6283EB8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2005</w:t>
            </w:r>
          </w:p>
        </w:tc>
        <w:tc>
          <w:tcPr>
            <w:tcW w:w="1758" w:type="dxa"/>
          </w:tcPr>
          <w:p w14:paraId="1F462283" w14:textId="79EF047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The Journal of rheumatology</w:t>
            </w:r>
          </w:p>
        </w:tc>
        <w:tc>
          <w:tcPr>
            <w:tcW w:w="2373" w:type="dxa"/>
          </w:tcPr>
          <w:p w14:paraId="60A6B762" w14:textId="618B2E1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US" w:eastAsia="fr-BE"/>
              </w:rPr>
              <w:t>Exclusion reason: Abstract of irrelevant full-text</w:t>
            </w:r>
          </w:p>
        </w:tc>
      </w:tr>
      <w:tr w:rsidR="0084671B" w:rsidRPr="00252F1D" w14:paraId="617E76FD" w14:textId="77777777" w:rsidTr="0084671B">
        <w:tc>
          <w:tcPr>
            <w:tcW w:w="4815" w:type="dxa"/>
          </w:tcPr>
          <w:p w14:paraId="0B2A7817" w14:textId="3373C85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Randomized, double-blind, placebo-controlled glucosamine discontinuation trial in knee osteoarthritis.</w:t>
            </w:r>
          </w:p>
        </w:tc>
        <w:tc>
          <w:tcPr>
            <w:tcW w:w="3951" w:type="dxa"/>
          </w:tcPr>
          <w:p w14:paraId="774DB570" w14:textId="7BD9EDA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Cibere, Jolanda; Kopec, Jacek A; Thorne, Anona; Singer, Joel; Canvin, Janice; Robinson, David B; Pope, Janet; Hong, Paul; Grant, Eric; Esdaile, John M</w:t>
            </w:r>
          </w:p>
        </w:tc>
        <w:tc>
          <w:tcPr>
            <w:tcW w:w="1095" w:type="dxa"/>
          </w:tcPr>
          <w:p w14:paraId="7B367488" w14:textId="727FDC8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2004</w:t>
            </w:r>
          </w:p>
        </w:tc>
        <w:tc>
          <w:tcPr>
            <w:tcW w:w="1758" w:type="dxa"/>
          </w:tcPr>
          <w:p w14:paraId="73218681" w14:textId="2E3C7A1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Arthritis and rheumatism</w:t>
            </w:r>
          </w:p>
        </w:tc>
        <w:tc>
          <w:tcPr>
            <w:tcW w:w="2373" w:type="dxa"/>
          </w:tcPr>
          <w:p w14:paraId="683201DD" w14:textId="61259E9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rsidRPr="00252F1D" w14:paraId="60997E21" w14:textId="77777777" w:rsidTr="0084671B">
        <w:tc>
          <w:tcPr>
            <w:tcW w:w="4815" w:type="dxa"/>
          </w:tcPr>
          <w:p w14:paraId="4BA7C3D7" w14:textId="7B423B4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Combined chondroitin sulfate and Glucosamine versus celecoxib for painful Knee osteoarthritis: Post-hoc analyses by Kellgren and Lawrence grade and C-reactive protein level from a randomized, double-blind, multicentre clinical trial.</w:t>
            </w:r>
          </w:p>
        </w:tc>
        <w:tc>
          <w:tcPr>
            <w:tcW w:w="3951" w:type="dxa"/>
          </w:tcPr>
          <w:p w14:paraId="7E10F993" w14:textId="36E921F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Castgillo JR, Hochberg MC, Martel-Pelletier J, Monfort J, Moller I, Arden N, Berenbaum F, Conaghan P, Pap T, Richette P, Sawitzke A, Du Souich P, Pelletier J-P</w:t>
            </w:r>
          </w:p>
        </w:tc>
        <w:tc>
          <w:tcPr>
            <w:tcW w:w="1095" w:type="dxa"/>
          </w:tcPr>
          <w:p w14:paraId="6C4380E0" w14:textId="28C9788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2015</w:t>
            </w:r>
          </w:p>
        </w:tc>
        <w:tc>
          <w:tcPr>
            <w:tcW w:w="1758" w:type="dxa"/>
          </w:tcPr>
          <w:p w14:paraId="74B3F09B" w14:textId="77777777" w:rsidR="0084671B" w:rsidRDefault="0084671B" w:rsidP="0084671B">
            <w:pPr>
              <w:rPr>
                <w:rFonts w:ascii="Arial" w:hAnsi="Arial" w:cs="Arial"/>
                <w:b/>
                <w:bCs/>
                <w:sz w:val="20"/>
                <w:szCs w:val="20"/>
                <w:lang w:val="en-GB"/>
              </w:rPr>
            </w:pPr>
          </w:p>
        </w:tc>
        <w:tc>
          <w:tcPr>
            <w:tcW w:w="2373" w:type="dxa"/>
          </w:tcPr>
          <w:p w14:paraId="3622656B" w14:textId="54215417"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 xml:space="preserve">Exclusion reason: Not enough information </w:t>
            </w:r>
          </w:p>
        </w:tc>
      </w:tr>
      <w:tr w:rsidR="0084671B" w:rsidRPr="00252F1D" w14:paraId="345878BD" w14:textId="77777777" w:rsidTr="0084671B">
        <w:tc>
          <w:tcPr>
            <w:tcW w:w="4815" w:type="dxa"/>
          </w:tcPr>
          <w:p w14:paraId="7B88A408" w14:textId="1DA3E50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Adding triamcinolone to viscosupplementation: one year outcome of randomized trial</w:t>
            </w:r>
          </w:p>
        </w:tc>
        <w:tc>
          <w:tcPr>
            <w:tcW w:w="3951" w:type="dxa"/>
          </w:tcPr>
          <w:p w14:paraId="4409C443" w14:textId="3395FBE2"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Campos GC, Rezende MU, Fruchi R, Pasqualin T, Hissadomi MI</w:t>
            </w:r>
          </w:p>
        </w:tc>
        <w:tc>
          <w:tcPr>
            <w:tcW w:w="1095" w:type="dxa"/>
          </w:tcPr>
          <w:p w14:paraId="45BB13D5" w14:textId="1BECEBB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2014</w:t>
            </w:r>
          </w:p>
        </w:tc>
        <w:tc>
          <w:tcPr>
            <w:tcW w:w="1758" w:type="dxa"/>
          </w:tcPr>
          <w:p w14:paraId="34F4B5E2" w14:textId="77777777" w:rsidR="0084671B" w:rsidRDefault="0084671B" w:rsidP="0084671B">
            <w:pPr>
              <w:rPr>
                <w:rFonts w:ascii="Arial" w:hAnsi="Arial" w:cs="Arial"/>
                <w:b/>
                <w:bCs/>
                <w:sz w:val="20"/>
                <w:szCs w:val="20"/>
                <w:lang w:val="en-GB"/>
              </w:rPr>
            </w:pPr>
          </w:p>
        </w:tc>
        <w:tc>
          <w:tcPr>
            <w:tcW w:w="2373" w:type="dxa"/>
          </w:tcPr>
          <w:p w14:paraId="2AF28156" w14:textId="6B1C74F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r w:rsidR="0084671B" w:rsidRPr="00252F1D" w14:paraId="1B821F91" w14:textId="77777777" w:rsidTr="0084671B">
        <w:tc>
          <w:tcPr>
            <w:tcW w:w="4815" w:type="dxa"/>
          </w:tcPr>
          <w:p w14:paraId="411CC2DA" w14:textId="3DBF461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Long-term Safety and Efficacy of Tapentadol Extended Release Following up to 2 Years of </w:t>
            </w:r>
            <w:r w:rsidRPr="000B369D">
              <w:rPr>
                <w:rFonts w:ascii="Arial" w:eastAsia="Times New Roman" w:hAnsi="Arial" w:cs="Arial"/>
                <w:color w:val="000000"/>
                <w:sz w:val="20"/>
                <w:szCs w:val="20"/>
                <w:lang w:val="en-GB" w:eastAsia="fr-BE"/>
              </w:rPr>
              <w:lastRenderedPageBreak/>
              <w:t>Treatment in Patients With Moderate to Severe, Chronic Pain: Results of an Open-label Extension Trial.</w:t>
            </w:r>
          </w:p>
        </w:tc>
        <w:tc>
          <w:tcPr>
            <w:tcW w:w="3951" w:type="dxa"/>
          </w:tcPr>
          <w:p w14:paraId="076BF705" w14:textId="6DF1135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lastRenderedPageBreak/>
              <w:t xml:space="preserve">Buynak, Robert; Rappaport, Stephen A; Rod, Kevin; Arsenault, Pierre; </w:t>
            </w:r>
            <w:r w:rsidRPr="000B369D">
              <w:rPr>
                <w:rFonts w:ascii="Arial" w:eastAsia="Times New Roman" w:hAnsi="Arial" w:cs="Arial"/>
                <w:color w:val="000000"/>
                <w:sz w:val="20"/>
                <w:szCs w:val="20"/>
                <w:lang w:eastAsia="fr-BE"/>
              </w:rPr>
              <w:lastRenderedPageBreak/>
              <w:t>Heisig, Fabian; Rauschkolb, Christine; Etropolski, Mila</w:t>
            </w:r>
          </w:p>
        </w:tc>
        <w:tc>
          <w:tcPr>
            <w:tcW w:w="1095" w:type="dxa"/>
          </w:tcPr>
          <w:p w14:paraId="53F03BC7" w14:textId="548087F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lastRenderedPageBreak/>
              <w:t>2015</w:t>
            </w:r>
          </w:p>
        </w:tc>
        <w:tc>
          <w:tcPr>
            <w:tcW w:w="1758" w:type="dxa"/>
          </w:tcPr>
          <w:p w14:paraId="42322DA4" w14:textId="61EBE20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Clinical therapeutics</w:t>
            </w:r>
          </w:p>
        </w:tc>
        <w:tc>
          <w:tcPr>
            <w:tcW w:w="2373" w:type="dxa"/>
          </w:tcPr>
          <w:p w14:paraId="1A0DB915" w14:textId="314ABFD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14:paraId="64E63CDE" w14:textId="77777777" w:rsidTr="0084671B">
        <w:tc>
          <w:tcPr>
            <w:tcW w:w="4815" w:type="dxa"/>
          </w:tcPr>
          <w:p w14:paraId="6A01B558" w14:textId="1BAF90A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and tolerability of oral chondroitin sulfate as a symptomatic slow-acting drug for osteoarthritis (SYSADOA) in the treatment of knee osteoarthritis.</w:t>
            </w:r>
          </w:p>
        </w:tc>
        <w:tc>
          <w:tcPr>
            <w:tcW w:w="3951" w:type="dxa"/>
          </w:tcPr>
          <w:p w14:paraId="5E96EF99" w14:textId="394C0FF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Bucsi, L; Poor, G</w:t>
            </w:r>
          </w:p>
        </w:tc>
        <w:tc>
          <w:tcPr>
            <w:tcW w:w="1095" w:type="dxa"/>
          </w:tcPr>
          <w:p w14:paraId="5F72995F" w14:textId="360D0EE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1998</w:t>
            </w:r>
          </w:p>
        </w:tc>
        <w:tc>
          <w:tcPr>
            <w:tcW w:w="1758" w:type="dxa"/>
          </w:tcPr>
          <w:p w14:paraId="4A72B4B7" w14:textId="2E02B40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Osteoarthritis and cartilage</w:t>
            </w:r>
          </w:p>
        </w:tc>
        <w:tc>
          <w:tcPr>
            <w:tcW w:w="2373" w:type="dxa"/>
          </w:tcPr>
          <w:p w14:paraId="2D8BBD34" w14:textId="38C0414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rsidRPr="00252F1D" w14:paraId="5E62ACD4" w14:textId="77777777" w:rsidTr="0084671B">
        <w:tc>
          <w:tcPr>
            <w:tcW w:w="4815" w:type="dxa"/>
          </w:tcPr>
          <w:p w14:paraId="6FBA0DB3" w14:textId="42956CD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and safety of etoricoxib 30 mg and celecoxib 200 mg in the treatment of osteoarthritis in two identically designed, randomized, placebo-controlled, non-inferiority studies.</w:t>
            </w:r>
          </w:p>
        </w:tc>
        <w:tc>
          <w:tcPr>
            <w:tcW w:w="3951" w:type="dxa"/>
          </w:tcPr>
          <w:p w14:paraId="4FAC924C" w14:textId="797CDCA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Bingham, C O 3rd; Sebba, A I; Rubin, B R; Ruoff, G E; Kremer, J; Bird, S; Smugar, S S; Fitzgerald, B J; O'Brien, K; Tershakovec, A M</w:t>
            </w:r>
          </w:p>
        </w:tc>
        <w:tc>
          <w:tcPr>
            <w:tcW w:w="1095" w:type="dxa"/>
          </w:tcPr>
          <w:p w14:paraId="2A755AA2" w14:textId="4629D22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2007</w:t>
            </w:r>
          </w:p>
        </w:tc>
        <w:tc>
          <w:tcPr>
            <w:tcW w:w="1758" w:type="dxa"/>
          </w:tcPr>
          <w:p w14:paraId="7322B757" w14:textId="4D6EFF5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Rheumatology (Oxford, England)</w:t>
            </w:r>
          </w:p>
        </w:tc>
        <w:tc>
          <w:tcPr>
            <w:tcW w:w="2373" w:type="dxa"/>
          </w:tcPr>
          <w:p w14:paraId="15E0712E" w14:textId="3646DE7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14:paraId="25E3998F" w14:textId="77777777" w:rsidTr="0084671B">
        <w:tc>
          <w:tcPr>
            <w:tcW w:w="4815" w:type="dxa"/>
          </w:tcPr>
          <w:p w14:paraId="0A8D26EC" w14:textId="57D21D2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Comparative efficacy and safety study of two chondroitin sulfate preparations from different origin (avian and bovine) in symptomatic osteoarthritis of the knee.</w:t>
            </w:r>
          </w:p>
        </w:tc>
        <w:tc>
          <w:tcPr>
            <w:tcW w:w="3951" w:type="dxa"/>
          </w:tcPr>
          <w:p w14:paraId="641AE068" w14:textId="32B44BE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Fardellone, Patrice; Zaim, Mohammed; Saurel, Anne-Sophie; Maheu, Emmanuel</w:t>
            </w:r>
          </w:p>
        </w:tc>
        <w:tc>
          <w:tcPr>
            <w:tcW w:w="1095" w:type="dxa"/>
          </w:tcPr>
          <w:p w14:paraId="761FEA38" w14:textId="49D10A1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2013</w:t>
            </w:r>
          </w:p>
        </w:tc>
        <w:tc>
          <w:tcPr>
            <w:tcW w:w="1758" w:type="dxa"/>
          </w:tcPr>
          <w:p w14:paraId="41694A86" w14:textId="737C725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The open rheumatology journal</w:t>
            </w:r>
          </w:p>
        </w:tc>
        <w:tc>
          <w:tcPr>
            <w:tcW w:w="2373" w:type="dxa"/>
          </w:tcPr>
          <w:p w14:paraId="7F5CCAF8" w14:textId="083B3B9E"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rsidRPr="00252F1D" w14:paraId="3C24C0E6" w14:textId="77777777" w:rsidTr="0084671B">
        <w:tc>
          <w:tcPr>
            <w:tcW w:w="4815" w:type="dxa"/>
          </w:tcPr>
          <w:p w14:paraId="2786DA64" w14:textId="636ABEF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Glucosamine and chondroitin for osteoarthritis of the hip or knee</w:t>
            </w:r>
          </w:p>
        </w:tc>
        <w:tc>
          <w:tcPr>
            <w:tcW w:w="3951" w:type="dxa"/>
          </w:tcPr>
          <w:p w14:paraId="7B750731" w14:textId="112BF34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Ernst, E.</w:t>
            </w:r>
          </w:p>
        </w:tc>
        <w:tc>
          <w:tcPr>
            <w:tcW w:w="1095" w:type="dxa"/>
          </w:tcPr>
          <w:p w14:paraId="53A1CCF9" w14:textId="5E20A87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2011</w:t>
            </w:r>
          </w:p>
        </w:tc>
        <w:tc>
          <w:tcPr>
            <w:tcW w:w="1758" w:type="dxa"/>
          </w:tcPr>
          <w:p w14:paraId="01415523" w14:textId="25EB7D2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Focus on Alternative and Complementary Therapies</w:t>
            </w:r>
          </w:p>
        </w:tc>
        <w:tc>
          <w:tcPr>
            <w:tcW w:w="2373" w:type="dxa"/>
          </w:tcPr>
          <w:p w14:paraId="426BC9AD" w14:textId="562D032E"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study design</w:t>
            </w:r>
          </w:p>
        </w:tc>
      </w:tr>
      <w:tr w:rsidR="0084671B" w:rsidRPr="0084671B" w14:paraId="0CCBD2E1" w14:textId="77777777" w:rsidTr="0084671B">
        <w:tc>
          <w:tcPr>
            <w:tcW w:w="4815" w:type="dxa"/>
          </w:tcPr>
          <w:p w14:paraId="69090EB2" w14:textId="17DFD68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Vitamin D supplementation for the management of knee osteoarthritis: a two year double blind randomized controlled trial</w:t>
            </w:r>
          </w:p>
        </w:tc>
        <w:tc>
          <w:tcPr>
            <w:tcW w:w="3951" w:type="dxa"/>
          </w:tcPr>
          <w:p w14:paraId="1B85A606" w14:textId="0135B23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Jin X, Cicuttini F, Wluka A, Zhu Z, Han W, Antony B, Wang X, Winzenberg T, Blizzard L, Jones G, Ding C</w:t>
            </w:r>
          </w:p>
        </w:tc>
        <w:tc>
          <w:tcPr>
            <w:tcW w:w="1095" w:type="dxa"/>
          </w:tcPr>
          <w:p w14:paraId="713EE21C" w14:textId="0402B22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2015</w:t>
            </w:r>
          </w:p>
        </w:tc>
        <w:tc>
          <w:tcPr>
            <w:tcW w:w="1758" w:type="dxa"/>
          </w:tcPr>
          <w:p w14:paraId="14753347" w14:textId="77777777" w:rsidR="0084671B" w:rsidRDefault="0084671B" w:rsidP="0084671B">
            <w:pPr>
              <w:rPr>
                <w:rFonts w:ascii="Arial" w:hAnsi="Arial" w:cs="Arial"/>
                <w:b/>
                <w:bCs/>
                <w:sz w:val="20"/>
                <w:szCs w:val="20"/>
                <w:lang w:val="en-GB"/>
              </w:rPr>
            </w:pPr>
          </w:p>
        </w:tc>
        <w:tc>
          <w:tcPr>
            <w:tcW w:w="2373" w:type="dxa"/>
          </w:tcPr>
          <w:p w14:paraId="6F3CDBDE" w14:textId="7679A1FD" w:rsidR="0084671B" w:rsidRPr="0084671B" w:rsidRDefault="0084671B" w:rsidP="0084671B">
            <w:pPr>
              <w:rPr>
                <w:rFonts w:ascii="Arial" w:hAnsi="Arial" w:cs="Arial"/>
                <w:b/>
                <w:bCs/>
                <w:sz w:val="20"/>
                <w:szCs w:val="20"/>
              </w:rPr>
            </w:pPr>
            <w:r w:rsidRPr="008831C9">
              <w:rPr>
                <w:rFonts w:ascii="Arial" w:eastAsia="Times New Roman" w:hAnsi="Arial" w:cs="Arial"/>
                <w:color w:val="000000"/>
                <w:sz w:val="20"/>
                <w:szCs w:val="20"/>
                <w:lang w:eastAsia="fr-BE"/>
              </w:rPr>
              <w:t>Exclusion reason: Duplicate true (duplicate d’un autre abstract déjà indiqué comme non réel duplicate)</w:t>
            </w:r>
          </w:p>
        </w:tc>
      </w:tr>
      <w:tr w:rsidR="0084671B" w14:paraId="5F4D98C6" w14:textId="77777777" w:rsidTr="0084671B">
        <w:tc>
          <w:tcPr>
            <w:tcW w:w="4815" w:type="dxa"/>
          </w:tcPr>
          <w:p w14:paraId="0265C5B4" w14:textId="33485D1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Comparison of effectiveness and safety of tramadol/acetaminophen and non-steroidal anti-inflammatory drugs (NSAIDS) for treatment of knee osteoarthritis in elderly patients</w:t>
            </w:r>
          </w:p>
        </w:tc>
        <w:tc>
          <w:tcPr>
            <w:tcW w:w="3951" w:type="dxa"/>
          </w:tcPr>
          <w:p w14:paraId="155E3434" w14:textId="7A28A88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Hur J-W, Ryou JW, Kim SY</w:t>
            </w:r>
          </w:p>
        </w:tc>
        <w:tc>
          <w:tcPr>
            <w:tcW w:w="1095" w:type="dxa"/>
          </w:tcPr>
          <w:p w14:paraId="5A057001" w14:textId="04D5329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2013</w:t>
            </w:r>
          </w:p>
        </w:tc>
        <w:tc>
          <w:tcPr>
            <w:tcW w:w="1758" w:type="dxa"/>
          </w:tcPr>
          <w:p w14:paraId="1DA6C14A" w14:textId="77777777" w:rsidR="0084671B" w:rsidRDefault="0084671B" w:rsidP="0084671B">
            <w:pPr>
              <w:rPr>
                <w:rFonts w:ascii="Arial" w:hAnsi="Arial" w:cs="Arial"/>
                <w:b/>
                <w:bCs/>
                <w:sz w:val="20"/>
                <w:szCs w:val="20"/>
                <w:lang w:val="en-GB"/>
              </w:rPr>
            </w:pPr>
          </w:p>
        </w:tc>
        <w:tc>
          <w:tcPr>
            <w:tcW w:w="2373" w:type="dxa"/>
          </w:tcPr>
          <w:p w14:paraId="2151EF14" w14:textId="0202502E"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795C1F07" w14:textId="77777777" w:rsidTr="0084671B">
        <w:tc>
          <w:tcPr>
            <w:tcW w:w="4815" w:type="dxa"/>
          </w:tcPr>
          <w:p w14:paraId="3EEABAD9" w14:textId="2DCAA43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Safety and efficacy of intra-articular injections of a combination of hyaluronic acid and mannitol (HAnOX-M) in patients with symptomatic knee osteoarthritis: Results of a double-blind, controlled, multicenter, randomized trial.</w:t>
            </w:r>
          </w:p>
        </w:tc>
        <w:tc>
          <w:tcPr>
            <w:tcW w:w="3951" w:type="dxa"/>
          </w:tcPr>
          <w:p w14:paraId="4E0EE548" w14:textId="520AB1F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Conrozier, Thierry; Eymard, Florent; Afif, Naji; Balblanc, Jean-Charles; Legre-Boyer, Virginie; Chevalier, Xavier; Happyvisc Study Group</w:t>
            </w:r>
          </w:p>
        </w:tc>
        <w:tc>
          <w:tcPr>
            <w:tcW w:w="1095" w:type="dxa"/>
          </w:tcPr>
          <w:p w14:paraId="2C7EDBD1" w14:textId="7F5A355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2016</w:t>
            </w:r>
          </w:p>
        </w:tc>
        <w:tc>
          <w:tcPr>
            <w:tcW w:w="1758" w:type="dxa"/>
          </w:tcPr>
          <w:p w14:paraId="19C3A08B" w14:textId="42BDE21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The Knee</w:t>
            </w:r>
          </w:p>
        </w:tc>
        <w:tc>
          <w:tcPr>
            <w:tcW w:w="2373" w:type="dxa"/>
          </w:tcPr>
          <w:p w14:paraId="00F2B025" w14:textId="099753E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7C28CF34" w14:textId="77777777" w:rsidTr="0084671B">
        <w:tc>
          <w:tcPr>
            <w:tcW w:w="4815" w:type="dxa"/>
          </w:tcPr>
          <w:p w14:paraId="5E1F5A76" w14:textId="0D7AFD6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Acemetacin in the treatment of arthrosis of the hip and knee joints. Results from a double-blind study vs. piroxicam.  ACEMETACIN IN DER BEHANDLUNG VON ARTHROSEN DER HUFT- UND KKNIEGELENKE. </w:t>
            </w:r>
            <w:r w:rsidRPr="000B369D">
              <w:rPr>
                <w:rFonts w:ascii="Arial" w:eastAsia="Times New Roman" w:hAnsi="Arial" w:cs="Arial"/>
                <w:color w:val="000000"/>
                <w:sz w:val="20"/>
                <w:szCs w:val="20"/>
                <w:lang w:eastAsia="fr-BE"/>
              </w:rPr>
              <w:t xml:space="preserve">ERGEBNISSE </w:t>
            </w:r>
            <w:r w:rsidRPr="000B369D">
              <w:rPr>
                <w:rFonts w:ascii="Arial" w:eastAsia="Times New Roman" w:hAnsi="Arial" w:cs="Arial"/>
                <w:color w:val="000000"/>
                <w:sz w:val="20"/>
                <w:szCs w:val="20"/>
                <w:lang w:eastAsia="fr-BE"/>
              </w:rPr>
              <w:lastRenderedPageBreak/>
              <w:t>EINER DOPPELBLINDPRUFUNG GEGEN PIROXICAM</w:t>
            </w:r>
          </w:p>
        </w:tc>
        <w:tc>
          <w:tcPr>
            <w:tcW w:w="3951" w:type="dxa"/>
          </w:tcPr>
          <w:p w14:paraId="73DE3D1A" w14:textId="4257C6C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lastRenderedPageBreak/>
              <w:t>Kronhagel R</w:t>
            </w:r>
          </w:p>
        </w:tc>
        <w:tc>
          <w:tcPr>
            <w:tcW w:w="1095" w:type="dxa"/>
          </w:tcPr>
          <w:p w14:paraId="2FDAFF4A" w14:textId="3C72D91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1985</w:t>
            </w:r>
          </w:p>
        </w:tc>
        <w:tc>
          <w:tcPr>
            <w:tcW w:w="1758" w:type="dxa"/>
          </w:tcPr>
          <w:p w14:paraId="7F8082A2" w14:textId="77777777" w:rsidR="0084671B" w:rsidRDefault="0084671B" w:rsidP="0084671B">
            <w:pPr>
              <w:rPr>
                <w:rFonts w:ascii="Arial" w:hAnsi="Arial" w:cs="Arial"/>
                <w:b/>
                <w:bCs/>
                <w:sz w:val="20"/>
                <w:szCs w:val="20"/>
                <w:lang w:val="en-GB"/>
              </w:rPr>
            </w:pPr>
          </w:p>
        </w:tc>
        <w:tc>
          <w:tcPr>
            <w:tcW w:w="2373" w:type="dxa"/>
          </w:tcPr>
          <w:p w14:paraId="00208F5F" w14:textId="1CFF957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18EB2107" w14:textId="77777777" w:rsidTr="0084671B">
        <w:tc>
          <w:tcPr>
            <w:tcW w:w="4815" w:type="dxa"/>
          </w:tcPr>
          <w:p w14:paraId="44A1F7BA" w14:textId="1416842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Adding triamcinolone improves viscosupplementation: A randomized clinical trial knee</w:t>
            </w:r>
          </w:p>
        </w:tc>
        <w:tc>
          <w:tcPr>
            <w:tcW w:w="3951" w:type="dxa"/>
          </w:tcPr>
          <w:p w14:paraId="14A969C6" w14:textId="3ED77D71"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De Campos, G.C.; Rezende, M.U.; Pailo, A.F.; Frucchi, R.; Camargo, O.P.</w:t>
            </w:r>
          </w:p>
        </w:tc>
        <w:tc>
          <w:tcPr>
            <w:tcW w:w="1095" w:type="dxa"/>
          </w:tcPr>
          <w:p w14:paraId="424B842E" w14:textId="6BF42C4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2013</w:t>
            </w:r>
          </w:p>
        </w:tc>
        <w:tc>
          <w:tcPr>
            <w:tcW w:w="1758" w:type="dxa"/>
          </w:tcPr>
          <w:p w14:paraId="661ABBD7" w14:textId="1153333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Orthopaedics and Related Research</w:t>
            </w:r>
          </w:p>
        </w:tc>
        <w:tc>
          <w:tcPr>
            <w:tcW w:w="2373" w:type="dxa"/>
          </w:tcPr>
          <w:p w14:paraId="2AA50CDC" w14:textId="3FE0072A"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1E805608" w14:textId="77777777" w:rsidTr="0084671B">
        <w:tc>
          <w:tcPr>
            <w:tcW w:w="4815" w:type="dxa"/>
          </w:tcPr>
          <w:p w14:paraId="0F5EB980" w14:textId="107FB5B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of a combination of FCHG49(TM) glucosamine hydrochloride, TRH122(TM) low molecular weight sodium chondroitin sulfate and manganese ascorbate in the management of knee osteoarthritis</w:t>
            </w:r>
          </w:p>
        </w:tc>
        <w:tc>
          <w:tcPr>
            <w:tcW w:w="3951" w:type="dxa"/>
          </w:tcPr>
          <w:p w14:paraId="3FFF2091" w14:textId="0E6B170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Das Jr., A.; Hammad, T.A.</w:t>
            </w:r>
          </w:p>
        </w:tc>
        <w:tc>
          <w:tcPr>
            <w:tcW w:w="1095" w:type="dxa"/>
          </w:tcPr>
          <w:p w14:paraId="399135F0" w14:textId="3D604B4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2000</w:t>
            </w:r>
          </w:p>
        </w:tc>
        <w:tc>
          <w:tcPr>
            <w:tcW w:w="1758" w:type="dxa"/>
          </w:tcPr>
          <w:p w14:paraId="12CF1B2C" w14:textId="3235B34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Osteoarthritis and Cartilage</w:t>
            </w:r>
          </w:p>
        </w:tc>
        <w:tc>
          <w:tcPr>
            <w:tcW w:w="2373" w:type="dxa"/>
          </w:tcPr>
          <w:p w14:paraId="2E521870" w14:textId="512C3AC8"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332F862A" w14:textId="77777777" w:rsidTr="0084671B">
        <w:tc>
          <w:tcPr>
            <w:tcW w:w="4815" w:type="dxa"/>
          </w:tcPr>
          <w:p w14:paraId="3C71467A" w14:textId="28D7F22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Etoricoxib in the treatment of osteoarthritis over 52-weeks: a double-blind, active-comparator controlled trial</w:t>
            </w:r>
          </w:p>
        </w:tc>
        <w:tc>
          <w:tcPr>
            <w:tcW w:w="3951" w:type="dxa"/>
          </w:tcPr>
          <w:p w14:paraId="60A97A6E" w14:textId="7F70D64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Curtis SP, Bockow B, Fisher C, Olaleye J, Compton A, Ko AT, Reicin AS</w:t>
            </w:r>
          </w:p>
        </w:tc>
        <w:tc>
          <w:tcPr>
            <w:tcW w:w="1095" w:type="dxa"/>
          </w:tcPr>
          <w:p w14:paraId="60CAAC12" w14:textId="26D8FFB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2005</w:t>
            </w:r>
          </w:p>
        </w:tc>
        <w:tc>
          <w:tcPr>
            <w:tcW w:w="1758" w:type="dxa"/>
          </w:tcPr>
          <w:p w14:paraId="5A380DC6" w14:textId="77777777" w:rsidR="0084671B" w:rsidRDefault="0084671B" w:rsidP="0084671B">
            <w:pPr>
              <w:rPr>
                <w:rFonts w:ascii="Arial" w:hAnsi="Arial" w:cs="Arial"/>
                <w:b/>
                <w:bCs/>
                <w:sz w:val="20"/>
                <w:szCs w:val="20"/>
                <w:lang w:val="en-GB"/>
              </w:rPr>
            </w:pPr>
          </w:p>
        </w:tc>
        <w:tc>
          <w:tcPr>
            <w:tcW w:w="2373" w:type="dxa"/>
          </w:tcPr>
          <w:p w14:paraId="3375399A" w14:textId="6DD5EF0E"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rsidRPr="00252F1D" w14:paraId="753382DE" w14:textId="77777777" w:rsidTr="0084671B">
        <w:tc>
          <w:tcPr>
            <w:tcW w:w="4815" w:type="dxa"/>
          </w:tcPr>
          <w:p w14:paraId="413ABC18" w14:textId="4340F06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Naumetone induces less gastrointestinal mucosal changes than diclofenac retard</w:t>
            </w:r>
          </w:p>
        </w:tc>
        <w:tc>
          <w:tcPr>
            <w:tcW w:w="3951" w:type="dxa"/>
          </w:tcPr>
          <w:p w14:paraId="054EBF76" w14:textId="2D53BD9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BeÄ</w:t>
            </w:r>
            <w:r w:rsidRPr="000B369D">
              <w:rPr>
                <w:rFonts w:ascii="Arial" w:eastAsia="Times New Roman" w:hAnsi="Arial" w:cs="Arial"/>
                <w:color w:val="000000"/>
                <w:sz w:val="20"/>
                <w:szCs w:val="20"/>
                <w:lang w:eastAsia="fr-BE"/>
              </w:rPr>
              <w:t></w:t>
            </w:r>
            <w:r w:rsidRPr="000B369D">
              <w:rPr>
                <w:rFonts w:ascii="Arial" w:eastAsia="Times New Roman" w:hAnsi="Arial" w:cs="Arial"/>
                <w:color w:val="000000"/>
                <w:sz w:val="20"/>
                <w:szCs w:val="20"/>
                <w:lang w:val="en-GB" w:eastAsia="fr-BE"/>
              </w:rPr>
              <w:t>vÃ¡Å™, R.; UrbanovÃ¡, Z.; VlasÃ¡kovÃ¡, V.; VÃ</w:t>
            </w:r>
            <w:r w:rsidRPr="000B369D">
              <w:rPr>
                <w:rFonts w:ascii="Arial" w:eastAsia="Times New Roman" w:hAnsi="Arial" w:cs="Arial"/>
                <w:color w:val="000000"/>
                <w:sz w:val="20"/>
                <w:szCs w:val="20"/>
                <w:lang w:val="en-GB" w:eastAsia="fr-BE"/>
              </w:rPr>
              <w:softHyphen/>
              <w:t>tovÃ¡, J.; RybÃ¡r, I.; Maldyk, H.; Filipowicz-Sosnowska, A.; Bernacka, K.; Mackiewicz, S.; GÃ¶mÃ¶r, B.; Rojkovich, B.; Siro, B.; Bereczki, J.; Toth, K.; Sukenik, S.; Green, L.; Ehrenfeld, M.; Pavelka, K.</w:t>
            </w:r>
          </w:p>
        </w:tc>
        <w:tc>
          <w:tcPr>
            <w:tcW w:w="1095" w:type="dxa"/>
          </w:tcPr>
          <w:p w14:paraId="3913C412" w14:textId="009D34B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1999</w:t>
            </w:r>
          </w:p>
        </w:tc>
        <w:tc>
          <w:tcPr>
            <w:tcW w:w="1758" w:type="dxa"/>
          </w:tcPr>
          <w:p w14:paraId="4655B4D7" w14:textId="29FBB7F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Clinical Rheumatology</w:t>
            </w:r>
          </w:p>
        </w:tc>
        <w:tc>
          <w:tcPr>
            <w:tcW w:w="2373" w:type="dxa"/>
          </w:tcPr>
          <w:p w14:paraId="61076ED3" w14:textId="38CDE2D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Wrong lenght of treatment</w:t>
            </w:r>
          </w:p>
        </w:tc>
      </w:tr>
      <w:tr w:rsidR="0084671B" w14:paraId="0A630B4E" w14:textId="77777777" w:rsidTr="0084671B">
        <w:tc>
          <w:tcPr>
            <w:tcW w:w="4815" w:type="dxa"/>
          </w:tcPr>
          <w:p w14:paraId="54308645" w14:textId="4D83279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study on sodium hyaluronate intra-articular injection in treatment of degenerative osteoarthritis of knee].</w:t>
            </w:r>
          </w:p>
        </w:tc>
        <w:tc>
          <w:tcPr>
            <w:tcW w:w="3951" w:type="dxa"/>
          </w:tcPr>
          <w:p w14:paraId="649BD636" w14:textId="3B9345F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Chen, You; Peng, Dan; Sun, Cai-jiang; Wang, Wan-chun; Li, Ju-yuan; Zhang, Wei</w:t>
            </w:r>
          </w:p>
        </w:tc>
        <w:tc>
          <w:tcPr>
            <w:tcW w:w="1095" w:type="dxa"/>
          </w:tcPr>
          <w:p w14:paraId="4975CAF4" w14:textId="1BEFFAB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2002</w:t>
            </w:r>
          </w:p>
        </w:tc>
        <w:tc>
          <w:tcPr>
            <w:tcW w:w="1758" w:type="dxa"/>
          </w:tcPr>
          <w:p w14:paraId="46F7DDB7" w14:textId="6071D3C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Zhongguo xiu fu chong jian wai ke za zhi = Zhongguo xiufu chongjian waike zazhi = Chinese journal of reparative and reconstructive surgery</w:t>
            </w:r>
          </w:p>
        </w:tc>
        <w:tc>
          <w:tcPr>
            <w:tcW w:w="2373" w:type="dxa"/>
          </w:tcPr>
          <w:p w14:paraId="2E017E9D" w14:textId="09D5A9C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03A39B49" w14:textId="77777777" w:rsidTr="0084671B">
        <w:tc>
          <w:tcPr>
            <w:tcW w:w="4815" w:type="dxa"/>
          </w:tcPr>
          <w:p w14:paraId="14B560A4" w14:textId="64DFB54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 clinical comparison of sulindac and diclofenac in the treatment of osteoarthritis</w:t>
            </w:r>
          </w:p>
        </w:tc>
        <w:tc>
          <w:tcPr>
            <w:tcW w:w="3951" w:type="dxa"/>
          </w:tcPr>
          <w:p w14:paraId="0D493AFD" w14:textId="753B1BA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Baumgartner, H.</w:t>
            </w:r>
          </w:p>
        </w:tc>
        <w:tc>
          <w:tcPr>
            <w:tcW w:w="1095" w:type="dxa"/>
          </w:tcPr>
          <w:p w14:paraId="4D68B35B" w14:textId="77A1610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1979</w:t>
            </w:r>
          </w:p>
        </w:tc>
        <w:tc>
          <w:tcPr>
            <w:tcW w:w="1758" w:type="dxa"/>
          </w:tcPr>
          <w:p w14:paraId="44B593C8" w14:textId="05138D8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Praxis</w:t>
            </w:r>
          </w:p>
        </w:tc>
        <w:tc>
          <w:tcPr>
            <w:tcW w:w="2373" w:type="dxa"/>
          </w:tcPr>
          <w:p w14:paraId="04F344D0" w14:textId="5A293B00"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2D611537" w14:textId="77777777" w:rsidTr="0084671B">
        <w:tc>
          <w:tcPr>
            <w:tcW w:w="4815" w:type="dxa"/>
          </w:tcPr>
          <w:p w14:paraId="3688EA14" w14:textId="7AC9495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Glucosamine and chondroitin sulphate did not improve pain in osteoarthritis of the knee</w:t>
            </w:r>
          </w:p>
        </w:tc>
        <w:tc>
          <w:tcPr>
            <w:tcW w:w="3951" w:type="dxa"/>
          </w:tcPr>
          <w:p w14:paraId="3D88E1B3" w14:textId="171050E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Baime, M.J.</w:t>
            </w:r>
          </w:p>
        </w:tc>
        <w:tc>
          <w:tcPr>
            <w:tcW w:w="1095" w:type="dxa"/>
          </w:tcPr>
          <w:p w14:paraId="4747611A" w14:textId="67FB5DF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2006</w:t>
            </w:r>
          </w:p>
        </w:tc>
        <w:tc>
          <w:tcPr>
            <w:tcW w:w="1758" w:type="dxa"/>
          </w:tcPr>
          <w:p w14:paraId="1864EA74" w14:textId="3151B11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Evidence-Based Medicine</w:t>
            </w:r>
          </w:p>
        </w:tc>
        <w:tc>
          <w:tcPr>
            <w:tcW w:w="2373" w:type="dxa"/>
          </w:tcPr>
          <w:p w14:paraId="72832CF8" w14:textId="260394B3"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commentary</w:t>
            </w:r>
          </w:p>
        </w:tc>
      </w:tr>
      <w:tr w:rsidR="0084671B" w14:paraId="480BB3CA" w14:textId="77777777" w:rsidTr="0084671B">
        <w:tc>
          <w:tcPr>
            <w:tcW w:w="4815" w:type="dxa"/>
          </w:tcPr>
          <w:p w14:paraId="0077A0D9" w14:textId="726C6C9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Diflunisal - A new long acting nonsteroidal antirheumatic. Clinical trial versus diclofenac</w:t>
            </w:r>
          </w:p>
        </w:tc>
        <w:tc>
          <w:tcPr>
            <w:tcW w:w="3951" w:type="dxa"/>
          </w:tcPr>
          <w:p w14:paraId="08624B59" w14:textId="448EEDB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Bahous, I.</w:t>
            </w:r>
          </w:p>
        </w:tc>
        <w:tc>
          <w:tcPr>
            <w:tcW w:w="1095" w:type="dxa"/>
          </w:tcPr>
          <w:p w14:paraId="3DF156BF" w14:textId="3A417D7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1979</w:t>
            </w:r>
          </w:p>
        </w:tc>
        <w:tc>
          <w:tcPr>
            <w:tcW w:w="1758" w:type="dxa"/>
          </w:tcPr>
          <w:p w14:paraId="6E99B251" w14:textId="7D77E43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Praxis</w:t>
            </w:r>
          </w:p>
        </w:tc>
        <w:tc>
          <w:tcPr>
            <w:tcW w:w="2373" w:type="dxa"/>
          </w:tcPr>
          <w:p w14:paraId="195AB62E" w14:textId="7B7C3BCB"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3D56CDFE" w14:textId="77777777" w:rsidTr="0084671B">
        <w:tc>
          <w:tcPr>
            <w:tcW w:w="4815" w:type="dxa"/>
          </w:tcPr>
          <w:p w14:paraId="03FD2540" w14:textId="680EE52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Comparison of the clinical efficacy and adverse effects of two hyaluronan preparations with different molecular weights and a methyl prednisolone acetate in knee osteoarthritis</w:t>
            </w:r>
          </w:p>
        </w:tc>
        <w:tc>
          <w:tcPr>
            <w:tcW w:w="3951" w:type="dxa"/>
          </w:tcPr>
          <w:p w14:paraId="218ACC10" w14:textId="1E795C7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BingÃ¶l, Ãœ.; Yurtkuran, M.</w:t>
            </w:r>
          </w:p>
        </w:tc>
        <w:tc>
          <w:tcPr>
            <w:tcW w:w="1095" w:type="dxa"/>
          </w:tcPr>
          <w:p w14:paraId="64C3440C" w14:textId="30DBFDA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2013</w:t>
            </w:r>
          </w:p>
        </w:tc>
        <w:tc>
          <w:tcPr>
            <w:tcW w:w="1758" w:type="dxa"/>
          </w:tcPr>
          <w:p w14:paraId="32167014" w14:textId="029F5FD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Turkiye Fiziksel Tip ve Rehabilitasyon Dergisi</w:t>
            </w:r>
          </w:p>
        </w:tc>
        <w:tc>
          <w:tcPr>
            <w:tcW w:w="2373" w:type="dxa"/>
          </w:tcPr>
          <w:p w14:paraId="21D68270" w14:textId="372B8E7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Foreign language; </w:t>
            </w:r>
          </w:p>
        </w:tc>
      </w:tr>
      <w:tr w:rsidR="0084671B" w14:paraId="1CE88356" w14:textId="77777777" w:rsidTr="0084671B">
        <w:tc>
          <w:tcPr>
            <w:tcW w:w="4815" w:type="dxa"/>
          </w:tcPr>
          <w:p w14:paraId="462951CE" w14:textId="1D057E9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Long-term treatment of symptomatic osteoarthritis with benoxaprofen. Double-blind comparison with aspirin and ibuprofen</w:t>
            </w:r>
          </w:p>
        </w:tc>
        <w:tc>
          <w:tcPr>
            <w:tcW w:w="3951" w:type="dxa"/>
          </w:tcPr>
          <w:p w14:paraId="3A341F15" w14:textId="76D748E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Alarcon-Segovia, D.</w:t>
            </w:r>
          </w:p>
        </w:tc>
        <w:tc>
          <w:tcPr>
            <w:tcW w:w="1095" w:type="dxa"/>
          </w:tcPr>
          <w:p w14:paraId="7C993AE6" w14:textId="3C14365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1980</w:t>
            </w:r>
          </w:p>
        </w:tc>
        <w:tc>
          <w:tcPr>
            <w:tcW w:w="1758" w:type="dxa"/>
          </w:tcPr>
          <w:p w14:paraId="1D757454" w14:textId="6E753D1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Journal of Rheumatology</w:t>
            </w:r>
          </w:p>
        </w:tc>
        <w:tc>
          <w:tcPr>
            <w:tcW w:w="2373" w:type="dxa"/>
          </w:tcPr>
          <w:p w14:paraId="3DFC8E36" w14:textId="22B63A0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16EB0A41" w14:textId="77777777" w:rsidTr="0084671B">
        <w:tc>
          <w:tcPr>
            <w:tcW w:w="4815" w:type="dxa"/>
          </w:tcPr>
          <w:p w14:paraId="1F034C4A" w14:textId="43DD1D3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[Structum (chondroitin sulfate)--a new agent for the treatment of osteoarthrosis].</w:t>
            </w:r>
          </w:p>
        </w:tc>
        <w:tc>
          <w:tcPr>
            <w:tcW w:w="3951" w:type="dxa"/>
          </w:tcPr>
          <w:p w14:paraId="5C9288C0" w14:textId="14B7D9A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Alekseeva, L I; Benevolenskaia, L I; Nasonov, E L; Chichasova, N V; Kariakin, A N</w:t>
            </w:r>
          </w:p>
        </w:tc>
        <w:tc>
          <w:tcPr>
            <w:tcW w:w="1095" w:type="dxa"/>
          </w:tcPr>
          <w:p w14:paraId="7C950DBB" w14:textId="6C256E0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1999</w:t>
            </w:r>
          </w:p>
        </w:tc>
        <w:tc>
          <w:tcPr>
            <w:tcW w:w="1758" w:type="dxa"/>
          </w:tcPr>
          <w:p w14:paraId="7D3CB2EB" w14:textId="72FAC94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Terapevticheskii arkhiv</w:t>
            </w:r>
          </w:p>
        </w:tc>
        <w:tc>
          <w:tcPr>
            <w:tcW w:w="2373" w:type="dxa"/>
          </w:tcPr>
          <w:p w14:paraId="1CA8E878" w14:textId="1A086E41"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1A9DF08C" w14:textId="77777777" w:rsidTr="0084671B">
        <w:tc>
          <w:tcPr>
            <w:tcW w:w="4815" w:type="dxa"/>
          </w:tcPr>
          <w:p w14:paraId="51F51E1A" w14:textId="507A75C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Intraarticular sodium hyaluronate (Hyalgan) in the treatment of patients with osteoarthritis of the knee: a randomized clinical trial. Hyalgan Study Group.</w:t>
            </w:r>
          </w:p>
        </w:tc>
        <w:tc>
          <w:tcPr>
            <w:tcW w:w="3951" w:type="dxa"/>
          </w:tcPr>
          <w:p w14:paraId="4390B804" w14:textId="050515A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Altman, R D; Moskowitz, R</w:t>
            </w:r>
          </w:p>
        </w:tc>
        <w:tc>
          <w:tcPr>
            <w:tcW w:w="1095" w:type="dxa"/>
          </w:tcPr>
          <w:p w14:paraId="21F052DD" w14:textId="2F1D8B8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1998</w:t>
            </w:r>
          </w:p>
        </w:tc>
        <w:tc>
          <w:tcPr>
            <w:tcW w:w="1758" w:type="dxa"/>
          </w:tcPr>
          <w:p w14:paraId="1BA7A0DC" w14:textId="1B7D9EC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The Journal of rheumatology</w:t>
            </w:r>
          </w:p>
        </w:tc>
        <w:tc>
          <w:tcPr>
            <w:tcW w:w="2373" w:type="dxa"/>
          </w:tcPr>
          <w:p w14:paraId="08D2D0B9" w14:textId="3D419DCC"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7A584C4F" w14:textId="77777777" w:rsidTr="0084671B">
        <w:tc>
          <w:tcPr>
            <w:tcW w:w="4815" w:type="dxa"/>
          </w:tcPr>
          <w:p w14:paraId="3821EC33" w14:textId="194F82F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[Combined medication ARTRA in the treatment of osteoarthrosis].</w:t>
            </w:r>
          </w:p>
        </w:tc>
        <w:tc>
          <w:tcPr>
            <w:tcW w:w="3951" w:type="dxa"/>
          </w:tcPr>
          <w:p w14:paraId="086F22FE" w14:textId="1A5FE7C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Alekseeva, L I; Chichasova, N V; Benevolenskaia, L I; Nasonov, E L; Mendel', O I</w:t>
            </w:r>
          </w:p>
        </w:tc>
        <w:tc>
          <w:tcPr>
            <w:tcW w:w="1095" w:type="dxa"/>
          </w:tcPr>
          <w:p w14:paraId="2A9E222C" w14:textId="6C4B203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2005</w:t>
            </w:r>
          </w:p>
        </w:tc>
        <w:tc>
          <w:tcPr>
            <w:tcW w:w="1758" w:type="dxa"/>
          </w:tcPr>
          <w:p w14:paraId="0F91B8CB" w14:textId="191FF24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Terapevticheskii arkhiv</w:t>
            </w:r>
          </w:p>
        </w:tc>
        <w:tc>
          <w:tcPr>
            <w:tcW w:w="2373" w:type="dxa"/>
          </w:tcPr>
          <w:p w14:paraId="646B102C" w14:textId="799DE029"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0726AA38" w14:textId="77777777" w:rsidTr="0084671B">
        <w:tc>
          <w:tcPr>
            <w:tcW w:w="4815" w:type="dxa"/>
          </w:tcPr>
          <w:p w14:paraId="28747B38" w14:textId="38AD6D5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Long-term effects of vitamin d supplementation and maintaining vitamin d sufficiency on knee osteoarthritis over 5 years</w:t>
            </w:r>
          </w:p>
        </w:tc>
        <w:tc>
          <w:tcPr>
            <w:tcW w:w="3951" w:type="dxa"/>
          </w:tcPr>
          <w:p w14:paraId="17A7EB63" w14:textId="7048AAE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Antony B, Zheng S, Burgess J, Ding C</w:t>
            </w:r>
          </w:p>
        </w:tc>
        <w:tc>
          <w:tcPr>
            <w:tcW w:w="1095" w:type="dxa"/>
          </w:tcPr>
          <w:p w14:paraId="1FFDF8DA" w14:textId="2ED122E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6D408C66" w14:textId="77777777" w:rsidR="0084671B" w:rsidRDefault="0084671B" w:rsidP="0084671B">
            <w:pPr>
              <w:rPr>
                <w:rFonts w:ascii="Arial" w:hAnsi="Arial" w:cs="Arial"/>
                <w:b/>
                <w:bCs/>
                <w:sz w:val="20"/>
                <w:szCs w:val="20"/>
                <w:lang w:val="en-GB"/>
              </w:rPr>
            </w:pPr>
          </w:p>
        </w:tc>
        <w:tc>
          <w:tcPr>
            <w:tcW w:w="2373" w:type="dxa"/>
          </w:tcPr>
          <w:p w14:paraId="605710A6" w14:textId="2834E0B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Abstracts</w:t>
            </w:r>
          </w:p>
        </w:tc>
      </w:tr>
      <w:tr w:rsidR="0084671B" w14:paraId="3A0B282C" w14:textId="77777777" w:rsidTr="0084671B">
        <w:tc>
          <w:tcPr>
            <w:tcW w:w="4815" w:type="dxa"/>
          </w:tcPr>
          <w:p w14:paraId="715CC7C2" w14:textId="0F9EB74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Long-term effects of vitamin D supplementation and maintaining vitamin D sufficiency on knee osteoarthritis over 5 years</w:t>
            </w:r>
          </w:p>
        </w:tc>
        <w:tc>
          <w:tcPr>
            <w:tcW w:w="3951" w:type="dxa"/>
          </w:tcPr>
          <w:p w14:paraId="0F685E22" w14:textId="56EA325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Antony E, Zheng S, Burgess J, Ding C</w:t>
            </w:r>
          </w:p>
        </w:tc>
        <w:tc>
          <w:tcPr>
            <w:tcW w:w="1095" w:type="dxa"/>
          </w:tcPr>
          <w:p w14:paraId="31EFED2F" w14:textId="71998CF1"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2018</w:t>
            </w:r>
          </w:p>
        </w:tc>
        <w:tc>
          <w:tcPr>
            <w:tcW w:w="1758" w:type="dxa"/>
          </w:tcPr>
          <w:p w14:paraId="5C6AEBB4" w14:textId="77777777" w:rsidR="0084671B" w:rsidRDefault="0084671B" w:rsidP="0084671B">
            <w:pPr>
              <w:rPr>
                <w:rFonts w:ascii="Arial" w:hAnsi="Arial" w:cs="Arial"/>
                <w:b/>
                <w:bCs/>
                <w:sz w:val="20"/>
                <w:szCs w:val="20"/>
                <w:lang w:val="en-GB"/>
              </w:rPr>
            </w:pPr>
          </w:p>
        </w:tc>
        <w:tc>
          <w:tcPr>
            <w:tcW w:w="2373" w:type="dxa"/>
          </w:tcPr>
          <w:p w14:paraId="0CE14B1C" w14:textId="2AC0DDE2"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3E042D9B" w14:textId="77777777" w:rsidTr="0084671B">
        <w:tc>
          <w:tcPr>
            <w:tcW w:w="4815" w:type="dxa"/>
          </w:tcPr>
          <w:p w14:paraId="5910DFE6" w14:textId="440CE2F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Efficacy and safety of intra-articular sodium hyaluronate in knee osteoarthritis</w:t>
            </w:r>
          </w:p>
        </w:tc>
        <w:tc>
          <w:tcPr>
            <w:tcW w:w="3951" w:type="dxa"/>
          </w:tcPr>
          <w:p w14:paraId="776A5211" w14:textId="3D6C22F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Brandt, K.D.; Block, J.A.; Michalski, J.P.; Moreland, L.W.; Caldwell, J.R.; Lavin, P.T.</w:t>
            </w:r>
          </w:p>
        </w:tc>
        <w:tc>
          <w:tcPr>
            <w:tcW w:w="1095" w:type="dxa"/>
          </w:tcPr>
          <w:p w14:paraId="44DB5C5F" w14:textId="7885C2D4"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2001</w:t>
            </w:r>
          </w:p>
        </w:tc>
        <w:tc>
          <w:tcPr>
            <w:tcW w:w="1758" w:type="dxa"/>
          </w:tcPr>
          <w:p w14:paraId="2E738EA4" w14:textId="3E903733"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Clinical Orthopaedics and Related Research</w:t>
            </w:r>
          </w:p>
        </w:tc>
        <w:tc>
          <w:tcPr>
            <w:tcW w:w="2373" w:type="dxa"/>
          </w:tcPr>
          <w:p w14:paraId="2233F329" w14:textId="3DA286DB"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 xml:space="preserve">Exclusion reason: Duplicate </w:t>
            </w:r>
          </w:p>
        </w:tc>
      </w:tr>
      <w:tr w:rsidR="0084671B" w14:paraId="6D78E5DE" w14:textId="77777777" w:rsidTr="0084671B">
        <w:tc>
          <w:tcPr>
            <w:tcW w:w="4815" w:type="dxa"/>
          </w:tcPr>
          <w:p w14:paraId="4156789D" w14:textId="1F1C458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Treatment of osteoarthrosis with naproxen (Danish)</w:t>
            </w:r>
          </w:p>
        </w:tc>
        <w:tc>
          <w:tcPr>
            <w:tcW w:w="3951" w:type="dxa"/>
          </w:tcPr>
          <w:p w14:paraId="2D5DE8B1" w14:textId="1AA4B20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Aagaard, J.</w:t>
            </w:r>
          </w:p>
        </w:tc>
        <w:tc>
          <w:tcPr>
            <w:tcW w:w="1095" w:type="dxa"/>
          </w:tcPr>
          <w:p w14:paraId="06B496FC" w14:textId="3B4D6EE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1975</w:t>
            </w:r>
          </w:p>
        </w:tc>
        <w:tc>
          <w:tcPr>
            <w:tcW w:w="1758" w:type="dxa"/>
          </w:tcPr>
          <w:p w14:paraId="5910FC5D" w14:textId="24A5A4D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Ugeskrift for Laeger</w:t>
            </w:r>
          </w:p>
        </w:tc>
        <w:tc>
          <w:tcPr>
            <w:tcW w:w="2373" w:type="dxa"/>
          </w:tcPr>
          <w:p w14:paraId="7BAE6C2D" w14:textId="01B26431"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Foreign language</w:t>
            </w:r>
          </w:p>
        </w:tc>
      </w:tr>
      <w:tr w:rsidR="0084671B" w14:paraId="4C21DF88" w14:textId="77777777" w:rsidTr="0084671B">
        <w:tc>
          <w:tcPr>
            <w:tcW w:w="4815" w:type="dxa"/>
          </w:tcPr>
          <w:p w14:paraId="521768AA" w14:textId="33BA5E3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effects of doxycycline on reducing symptoms in knee osteoarthritis: results from a triple-blinded randomised controlled trial.</w:t>
            </w:r>
          </w:p>
        </w:tc>
        <w:tc>
          <w:tcPr>
            <w:tcW w:w="3951" w:type="dxa"/>
          </w:tcPr>
          <w:p w14:paraId="671714B4" w14:textId="0FBDBA48"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Snijders, Gijs F; van den Ende, Cornelia H M; van Riel, Piet L C M; van den Hoogen, Frank H J; den Broeder, Alfons A; NOAC study group</w:t>
            </w:r>
          </w:p>
        </w:tc>
        <w:tc>
          <w:tcPr>
            <w:tcW w:w="1095" w:type="dxa"/>
          </w:tcPr>
          <w:p w14:paraId="7B821A26" w14:textId="7CA0132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2011</w:t>
            </w:r>
          </w:p>
        </w:tc>
        <w:tc>
          <w:tcPr>
            <w:tcW w:w="1758" w:type="dxa"/>
          </w:tcPr>
          <w:p w14:paraId="49321F10" w14:textId="240BA57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Annals of the rheumatic diseases</w:t>
            </w:r>
          </w:p>
        </w:tc>
        <w:tc>
          <w:tcPr>
            <w:tcW w:w="2373" w:type="dxa"/>
          </w:tcPr>
          <w:p w14:paraId="22DE7B03" w14:textId="6DD6DE01"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0AC387F4" w14:textId="77777777" w:rsidTr="0084671B">
        <w:tc>
          <w:tcPr>
            <w:tcW w:w="4815" w:type="dxa"/>
          </w:tcPr>
          <w:p w14:paraId="4A893C26" w14:textId="670FB32A"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Effects of doxycycline on progression of osteoarthritis: results of a randomized, placebo-controlled, double-blind trial.</w:t>
            </w:r>
          </w:p>
        </w:tc>
        <w:tc>
          <w:tcPr>
            <w:tcW w:w="3951" w:type="dxa"/>
          </w:tcPr>
          <w:p w14:paraId="0DD54C2F" w14:textId="6059343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Brandt, Kenneth D; Mazzuca, Steven A; Katz, Barry P; Lane, Kathleen A; Buckwalter, Kenneth A; Yocum, David E; Wolfe, Frederick; Schnitzer, Thomas J; Moreland, Larry W; Manzi, Susan; Bradley, John D; Sharma, Leena; Oddis, Chester V; Hugenberg, Steven T; Heck, Louis W</w:t>
            </w:r>
          </w:p>
        </w:tc>
        <w:tc>
          <w:tcPr>
            <w:tcW w:w="1095" w:type="dxa"/>
          </w:tcPr>
          <w:p w14:paraId="4AD85A66" w14:textId="5933FEC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2005</w:t>
            </w:r>
          </w:p>
        </w:tc>
        <w:tc>
          <w:tcPr>
            <w:tcW w:w="1758" w:type="dxa"/>
          </w:tcPr>
          <w:p w14:paraId="6910E527" w14:textId="3AC24DB2"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Arthritis and rheumatism</w:t>
            </w:r>
          </w:p>
        </w:tc>
        <w:tc>
          <w:tcPr>
            <w:tcW w:w="2373" w:type="dxa"/>
          </w:tcPr>
          <w:p w14:paraId="4833EACD" w14:textId="4B2B75FD"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1A9DAA93" w14:textId="77777777" w:rsidTr="0084671B">
        <w:tc>
          <w:tcPr>
            <w:tcW w:w="4815" w:type="dxa"/>
          </w:tcPr>
          <w:p w14:paraId="0A434814" w14:textId="5D5A39F5"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 xml:space="preserve">Arthroscopic evaluation of potential structure-modifying drug in osteoarthritis of the knee. A </w:t>
            </w:r>
            <w:r w:rsidRPr="000B369D">
              <w:rPr>
                <w:rFonts w:ascii="Arial" w:eastAsia="Times New Roman" w:hAnsi="Arial" w:cs="Arial"/>
                <w:color w:val="000000"/>
                <w:sz w:val="20"/>
                <w:szCs w:val="20"/>
                <w:lang w:val="en-GB" w:eastAsia="fr-BE"/>
              </w:rPr>
              <w:lastRenderedPageBreak/>
              <w:t>multicenter, randomized, double-blind comparison of tenidap sodium vs piroxicam.</w:t>
            </w:r>
          </w:p>
        </w:tc>
        <w:tc>
          <w:tcPr>
            <w:tcW w:w="3951" w:type="dxa"/>
          </w:tcPr>
          <w:p w14:paraId="5230CFBA" w14:textId="696E5E0B"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lastRenderedPageBreak/>
              <w:t xml:space="preserve">Ayral, X; Mackillop, N; Genant, H K; Kirkpatrick, J; Beaulieu, A; </w:t>
            </w:r>
            <w:r w:rsidRPr="000B369D">
              <w:rPr>
                <w:rFonts w:ascii="Arial" w:eastAsia="Times New Roman" w:hAnsi="Arial" w:cs="Arial"/>
                <w:color w:val="000000"/>
                <w:sz w:val="20"/>
                <w:szCs w:val="20"/>
                <w:lang w:val="en-GB" w:eastAsia="fr-BE"/>
              </w:rPr>
              <w:lastRenderedPageBreak/>
              <w:t>Pippingskiold, P; Will, R K; Alava, S; Dougados, M</w:t>
            </w:r>
          </w:p>
        </w:tc>
        <w:tc>
          <w:tcPr>
            <w:tcW w:w="1095" w:type="dxa"/>
          </w:tcPr>
          <w:p w14:paraId="359DEFB5" w14:textId="4A1AB75E"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lastRenderedPageBreak/>
              <w:t>2003</w:t>
            </w:r>
          </w:p>
        </w:tc>
        <w:tc>
          <w:tcPr>
            <w:tcW w:w="1758" w:type="dxa"/>
          </w:tcPr>
          <w:p w14:paraId="0701C421" w14:textId="7DF97626"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Osteoarthritis and cartilage</w:t>
            </w:r>
          </w:p>
        </w:tc>
        <w:tc>
          <w:tcPr>
            <w:tcW w:w="2373" w:type="dxa"/>
          </w:tcPr>
          <w:p w14:paraId="69CDE381" w14:textId="66368A4F"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14:paraId="22A340DE" w14:textId="77777777" w:rsidTr="0084671B">
        <w:tc>
          <w:tcPr>
            <w:tcW w:w="4815" w:type="dxa"/>
          </w:tcPr>
          <w:p w14:paraId="2DA593A8" w14:textId="5564F84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Tanezumab reduces osteoarthritic </w:t>
            </w:r>
            <w:r w:rsidRPr="000B369D">
              <w:rPr>
                <w:rFonts w:ascii="Arial" w:eastAsia="Times New Roman" w:hAnsi="Arial" w:cs="Arial"/>
                <w:color w:val="374D35"/>
                <w:sz w:val="20"/>
                <w:szCs w:val="20"/>
                <w:lang w:val="en-GB" w:eastAsia="fr-BE"/>
              </w:rPr>
              <w:t>knee</w:t>
            </w:r>
            <w:r w:rsidRPr="000B369D">
              <w:rPr>
                <w:rFonts w:ascii="Arial" w:eastAsia="Times New Roman" w:hAnsi="Arial" w:cs="Arial"/>
                <w:color w:val="2A2A2A"/>
                <w:sz w:val="20"/>
                <w:szCs w:val="20"/>
                <w:lang w:val="en-GB" w:eastAsia="fr-BE"/>
              </w:rPr>
              <w:t> </w:t>
            </w:r>
            <w:r w:rsidRPr="000B369D">
              <w:rPr>
                <w:rFonts w:ascii="Arial" w:eastAsia="Times New Roman" w:hAnsi="Arial" w:cs="Arial"/>
                <w:color w:val="374D35"/>
                <w:sz w:val="20"/>
                <w:szCs w:val="20"/>
                <w:lang w:val="en-GB" w:eastAsia="fr-BE"/>
              </w:rPr>
              <w:t>pain</w:t>
            </w:r>
            <w:r w:rsidRPr="000B369D">
              <w:rPr>
                <w:rFonts w:ascii="Arial" w:eastAsia="Times New Roman" w:hAnsi="Arial" w:cs="Arial"/>
                <w:color w:val="2A2A2A"/>
                <w:sz w:val="20"/>
                <w:szCs w:val="20"/>
                <w:lang w:val="en-GB" w:eastAsia="fr-BE"/>
              </w:rPr>
              <w:t>: results of a </w:t>
            </w:r>
            <w:r w:rsidRPr="000B369D">
              <w:rPr>
                <w:rFonts w:ascii="Arial" w:eastAsia="Times New Roman" w:hAnsi="Arial" w:cs="Arial"/>
                <w:color w:val="374D35"/>
                <w:sz w:val="20"/>
                <w:szCs w:val="20"/>
                <w:lang w:val="en-GB" w:eastAsia="fr-BE"/>
              </w:rPr>
              <w:t>randomized</w:t>
            </w:r>
            <w:r w:rsidRPr="000B369D">
              <w:rPr>
                <w:rFonts w:ascii="Arial" w:eastAsia="Times New Roman" w:hAnsi="Arial" w:cs="Arial"/>
                <w:color w:val="2A2A2A"/>
                <w:sz w:val="20"/>
                <w:szCs w:val="20"/>
                <w:lang w:val="en-GB" w:eastAsia="fr-BE"/>
              </w:rPr>
              <w:t>, double-blind, </w:t>
            </w:r>
            <w:r w:rsidRPr="000B369D">
              <w:rPr>
                <w:rFonts w:ascii="Arial" w:eastAsia="Times New Roman" w:hAnsi="Arial" w:cs="Arial"/>
                <w:color w:val="374D35"/>
                <w:sz w:val="20"/>
                <w:szCs w:val="20"/>
                <w:lang w:val="en-GB" w:eastAsia="fr-BE"/>
              </w:rPr>
              <w:t>placebo</w:t>
            </w:r>
            <w:r w:rsidRPr="000B369D">
              <w:rPr>
                <w:rFonts w:ascii="Arial" w:eastAsia="Times New Roman" w:hAnsi="Arial" w:cs="Arial"/>
                <w:color w:val="2A2A2A"/>
                <w:sz w:val="20"/>
                <w:szCs w:val="20"/>
                <w:lang w:val="en-GB" w:eastAsia="fr-BE"/>
              </w:rPr>
              <w:t>-controlled phase III trial.</w:t>
            </w:r>
          </w:p>
        </w:tc>
        <w:tc>
          <w:tcPr>
            <w:tcW w:w="3951" w:type="dxa"/>
          </w:tcPr>
          <w:p w14:paraId="441E6E18" w14:textId="1D9688A0"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Brown, Mark T; Murphy, Frederick T; Radin, David M; Davignon, Isabelle; Smith, Michael D; West, Christine R</w:t>
            </w:r>
          </w:p>
        </w:tc>
        <w:tc>
          <w:tcPr>
            <w:tcW w:w="1095" w:type="dxa"/>
          </w:tcPr>
          <w:p w14:paraId="5E72754B" w14:textId="3304361F"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2012</w:t>
            </w:r>
          </w:p>
        </w:tc>
        <w:tc>
          <w:tcPr>
            <w:tcW w:w="1758" w:type="dxa"/>
          </w:tcPr>
          <w:p w14:paraId="680AB1A2" w14:textId="439D0E7D"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The journal of pain : official journal of the American Pain Society</w:t>
            </w:r>
          </w:p>
        </w:tc>
        <w:tc>
          <w:tcPr>
            <w:tcW w:w="2373" w:type="dxa"/>
          </w:tcPr>
          <w:p w14:paraId="7D4D898F" w14:textId="7B41B955"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eastAsia="fr-BE"/>
              </w:rPr>
              <w:t>Exclusion reason: Wrong intervention</w:t>
            </w:r>
          </w:p>
        </w:tc>
      </w:tr>
      <w:tr w:rsidR="0084671B" w:rsidRPr="00252F1D" w14:paraId="44E5B24F" w14:textId="77777777" w:rsidTr="0084671B">
        <w:tc>
          <w:tcPr>
            <w:tcW w:w="4815" w:type="dxa"/>
          </w:tcPr>
          <w:p w14:paraId="04363B2A" w14:textId="236FEF9C"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val="en-GB" w:eastAsia="fr-BE"/>
              </w:rPr>
              <w:t>Long term efficacy and safety of a combined low and high molecular weight </w:t>
            </w:r>
            <w:r w:rsidRPr="000B369D">
              <w:rPr>
                <w:rFonts w:ascii="Arial" w:eastAsia="Times New Roman" w:hAnsi="Arial" w:cs="Arial"/>
                <w:color w:val="374D35"/>
                <w:sz w:val="20"/>
                <w:szCs w:val="20"/>
                <w:lang w:val="en-GB" w:eastAsia="fr-BE"/>
              </w:rPr>
              <w:t>hyaluronic</w:t>
            </w:r>
            <w:r w:rsidRPr="000B369D">
              <w:rPr>
                <w:rFonts w:ascii="Arial" w:eastAsia="Times New Roman" w:hAnsi="Arial" w:cs="Arial"/>
                <w:color w:val="2A2A2A"/>
                <w:sz w:val="20"/>
                <w:szCs w:val="20"/>
                <w:lang w:val="en-GB" w:eastAsia="fr-BE"/>
              </w:rPr>
              <w:t> acid in the treatment of osteoarthritis of the </w:t>
            </w:r>
            <w:r w:rsidRPr="000B369D">
              <w:rPr>
                <w:rFonts w:ascii="Arial" w:eastAsia="Times New Roman" w:hAnsi="Arial" w:cs="Arial"/>
                <w:color w:val="374D35"/>
                <w:sz w:val="20"/>
                <w:szCs w:val="20"/>
                <w:lang w:val="en-GB" w:eastAsia="fr-BE"/>
              </w:rPr>
              <w:t>knee</w:t>
            </w:r>
          </w:p>
        </w:tc>
        <w:tc>
          <w:tcPr>
            <w:tcW w:w="3951" w:type="dxa"/>
          </w:tcPr>
          <w:p w14:paraId="2F88771A" w14:textId="184805B9" w:rsidR="0084671B" w:rsidRPr="0084671B" w:rsidRDefault="0084671B" w:rsidP="0084671B">
            <w:pPr>
              <w:rPr>
                <w:rFonts w:ascii="Arial" w:hAnsi="Arial" w:cs="Arial"/>
                <w:b/>
                <w:bCs/>
                <w:sz w:val="20"/>
                <w:szCs w:val="20"/>
              </w:rPr>
            </w:pPr>
            <w:r w:rsidRPr="000B369D">
              <w:rPr>
                <w:rFonts w:ascii="Arial" w:eastAsia="Times New Roman" w:hAnsi="Arial" w:cs="Arial"/>
                <w:color w:val="000000"/>
                <w:sz w:val="20"/>
                <w:szCs w:val="20"/>
                <w:lang w:eastAsia="fr-BE"/>
              </w:rPr>
              <w:t>Petrella, R.J.; Decaria, J.; Petrella, M.J.</w:t>
            </w:r>
          </w:p>
        </w:tc>
        <w:tc>
          <w:tcPr>
            <w:tcW w:w="1095" w:type="dxa"/>
          </w:tcPr>
          <w:p w14:paraId="214DE6CE" w14:textId="1E1039B7"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2011</w:t>
            </w:r>
          </w:p>
        </w:tc>
        <w:tc>
          <w:tcPr>
            <w:tcW w:w="1758" w:type="dxa"/>
          </w:tcPr>
          <w:p w14:paraId="449C35D1" w14:textId="6F82DB19" w:rsidR="0084671B" w:rsidRDefault="0084671B" w:rsidP="0084671B">
            <w:pPr>
              <w:rPr>
                <w:rFonts w:ascii="Arial" w:hAnsi="Arial" w:cs="Arial"/>
                <w:b/>
                <w:bCs/>
                <w:sz w:val="20"/>
                <w:szCs w:val="20"/>
                <w:lang w:val="en-GB"/>
              </w:rPr>
            </w:pPr>
            <w:r w:rsidRPr="000B369D">
              <w:rPr>
                <w:rFonts w:ascii="Arial" w:eastAsia="Times New Roman" w:hAnsi="Arial" w:cs="Arial"/>
                <w:color w:val="000000"/>
                <w:sz w:val="20"/>
                <w:szCs w:val="20"/>
                <w:lang w:eastAsia="fr-BE"/>
              </w:rPr>
              <w:t>Rheumatology Reports</w:t>
            </w:r>
          </w:p>
        </w:tc>
        <w:tc>
          <w:tcPr>
            <w:tcW w:w="2373" w:type="dxa"/>
          </w:tcPr>
          <w:p w14:paraId="37C9699E" w14:textId="0A1C4213" w:rsidR="0084671B" w:rsidRDefault="0084671B" w:rsidP="0084671B">
            <w:pPr>
              <w:rPr>
                <w:rFonts w:ascii="Arial" w:hAnsi="Arial" w:cs="Arial"/>
                <w:b/>
                <w:bCs/>
                <w:sz w:val="20"/>
                <w:szCs w:val="20"/>
                <w:lang w:val="en-GB"/>
              </w:rPr>
            </w:pPr>
            <w:r w:rsidRPr="008831C9">
              <w:rPr>
                <w:rFonts w:ascii="Arial" w:eastAsia="Times New Roman" w:hAnsi="Arial" w:cs="Arial"/>
                <w:color w:val="000000"/>
                <w:sz w:val="20"/>
                <w:szCs w:val="20"/>
                <w:lang w:val="en-GB" w:eastAsia="fr-BE"/>
              </w:rPr>
              <w:t>Exclusion reason: Not enough information</w:t>
            </w:r>
          </w:p>
        </w:tc>
      </w:tr>
    </w:tbl>
    <w:p w14:paraId="77197FF9" w14:textId="77777777" w:rsidR="0084671B" w:rsidRPr="000B369D" w:rsidRDefault="0084671B" w:rsidP="00111BE5">
      <w:pPr>
        <w:spacing w:line="240" w:lineRule="auto"/>
        <w:rPr>
          <w:rFonts w:ascii="Arial" w:hAnsi="Arial" w:cs="Arial"/>
          <w:b/>
          <w:bCs/>
          <w:sz w:val="20"/>
          <w:szCs w:val="20"/>
          <w:lang w:val="en-GB"/>
        </w:rPr>
      </w:pPr>
    </w:p>
    <w:p w14:paraId="34EB6683" w14:textId="3B8B7E0F" w:rsidR="00582B19" w:rsidRPr="000B369D" w:rsidRDefault="00582B19" w:rsidP="00111BE5">
      <w:pPr>
        <w:spacing w:line="240" w:lineRule="auto"/>
        <w:rPr>
          <w:rFonts w:ascii="Arial" w:hAnsi="Arial" w:cs="Arial"/>
          <w:sz w:val="20"/>
          <w:szCs w:val="20"/>
          <w:lang w:val="en-GB"/>
        </w:rPr>
      </w:pPr>
    </w:p>
    <w:p w14:paraId="716FD638" w14:textId="77777777" w:rsidR="00582B19" w:rsidRPr="000B369D" w:rsidRDefault="00582B19" w:rsidP="00111BE5">
      <w:pPr>
        <w:spacing w:line="240" w:lineRule="auto"/>
        <w:rPr>
          <w:rFonts w:ascii="Arial" w:hAnsi="Arial" w:cs="Arial"/>
          <w:sz w:val="20"/>
          <w:szCs w:val="20"/>
          <w:lang w:val="en-GB"/>
        </w:rPr>
      </w:pPr>
      <w:r w:rsidRPr="000B369D">
        <w:rPr>
          <w:rFonts w:ascii="Arial" w:hAnsi="Arial" w:cs="Arial"/>
          <w:sz w:val="20"/>
          <w:szCs w:val="20"/>
          <w:lang w:val="en-GB"/>
        </w:rPr>
        <w:br w:type="page"/>
      </w:r>
    </w:p>
    <w:p w14:paraId="6131AB3D" w14:textId="77777777" w:rsidR="00582B19" w:rsidRPr="000B369D" w:rsidRDefault="00582B19" w:rsidP="00111BE5">
      <w:pPr>
        <w:spacing w:line="240" w:lineRule="auto"/>
        <w:rPr>
          <w:rFonts w:ascii="Arial" w:hAnsi="Arial" w:cs="Arial"/>
          <w:sz w:val="20"/>
          <w:szCs w:val="20"/>
          <w:lang w:val="en-GB"/>
        </w:rPr>
        <w:sectPr w:rsidR="00582B19" w:rsidRPr="000B369D" w:rsidSect="00FA506A">
          <w:pgSz w:w="16838" w:h="11906" w:orient="landscape"/>
          <w:pgMar w:top="1418" w:right="1418" w:bottom="1418" w:left="1418" w:header="708" w:footer="708" w:gutter="0"/>
          <w:cols w:space="708"/>
          <w:docGrid w:linePitch="360"/>
        </w:sectPr>
      </w:pPr>
    </w:p>
    <w:p w14:paraId="44383664" w14:textId="5EBEAD95" w:rsidR="00582B19" w:rsidRPr="000B369D" w:rsidRDefault="000B369D" w:rsidP="00111BE5">
      <w:pPr>
        <w:spacing w:line="240" w:lineRule="auto"/>
        <w:rPr>
          <w:rFonts w:ascii="Arial" w:hAnsi="Arial" w:cs="Arial"/>
          <w:b/>
          <w:bCs/>
          <w:sz w:val="20"/>
          <w:szCs w:val="20"/>
          <w:lang w:val="en-GB"/>
        </w:rPr>
      </w:pPr>
      <w:r>
        <w:rPr>
          <w:rFonts w:ascii="Arial" w:hAnsi="Arial" w:cs="Arial"/>
          <w:b/>
          <w:bCs/>
          <w:sz w:val="20"/>
          <w:szCs w:val="20"/>
          <w:lang w:val="en-GB"/>
        </w:rPr>
        <w:lastRenderedPageBreak/>
        <w:t>TableA</w:t>
      </w:r>
      <w:r w:rsidR="00A13521">
        <w:rPr>
          <w:rFonts w:ascii="Arial" w:hAnsi="Arial" w:cs="Arial"/>
          <w:b/>
          <w:bCs/>
          <w:sz w:val="20"/>
          <w:szCs w:val="20"/>
          <w:lang w:val="en-GB"/>
        </w:rPr>
        <w:t>4</w:t>
      </w:r>
      <w:r w:rsidR="00582B19" w:rsidRPr="000B369D">
        <w:rPr>
          <w:rFonts w:ascii="Arial" w:hAnsi="Arial" w:cs="Arial"/>
          <w:b/>
          <w:bCs/>
          <w:sz w:val="20"/>
          <w:szCs w:val="20"/>
          <w:lang w:val="en-GB"/>
        </w:rPr>
        <w:t xml:space="preserve"> </w:t>
      </w:r>
      <w:r w:rsidR="00DE7DCE">
        <w:rPr>
          <w:rFonts w:ascii="Arial" w:hAnsi="Arial" w:cs="Arial"/>
          <w:sz w:val="20"/>
          <w:szCs w:val="20"/>
          <w:lang w:val="en-GB"/>
        </w:rPr>
        <w:t>Characteristics of the 80 randomized controlled trials included in the network meta-analysis</w:t>
      </w:r>
    </w:p>
    <w:tbl>
      <w:tblPr>
        <w:tblStyle w:val="Grilledutableau"/>
        <w:tblW w:w="0" w:type="auto"/>
        <w:tblLook w:val="04A0" w:firstRow="1" w:lastRow="0" w:firstColumn="1" w:lastColumn="0" w:noHBand="0" w:noVBand="1"/>
      </w:tblPr>
      <w:tblGrid>
        <w:gridCol w:w="1385"/>
        <w:gridCol w:w="1125"/>
        <w:gridCol w:w="1951"/>
        <w:gridCol w:w="1426"/>
        <w:gridCol w:w="1333"/>
        <w:gridCol w:w="1590"/>
        <w:gridCol w:w="859"/>
        <w:gridCol w:w="1772"/>
        <w:gridCol w:w="2551"/>
      </w:tblGrid>
      <w:tr w:rsidR="00582B19" w:rsidRPr="000B369D" w14:paraId="74C81AAA" w14:textId="77777777" w:rsidTr="008C4C2C">
        <w:tc>
          <w:tcPr>
            <w:tcW w:w="1342" w:type="dxa"/>
          </w:tcPr>
          <w:p w14:paraId="7CB03CDB" w14:textId="77777777" w:rsidR="00582B19" w:rsidRPr="000B369D" w:rsidRDefault="00582B19" w:rsidP="00111BE5">
            <w:pPr>
              <w:jc w:val="center"/>
              <w:rPr>
                <w:rFonts w:ascii="Arial" w:hAnsi="Arial" w:cs="Arial"/>
                <w:sz w:val="20"/>
                <w:szCs w:val="20"/>
              </w:rPr>
            </w:pPr>
            <w:r w:rsidRPr="000B369D">
              <w:rPr>
                <w:rFonts w:ascii="Arial" w:hAnsi="Arial" w:cs="Arial"/>
                <w:sz w:val="20"/>
                <w:szCs w:val="20"/>
              </w:rPr>
              <w:t>Author First, Year, Ref</w:t>
            </w:r>
          </w:p>
        </w:tc>
        <w:tc>
          <w:tcPr>
            <w:tcW w:w="1131" w:type="dxa"/>
          </w:tcPr>
          <w:p w14:paraId="101B9778" w14:textId="77777777" w:rsidR="00582B19" w:rsidRPr="000B369D" w:rsidRDefault="00582B19" w:rsidP="00111BE5">
            <w:pPr>
              <w:jc w:val="center"/>
              <w:rPr>
                <w:rFonts w:ascii="Arial" w:hAnsi="Arial" w:cs="Arial"/>
                <w:sz w:val="20"/>
                <w:szCs w:val="20"/>
              </w:rPr>
            </w:pPr>
            <w:r w:rsidRPr="000B369D">
              <w:rPr>
                <w:rFonts w:ascii="Arial" w:hAnsi="Arial" w:cs="Arial"/>
                <w:sz w:val="20"/>
                <w:szCs w:val="20"/>
              </w:rPr>
              <w:t>Study design</w:t>
            </w:r>
          </w:p>
        </w:tc>
        <w:tc>
          <w:tcPr>
            <w:tcW w:w="1919" w:type="dxa"/>
          </w:tcPr>
          <w:p w14:paraId="0D8E9E74" w14:textId="77777777" w:rsidR="00582B19" w:rsidRPr="000B369D" w:rsidRDefault="00582B19" w:rsidP="00111BE5">
            <w:pPr>
              <w:jc w:val="center"/>
              <w:rPr>
                <w:rFonts w:ascii="Arial" w:hAnsi="Arial" w:cs="Arial"/>
                <w:sz w:val="20"/>
                <w:szCs w:val="20"/>
              </w:rPr>
            </w:pPr>
            <w:r w:rsidRPr="000B369D">
              <w:rPr>
                <w:rFonts w:ascii="Arial" w:hAnsi="Arial" w:cs="Arial"/>
                <w:sz w:val="20"/>
                <w:szCs w:val="20"/>
              </w:rPr>
              <w:t>Treatments</w:t>
            </w:r>
          </w:p>
        </w:tc>
        <w:tc>
          <w:tcPr>
            <w:tcW w:w="1445" w:type="dxa"/>
          </w:tcPr>
          <w:p w14:paraId="33618309" w14:textId="77777777" w:rsidR="00582B19" w:rsidRPr="000B369D" w:rsidRDefault="00582B19" w:rsidP="00111BE5">
            <w:pPr>
              <w:jc w:val="center"/>
              <w:rPr>
                <w:rFonts w:ascii="Arial" w:hAnsi="Arial" w:cs="Arial"/>
                <w:sz w:val="20"/>
                <w:szCs w:val="20"/>
              </w:rPr>
            </w:pPr>
            <w:r w:rsidRPr="000B369D">
              <w:rPr>
                <w:rFonts w:ascii="Arial" w:hAnsi="Arial" w:cs="Arial"/>
                <w:sz w:val="20"/>
                <w:szCs w:val="20"/>
              </w:rPr>
              <w:t>Length of treatment</w:t>
            </w:r>
          </w:p>
        </w:tc>
        <w:tc>
          <w:tcPr>
            <w:tcW w:w="1337" w:type="dxa"/>
          </w:tcPr>
          <w:p w14:paraId="3EECC144" w14:textId="77777777" w:rsidR="00582B19" w:rsidRPr="000B369D" w:rsidRDefault="00582B19" w:rsidP="00111BE5">
            <w:pPr>
              <w:jc w:val="center"/>
              <w:rPr>
                <w:rFonts w:ascii="Arial" w:hAnsi="Arial" w:cs="Arial"/>
                <w:sz w:val="20"/>
                <w:szCs w:val="20"/>
                <w:lang w:val="en-GB"/>
              </w:rPr>
            </w:pPr>
            <w:r w:rsidRPr="000B369D">
              <w:rPr>
                <w:rFonts w:ascii="Arial" w:hAnsi="Arial" w:cs="Arial"/>
                <w:sz w:val="20"/>
                <w:szCs w:val="20"/>
                <w:lang w:val="en-GB"/>
              </w:rPr>
              <w:t>Participants – total and number in each group</w:t>
            </w:r>
          </w:p>
        </w:tc>
        <w:tc>
          <w:tcPr>
            <w:tcW w:w="1619" w:type="dxa"/>
          </w:tcPr>
          <w:p w14:paraId="1BBF351B" w14:textId="77777777" w:rsidR="00582B19" w:rsidRPr="000B369D" w:rsidRDefault="00582B19" w:rsidP="00111BE5">
            <w:pPr>
              <w:jc w:val="center"/>
              <w:rPr>
                <w:rFonts w:ascii="Arial" w:hAnsi="Arial" w:cs="Arial"/>
                <w:sz w:val="20"/>
                <w:szCs w:val="20"/>
                <w:lang w:val="en-GB"/>
              </w:rPr>
            </w:pPr>
            <w:r w:rsidRPr="000B369D">
              <w:rPr>
                <w:rFonts w:ascii="Arial" w:hAnsi="Arial" w:cs="Arial"/>
                <w:sz w:val="20"/>
                <w:szCs w:val="20"/>
                <w:lang w:val="en-GB"/>
              </w:rPr>
              <w:t>Age</w:t>
            </w:r>
          </w:p>
          <w:p w14:paraId="116519C3" w14:textId="77777777" w:rsidR="00582B19" w:rsidRPr="000B369D" w:rsidRDefault="00582B19" w:rsidP="00111BE5">
            <w:pPr>
              <w:jc w:val="center"/>
              <w:rPr>
                <w:rFonts w:ascii="Arial" w:hAnsi="Arial" w:cs="Arial"/>
                <w:sz w:val="20"/>
                <w:szCs w:val="20"/>
                <w:lang w:val="en-GB"/>
              </w:rPr>
            </w:pPr>
            <w:r w:rsidRPr="000B369D">
              <w:rPr>
                <w:rFonts w:ascii="Arial" w:hAnsi="Arial" w:cs="Arial"/>
                <w:sz w:val="20"/>
                <w:szCs w:val="20"/>
                <w:lang w:val="en-GB"/>
              </w:rPr>
              <w:t xml:space="preserve">mean±SD or </w:t>
            </w:r>
          </w:p>
          <w:p w14:paraId="6E9A1638" w14:textId="77777777" w:rsidR="00582B19" w:rsidRPr="000B369D" w:rsidRDefault="00582B19" w:rsidP="00111BE5">
            <w:pPr>
              <w:jc w:val="center"/>
              <w:rPr>
                <w:rFonts w:ascii="Arial" w:hAnsi="Arial" w:cs="Arial"/>
                <w:sz w:val="20"/>
                <w:szCs w:val="20"/>
                <w:lang w:val="en-GB"/>
              </w:rPr>
            </w:pPr>
            <w:r w:rsidRPr="000B369D">
              <w:rPr>
                <w:rFonts w:ascii="Arial" w:hAnsi="Arial" w:cs="Arial"/>
                <w:sz w:val="20"/>
                <w:szCs w:val="20"/>
                <w:lang w:val="en-GB"/>
              </w:rPr>
              <w:t>median (P25-P75)</w:t>
            </w:r>
          </w:p>
        </w:tc>
        <w:tc>
          <w:tcPr>
            <w:tcW w:w="871" w:type="dxa"/>
          </w:tcPr>
          <w:p w14:paraId="28534E04" w14:textId="77777777" w:rsidR="00582B19" w:rsidRPr="000B369D" w:rsidRDefault="00582B19" w:rsidP="00111BE5">
            <w:pPr>
              <w:jc w:val="center"/>
              <w:rPr>
                <w:rFonts w:ascii="Arial" w:hAnsi="Arial" w:cs="Arial"/>
                <w:sz w:val="20"/>
                <w:szCs w:val="20"/>
              </w:rPr>
            </w:pPr>
            <w:r w:rsidRPr="000B369D">
              <w:rPr>
                <w:rFonts w:ascii="Arial" w:hAnsi="Arial" w:cs="Arial"/>
                <w:sz w:val="20"/>
                <w:szCs w:val="20"/>
              </w:rPr>
              <w:t>Sex</w:t>
            </w:r>
          </w:p>
        </w:tc>
        <w:tc>
          <w:tcPr>
            <w:tcW w:w="1813" w:type="dxa"/>
          </w:tcPr>
          <w:p w14:paraId="1EE4CA0B" w14:textId="77777777" w:rsidR="00582B19" w:rsidRPr="000B369D" w:rsidRDefault="00582B19" w:rsidP="00111BE5">
            <w:pPr>
              <w:jc w:val="center"/>
              <w:rPr>
                <w:rFonts w:ascii="Arial" w:hAnsi="Arial" w:cs="Arial"/>
                <w:sz w:val="20"/>
                <w:szCs w:val="20"/>
                <w:lang w:val="en-GB"/>
              </w:rPr>
            </w:pPr>
            <w:r w:rsidRPr="000B369D">
              <w:rPr>
                <w:rFonts w:ascii="Arial" w:hAnsi="Arial" w:cs="Arial"/>
                <w:sz w:val="20"/>
                <w:szCs w:val="20"/>
                <w:lang w:val="en-GB"/>
              </w:rPr>
              <w:t>List of outcomes and tools used</w:t>
            </w:r>
          </w:p>
        </w:tc>
        <w:tc>
          <w:tcPr>
            <w:tcW w:w="2517" w:type="dxa"/>
          </w:tcPr>
          <w:p w14:paraId="4A27D2A0" w14:textId="77777777" w:rsidR="00582B19" w:rsidRPr="000B369D" w:rsidRDefault="00582B19" w:rsidP="00111BE5">
            <w:pPr>
              <w:jc w:val="center"/>
              <w:rPr>
                <w:rFonts w:ascii="Arial" w:hAnsi="Arial" w:cs="Arial"/>
                <w:sz w:val="20"/>
                <w:szCs w:val="20"/>
              </w:rPr>
            </w:pPr>
            <w:r w:rsidRPr="000B369D">
              <w:rPr>
                <w:rFonts w:ascii="Arial" w:hAnsi="Arial" w:cs="Arial"/>
                <w:sz w:val="20"/>
                <w:szCs w:val="20"/>
              </w:rPr>
              <w:t>Funding</w:t>
            </w:r>
          </w:p>
        </w:tc>
      </w:tr>
      <w:tr w:rsidR="00582B19" w:rsidRPr="00252F1D" w14:paraId="42F7480E" w14:textId="77777777" w:rsidTr="008C4C2C">
        <w:tc>
          <w:tcPr>
            <w:tcW w:w="1342" w:type="dxa"/>
          </w:tcPr>
          <w:p w14:paraId="3BB3E41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Altman, 1998</w:t>
            </w:r>
          </w:p>
        </w:tc>
        <w:tc>
          <w:tcPr>
            <w:tcW w:w="1131" w:type="dxa"/>
          </w:tcPr>
          <w:p w14:paraId="7F423BC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3 groups</w:t>
            </w:r>
          </w:p>
        </w:tc>
        <w:tc>
          <w:tcPr>
            <w:tcW w:w="1919" w:type="dxa"/>
          </w:tcPr>
          <w:p w14:paraId="2AFBC03F" w14:textId="77777777" w:rsidR="00582B19" w:rsidRPr="000B369D" w:rsidRDefault="00582B19" w:rsidP="00111BE5">
            <w:pPr>
              <w:rPr>
                <w:rFonts w:ascii="Arial" w:hAnsi="Arial" w:cs="Arial"/>
                <w:sz w:val="20"/>
                <w:szCs w:val="20"/>
                <w:lang w:val="en-GB"/>
              </w:rPr>
            </w:pPr>
            <w:r w:rsidRPr="000B369D">
              <w:rPr>
                <w:rFonts w:ascii="Arial" w:hAnsi="Arial" w:cs="Arial"/>
                <w:sz w:val="20"/>
                <w:szCs w:val="20"/>
                <w:lang w:val="en-GB"/>
              </w:rPr>
              <w:t>G1: IA Hyaluronic acid</w:t>
            </w:r>
          </w:p>
          <w:p w14:paraId="170AF60C" w14:textId="77777777" w:rsidR="00582B19" w:rsidRPr="000B369D" w:rsidRDefault="00582B19" w:rsidP="00111BE5">
            <w:pPr>
              <w:rPr>
                <w:rFonts w:ascii="Arial" w:hAnsi="Arial" w:cs="Arial"/>
                <w:sz w:val="20"/>
                <w:szCs w:val="20"/>
                <w:lang w:val="en-GB"/>
              </w:rPr>
            </w:pPr>
            <w:r w:rsidRPr="000B369D">
              <w:rPr>
                <w:rFonts w:ascii="Arial" w:hAnsi="Arial" w:cs="Arial"/>
                <w:sz w:val="20"/>
                <w:szCs w:val="20"/>
                <w:lang w:val="en-GB"/>
              </w:rPr>
              <w:t>G2: IA Naproxen</w:t>
            </w:r>
          </w:p>
          <w:p w14:paraId="1A8DF6F0" w14:textId="77777777" w:rsidR="00582B19" w:rsidRPr="000B369D" w:rsidRDefault="00582B19" w:rsidP="00111BE5">
            <w:pPr>
              <w:rPr>
                <w:rFonts w:ascii="Arial" w:hAnsi="Arial" w:cs="Arial"/>
                <w:color w:val="000000"/>
                <w:sz w:val="20"/>
                <w:szCs w:val="20"/>
              </w:rPr>
            </w:pPr>
            <w:r w:rsidRPr="000B369D">
              <w:rPr>
                <w:rFonts w:ascii="Arial" w:hAnsi="Arial" w:cs="Arial"/>
                <w:sz w:val="20"/>
                <w:szCs w:val="20"/>
              </w:rPr>
              <w:t>G3: Placebo</w:t>
            </w:r>
          </w:p>
        </w:tc>
        <w:tc>
          <w:tcPr>
            <w:tcW w:w="1445" w:type="dxa"/>
          </w:tcPr>
          <w:p w14:paraId="53472117"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Injection: 5 injections weekly</w:t>
            </w:r>
          </w:p>
          <w:p w14:paraId="6ACD4944"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br/>
              <w:t>Oral: 26 weeks</w:t>
            </w:r>
          </w:p>
        </w:tc>
        <w:tc>
          <w:tcPr>
            <w:tcW w:w="1337" w:type="dxa"/>
          </w:tcPr>
          <w:p w14:paraId="6080B4B4"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495</w:t>
            </w:r>
          </w:p>
          <w:p w14:paraId="44A15919" w14:textId="77777777" w:rsidR="00582B19" w:rsidRPr="000B369D" w:rsidRDefault="00582B19" w:rsidP="00111BE5">
            <w:pPr>
              <w:rPr>
                <w:rFonts w:ascii="Arial" w:hAnsi="Arial" w:cs="Arial"/>
                <w:color w:val="000000"/>
                <w:sz w:val="20"/>
                <w:szCs w:val="20"/>
                <w:lang w:val="en-GB"/>
              </w:rPr>
            </w:pPr>
          </w:p>
          <w:p w14:paraId="7CE3E9A6"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NR</w:t>
            </w:r>
          </w:p>
          <w:p w14:paraId="4E876FC7"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NR</w:t>
            </w:r>
          </w:p>
          <w:p w14:paraId="3CD8037A"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G3: NR</w:t>
            </w:r>
          </w:p>
        </w:tc>
        <w:tc>
          <w:tcPr>
            <w:tcW w:w="1619" w:type="dxa"/>
          </w:tcPr>
          <w:p w14:paraId="460A458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64 ± 10</w:t>
            </w:r>
          </w:p>
        </w:tc>
        <w:tc>
          <w:tcPr>
            <w:tcW w:w="871" w:type="dxa"/>
          </w:tcPr>
          <w:p w14:paraId="1319F63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190 W</w:t>
            </w:r>
            <w:r w:rsidRPr="000B369D">
              <w:rPr>
                <w:rFonts w:ascii="Arial" w:hAnsi="Arial" w:cs="Arial"/>
                <w:color w:val="000000"/>
                <w:sz w:val="20"/>
                <w:szCs w:val="20"/>
              </w:rPr>
              <w:br/>
              <w:t>143 M</w:t>
            </w:r>
          </w:p>
        </w:tc>
        <w:tc>
          <w:tcPr>
            <w:tcW w:w="1813" w:type="dxa"/>
          </w:tcPr>
          <w:p w14:paraId="6607F30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p>
        </w:tc>
        <w:tc>
          <w:tcPr>
            <w:tcW w:w="2517" w:type="dxa"/>
          </w:tcPr>
          <w:p w14:paraId="5A0312DB"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Sponsored by Fidia Pharmaceutical Corporation</w:t>
            </w:r>
          </w:p>
        </w:tc>
      </w:tr>
      <w:tr w:rsidR="00582B19" w:rsidRPr="00252F1D" w14:paraId="6377A914" w14:textId="77777777" w:rsidTr="008C4C2C">
        <w:tc>
          <w:tcPr>
            <w:tcW w:w="1342" w:type="dxa"/>
          </w:tcPr>
          <w:p w14:paraId="23941B8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Altman, 2004</w:t>
            </w:r>
          </w:p>
        </w:tc>
        <w:tc>
          <w:tcPr>
            <w:tcW w:w="1131" w:type="dxa"/>
          </w:tcPr>
          <w:p w14:paraId="03F0C6B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4704F915" w14:textId="77777777" w:rsidR="00582B19" w:rsidRPr="000B369D" w:rsidRDefault="00582B19" w:rsidP="00111BE5">
            <w:pPr>
              <w:rPr>
                <w:rFonts w:ascii="Arial" w:hAnsi="Arial" w:cs="Arial"/>
                <w:sz w:val="20"/>
                <w:szCs w:val="20"/>
                <w:lang w:val="en-GB"/>
              </w:rPr>
            </w:pPr>
            <w:r w:rsidRPr="000B369D">
              <w:rPr>
                <w:rFonts w:ascii="Arial" w:hAnsi="Arial" w:cs="Arial"/>
                <w:sz w:val="20"/>
                <w:szCs w:val="20"/>
                <w:lang w:val="en-GB"/>
              </w:rPr>
              <w:t>G1: IA Hyaluronic acid</w:t>
            </w:r>
          </w:p>
          <w:p w14:paraId="24D46BDA" w14:textId="77777777" w:rsidR="00582B19" w:rsidRPr="000B369D" w:rsidRDefault="00582B19" w:rsidP="00111BE5">
            <w:pPr>
              <w:rPr>
                <w:rFonts w:ascii="Arial" w:hAnsi="Arial" w:cs="Arial"/>
                <w:color w:val="000000"/>
                <w:sz w:val="20"/>
                <w:szCs w:val="20"/>
                <w:lang w:val="en-GB"/>
              </w:rPr>
            </w:pPr>
            <w:r w:rsidRPr="000B369D">
              <w:rPr>
                <w:rFonts w:ascii="Arial" w:hAnsi="Arial" w:cs="Arial"/>
                <w:sz w:val="20"/>
                <w:szCs w:val="20"/>
                <w:lang w:val="en-GB"/>
              </w:rPr>
              <w:t>G2: Placebo</w:t>
            </w:r>
          </w:p>
        </w:tc>
        <w:tc>
          <w:tcPr>
            <w:tcW w:w="1445" w:type="dxa"/>
          </w:tcPr>
          <w:p w14:paraId="043A6024"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One single injection, follow-up of 26 weeks</w:t>
            </w:r>
          </w:p>
        </w:tc>
        <w:tc>
          <w:tcPr>
            <w:tcW w:w="1337" w:type="dxa"/>
          </w:tcPr>
          <w:p w14:paraId="4E8705A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346</w:t>
            </w:r>
          </w:p>
          <w:p w14:paraId="2CF13AA1" w14:textId="77777777" w:rsidR="00582B19" w:rsidRPr="000B369D" w:rsidRDefault="00582B19" w:rsidP="00111BE5">
            <w:pPr>
              <w:rPr>
                <w:rFonts w:ascii="Arial" w:hAnsi="Arial" w:cs="Arial"/>
                <w:color w:val="000000"/>
                <w:sz w:val="20"/>
                <w:szCs w:val="20"/>
              </w:rPr>
            </w:pPr>
          </w:p>
          <w:p w14:paraId="3D62ED3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172</w:t>
            </w:r>
            <w:r w:rsidRPr="000B369D">
              <w:rPr>
                <w:rFonts w:ascii="Arial" w:hAnsi="Arial" w:cs="Arial"/>
                <w:color w:val="000000"/>
                <w:sz w:val="20"/>
                <w:szCs w:val="20"/>
              </w:rPr>
              <w:br/>
              <w:t>G2: 174</w:t>
            </w:r>
          </w:p>
        </w:tc>
        <w:tc>
          <w:tcPr>
            <w:tcW w:w="1619" w:type="dxa"/>
          </w:tcPr>
          <w:p w14:paraId="1733D9D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62.9 (41-85)</w:t>
            </w:r>
            <w:r w:rsidRPr="000B369D">
              <w:rPr>
                <w:rFonts w:ascii="Arial" w:hAnsi="Arial" w:cs="Arial"/>
                <w:color w:val="000000"/>
                <w:sz w:val="20"/>
                <w:szCs w:val="20"/>
              </w:rPr>
              <w:br/>
              <w:t>G2: 63.3 (35-85)</w:t>
            </w:r>
          </w:p>
        </w:tc>
        <w:tc>
          <w:tcPr>
            <w:tcW w:w="871" w:type="dxa"/>
          </w:tcPr>
          <w:p w14:paraId="3B39963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190 W</w:t>
            </w:r>
            <w:r w:rsidRPr="000B369D">
              <w:rPr>
                <w:rFonts w:ascii="Arial" w:hAnsi="Arial" w:cs="Arial"/>
                <w:color w:val="000000"/>
                <w:sz w:val="20"/>
                <w:szCs w:val="20"/>
              </w:rPr>
              <w:br/>
              <w:t>156 M</w:t>
            </w:r>
          </w:p>
        </w:tc>
        <w:tc>
          <w:tcPr>
            <w:tcW w:w="1813" w:type="dxa"/>
          </w:tcPr>
          <w:p w14:paraId="2B44151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6DEA0924" w14:textId="77777777" w:rsidR="00582B19" w:rsidRPr="000B369D" w:rsidRDefault="00582B19" w:rsidP="00111BE5">
            <w:pPr>
              <w:rPr>
                <w:rFonts w:ascii="Arial" w:hAnsi="Arial" w:cs="Arial"/>
                <w:sz w:val="20"/>
                <w:szCs w:val="20"/>
              </w:rPr>
            </w:pPr>
            <w:r w:rsidRPr="000B369D">
              <w:rPr>
                <w:rFonts w:ascii="Arial" w:hAnsi="Arial" w:cs="Arial"/>
                <w:sz w:val="20"/>
                <w:szCs w:val="20"/>
              </w:rPr>
              <w:t>Function</w:t>
            </w:r>
          </w:p>
          <w:p w14:paraId="466D9899" w14:textId="77777777" w:rsidR="00582B19" w:rsidRPr="000B369D" w:rsidRDefault="00582B19" w:rsidP="00111BE5">
            <w:pPr>
              <w:rPr>
                <w:rFonts w:ascii="Arial" w:hAnsi="Arial" w:cs="Arial"/>
                <w:sz w:val="20"/>
                <w:szCs w:val="20"/>
              </w:rPr>
            </w:pPr>
          </w:p>
        </w:tc>
        <w:tc>
          <w:tcPr>
            <w:tcW w:w="2517" w:type="dxa"/>
          </w:tcPr>
          <w:p w14:paraId="7583FC6C"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Supported by Q-Med AB, Uppsala,</w:t>
            </w:r>
            <w:r w:rsidRPr="000B369D">
              <w:rPr>
                <w:rFonts w:ascii="Arial" w:hAnsi="Arial" w:cs="Arial"/>
                <w:color w:val="000000"/>
                <w:sz w:val="20"/>
                <w:szCs w:val="20"/>
                <w:lang w:val="en-GB"/>
              </w:rPr>
              <w:br/>
              <w:t>Sweden</w:t>
            </w:r>
          </w:p>
        </w:tc>
      </w:tr>
      <w:tr w:rsidR="00582B19" w:rsidRPr="00252F1D" w14:paraId="60A3FEED" w14:textId="77777777" w:rsidTr="008C4C2C">
        <w:tc>
          <w:tcPr>
            <w:tcW w:w="1342" w:type="dxa"/>
          </w:tcPr>
          <w:p w14:paraId="009E493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Arden, 2016</w:t>
            </w:r>
          </w:p>
        </w:tc>
        <w:tc>
          <w:tcPr>
            <w:tcW w:w="1131" w:type="dxa"/>
          </w:tcPr>
          <w:p w14:paraId="536AD05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43C776E4"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Vitamin D</w:t>
            </w:r>
          </w:p>
          <w:p w14:paraId="5628F39A"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7C162E90"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156 weeks</w:t>
            </w:r>
          </w:p>
        </w:tc>
        <w:tc>
          <w:tcPr>
            <w:tcW w:w="1337" w:type="dxa"/>
          </w:tcPr>
          <w:p w14:paraId="7A053F6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474</w:t>
            </w:r>
          </w:p>
          <w:p w14:paraId="365F0ED7" w14:textId="77777777" w:rsidR="00582B19" w:rsidRPr="000B369D" w:rsidRDefault="00582B19" w:rsidP="00111BE5">
            <w:pPr>
              <w:rPr>
                <w:rFonts w:ascii="Arial" w:hAnsi="Arial" w:cs="Arial"/>
                <w:color w:val="000000"/>
                <w:sz w:val="20"/>
                <w:szCs w:val="20"/>
              </w:rPr>
            </w:pPr>
          </w:p>
          <w:p w14:paraId="77C92AA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237</w:t>
            </w:r>
            <w:r w:rsidRPr="000B369D">
              <w:rPr>
                <w:rFonts w:ascii="Arial" w:hAnsi="Arial" w:cs="Arial"/>
                <w:color w:val="000000"/>
                <w:sz w:val="20"/>
                <w:szCs w:val="20"/>
              </w:rPr>
              <w:br/>
              <w:t>G2: 237</w:t>
            </w:r>
          </w:p>
        </w:tc>
        <w:tc>
          <w:tcPr>
            <w:tcW w:w="1619" w:type="dxa"/>
          </w:tcPr>
          <w:p w14:paraId="7B75BBE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64 ± 8</w:t>
            </w:r>
            <w:r w:rsidRPr="000B369D">
              <w:rPr>
                <w:rFonts w:ascii="Arial" w:hAnsi="Arial" w:cs="Arial"/>
                <w:color w:val="000000"/>
                <w:sz w:val="20"/>
                <w:szCs w:val="20"/>
              </w:rPr>
              <w:br/>
              <w:t>G2: 64 ± 8</w:t>
            </w:r>
          </w:p>
        </w:tc>
        <w:tc>
          <w:tcPr>
            <w:tcW w:w="871" w:type="dxa"/>
          </w:tcPr>
          <w:p w14:paraId="6EB7781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289 W</w:t>
            </w:r>
            <w:r w:rsidRPr="000B369D">
              <w:rPr>
                <w:rFonts w:ascii="Arial" w:hAnsi="Arial" w:cs="Arial"/>
                <w:color w:val="000000"/>
                <w:sz w:val="20"/>
                <w:szCs w:val="20"/>
              </w:rPr>
              <w:br/>
              <w:t>185 M</w:t>
            </w:r>
          </w:p>
        </w:tc>
        <w:tc>
          <w:tcPr>
            <w:tcW w:w="1813" w:type="dxa"/>
          </w:tcPr>
          <w:p w14:paraId="0F871A7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4D0E4647" w14:textId="77777777" w:rsidR="00582B19" w:rsidRPr="000B369D" w:rsidRDefault="00582B19" w:rsidP="00111BE5">
            <w:pPr>
              <w:rPr>
                <w:rFonts w:ascii="Arial" w:hAnsi="Arial" w:cs="Arial"/>
                <w:sz w:val="20"/>
                <w:szCs w:val="20"/>
              </w:rPr>
            </w:pPr>
            <w:r w:rsidRPr="000B369D">
              <w:rPr>
                <w:rFonts w:ascii="Arial" w:hAnsi="Arial" w:cs="Arial"/>
                <w:sz w:val="20"/>
                <w:szCs w:val="20"/>
              </w:rPr>
              <w:t>Function</w:t>
            </w:r>
          </w:p>
          <w:p w14:paraId="37AAFAD8" w14:textId="77777777" w:rsidR="00582B19" w:rsidRPr="000B369D" w:rsidRDefault="00582B19" w:rsidP="00111BE5">
            <w:pPr>
              <w:rPr>
                <w:rFonts w:ascii="Arial" w:hAnsi="Arial" w:cs="Arial"/>
                <w:sz w:val="20"/>
                <w:szCs w:val="20"/>
              </w:rPr>
            </w:pPr>
          </w:p>
        </w:tc>
        <w:tc>
          <w:tcPr>
            <w:tcW w:w="2517" w:type="dxa"/>
          </w:tcPr>
          <w:p w14:paraId="3565FD45"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Funding received from Arthritis Research Campaign.</w:t>
            </w:r>
          </w:p>
          <w:p w14:paraId="24B220E0"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Additional support</w:t>
            </w:r>
            <w:r w:rsidRPr="000B369D">
              <w:rPr>
                <w:rFonts w:ascii="Arial" w:hAnsi="Arial" w:cs="Arial"/>
                <w:color w:val="000000"/>
                <w:sz w:val="20"/>
                <w:szCs w:val="20"/>
                <w:lang w:val="en-GB"/>
              </w:rPr>
              <w:br/>
              <w:t>received from the National Institute for Health Research (NIHR)</w:t>
            </w:r>
            <w:r w:rsidRPr="000B369D">
              <w:rPr>
                <w:rFonts w:ascii="Arial" w:hAnsi="Arial" w:cs="Arial"/>
                <w:color w:val="000000"/>
                <w:sz w:val="20"/>
                <w:szCs w:val="20"/>
                <w:lang w:val="en-GB"/>
              </w:rPr>
              <w:br/>
              <w:t>Musculoskeletal Biomedical Research Unit, University of Oxford</w:t>
            </w:r>
          </w:p>
        </w:tc>
      </w:tr>
      <w:tr w:rsidR="00582B19" w:rsidRPr="000B369D" w14:paraId="0EBCA91C" w14:textId="77777777" w:rsidTr="008C4C2C">
        <w:tc>
          <w:tcPr>
            <w:tcW w:w="1342" w:type="dxa"/>
          </w:tcPr>
          <w:p w14:paraId="0E77A3D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Bellamy, 2016</w:t>
            </w:r>
          </w:p>
        </w:tc>
        <w:tc>
          <w:tcPr>
            <w:tcW w:w="1131" w:type="dxa"/>
          </w:tcPr>
          <w:p w14:paraId="1ED61FF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17960A6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Triamcinolone</w:t>
            </w:r>
          </w:p>
          <w:p w14:paraId="721A9F15"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Ketorolac</w:t>
            </w:r>
          </w:p>
        </w:tc>
        <w:tc>
          <w:tcPr>
            <w:tcW w:w="1445" w:type="dxa"/>
          </w:tcPr>
          <w:p w14:paraId="0255DE45"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 injection</w:t>
            </w:r>
          </w:p>
        </w:tc>
        <w:tc>
          <w:tcPr>
            <w:tcW w:w="1337" w:type="dxa"/>
          </w:tcPr>
          <w:p w14:paraId="333CB770"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40</w:t>
            </w:r>
          </w:p>
          <w:p w14:paraId="3B560A46" w14:textId="77777777" w:rsidR="00582B19" w:rsidRPr="000B369D" w:rsidRDefault="00582B19" w:rsidP="00111BE5">
            <w:pPr>
              <w:rPr>
                <w:rFonts w:ascii="Arial" w:hAnsi="Arial" w:cs="Arial"/>
                <w:color w:val="000000"/>
                <w:sz w:val="20"/>
                <w:szCs w:val="20"/>
              </w:rPr>
            </w:pPr>
          </w:p>
          <w:p w14:paraId="6ED4EDF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23</w:t>
            </w:r>
            <w:r w:rsidRPr="000B369D">
              <w:rPr>
                <w:rFonts w:ascii="Arial" w:hAnsi="Arial" w:cs="Arial"/>
                <w:color w:val="000000"/>
                <w:sz w:val="20"/>
                <w:szCs w:val="20"/>
              </w:rPr>
              <w:br/>
              <w:t>G2: 17</w:t>
            </w:r>
          </w:p>
        </w:tc>
        <w:tc>
          <w:tcPr>
            <w:tcW w:w="1619" w:type="dxa"/>
          </w:tcPr>
          <w:p w14:paraId="79B9914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65</w:t>
            </w:r>
            <w:r w:rsidRPr="000B369D">
              <w:rPr>
                <w:rFonts w:ascii="Arial" w:hAnsi="Arial" w:cs="Arial"/>
                <w:color w:val="000000"/>
                <w:sz w:val="20"/>
                <w:szCs w:val="20"/>
              </w:rPr>
              <w:br/>
              <w:t>G2: 53</w:t>
            </w:r>
          </w:p>
        </w:tc>
        <w:tc>
          <w:tcPr>
            <w:tcW w:w="871" w:type="dxa"/>
          </w:tcPr>
          <w:p w14:paraId="5F06BFA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20 W</w:t>
            </w:r>
            <w:r w:rsidRPr="000B369D">
              <w:rPr>
                <w:rFonts w:ascii="Arial" w:hAnsi="Arial" w:cs="Arial"/>
                <w:color w:val="000000"/>
                <w:sz w:val="20"/>
                <w:szCs w:val="20"/>
              </w:rPr>
              <w:br/>
              <w:t>16 M</w:t>
            </w:r>
          </w:p>
        </w:tc>
        <w:tc>
          <w:tcPr>
            <w:tcW w:w="1813" w:type="dxa"/>
          </w:tcPr>
          <w:p w14:paraId="20F2934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p>
        </w:tc>
        <w:tc>
          <w:tcPr>
            <w:tcW w:w="2517" w:type="dxa"/>
          </w:tcPr>
          <w:p w14:paraId="1508D41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0B369D" w14:paraId="35E7AECF" w14:textId="77777777" w:rsidTr="008C4C2C">
        <w:tc>
          <w:tcPr>
            <w:tcW w:w="1342" w:type="dxa"/>
          </w:tcPr>
          <w:p w14:paraId="76B0403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Bisicchia, 2016</w:t>
            </w:r>
          </w:p>
          <w:p w14:paraId="629D05F3" w14:textId="77777777" w:rsidR="00582B19" w:rsidRPr="000B369D" w:rsidRDefault="00582B19" w:rsidP="00111BE5">
            <w:pPr>
              <w:rPr>
                <w:rFonts w:ascii="Arial" w:hAnsi="Arial" w:cs="Arial"/>
                <w:sz w:val="20"/>
                <w:szCs w:val="20"/>
              </w:rPr>
            </w:pPr>
          </w:p>
        </w:tc>
        <w:tc>
          <w:tcPr>
            <w:tcW w:w="1131" w:type="dxa"/>
          </w:tcPr>
          <w:p w14:paraId="3CFA387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single blind, 2 groups</w:t>
            </w:r>
          </w:p>
        </w:tc>
        <w:tc>
          <w:tcPr>
            <w:tcW w:w="1919" w:type="dxa"/>
          </w:tcPr>
          <w:p w14:paraId="6655B487"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00FB83D3"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Methylprednisolone</w:t>
            </w:r>
          </w:p>
        </w:tc>
        <w:tc>
          <w:tcPr>
            <w:tcW w:w="1445" w:type="dxa"/>
          </w:tcPr>
          <w:p w14:paraId="4BFCF4E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 injections 7 days appart</w:t>
            </w:r>
          </w:p>
        </w:tc>
        <w:tc>
          <w:tcPr>
            <w:tcW w:w="1337" w:type="dxa"/>
          </w:tcPr>
          <w:p w14:paraId="424BB45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150</w:t>
            </w:r>
          </w:p>
          <w:p w14:paraId="6D52F114" w14:textId="77777777" w:rsidR="00582B19" w:rsidRPr="000B369D" w:rsidRDefault="00582B19" w:rsidP="00111BE5">
            <w:pPr>
              <w:rPr>
                <w:rFonts w:ascii="Arial" w:hAnsi="Arial" w:cs="Arial"/>
                <w:color w:val="000000"/>
                <w:sz w:val="20"/>
                <w:szCs w:val="20"/>
              </w:rPr>
            </w:pPr>
          </w:p>
          <w:p w14:paraId="21F78D4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75</w:t>
            </w:r>
            <w:r w:rsidRPr="000B369D">
              <w:rPr>
                <w:rFonts w:ascii="Arial" w:hAnsi="Arial" w:cs="Arial"/>
                <w:color w:val="000000"/>
                <w:sz w:val="20"/>
                <w:szCs w:val="20"/>
              </w:rPr>
              <w:br/>
              <w:t>G2: 75</w:t>
            </w:r>
          </w:p>
        </w:tc>
        <w:tc>
          <w:tcPr>
            <w:tcW w:w="1619" w:type="dxa"/>
          </w:tcPr>
          <w:p w14:paraId="30F447F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71.5 ± 10.6</w:t>
            </w:r>
            <w:r w:rsidRPr="000B369D">
              <w:rPr>
                <w:rFonts w:ascii="Arial" w:hAnsi="Arial" w:cs="Arial"/>
                <w:color w:val="000000"/>
                <w:sz w:val="20"/>
                <w:szCs w:val="20"/>
              </w:rPr>
              <w:br/>
              <w:t>G2: 68.6 ± 9.9</w:t>
            </w:r>
          </w:p>
        </w:tc>
        <w:tc>
          <w:tcPr>
            <w:tcW w:w="871" w:type="dxa"/>
          </w:tcPr>
          <w:p w14:paraId="267ABBA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103 W</w:t>
            </w:r>
            <w:r w:rsidRPr="000B369D">
              <w:rPr>
                <w:rFonts w:ascii="Arial" w:hAnsi="Arial" w:cs="Arial"/>
                <w:color w:val="000000"/>
                <w:sz w:val="20"/>
                <w:szCs w:val="20"/>
              </w:rPr>
              <w:br/>
              <w:t>47 M</w:t>
            </w:r>
          </w:p>
        </w:tc>
        <w:tc>
          <w:tcPr>
            <w:tcW w:w="1813" w:type="dxa"/>
          </w:tcPr>
          <w:p w14:paraId="4D7CFFF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p>
        </w:tc>
        <w:tc>
          <w:tcPr>
            <w:tcW w:w="2517" w:type="dxa"/>
          </w:tcPr>
          <w:p w14:paraId="4F74262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0B369D" w14:paraId="33B109CD" w14:textId="77777777" w:rsidTr="008C4C2C">
        <w:tc>
          <w:tcPr>
            <w:tcW w:w="1342" w:type="dxa"/>
          </w:tcPr>
          <w:p w14:paraId="142A077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Brand, 2001</w:t>
            </w:r>
          </w:p>
        </w:tc>
        <w:tc>
          <w:tcPr>
            <w:tcW w:w="1131" w:type="dxa"/>
          </w:tcPr>
          <w:p w14:paraId="2B6DA9B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2914958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Vitamin E</w:t>
            </w:r>
          </w:p>
          <w:p w14:paraId="15B8C019"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6BAE3C1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26 weeks</w:t>
            </w:r>
          </w:p>
        </w:tc>
        <w:tc>
          <w:tcPr>
            <w:tcW w:w="1337" w:type="dxa"/>
          </w:tcPr>
          <w:p w14:paraId="16437933"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77</w:t>
            </w:r>
          </w:p>
          <w:p w14:paraId="358D5A57" w14:textId="77777777" w:rsidR="00582B19" w:rsidRPr="000B369D" w:rsidRDefault="00582B19" w:rsidP="00111BE5">
            <w:pPr>
              <w:rPr>
                <w:rFonts w:ascii="Arial" w:hAnsi="Arial" w:cs="Arial"/>
                <w:color w:val="000000"/>
                <w:sz w:val="20"/>
                <w:szCs w:val="20"/>
              </w:rPr>
            </w:pPr>
          </w:p>
          <w:p w14:paraId="0ACF9A0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38</w:t>
            </w:r>
            <w:r w:rsidRPr="000B369D">
              <w:rPr>
                <w:rFonts w:ascii="Arial" w:hAnsi="Arial" w:cs="Arial"/>
                <w:color w:val="000000"/>
                <w:sz w:val="20"/>
                <w:szCs w:val="20"/>
              </w:rPr>
              <w:br/>
              <w:t>G2: 38</w:t>
            </w:r>
          </w:p>
        </w:tc>
        <w:tc>
          <w:tcPr>
            <w:tcW w:w="1619" w:type="dxa"/>
          </w:tcPr>
          <w:p w14:paraId="5954603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67.1 ± 1.4</w:t>
            </w:r>
            <w:r w:rsidRPr="000B369D">
              <w:rPr>
                <w:rFonts w:ascii="Arial" w:hAnsi="Arial" w:cs="Arial"/>
                <w:color w:val="000000"/>
                <w:sz w:val="20"/>
                <w:szCs w:val="20"/>
              </w:rPr>
              <w:br/>
              <w:t>G2: 66.1 ± 1.5</w:t>
            </w:r>
          </w:p>
        </w:tc>
        <w:tc>
          <w:tcPr>
            <w:tcW w:w="871" w:type="dxa"/>
          </w:tcPr>
          <w:p w14:paraId="14FB48B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45 W</w:t>
            </w:r>
            <w:r w:rsidRPr="000B369D">
              <w:rPr>
                <w:rFonts w:ascii="Arial" w:hAnsi="Arial" w:cs="Arial"/>
                <w:color w:val="000000"/>
                <w:sz w:val="20"/>
                <w:szCs w:val="20"/>
              </w:rPr>
              <w:br/>
              <w:t>32 M</w:t>
            </w:r>
          </w:p>
        </w:tc>
        <w:tc>
          <w:tcPr>
            <w:tcW w:w="1813" w:type="dxa"/>
          </w:tcPr>
          <w:p w14:paraId="07215333"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2481804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Function</w:t>
            </w:r>
            <w:r w:rsidRPr="000B369D">
              <w:rPr>
                <w:rFonts w:ascii="Arial" w:hAnsi="Arial" w:cs="Arial"/>
                <w:color w:val="000000"/>
                <w:sz w:val="20"/>
                <w:szCs w:val="20"/>
              </w:rPr>
              <w:br/>
            </w:r>
          </w:p>
        </w:tc>
        <w:tc>
          <w:tcPr>
            <w:tcW w:w="2517" w:type="dxa"/>
          </w:tcPr>
          <w:p w14:paraId="1722F8D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252F1D" w14:paraId="4FFE1CA3" w14:textId="77777777" w:rsidTr="008C4C2C">
        <w:tc>
          <w:tcPr>
            <w:tcW w:w="1342" w:type="dxa"/>
          </w:tcPr>
          <w:p w14:paraId="29D1D21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lastRenderedPageBreak/>
              <w:t>Brandt, 2000</w:t>
            </w:r>
          </w:p>
        </w:tc>
        <w:tc>
          <w:tcPr>
            <w:tcW w:w="1131" w:type="dxa"/>
          </w:tcPr>
          <w:p w14:paraId="7174B2C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24FBB658"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678F020B"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744E430C"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3 injections, separated by 1-week interval</w:t>
            </w:r>
          </w:p>
        </w:tc>
        <w:tc>
          <w:tcPr>
            <w:tcW w:w="1337" w:type="dxa"/>
          </w:tcPr>
          <w:p w14:paraId="796F288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226</w:t>
            </w:r>
          </w:p>
          <w:p w14:paraId="3871D486" w14:textId="77777777" w:rsidR="00582B19" w:rsidRPr="000B369D" w:rsidRDefault="00582B19" w:rsidP="00111BE5">
            <w:pPr>
              <w:rPr>
                <w:rFonts w:ascii="Arial" w:hAnsi="Arial" w:cs="Arial"/>
                <w:color w:val="000000"/>
                <w:sz w:val="20"/>
                <w:szCs w:val="20"/>
              </w:rPr>
            </w:pPr>
          </w:p>
          <w:p w14:paraId="01F2F5A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114</w:t>
            </w:r>
            <w:r w:rsidRPr="000B369D">
              <w:rPr>
                <w:rFonts w:ascii="Arial" w:hAnsi="Arial" w:cs="Arial"/>
                <w:color w:val="000000"/>
                <w:sz w:val="20"/>
                <w:szCs w:val="20"/>
              </w:rPr>
              <w:br/>
              <w:t>G2: 112</w:t>
            </w:r>
          </w:p>
        </w:tc>
        <w:tc>
          <w:tcPr>
            <w:tcW w:w="1619" w:type="dxa"/>
          </w:tcPr>
          <w:p w14:paraId="60C7648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65 ± 8.4</w:t>
            </w:r>
            <w:r w:rsidRPr="000B369D">
              <w:rPr>
                <w:rFonts w:ascii="Arial" w:hAnsi="Arial" w:cs="Arial"/>
                <w:color w:val="000000"/>
                <w:sz w:val="20"/>
                <w:szCs w:val="20"/>
              </w:rPr>
              <w:br/>
              <w:t>G2: 67 ± 8.4</w:t>
            </w:r>
          </w:p>
        </w:tc>
        <w:tc>
          <w:tcPr>
            <w:tcW w:w="871" w:type="dxa"/>
          </w:tcPr>
          <w:p w14:paraId="5C6987B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143 W</w:t>
            </w:r>
            <w:r w:rsidRPr="000B369D">
              <w:rPr>
                <w:rFonts w:ascii="Arial" w:hAnsi="Arial" w:cs="Arial"/>
                <w:color w:val="000000"/>
                <w:sz w:val="20"/>
                <w:szCs w:val="20"/>
              </w:rPr>
              <w:br/>
              <w:t>83 M</w:t>
            </w:r>
          </w:p>
        </w:tc>
        <w:tc>
          <w:tcPr>
            <w:tcW w:w="1813" w:type="dxa"/>
          </w:tcPr>
          <w:p w14:paraId="57881FB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1C359E14"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Supported in part by a grant from Anika Therapeutics,</w:t>
            </w:r>
            <w:r w:rsidRPr="000B369D">
              <w:rPr>
                <w:rFonts w:ascii="Arial" w:hAnsi="Arial" w:cs="Arial"/>
                <w:color w:val="000000"/>
                <w:sz w:val="20"/>
                <w:szCs w:val="20"/>
                <w:lang w:val="en-GB"/>
              </w:rPr>
              <w:br/>
              <w:t>Inc, Woburn, MA.</w:t>
            </w:r>
          </w:p>
        </w:tc>
      </w:tr>
      <w:tr w:rsidR="00582B19" w:rsidRPr="00252F1D" w14:paraId="57502B21" w14:textId="77777777" w:rsidTr="008C4C2C">
        <w:tc>
          <w:tcPr>
            <w:tcW w:w="1342" w:type="dxa"/>
          </w:tcPr>
          <w:p w14:paraId="629D7BF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Buckland-Wright, 1995</w:t>
            </w:r>
          </w:p>
        </w:tc>
        <w:tc>
          <w:tcPr>
            <w:tcW w:w="1131" w:type="dxa"/>
          </w:tcPr>
          <w:p w14:paraId="4EA9C25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619271D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Diclofenac</w:t>
            </w:r>
          </w:p>
          <w:p w14:paraId="4A26B30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49ADFC0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78 weeks</w:t>
            </w:r>
          </w:p>
        </w:tc>
        <w:tc>
          <w:tcPr>
            <w:tcW w:w="1337" w:type="dxa"/>
          </w:tcPr>
          <w:p w14:paraId="32AADAD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c>
          <w:tcPr>
            <w:tcW w:w="1619" w:type="dxa"/>
          </w:tcPr>
          <w:p w14:paraId="5F99F6F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58.3 ± 9.1</w:t>
            </w:r>
          </w:p>
        </w:tc>
        <w:tc>
          <w:tcPr>
            <w:tcW w:w="871" w:type="dxa"/>
          </w:tcPr>
          <w:p w14:paraId="30A5516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34 W</w:t>
            </w:r>
            <w:r w:rsidRPr="000B369D">
              <w:rPr>
                <w:rFonts w:ascii="Arial" w:hAnsi="Arial" w:cs="Arial"/>
                <w:color w:val="000000"/>
                <w:sz w:val="20"/>
                <w:szCs w:val="20"/>
              </w:rPr>
              <w:br/>
              <w:t>11 M</w:t>
            </w:r>
          </w:p>
        </w:tc>
        <w:tc>
          <w:tcPr>
            <w:tcW w:w="1813" w:type="dxa"/>
          </w:tcPr>
          <w:p w14:paraId="5130C22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5695DF16" w14:textId="77777777" w:rsidR="00582B19" w:rsidRPr="000B369D" w:rsidRDefault="00582B19" w:rsidP="00111BE5">
            <w:pPr>
              <w:rPr>
                <w:rFonts w:ascii="Arial" w:hAnsi="Arial" w:cs="Arial"/>
                <w:sz w:val="20"/>
                <w:szCs w:val="20"/>
              </w:rPr>
            </w:pPr>
          </w:p>
        </w:tc>
        <w:tc>
          <w:tcPr>
            <w:tcW w:w="2517" w:type="dxa"/>
          </w:tcPr>
          <w:p w14:paraId="4E9C254F"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Suported by a grant fom Cibia Geigy Pharmaceuticals, UK, and University of London Central Research Fund</w:t>
            </w:r>
          </w:p>
        </w:tc>
      </w:tr>
      <w:tr w:rsidR="00582B19" w:rsidRPr="000B369D" w14:paraId="66436BA9" w14:textId="77777777" w:rsidTr="008C4C2C">
        <w:tc>
          <w:tcPr>
            <w:tcW w:w="1342" w:type="dxa"/>
          </w:tcPr>
          <w:p w14:paraId="39936C4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Bucsi, 1998</w:t>
            </w:r>
          </w:p>
        </w:tc>
        <w:tc>
          <w:tcPr>
            <w:tcW w:w="1131" w:type="dxa"/>
          </w:tcPr>
          <w:p w14:paraId="67ACB63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67D7CD3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prescription grade Chondroitin Sulfate</w:t>
            </w:r>
          </w:p>
          <w:p w14:paraId="5CE9E59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1419CDC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24 weeks</w:t>
            </w:r>
          </w:p>
        </w:tc>
        <w:tc>
          <w:tcPr>
            <w:tcW w:w="1337" w:type="dxa"/>
          </w:tcPr>
          <w:p w14:paraId="3CF8827E"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85</w:t>
            </w:r>
          </w:p>
          <w:p w14:paraId="24B2F9E3" w14:textId="77777777" w:rsidR="00582B19" w:rsidRPr="000B369D" w:rsidRDefault="00582B19" w:rsidP="00111BE5">
            <w:pPr>
              <w:rPr>
                <w:rFonts w:ascii="Arial" w:hAnsi="Arial" w:cs="Arial"/>
                <w:color w:val="000000"/>
                <w:sz w:val="20"/>
                <w:szCs w:val="20"/>
              </w:rPr>
            </w:pPr>
          </w:p>
          <w:p w14:paraId="0129325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39</w:t>
            </w:r>
            <w:r w:rsidRPr="000B369D">
              <w:rPr>
                <w:rFonts w:ascii="Arial" w:hAnsi="Arial" w:cs="Arial"/>
                <w:color w:val="000000"/>
                <w:sz w:val="20"/>
                <w:szCs w:val="20"/>
              </w:rPr>
              <w:br/>
              <w:t>G2: 46</w:t>
            </w:r>
          </w:p>
        </w:tc>
        <w:tc>
          <w:tcPr>
            <w:tcW w:w="1619" w:type="dxa"/>
          </w:tcPr>
          <w:p w14:paraId="247CE1E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60.6 ± 9.6</w:t>
            </w:r>
            <w:r w:rsidRPr="000B369D">
              <w:rPr>
                <w:rFonts w:ascii="Arial" w:hAnsi="Arial" w:cs="Arial"/>
                <w:color w:val="000000"/>
                <w:sz w:val="20"/>
                <w:szCs w:val="20"/>
              </w:rPr>
              <w:br/>
              <w:t>G2: 59.4 ± 9.0</w:t>
            </w:r>
          </w:p>
        </w:tc>
        <w:tc>
          <w:tcPr>
            <w:tcW w:w="871" w:type="dxa"/>
          </w:tcPr>
          <w:p w14:paraId="65F38B3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51 W</w:t>
            </w:r>
            <w:r w:rsidRPr="000B369D">
              <w:rPr>
                <w:rFonts w:ascii="Arial" w:hAnsi="Arial" w:cs="Arial"/>
                <w:color w:val="000000"/>
                <w:sz w:val="20"/>
                <w:szCs w:val="20"/>
              </w:rPr>
              <w:br/>
              <w:t>34 M</w:t>
            </w:r>
          </w:p>
        </w:tc>
        <w:tc>
          <w:tcPr>
            <w:tcW w:w="1813" w:type="dxa"/>
          </w:tcPr>
          <w:p w14:paraId="4B30FE6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p>
        </w:tc>
        <w:tc>
          <w:tcPr>
            <w:tcW w:w="2517" w:type="dxa"/>
          </w:tcPr>
          <w:p w14:paraId="319CC52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Supplement sponsored by IBSA (Switzerland)/Laboratoires</w:t>
            </w:r>
            <w:r w:rsidRPr="000B369D">
              <w:rPr>
                <w:rFonts w:ascii="Arial" w:hAnsi="Arial" w:cs="Arial"/>
                <w:color w:val="000000"/>
                <w:sz w:val="20"/>
                <w:szCs w:val="20"/>
              </w:rPr>
              <w:br/>
              <w:t xml:space="preserve">GENEVRIER (France). </w:t>
            </w:r>
          </w:p>
        </w:tc>
      </w:tr>
      <w:tr w:rsidR="00582B19" w:rsidRPr="000B369D" w14:paraId="05A789BF" w14:textId="77777777" w:rsidTr="008C4C2C">
        <w:tc>
          <w:tcPr>
            <w:tcW w:w="1342" w:type="dxa"/>
          </w:tcPr>
          <w:p w14:paraId="4386291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Caborn, 2004</w:t>
            </w:r>
          </w:p>
        </w:tc>
        <w:tc>
          <w:tcPr>
            <w:tcW w:w="1131" w:type="dxa"/>
          </w:tcPr>
          <w:p w14:paraId="0CE2D9A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single blind, 2 groups</w:t>
            </w:r>
          </w:p>
        </w:tc>
        <w:tc>
          <w:tcPr>
            <w:tcW w:w="1919" w:type="dxa"/>
          </w:tcPr>
          <w:p w14:paraId="75C5B3E3"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3C92F6D6"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Triamcinolone hexacetonide</w:t>
            </w:r>
          </w:p>
          <w:p w14:paraId="6D1454D1" w14:textId="77777777" w:rsidR="00582B19" w:rsidRPr="000B369D" w:rsidRDefault="00582B19" w:rsidP="00111BE5">
            <w:pPr>
              <w:rPr>
                <w:rFonts w:ascii="Arial" w:hAnsi="Arial" w:cs="Arial"/>
                <w:color w:val="000000"/>
                <w:sz w:val="20"/>
                <w:szCs w:val="20"/>
                <w:lang w:val="en-GB"/>
              </w:rPr>
            </w:pPr>
          </w:p>
        </w:tc>
        <w:tc>
          <w:tcPr>
            <w:tcW w:w="1445" w:type="dxa"/>
          </w:tcPr>
          <w:p w14:paraId="4006D767"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26 weeks</w:t>
            </w:r>
          </w:p>
        </w:tc>
        <w:tc>
          <w:tcPr>
            <w:tcW w:w="1337" w:type="dxa"/>
          </w:tcPr>
          <w:p w14:paraId="61825F7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216</w:t>
            </w:r>
          </w:p>
          <w:p w14:paraId="619511EC" w14:textId="77777777" w:rsidR="00582B19" w:rsidRPr="000B369D" w:rsidRDefault="00582B19" w:rsidP="00111BE5">
            <w:pPr>
              <w:rPr>
                <w:rFonts w:ascii="Arial" w:hAnsi="Arial" w:cs="Arial"/>
                <w:color w:val="000000"/>
                <w:sz w:val="20"/>
                <w:szCs w:val="20"/>
              </w:rPr>
            </w:pPr>
          </w:p>
          <w:p w14:paraId="2EDD85B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113</w:t>
            </w:r>
            <w:r w:rsidRPr="000B369D">
              <w:rPr>
                <w:rFonts w:ascii="Arial" w:hAnsi="Arial" w:cs="Arial"/>
                <w:color w:val="000000"/>
                <w:sz w:val="20"/>
                <w:szCs w:val="20"/>
              </w:rPr>
              <w:br/>
              <w:t>G2: 103</w:t>
            </w:r>
          </w:p>
        </w:tc>
        <w:tc>
          <w:tcPr>
            <w:tcW w:w="1619" w:type="dxa"/>
          </w:tcPr>
          <w:p w14:paraId="035EB3E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62.5 ± 12.1</w:t>
            </w:r>
            <w:r w:rsidRPr="000B369D">
              <w:rPr>
                <w:rFonts w:ascii="Arial" w:hAnsi="Arial" w:cs="Arial"/>
                <w:color w:val="000000"/>
                <w:sz w:val="20"/>
                <w:szCs w:val="20"/>
              </w:rPr>
              <w:br/>
              <w:t>G2: 63.7 ± 11.6</w:t>
            </w:r>
          </w:p>
        </w:tc>
        <w:tc>
          <w:tcPr>
            <w:tcW w:w="871" w:type="dxa"/>
          </w:tcPr>
          <w:p w14:paraId="6328DEF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123 W</w:t>
            </w:r>
            <w:r w:rsidRPr="000B369D">
              <w:rPr>
                <w:rFonts w:ascii="Arial" w:hAnsi="Arial" w:cs="Arial"/>
                <w:color w:val="000000"/>
                <w:sz w:val="20"/>
                <w:szCs w:val="20"/>
              </w:rPr>
              <w:br/>
              <w:t>93 M</w:t>
            </w:r>
          </w:p>
        </w:tc>
        <w:tc>
          <w:tcPr>
            <w:tcW w:w="1813" w:type="dxa"/>
          </w:tcPr>
          <w:p w14:paraId="31FE841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0C1E68C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Sponsored by Wyeth Pharmaceuticals. </w:t>
            </w:r>
          </w:p>
        </w:tc>
      </w:tr>
      <w:tr w:rsidR="00582B19" w:rsidRPr="000B369D" w14:paraId="2B8C1F9D" w14:textId="77777777" w:rsidTr="008C4C2C">
        <w:tc>
          <w:tcPr>
            <w:tcW w:w="1342" w:type="dxa"/>
          </w:tcPr>
          <w:p w14:paraId="075C0EE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Essex, 2012</w:t>
            </w:r>
          </w:p>
        </w:tc>
        <w:tc>
          <w:tcPr>
            <w:tcW w:w="1131" w:type="dxa"/>
          </w:tcPr>
          <w:p w14:paraId="71B35A7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08A2CF8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Celecoxib</w:t>
            </w:r>
          </w:p>
          <w:p w14:paraId="68FFC2A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Naproxen</w:t>
            </w:r>
          </w:p>
        </w:tc>
        <w:tc>
          <w:tcPr>
            <w:tcW w:w="1445" w:type="dxa"/>
          </w:tcPr>
          <w:p w14:paraId="36DBA0B7"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26 weeks</w:t>
            </w:r>
          </w:p>
        </w:tc>
        <w:tc>
          <w:tcPr>
            <w:tcW w:w="1337" w:type="dxa"/>
          </w:tcPr>
          <w:p w14:paraId="22B165B9"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586</w:t>
            </w:r>
          </w:p>
          <w:p w14:paraId="0A982A80" w14:textId="77777777" w:rsidR="00582B19" w:rsidRPr="000B369D" w:rsidRDefault="00582B19" w:rsidP="00111BE5">
            <w:pPr>
              <w:rPr>
                <w:rFonts w:ascii="Arial" w:hAnsi="Arial" w:cs="Arial"/>
                <w:color w:val="000000"/>
                <w:sz w:val="20"/>
                <w:szCs w:val="20"/>
              </w:rPr>
            </w:pPr>
          </w:p>
          <w:p w14:paraId="0AA31E2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294</w:t>
            </w:r>
            <w:r w:rsidRPr="000B369D">
              <w:rPr>
                <w:rFonts w:ascii="Arial" w:hAnsi="Arial" w:cs="Arial"/>
                <w:color w:val="000000"/>
                <w:sz w:val="20"/>
                <w:szCs w:val="20"/>
              </w:rPr>
              <w:br/>
              <w:t>G2: 292</w:t>
            </w:r>
          </w:p>
        </w:tc>
        <w:tc>
          <w:tcPr>
            <w:tcW w:w="1619" w:type="dxa"/>
          </w:tcPr>
          <w:p w14:paraId="2EC7C99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60.0 ± 10.7</w:t>
            </w:r>
            <w:r w:rsidRPr="000B369D">
              <w:rPr>
                <w:rFonts w:ascii="Arial" w:hAnsi="Arial" w:cs="Arial"/>
                <w:color w:val="000000"/>
                <w:sz w:val="20"/>
                <w:szCs w:val="20"/>
              </w:rPr>
              <w:br/>
              <w:t>G2: 60.7 ± 11.1</w:t>
            </w:r>
          </w:p>
        </w:tc>
        <w:tc>
          <w:tcPr>
            <w:tcW w:w="871" w:type="dxa"/>
          </w:tcPr>
          <w:p w14:paraId="418D1AB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390 W</w:t>
            </w:r>
            <w:r w:rsidRPr="000B369D">
              <w:rPr>
                <w:rFonts w:ascii="Arial" w:hAnsi="Arial" w:cs="Arial"/>
                <w:color w:val="000000"/>
                <w:sz w:val="20"/>
                <w:szCs w:val="20"/>
              </w:rPr>
              <w:br/>
              <w:t>199 M</w:t>
            </w:r>
          </w:p>
        </w:tc>
        <w:tc>
          <w:tcPr>
            <w:tcW w:w="1813" w:type="dxa"/>
          </w:tcPr>
          <w:p w14:paraId="5D45CFA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p>
          <w:p w14:paraId="5A3CA504" w14:textId="77777777" w:rsidR="00582B19" w:rsidRPr="000B369D" w:rsidRDefault="00582B19" w:rsidP="00111BE5">
            <w:pPr>
              <w:rPr>
                <w:rFonts w:ascii="Arial" w:hAnsi="Arial" w:cs="Arial"/>
                <w:sz w:val="20"/>
                <w:szCs w:val="20"/>
              </w:rPr>
            </w:pPr>
          </w:p>
        </w:tc>
        <w:tc>
          <w:tcPr>
            <w:tcW w:w="2517" w:type="dxa"/>
          </w:tcPr>
          <w:p w14:paraId="639378B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252F1D" w14:paraId="7DA1B59E" w14:textId="77777777" w:rsidTr="008C4C2C">
        <w:tc>
          <w:tcPr>
            <w:tcW w:w="1342" w:type="dxa"/>
          </w:tcPr>
          <w:p w14:paraId="39A596E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Jin, 2016</w:t>
            </w:r>
          </w:p>
        </w:tc>
        <w:tc>
          <w:tcPr>
            <w:tcW w:w="1131" w:type="dxa"/>
          </w:tcPr>
          <w:p w14:paraId="209B506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016908AB"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Vitamin D</w:t>
            </w:r>
          </w:p>
          <w:p w14:paraId="357E3BE6"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46CCADBD"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104 weeks</w:t>
            </w:r>
          </w:p>
        </w:tc>
        <w:tc>
          <w:tcPr>
            <w:tcW w:w="1337" w:type="dxa"/>
          </w:tcPr>
          <w:p w14:paraId="3532000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413</w:t>
            </w:r>
          </w:p>
          <w:p w14:paraId="5A37FA9D" w14:textId="77777777" w:rsidR="00582B19" w:rsidRPr="000B369D" w:rsidRDefault="00582B19" w:rsidP="00111BE5">
            <w:pPr>
              <w:rPr>
                <w:rFonts w:ascii="Arial" w:hAnsi="Arial" w:cs="Arial"/>
                <w:color w:val="000000"/>
                <w:sz w:val="20"/>
                <w:szCs w:val="20"/>
              </w:rPr>
            </w:pPr>
          </w:p>
          <w:p w14:paraId="30962C5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209</w:t>
            </w:r>
            <w:r w:rsidRPr="000B369D">
              <w:rPr>
                <w:rFonts w:ascii="Arial" w:hAnsi="Arial" w:cs="Arial"/>
                <w:color w:val="000000"/>
                <w:sz w:val="20"/>
                <w:szCs w:val="20"/>
              </w:rPr>
              <w:br/>
              <w:t>G2: 204</w:t>
            </w:r>
          </w:p>
        </w:tc>
        <w:tc>
          <w:tcPr>
            <w:tcW w:w="1619" w:type="dxa"/>
          </w:tcPr>
          <w:p w14:paraId="0C30784D"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63.2 ± 7</w:t>
            </w:r>
          </w:p>
          <w:p w14:paraId="3A83E24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br/>
              <w:t>G1: 63.5 ± 6.9</w:t>
            </w:r>
            <w:r w:rsidRPr="000B369D">
              <w:rPr>
                <w:rFonts w:ascii="Arial" w:hAnsi="Arial" w:cs="Arial"/>
                <w:color w:val="000000"/>
                <w:sz w:val="20"/>
                <w:szCs w:val="20"/>
              </w:rPr>
              <w:br/>
              <w:t>G2: 62.9 ± 7.2</w:t>
            </w:r>
          </w:p>
        </w:tc>
        <w:tc>
          <w:tcPr>
            <w:tcW w:w="871" w:type="dxa"/>
          </w:tcPr>
          <w:p w14:paraId="708BF85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208 W</w:t>
            </w:r>
            <w:r w:rsidRPr="000B369D">
              <w:rPr>
                <w:rFonts w:ascii="Arial" w:hAnsi="Arial" w:cs="Arial"/>
                <w:color w:val="000000"/>
                <w:sz w:val="20"/>
                <w:szCs w:val="20"/>
              </w:rPr>
              <w:br/>
              <w:t>205 M</w:t>
            </w:r>
          </w:p>
        </w:tc>
        <w:tc>
          <w:tcPr>
            <w:tcW w:w="1813" w:type="dxa"/>
          </w:tcPr>
          <w:p w14:paraId="44C2C67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7F44D18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Function</w:t>
            </w:r>
            <w:r w:rsidRPr="000B369D">
              <w:rPr>
                <w:rFonts w:ascii="Arial" w:hAnsi="Arial" w:cs="Arial"/>
                <w:color w:val="000000"/>
                <w:sz w:val="20"/>
                <w:szCs w:val="20"/>
              </w:rPr>
              <w:br/>
            </w:r>
          </w:p>
        </w:tc>
        <w:tc>
          <w:tcPr>
            <w:tcW w:w="2517" w:type="dxa"/>
          </w:tcPr>
          <w:p w14:paraId="0E26B2B0"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Supported</w:t>
            </w:r>
            <w:r w:rsidRPr="000B369D">
              <w:rPr>
                <w:rFonts w:ascii="Arial" w:hAnsi="Arial" w:cs="Arial"/>
                <w:color w:val="000000"/>
                <w:sz w:val="20"/>
                <w:szCs w:val="20"/>
                <w:lang w:val="en-GB"/>
              </w:rPr>
              <w:br/>
              <w:t>by a grant from the Australian National Health</w:t>
            </w:r>
            <w:r w:rsidRPr="000B369D">
              <w:rPr>
                <w:rFonts w:ascii="Arial" w:hAnsi="Arial" w:cs="Arial"/>
                <w:color w:val="000000"/>
                <w:sz w:val="20"/>
                <w:szCs w:val="20"/>
                <w:lang w:val="en-GB"/>
              </w:rPr>
              <w:br/>
              <w:t>and Medical Research Council (NHMRC).</w:t>
            </w:r>
          </w:p>
        </w:tc>
      </w:tr>
      <w:tr w:rsidR="00582B19" w:rsidRPr="00252F1D" w14:paraId="2D4F78FC" w14:textId="77777777" w:rsidTr="008C4C2C">
        <w:tc>
          <w:tcPr>
            <w:tcW w:w="1342" w:type="dxa"/>
          </w:tcPr>
          <w:p w14:paraId="3FC16AA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Jones, 1995</w:t>
            </w:r>
          </w:p>
        </w:tc>
        <w:tc>
          <w:tcPr>
            <w:tcW w:w="1131" w:type="dxa"/>
          </w:tcPr>
          <w:p w14:paraId="7A24829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65B3E952"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420AEDCB"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Triamcinolone</w:t>
            </w:r>
          </w:p>
        </w:tc>
        <w:tc>
          <w:tcPr>
            <w:tcW w:w="1445" w:type="dxa"/>
          </w:tcPr>
          <w:p w14:paraId="38515A0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5 doses</w:t>
            </w:r>
          </w:p>
        </w:tc>
        <w:tc>
          <w:tcPr>
            <w:tcW w:w="1337" w:type="dxa"/>
          </w:tcPr>
          <w:p w14:paraId="23F71A0E"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63</w:t>
            </w:r>
          </w:p>
          <w:p w14:paraId="59AF5351" w14:textId="77777777" w:rsidR="00582B19" w:rsidRPr="000B369D" w:rsidRDefault="00582B19" w:rsidP="00111BE5">
            <w:pPr>
              <w:rPr>
                <w:rFonts w:ascii="Arial" w:hAnsi="Arial" w:cs="Arial"/>
                <w:color w:val="000000"/>
                <w:sz w:val="20"/>
                <w:szCs w:val="20"/>
              </w:rPr>
            </w:pPr>
          </w:p>
          <w:p w14:paraId="361C282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32</w:t>
            </w:r>
            <w:r w:rsidRPr="000B369D">
              <w:rPr>
                <w:rFonts w:ascii="Arial" w:hAnsi="Arial" w:cs="Arial"/>
                <w:color w:val="000000"/>
                <w:sz w:val="20"/>
                <w:szCs w:val="20"/>
              </w:rPr>
              <w:br/>
              <w:t>G2: 31</w:t>
            </w:r>
          </w:p>
        </w:tc>
        <w:tc>
          <w:tcPr>
            <w:tcW w:w="1619" w:type="dxa"/>
          </w:tcPr>
          <w:p w14:paraId="713D8FA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71.4 ± 1.4</w:t>
            </w:r>
            <w:r w:rsidRPr="000B369D">
              <w:rPr>
                <w:rFonts w:ascii="Arial" w:hAnsi="Arial" w:cs="Arial"/>
                <w:color w:val="000000"/>
                <w:sz w:val="20"/>
                <w:szCs w:val="20"/>
              </w:rPr>
              <w:br/>
              <w:t>G2: 69.5 ± 1.7</w:t>
            </w:r>
          </w:p>
        </w:tc>
        <w:tc>
          <w:tcPr>
            <w:tcW w:w="871" w:type="dxa"/>
          </w:tcPr>
          <w:p w14:paraId="61BCBC9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24 W</w:t>
            </w:r>
            <w:r w:rsidRPr="000B369D">
              <w:rPr>
                <w:rFonts w:ascii="Arial" w:hAnsi="Arial" w:cs="Arial"/>
                <w:color w:val="000000"/>
                <w:sz w:val="20"/>
                <w:szCs w:val="20"/>
              </w:rPr>
              <w:br/>
              <w:t>39 M</w:t>
            </w:r>
          </w:p>
        </w:tc>
        <w:tc>
          <w:tcPr>
            <w:tcW w:w="1813" w:type="dxa"/>
          </w:tcPr>
          <w:p w14:paraId="209B5B8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Pain </w:t>
            </w:r>
          </w:p>
        </w:tc>
        <w:tc>
          <w:tcPr>
            <w:tcW w:w="2517" w:type="dxa"/>
          </w:tcPr>
          <w:p w14:paraId="0313E547"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Sponsored by Fidia SPA, manufacturers of</w:t>
            </w:r>
            <w:r w:rsidRPr="000B369D">
              <w:rPr>
                <w:rFonts w:ascii="Arial" w:hAnsi="Arial" w:cs="Arial"/>
                <w:color w:val="000000"/>
                <w:sz w:val="20"/>
                <w:szCs w:val="20"/>
                <w:lang w:val="en-GB"/>
              </w:rPr>
              <w:br/>
              <w:t>Hyalgan</w:t>
            </w:r>
          </w:p>
        </w:tc>
      </w:tr>
      <w:tr w:rsidR="00582B19" w:rsidRPr="00252F1D" w14:paraId="49E8ADD9" w14:textId="77777777" w:rsidTr="008C4C2C">
        <w:tc>
          <w:tcPr>
            <w:tcW w:w="1342" w:type="dxa"/>
          </w:tcPr>
          <w:p w14:paraId="5CE12B1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Kahan, 2009</w:t>
            </w:r>
          </w:p>
        </w:tc>
        <w:tc>
          <w:tcPr>
            <w:tcW w:w="1131" w:type="dxa"/>
          </w:tcPr>
          <w:p w14:paraId="4540315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4AB25BE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prescription grade Chondroitin Sulfate</w:t>
            </w:r>
          </w:p>
          <w:p w14:paraId="377BAF30"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1EFCA639"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24 weeks</w:t>
            </w:r>
          </w:p>
        </w:tc>
        <w:tc>
          <w:tcPr>
            <w:tcW w:w="1337" w:type="dxa"/>
          </w:tcPr>
          <w:p w14:paraId="5D818DC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622</w:t>
            </w:r>
          </w:p>
          <w:p w14:paraId="4E281608" w14:textId="77777777" w:rsidR="00582B19" w:rsidRPr="000B369D" w:rsidRDefault="00582B19" w:rsidP="00111BE5">
            <w:pPr>
              <w:rPr>
                <w:rFonts w:ascii="Arial" w:hAnsi="Arial" w:cs="Arial"/>
                <w:color w:val="000000"/>
                <w:sz w:val="20"/>
                <w:szCs w:val="20"/>
              </w:rPr>
            </w:pPr>
          </w:p>
          <w:p w14:paraId="72E2007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309</w:t>
            </w:r>
            <w:r w:rsidRPr="000B369D">
              <w:rPr>
                <w:rFonts w:ascii="Arial" w:hAnsi="Arial" w:cs="Arial"/>
                <w:color w:val="000000"/>
                <w:sz w:val="20"/>
                <w:szCs w:val="20"/>
              </w:rPr>
              <w:br/>
              <w:t>G2: 313</w:t>
            </w:r>
          </w:p>
        </w:tc>
        <w:tc>
          <w:tcPr>
            <w:tcW w:w="1619" w:type="dxa"/>
          </w:tcPr>
          <w:p w14:paraId="633944C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62.9 ± 0.5</w:t>
            </w:r>
            <w:r w:rsidRPr="000B369D">
              <w:rPr>
                <w:rFonts w:ascii="Arial" w:hAnsi="Arial" w:cs="Arial"/>
                <w:color w:val="000000"/>
                <w:sz w:val="20"/>
                <w:szCs w:val="20"/>
              </w:rPr>
              <w:br/>
              <w:t>G2: 61.8 ± 0.5</w:t>
            </w:r>
          </w:p>
        </w:tc>
        <w:tc>
          <w:tcPr>
            <w:tcW w:w="871" w:type="dxa"/>
          </w:tcPr>
          <w:p w14:paraId="271054E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425 W</w:t>
            </w:r>
            <w:r w:rsidRPr="000B369D">
              <w:rPr>
                <w:rFonts w:ascii="Arial" w:hAnsi="Arial" w:cs="Arial"/>
                <w:color w:val="000000"/>
                <w:sz w:val="20"/>
                <w:szCs w:val="20"/>
              </w:rPr>
              <w:br/>
              <w:t>197 M</w:t>
            </w:r>
          </w:p>
        </w:tc>
        <w:tc>
          <w:tcPr>
            <w:tcW w:w="1813" w:type="dxa"/>
          </w:tcPr>
          <w:p w14:paraId="38959D6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5EC515F8"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Supported by a research grant from IBSA, Lugano, Switzerland, and Gene´vrier Laboratories, Sophia-Antipolis, France.</w:t>
            </w:r>
          </w:p>
        </w:tc>
      </w:tr>
      <w:tr w:rsidR="00582B19" w:rsidRPr="000B369D" w14:paraId="7B3603A5" w14:textId="77777777" w:rsidTr="008C4C2C">
        <w:tc>
          <w:tcPr>
            <w:tcW w:w="1342" w:type="dxa"/>
          </w:tcPr>
          <w:p w14:paraId="7E62471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lastRenderedPageBreak/>
              <w:t>Karlsson, 2002</w:t>
            </w:r>
          </w:p>
        </w:tc>
        <w:tc>
          <w:tcPr>
            <w:tcW w:w="1131" w:type="dxa"/>
          </w:tcPr>
          <w:p w14:paraId="1B4EB88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3 groups</w:t>
            </w:r>
          </w:p>
        </w:tc>
        <w:tc>
          <w:tcPr>
            <w:tcW w:w="1919" w:type="dxa"/>
          </w:tcPr>
          <w:p w14:paraId="36097466"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23C33BBB"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13D74423"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Three weekly injections</w:t>
            </w:r>
          </w:p>
        </w:tc>
        <w:tc>
          <w:tcPr>
            <w:tcW w:w="1337" w:type="dxa"/>
          </w:tcPr>
          <w:p w14:paraId="445DA5F7"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G1: 88</w:t>
            </w:r>
            <w:r w:rsidRPr="000B369D">
              <w:rPr>
                <w:rFonts w:ascii="Arial" w:hAnsi="Arial" w:cs="Arial"/>
                <w:color w:val="000000"/>
                <w:sz w:val="20"/>
                <w:szCs w:val="20"/>
                <w:lang w:val="en-GB"/>
              </w:rPr>
              <w:br/>
              <w:t>G2: 66</w:t>
            </w:r>
            <w:r w:rsidRPr="000B369D">
              <w:rPr>
                <w:rFonts w:ascii="Arial" w:hAnsi="Arial" w:cs="Arial"/>
                <w:color w:val="000000"/>
                <w:sz w:val="20"/>
                <w:szCs w:val="20"/>
                <w:lang w:val="en-GB"/>
              </w:rPr>
              <w:br/>
              <w:t>G3: 92 (not used in analyses)</w:t>
            </w:r>
          </w:p>
        </w:tc>
        <w:tc>
          <w:tcPr>
            <w:tcW w:w="1619" w:type="dxa"/>
          </w:tcPr>
          <w:p w14:paraId="57B4D7DC"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G1:70 ± 7</w:t>
            </w:r>
            <w:r w:rsidRPr="000B369D">
              <w:rPr>
                <w:rFonts w:ascii="Arial" w:hAnsi="Arial" w:cs="Arial"/>
                <w:color w:val="000000"/>
                <w:sz w:val="20"/>
                <w:szCs w:val="20"/>
                <w:lang w:val="en-GB"/>
              </w:rPr>
              <w:br/>
              <w:t>G2: 71 ± 6</w:t>
            </w:r>
            <w:r w:rsidRPr="000B369D">
              <w:rPr>
                <w:rFonts w:ascii="Arial" w:hAnsi="Arial" w:cs="Arial"/>
                <w:color w:val="000000"/>
                <w:sz w:val="20"/>
                <w:szCs w:val="20"/>
                <w:lang w:val="en-GB"/>
              </w:rPr>
              <w:br/>
              <w:t>G3: 72 ± 7 (not used in analyses)</w:t>
            </w:r>
          </w:p>
        </w:tc>
        <w:tc>
          <w:tcPr>
            <w:tcW w:w="871" w:type="dxa"/>
          </w:tcPr>
          <w:p w14:paraId="4FC9F8A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159 W</w:t>
            </w:r>
            <w:r w:rsidRPr="000B369D">
              <w:rPr>
                <w:rFonts w:ascii="Arial" w:hAnsi="Arial" w:cs="Arial"/>
                <w:color w:val="000000"/>
                <w:sz w:val="20"/>
                <w:szCs w:val="20"/>
              </w:rPr>
              <w:br/>
              <w:t>87 M</w:t>
            </w:r>
          </w:p>
        </w:tc>
        <w:tc>
          <w:tcPr>
            <w:tcW w:w="1813" w:type="dxa"/>
          </w:tcPr>
          <w:p w14:paraId="1255D1F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01642D9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0B369D" w14:paraId="4E3AEC3D" w14:textId="77777777" w:rsidTr="008C4C2C">
        <w:tc>
          <w:tcPr>
            <w:tcW w:w="1342" w:type="dxa"/>
          </w:tcPr>
          <w:p w14:paraId="6236D29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Kotevoglu, 2006</w:t>
            </w:r>
          </w:p>
        </w:tc>
        <w:tc>
          <w:tcPr>
            <w:tcW w:w="1131" w:type="dxa"/>
          </w:tcPr>
          <w:p w14:paraId="6C38F33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3 groups</w:t>
            </w:r>
          </w:p>
        </w:tc>
        <w:tc>
          <w:tcPr>
            <w:tcW w:w="1919" w:type="dxa"/>
          </w:tcPr>
          <w:p w14:paraId="5FD69BEE"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4728E07D"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0638EBE3"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NR</w:t>
            </w:r>
          </w:p>
        </w:tc>
        <w:tc>
          <w:tcPr>
            <w:tcW w:w="1337" w:type="dxa"/>
          </w:tcPr>
          <w:p w14:paraId="50BE1A16"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78</w:t>
            </w:r>
          </w:p>
          <w:p w14:paraId="27FBA7CB" w14:textId="77777777" w:rsidR="00582B19" w:rsidRPr="000B369D" w:rsidRDefault="00582B19" w:rsidP="00111BE5">
            <w:pPr>
              <w:rPr>
                <w:rFonts w:ascii="Arial" w:hAnsi="Arial" w:cs="Arial"/>
                <w:sz w:val="20"/>
                <w:szCs w:val="20"/>
                <w:lang w:val="en-GB"/>
              </w:rPr>
            </w:pPr>
          </w:p>
          <w:p w14:paraId="7C60DC80" w14:textId="77777777" w:rsidR="00582B19" w:rsidRPr="000B369D" w:rsidRDefault="00582B19" w:rsidP="00111BE5">
            <w:pPr>
              <w:rPr>
                <w:rFonts w:ascii="Arial" w:hAnsi="Arial" w:cs="Arial"/>
                <w:sz w:val="20"/>
                <w:szCs w:val="20"/>
                <w:lang w:val="en-GB"/>
              </w:rPr>
            </w:pPr>
            <w:r w:rsidRPr="000B369D">
              <w:rPr>
                <w:rFonts w:ascii="Arial" w:hAnsi="Arial" w:cs="Arial"/>
                <w:sz w:val="20"/>
                <w:szCs w:val="20"/>
                <w:lang w:val="en-GB"/>
              </w:rPr>
              <w:t>G1: NR</w:t>
            </w:r>
          </w:p>
          <w:p w14:paraId="2AF81ED3" w14:textId="77777777" w:rsidR="00582B19" w:rsidRPr="000B369D" w:rsidRDefault="00582B19" w:rsidP="00111BE5">
            <w:pPr>
              <w:rPr>
                <w:rFonts w:ascii="Arial" w:hAnsi="Arial" w:cs="Arial"/>
                <w:sz w:val="20"/>
                <w:szCs w:val="20"/>
                <w:lang w:val="en-GB"/>
              </w:rPr>
            </w:pPr>
            <w:r w:rsidRPr="000B369D">
              <w:rPr>
                <w:rFonts w:ascii="Arial" w:hAnsi="Arial" w:cs="Arial"/>
                <w:sz w:val="20"/>
                <w:szCs w:val="20"/>
                <w:lang w:val="en-GB"/>
              </w:rPr>
              <w:t>G2: NR</w:t>
            </w:r>
          </w:p>
        </w:tc>
        <w:tc>
          <w:tcPr>
            <w:tcW w:w="1619" w:type="dxa"/>
          </w:tcPr>
          <w:p w14:paraId="0BC3561A"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 xml:space="preserve">G1: 58.6 ± 8.0 </w:t>
            </w:r>
            <w:r w:rsidRPr="000B369D">
              <w:rPr>
                <w:rFonts w:ascii="Arial" w:hAnsi="Arial" w:cs="Arial"/>
                <w:color w:val="000000"/>
                <w:sz w:val="20"/>
                <w:szCs w:val="20"/>
                <w:lang w:val="en-GB"/>
              </w:rPr>
              <w:br/>
              <w:t xml:space="preserve">G2: 60.1 ± 5.4 </w:t>
            </w:r>
            <w:r w:rsidRPr="000B369D">
              <w:rPr>
                <w:rFonts w:ascii="Arial" w:hAnsi="Arial" w:cs="Arial"/>
                <w:color w:val="000000"/>
                <w:sz w:val="20"/>
                <w:szCs w:val="20"/>
                <w:lang w:val="en-GB"/>
              </w:rPr>
              <w:br/>
              <w:t>G3: 59.7 ± 8 (data not analysed)</w:t>
            </w:r>
          </w:p>
        </w:tc>
        <w:tc>
          <w:tcPr>
            <w:tcW w:w="871" w:type="dxa"/>
          </w:tcPr>
          <w:p w14:paraId="5FCAE7E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52 W</w:t>
            </w:r>
            <w:r w:rsidRPr="000B369D">
              <w:rPr>
                <w:rFonts w:ascii="Arial" w:hAnsi="Arial" w:cs="Arial"/>
                <w:color w:val="000000"/>
                <w:sz w:val="20"/>
                <w:szCs w:val="20"/>
              </w:rPr>
              <w:br/>
              <w:t>7 M</w:t>
            </w:r>
          </w:p>
        </w:tc>
        <w:tc>
          <w:tcPr>
            <w:tcW w:w="1813" w:type="dxa"/>
          </w:tcPr>
          <w:p w14:paraId="0630700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0B476D5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0B369D" w14:paraId="0346191E" w14:textId="77777777" w:rsidTr="008C4C2C">
        <w:tc>
          <w:tcPr>
            <w:tcW w:w="1342" w:type="dxa"/>
          </w:tcPr>
          <w:p w14:paraId="4585B22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LaMontagna, 1998</w:t>
            </w:r>
          </w:p>
        </w:tc>
        <w:tc>
          <w:tcPr>
            <w:tcW w:w="1131" w:type="dxa"/>
          </w:tcPr>
          <w:p w14:paraId="350F914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two groups</w:t>
            </w:r>
          </w:p>
        </w:tc>
        <w:tc>
          <w:tcPr>
            <w:tcW w:w="1919" w:type="dxa"/>
          </w:tcPr>
          <w:p w14:paraId="3144285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Piroxicam</w:t>
            </w:r>
          </w:p>
          <w:p w14:paraId="1ECCF850"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Diclofenac</w:t>
            </w:r>
          </w:p>
        </w:tc>
        <w:tc>
          <w:tcPr>
            <w:tcW w:w="1445" w:type="dxa"/>
          </w:tcPr>
          <w:p w14:paraId="385ED2F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26 weeks</w:t>
            </w:r>
          </w:p>
        </w:tc>
        <w:tc>
          <w:tcPr>
            <w:tcW w:w="1337" w:type="dxa"/>
          </w:tcPr>
          <w:p w14:paraId="28CFB5D5"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107</w:t>
            </w:r>
          </w:p>
          <w:p w14:paraId="437F6207" w14:textId="77777777" w:rsidR="00582B19" w:rsidRPr="000B369D" w:rsidRDefault="00582B19" w:rsidP="00111BE5">
            <w:pPr>
              <w:rPr>
                <w:rFonts w:ascii="Arial" w:hAnsi="Arial" w:cs="Arial"/>
                <w:color w:val="000000"/>
                <w:sz w:val="20"/>
                <w:szCs w:val="20"/>
              </w:rPr>
            </w:pPr>
          </w:p>
          <w:p w14:paraId="08E0827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52</w:t>
            </w:r>
            <w:r w:rsidRPr="000B369D">
              <w:rPr>
                <w:rFonts w:ascii="Arial" w:hAnsi="Arial" w:cs="Arial"/>
                <w:color w:val="000000"/>
                <w:sz w:val="20"/>
                <w:szCs w:val="20"/>
              </w:rPr>
              <w:br/>
              <w:t>G2: 55</w:t>
            </w:r>
          </w:p>
        </w:tc>
        <w:tc>
          <w:tcPr>
            <w:tcW w:w="1619" w:type="dxa"/>
          </w:tcPr>
          <w:p w14:paraId="27FA7DA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60.9 ± 1</w:t>
            </w:r>
            <w:r w:rsidRPr="000B369D">
              <w:rPr>
                <w:rFonts w:ascii="Arial" w:hAnsi="Arial" w:cs="Arial"/>
                <w:color w:val="000000"/>
                <w:sz w:val="20"/>
                <w:szCs w:val="20"/>
              </w:rPr>
              <w:br/>
              <w:t>G2: 61.5 ± 1.3</w:t>
            </w:r>
          </w:p>
        </w:tc>
        <w:tc>
          <w:tcPr>
            <w:tcW w:w="871" w:type="dxa"/>
          </w:tcPr>
          <w:p w14:paraId="4FB348C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77 W</w:t>
            </w:r>
            <w:r w:rsidRPr="000B369D">
              <w:rPr>
                <w:rFonts w:ascii="Arial" w:hAnsi="Arial" w:cs="Arial"/>
                <w:color w:val="000000"/>
                <w:sz w:val="20"/>
                <w:szCs w:val="20"/>
              </w:rPr>
              <w:br/>
              <w:t>30 M</w:t>
            </w:r>
          </w:p>
        </w:tc>
        <w:tc>
          <w:tcPr>
            <w:tcW w:w="1813" w:type="dxa"/>
          </w:tcPr>
          <w:p w14:paraId="2BFB133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p>
        </w:tc>
        <w:tc>
          <w:tcPr>
            <w:tcW w:w="2517" w:type="dxa"/>
          </w:tcPr>
          <w:p w14:paraId="5A1C1B0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252F1D" w14:paraId="3F994EC3" w14:textId="77777777" w:rsidTr="008C4C2C">
        <w:tc>
          <w:tcPr>
            <w:tcW w:w="1342" w:type="dxa"/>
          </w:tcPr>
          <w:p w14:paraId="333E362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Leighton, 2014</w:t>
            </w:r>
          </w:p>
        </w:tc>
        <w:tc>
          <w:tcPr>
            <w:tcW w:w="1131" w:type="dxa"/>
          </w:tcPr>
          <w:p w14:paraId="74AFDD4B"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RCT, double blind, non-inferiority trial, 2 groups</w:t>
            </w:r>
          </w:p>
        </w:tc>
        <w:tc>
          <w:tcPr>
            <w:tcW w:w="1919" w:type="dxa"/>
          </w:tcPr>
          <w:p w14:paraId="19C96B67"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5F2A0A49"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Methylprednisolone</w:t>
            </w:r>
          </w:p>
        </w:tc>
        <w:tc>
          <w:tcPr>
            <w:tcW w:w="1445" w:type="dxa"/>
          </w:tcPr>
          <w:p w14:paraId="6AD97160"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Only one injection</w:t>
            </w:r>
          </w:p>
        </w:tc>
        <w:tc>
          <w:tcPr>
            <w:tcW w:w="1337" w:type="dxa"/>
          </w:tcPr>
          <w:p w14:paraId="32DF6E6E"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433</w:t>
            </w:r>
          </w:p>
          <w:p w14:paraId="409C43DC" w14:textId="77777777" w:rsidR="00582B19" w:rsidRPr="000B369D" w:rsidRDefault="00582B19" w:rsidP="00111BE5">
            <w:pPr>
              <w:rPr>
                <w:rFonts w:ascii="Arial" w:hAnsi="Arial" w:cs="Arial"/>
                <w:color w:val="000000"/>
                <w:sz w:val="20"/>
                <w:szCs w:val="20"/>
              </w:rPr>
            </w:pPr>
          </w:p>
          <w:p w14:paraId="45E416D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218</w:t>
            </w:r>
            <w:r w:rsidRPr="000B369D">
              <w:rPr>
                <w:rFonts w:ascii="Arial" w:hAnsi="Arial" w:cs="Arial"/>
                <w:color w:val="000000"/>
                <w:sz w:val="20"/>
                <w:szCs w:val="20"/>
              </w:rPr>
              <w:br/>
              <w:t>G2: 215</w:t>
            </w:r>
          </w:p>
        </w:tc>
        <w:tc>
          <w:tcPr>
            <w:tcW w:w="1619" w:type="dxa"/>
          </w:tcPr>
          <w:p w14:paraId="5A4D916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61.9 ± 9.6</w:t>
            </w:r>
            <w:r w:rsidRPr="000B369D">
              <w:rPr>
                <w:rFonts w:ascii="Arial" w:hAnsi="Arial" w:cs="Arial"/>
                <w:color w:val="000000"/>
                <w:sz w:val="20"/>
                <w:szCs w:val="20"/>
              </w:rPr>
              <w:br/>
              <w:t>G2: 61.5 ± 9.9</w:t>
            </w:r>
          </w:p>
        </w:tc>
        <w:tc>
          <w:tcPr>
            <w:tcW w:w="871" w:type="dxa"/>
          </w:tcPr>
          <w:p w14:paraId="6CD0A91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213 W</w:t>
            </w:r>
            <w:r w:rsidRPr="000B369D">
              <w:rPr>
                <w:rFonts w:ascii="Arial" w:hAnsi="Arial" w:cs="Arial"/>
                <w:color w:val="000000"/>
                <w:sz w:val="20"/>
                <w:szCs w:val="20"/>
              </w:rPr>
              <w:br/>
              <w:t>220 M</w:t>
            </w:r>
          </w:p>
        </w:tc>
        <w:tc>
          <w:tcPr>
            <w:tcW w:w="1813" w:type="dxa"/>
          </w:tcPr>
          <w:p w14:paraId="1BF47EF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0DB6F9C9"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Supported by</w:t>
            </w:r>
            <w:r w:rsidRPr="000B369D">
              <w:rPr>
                <w:rFonts w:ascii="Arial" w:hAnsi="Arial" w:cs="Arial"/>
                <w:color w:val="000000"/>
                <w:sz w:val="20"/>
                <w:szCs w:val="20"/>
                <w:lang w:val="en-GB"/>
              </w:rPr>
              <w:br/>
              <w:t xml:space="preserve">Q-Med AB, Uppsala, Sweden </w:t>
            </w:r>
          </w:p>
        </w:tc>
      </w:tr>
      <w:tr w:rsidR="00582B19" w:rsidRPr="000B369D" w14:paraId="12324281" w14:textId="77777777" w:rsidTr="008C4C2C">
        <w:tc>
          <w:tcPr>
            <w:tcW w:w="1342" w:type="dxa"/>
          </w:tcPr>
          <w:p w14:paraId="776F784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Blanco, 2008</w:t>
            </w:r>
          </w:p>
        </w:tc>
        <w:tc>
          <w:tcPr>
            <w:tcW w:w="1131" w:type="dxa"/>
          </w:tcPr>
          <w:p w14:paraId="0A6591F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2groups</w:t>
            </w:r>
          </w:p>
        </w:tc>
        <w:tc>
          <w:tcPr>
            <w:tcW w:w="1919" w:type="dxa"/>
          </w:tcPr>
          <w:p w14:paraId="759E3CE5"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529320EA"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7162976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weekly, 5 weeks</w:t>
            </w:r>
          </w:p>
        </w:tc>
        <w:tc>
          <w:tcPr>
            <w:tcW w:w="1337" w:type="dxa"/>
          </w:tcPr>
          <w:p w14:paraId="6E5862C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42</w:t>
            </w:r>
          </w:p>
          <w:p w14:paraId="4FD24409" w14:textId="77777777" w:rsidR="00582B19" w:rsidRPr="000B369D" w:rsidRDefault="00582B19" w:rsidP="00111BE5">
            <w:pPr>
              <w:rPr>
                <w:rFonts w:ascii="Arial" w:hAnsi="Arial" w:cs="Arial"/>
                <w:color w:val="000000"/>
                <w:sz w:val="20"/>
                <w:szCs w:val="20"/>
              </w:rPr>
            </w:pPr>
          </w:p>
          <w:p w14:paraId="5088DBB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22</w:t>
            </w:r>
            <w:r w:rsidRPr="000B369D">
              <w:rPr>
                <w:rFonts w:ascii="Arial" w:hAnsi="Arial" w:cs="Arial"/>
                <w:color w:val="000000"/>
                <w:sz w:val="20"/>
                <w:szCs w:val="20"/>
              </w:rPr>
              <w:br/>
              <w:t>G2: 20</w:t>
            </w:r>
          </w:p>
        </w:tc>
        <w:tc>
          <w:tcPr>
            <w:tcW w:w="1619" w:type="dxa"/>
          </w:tcPr>
          <w:p w14:paraId="2D62028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67.5 ± 8.1</w:t>
            </w:r>
            <w:r w:rsidRPr="000B369D">
              <w:rPr>
                <w:rFonts w:ascii="Arial" w:hAnsi="Arial" w:cs="Arial"/>
                <w:color w:val="000000"/>
                <w:sz w:val="20"/>
                <w:szCs w:val="20"/>
              </w:rPr>
              <w:br/>
              <w:t>G2: 68.3 ± 9.1</w:t>
            </w:r>
          </w:p>
        </w:tc>
        <w:tc>
          <w:tcPr>
            <w:tcW w:w="871" w:type="dxa"/>
          </w:tcPr>
          <w:p w14:paraId="2406CE7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32 W</w:t>
            </w:r>
            <w:r w:rsidRPr="000B369D">
              <w:rPr>
                <w:rFonts w:ascii="Arial" w:hAnsi="Arial" w:cs="Arial"/>
                <w:color w:val="000000"/>
                <w:sz w:val="20"/>
                <w:szCs w:val="20"/>
              </w:rPr>
              <w:br/>
              <w:t>10 M</w:t>
            </w:r>
          </w:p>
        </w:tc>
        <w:tc>
          <w:tcPr>
            <w:tcW w:w="1813" w:type="dxa"/>
          </w:tcPr>
          <w:p w14:paraId="342C005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17156079"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 xml:space="preserve">Supported by a grant from Tedec-Meiji </w:t>
            </w:r>
          </w:p>
          <w:p w14:paraId="2A22C02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Farma, S.A. </w:t>
            </w:r>
          </w:p>
        </w:tc>
      </w:tr>
      <w:tr w:rsidR="00582B19" w:rsidRPr="000B369D" w14:paraId="2CA38AA6" w14:textId="77777777" w:rsidTr="008C4C2C">
        <w:tc>
          <w:tcPr>
            <w:tcW w:w="1342" w:type="dxa"/>
          </w:tcPr>
          <w:p w14:paraId="2D2E1A6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Frizziero, 2002</w:t>
            </w:r>
          </w:p>
        </w:tc>
        <w:tc>
          <w:tcPr>
            <w:tcW w:w="1131" w:type="dxa"/>
          </w:tcPr>
          <w:p w14:paraId="5CB74BC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2 groups</w:t>
            </w:r>
          </w:p>
        </w:tc>
        <w:tc>
          <w:tcPr>
            <w:tcW w:w="1919" w:type="dxa"/>
          </w:tcPr>
          <w:p w14:paraId="7EE26515"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4E4CD063"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Methylprednisolone</w:t>
            </w:r>
          </w:p>
        </w:tc>
        <w:tc>
          <w:tcPr>
            <w:tcW w:w="1445" w:type="dxa"/>
          </w:tcPr>
          <w:p w14:paraId="73E3463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Weekly, 5 weeks</w:t>
            </w:r>
          </w:p>
        </w:tc>
        <w:tc>
          <w:tcPr>
            <w:tcW w:w="1337" w:type="dxa"/>
          </w:tcPr>
          <w:p w14:paraId="710AC86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99</w:t>
            </w:r>
          </w:p>
          <w:p w14:paraId="45B64E37" w14:textId="77777777" w:rsidR="00582B19" w:rsidRPr="000B369D" w:rsidRDefault="00582B19" w:rsidP="00111BE5">
            <w:pPr>
              <w:rPr>
                <w:rFonts w:ascii="Arial" w:hAnsi="Arial" w:cs="Arial"/>
                <w:color w:val="000000"/>
                <w:sz w:val="20"/>
                <w:szCs w:val="20"/>
              </w:rPr>
            </w:pPr>
          </w:p>
          <w:p w14:paraId="7DE35C2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52</w:t>
            </w:r>
            <w:r w:rsidRPr="000B369D">
              <w:rPr>
                <w:rFonts w:ascii="Arial" w:hAnsi="Arial" w:cs="Arial"/>
                <w:color w:val="000000"/>
                <w:sz w:val="20"/>
                <w:szCs w:val="20"/>
              </w:rPr>
              <w:br/>
              <w:t>G2: 47</w:t>
            </w:r>
          </w:p>
        </w:tc>
        <w:tc>
          <w:tcPr>
            <w:tcW w:w="1619" w:type="dxa"/>
          </w:tcPr>
          <w:p w14:paraId="1652817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49 ± 15</w:t>
            </w:r>
            <w:r w:rsidRPr="000B369D">
              <w:rPr>
                <w:rFonts w:ascii="Arial" w:hAnsi="Arial" w:cs="Arial"/>
                <w:color w:val="000000"/>
                <w:sz w:val="20"/>
                <w:szCs w:val="20"/>
              </w:rPr>
              <w:br/>
              <w:t>G2: 50 ± 14</w:t>
            </w:r>
          </w:p>
        </w:tc>
        <w:tc>
          <w:tcPr>
            <w:tcW w:w="871" w:type="dxa"/>
          </w:tcPr>
          <w:p w14:paraId="763E32B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51 W</w:t>
            </w:r>
            <w:r w:rsidRPr="000B369D">
              <w:rPr>
                <w:rFonts w:ascii="Arial" w:hAnsi="Arial" w:cs="Arial"/>
                <w:color w:val="000000"/>
                <w:sz w:val="20"/>
                <w:szCs w:val="20"/>
              </w:rPr>
              <w:br/>
              <w:t>48 M</w:t>
            </w:r>
          </w:p>
        </w:tc>
        <w:tc>
          <w:tcPr>
            <w:tcW w:w="1813" w:type="dxa"/>
          </w:tcPr>
          <w:p w14:paraId="4B2C409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r>
          </w:p>
        </w:tc>
        <w:tc>
          <w:tcPr>
            <w:tcW w:w="2517" w:type="dxa"/>
          </w:tcPr>
          <w:p w14:paraId="7BB6BDF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252F1D" w14:paraId="2C601CB4" w14:textId="77777777" w:rsidTr="008C4C2C">
        <w:tc>
          <w:tcPr>
            <w:tcW w:w="1342" w:type="dxa"/>
          </w:tcPr>
          <w:p w14:paraId="190ABFF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Chopra, 2013</w:t>
            </w:r>
          </w:p>
        </w:tc>
        <w:tc>
          <w:tcPr>
            <w:tcW w:w="1131" w:type="dxa"/>
          </w:tcPr>
          <w:p w14:paraId="4C7379B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4 groups</w:t>
            </w:r>
          </w:p>
        </w:tc>
        <w:tc>
          <w:tcPr>
            <w:tcW w:w="1919" w:type="dxa"/>
          </w:tcPr>
          <w:p w14:paraId="0512300A"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Glucosamine sulfate</w:t>
            </w:r>
          </w:p>
          <w:p w14:paraId="25C9A416"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Celecoxib</w:t>
            </w:r>
          </w:p>
        </w:tc>
        <w:tc>
          <w:tcPr>
            <w:tcW w:w="1445" w:type="dxa"/>
          </w:tcPr>
          <w:p w14:paraId="43A8992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24 weeks</w:t>
            </w:r>
          </w:p>
        </w:tc>
        <w:tc>
          <w:tcPr>
            <w:tcW w:w="1337" w:type="dxa"/>
          </w:tcPr>
          <w:p w14:paraId="3608AA70"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418</w:t>
            </w:r>
          </w:p>
          <w:p w14:paraId="057F5DC9"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br/>
              <w:t>G1: 108</w:t>
            </w:r>
            <w:r w:rsidRPr="000B369D">
              <w:rPr>
                <w:rFonts w:ascii="Arial" w:hAnsi="Arial" w:cs="Arial"/>
                <w:color w:val="000000"/>
                <w:sz w:val="20"/>
                <w:szCs w:val="20"/>
                <w:lang w:val="en-GB"/>
              </w:rPr>
              <w:br/>
              <w:t>G2:  105</w:t>
            </w:r>
            <w:r w:rsidRPr="000B369D">
              <w:rPr>
                <w:rFonts w:ascii="Arial" w:hAnsi="Arial" w:cs="Arial"/>
                <w:color w:val="000000"/>
                <w:sz w:val="20"/>
                <w:szCs w:val="20"/>
                <w:lang w:val="en-GB"/>
              </w:rPr>
              <w:br/>
              <w:t>G3: 103 (not used in analysis)</w:t>
            </w:r>
            <w:r w:rsidRPr="000B369D">
              <w:rPr>
                <w:rFonts w:ascii="Arial" w:hAnsi="Arial" w:cs="Arial"/>
                <w:color w:val="000000"/>
                <w:sz w:val="20"/>
                <w:szCs w:val="20"/>
                <w:lang w:val="en-GB"/>
              </w:rPr>
              <w:br/>
              <w:t>G4: 102 (not used in analysis)</w:t>
            </w:r>
          </w:p>
        </w:tc>
        <w:tc>
          <w:tcPr>
            <w:tcW w:w="1619" w:type="dxa"/>
          </w:tcPr>
          <w:p w14:paraId="023DAC5C"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G1: 55.5 ± 8.57</w:t>
            </w:r>
            <w:r w:rsidRPr="000B369D">
              <w:rPr>
                <w:rFonts w:ascii="Arial" w:hAnsi="Arial" w:cs="Arial"/>
                <w:color w:val="000000"/>
                <w:sz w:val="20"/>
                <w:szCs w:val="20"/>
                <w:lang w:val="en-GB"/>
              </w:rPr>
              <w:br/>
              <w:t>G2:  56.6 ± 8.87</w:t>
            </w:r>
            <w:r w:rsidRPr="000B369D">
              <w:rPr>
                <w:rFonts w:ascii="Arial" w:hAnsi="Arial" w:cs="Arial"/>
                <w:color w:val="000000"/>
                <w:sz w:val="20"/>
                <w:szCs w:val="20"/>
                <w:lang w:val="en-GB"/>
              </w:rPr>
              <w:br/>
              <w:t>G3: 55.5 ± 7.5 (not used in analysis)</w:t>
            </w:r>
            <w:r w:rsidRPr="000B369D">
              <w:rPr>
                <w:rFonts w:ascii="Arial" w:hAnsi="Arial" w:cs="Arial"/>
                <w:color w:val="000000"/>
                <w:sz w:val="20"/>
                <w:szCs w:val="20"/>
                <w:lang w:val="en-GB"/>
              </w:rPr>
              <w:br/>
              <w:t>G4: 55.3 ± 7.99 (not used in analysis)</w:t>
            </w:r>
          </w:p>
        </w:tc>
        <w:tc>
          <w:tcPr>
            <w:tcW w:w="871" w:type="dxa"/>
          </w:tcPr>
          <w:p w14:paraId="1309EBB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c>
          <w:tcPr>
            <w:tcW w:w="1813" w:type="dxa"/>
          </w:tcPr>
          <w:p w14:paraId="7EA477F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p>
        </w:tc>
        <w:tc>
          <w:tcPr>
            <w:tcW w:w="2517" w:type="dxa"/>
          </w:tcPr>
          <w:p w14:paraId="069C11B6"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This work was fully funded and supported by</w:t>
            </w:r>
            <w:r w:rsidRPr="000B369D">
              <w:rPr>
                <w:rFonts w:ascii="Arial" w:hAnsi="Arial" w:cs="Arial"/>
                <w:color w:val="000000"/>
                <w:sz w:val="20"/>
                <w:szCs w:val="20"/>
                <w:lang w:val="en-GB"/>
              </w:rPr>
              <w:br/>
              <w:t>NMITLI Cell, Council of Scientific and Industrial</w:t>
            </w:r>
            <w:r w:rsidRPr="000B369D">
              <w:rPr>
                <w:rFonts w:ascii="Arial" w:hAnsi="Arial" w:cs="Arial"/>
                <w:color w:val="000000"/>
                <w:sz w:val="20"/>
                <w:szCs w:val="20"/>
                <w:lang w:val="en-GB"/>
              </w:rPr>
              <w:br/>
              <w:t>Research (CSIR), Government of India.</w:t>
            </w:r>
          </w:p>
        </w:tc>
      </w:tr>
      <w:tr w:rsidR="00582B19" w:rsidRPr="000B369D" w14:paraId="5AA0DBA8" w14:textId="77777777" w:rsidTr="008C4C2C">
        <w:tc>
          <w:tcPr>
            <w:tcW w:w="1342" w:type="dxa"/>
          </w:tcPr>
          <w:p w14:paraId="7E39F7F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lastRenderedPageBreak/>
              <w:t>Kosuwon, 2012</w:t>
            </w:r>
          </w:p>
        </w:tc>
        <w:tc>
          <w:tcPr>
            <w:tcW w:w="1131" w:type="dxa"/>
          </w:tcPr>
          <w:p w14:paraId="10EA78A7"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RCT, double blind, phase III, 2 groups</w:t>
            </w:r>
          </w:p>
        </w:tc>
        <w:tc>
          <w:tcPr>
            <w:tcW w:w="1919" w:type="dxa"/>
          </w:tcPr>
          <w:p w14:paraId="0E2361E2"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7E6ECBF4"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7B9339F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Weekly, 5 weeks</w:t>
            </w:r>
          </w:p>
        </w:tc>
        <w:tc>
          <w:tcPr>
            <w:tcW w:w="1337" w:type="dxa"/>
          </w:tcPr>
          <w:p w14:paraId="5A2388F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60</w:t>
            </w:r>
          </w:p>
          <w:p w14:paraId="204ACD58" w14:textId="77777777" w:rsidR="00582B19" w:rsidRPr="000B369D" w:rsidRDefault="00582B19" w:rsidP="00111BE5">
            <w:pPr>
              <w:rPr>
                <w:rFonts w:ascii="Arial" w:hAnsi="Arial" w:cs="Arial"/>
                <w:color w:val="000000"/>
                <w:sz w:val="20"/>
                <w:szCs w:val="20"/>
              </w:rPr>
            </w:pPr>
          </w:p>
          <w:p w14:paraId="70B4595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30</w:t>
            </w:r>
            <w:r w:rsidRPr="000B369D">
              <w:rPr>
                <w:rFonts w:ascii="Arial" w:hAnsi="Arial" w:cs="Arial"/>
                <w:color w:val="000000"/>
                <w:sz w:val="20"/>
                <w:szCs w:val="20"/>
              </w:rPr>
              <w:br/>
              <w:t>G2: 30</w:t>
            </w:r>
          </w:p>
        </w:tc>
        <w:tc>
          <w:tcPr>
            <w:tcW w:w="1619" w:type="dxa"/>
          </w:tcPr>
          <w:p w14:paraId="51D5786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59.5 years (range 46-84)</w:t>
            </w:r>
          </w:p>
        </w:tc>
        <w:tc>
          <w:tcPr>
            <w:tcW w:w="871" w:type="dxa"/>
          </w:tcPr>
          <w:p w14:paraId="057856F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60 W</w:t>
            </w:r>
            <w:r w:rsidRPr="000B369D">
              <w:rPr>
                <w:rFonts w:ascii="Arial" w:hAnsi="Arial" w:cs="Arial"/>
                <w:color w:val="000000"/>
                <w:sz w:val="20"/>
                <w:szCs w:val="20"/>
              </w:rPr>
              <w:br/>
              <w:t>0 M</w:t>
            </w:r>
          </w:p>
        </w:tc>
        <w:tc>
          <w:tcPr>
            <w:tcW w:w="1813" w:type="dxa"/>
          </w:tcPr>
          <w:p w14:paraId="74AC216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0A89918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0B369D" w14:paraId="3A83FE5C" w14:textId="77777777" w:rsidTr="008C4C2C">
        <w:tc>
          <w:tcPr>
            <w:tcW w:w="1342" w:type="dxa"/>
          </w:tcPr>
          <w:p w14:paraId="6817A04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Hermans, 2013</w:t>
            </w:r>
          </w:p>
        </w:tc>
        <w:tc>
          <w:tcPr>
            <w:tcW w:w="1131" w:type="dxa"/>
          </w:tcPr>
          <w:p w14:paraId="6D6CEBB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2 groups</w:t>
            </w:r>
          </w:p>
        </w:tc>
        <w:tc>
          <w:tcPr>
            <w:tcW w:w="1919" w:type="dxa"/>
          </w:tcPr>
          <w:p w14:paraId="069B5AC5"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10F5ED25"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4597530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3 injections</w:t>
            </w:r>
          </w:p>
        </w:tc>
        <w:tc>
          <w:tcPr>
            <w:tcW w:w="1337" w:type="dxa"/>
          </w:tcPr>
          <w:p w14:paraId="5959CC73"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156</w:t>
            </w:r>
          </w:p>
          <w:p w14:paraId="6505307E" w14:textId="77777777" w:rsidR="00582B19" w:rsidRPr="000B369D" w:rsidRDefault="00582B19" w:rsidP="00111BE5">
            <w:pPr>
              <w:rPr>
                <w:rFonts w:ascii="Arial" w:hAnsi="Arial" w:cs="Arial"/>
                <w:color w:val="000000"/>
                <w:sz w:val="20"/>
                <w:szCs w:val="20"/>
              </w:rPr>
            </w:pPr>
          </w:p>
          <w:p w14:paraId="13222E0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77</w:t>
            </w:r>
            <w:r w:rsidRPr="000B369D">
              <w:rPr>
                <w:rFonts w:ascii="Arial" w:hAnsi="Arial" w:cs="Arial"/>
                <w:color w:val="000000"/>
                <w:sz w:val="20"/>
                <w:szCs w:val="20"/>
              </w:rPr>
              <w:br/>
              <w:t>G2: 79</w:t>
            </w:r>
          </w:p>
        </w:tc>
        <w:tc>
          <w:tcPr>
            <w:tcW w:w="1619" w:type="dxa"/>
          </w:tcPr>
          <w:p w14:paraId="214BF39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18-65 years</w:t>
            </w:r>
          </w:p>
        </w:tc>
        <w:tc>
          <w:tcPr>
            <w:tcW w:w="871" w:type="dxa"/>
          </w:tcPr>
          <w:p w14:paraId="79CBF0A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c>
          <w:tcPr>
            <w:tcW w:w="1813" w:type="dxa"/>
          </w:tcPr>
          <w:p w14:paraId="1FDBC42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p>
        </w:tc>
        <w:tc>
          <w:tcPr>
            <w:tcW w:w="2517" w:type="dxa"/>
          </w:tcPr>
          <w:p w14:paraId="4D0100A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252F1D" w14:paraId="091938D6" w14:textId="77777777" w:rsidTr="008C4C2C">
        <w:tc>
          <w:tcPr>
            <w:tcW w:w="1342" w:type="dxa"/>
          </w:tcPr>
          <w:p w14:paraId="74C1DF8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Wildi, 2011</w:t>
            </w:r>
          </w:p>
        </w:tc>
        <w:tc>
          <w:tcPr>
            <w:tcW w:w="1131" w:type="dxa"/>
          </w:tcPr>
          <w:p w14:paraId="4CA8D1D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038663B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prescription grade Chondroitin Sulfate</w:t>
            </w:r>
          </w:p>
          <w:p w14:paraId="55AB678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2BB0556E"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24 weeks</w:t>
            </w:r>
          </w:p>
        </w:tc>
        <w:tc>
          <w:tcPr>
            <w:tcW w:w="1337" w:type="dxa"/>
          </w:tcPr>
          <w:p w14:paraId="26CA223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69</w:t>
            </w:r>
          </w:p>
          <w:p w14:paraId="338EABB6" w14:textId="77777777" w:rsidR="00582B19" w:rsidRPr="000B369D" w:rsidRDefault="00582B19" w:rsidP="00111BE5">
            <w:pPr>
              <w:rPr>
                <w:rFonts w:ascii="Arial" w:hAnsi="Arial" w:cs="Arial"/>
                <w:color w:val="000000"/>
                <w:sz w:val="20"/>
                <w:szCs w:val="20"/>
              </w:rPr>
            </w:pPr>
          </w:p>
          <w:p w14:paraId="035E2CE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35</w:t>
            </w:r>
            <w:r w:rsidRPr="000B369D">
              <w:rPr>
                <w:rFonts w:ascii="Arial" w:hAnsi="Arial" w:cs="Arial"/>
                <w:color w:val="000000"/>
                <w:sz w:val="20"/>
                <w:szCs w:val="20"/>
              </w:rPr>
              <w:br/>
              <w:t>G2: 34</w:t>
            </w:r>
          </w:p>
        </w:tc>
        <w:tc>
          <w:tcPr>
            <w:tcW w:w="1619" w:type="dxa"/>
          </w:tcPr>
          <w:p w14:paraId="4EED4DD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59.7 ± 9.4</w:t>
            </w:r>
            <w:r w:rsidRPr="000B369D">
              <w:rPr>
                <w:rFonts w:ascii="Arial" w:hAnsi="Arial" w:cs="Arial"/>
                <w:color w:val="000000"/>
                <w:sz w:val="20"/>
                <w:szCs w:val="20"/>
              </w:rPr>
              <w:br/>
              <w:t>G2: 64.9 ± 9.5</w:t>
            </w:r>
          </w:p>
        </w:tc>
        <w:tc>
          <w:tcPr>
            <w:tcW w:w="871" w:type="dxa"/>
          </w:tcPr>
          <w:p w14:paraId="00D02C9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41 W</w:t>
            </w:r>
            <w:r w:rsidRPr="000B369D">
              <w:rPr>
                <w:rFonts w:ascii="Arial" w:hAnsi="Arial" w:cs="Arial"/>
                <w:color w:val="000000"/>
                <w:sz w:val="20"/>
                <w:szCs w:val="20"/>
              </w:rPr>
              <w:br/>
              <w:t>28 M</w:t>
            </w:r>
          </w:p>
        </w:tc>
        <w:tc>
          <w:tcPr>
            <w:tcW w:w="1813" w:type="dxa"/>
          </w:tcPr>
          <w:p w14:paraId="4D4B5D85"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Pain</w:t>
            </w:r>
            <w:r w:rsidRPr="000B369D">
              <w:rPr>
                <w:rFonts w:ascii="Arial" w:hAnsi="Arial" w:cs="Arial"/>
                <w:color w:val="000000"/>
                <w:sz w:val="20"/>
                <w:szCs w:val="20"/>
                <w:lang w:val="en-GB"/>
              </w:rPr>
              <w:br/>
              <w:t>Function (data not shown in paper)</w:t>
            </w:r>
            <w:r w:rsidRPr="000B369D">
              <w:rPr>
                <w:rFonts w:ascii="Arial" w:hAnsi="Arial" w:cs="Arial"/>
                <w:color w:val="000000"/>
                <w:sz w:val="20"/>
                <w:szCs w:val="20"/>
                <w:lang w:val="en-GB"/>
              </w:rPr>
              <w:br/>
            </w:r>
          </w:p>
        </w:tc>
        <w:tc>
          <w:tcPr>
            <w:tcW w:w="2517" w:type="dxa"/>
          </w:tcPr>
          <w:p w14:paraId="5F4F87CA"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Supported in part by a grant from</w:t>
            </w:r>
            <w:r w:rsidRPr="000B369D">
              <w:rPr>
                <w:rFonts w:ascii="Arial" w:hAnsi="Arial" w:cs="Arial"/>
                <w:color w:val="000000"/>
                <w:sz w:val="20"/>
                <w:szCs w:val="20"/>
                <w:lang w:val="en-GB"/>
              </w:rPr>
              <w:br/>
              <w:t xml:space="preserve">Bioiberica (Barcelona, Spain). </w:t>
            </w:r>
          </w:p>
        </w:tc>
      </w:tr>
      <w:tr w:rsidR="00582B19" w:rsidRPr="000B369D" w14:paraId="26836684" w14:textId="77777777" w:rsidTr="008C4C2C">
        <w:tc>
          <w:tcPr>
            <w:tcW w:w="1342" w:type="dxa"/>
          </w:tcPr>
          <w:p w14:paraId="27A6252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Williams, 1993</w:t>
            </w:r>
          </w:p>
        </w:tc>
        <w:tc>
          <w:tcPr>
            <w:tcW w:w="1131" w:type="dxa"/>
          </w:tcPr>
          <w:p w14:paraId="2BEC714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28C3AE4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Acetaminophen</w:t>
            </w:r>
          </w:p>
          <w:p w14:paraId="7600C32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Naproxen</w:t>
            </w:r>
          </w:p>
        </w:tc>
        <w:tc>
          <w:tcPr>
            <w:tcW w:w="1445" w:type="dxa"/>
          </w:tcPr>
          <w:p w14:paraId="164CDE8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104 weeks</w:t>
            </w:r>
          </w:p>
        </w:tc>
        <w:tc>
          <w:tcPr>
            <w:tcW w:w="1337" w:type="dxa"/>
          </w:tcPr>
          <w:p w14:paraId="1E01D60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178</w:t>
            </w:r>
          </w:p>
          <w:p w14:paraId="477BD2F5" w14:textId="77777777" w:rsidR="00582B19" w:rsidRPr="000B369D" w:rsidRDefault="00582B19" w:rsidP="00111BE5">
            <w:pPr>
              <w:rPr>
                <w:rFonts w:ascii="Arial" w:hAnsi="Arial" w:cs="Arial"/>
                <w:color w:val="000000"/>
                <w:sz w:val="20"/>
                <w:szCs w:val="20"/>
              </w:rPr>
            </w:pPr>
          </w:p>
          <w:p w14:paraId="7458DEB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88</w:t>
            </w:r>
            <w:r w:rsidRPr="000B369D">
              <w:rPr>
                <w:rFonts w:ascii="Arial" w:hAnsi="Arial" w:cs="Arial"/>
                <w:color w:val="000000"/>
                <w:sz w:val="20"/>
                <w:szCs w:val="20"/>
              </w:rPr>
              <w:br/>
              <w:t>G2: 90</w:t>
            </w:r>
          </w:p>
        </w:tc>
        <w:tc>
          <w:tcPr>
            <w:tcW w:w="1619" w:type="dxa"/>
          </w:tcPr>
          <w:p w14:paraId="1065DB6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60.3 ± 11.4</w:t>
            </w:r>
            <w:r w:rsidRPr="000B369D">
              <w:rPr>
                <w:rFonts w:ascii="Arial" w:hAnsi="Arial" w:cs="Arial"/>
                <w:color w:val="000000"/>
                <w:sz w:val="20"/>
                <w:szCs w:val="20"/>
              </w:rPr>
              <w:br/>
              <w:t>G2: 58.8 ± 10.1</w:t>
            </w:r>
          </w:p>
        </w:tc>
        <w:tc>
          <w:tcPr>
            <w:tcW w:w="871" w:type="dxa"/>
          </w:tcPr>
          <w:p w14:paraId="2E9F5AE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134 W</w:t>
            </w:r>
            <w:r w:rsidRPr="000B369D">
              <w:rPr>
                <w:rFonts w:ascii="Arial" w:hAnsi="Arial" w:cs="Arial"/>
                <w:color w:val="000000"/>
                <w:sz w:val="20"/>
                <w:szCs w:val="20"/>
              </w:rPr>
              <w:br/>
              <w:t>44 M</w:t>
            </w:r>
          </w:p>
        </w:tc>
        <w:tc>
          <w:tcPr>
            <w:tcW w:w="1813" w:type="dxa"/>
          </w:tcPr>
          <w:p w14:paraId="32704C1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p>
        </w:tc>
        <w:tc>
          <w:tcPr>
            <w:tcW w:w="2517" w:type="dxa"/>
          </w:tcPr>
          <w:p w14:paraId="1924740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Supported by NIAMS</w:t>
            </w:r>
          </w:p>
        </w:tc>
      </w:tr>
      <w:tr w:rsidR="00582B19" w:rsidRPr="00252F1D" w14:paraId="191A9117" w14:textId="77777777" w:rsidTr="008C4C2C">
        <w:tc>
          <w:tcPr>
            <w:tcW w:w="1342" w:type="dxa"/>
          </w:tcPr>
          <w:p w14:paraId="1A009E1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Wluka, 2002</w:t>
            </w:r>
          </w:p>
        </w:tc>
        <w:tc>
          <w:tcPr>
            <w:tcW w:w="1131" w:type="dxa"/>
          </w:tcPr>
          <w:p w14:paraId="24BE6EF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38B2D41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Vitamin E</w:t>
            </w:r>
          </w:p>
          <w:p w14:paraId="3F7E52B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6C37F55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104 weeks</w:t>
            </w:r>
          </w:p>
        </w:tc>
        <w:tc>
          <w:tcPr>
            <w:tcW w:w="1337" w:type="dxa"/>
          </w:tcPr>
          <w:p w14:paraId="39CC1A05"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136</w:t>
            </w:r>
          </w:p>
          <w:p w14:paraId="660EFEC4" w14:textId="77777777" w:rsidR="00582B19" w:rsidRPr="000B369D" w:rsidRDefault="00582B19" w:rsidP="00111BE5">
            <w:pPr>
              <w:rPr>
                <w:rFonts w:ascii="Arial" w:hAnsi="Arial" w:cs="Arial"/>
                <w:color w:val="000000"/>
                <w:sz w:val="20"/>
                <w:szCs w:val="20"/>
              </w:rPr>
            </w:pPr>
          </w:p>
          <w:p w14:paraId="685093F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67</w:t>
            </w:r>
            <w:r w:rsidRPr="000B369D">
              <w:rPr>
                <w:rFonts w:ascii="Arial" w:hAnsi="Arial" w:cs="Arial"/>
                <w:color w:val="000000"/>
                <w:sz w:val="20"/>
                <w:szCs w:val="20"/>
              </w:rPr>
              <w:br/>
              <w:t>G2: 69</w:t>
            </w:r>
          </w:p>
        </w:tc>
        <w:tc>
          <w:tcPr>
            <w:tcW w:w="1619" w:type="dxa"/>
          </w:tcPr>
          <w:p w14:paraId="7648969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64.3 ± 11</w:t>
            </w:r>
            <w:r w:rsidRPr="000B369D">
              <w:rPr>
                <w:rFonts w:ascii="Arial" w:hAnsi="Arial" w:cs="Arial"/>
                <w:color w:val="000000"/>
                <w:sz w:val="20"/>
                <w:szCs w:val="20"/>
              </w:rPr>
              <w:br/>
              <w:t>G2: 63.7 ± 10</w:t>
            </w:r>
          </w:p>
        </w:tc>
        <w:tc>
          <w:tcPr>
            <w:tcW w:w="871" w:type="dxa"/>
          </w:tcPr>
          <w:p w14:paraId="59C5D30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75 W</w:t>
            </w:r>
            <w:r w:rsidRPr="000B369D">
              <w:rPr>
                <w:rFonts w:ascii="Arial" w:hAnsi="Arial" w:cs="Arial"/>
                <w:color w:val="000000"/>
                <w:sz w:val="20"/>
                <w:szCs w:val="20"/>
              </w:rPr>
              <w:br/>
              <w:t>42 M</w:t>
            </w:r>
          </w:p>
        </w:tc>
        <w:tc>
          <w:tcPr>
            <w:tcW w:w="1813" w:type="dxa"/>
          </w:tcPr>
          <w:p w14:paraId="153CB76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55542BA1"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 xml:space="preserve">Supported by the National Health And medical research concil. </w:t>
            </w:r>
          </w:p>
        </w:tc>
      </w:tr>
      <w:tr w:rsidR="00582B19" w:rsidRPr="000B369D" w14:paraId="57321701" w14:textId="77777777" w:rsidTr="008C4C2C">
        <w:tc>
          <w:tcPr>
            <w:tcW w:w="1342" w:type="dxa"/>
          </w:tcPr>
          <w:p w14:paraId="2B3CCB6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Vaishya, 2017</w:t>
            </w:r>
          </w:p>
        </w:tc>
        <w:tc>
          <w:tcPr>
            <w:tcW w:w="1131" w:type="dxa"/>
          </w:tcPr>
          <w:p w14:paraId="565473D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2 groups</w:t>
            </w:r>
          </w:p>
        </w:tc>
        <w:tc>
          <w:tcPr>
            <w:tcW w:w="1919" w:type="dxa"/>
          </w:tcPr>
          <w:p w14:paraId="00ED63F1"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2E1FBDB0"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Triamcinolone</w:t>
            </w:r>
          </w:p>
        </w:tc>
        <w:tc>
          <w:tcPr>
            <w:tcW w:w="1445" w:type="dxa"/>
          </w:tcPr>
          <w:p w14:paraId="12BCD81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One injection</w:t>
            </w:r>
          </w:p>
        </w:tc>
        <w:tc>
          <w:tcPr>
            <w:tcW w:w="1337" w:type="dxa"/>
          </w:tcPr>
          <w:p w14:paraId="71B9BBF5"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82</w:t>
            </w:r>
          </w:p>
          <w:p w14:paraId="7D6C9BE6" w14:textId="77777777" w:rsidR="00582B19" w:rsidRPr="000B369D" w:rsidRDefault="00582B19" w:rsidP="00111BE5">
            <w:pPr>
              <w:rPr>
                <w:rFonts w:ascii="Arial" w:hAnsi="Arial" w:cs="Arial"/>
                <w:color w:val="000000"/>
                <w:sz w:val="20"/>
                <w:szCs w:val="20"/>
              </w:rPr>
            </w:pPr>
          </w:p>
          <w:p w14:paraId="4AA5D2B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42</w:t>
            </w:r>
            <w:r w:rsidRPr="000B369D">
              <w:rPr>
                <w:rFonts w:ascii="Arial" w:hAnsi="Arial" w:cs="Arial"/>
                <w:color w:val="000000"/>
                <w:sz w:val="20"/>
                <w:szCs w:val="20"/>
              </w:rPr>
              <w:br/>
              <w:t>G2: 40</w:t>
            </w:r>
          </w:p>
        </w:tc>
        <w:tc>
          <w:tcPr>
            <w:tcW w:w="1619" w:type="dxa"/>
          </w:tcPr>
          <w:p w14:paraId="5692BD8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&gt;80 years</w:t>
            </w:r>
          </w:p>
        </w:tc>
        <w:tc>
          <w:tcPr>
            <w:tcW w:w="871" w:type="dxa"/>
          </w:tcPr>
          <w:p w14:paraId="567DE39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54 W</w:t>
            </w:r>
            <w:r w:rsidRPr="000B369D">
              <w:rPr>
                <w:rFonts w:ascii="Arial" w:hAnsi="Arial" w:cs="Arial"/>
                <w:color w:val="000000"/>
                <w:sz w:val="20"/>
                <w:szCs w:val="20"/>
              </w:rPr>
              <w:br/>
              <w:t>28 M</w:t>
            </w:r>
          </w:p>
        </w:tc>
        <w:tc>
          <w:tcPr>
            <w:tcW w:w="1813" w:type="dxa"/>
          </w:tcPr>
          <w:p w14:paraId="369037B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p>
        </w:tc>
        <w:tc>
          <w:tcPr>
            <w:tcW w:w="2517" w:type="dxa"/>
          </w:tcPr>
          <w:p w14:paraId="55B68C5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0B369D" w14:paraId="7405E3FA" w14:textId="77777777" w:rsidTr="008C4C2C">
        <w:tc>
          <w:tcPr>
            <w:tcW w:w="1342" w:type="dxa"/>
          </w:tcPr>
          <w:p w14:paraId="37A96CD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Robert J Petrella, 2015</w:t>
            </w:r>
          </w:p>
        </w:tc>
        <w:tc>
          <w:tcPr>
            <w:tcW w:w="1131" w:type="dxa"/>
          </w:tcPr>
          <w:p w14:paraId="79C02D2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3 groups</w:t>
            </w:r>
          </w:p>
        </w:tc>
        <w:tc>
          <w:tcPr>
            <w:tcW w:w="1919" w:type="dxa"/>
          </w:tcPr>
          <w:p w14:paraId="5C91C102"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5EA64344"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Triamcinolone</w:t>
            </w:r>
          </w:p>
        </w:tc>
        <w:tc>
          <w:tcPr>
            <w:tcW w:w="1445" w:type="dxa"/>
          </w:tcPr>
          <w:p w14:paraId="2B6F63DE"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One single dose</w:t>
            </w:r>
          </w:p>
        </w:tc>
        <w:tc>
          <w:tcPr>
            <w:tcW w:w="1337" w:type="dxa"/>
          </w:tcPr>
          <w:p w14:paraId="6B56FF28"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98</w:t>
            </w:r>
          </w:p>
          <w:p w14:paraId="038794A0" w14:textId="77777777" w:rsidR="00582B19" w:rsidRPr="000B369D" w:rsidRDefault="00582B19" w:rsidP="00111BE5">
            <w:pPr>
              <w:rPr>
                <w:rFonts w:ascii="Arial" w:hAnsi="Arial" w:cs="Arial"/>
                <w:color w:val="000000"/>
                <w:sz w:val="20"/>
                <w:szCs w:val="20"/>
                <w:lang w:val="en-GB"/>
              </w:rPr>
            </w:pPr>
          </w:p>
          <w:p w14:paraId="035D719B"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G1:32</w:t>
            </w:r>
          </w:p>
          <w:p w14:paraId="32DBF29E"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G2:34 G3:32(not used in analysis)</w:t>
            </w:r>
          </w:p>
        </w:tc>
        <w:tc>
          <w:tcPr>
            <w:tcW w:w="1619" w:type="dxa"/>
          </w:tcPr>
          <w:p w14:paraId="3AF770CA"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59 ± 12</w:t>
            </w:r>
          </w:p>
          <w:p w14:paraId="41AEC39C"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61 ± 11</w:t>
            </w:r>
          </w:p>
          <w:p w14:paraId="6893036C"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G3: 59 ± 12(not used in analysis)</w:t>
            </w:r>
          </w:p>
        </w:tc>
        <w:tc>
          <w:tcPr>
            <w:tcW w:w="871" w:type="dxa"/>
          </w:tcPr>
          <w:p w14:paraId="6AF73893"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56 W</w:t>
            </w:r>
          </w:p>
          <w:p w14:paraId="29424049" w14:textId="77777777" w:rsidR="00582B19" w:rsidRPr="000B369D" w:rsidRDefault="00582B19" w:rsidP="00111BE5">
            <w:pPr>
              <w:rPr>
                <w:rFonts w:ascii="Arial" w:hAnsi="Arial" w:cs="Arial"/>
                <w:sz w:val="20"/>
                <w:szCs w:val="20"/>
              </w:rPr>
            </w:pPr>
            <w:r w:rsidRPr="000B369D">
              <w:rPr>
                <w:rFonts w:ascii="Arial" w:hAnsi="Arial" w:cs="Arial"/>
                <w:sz w:val="20"/>
                <w:szCs w:val="20"/>
              </w:rPr>
              <w:t>42 M</w:t>
            </w:r>
          </w:p>
        </w:tc>
        <w:tc>
          <w:tcPr>
            <w:tcW w:w="1813" w:type="dxa"/>
          </w:tcPr>
          <w:p w14:paraId="6DA9051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0836062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Function</w:t>
            </w:r>
          </w:p>
          <w:p w14:paraId="1B96A6C4" w14:textId="77777777" w:rsidR="00582B19" w:rsidRPr="000B369D" w:rsidRDefault="00582B19" w:rsidP="00111BE5">
            <w:pPr>
              <w:rPr>
                <w:rFonts w:ascii="Arial" w:hAnsi="Arial" w:cs="Arial"/>
                <w:sz w:val="20"/>
                <w:szCs w:val="20"/>
              </w:rPr>
            </w:pPr>
          </w:p>
        </w:tc>
        <w:tc>
          <w:tcPr>
            <w:tcW w:w="2517" w:type="dxa"/>
          </w:tcPr>
          <w:p w14:paraId="7D88613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Study sponsor, Carbylan Therapeutics.</w:t>
            </w:r>
          </w:p>
        </w:tc>
      </w:tr>
      <w:tr w:rsidR="00582B19" w:rsidRPr="000B369D" w14:paraId="65A513AF" w14:textId="77777777" w:rsidTr="008C4C2C">
        <w:tc>
          <w:tcPr>
            <w:tcW w:w="1342" w:type="dxa"/>
          </w:tcPr>
          <w:p w14:paraId="2107D0C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Railhac JJ, 2012</w:t>
            </w:r>
          </w:p>
        </w:tc>
        <w:tc>
          <w:tcPr>
            <w:tcW w:w="1131" w:type="dxa"/>
          </w:tcPr>
          <w:p w14:paraId="43E2205D"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RCT, double blind, 2 groups, phase IV</w:t>
            </w:r>
          </w:p>
        </w:tc>
        <w:tc>
          <w:tcPr>
            <w:tcW w:w="1919" w:type="dxa"/>
          </w:tcPr>
          <w:p w14:paraId="55006C19"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prescription grade Chondroitin Sulfate</w:t>
            </w:r>
          </w:p>
          <w:p w14:paraId="0C3FCC8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069641E5"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48 weeks</w:t>
            </w:r>
          </w:p>
        </w:tc>
        <w:tc>
          <w:tcPr>
            <w:tcW w:w="1337" w:type="dxa"/>
          </w:tcPr>
          <w:p w14:paraId="4D6AA26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43</w:t>
            </w:r>
          </w:p>
          <w:p w14:paraId="0EE5AD81" w14:textId="77777777" w:rsidR="00582B19" w:rsidRPr="000B369D" w:rsidRDefault="00582B19" w:rsidP="00111BE5">
            <w:pPr>
              <w:rPr>
                <w:rFonts w:ascii="Arial" w:hAnsi="Arial" w:cs="Arial"/>
                <w:color w:val="000000"/>
                <w:sz w:val="20"/>
                <w:szCs w:val="20"/>
              </w:rPr>
            </w:pPr>
          </w:p>
          <w:p w14:paraId="1C3DDE0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22</w:t>
            </w:r>
          </w:p>
          <w:p w14:paraId="0C7C1DF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G2: 21</w:t>
            </w:r>
          </w:p>
        </w:tc>
        <w:tc>
          <w:tcPr>
            <w:tcW w:w="1619" w:type="dxa"/>
          </w:tcPr>
          <w:p w14:paraId="109681FF" w14:textId="77777777" w:rsidR="00582B19" w:rsidRPr="000B369D" w:rsidRDefault="00582B19" w:rsidP="00111BE5">
            <w:pPr>
              <w:rPr>
                <w:rFonts w:ascii="Arial" w:hAnsi="Arial" w:cs="Arial"/>
                <w:sz w:val="20"/>
                <w:szCs w:val="20"/>
              </w:rPr>
            </w:pPr>
            <w:r w:rsidRPr="000B369D">
              <w:rPr>
                <w:rFonts w:ascii="Arial" w:hAnsi="Arial" w:cs="Arial"/>
                <w:sz w:val="20"/>
                <w:szCs w:val="20"/>
              </w:rPr>
              <w:t>Total: 65.0 ± 8.2</w:t>
            </w:r>
          </w:p>
          <w:p w14:paraId="7905D160" w14:textId="77777777" w:rsidR="00582B19" w:rsidRPr="000B369D" w:rsidRDefault="00582B19" w:rsidP="00111BE5">
            <w:pPr>
              <w:rPr>
                <w:rFonts w:ascii="Arial" w:hAnsi="Arial" w:cs="Arial"/>
                <w:sz w:val="20"/>
                <w:szCs w:val="20"/>
              </w:rPr>
            </w:pPr>
            <w:r w:rsidRPr="000B369D">
              <w:rPr>
                <w:rFonts w:ascii="Arial" w:hAnsi="Arial" w:cs="Arial"/>
                <w:sz w:val="20"/>
                <w:szCs w:val="20"/>
              </w:rPr>
              <w:br/>
              <w:t>G1: 63.6 ± 8.2</w:t>
            </w:r>
            <w:r w:rsidRPr="000B369D">
              <w:rPr>
                <w:rFonts w:ascii="Arial" w:hAnsi="Arial" w:cs="Arial"/>
                <w:sz w:val="20"/>
                <w:szCs w:val="20"/>
              </w:rPr>
              <w:br/>
              <w:t>G2: 66.5 ± 8.1</w:t>
            </w:r>
          </w:p>
        </w:tc>
        <w:tc>
          <w:tcPr>
            <w:tcW w:w="871" w:type="dxa"/>
          </w:tcPr>
          <w:p w14:paraId="6F3E437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28 W 15 M</w:t>
            </w:r>
          </w:p>
        </w:tc>
        <w:tc>
          <w:tcPr>
            <w:tcW w:w="1813" w:type="dxa"/>
          </w:tcPr>
          <w:p w14:paraId="42AFF6B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Pain </w:t>
            </w:r>
          </w:p>
        </w:tc>
        <w:tc>
          <w:tcPr>
            <w:tcW w:w="2517" w:type="dxa"/>
          </w:tcPr>
          <w:p w14:paraId="739992E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Institut de Recherche Pierre Fabre provided financial and material support.</w:t>
            </w:r>
          </w:p>
        </w:tc>
      </w:tr>
      <w:tr w:rsidR="00582B19" w:rsidRPr="000B369D" w14:paraId="47A63582" w14:textId="77777777" w:rsidTr="008C4C2C">
        <w:tc>
          <w:tcPr>
            <w:tcW w:w="1342" w:type="dxa"/>
          </w:tcPr>
          <w:p w14:paraId="08F11F4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lastRenderedPageBreak/>
              <w:t>Ravaud P, 1999</w:t>
            </w:r>
          </w:p>
        </w:tc>
        <w:tc>
          <w:tcPr>
            <w:tcW w:w="1131" w:type="dxa"/>
          </w:tcPr>
          <w:p w14:paraId="2549C68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4 groups</w:t>
            </w:r>
          </w:p>
        </w:tc>
        <w:tc>
          <w:tcPr>
            <w:tcW w:w="1919" w:type="dxa"/>
          </w:tcPr>
          <w:p w14:paraId="1A52EE4F"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Cortivazol</w:t>
            </w:r>
          </w:p>
          <w:p w14:paraId="7A8D136E"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112F4EC9"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A single IA injection</w:t>
            </w:r>
          </w:p>
        </w:tc>
        <w:tc>
          <w:tcPr>
            <w:tcW w:w="1337" w:type="dxa"/>
          </w:tcPr>
          <w:p w14:paraId="5EEE372E"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98</w:t>
            </w:r>
          </w:p>
          <w:p w14:paraId="73C7C875" w14:textId="77777777" w:rsidR="00582B19" w:rsidRPr="000B369D" w:rsidRDefault="00582B19" w:rsidP="00111BE5">
            <w:pPr>
              <w:rPr>
                <w:rFonts w:ascii="Arial" w:hAnsi="Arial" w:cs="Arial"/>
                <w:color w:val="000000"/>
                <w:sz w:val="20"/>
                <w:szCs w:val="20"/>
                <w:lang w:val="en-GB"/>
              </w:rPr>
            </w:pPr>
          </w:p>
          <w:p w14:paraId="52622E28"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 xml:space="preserve">G1: 25 </w:t>
            </w:r>
          </w:p>
          <w:p w14:paraId="1B91A5E6"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28</w:t>
            </w:r>
          </w:p>
          <w:p w14:paraId="3D963B93"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 xml:space="preserve">G3: 21(not used in analysis) </w:t>
            </w:r>
          </w:p>
          <w:p w14:paraId="47785A22"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G4: 24(not used in analysis)</w:t>
            </w:r>
          </w:p>
        </w:tc>
        <w:tc>
          <w:tcPr>
            <w:tcW w:w="1619" w:type="dxa"/>
          </w:tcPr>
          <w:p w14:paraId="6F269B1F"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67 ± 12</w:t>
            </w:r>
          </w:p>
          <w:p w14:paraId="3719ED1F"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 xml:space="preserve">G2: 63 ± 11 </w:t>
            </w:r>
          </w:p>
          <w:p w14:paraId="78AA97A6"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G3: 65 ± 8 (not used in the analysis)</w:t>
            </w:r>
          </w:p>
          <w:p w14:paraId="4388AFE5"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G4: 67 ± 11 (not used in the analysis)</w:t>
            </w:r>
          </w:p>
        </w:tc>
        <w:tc>
          <w:tcPr>
            <w:tcW w:w="871" w:type="dxa"/>
          </w:tcPr>
          <w:p w14:paraId="6DD0AFF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66 W</w:t>
            </w:r>
          </w:p>
          <w:p w14:paraId="79FAA2E3" w14:textId="77777777" w:rsidR="00582B19" w:rsidRPr="000B369D" w:rsidRDefault="00582B19" w:rsidP="00111BE5">
            <w:pPr>
              <w:rPr>
                <w:rFonts w:ascii="Arial" w:hAnsi="Arial" w:cs="Arial"/>
                <w:sz w:val="20"/>
                <w:szCs w:val="20"/>
              </w:rPr>
            </w:pPr>
            <w:r w:rsidRPr="000B369D">
              <w:rPr>
                <w:rFonts w:ascii="Arial" w:hAnsi="Arial" w:cs="Arial"/>
                <w:sz w:val="20"/>
                <w:szCs w:val="20"/>
              </w:rPr>
              <w:t>32 M</w:t>
            </w:r>
          </w:p>
        </w:tc>
        <w:tc>
          <w:tcPr>
            <w:tcW w:w="1813" w:type="dxa"/>
          </w:tcPr>
          <w:p w14:paraId="1F47E5D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p>
        </w:tc>
        <w:tc>
          <w:tcPr>
            <w:tcW w:w="2517" w:type="dxa"/>
          </w:tcPr>
          <w:p w14:paraId="244A0B7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Supported in part by grants from the Société Française de Rhumatologie and from the Direction de la Recherche Clinique (Assistance Publique—Hôpitaux de Paris).</w:t>
            </w:r>
          </w:p>
        </w:tc>
      </w:tr>
      <w:tr w:rsidR="00582B19" w:rsidRPr="00252F1D" w14:paraId="670CED15" w14:textId="77777777" w:rsidTr="008C4C2C">
        <w:tc>
          <w:tcPr>
            <w:tcW w:w="1342" w:type="dxa"/>
          </w:tcPr>
          <w:p w14:paraId="4E5FAA4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Raynauld JP, 2009</w:t>
            </w:r>
          </w:p>
        </w:tc>
        <w:tc>
          <w:tcPr>
            <w:tcW w:w="1131" w:type="dxa"/>
          </w:tcPr>
          <w:p w14:paraId="4714F8E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0A9E9BB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Naproxen</w:t>
            </w:r>
          </w:p>
          <w:p w14:paraId="01C808A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Licofelone</w:t>
            </w:r>
          </w:p>
        </w:tc>
        <w:tc>
          <w:tcPr>
            <w:tcW w:w="1445" w:type="dxa"/>
          </w:tcPr>
          <w:p w14:paraId="7201CF3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104 weeks</w:t>
            </w:r>
          </w:p>
        </w:tc>
        <w:tc>
          <w:tcPr>
            <w:tcW w:w="1337" w:type="dxa"/>
          </w:tcPr>
          <w:p w14:paraId="4A76EF7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301</w:t>
            </w:r>
          </w:p>
          <w:p w14:paraId="4FCE40B0" w14:textId="77777777" w:rsidR="00582B19" w:rsidRPr="000B369D" w:rsidRDefault="00582B19" w:rsidP="00111BE5">
            <w:pPr>
              <w:rPr>
                <w:rFonts w:ascii="Arial" w:hAnsi="Arial" w:cs="Arial"/>
                <w:color w:val="000000"/>
                <w:sz w:val="20"/>
                <w:szCs w:val="20"/>
              </w:rPr>
            </w:pPr>
          </w:p>
          <w:p w14:paraId="36947535"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154</w:t>
            </w:r>
          </w:p>
          <w:p w14:paraId="786140D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G2: 147</w:t>
            </w:r>
          </w:p>
        </w:tc>
        <w:tc>
          <w:tcPr>
            <w:tcW w:w="1619" w:type="dxa"/>
          </w:tcPr>
          <w:p w14:paraId="4601D9C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60.3± 8.1 (ITT)</w:t>
            </w:r>
          </w:p>
          <w:p w14:paraId="500CF81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 G2: 60.4 ± 8.6 (ITT)</w:t>
            </w:r>
          </w:p>
        </w:tc>
        <w:tc>
          <w:tcPr>
            <w:tcW w:w="871" w:type="dxa"/>
          </w:tcPr>
          <w:p w14:paraId="1C9779A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 xml:space="preserve">240 W </w:t>
            </w:r>
          </w:p>
          <w:p w14:paraId="7A22E4F0" w14:textId="77777777" w:rsidR="00582B19" w:rsidRPr="000B369D" w:rsidRDefault="00582B19" w:rsidP="00111BE5">
            <w:pPr>
              <w:rPr>
                <w:rFonts w:ascii="Arial" w:hAnsi="Arial" w:cs="Arial"/>
                <w:sz w:val="20"/>
                <w:szCs w:val="20"/>
              </w:rPr>
            </w:pPr>
            <w:r w:rsidRPr="000B369D">
              <w:rPr>
                <w:rFonts w:ascii="Arial" w:hAnsi="Arial" w:cs="Arial"/>
                <w:sz w:val="20"/>
                <w:szCs w:val="20"/>
              </w:rPr>
              <w:t>97 M</w:t>
            </w:r>
          </w:p>
        </w:tc>
        <w:tc>
          <w:tcPr>
            <w:tcW w:w="1813" w:type="dxa"/>
          </w:tcPr>
          <w:p w14:paraId="27B5D34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05765F6D"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Function</w:t>
            </w:r>
          </w:p>
          <w:p w14:paraId="293780E9" w14:textId="77777777" w:rsidR="00582B19" w:rsidRPr="000B369D" w:rsidRDefault="00582B19" w:rsidP="00111BE5">
            <w:pPr>
              <w:rPr>
                <w:rFonts w:ascii="Arial" w:hAnsi="Arial" w:cs="Arial"/>
                <w:sz w:val="20"/>
                <w:szCs w:val="20"/>
              </w:rPr>
            </w:pPr>
          </w:p>
        </w:tc>
        <w:tc>
          <w:tcPr>
            <w:tcW w:w="2517" w:type="dxa"/>
          </w:tcPr>
          <w:p w14:paraId="515939D8"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Supported in part by grants from Merckle GmbH (Ulm, Germany) and ArthroLab Inc (Montreal, Quebec, Canada).</w:t>
            </w:r>
          </w:p>
        </w:tc>
      </w:tr>
      <w:tr w:rsidR="00582B19" w:rsidRPr="000B369D" w14:paraId="3E7433BD" w14:textId="77777777" w:rsidTr="008C4C2C">
        <w:tc>
          <w:tcPr>
            <w:tcW w:w="1342" w:type="dxa"/>
          </w:tcPr>
          <w:p w14:paraId="75F021C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Shimizu M, 2010</w:t>
            </w:r>
          </w:p>
        </w:tc>
        <w:tc>
          <w:tcPr>
            <w:tcW w:w="1131" w:type="dxa"/>
          </w:tcPr>
          <w:p w14:paraId="184BF53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350BA5B0"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1AE00ED5"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 xml:space="preserve">G2: IA Dexamethasone </w:t>
            </w:r>
          </w:p>
        </w:tc>
        <w:tc>
          <w:tcPr>
            <w:tcW w:w="1445" w:type="dxa"/>
          </w:tcPr>
          <w:p w14:paraId="20A5B635"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5 injections in 5 weeks</w:t>
            </w:r>
            <w:r w:rsidRPr="000B369D">
              <w:rPr>
                <w:rFonts w:ascii="Arial" w:hAnsi="Arial" w:cs="Arial"/>
                <w:color w:val="000000"/>
                <w:sz w:val="20"/>
                <w:szCs w:val="20"/>
                <w:lang w:val="en-GB"/>
              </w:rPr>
              <w:br/>
              <w:t>G2: 1 injection (+1 additional injection if needed)</w:t>
            </w:r>
          </w:p>
        </w:tc>
        <w:tc>
          <w:tcPr>
            <w:tcW w:w="1337" w:type="dxa"/>
          </w:tcPr>
          <w:p w14:paraId="104BC4E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61</w:t>
            </w:r>
          </w:p>
          <w:p w14:paraId="45CDADDB" w14:textId="77777777" w:rsidR="00582B19" w:rsidRPr="000B369D" w:rsidRDefault="00582B19" w:rsidP="00111BE5">
            <w:pPr>
              <w:rPr>
                <w:rFonts w:ascii="Arial" w:hAnsi="Arial" w:cs="Arial"/>
                <w:color w:val="000000"/>
                <w:sz w:val="20"/>
                <w:szCs w:val="20"/>
              </w:rPr>
            </w:pPr>
          </w:p>
          <w:p w14:paraId="7E937F8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32</w:t>
            </w:r>
            <w:r w:rsidRPr="000B369D">
              <w:rPr>
                <w:rFonts w:ascii="Arial" w:hAnsi="Arial" w:cs="Arial"/>
                <w:color w:val="000000"/>
                <w:sz w:val="20"/>
                <w:szCs w:val="20"/>
              </w:rPr>
              <w:br/>
              <w:t>G2: 29</w:t>
            </w:r>
          </w:p>
        </w:tc>
        <w:tc>
          <w:tcPr>
            <w:tcW w:w="1619" w:type="dxa"/>
          </w:tcPr>
          <w:p w14:paraId="7B90372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75.9 ± 5.9</w:t>
            </w:r>
            <w:r w:rsidRPr="000B369D">
              <w:rPr>
                <w:rFonts w:ascii="Arial" w:hAnsi="Arial" w:cs="Arial"/>
                <w:color w:val="000000"/>
                <w:sz w:val="20"/>
                <w:szCs w:val="20"/>
              </w:rPr>
              <w:br/>
              <w:t>G2: 75.3 ± 4.9</w:t>
            </w:r>
          </w:p>
        </w:tc>
        <w:tc>
          <w:tcPr>
            <w:tcW w:w="871" w:type="dxa"/>
          </w:tcPr>
          <w:p w14:paraId="669FEC2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38 W</w:t>
            </w:r>
          </w:p>
          <w:p w14:paraId="2033045C" w14:textId="77777777" w:rsidR="00582B19" w:rsidRPr="000B369D" w:rsidRDefault="00582B19" w:rsidP="00111BE5">
            <w:pPr>
              <w:rPr>
                <w:rFonts w:ascii="Arial" w:hAnsi="Arial" w:cs="Arial"/>
                <w:sz w:val="20"/>
                <w:szCs w:val="20"/>
              </w:rPr>
            </w:pPr>
            <w:r w:rsidRPr="000B369D">
              <w:rPr>
                <w:rFonts w:ascii="Arial" w:hAnsi="Arial" w:cs="Arial"/>
                <w:sz w:val="20"/>
                <w:szCs w:val="20"/>
              </w:rPr>
              <w:t>13 M</w:t>
            </w:r>
          </w:p>
        </w:tc>
        <w:tc>
          <w:tcPr>
            <w:tcW w:w="1813" w:type="dxa"/>
          </w:tcPr>
          <w:p w14:paraId="603B0AB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Pain </w:t>
            </w:r>
          </w:p>
        </w:tc>
        <w:tc>
          <w:tcPr>
            <w:tcW w:w="2517" w:type="dxa"/>
          </w:tcPr>
          <w:p w14:paraId="54182C9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None</w:t>
            </w:r>
          </w:p>
        </w:tc>
      </w:tr>
      <w:tr w:rsidR="00582B19" w:rsidRPr="000B369D" w14:paraId="4682E1F3" w14:textId="77777777" w:rsidTr="008C4C2C">
        <w:tc>
          <w:tcPr>
            <w:tcW w:w="1342" w:type="dxa"/>
          </w:tcPr>
          <w:p w14:paraId="0AF1B60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Siddharth R, 2017</w:t>
            </w:r>
          </w:p>
        </w:tc>
        <w:tc>
          <w:tcPr>
            <w:tcW w:w="1131" w:type="dxa"/>
          </w:tcPr>
          <w:p w14:paraId="75E1C2C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single blind, 2 groups</w:t>
            </w:r>
          </w:p>
        </w:tc>
        <w:tc>
          <w:tcPr>
            <w:tcW w:w="1919" w:type="dxa"/>
          </w:tcPr>
          <w:p w14:paraId="70FA0CA7"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43C46412"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Methylprednisolone</w:t>
            </w:r>
          </w:p>
        </w:tc>
        <w:tc>
          <w:tcPr>
            <w:tcW w:w="1445" w:type="dxa"/>
          </w:tcPr>
          <w:p w14:paraId="603FD4B0"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A single IA injection</w:t>
            </w:r>
          </w:p>
        </w:tc>
        <w:tc>
          <w:tcPr>
            <w:tcW w:w="1337" w:type="dxa"/>
          </w:tcPr>
          <w:p w14:paraId="0BCF4F17"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150</w:t>
            </w:r>
          </w:p>
          <w:p w14:paraId="2B19CF18" w14:textId="77777777" w:rsidR="00582B19" w:rsidRPr="000B369D" w:rsidRDefault="00582B19" w:rsidP="00111BE5">
            <w:pPr>
              <w:rPr>
                <w:rFonts w:ascii="Arial" w:hAnsi="Arial" w:cs="Arial"/>
                <w:color w:val="000000"/>
                <w:sz w:val="20"/>
                <w:szCs w:val="20"/>
              </w:rPr>
            </w:pPr>
          </w:p>
          <w:p w14:paraId="182A85D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75</w:t>
            </w:r>
            <w:r w:rsidRPr="000B369D">
              <w:rPr>
                <w:rFonts w:ascii="Arial" w:hAnsi="Arial" w:cs="Arial"/>
                <w:color w:val="000000"/>
                <w:sz w:val="20"/>
                <w:szCs w:val="20"/>
              </w:rPr>
              <w:br/>
              <w:t>G2: 75</w:t>
            </w:r>
          </w:p>
        </w:tc>
        <w:tc>
          <w:tcPr>
            <w:tcW w:w="1619" w:type="dxa"/>
          </w:tcPr>
          <w:p w14:paraId="325E475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71.1 ± 1.4</w:t>
            </w:r>
            <w:r w:rsidRPr="000B369D">
              <w:rPr>
                <w:rFonts w:ascii="Arial" w:hAnsi="Arial" w:cs="Arial"/>
                <w:color w:val="000000"/>
                <w:sz w:val="20"/>
                <w:szCs w:val="20"/>
              </w:rPr>
              <w:br/>
              <w:t>G2: 69.5 ± 1.7</w:t>
            </w:r>
          </w:p>
        </w:tc>
        <w:tc>
          <w:tcPr>
            <w:tcW w:w="871" w:type="dxa"/>
          </w:tcPr>
          <w:p w14:paraId="65E3256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82 W</w:t>
            </w:r>
          </w:p>
          <w:p w14:paraId="561EA99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68 M</w:t>
            </w:r>
          </w:p>
        </w:tc>
        <w:tc>
          <w:tcPr>
            <w:tcW w:w="1813" w:type="dxa"/>
          </w:tcPr>
          <w:p w14:paraId="715E245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p>
        </w:tc>
        <w:tc>
          <w:tcPr>
            <w:tcW w:w="2517" w:type="dxa"/>
          </w:tcPr>
          <w:p w14:paraId="43A5B0F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None</w:t>
            </w:r>
          </w:p>
        </w:tc>
      </w:tr>
      <w:tr w:rsidR="00582B19" w:rsidRPr="00252F1D" w14:paraId="2714DE4B" w14:textId="77777777" w:rsidTr="008C4C2C">
        <w:tc>
          <w:tcPr>
            <w:tcW w:w="1342" w:type="dxa"/>
          </w:tcPr>
          <w:p w14:paraId="2623088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Tammachote N, 2016</w:t>
            </w:r>
          </w:p>
        </w:tc>
        <w:tc>
          <w:tcPr>
            <w:tcW w:w="1131" w:type="dxa"/>
          </w:tcPr>
          <w:p w14:paraId="290B40C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2FC0869B"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07F8B544"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 xml:space="preserve">G2: IA Triamcinolone </w:t>
            </w:r>
          </w:p>
        </w:tc>
        <w:tc>
          <w:tcPr>
            <w:tcW w:w="1445" w:type="dxa"/>
          </w:tcPr>
          <w:p w14:paraId="6B4E93B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A single dose</w:t>
            </w:r>
          </w:p>
        </w:tc>
        <w:tc>
          <w:tcPr>
            <w:tcW w:w="1337" w:type="dxa"/>
          </w:tcPr>
          <w:p w14:paraId="4085E58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110</w:t>
            </w:r>
          </w:p>
          <w:p w14:paraId="6BC2D38A" w14:textId="77777777" w:rsidR="00582B19" w:rsidRPr="000B369D" w:rsidRDefault="00582B19" w:rsidP="00111BE5">
            <w:pPr>
              <w:rPr>
                <w:rFonts w:ascii="Arial" w:hAnsi="Arial" w:cs="Arial"/>
                <w:color w:val="000000"/>
                <w:sz w:val="20"/>
                <w:szCs w:val="20"/>
              </w:rPr>
            </w:pPr>
          </w:p>
          <w:p w14:paraId="2C3A462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55</w:t>
            </w:r>
            <w:r w:rsidRPr="000B369D">
              <w:rPr>
                <w:rFonts w:ascii="Arial" w:hAnsi="Arial" w:cs="Arial"/>
                <w:color w:val="000000"/>
                <w:sz w:val="20"/>
                <w:szCs w:val="20"/>
              </w:rPr>
              <w:br/>
              <w:t>G2: 55</w:t>
            </w:r>
          </w:p>
        </w:tc>
        <w:tc>
          <w:tcPr>
            <w:tcW w:w="1619" w:type="dxa"/>
          </w:tcPr>
          <w:p w14:paraId="52A1102B"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G1: 62.6 (range, 46 to 77 years)</w:t>
            </w:r>
            <w:r w:rsidRPr="000B369D">
              <w:rPr>
                <w:rFonts w:ascii="Arial" w:hAnsi="Arial" w:cs="Arial"/>
                <w:color w:val="000000"/>
                <w:sz w:val="20"/>
                <w:szCs w:val="20"/>
                <w:lang w:val="en-GB"/>
              </w:rPr>
              <w:br/>
              <w:t>G2: 61.0 (range, 47 to 81 years)</w:t>
            </w:r>
          </w:p>
        </w:tc>
        <w:tc>
          <w:tcPr>
            <w:tcW w:w="871" w:type="dxa"/>
          </w:tcPr>
          <w:p w14:paraId="07F61399"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79 W</w:t>
            </w:r>
          </w:p>
          <w:p w14:paraId="065A7D1F" w14:textId="77777777" w:rsidR="00582B19" w:rsidRPr="000B369D" w:rsidRDefault="00582B19" w:rsidP="00111BE5">
            <w:pPr>
              <w:rPr>
                <w:rFonts w:ascii="Arial" w:hAnsi="Arial" w:cs="Arial"/>
                <w:sz w:val="20"/>
                <w:szCs w:val="20"/>
              </w:rPr>
            </w:pPr>
            <w:r w:rsidRPr="000B369D">
              <w:rPr>
                <w:rFonts w:ascii="Arial" w:hAnsi="Arial" w:cs="Arial"/>
                <w:sz w:val="20"/>
                <w:szCs w:val="20"/>
              </w:rPr>
              <w:t>20 M</w:t>
            </w:r>
          </w:p>
        </w:tc>
        <w:tc>
          <w:tcPr>
            <w:tcW w:w="1813" w:type="dxa"/>
          </w:tcPr>
          <w:p w14:paraId="587ECC0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p>
        </w:tc>
        <w:tc>
          <w:tcPr>
            <w:tcW w:w="2517" w:type="dxa"/>
          </w:tcPr>
          <w:p w14:paraId="13650F9E"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Internal grant from Thammasat University for this study, but no external funding from a third party was received for</w:t>
            </w:r>
            <w:r w:rsidRPr="000B369D">
              <w:rPr>
                <w:rFonts w:ascii="Arial" w:hAnsi="Arial" w:cs="Arial"/>
                <w:color w:val="000000"/>
                <w:sz w:val="20"/>
                <w:szCs w:val="20"/>
                <w:lang w:val="en-GB"/>
              </w:rPr>
              <w:br/>
              <w:t>this study.</w:t>
            </w:r>
          </w:p>
        </w:tc>
      </w:tr>
      <w:tr w:rsidR="00582B19" w:rsidRPr="000B369D" w14:paraId="1193CD8D" w14:textId="77777777" w:rsidTr="008C4C2C">
        <w:tc>
          <w:tcPr>
            <w:tcW w:w="1342" w:type="dxa"/>
          </w:tcPr>
          <w:p w14:paraId="66A0981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F. Tascıoglu Æ, 2003</w:t>
            </w:r>
          </w:p>
        </w:tc>
        <w:tc>
          <w:tcPr>
            <w:tcW w:w="1131" w:type="dxa"/>
          </w:tcPr>
          <w:p w14:paraId="39F6C68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open-label, 2 groups</w:t>
            </w:r>
          </w:p>
        </w:tc>
        <w:tc>
          <w:tcPr>
            <w:tcW w:w="1919" w:type="dxa"/>
          </w:tcPr>
          <w:p w14:paraId="4B2BEB29"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6EE958DC"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 xml:space="preserve">G2: IA Methylprednisolone </w:t>
            </w:r>
          </w:p>
        </w:tc>
        <w:tc>
          <w:tcPr>
            <w:tcW w:w="1445" w:type="dxa"/>
          </w:tcPr>
          <w:p w14:paraId="0902EF6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Once weekly for 3 weeks.</w:t>
            </w:r>
          </w:p>
        </w:tc>
        <w:tc>
          <w:tcPr>
            <w:tcW w:w="1337" w:type="dxa"/>
          </w:tcPr>
          <w:p w14:paraId="50A60EA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60</w:t>
            </w:r>
          </w:p>
          <w:p w14:paraId="0D8D72F7" w14:textId="77777777" w:rsidR="00582B19" w:rsidRPr="000B369D" w:rsidRDefault="00582B19" w:rsidP="00111BE5">
            <w:pPr>
              <w:rPr>
                <w:rFonts w:ascii="Arial" w:hAnsi="Arial" w:cs="Arial"/>
                <w:color w:val="000000"/>
                <w:sz w:val="20"/>
                <w:szCs w:val="20"/>
              </w:rPr>
            </w:pPr>
          </w:p>
          <w:p w14:paraId="0680341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30</w:t>
            </w:r>
            <w:r w:rsidRPr="000B369D">
              <w:rPr>
                <w:rFonts w:ascii="Arial" w:hAnsi="Arial" w:cs="Arial"/>
                <w:color w:val="000000"/>
                <w:sz w:val="20"/>
                <w:szCs w:val="20"/>
              </w:rPr>
              <w:br/>
              <w:t>G2: 30</w:t>
            </w:r>
          </w:p>
        </w:tc>
        <w:tc>
          <w:tcPr>
            <w:tcW w:w="1619" w:type="dxa"/>
          </w:tcPr>
          <w:p w14:paraId="7F5B1F5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57.40 ± 6.54</w:t>
            </w:r>
            <w:r w:rsidRPr="000B369D">
              <w:rPr>
                <w:rFonts w:ascii="Arial" w:hAnsi="Arial" w:cs="Arial"/>
                <w:color w:val="000000"/>
                <w:sz w:val="20"/>
                <w:szCs w:val="20"/>
              </w:rPr>
              <w:br/>
              <w:t>G2: 60.10 ± 8.65</w:t>
            </w:r>
          </w:p>
        </w:tc>
        <w:tc>
          <w:tcPr>
            <w:tcW w:w="871" w:type="dxa"/>
          </w:tcPr>
          <w:p w14:paraId="65CDFCE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60 W</w:t>
            </w:r>
          </w:p>
          <w:p w14:paraId="2A6D3CCF" w14:textId="77777777" w:rsidR="00582B19" w:rsidRPr="000B369D" w:rsidRDefault="00582B19" w:rsidP="00111BE5">
            <w:pPr>
              <w:rPr>
                <w:rFonts w:ascii="Arial" w:hAnsi="Arial" w:cs="Arial"/>
                <w:sz w:val="20"/>
                <w:szCs w:val="20"/>
              </w:rPr>
            </w:pPr>
            <w:r w:rsidRPr="000B369D">
              <w:rPr>
                <w:rFonts w:ascii="Arial" w:hAnsi="Arial" w:cs="Arial"/>
                <w:sz w:val="20"/>
                <w:szCs w:val="20"/>
              </w:rPr>
              <w:t>0 M</w:t>
            </w:r>
          </w:p>
        </w:tc>
        <w:tc>
          <w:tcPr>
            <w:tcW w:w="1813" w:type="dxa"/>
          </w:tcPr>
          <w:p w14:paraId="3BC29ED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 xml:space="preserve">Function </w:t>
            </w:r>
          </w:p>
        </w:tc>
        <w:tc>
          <w:tcPr>
            <w:tcW w:w="2517" w:type="dxa"/>
          </w:tcPr>
          <w:p w14:paraId="3453E56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252F1D" w14:paraId="1358EAB9" w14:textId="77777777" w:rsidTr="008C4C2C">
        <w:tc>
          <w:tcPr>
            <w:tcW w:w="1342" w:type="dxa"/>
          </w:tcPr>
          <w:p w14:paraId="6E4151BE" w14:textId="77777777" w:rsidR="00582B19" w:rsidRPr="000B369D" w:rsidRDefault="004E4406" w:rsidP="00111BE5">
            <w:pPr>
              <w:rPr>
                <w:rFonts w:ascii="Arial" w:hAnsi="Arial" w:cs="Arial"/>
                <w:sz w:val="20"/>
                <w:szCs w:val="20"/>
              </w:rPr>
            </w:pPr>
            <w:hyperlink r:id="rId19" w:history="1">
              <w:r w:rsidR="00582B19" w:rsidRPr="000B369D">
                <w:rPr>
                  <w:rStyle w:val="Lienhypertexte"/>
                  <w:rFonts w:ascii="Arial" w:hAnsi="Arial" w:cs="Arial"/>
                  <w:sz w:val="20"/>
                  <w:szCs w:val="20"/>
                </w:rPr>
                <w:t>Uebelhart D</w:t>
              </w:r>
            </w:hyperlink>
            <w:r w:rsidR="00582B19" w:rsidRPr="000B369D">
              <w:rPr>
                <w:rStyle w:val="Lienhypertexte"/>
                <w:rFonts w:ascii="Arial" w:hAnsi="Arial" w:cs="Arial"/>
                <w:sz w:val="20"/>
                <w:szCs w:val="20"/>
              </w:rPr>
              <w:t>, 1998</w:t>
            </w:r>
          </w:p>
        </w:tc>
        <w:tc>
          <w:tcPr>
            <w:tcW w:w="1131" w:type="dxa"/>
          </w:tcPr>
          <w:p w14:paraId="5AE9D6B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2 groups</w:t>
            </w:r>
          </w:p>
        </w:tc>
        <w:tc>
          <w:tcPr>
            <w:tcW w:w="1919" w:type="dxa"/>
          </w:tcPr>
          <w:p w14:paraId="57DF0B83"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prescription grade Chondroitin Sulfate</w:t>
            </w:r>
          </w:p>
          <w:p w14:paraId="22C9830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27B530C3"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52 weeks</w:t>
            </w:r>
          </w:p>
        </w:tc>
        <w:tc>
          <w:tcPr>
            <w:tcW w:w="1337" w:type="dxa"/>
          </w:tcPr>
          <w:p w14:paraId="6D1C74A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46</w:t>
            </w:r>
          </w:p>
          <w:p w14:paraId="77B49710" w14:textId="77777777" w:rsidR="00582B19" w:rsidRPr="000B369D" w:rsidRDefault="00582B19" w:rsidP="00111BE5">
            <w:pPr>
              <w:rPr>
                <w:rFonts w:ascii="Arial" w:hAnsi="Arial" w:cs="Arial"/>
                <w:color w:val="000000"/>
                <w:sz w:val="20"/>
                <w:szCs w:val="20"/>
              </w:rPr>
            </w:pPr>
          </w:p>
          <w:p w14:paraId="6614440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23</w:t>
            </w:r>
            <w:r w:rsidRPr="000B369D">
              <w:rPr>
                <w:rFonts w:ascii="Arial" w:hAnsi="Arial" w:cs="Arial"/>
                <w:color w:val="000000"/>
                <w:sz w:val="20"/>
                <w:szCs w:val="20"/>
              </w:rPr>
              <w:br/>
              <w:t>G2: 23</w:t>
            </w:r>
          </w:p>
        </w:tc>
        <w:tc>
          <w:tcPr>
            <w:tcW w:w="1619" w:type="dxa"/>
          </w:tcPr>
          <w:p w14:paraId="3282030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60 + 13</w:t>
            </w:r>
            <w:r w:rsidRPr="000B369D">
              <w:rPr>
                <w:rFonts w:ascii="Arial" w:hAnsi="Arial" w:cs="Arial"/>
                <w:color w:val="000000"/>
                <w:sz w:val="20"/>
                <w:szCs w:val="20"/>
              </w:rPr>
              <w:br/>
              <w:t xml:space="preserve">G2: 57 + 11 </w:t>
            </w:r>
          </w:p>
        </w:tc>
        <w:tc>
          <w:tcPr>
            <w:tcW w:w="871" w:type="dxa"/>
          </w:tcPr>
          <w:p w14:paraId="40BAF883"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22 W</w:t>
            </w:r>
          </w:p>
          <w:p w14:paraId="5FDC92AE" w14:textId="77777777" w:rsidR="00582B19" w:rsidRPr="000B369D" w:rsidRDefault="00582B19" w:rsidP="00111BE5">
            <w:pPr>
              <w:rPr>
                <w:rFonts w:ascii="Arial" w:hAnsi="Arial" w:cs="Arial"/>
                <w:sz w:val="20"/>
                <w:szCs w:val="20"/>
              </w:rPr>
            </w:pPr>
            <w:r w:rsidRPr="000B369D">
              <w:rPr>
                <w:rFonts w:ascii="Arial" w:hAnsi="Arial" w:cs="Arial"/>
                <w:sz w:val="20"/>
                <w:szCs w:val="20"/>
              </w:rPr>
              <w:t>24 M</w:t>
            </w:r>
          </w:p>
        </w:tc>
        <w:tc>
          <w:tcPr>
            <w:tcW w:w="1813" w:type="dxa"/>
          </w:tcPr>
          <w:p w14:paraId="2BF3F5E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492E6156"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His work was</w:t>
            </w:r>
            <w:r w:rsidRPr="000B369D">
              <w:rPr>
                <w:rFonts w:ascii="Arial" w:hAnsi="Arial" w:cs="Arial"/>
                <w:color w:val="000000"/>
                <w:sz w:val="20"/>
                <w:szCs w:val="20"/>
                <w:lang w:val="en-GB"/>
              </w:rPr>
              <w:br/>
              <w:t xml:space="preserve">supported by a grant from IBSA, Lugano, Switzerland. </w:t>
            </w:r>
          </w:p>
        </w:tc>
      </w:tr>
      <w:tr w:rsidR="00582B19" w:rsidRPr="000B369D" w14:paraId="565528ED" w14:textId="77777777" w:rsidTr="008C4C2C">
        <w:tc>
          <w:tcPr>
            <w:tcW w:w="1342" w:type="dxa"/>
          </w:tcPr>
          <w:p w14:paraId="553183D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André Luiz Siqueira Campos, 2017</w:t>
            </w:r>
          </w:p>
        </w:tc>
        <w:tc>
          <w:tcPr>
            <w:tcW w:w="1131" w:type="dxa"/>
          </w:tcPr>
          <w:p w14:paraId="679A9CC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3 groups</w:t>
            </w:r>
          </w:p>
        </w:tc>
        <w:tc>
          <w:tcPr>
            <w:tcW w:w="1919" w:type="dxa"/>
          </w:tcPr>
          <w:p w14:paraId="317D4C72"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Triamcinolone hexatonide</w:t>
            </w:r>
          </w:p>
          <w:p w14:paraId="2EEA7633"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Hyaluronic acid</w:t>
            </w:r>
          </w:p>
          <w:p w14:paraId="73C5529F"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G3: IA Hyaluronic acid + Triamcinolone</w:t>
            </w:r>
          </w:p>
        </w:tc>
        <w:tc>
          <w:tcPr>
            <w:tcW w:w="1445" w:type="dxa"/>
          </w:tcPr>
          <w:p w14:paraId="73FFA4A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One injection</w:t>
            </w:r>
          </w:p>
        </w:tc>
        <w:tc>
          <w:tcPr>
            <w:tcW w:w="1337" w:type="dxa"/>
          </w:tcPr>
          <w:p w14:paraId="315BB2E5"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153 knees</w:t>
            </w:r>
          </w:p>
          <w:p w14:paraId="25EABF27" w14:textId="77777777" w:rsidR="00582B19" w:rsidRPr="000B369D" w:rsidRDefault="00582B19" w:rsidP="00111BE5">
            <w:pPr>
              <w:rPr>
                <w:rFonts w:ascii="Arial" w:hAnsi="Arial" w:cs="Arial"/>
                <w:color w:val="000000"/>
                <w:sz w:val="20"/>
                <w:szCs w:val="20"/>
                <w:lang w:val="en-GB"/>
              </w:rPr>
            </w:pPr>
          </w:p>
          <w:p w14:paraId="39B40B58"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G1: 53 knees</w:t>
            </w:r>
            <w:r w:rsidRPr="000B369D">
              <w:rPr>
                <w:rFonts w:ascii="Arial" w:hAnsi="Arial" w:cs="Arial"/>
                <w:color w:val="000000"/>
                <w:sz w:val="20"/>
                <w:szCs w:val="20"/>
                <w:lang w:val="en-GB"/>
              </w:rPr>
              <w:br/>
              <w:t>G2: 50 knees</w:t>
            </w:r>
            <w:r w:rsidRPr="000B369D">
              <w:rPr>
                <w:rFonts w:ascii="Arial" w:hAnsi="Arial" w:cs="Arial"/>
                <w:color w:val="000000"/>
                <w:sz w:val="20"/>
                <w:szCs w:val="20"/>
                <w:lang w:val="en-GB"/>
              </w:rPr>
              <w:br/>
              <w:t>G3: 50 knees</w:t>
            </w:r>
          </w:p>
        </w:tc>
        <w:tc>
          <w:tcPr>
            <w:tcW w:w="1619" w:type="dxa"/>
          </w:tcPr>
          <w:p w14:paraId="4B23F01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c>
          <w:tcPr>
            <w:tcW w:w="871" w:type="dxa"/>
          </w:tcPr>
          <w:p w14:paraId="3CBE298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88 W</w:t>
            </w:r>
            <w:r w:rsidRPr="000B369D">
              <w:rPr>
                <w:rFonts w:ascii="Arial" w:hAnsi="Arial" w:cs="Arial"/>
                <w:color w:val="000000"/>
                <w:sz w:val="20"/>
                <w:szCs w:val="20"/>
              </w:rPr>
              <w:br/>
              <w:t>32 M</w:t>
            </w:r>
          </w:p>
        </w:tc>
        <w:tc>
          <w:tcPr>
            <w:tcW w:w="1813" w:type="dxa"/>
          </w:tcPr>
          <w:p w14:paraId="664CCA7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Function</w:t>
            </w:r>
          </w:p>
        </w:tc>
        <w:tc>
          <w:tcPr>
            <w:tcW w:w="2517" w:type="dxa"/>
          </w:tcPr>
          <w:p w14:paraId="2B00BCB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None</w:t>
            </w:r>
          </w:p>
        </w:tc>
      </w:tr>
      <w:tr w:rsidR="00582B19" w:rsidRPr="00252F1D" w14:paraId="2CEC4EB8" w14:textId="77777777" w:rsidTr="008C4C2C">
        <w:tc>
          <w:tcPr>
            <w:tcW w:w="1342" w:type="dxa"/>
          </w:tcPr>
          <w:p w14:paraId="1C0FE18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Clegg, 2006</w:t>
            </w:r>
          </w:p>
        </w:tc>
        <w:tc>
          <w:tcPr>
            <w:tcW w:w="1131" w:type="dxa"/>
          </w:tcPr>
          <w:p w14:paraId="284B617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5 groups</w:t>
            </w:r>
          </w:p>
        </w:tc>
        <w:tc>
          <w:tcPr>
            <w:tcW w:w="1919" w:type="dxa"/>
          </w:tcPr>
          <w:p w14:paraId="6EE7DEC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Glucosamine sulfate</w:t>
            </w:r>
          </w:p>
          <w:p w14:paraId="5059BD53"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Chondroitin sulfate</w:t>
            </w:r>
          </w:p>
          <w:p w14:paraId="1DC0F4F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G3: Glucosamine sulfate + Chondroitin sulfate</w:t>
            </w:r>
          </w:p>
          <w:p w14:paraId="0E81889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G4: Celecoxib</w:t>
            </w:r>
          </w:p>
          <w:p w14:paraId="1A619D77"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G5: Placebo</w:t>
            </w:r>
          </w:p>
        </w:tc>
        <w:tc>
          <w:tcPr>
            <w:tcW w:w="1445" w:type="dxa"/>
          </w:tcPr>
          <w:p w14:paraId="2DE28FD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24 weeks</w:t>
            </w:r>
          </w:p>
        </w:tc>
        <w:tc>
          <w:tcPr>
            <w:tcW w:w="1337" w:type="dxa"/>
          </w:tcPr>
          <w:p w14:paraId="67B4C1A8"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1583</w:t>
            </w:r>
          </w:p>
          <w:p w14:paraId="1C763DB9" w14:textId="77777777" w:rsidR="00582B19" w:rsidRPr="000B369D" w:rsidRDefault="00582B19" w:rsidP="00111BE5">
            <w:pPr>
              <w:rPr>
                <w:rFonts w:ascii="Arial" w:hAnsi="Arial" w:cs="Arial"/>
                <w:color w:val="000000"/>
                <w:sz w:val="20"/>
                <w:szCs w:val="20"/>
                <w:lang w:val="en-GB"/>
              </w:rPr>
            </w:pPr>
          </w:p>
          <w:p w14:paraId="7F2AA710"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G1: 317</w:t>
            </w:r>
            <w:r w:rsidRPr="000B369D">
              <w:rPr>
                <w:rFonts w:ascii="Arial" w:hAnsi="Arial" w:cs="Arial"/>
                <w:color w:val="000000"/>
                <w:sz w:val="20"/>
                <w:szCs w:val="20"/>
                <w:lang w:val="en-GB"/>
              </w:rPr>
              <w:br/>
              <w:t>G2: 318</w:t>
            </w:r>
            <w:r w:rsidRPr="000B369D">
              <w:rPr>
                <w:rFonts w:ascii="Arial" w:hAnsi="Arial" w:cs="Arial"/>
                <w:color w:val="000000"/>
                <w:sz w:val="20"/>
                <w:szCs w:val="20"/>
                <w:lang w:val="en-GB"/>
              </w:rPr>
              <w:br/>
              <w:t>G3: 317</w:t>
            </w:r>
            <w:r w:rsidRPr="000B369D">
              <w:rPr>
                <w:rFonts w:ascii="Arial" w:hAnsi="Arial" w:cs="Arial"/>
                <w:color w:val="000000"/>
                <w:sz w:val="20"/>
                <w:szCs w:val="20"/>
                <w:lang w:val="en-GB"/>
              </w:rPr>
              <w:br/>
              <w:t>G4: 318</w:t>
            </w:r>
            <w:r w:rsidRPr="000B369D">
              <w:rPr>
                <w:rFonts w:ascii="Arial" w:hAnsi="Arial" w:cs="Arial"/>
                <w:color w:val="000000"/>
                <w:sz w:val="20"/>
                <w:szCs w:val="20"/>
                <w:lang w:val="en-GB"/>
              </w:rPr>
              <w:br/>
              <w:t>G5: 313</w:t>
            </w:r>
          </w:p>
        </w:tc>
        <w:tc>
          <w:tcPr>
            <w:tcW w:w="1619" w:type="dxa"/>
          </w:tcPr>
          <w:p w14:paraId="22580E3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G1: 58.6 ± 10.2 </w:t>
            </w:r>
            <w:r w:rsidRPr="000B369D">
              <w:rPr>
                <w:rFonts w:ascii="Arial" w:hAnsi="Arial" w:cs="Arial"/>
                <w:color w:val="000000"/>
                <w:sz w:val="20"/>
                <w:szCs w:val="20"/>
              </w:rPr>
              <w:br/>
              <w:t xml:space="preserve">G2: 58.2 ± 10.0 </w:t>
            </w:r>
            <w:r w:rsidRPr="000B369D">
              <w:rPr>
                <w:rFonts w:ascii="Arial" w:hAnsi="Arial" w:cs="Arial"/>
                <w:color w:val="000000"/>
                <w:sz w:val="20"/>
                <w:szCs w:val="20"/>
              </w:rPr>
              <w:br/>
              <w:t xml:space="preserve">G3: 58.6 ± 10.6 </w:t>
            </w:r>
            <w:r w:rsidRPr="000B369D">
              <w:rPr>
                <w:rFonts w:ascii="Arial" w:hAnsi="Arial" w:cs="Arial"/>
                <w:color w:val="000000"/>
                <w:sz w:val="20"/>
                <w:szCs w:val="20"/>
              </w:rPr>
              <w:br/>
              <w:t xml:space="preserve">G4: 59.4 ± 11.1 </w:t>
            </w:r>
            <w:r w:rsidRPr="000B369D">
              <w:rPr>
                <w:rFonts w:ascii="Arial" w:hAnsi="Arial" w:cs="Arial"/>
                <w:color w:val="000000"/>
                <w:sz w:val="20"/>
                <w:szCs w:val="20"/>
              </w:rPr>
              <w:br/>
              <w:t xml:space="preserve">G5: 58.2 ± 9.8 </w:t>
            </w:r>
          </w:p>
        </w:tc>
        <w:tc>
          <w:tcPr>
            <w:tcW w:w="871" w:type="dxa"/>
          </w:tcPr>
          <w:p w14:paraId="27273D1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1015 W </w:t>
            </w:r>
            <w:r w:rsidRPr="000B369D">
              <w:rPr>
                <w:rFonts w:ascii="Arial" w:hAnsi="Arial" w:cs="Arial"/>
                <w:color w:val="000000"/>
                <w:sz w:val="20"/>
                <w:szCs w:val="20"/>
              </w:rPr>
              <w:br/>
              <w:t>568 M</w:t>
            </w:r>
          </w:p>
        </w:tc>
        <w:tc>
          <w:tcPr>
            <w:tcW w:w="1813" w:type="dxa"/>
          </w:tcPr>
          <w:p w14:paraId="275E4EC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Pain </w:t>
            </w:r>
            <w:r w:rsidRPr="000B369D">
              <w:rPr>
                <w:rFonts w:ascii="Arial" w:hAnsi="Arial" w:cs="Arial"/>
                <w:color w:val="000000"/>
                <w:sz w:val="20"/>
                <w:szCs w:val="20"/>
              </w:rPr>
              <w:br/>
              <w:t xml:space="preserve">Function </w:t>
            </w:r>
            <w:r w:rsidRPr="000B369D">
              <w:rPr>
                <w:rFonts w:ascii="Arial" w:hAnsi="Arial" w:cs="Arial"/>
                <w:color w:val="000000"/>
                <w:sz w:val="20"/>
                <w:szCs w:val="20"/>
              </w:rPr>
              <w:br/>
            </w:r>
          </w:p>
        </w:tc>
        <w:tc>
          <w:tcPr>
            <w:tcW w:w="2517" w:type="dxa"/>
          </w:tcPr>
          <w:p w14:paraId="6801ECF5"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Supported by a contract from the National Center for Complementary and Alternative Medicine and the National Institute of Arthritis and Musculoskeletal and Skin Diseases (NO1AR92236)</w:t>
            </w:r>
          </w:p>
        </w:tc>
      </w:tr>
      <w:tr w:rsidR="00582B19" w:rsidRPr="00252F1D" w14:paraId="14377AC0" w14:textId="77777777" w:rsidTr="008C4C2C">
        <w:tc>
          <w:tcPr>
            <w:tcW w:w="1342" w:type="dxa"/>
          </w:tcPr>
          <w:p w14:paraId="0094A8E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Conaghan, 2018</w:t>
            </w:r>
          </w:p>
        </w:tc>
        <w:tc>
          <w:tcPr>
            <w:tcW w:w="1131" w:type="dxa"/>
          </w:tcPr>
          <w:p w14:paraId="6220B1B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1B4F50E4"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 xml:space="preserve">G1: IA Triamconolone </w:t>
            </w:r>
          </w:p>
          <w:p w14:paraId="4CDF06BB"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23120DD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One injection</w:t>
            </w:r>
          </w:p>
        </w:tc>
        <w:tc>
          <w:tcPr>
            <w:tcW w:w="1337" w:type="dxa"/>
          </w:tcPr>
          <w:p w14:paraId="06AA167A"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484</w:t>
            </w:r>
          </w:p>
          <w:p w14:paraId="462CF53A" w14:textId="77777777" w:rsidR="00582B19" w:rsidRPr="000B369D" w:rsidRDefault="00582B19" w:rsidP="00111BE5">
            <w:pPr>
              <w:rPr>
                <w:rFonts w:ascii="Arial" w:hAnsi="Arial" w:cs="Arial"/>
                <w:color w:val="000000"/>
                <w:sz w:val="20"/>
                <w:szCs w:val="20"/>
                <w:lang w:val="en-GB"/>
              </w:rPr>
            </w:pPr>
          </w:p>
          <w:p w14:paraId="45C880AC"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G1: 161</w:t>
            </w:r>
            <w:r w:rsidRPr="000B369D">
              <w:rPr>
                <w:rFonts w:ascii="Arial" w:hAnsi="Arial" w:cs="Arial"/>
                <w:color w:val="000000"/>
                <w:sz w:val="20"/>
                <w:szCs w:val="20"/>
                <w:lang w:val="en-GB"/>
              </w:rPr>
              <w:br/>
              <w:t>G2: 162</w:t>
            </w:r>
            <w:r w:rsidRPr="000B369D">
              <w:rPr>
                <w:rFonts w:ascii="Arial" w:hAnsi="Arial" w:cs="Arial"/>
                <w:color w:val="000000"/>
                <w:sz w:val="20"/>
                <w:szCs w:val="20"/>
                <w:lang w:val="en-GB"/>
              </w:rPr>
              <w:br/>
              <w:t>G3: 161 (not used in these analyses)</w:t>
            </w:r>
          </w:p>
        </w:tc>
        <w:tc>
          <w:tcPr>
            <w:tcW w:w="1619" w:type="dxa"/>
          </w:tcPr>
          <w:p w14:paraId="37FD0EB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62.3 ± 10.08</w:t>
            </w:r>
            <w:r w:rsidRPr="000B369D">
              <w:rPr>
                <w:rFonts w:ascii="Arial" w:hAnsi="Arial" w:cs="Arial"/>
                <w:color w:val="000000"/>
                <w:sz w:val="20"/>
                <w:szCs w:val="20"/>
              </w:rPr>
              <w:br/>
              <w:t>G2: 62.4 ± 8.89</w:t>
            </w:r>
          </w:p>
        </w:tc>
        <w:tc>
          <w:tcPr>
            <w:tcW w:w="871" w:type="dxa"/>
          </w:tcPr>
          <w:p w14:paraId="022A603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296 W</w:t>
            </w:r>
            <w:r w:rsidRPr="000B369D">
              <w:rPr>
                <w:rFonts w:ascii="Arial" w:hAnsi="Arial" w:cs="Arial"/>
                <w:color w:val="000000"/>
                <w:sz w:val="20"/>
                <w:szCs w:val="20"/>
              </w:rPr>
              <w:br/>
              <w:t>188 M</w:t>
            </w:r>
          </w:p>
        </w:tc>
        <w:tc>
          <w:tcPr>
            <w:tcW w:w="1813" w:type="dxa"/>
          </w:tcPr>
          <w:p w14:paraId="2EBA00B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30BB1593"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 xml:space="preserve">Sponsored and funded by Flexion Therapeutics. </w:t>
            </w:r>
          </w:p>
        </w:tc>
      </w:tr>
      <w:tr w:rsidR="00582B19" w:rsidRPr="00252F1D" w14:paraId="3D1EA235" w14:textId="77777777" w:rsidTr="008C4C2C">
        <w:tc>
          <w:tcPr>
            <w:tcW w:w="1342" w:type="dxa"/>
          </w:tcPr>
          <w:p w14:paraId="2F6CE32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De Campos, 2012</w:t>
            </w:r>
          </w:p>
        </w:tc>
        <w:tc>
          <w:tcPr>
            <w:tcW w:w="1131" w:type="dxa"/>
          </w:tcPr>
          <w:p w14:paraId="7F52387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double-blind,2 groups</w:t>
            </w:r>
          </w:p>
        </w:tc>
        <w:tc>
          <w:tcPr>
            <w:tcW w:w="1919" w:type="dxa"/>
          </w:tcPr>
          <w:p w14:paraId="104DE28A"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16F8746B"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 xml:space="preserve">G2: IA Hyaluronic acid + Triamcinolone </w:t>
            </w:r>
          </w:p>
        </w:tc>
        <w:tc>
          <w:tcPr>
            <w:tcW w:w="1445" w:type="dxa"/>
          </w:tcPr>
          <w:p w14:paraId="5496EDC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One injection</w:t>
            </w:r>
          </w:p>
        </w:tc>
        <w:tc>
          <w:tcPr>
            <w:tcW w:w="1337" w:type="dxa"/>
          </w:tcPr>
          <w:p w14:paraId="3D2C10D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104</w:t>
            </w:r>
          </w:p>
          <w:p w14:paraId="5E8F722E" w14:textId="77777777" w:rsidR="00582B19" w:rsidRPr="000B369D" w:rsidRDefault="00582B19" w:rsidP="00111BE5">
            <w:pPr>
              <w:rPr>
                <w:rFonts w:ascii="Arial" w:hAnsi="Arial" w:cs="Arial"/>
                <w:color w:val="000000"/>
                <w:sz w:val="20"/>
                <w:szCs w:val="20"/>
              </w:rPr>
            </w:pPr>
          </w:p>
          <w:p w14:paraId="401C39A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G1: 52 </w:t>
            </w:r>
            <w:r w:rsidRPr="000B369D">
              <w:rPr>
                <w:rFonts w:ascii="Arial" w:hAnsi="Arial" w:cs="Arial"/>
                <w:color w:val="000000"/>
                <w:sz w:val="20"/>
                <w:szCs w:val="20"/>
              </w:rPr>
              <w:br/>
              <w:t>G2: 52</w:t>
            </w:r>
          </w:p>
        </w:tc>
        <w:tc>
          <w:tcPr>
            <w:tcW w:w="1619" w:type="dxa"/>
          </w:tcPr>
          <w:p w14:paraId="15DBDD6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61 ± 12</w:t>
            </w:r>
            <w:r w:rsidRPr="000B369D">
              <w:rPr>
                <w:rFonts w:ascii="Arial" w:hAnsi="Arial" w:cs="Arial"/>
                <w:color w:val="000000"/>
                <w:sz w:val="20"/>
                <w:szCs w:val="20"/>
              </w:rPr>
              <w:br/>
              <w:t>G2: 65 ± 9</w:t>
            </w:r>
          </w:p>
        </w:tc>
        <w:tc>
          <w:tcPr>
            <w:tcW w:w="871" w:type="dxa"/>
          </w:tcPr>
          <w:p w14:paraId="2EC9CBA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79 W</w:t>
            </w:r>
            <w:r w:rsidRPr="000B369D">
              <w:rPr>
                <w:rFonts w:ascii="Arial" w:hAnsi="Arial" w:cs="Arial"/>
                <w:color w:val="000000"/>
                <w:sz w:val="20"/>
                <w:szCs w:val="20"/>
              </w:rPr>
              <w:br/>
              <w:t>25 M</w:t>
            </w:r>
          </w:p>
        </w:tc>
        <w:tc>
          <w:tcPr>
            <w:tcW w:w="1813" w:type="dxa"/>
          </w:tcPr>
          <w:p w14:paraId="0E969C9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p>
        </w:tc>
        <w:tc>
          <w:tcPr>
            <w:tcW w:w="2517" w:type="dxa"/>
          </w:tcPr>
          <w:p w14:paraId="4301F4F1"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Funded by the Sa˜o Paulo Research Foundation (FAPESP) (Sao Paulo, Brazil)</w:t>
            </w:r>
          </w:p>
        </w:tc>
      </w:tr>
      <w:tr w:rsidR="00582B19" w:rsidRPr="000B369D" w14:paraId="790A008D" w14:textId="77777777" w:rsidTr="008C4C2C">
        <w:tc>
          <w:tcPr>
            <w:tcW w:w="1342" w:type="dxa"/>
          </w:tcPr>
          <w:p w14:paraId="5B41B13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Dieppe, 1993</w:t>
            </w:r>
          </w:p>
        </w:tc>
        <w:tc>
          <w:tcPr>
            <w:tcW w:w="1131" w:type="dxa"/>
          </w:tcPr>
          <w:p w14:paraId="0239067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2 groups</w:t>
            </w:r>
          </w:p>
        </w:tc>
        <w:tc>
          <w:tcPr>
            <w:tcW w:w="1919" w:type="dxa"/>
          </w:tcPr>
          <w:p w14:paraId="60B8E70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Diclofenac</w:t>
            </w:r>
          </w:p>
          <w:p w14:paraId="3082F5E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2B212013"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104 weeks</w:t>
            </w:r>
          </w:p>
        </w:tc>
        <w:tc>
          <w:tcPr>
            <w:tcW w:w="1337" w:type="dxa"/>
          </w:tcPr>
          <w:p w14:paraId="30D83B5D"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89</w:t>
            </w:r>
          </w:p>
          <w:p w14:paraId="726A3D0B" w14:textId="77777777" w:rsidR="00582B19" w:rsidRPr="000B369D" w:rsidRDefault="00582B19" w:rsidP="00111BE5">
            <w:pPr>
              <w:rPr>
                <w:rFonts w:ascii="Arial" w:hAnsi="Arial" w:cs="Arial"/>
                <w:color w:val="000000"/>
                <w:sz w:val="20"/>
                <w:szCs w:val="20"/>
              </w:rPr>
            </w:pPr>
          </w:p>
          <w:p w14:paraId="70B4BC2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44</w:t>
            </w:r>
            <w:r w:rsidRPr="000B369D">
              <w:rPr>
                <w:rFonts w:ascii="Arial" w:hAnsi="Arial" w:cs="Arial"/>
                <w:color w:val="000000"/>
                <w:sz w:val="20"/>
                <w:szCs w:val="20"/>
              </w:rPr>
              <w:br/>
              <w:t>G2: 45</w:t>
            </w:r>
          </w:p>
        </w:tc>
        <w:tc>
          <w:tcPr>
            <w:tcW w:w="1619" w:type="dxa"/>
          </w:tcPr>
          <w:p w14:paraId="60A38A1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63.0 ± 9.43</w:t>
            </w:r>
            <w:r w:rsidRPr="000B369D">
              <w:rPr>
                <w:rFonts w:ascii="Arial" w:hAnsi="Arial" w:cs="Arial"/>
                <w:color w:val="000000"/>
                <w:sz w:val="20"/>
                <w:szCs w:val="20"/>
              </w:rPr>
              <w:br/>
              <w:t>G2: 63.1 ± 7.15</w:t>
            </w:r>
          </w:p>
        </w:tc>
        <w:tc>
          <w:tcPr>
            <w:tcW w:w="871" w:type="dxa"/>
          </w:tcPr>
          <w:p w14:paraId="7CF6B2A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65 W</w:t>
            </w:r>
            <w:r w:rsidRPr="000B369D">
              <w:rPr>
                <w:rFonts w:ascii="Arial" w:hAnsi="Arial" w:cs="Arial"/>
                <w:color w:val="000000"/>
                <w:sz w:val="20"/>
                <w:szCs w:val="20"/>
              </w:rPr>
              <w:br/>
              <w:t>24 M</w:t>
            </w:r>
          </w:p>
        </w:tc>
        <w:tc>
          <w:tcPr>
            <w:tcW w:w="1813" w:type="dxa"/>
          </w:tcPr>
          <w:p w14:paraId="1F2FD5D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092C06B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0B369D" w14:paraId="10DC36A4" w14:textId="77777777" w:rsidTr="008C4C2C">
        <w:tc>
          <w:tcPr>
            <w:tcW w:w="1342" w:type="dxa"/>
          </w:tcPr>
          <w:p w14:paraId="0FC4274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lastRenderedPageBreak/>
              <w:t>Dixon, 1988</w:t>
            </w:r>
          </w:p>
        </w:tc>
        <w:tc>
          <w:tcPr>
            <w:tcW w:w="1131" w:type="dxa"/>
          </w:tcPr>
          <w:p w14:paraId="73235A4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2 groups</w:t>
            </w:r>
          </w:p>
        </w:tc>
        <w:tc>
          <w:tcPr>
            <w:tcW w:w="1919" w:type="dxa"/>
          </w:tcPr>
          <w:p w14:paraId="2E4A67CD"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777CE46F"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0D5462AD"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11 injections</w:t>
            </w:r>
          </w:p>
        </w:tc>
        <w:tc>
          <w:tcPr>
            <w:tcW w:w="1337" w:type="dxa"/>
          </w:tcPr>
          <w:p w14:paraId="795A2D2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63</w:t>
            </w:r>
          </w:p>
          <w:p w14:paraId="13826A97" w14:textId="77777777" w:rsidR="00582B19" w:rsidRPr="000B369D" w:rsidRDefault="00582B19" w:rsidP="00111BE5">
            <w:pPr>
              <w:rPr>
                <w:rFonts w:ascii="Arial" w:hAnsi="Arial" w:cs="Arial"/>
                <w:color w:val="000000"/>
                <w:sz w:val="20"/>
                <w:szCs w:val="20"/>
              </w:rPr>
            </w:pPr>
          </w:p>
          <w:p w14:paraId="0D3FD27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30</w:t>
            </w:r>
            <w:r w:rsidRPr="000B369D">
              <w:rPr>
                <w:rFonts w:ascii="Arial" w:hAnsi="Arial" w:cs="Arial"/>
                <w:color w:val="000000"/>
                <w:sz w:val="20"/>
                <w:szCs w:val="20"/>
              </w:rPr>
              <w:br/>
              <w:t>G2: 33</w:t>
            </w:r>
          </w:p>
        </w:tc>
        <w:tc>
          <w:tcPr>
            <w:tcW w:w="1619" w:type="dxa"/>
          </w:tcPr>
          <w:p w14:paraId="6478D34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68.5 (43-85)</w:t>
            </w:r>
          </w:p>
        </w:tc>
        <w:tc>
          <w:tcPr>
            <w:tcW w:w="871" w:type="dxa"/>
          </w:tcPr>
          <w:p w14:paraId="0A4E144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34 W</w:t>
            </w:r>
            <w:r w:rsidRPr="000B369D">
              <w:rPr>
                <w:rFonts w:ascii="Arial" w:hAnsi="Arial" w:cs="Arial"/>
                <w:color w:val="000000"/>
                <w:sz w:val="20"/>
                <w:szCs w:val="20"/>
              </w:rPr>
              <w:br/>
              <w:t>29 M</w:t>
            </w:r>
          </w:p>
        </w:tc>
        <w:tc>
          <w:tcPr>
            <w:tcW w:w="1813" w:type="dxa"/>
          </w:tcPr>
          <w:p w14:paraId="706D88B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Pain </w:t>
            </w:r>
          </w:p>
        </w:tc>
        <w:tc>
          <w:tcPr>
            <w:tcW w:w="2517" w:type="dxa"/>
          </w:tcPr>
          <w:p w14:paraId="3522BDE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None</w:t>
            </w:r>
          </w:p>
        </w:tc>
      </w:tr>
      <w:tr w:rsidR="00582B19" w:rsidRPr="00252F1D" w14:paraId="26C71DB0" w14:textId="77777777" w:rsidTr="008C4C2C">
        <w:tc>
          <w:tcPr>
            <w:tcW w:w="1342" w:type="dxa"/>
          </w:tcPr>
          <w:p w14:paraId="6B28DE6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Fransen, 2015</w:t>
            </w:r>
          </w:p>
        </w:tc>
        <w:tc>
          <w:tcPr>
            <w:tcW w:w="1131" w:type="dxa"/>
          </w:tcPr>
          <w:p w14:paraId="19E8474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4 groups</w:t>
            </w:r>
          </w:p>
        </w:tc>
        <w:tc>
          <w:tcPr>
            <w:tcW w:w="1919" w:type="dxa"/>
          </w:tcPr>
          <w:p w14:paraId="7F02EAA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Glucosamine sulfate</w:t>
            </w:r>
          </w:p>
          <w:p w14:paraId="2DF1A2B3"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Glucosamine sulfate + Chondroitin sulfate</w:t>
            </w:r>
          </w:p>
          <w:p w14:paraId="29FB7B2E"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G3: Chondroitin sulfate</w:t>
            </w:r>
          </w:p>
          <w:p w14:paraId="2FB1587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G4: Placebo</w:t>
            </w:r>
          </w:p>
        </w:tc>
        <w:tc>
          <w:tcPr>
            <w:tcW w:w="1445" w:type="dxa"/>
          </w:tcPr>
          <w:p w14:paraId="419CD03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104 weeks</w:t>
            </w:r>
          </w:p>
        </w:tc>
        <w:tc>
          <w:tcPr>
            <w:tcW w:w="1337" w:type="dxa"/>
          </w:tcPr>
          <w:p w14:paraId="37ED6E4E"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2148</w:t>
            </w:r>
          </w:p>
          <w:p w14:paraId="2AAD7E61" w14:textId="77777777" w:rsidR="00582B19" w:rsidRPr="000B369D" w:rsidRDefault="00582B19" w:rsidP="00111BE5">
            <w:pPr>
              <w:rPr>
                <w:rFonts w:ascii="Arial" w:hAnsi="Arial" w:cs="Arial"/>
                <w:color w:val="000000"/>
                <w:sz w:val="20"/>
                <w:szCs w:val="20"/>
              </w:rPr>
            </w:pPr>
          </w:p>
          <w:p w14:paraId="5CD6131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152</w:t>
            </w:r>
            <w:r w:rsidRPr="000B369D">
              <w:rPr>
                <w:rFonts w:ascii="Arial" w:hAnsi="Arial" w:cs="Arial"/>
                <w:color w:val="000000"/>
                <w:sz w:val="20"/>
                <w:szCs w:val="20"/>
              </w:rPr>
              <w:br/>
              <w:t>G2: 151</w:t>
            </w:r>
            <w:r w:rsidRPr="000B369D">
              <w:rPr>
                <w:rFonts w:ascii="Arial" w:hAnsi="Arial" w:cs="Arial"/>
                <w:color w:val="000000"/>
                <w:sz w:val="20"/>
                <w:szCs w:val="20"/>
              </w:rPr>
              <w:br/>
              <w:t>G3: 151</w:t>
            </w:r>
            <w:r w:rsidRPr="000B369D">
              <w:rPr>
                <w:rFonts w:ascii="Arial" w:hAnsi="Arial" w:cs="Arial"/>
                <w:color w:val="000000"/>
                <w:sz w:val="20"/>
                <w:szCs w:val="20"/>
              </w:rPr>
              <w:br/>
              <w:t>G4: 151</w:t>
            </w:r>
          </w:p>
        </w:tc>
        <w:tc>
          <w:tcPr>
            <w:tcW w:w="1619" w:type="dxa"/>
          </w:tcPr>
          <w:p w14:paraId="1BA87BD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61.2 ± 7.7</w:t>
            </w:r>
            <w:r w:rsidRPr="000B369D">
              <w:rPr>
                <w:rFonts w:ascii="Arial" w:hAnsi="Arial" w:cs="Arial"/>
                <w:color w:val="000000"/>
                <w:sz w:val="20"/>
                <w:szCs w:val="20"/>
              </w:rPr>
              <w:br/>
              <w:t>G2: 60.7 ± 8.4</w:t>
            </w:r>
            <w:r w:rsidRPr="000B369D">
              <w:rPr>
                <w:rFonts w:ascii="Arial" w:hAnsi="Arial" w:cs="Arial"/>
                <w:color w:val="000000"/>
                <w:sz w:val="20"/>
                <w:szCs w:val="20"/>
              </w:rPr>
              <w:br/>
              <w:t>G3: 59.5 ± 8.0</w:t>
            </w:r>
            <w:r w:rsidRPr="000B369D">
              <w:rPr>
                <w:rFonts w:ascii="Arial" w:hAnsi="Arial" w:cs="Arial"/>
                <w:color w:val="000000"/>
                <w:sz w:val="20"/>
                <w:szCs w:val="20"/>
              </w:rPr>
              <w:br/>
              <w:t>G4: 60.6 ± 8.1</w:t>
            </w:r>
          </w:p>
        </w:tc>
        <w:tc>
          <w:tcPr>
            <w:tcW w:w="871" w:type="dxa"/>
          </w:tcPr>
          <w:p w14:paraId="29A35F9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339 W</w:t>
            </w:r>
            <w:r w:rsidRPr="000B369D">
              <w:rPr>
                <w:rFonts w:ascii="Arial" w:hAnsi="Arial" w:cs="Arial"/>
                <w:color w:val="000000"/>
                <w:sz w:val="20"/>
                <w:szCs w:val="20"/>
              </w:rPr>
              <w:br/>
              <w:t>266 M</w:t>
            </w:r>
          </w:p>
        </w:tc>
        <w:tc>
          <w:tcPr>
            <w:tcW w:w="1813" w:type="dxa"/>
          </w:tcPr>
          <w:p w14:paraId="7B97DD9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0C1C64E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Function</w:t>
            </w:r>
            <w:r w:rsidRPr="000B369D">
              <w:rPr>
                <w:rFonts w:ascii="Arial" w:hAnsi="Arial" w:cs="Arial"/>
                <w:color w:val="000000"/>
                <w:sz w:val="20"/>
                <w:szCs w:val="20"/>
              </w:rPr>
              <w:br/>
            </w:r>
          </w:p>
        </w:tc>
        <w:tc>
          <w:tcPr>
            <w:tcW w:w="2517" w:type="dxa"/>
          </w:tcPr>
          <w:p w14:paraId="38581915"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 xml:space="preserve">Funded through the National Health and Medical Research Council of Australia, the Department of Health and Aging (Australia) and by some supplementary funding (&lt;15% total) from Sanofi-Aventis Consumer Healthcare Pty Ltd, Australia. </w:t>
            </w:r>
          </w:p>
        </w:tc>
      </w:tr>
      <w:tr w:rsidR="00582B19" w:rsidRPr="000B369D" w14:paraId="70B7FC0F" w14:textId="77777777" w:rsidTr="008C4C2C">
        <w:tc>
          <w:tcPr>
            <w:tcW w:w="1342" w:type="dxa"/>
          </w:tcPr>
          <w:p w14:paraId="3FCAA15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Giarratana, 2014</w:t>
            </w:r>
          </w:p>
        </w:tc>
        <w:tc>
          <w:tcPr>
            <w:tcW w:w="1131" w:type="dxa"/>
          </w:tcPr>
          <w:p w14:paraId="5B9D17A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2 groups</w:t>
            </w:r>
          </w:p>
        </w:tc>
        <w:tc>
          <w:tcPr>
            <w:tcW w:w="1919" w:type="dxa"/>
          </w:tcPr>
          <w:p w14:paraId="34A0EAE3"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Condrotide</w:t>
            </w:r>
          </w:p>
          <w:p w14:paraId="1C5FC70E"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Hyaluronic acid</w:t>
            </w:r>
          </w:p>
        </w:tc>
        <w:tc>
          <w:tcPr>
            <w:tcW w:w="1445" w:type="dxa"/>
          </w:tcPr>
          <w:p w14:paraId="21642D98"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3 injections, an interval of 1 week between each one</w:t>
            </w:r>
          </w:p>
        </w:tc>
        <w:tc>
          <w:tcPr>
            <w:tcW w:w="1337" w:type="dxa"/>
          </w:tcPr>
          <w:p w14:paraId="1B35DAF7"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72</w:t>
            </w:r>
          </w:p>
          <w:p w14:paraId="7C1DF8CA" w14:textId="77777777" w:rsidR="00582B19" w:rsidRPr="000B369D" w:rsidRDefault="00582B19" w:rsidP="00111BE5">
            <w:pPr>
              <w:rPr>
                <w:rFonts w:ascii="Arial" w:hAnsi="Arial" w:cs="Arial"/>
                <w:color w:val="000000"/>
                <w:sz w:val="20"/>
                <w:szCs w:val="20"/>
              </w:rPr>
            </w:pPr>
          </w:p>
          <w:p w14:paraId="24DE4D0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36</w:t>
            </w:r>
            <w:r w:rsidRPr="000B369D">
              <w:rPr>
                <w:rFonts w:ascii="Arial" w:hAnsi="Arial" w:cs="Arial"/>
                <w:color w:val="000000"/>
                <w:sz w:val="20"/>
                <w:szCs w:val="20"/>
              </w:rPr>
              <w:br/>
              <w:t>G2: 36</w:t>
            </w:r>
          </w:p>
        </w:tc>
        <w:tc>
          <w:tcPr>
            <w:tcW w:w="1619" w:type="dxa"/>
          </w:tcPr>
          <w:p w14:paraId="7F3DD1E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64.92 (31-80)</w:t>
            </w:r>
            <w:r w:rsidRPr="000B369D">
              <w:rPr>
                <w:rFonts w:ascii="Arial" w:hAnsi="Arial" w:cs="Arial"/>
                <w:color w:val="000000"/>
                <w:sz w:val="20"/>
                <w:szCs w:val="20"/>
              </w:rPr>
              <w:br/>
              <w:t>G2: 64.14 (43-76)</w:t>
            </w:r>
          </w:p>
        </w:tc>
        <w:tc>
          <w:tcPr>
            <w:tcW w:w="871" w:type="dxa"/>
          </w:tcPr>
          <w:p w14:paraId="01AA1B8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41 W</w:t>
            </w:r>
            <w:r w:rsidRPr="000B369D">
              <w:rPr>
                <w:rFonts w:ascii="Arial" w:hAnsi="Arial" w:cs="Arial"/>
                <w:color w:val="000000"/>
                <w:sz w:val="20"/>
                <w:szCs w:val="20"/>
              </w:rPr>
              <w:br/>
              <w:t>31 M</w:t>
            </w:r>
          </w:p>
        </w:tc>
        <w:tc>
          <w:tcPr>
            <w:tcW w:w="1813" w:type="dxa"/>
          </w:tcPr>
          <w:p w14:paraId="75EFD6A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0D0A83C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Function</w:t>
            </w:r>
          </w:p>
        </w:tc>
        <w:tc>
          <w:tcPr>
            <w:tcW w:w="2517" w:type="dxa"/>
          </w:tcPr>
          <w:p w14:paraId="676D8C9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0B369D" w14:paraId="08256A5C" w14:textId="77777777" w:rsidTr="008C4C2C">
        <w:tc>
          <w:tcPr>
            <w:tcW w:w="1342" w:type="dxa"/>
          </w:tcPr>
          <w:p w14:paraId="5D4DBEE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Gormeli, 2015</w:t>
            </w:r>
          </w:p>
        </w:tc>
        <w:tc>
          <w:tcPr>
            <w:tcW w:w="1131" w:type="dxa"/>
          </w:tcPr>
          <w:p w14:paraId="0AA1ED6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4 groups</w:t>
            </w:r>
          </w:p>
        </w:tc>
        <w:tc>
          <w:tcPr>
            <w:tcW w:w="1919" w:type="dxa"/>
          </w:tcPr>
          <w:p w14:paraId="011D4C75"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5C0AD548"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26A50E8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3 injections</w:t>
            </w:r>
          </w:p>
        </w:tc>
        <w:tc>
          <w:tcPr>
            <w:tcW w:w="1337" w:type="dxa"/>
          </w:tcPr>
          <w:p w14:paraId="252A975A" w14:textId="252708A8"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1</w:t>
            </w:r>
            <w:r w:rsidR="008C4C2C">
              <w:rPr>
                <w:rFonts w:ascii="Arial" w:hAnsi="Arial" w:cs="Arial"/>
                <w:color w:val="000000"/>
                <w:sz w:val="20"/>
                <w:szCs w:val="20"/>
                <w:lang w:val="en-GB"/>
              </w:rPr>
              <w:t>82</w:t>
            </w:r>
          </w:p>
          <w:p w14:paraId="6DFD106A" w14:textId="77777777" w:rsidR="00582B19" w:rsidRPr="000B369D" w:rsidRDefault="00582B19" w:rsidP="00111BE5">
            <w:pPr>
              <w:rPr>
                <w:rFonts w:ascii="Arial" w:hAnsi="Arial" w:cs="Arial"/>
                <w:color w:val="000000"/>
                <w:sz w:val="20"/>
                <w:szCs w:val="20"/>
                <w:lang w:val="en-GB"/>
              </w:rPr>
            </w:pPr>
          </w:p>
          <w:p w14:paraId="206B9F9B"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G1: 46</w:t>
            </w:r>
            <w:r w:rsidRPr="000B369D">
              <w:rPr>
                <w:rFonts w:ascii="Arial" w:hAnsi="Arial" w:cs="Arial"/>
                <w:color w:val="000000"/>
                <w:sz w:val="20"/>
                <w:szCs w:val="20"/>
                <w:lang w:val="en-GB"/>
              </w:rPr>
              <w:br/>
              <w:t>G2: 45</w:t>
            </w:r>
            <w:r w:rsidRPr="000B369D">
              <w:rPr>
                <w:rFonts w:ascii="Arial" w:hAnsi="Arial" w:cs="Arial"/>
                <w:color w:val="000000"/>
                <w:sz w:val="20"/>
                <w:szCs w:val="20"/>
                <w:lang w:val="en-GB"/>
              </w:rPr>
              <w:br/>
              <w:t>G3: 46 (not used in analyses)</w:t>
            </w:r>
            <w:r w:rsidRPr="000B369D">
              <w:rPr>
                <w:rFonts w:ascii="Arial" w:hAnsi="Arial" w:cs="Arial"/>
                <w:color w:val="000000"/>
                <w:sz w:val="20"/>
                <w:szCs w:val="20"/>
                <w:lang w:val="en-GB"/>
              </w:rPr>
              <w:br/>
              <w:t>G4: 45 (not used in analyses)</w:t>
            </w:r>
          </w:p>
        </w:tc>
        <w:tc>
          <w:tcPr>
            <w:tcW w:w="1619" w:type="dxa"/>
          </w:tcPr>
          <w:p w14:paraId="5BD6C2C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53.5 ± 14</w:t>
            </w:r>
            <w:r w:rsidRPr="000B369D">
              <w:rPr>
                <w:rFonts w:ascii="Arial" w:hAnsi="Arial" w:cs="Arial"/>
                <w:color w:val="000000"/>
                <w:sz w:val="20"/>
                <w:szCs w:val="20"/>
              </w:rPr>
              <w:br/>
              <w:t>G2: 52.8 ± 12.8</w:t>
            </w:r>
          </w:p>
        </w:tc>
        <w:tc>
          <w:tcPr>
            <w:tcW w:w="871" w:type="dxa"/>
          </w:tcPr>
          <w:p w14:paraId="58FAC1A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90 W</w:t>
            </w:r>
            <w:r w:rsidRPr="000B369D">
              <w:rPr>
                <w:rFonts w:ascii="Arial" w:hAnsi="Arial" w:cs="Arial"/>
                <w:color w:val="000000"/>
                <w:sz w:val="20"/>
                <w:szCs w:val="20"/>
              </w:rPr>
              <w:br/>
              <w:t>72 M</w:t>
            </w:r>
          </w:p>
        </w:tc>
        <w:tc>
          <w:tcPr>
            <w:tcW w:w="1813" w:type="dxa"/>
          </w:tcPr>
          <w:p w14:paraId="26E4057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p>
        </w:tc>
        <w:tc>
          <w:tcPr>
            <w:tcW w:w="2517" w:type="dxa"/>
          </w:tcPr>
          <w:p w14:paraId="14B1E83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0B369D" w14:paraId="446B37EF" w14:textId="77777777" w:rsidTr="008C4C2C">
        <w:tc>
          <w:tcPr>
            <w:tcW w:w="1342" w:type="dxa"/>
          </w:tcPr>
          <w:p w14:paraId="1E6DF4A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Guner, 2016</w:t>
            </w:r>
          </w:p>
        </w:tc>
        <w:tc>
          <w:tcPr>
            <w:tcW w:w="1131" w:type="dxa"/>
          </w:tcPr>
          <w:p w14:paraId="7B4EC0F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open study, 2 groups</w:t>
            </w:r>
          </w:p>
        </w:tc>
        <w:tc>
          <w:tcPr>
            <w:tcW w:w="1919" w:type="dxa"/>
          </w:tcPr>
          <w:p w14:paraId="174CD271"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7931FA4F"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Etofenamate</w:t>
            </w:r>
          </w:p>
        </w:tc>
        <w:tc>
          <w:tcPr>
            <w:tcW w:w="1445" w:type="dxa"/>
          </w:tcPr>
          <w:p w14:paraId="0D5CB0EC"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3 injections at one-week interval</w:t>
            </w:r>
          </w:p>
          <w:p w14:paraId="37FC09E7"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 xml:space="preserve">G2: 7 injections at one day interval </w:t>
            </w:r>
          </w:p>
        </w:tc>
        <w:tc>
          <w:tcPr>
            <w:tcW w:w="1337" w:type="dxa"/>
          </w:tcPr>
          <w:p w14:paraId="5B14B749"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62</w:t>
            </w:r>
          </w:p>
          <w:p w14:paraId="44C85997" w14:textId="77777777" w:rsidR="00582B19" w:rsidRPr="000B369D" w:rsidRDefault="00582B19" w:rsidP="00111BE5">
            <w:pPr>
              <w:rPr>
                <w:rFonts w:ascii="Arial" w:hAnsi="Arial" w:cs="Arial"/>
                <w:color w:val="000000"/>
                <w:sz w:val="20"/>
                <w:szCs w:val="20"/>
              </w:rPr>
            </w:pPr>
          </w:p>
          <w:p w14:paraId="5521C92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31</w:t>
            </w:r>
            <w:r w:rsidRPr="000B369D">
              <w:rPr>
                <w:rFonts w:ascii="Arial" w:hAnsi="Arial" w:cs="Arial"/>
                <w:color w:val="000000"/>
                <w:sz w:val="20"/>
                <w:szCs w:val="20"/>
              </w:rPr>
              <w:br/>
              <w:t>G2: 31</w:t>
            </w:r>
          </w:p>
        </w:tc>
        <w:tc>
          <w:tcPr>
            <w:tcW w:w="1619" w:type="dxa"/>
          </w:tcPr>
          <w:p w14:paraId="0C2F9C9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62.5 (50-70)</w:t>
            </w:r>
            <w:r w:rsidRPr="000B369D">
              <w:rPr>
                <w:rFonts w:ascii="Arial" w:hAnsi="Arial" w:cs="Arial"/>
                <w:color w:val="000000"/>
                <w:sz w:val="20"/>
                <w:szCs w:val="20"/>
              </w:rPr>
              <w:br/>
              <w:t>G2: 61.3 (50-70)</w:t>
            </w:r>
          </w:p>
        </w:tc>
        <w:tc>
          <w:tcPr>
            <w:tcW w:w="871" w:type="dxa"/>
          </w:tcPr>
          <w:p w14:paraId="19970D2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51 W</w:t>
            </w:r>
            <w:r w:rsidRPr="000B369D">
              <w:rPr>
                <w:rFonts w:ascii="Arial" w:hAnsi="Arial" w:cs="Arial"/>
                <w:color w:val="000000"/>
                <w:sz w:val="20"/>
                <w:szCs w:val="20"/>
              </w:rPr>
              <w:br/>
              <w:t>8 M</w:t>
            </w:r>
          </w:p>
        </w:tc>
        <w:tc>
          <w:tcPr>
            <w:tcW w:w="1813" w:type="dxa"/>
          </w:tcPr>
          <w:p w14:paraId="52E0186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p>
        </w:tc>
        <w:tc>
          <w:tcPr>
            <w:tcW w:w="2517" w:type="dxa"/>
          </w:tcPr>
          <w:p w14:paraId="7A164BE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No</w:t>
            </w:r>
          </w:p>
        </w:tc>
      </w:tr>
      <w:tr w:rsidR="00582B19" w:rsidRPr="000B369D" w14:paraId="22D3BB65" w14:textId="77777777" w:rsidTr="008C4C2C">
        <w:tc>
          <w:tcPr>
            <w:tcW w:w="1342" w:type="dxa"/>
          </w:tcPr>
          <w:p w14:paraId="604DA34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lastRenderedPageBreak/>
              <w:t>Haflah, 2009</w:t>
            </w:r>
          </w:p>
        </w:tc>
        <w:tc>
          <w:tcPr>
            <w:tcW w:w="1131" w:type="dxa"/>
          </w:tcPr>
          <w:p w14:paraId="1D7D409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open study, 2 groups</w:t>
            </w:r>
          </w:p>
        </w:tc>
        <w:tc>
          <w:tcPr>
            <w:tcW w:w="1919" w:type="dxa"/>
          </w:tcPr>
          <w:p w14:paraId="6922E4D9"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Glucosamine sulfate</w:t>
            </w:r>
          </w:p>
          <w:p w14:paraId="7AB2416E"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Vitamin E</w:t>
            </w:r>
          </w:p>
        </w:tc>
        <w:tc>
          <w:tcPr>
            <w:tcW w:w="1445" w:type="dxa"/>
          </w:tcPr>
          <w:p w14:paraId="238508AE"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26 weeks</w:t>
            </w:r>
          </w:p>
        </w:tc>
        <w:tc>
          <w:tcPr>
            <w:tcW w:w="1337" w:type="dxa"/>
          </w:tcPr>
          <w:p w14:paraId="41AACE75" w14:textId="77777777" w:rsidR="00582B19" w:rsidRPr="000B369D" w:rsidRDefault="00582B19" w:rsidP="00111BE5">
            <w:pPr>
              <w:rPr>
                <w:rFonts w:ascii="Arial" w:hAnsi="Arial" w:cs="Arial"/>
                <w:sz w:val="20"/>
                <w:szCs w:val="20"/>
                <w:lang w:val="en-GB"/>
              </w:rPr>
            </w:pPr>
            <w:r w:rsidRPr="000B369D">
              <w:rPr>
                <w:rFonts w:ascii="Arial" w:hAnsi="Arial" w:cs="Arial"/>
                <w:sz w:val="20"/>
                <w:szCs w:val="20"/>
                <w:lang w:val="en-GB"/>
              </w:rPr>
              <w:t>Total: 79</w:t>
            </w:r>
          </w:p>
          <w:p w14:paraId="50BF30C6" w14:textId="77777777" w:rsidR="00582B19" w:rsidRPr="000B369D" w:rsidRDefault="00582B19" w:rsidP="00111BE5">
            <w:pPr>
              <w:rPr>
                <w:rFonts w:ascii="Arial" w:hAnsi="Arial" w:cs="Arial"/>
                <w:sz w:val="20"/>
                <w:szCs w:val="20"/>
                <w:lang w:val="en-GB"/>
              </w:rPr>
            </w:pPr>
          </w:p>
          <w:p w14:paraId="51BF06B4" w14:textId="77777777" w:rsidR="00582B19" w:rsidRPr="000B369D" w:rsidRDefault="00582B19" w:rsidP="00111BE5">
            <w:pPr>
              <w:rPr>
                <w:rFonts w:ascii="Arial" w:hAnsi="Arial" w:cs="Arial"/>
                <w:sz w:val="20"/>
                <w:szCs w:val="20"/>
                <w:lang w:val="en-GB"/>
              </w:rPr>
            </w:pPr>
            <w:r w:rsidRPr="000B369D">
              <w:rPr>
                <w:rFonts w:ascii="Arial" w:hAnsi="Arial" w:cs="Arial"/>
                <w:sz w:val="20"/>
                <w:szCs w:val="20"/>
                <w:lang w:val="en-GB"/>
              </w:rPr>
              <w:t>G1: NR</w:t>
            </w:r>
          </w:p>
          <w:p w14:paraId="2870FB03" w14:textId="77777777" w:rsidR="00582B19" w:rsidRPr="000B369D" w:rsidRDefault="00582B19" w:rsidP="00111BE5">
            <w:pPr>
              <w:rPr>
                <w:rFonts w:ascii="Arial" w:hAnsi="Arial" w:cs="Arial"/>
                <w:sz w:val="20"/>
                <w:szCs w:val="20"/>
                <w:lang w:val="en-GB"/>
              </w:rPr>
            </w:pPr>
            <w:r w:rsidRPr="000B369D">
              <w:rPr>
                <w:rFonts w:ascii="Arial" w:hAnsi="Arial" w:cs="Arial"/>
                <w:sz w:val="20"/>
                <w:szCs w:val="20"/>
                <w:lang w:val="en-GB"/>
              </w:rPr>
              <w:t>G2: NR</w:t>
            </w:r>
          </w:p>
        </w:tc>
        <w:tc>
          <w:tcPr>
            <w:tcW w:w="1619" w:type="dxa"/>
          </w:tcPr>
          <w:p w14:paraId="115A70D8"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G1: 59.5 (SD NR)</w:t>
            </w:r>
            <w:r w:rsidRPr="000B369D">
              <w:rPr>
                <w:rFonts w:ascii="Arial" w:hAnsi="Arial" w:cs="Arial"/>
                <w:color w:val="000000"/>
                <w:sz w:val="20"/>
                <w:szCs w:val="20"/>
                <w:lang w:val="en-GB"/>
              </w:rPr>
              <w:br/>
              <w:t>G2: 58.3 (SD NR)</w:t>
            </w:r>
          </w:p>
        </w:tc>
        <w:tc>
          <w:tcPr>
            <w:tcW w:w="871" w:type="dxa"/>
          </w:tcPr>
          <w:p w14:paraId="55A7BE4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54 W</w:t>
            </w:r>
            <w:r w:rsidRPr="000B369D">
              <w:rPr>
                <w:rFonts w:ascii="Arial" w:hAnsi="Arial" w:cs="Arial"/>
                <w:color w:val="000000"/>
                <w:sz w:val="20"/>
                <w:szCs w:val="20"/>
              </w:rPr>
              <w:br/>
              <w:t>10 M</w:t>
            </w:r>
          </w:p>
        </w:tc>
        <w:tc>
          <w:tcPr>
            <w:tcW w:w="1813" w:type="dxa"/>
          </w:tcPr>
          <w:p w14:paraId="1F3B58E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p>
        </w:tc>
        <w:tc>
          <w:tcPr>
            <w:tcW w:w="2517" w:type="dxa"/>
          </w:tcPr>
          <w:p w14:paraId="42CF393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0B369D" w14:paraId="20C59B18" w14:textId="77777777" w:rsidTr="008C4C2C">
        <w:tc>
          <w:tcPr>
            <w:tcW w:w="1342" w:type="dxa"/>
          </w:tcPr>
          <w:p w14:paraId="2FC8CA3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Herrero-Beaumont, 2007</w:t>
            </w:r>
          </w:p>
        </w:tc>
        <w:tc>
          <w:tcPr>
            <w:tcW w:w="1131" w:type="dxa"/>
          </w:tcPr>
          <w:p w14:paraId="45016BA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3 groups</w:t>
            </w:r>
          </w:p>
        </w:tc>
        <w:tc>
          <w:tcPr>
            <w:tcW w:w="1919" w:type="dxa"/>
          </w:tcPr>
          <w:p w14:paraId="628AD14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Acetaminophen</w:t>
            </w:r>
          </w:p>
          <w:p w14:paraId="028CAB0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prescription grade Crystalline Glucocamine Sulfate</w:t>
            </w:r>
          </w:p>
          <w:p w14:paraId="6989F18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G3: Placebo</w:t>
            </w:r>
          </w:p>
        </w:tc>
        <w:tc>
          <w:tcPr>
            <w:tcW w:w="1445" w:type="dxa"/>
          </w:tcPr>
          <w:p w14:paraId="6C03948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26 weeks</w:t>
            </w:r>
          </w:p>
        </w:tc>
        <w:tc>
          <w:tcPr>
            <w:tcW w:w="1337" w:type="dxa"/>
          </w:tcPr>
          <w:p w14:paraId="60669AC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318</w:t>
            </w:r>
          </w:p>
          <w:p w14:paraId="5B4D5927" w14:textId="77777777" w:rsidR="00582B19" w:rsidRPr="000B369D" w:rsidRDefault="00582B19" w:rsidP="00111BE5">
            <w:pPr>
              <w:rPr>
                <w:rFonts w:ascii="Arial" w:hAnsi="Arial" w:cs="Arial"/>
                <w:color w:val="000000"/>
                <w:sz w:val="20"/>
                <w:szCs w:val="20"/>
              </w:rPr>
            </w:pPr>
          </w:p>
          <w:p w14:paraId="41620D3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108</w:t>
            </w:r>
            <w:r w:rsidRPr="000B369D">
              <w:rPr>
                <w:rFonts w:ascii="Arial" w:hAnsi="Arial" w:cs="Arial"/>
                <w:color w:val="000000"/>
                <w:sz w:val="20"/>
                <w:szCs w:val="20"/>
              </w:rPr>
              <w:br/>
              <w:t>G2: 106</w:t>
            </w:r>
            <w:r w:rsidRPr="000B369D">
              <w:rPr>
                <w:rFonts w:ascii="Arial" w:hAnsi="Arial" w:cs="Arial"/>
                <w:color w:val="000000"/>
                <w:sz w:val="20"/>
                <w:szCs w:val="20"/>
              </w:rPr>
              <w:br/>
              <w:t>G3: 104</w:t>
            </w:r>
          </w:p>
        </w:tc>
        <w:tc>
          <w:tcPr>
            <w:tcW w:w="1619" w:type="dxa"/>
          </w:tcPr>
          <w:p w14:paraId="69A23EA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63.8 ± 6.9</w:t>
            </w:r>
            <w:r w:rsidRPr="000B369D">
              <w:rPr>
                <w:rFonts w:ascii="Arial" w:hAnsi="Arial" w:cs="Arial"/>
                <w:color w:val="000000"/>
                <w:sz w:val="20"/>
                <w:szCs w:val="20"/>
              </w:rPr>
              <w:br/>
              <w:t>G2: 63.4 ± 6.9</w:t>
            </w:r>
            <w:r w:rsidRPr="000B369D">
              <w:rPr>
                <w:rFonts w:ascii="Arial" w:hAnsi="Arial" w:cs="Arial"/>
                <w:color w:val="000000"/>
                <w:sz w:val="20"/>
                <w:szCs w:val="20"/>
              </w:rPr>
              <w:br/>
              <w:t>G3: 64.5 ± 7.2</w:t>
            </w:r>
          </w:p>
        </w:tc>
        <w:tc>
          <w:tcPr>
            <w:tcW w:w="871" w:type="dxa"/>
          </w:tcPr>
          <w:p w14:paraId="104ADC5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278 W</w:t>
            </w:r>
            <w:r w:rsidRPr="000B369D">
              <w:rPr>
                <w:rFonts w:ascii="Arial" w:hAnsi="Arial" w:cs="Arial"/>
                <w:color w:val="000000"/>
                <w:sz w:val="20"/>
                <w:szCs w:val="20"/>
              </w:rPr>
              <w:br/>
              <w:t>40 M</w:t>
            </w:r>
          </w:p>
        </w:tc>
        <w:tc>
          <w:tcPr>
            <w:tcW w:w="1813" w:type="dxa"/>
          </w:tcPr>
          <w:p w14:paraId="22F4EF7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p>
        </w:tc>
        <w:tc>
          <w:tcPr>
            <w:tcW w:w="2517" w:type="dxa"/>
          </w:tcPr>
          <w:p w14:paraId="2993A8F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Supported by Rottapharm.</w:t>
            </w:r>
          </w:p>
        </w:tc>
      </w:tr>
      <w:tr w:rsidR="00582B19" w:rsidRPr="00252F1D" w14:paraId="32798519" w14:textId="77777777" w:rsidTr="008C4C2C">
        <w:tc>
          <w:tcPr>
            <w:tcW w:w="1342" w:type="dxa"/>
          </w:tcPr>
          <w:p w14:paraId="57DBA44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Hochberg, 2016</w:t>
            </w:r>
          </w:p>
        </w:tc>
        <w:tc>
          <w:tcPr>
            <w:tcW w:w="1131" w:type="dxa"/>
          </w:tcPr>
          <w:p w14:paraId="20396F31"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RCT, double-blind, 2 groups, phase IV</w:t>
            </w:r>
          </w:p>
        </w:tc>
        <w:tc>
          <w:tcPr>
            <w:tcW w:w="1919" w:type="dxa"/>
          </w:tcPr>
          <w:p w14:paraId="566B5DE7"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Chondroitin Sulfate + Glucosamine  sulfate</w:t>
            </w:r>
          </w:p>
          <w:p w14:paraId="6FFE3C1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Celecoxib</w:t>
            </w:r>
          </w:p>
        </w:tc>
        <w:tc>
          <w:tcPr>
            <w:tcW w:w="1445" w:type="dxa"/>
          </w:tcPr>
          <w:p w14:paraId="0754EC2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26 weeks</w:t>
            </w:r>
          </w:p>
        </w:tc>
        <w:tc>
          <w:tcPr>
            <w:tcW w:w="1337" w:type="dxa"/>
          </w:tcPr>
          <w:p w14:paraId="5FF4F9F9"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568</w:t>
            </w:r>
          </w:p>
          <w:p w14:paraId="5426A2D1" w14:textId="77777777" w:rsidR="00582B19" w:rsidRPr="000B369D" w:rsidRDefault="00582B19" w:rsidP="00111BE5">
            <w:pPr>
              <w:rPr>
                <w:rFonts w:ascii="Arial" w:hAnsi="Arial" w:cs="Arial"/>
                <w:color w:val="000000"/>
                <w:sz w:val="20"/>
                <w:szCs w:val="20"/>
              </w:rPr>
            </w:pPr>
          </w:p>
          <w:p w14:paraId="6941123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G1: 286 </w:t>
            </w:r>
            <w:r w:rsidRPr="000B369D">
              <w:rPr>
                <w:rFonts w:ascii="Arial" w:hAnsi="Arial" w:cs="Arial"/>
                <w:color w:val="000000"/>
                <w:sz w:val="20"/>
                <w:szCs w:val="20"/>
              </w:rPr>
              <w:br/>
              <w:t>G2: 282</w:t>
            </w:r>
          </w:p>
        </w:tc>
        <w:tc>
          <w:tcPr>
            <w:tcW w:w="1619" w:type="dxa"/>
          </w:tcPr>
          <w:p w14:paraId="00642C6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62.2 ± 8.8</w:t>
            </w:r>
            <w:r w:rsidRPr="000B369D">
              <w:rPr>
                <w:rFonts w:ascii="Arial" w:hAnsi="Arial" w:cs="Arial"/>
                <w:color w:val="000000"/>
                <w:sz w:val="20"/>
                <w:szCs w:val="20"/>
              </w:rPr>
              <w:br/>
              <w:t>G2: 63.2 ± 9.0</w:t>
            </w:r>
          </w:p>
        </w:tc>
        <w:tc>
          <w:tcPr>
            <w:tcW w:w="871" w:type="dxa"/>
          </w:tcPr>
          <w:p w14:paraId="1E08719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438 W</w:t>
            </w:r>
            <w:r w:rsidRPr="000B369D">
              <w:rPr>
                <w:rFonts w:ascii="Arial" w:hAnsi="Arial" w:cs="Arial"/>
                <w:color w:val="000000"/>
                <w:sz w:val="20"/>
                <w:szCs w:val="20"/>
              </w:rPr>
              <w:br/>
              <w:t>84 M</w:t>
            </w:r>
          </w:p>
        </w:tc>
        <w:tc>
          <w:tcPr>
            <w:tcW w:w="1813" w:type="dxa"/>
          </w:tcPr>
          <w:p w14:paraId="44FB7A1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7E879559"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 xml:space="preserve">Funded by Bioiberica SA, Barcelona, Spain. </w:t>
            </w:r>
          </w:p>
        </w:tc>
      </w:tr>
      <w:tr w:rsidR="00582B19" w:rsidRPr="000B369D" w14:paraId="061DE5B0" w14:textId="77777777" w:rsidTr="008C4C2C">
        <w:tc>
          <w:tcPr>
            <w:tcW w:w="1342" w:type="dxa"/>
          </w:tcPr>
          <w:p w14:paraId="7AF3DD0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Housman, 2014</w:t>
            </w:r>
          </w:p>
        </w:tc>
        <w:tc>
          <w:tcPr>
            <w:tcW w:w="1131" w:type="dxa"/>
          </w:tcPr>
          <w:p w14:paraId="78736AA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3 groups</w:t>
            </w:r>
          </w:p>
        </w:tc>
        <w:tc>
          <w:tcPr>
            <w:tcW w:w="1919" w:type="dxa"/>
          </w:tcPr>
          <w:p w14:paraId="7ECF4E1F"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71F50A26"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 xml:space="preserve">G2: IA Methylprednisolone </w:t>
            </w:r>
          </w:p>
        </w:tc>
        <w:tc>
          <w:tcPr>
            <w:tcW w:w="1445" w:type="dxa"/>
          </w:tcPr>
          <w:p w14:paraId="60933CA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One injection</w:t>
            </w:r>
          </w:p>
        </w:tc>
        <w:tc>
          <w:tcPr>
            <w:tcW w:w="1337" w:type="dxa"/>
          </w:tcPr>
          <w:p w14:paraId="0B89CAD4"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391</w:t>
            </w:r>
          </w:p>
          <w:p w14:paraId="4036CE6E" w14:textId="77777777" w:rsidR="00582B19" w:rsidRPr="000B369D" w:rsidRDefault="00582B19" w:rsidP="00111BE5">
            <w:pPr>
              <w:rPr>
                <w:rFonts w:ascii="Arial" w:hAnsi="Arial" w:cs="Arial"/>
                <w:color w:val="000000"/>
                <w:sz w:val="20"/>
                <w:szCs w:val="20"/>
                <w:lang w:val="en-GB"/>
              </w:rPr>
            </w:pPr>
          </w:p>
          <w:p w14:paraId="119A1A45"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 xml:space="preserve">G1: 130 </w:t>
            </w:r>
            <w:r w:rsidRPr="000B369D">
              <w:rPr>
                <w:rFonts w:ascii="Arial" w:hAnsi="Arial" w:cs="Arial"/>
                <w:color w:val="000000"/>
                <w:sz w:val="20"/>
                <w:szCs w:val="20"/>
                <w:lang w:val="en-GB"/>
              </w:rPr>
              <w:br/>
              <w:t>G2: 132</w:t>
            </w:r>
            <w:r w:rsidRPr="000B369D">
              <w:rPr>
                <w:rFonts w:ascii="Arial" w:hAnsi="Arial" w:cs="Arial"/>
                <w:color w:val="000000"/>
                <w:sz w:val="20"/>
                <w:szCs w:val="20"/>
                <w:lang w:val="en-GB"/>
              </w:rPr>
              <w:br/>
              <w:t>G3: 129 (not used in analyses)</w:t>
            </w:r>
          </w:p>
        </w:tc>
        <w:tc>
          <w:tcPr>
            <w:tcW w:w="1619" w:type="dxa"/>
          </w:tcPr>
          <w:p w14:paraId="5FEE876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G1: 60.6 ± 9.9 </w:t>
            </w:r>
            <w:r w:rsidRPr="000B369D">
              <w:rPr>
                <w:rFonts w:ascii="Arial" w:hAnsi="Arial" w:cs="Arial"/>
                <w:color w:val="000000"/>
                <w:sz w:val="20"/>
                <w:szCs w:val="20"/>
              </w:rPr>
              <w:br/>
              <w:t>G2: 60.1 ± 9.3</w:t>
            </w:r>
          </w:p>
        </w:tc>
        <w:tc>
          <w:tcPr>
            <w:tcW w:w="871" w:type="dxa"/>
          </w:tcPr>
          <w:p w14:paraId="5CCD7F6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261 W </w:t>
            </w:r>
            <w:r w:rsidRPr="000B369D">
              <w:rPr>
                <w:rFonts w:ascii="Arial" w:hAnsi="Arial" w:cs="Arial"/>
                <w:color w:val="000000"/>
                <w:sz w:val="20"/>
                <w:szCs w:val="20"/>
              </w:rPr>
              <w:br/>
              <w:t>130 M</w:t>
            </w:r>
          </w:p>
        </w:tc>
        <w:tc>
          <w:tcPr>
            <w:tcW w:w="1813" w:type="dxa"/>
          </w:tcPr>
          <w:p w14:paraId="529DEF2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p>
        </w:tc>
        <w:tc>
          <w:tcPr>
            <w:tcW w:w="2517" w:type="dxa"/>
          </w:tcPr>
          <w:p w14:paraId="0FECAFB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252F1D" w14:paraId="1827F96B" w14:textId="77777777" w:rsidTr="008C4C2C">
        <w:tc>
          <w:tcPr>
            <w:tcW w:w="1342" w:type="dxa"/>
          </w:tcPr>
          <w:p w14:paraId="44013B1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Huang, 2009</w:t>
            </w:r>
          </w:p>
        </w:tc>
        <w:tc>
          <w:tcPr>
            <w:tcW w:w="1131" w:type="dxa"/>
          </w:tcPr>
          <w:p w14:paraId="7E45F83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2 groups</w:t>
            </w:r>
          </w:p>
        </w:tc>
        <w:tc>
          <w:tcPr>
            <w:tcW w:w="1919" w:type="dxa"/>
          </w:tcPr>
          <w:p w14:paraId="5D503BA8"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6A0D889A"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243E5D5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5 weekly injections</w:t>
            </w:r>
          </w:p>
        </w:tc>
        <w:tc>
          <w:tcPr>
            <w:tcW w:w="1337" w:type="dxa"/>
          </w:tcPr>
          <w:p w14:paraId="079024A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200</w:t>
            </w:r>
          </w:p>
          <w:p w14:paraId="3FDA13A6" w14:textId="77777777" w:rsidR="00582B19" w:rsidRPr="000B369D" w:rsidRDefault="00582B19" w:rsidP="00111BE5">
            <w:pPr>
              <w:rPr>
                <w:rFonts w:ascii="Arial" w:hAnsi="Arial" w:cs="Arial"/>
                <w:color w:val="000000"/>
                <w:sz w:val="20"/>
                <w:szCs w:val="20"/>
              </w:rPr>
            </w:pPr>
          </w:p>
          <w:p w14:paraId="2C30950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100 (98 ITT)</w:t>
            </w:r>
            <w:r w:rsidRPr="000B369D">
              <w:rPr>
                <w:rFonts w:ascii="Arial" w:hAnsi="Arial" w:cs="Arial"/>
                <w:color w:val="000000"/>
                <w:sz w:val="20"/>
                <w:szCs w:val="20"/>
              </w:rPr>
              <w:br/>
              <w:t>G2: 100</w:t>
            </w:r>
          </w:p>
        </w:tc>
        <w:tc>
          <w:tcPr>
            <w:tcW w:w="1619" w:type="dxa"/>
          </w:tcPr>
          <w:p w14:paraId="5ED12F1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65.9 ± 8.1</w:t>
            </w:r>
            <w:r w:rsidRPr="000B369D">
              <w:rPr>
                <w:rFonts w:ascii="Arial" w:hAnsi="Arial" w:cs="Arial"/>
                <w:color w:val="000000"/>
                <w:sz w:val="20"/>
                <w:szCs w:val="20"/>
              </w:rPr>
              <w:br/>
              <w:t>G2: 64.2 ± 8.4</w:t>
            </w:r>
          </w:p>
        </w:tc>
        <w:tc>
          <w:tcPr>
            <w:tcW w:w="871" w:type="dxa"/>
          </w:tcPr>
          <w:p w14:paraId="1A0761A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152 W</w:t>
            </w:r>
            <w:r w:rsidRPr="000B369D">
              <w:rPr>
                <w:rFonts w:ascii="Arial" w:hAnsi="Arial" w:cs="Arial"/>
                <w:color w:val="000000"/>
                <w:sz w:val="20"/>
                <w:szCs w:val="20"/>
              </w:rPr>
              <w:br/>
              <w:t>48 M</w:t>
            </w:r>
          </w:p>
        </w:tc>
        <w:tc>
          <w:tcPr>
            <w:tcW w:w="1813" w:type="dxa"/>
          </w:tcPr>
          <w:p w14:paraId="2839887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42357721"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Hyalgan is kindly provided by Fidia Farmaceutici SpA and Med Pharma Co.,</w:t>
            </w:r>
            <w:r w:rsidRPr="000B369D">
              <w:rPr>
                <w:rFonts w:ascii="Arial" w:hAnsi="Arial" w:cs="Arial"/>
                <w:color w:val="000000"/>
                <w:sz w:val="20"/>
                <w:szCs w:val="20"/>
                <w:lang w:val="en-GB"/>
              </w:rPr>
              <w:br/>
              <w:t>Ltd.</w:t>
            </w:r>
          </w:p>
        </w:tc>
      </w:tr>
      <w:tr w:rsidR="00582B19" w:rsidRPr="000B369D" w14:paraId="3275D2B3" w14:textId="77777777" w:rsidTr="008C4C2C">
        <w:tc>
          <w:tcPr>
            <w:tcW w:w="1342" w:type="dxa"/>
          </w:tcPr>
          <w:p w14:paraId="50983BD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Huang, 2019</w:t>
            </w:r>
          </w:p>
        </w:tc>
        <w:tc>
          <w:tcPr>
            <w:tcW w:w="1131" w:type="dxa"/>
          </w:tcPr>
          <w:p w14:paraId="7B3C62E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3 groups</w:t>
            </w:r>
          </w:p>
        </w:tc>
        <w:tc>
          <w:tcPr>
            <w:tcW w:w="1919" w:type="dxa"/>
          </w:tcPr>
          <w:p w14:paraId="56AAE972"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75CA96CC"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Prednisolone</w:t>
            </w:r>
          </w:p>
        </w:tc>
        <w:tc>
          <w:tcPr>
            <w:tcW w:w="1445" w:type="dxa"/>
          </w:tcPr>
          <w:p w14:paraId="78080EE3"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1 injection each week for three weeks</w:t>
            </w:r>
          </w:p>
        </w:tc>
        <w:tc>
          <w:tcPr>
            <w:tcW w:w="1337" w:type="dxa"/>
          </w:tcPr>
          <w:p w14:paraId="68300130"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120</w:t>
            </w:r>
          </w:p>
          <w:p w14:paraId="14AA8FD7" w14:textId="77777777" w:rsidR="00582B19" w:rsidRPr="000B369D" w:rsidRDefault="00582B19" w:rsidP="00111BE5">
            <w:pPr>
              <w:rPr>
                <w:rFonts w:ascii="Arial" w:hAnsi="Arial" w:cs="Arial"/>
                <w:color w:val="000000"/>
                <w:sz w:val="20"/>
                <w:szCs w:val="20"/>
                <w:lang w:val="en-GB"/>
              </w:rPr>
            </w:pPr>
          </w:p>
          <w:p w14:paraId="6E5CF92E"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G1: 40</w:t>
            </w:r>
            <w:r w:rsidRPr="000B369D">
              <w:rPr>
                <w:rFonts w:ascii="Arial" w:hAnsi="Arial" w:cs="Arial"/>
                <w:color w:val="000000"/>
                <w:sz w:val="20"/>
                <w:szCs w:val="20"/>
                <w:lang w:val="en-GB"/>
              </w:rPr>
              <w:br/>
              <w:t>G2: 40</w:t>
            </w:r>
            <w:r w:rsidRPr="000B369D">
              <w:rPr>
                <w:rFonts w:ascii="Arial" w:hAnsi="Arial" w:cs="Arial"/>
                <w:color w:val="000000"/>
                <w:sz w:val="20"/>
                <w:szCs w:val="20"/>
                <w:lang w:val="en-GB"/>
              </w:rPr>
              <w:br/>
              <w:t>G3: 40 (not used in analyses)</w:t>
            </w:r>
          </w:p>
        </w:tc>
        <w:tc>
          <w:tcPr>
            <w:tcW w:w="1619" w:type="dxa"/>
          </w:tcPr>
          <w:p w14:paraId="7FD03DE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54.8 ± 1.1</w:t>
            </w:r>
            <w:r w:rsidRPr="000B369D">
              <w:rPr>
                <w:rFonts w:ascii="Arial" w:hAnsi="Arial" w:cs="Arial"/>
                <w:color w:val="000000"/>
                <w:sz w:val="20"/>
                <w:szCs w:val="20"/>
              </w:rPr>
              <w:br/>
              <w:t>G2: 54.3 ± 1.4</w:t>
            </w:r>
          </w:p>
        </w:tc>
        <w:tc>
          <w:tcPr>
            <w:tcW w:w="871" w:type="dxa"/>
          </w:tcPr>
          <w:p w14:paraId="72E3281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55 W</w:t>
            </w:r>
            <w:r w:rsidRPr="000B369D">
              <w:rPr>
                <w:rFonts w:ascii="Arial" w:hAnsi="Arial" w:cs="Arial"/>
                <w:color w:val="000000"/>
                <w:sz w:val="20"/>
                <w:szCs w:val="20"/>
              </w:rPr>
              <w:br/>
              <w:t>65 M</w:t>
            </w:r>
          </w:p>
        </w:tc>
        <w:tc>
          <w:tcPr>
            <w:tcW w:w="1813" w:type="dxa"/>
          </w:tcPr>
          <w:p w14:paraId="0F87147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p>
        </w:tc>
        <w:tc>
          <w:tcPr>
            <w:tcW w:w="2517" w:type="dxa"/>
          </w:tcPr>
          <w:p w14:paraId="4C27EB2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252F1D" w14:paraId="53092E9D" w14:textId="77777777" w:rsidTr="008C4C2C">
        <w:tc>
          <w:tcPr>
            <w:tcW w:w="1342" w:type="dxa"/>
          </w:tcPr>
          <w:p w14:paraId="6D20DD1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Hughes, 2002</w:t>
            </w:r>
          </w:p>
        </w:tc>
        <w:tc>
          <w:tcPr>
            <w:tcW w:w="1131" w:type="dxa"/>
          </w:tcPr>
          <w:p w14:paraId="20CEA0D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2 groups</w:t>
            </w:r>
          </w:p>
        </w:tc>
        <w:tc>
          <w:tcPr>
            <w:tcW w:w="1919" w:type="dxa"/>
          </w:tcPr>
          <w:p w14:paraId="31FBFCF1"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 xml:space="preserve">G1: Glucosamine sulfate (+ 900mg Vitamin C, 900mg </w:t>
            </w:r>
            <w:r w:rsidRPr="000B369D">
              <w:rPr>
                <w:rFonts w:ascii="Arial" w:hAnsi="Arial" w:cs="Arial"/>
                <w:color w:val="000000"/>
                <w:sz w:val="20"/>
                <w:szCs w:val="20"/>
                <w:lang w:val="en-GB"/>
              </w:rPr>
              <w:lastRenderedPageBreak/>
              <w:t>calcium carbonate, 15mg manganese)</w:t>
            </w:r>
          </w:p>
          <w:p w14:paraId="2B2377ED"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0ABC98C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lastRenderedPageBreak/>
              <w:t>24 weeks</w:t>
            </w:r>
          </w:p>
        </w:tc>
        <w:tc>
          <w:tcPr>
            <w:tcW w:w="1337" w:type="dxa"/>
          </w:tcPr>
          <w:p w14:paraId="003E411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80</w:t>
            </w:r>
          </w:p>
          <w:p w14:paraId="6F54FD87" w14:textId="77777777" w:rsidR="00582B19" w:rsidRPr="000B369D" w:rsidRDefault="00582B19" w:rsidP="00111BE5">
            <w:pPr>
              <w:rPr>
                <w:rFonts w:ascii="Arial" w:hAnsi="Arial" w:cs="Arial"/>
                <w:color w:val="000000"/>
                <w:sz w:val="20"/>
                <w:szCs w:val="20"/>
              </w:rPr>
            </w:pPr>
          </w:p>
          <w:p w14:paraId="2A8F17E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40</w:t>
            </w:r>
            <w:r w:rsidRPr="000B369D">
              <w:rPr>
                <w:rFonts w:ascii="Arial" w:hAnsi="Arial" w:cs="Arial"/>
                <w:color w:val="000000"/>
                <w:sz w:val="20"/>
                <w:szCs w:val="20"/>
              </w:rPr>
              <w:br/>
              <w:t>G2: 40</w:t>
            </w:r>
          </w:p>
        </w:tc>
        <w:tc>
          <w:tcPr>
            <w:tcW w:w="1619" w:type="dxa"/>
          </w:tcPr>
          <w:p w14:paraId="4E941A4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62.28 ± 9.12 </w:t>
            </w:r>
          </w:p>
        </w:tc>
        <w:tc>
          <w:tcPr>
            <w:tcW w:w="871" w:type="dxa"/>
          </w:tcPr>
          <w:p w14:paraId="22C12C8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54 W</w:t>
            </w:r>
            <w:r w:rsidRPr="000B369D">
              <w:rPr>
                <w:rFonts w:ascii="Arial" w:hAnsi="Arial" w:cs="Arial"/>
                <w:color w:val="000000"/>
                <w:sz w:val="20"/>
                <w:szCs w:val="20"/>
              </w:rPr>
              <w:br/>
              <w:t>36 M</w:t>
            </w:r>
          </w:p>
        </w:tc>
        <w:tc>
          <w:tcPr>
            <w:tcW w:w="1813" w:type="dxa"/>
          </w:tcPr>
          <w:p w14:paraId="67D6E26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39B7962E"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 xml:space="preserve">Supported by Health Perception UK. Health Perception UK is a </w:t>
            </w:r>
            <w:r w:rsidRPr="000B369D">
              <w:rPr>
                <w:rFonts w:ascii="Arial" w:hAnsi="Arial" w:cs="Arial"/>
                <w:color w:val="000000"/>
                <w:sz w:val="20"/>
                <w:szCs w:val="20"/>
                <w:lang w:val="en-GB"/>
              </w:rPr>
              <w:lastRenderedPageBreak/>
              <w:t>manufacturer of glucosamine sulphate.</w:t>
            </w:r>
          </w:p>
        </w:tc>
      </w:tr>
      <w:tr w:rsidR="00582B19" w:rsidRPr="000B369D" w14:paraId="7ED26659" w14:textId="77777777" w:rsidTr="008C4C2C">
        <w:tc>
          <w:tcPr>
            <w:tcW w:w="1342" w:type="dxa"/>
          </w:tcPr>
          <w:p w14:paraId="224E16F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lastRenderedPageBreak/>
              <w:t>Huskisson, 1999</w:t>
            </w:r>
          </w:p>
        </w:tc>
        <w:tc>
          <w:tcPr>
            <w:tcW w:w="1131" w:type="dxa"/>
          </w:tcPr>
          <w:p w14:paraId="28D340E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2 groups</w:t>
            </w:r>
          </w:p>
        </w:tc>
        <w:tc>
          <w:tcPr>
            <w:tcW w:w="1919" w:type="dxa"/>
          </w:tcPr>
          <w:p w14:paraId="4B6E4CA4"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617EFE2D"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5FE9F2F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5 weekly injection</w:t>
            </w:r>
          </w:p>
        </w:tc>
        <w:tc>
          <w:tcPr>
            <w:tcW w:w="1337" w:type="dxa"/>
          </w:tcPr>
          <w:p w14:paraId="2D19E54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100</w:t>
            </w:r>
          </w:p>
          <w:p w14:paraId="557E0446" w14:textId="77777777" w:rsidR="00582B19" w:rsidRPr="000B369D" w:rsidRDefault="00582B19" w:rsidP="00111BE5">
            <w:pPr>
              <w:rPr>
                <w:rFonts w:ascii="Arial" w:hAnsi="Arial" w:cs="Arial"/>
                <w:color w:val="000000"/>
                <w:sz w:val="20"/>
                <w:szCs w:val="20"/>
              </w:rPr>
            </w:pPr>
          </w:p>
          <w:p w14:paraId="5E76DAB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50</w:t>
            </w:r>
            <w:r w:rsidRPr="000B369D">
              <w:rPr>
                <w:rFonts w:ascii="Arial" w:hAnsi="Arial" w:cs="Arial"/>
                <w:color w:val="000000"/>
                <w:sz w:val="20"/>
                <w:szCs w:val="20"/>
              </w:rPr>
              <w:br/>
              <w:t>G2: 50</w:t>
            </w:r>
          </w:p>
        </w:tc>
        <w:tc>
          <w:tcPr>
            <w:tcW w:w="1619" w:type="dxa"/>
          </w:tcPr>
          <w:p w14:paraId="10B10D1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65.8 ± 8.8</w:t>
            </w:r>
            <w:r w:rsidRPr="000B369D">
              <w:rPr>
                <w:rFonts w:ascii="Arial" w:hAnsi="Arial" w:cs="Arial"/>
                <w:color w:val="000000"/>
                <w:sz w:val="20"/>
                <w:szCs w:val="20"/>
              </w:rPr>
              <w:br/>
              <w:t>G2: 64.8 ± 9.3</w:t>
            </w:r>
          </w:p>
        </w:tc>
        <w:tc>
          <w:tcPr>
            <w:tcW w:w="871" w:type="dxa"/>
          </w:tcPr>
          <w:p w14:paraId="73504C8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67 W</w:t>
            </w:r>
            <w:r w:rsidRPr="000B369D">
              <w:rPr>
                <w:rFonts w:ascii="Arial" w:hAnsi="Arial" w:cs="Arial"/>
                <w:color w:val="000000"/>
                <w:sz w:val="20"/>
                <w:szCs w:val="20"/>
              </w:rPr>
              <w:br/>
              <w:t>33 M</w:t>
            </w:r>
          </w:p>
        </w:tc>
        <w:tc>
          <w:tcPr>
            <w:tcW w:w="1813" w:type="dxa"/>
          </w:tcPr>
          <w:p w14:paraId="6A94A5B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63A6533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0B369D" w14:paraId="1F207522" w14:textId="77777777" w:rsidTr="008C4C2C">
        <w:tc>
          <w:tcPr>
            <w:tcW w:w="1342" w:type="dxa"/>
          </w:tcPr>
          <w:p w14:paraId="68AD659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Lomonte, 2015</w:t>
            </w:r>
          </w:p>
        </w:tc>
        <w:tc>
          <w:tcPr>
            <w:tcW w:w="1131" w:type="dxa"/>
          </w:tcPr>
          <w:p w14:paraId="5F1EEBB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40454BC8"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 xml:space="preserve">G1: IA Triamcinolone </w:t>
            </w:r>
          </w:p>
          <w:p w14:paraId="3D790701"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Methylprednisolone</w:t>
            </w:r>
          </w:p>
        </w:tc>
        <w:tc>
          <w:tcPr>
            <w:tcW w:w="1445" w:type="dxa"/>
          </w:tcPr>
          <w:p w14:paraId="670E98E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 xml:space="preserve">A single injection </w:t>
            </w:r>
          </w:p>
        </w:tc>
        <w:tc>
          <w:tcPr>
            <w:tcW w:w="1337" w:type="dxa"/>
          </w:tcPr>
          <w:p w14:paraId="360D23E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100</w:t>
            </w:r>
          </w:p>
          <w:p w14:paraId="3126EEB2" w14:textId="77777777" w:rsidR="00582B19" w:rsidRPr="000B369D" w:rsidRDefault="00582B19" w:rsidP="00111BE5">
            <w:pPr>
              <w:rPr>
                <w:rFonts w:ascii="Arial" w:hAnsi="Arial" w:cs="Arial"/>
                <w:color w:val="000000"/>
                <w:sz w:val="20"/>
                <w:szCs w:val="20"/>
              </w:rPr>
            </w:pPr>
          </w:p>
          <w:p w14:paraId="3D9FE8B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50</w:t>
            </w:r>
            <w:r w:rsidRPr="000B369D">
              <w:rPr>
                <w:rFonts w:ascii="Arial" w:hAnsi="Arial" w:cs="Arial"/>
                <w:color w:val="000000"/>
                <w:sz w:val="20"/>
                <w:szCs w:val="20"/>
              </w:rPr>
              <w:br/>
              <w:t>G2: 50</w:t>
            </w:r>
          </w:p>
        </w:tc>
        <w:tc>
          <w:tcPr>
            <w:tcW w:w="1619" w:type="dxa"/>
          </w:tcPr>
          <w:p w14:paraId="3AAFD4A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64.8 ± 8.3</w:t>
            </w:r>
            <w:r w:rsidRPr="000B369D">
              <w:rPr>
                <w:rFonts w:ascii="Arial" w:hAnsi="Arial" w:cs="Arial"/>
                <w:color w:val="000000"/>
                <w:sz w:val="20"/>
                <w:szCs w:val="20"/>
              </w:rPr>
              <w:br/>
              <w:t>G2: 66.2 ± 8.2</w:t>
            </w:r>
          </w:p>
        </w:tc>
        <w:tc>
          <w:tcPr>
            <w:tcW w:w="871" w:type="dxa"/>
          </w:tcPr>
          <w:p w14:paraId="067ED80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94 W</w:t>
            </w:r>
            <w:r w:rsidRPr="000B369D">
              <w:rPr>
                <w:rFonts w:ascii="Arial" w:hAnsi="Arial" w:cs="Arial"/>
                <w:color w:val="000000"/>
                <w:sz w:val="20"/>
                <w:szCs w:val="20"/>
              </w:rPr>
              <w:br/>
              <w:t>6 M</w:t>
            </w:r>
          </w:p>
        </w:tc>
        <w:tc>
          <w:tcPr>
            <w:tcW w:w="1813" w:type="dxa"/>
          </w:tcPr>
          <w:p w14:paraId="4B323C9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p>
        </w:tc>
        <w:tc>
          <w:tcPr>
            <w:tcW w:w="2517" w:type="dxa"/>
          </w:tcPr>
          <w:p w14:paraId="614B419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0B369D" w14:paraId="01F62AD4" w14:textId="77777777" w:rsidTr="008C4C2C">
        <w:tc>
          <w:tcPr>
            <w:tcW w:w="1342" w:type="dxa"/>
          </w:tcPr>
          <w:p w14:paraId="3B3A581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Lugo, 2016</w:t>
            </w:r>
          </w:p>
        </w:tc>
        <w:tc>
          <w:tcPr>
            <w:tcW w:w="1131" w:type="dxa"/>
          </w:tcPr>
          <w:p w14:paraId="48515F4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3 groups</w:t>
            </w:r>
          </w:p>
        </w:tc>
        <w:tc>
          <w:tcPr>
            <w:tcW w:w="1919" w:type="dxa"/>
          </w:tcPr>
          <w:p w14:paraId="74C16EE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Glucosamine sulfate+ Chondroitin sulfate</w:t>
            </w:r>
          </w:p>
          <w:p w14:paraId="3BC95A2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36948547"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26 weeks</w:t>
            </w:r>
          </w:p>
        </w:tc>
        <w:tc>
          <w:tcPr>
            <w:tcW w:w="1337" w:type="dxa"/>
          </w:tcPr>
          <w:p w14:paraId="7AC9B8F9"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186</w:t>
            </w:r>
          </w:p>
          <w:p w14:paraId="27CA33E6" w14:textId="77777777" w:rsidR="00582B19" w:rsidRPr="000B369D" w:rsidRDefault="00582B19" w:rsidP="00111BE5">
            <w:pPr>
              <w:rPr>
                <w:rFonts w:ascii="Arial" w:hAnsi="Arial" w:cs="Arial"/>
                <w:color w:val="000000"/>
                <w:sz w:val="20"/>
                <w:szCs w:val="20"/>
                <w:lang w:val="en-GB"/>
              </w:rPr>
            </w:pPr>
          </w:p>
          <w:p w14:paraId="1335D9BF"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G1: 65</w:t>
            </w:r>
            <w:r w:rsidRPr="000B369D">
              <w:rPr>
                <w:rFonts w:ascii="Arial" w:hAnsi="Arial" w:cs="Arial"/>
                <w:color w:val="000000"/>
                <w:sz w:val="20"/>
                <w:szCs w:val="20"/>
                <w:lang w:val="en-GB"/>
              </w:rPr>
              <w:br/>
              <w:t>G2: 58</w:t>
            </w:r>
            <w:r w:rsidRPr="000B369D">
              <w:rPr>
                <w:rFonts w:ascii="Arial" w:hAnsi="Arial" w:cs="Arial"/>
                <w:color w:val="000000"/>
                <w:sz w:val="20"/>
                <w:szCs w:val="20"/>
                <w:lang w:val="en-GB"/>
              </w:rPr>
              <w:br/>
              <w:t>G3: 63 (not used in analyses)</w:t>
            </w:r>
          </w:p>
        </w:tc>
        <w:tc>
          <w:tcPr>
            <w:tcW w:w="1619" w:type="dxa"/>
          </w:tcPr>
          <w:p w14:paraId="13EF2A0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52.6 ± 1.02</w:t>
            </w:r>
            <w:r w:rsidRPr="000B369D">
              <w:rPr>
                <w:rFonts w:ascii="Arial" w:hAnsi="Arial" w:cs="Arial"/>
                <w:color w:val="000000"/>
                <w:sz w:val="20"/>
                <w:szCs w:val="20"/>
              </w:rPr>
              <w:br/>
              <w:t>G2: 53.1 ± 1.02</w:t>
            </w:r>
          </w:p>
        </w:tc>
        <w:tc>
          <w:tcPr>
            <w:tcW w:w="871" w:type="dxa"/>
          </w:tcPr>
          <w:p w14:paraId="592C773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97 W</w:t>
            </w:r>
            <w:r w:rsidRPr="000B369D">
              <w:rPr>
                <w:rFonts w:ascii="Arial" w:hAnsi="Arial" w:cs="Arial"/>
                <w:color w:val="000000"/>
                <w:sz w:val="20"/>
                <w:szCs w:val="20"/>
              </w:rPr>
              <w:br/>
              <w:t>89 M</w:t>
            </w:r>
          </w:p>
        </w:tc>
        <w:tc>
          <w:tcPr>
            <w:tcW w:w="1813" w:type="dxa"/>
          </w:tcPr>
          <w:p w14:paraId="19E6013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p>
        </w:tc>
        <w:tc>
          <w:tcPr>
            <w:tcW w:w="2517" w:type="dxa"/>
          </w:tcPr>
          <w:p w14:paraId="27C9C0C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lang w:val="en-GB"/>
              </w:rPr>
              <w:t xml:space="preserve">Sponsored by InterHealth Nutraceuticals, Inc. </w:t>
            </w:r>
            <w:r w:rsidRPr="000B369D">
              <w:rPr>
                <w:rFonts w:ascii="Arial" w:hAnsi="Arial" w:cs="Arial"/>
                <w:color w:val="000000"/>
                <w:sz w:val="20"/>
                <w:szCs w:val="20"/>
              </w:rPr>
              <w:t xml:space="preserve">Benicia, CA. </w:t>
            </w:r>
          </w:p>
        </w:tc>
      </w:tr>
      <w:tr w:rsidR="00582B19" w:rsidRPr="00252F1D" w14:paraId="4C9E037B" w14:textId="77777777" w:rsidTr="008C4C2C">
        <w:tc>
          <w:tcPr>
            <w:tcW w:w="1342" w:type="dxa"/>
          </w:tcPr>
          <w:p w14:paraId="5BD5BCE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Lundsgaard, 2008</w:t>
            </w:r>
          </w:p>
        </w:tc>
        <w:tc>
          <w:tcPr>
            <w:tcW w:w="1131" w:type="dxa"/>
          </w:tcPr>
          <w:p w14:paraId="31BC414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3 groups</w:t>
            </w:r>
          </w:p>
        </w:tc>
        <w:tc>
          <w:tcPr>
            <w:tcW w:w="1919" w:type="dxa"/>
          </w:tcPr>
          <w:p w14:paraId="1E22534F"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25E2CED9"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092629C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4 weekly injection</w:t>
            </w:r>
          </w:p>
        </w:tc>
        <w:tc>
          <w:tcPr>
            <w:tcW w:w="1337" w:type="dxa"/>
          </w:tcPr>
          <w:p w14:paraId="181EAEE9"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251</w:t>
            </w:r>
          </w:p>
          <w:p w14:paraId="6C28E9C6" w14:textId="77777777" w:rsidR="00582B19" w:rsidRPr="000B369D" w:rsidRDefault="00582B19" w:rsidP="00111BE5">
            <w:pPr>
              <w:rPr>
                <w:rFonts w:ascii="Arial" w:hAnsi="Arial" w:cs="Arial"/>
                <w:color w:val="000000"/>
                <w:sz w:val="20"/>
                <w:szCs w:val="20"/>
                <w:lang w:val="en-GB"/>
              </w:rPr>
            </w:pPr>
          </w:p>
          <w:p w14:paraId="789D358E"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G1: 84</w:t>
            </w:r>
            <w:r w:rsidRPr="000B369D">
              <w:rPr>
                <w:rFonts w:ascii="Arial" w:hAnsi="Arial" w:cs="Arial"/>
                <w:color w:val="000000"/>
                <w:sz w:val="20"/>
                <w:szCs w:val="20"/>
                <w:lang w:val="en-GB"/>
              </w:rPr>
              <w:br/>
              <w:t>G2: 84</w:t>
            </w:r>
            <w:r w:rsidRPr="000B369D">
              <w:rPr>
                <w:rFonts w:ascii="Arial" w:hAnsi="Arial" w:cs="Arial"/>
                <w:color w:val="000000"/>
                <w:sz w:val="20"/>
                <w:szCs w:val="20"/>
                <w:lang w:val="en-GB"/>
              </w:rPr>
              <w:br/>
              <w:t>G3: 83 (not used in analyses)</w:t>
            </w:r>
          </w:p>
        </w:tc>
        <w:tc>
          <w:tcPr>
            <w:tcW w:w="1619" w:type="dxa"/>
          </w:tcPr>
          <w:p w14:paraId="421C86B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68.8 ± 6.27</w:t>
            </w:r>
            <w:r w:rsidRPr="000B369D">
              <w:rPr>
                <w:rFonts w:ascii="Arial" w:hAnsi="Arial" w:cs="Arial"/>
                <w:color w:val="000000"/>
                <w:sz w:val="20"/>
                <w:szCs w:val="20"/>
              </w:rPr>
              <w:br/>
              <w:t>G2: 69.6 ± 7.27</w:t>
            </w:r>
          </w:p>
        </w:tc>
        <w:tc>
          <w:tcPr>
            <w:tcW w:w="871" w:type="dxa"/>
          </w:tcPr>
          <w:p w14:paraId="5B6802C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138 W</w:t>
            </w:r>
            <w:r w:rsidRPr="000B369D">
              <w:rPr>
                <w:rFonts w:ascii="Arial" w:hAnsi="Arial" w:cs="Arial"/>
                <w:color w:val="000000"/>
                <w:sz w:val="20"/>
                <w:szCs w:val="20"/>
              </w:rPr>
              <w:br/>
              <w:t>113 M</w:t>
            </w:r>
          </w:p>
        </w:tc>
        <w:tc>
          <w:tcPr>
            <w:tcW w:w="1813" w:type="dxa"/>
          </w:tcPr>
          <w:p w14:paraId="403E606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Pain </w:t>
            </w:r>
          </w:p>
        </w:tc>
        <w:tc>
          <w:tcPr>
            <w:tcW w:w="2517" w:type="dxa"/>
          </w:tcPr>
          <w:p w14:paraId="34055BC2"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Funded by Glostrup Hospital, The Danish Society of Rheumatism, and the Copenhagen Trial Unit, Centre for Clinical Intervention Research.</w:t>
            </w:r>
          </w:p>
        </w:tc>
      </w:tr>
      <w:tr w:rsidR="00582B19" w:rsidRPr="00252F1D" w14:paraId="7A10D109" w14:textId="77777777" w:rsidTr="008C4C2C">
        <w:tc>
          <w:tcPr>
            <w:tcW w:w="1342" w:type="dxa"/>
          </w:tcPr>
          <w:p w14:paraId="64F8760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Mazières, 2007</w:t>
            </w:r>
          </w:p>
        </w:tc>
        <w:tc>
          <w:tcPr>
            <w:tcW w:w="1131" w:type="dxa"/>
          </w:tcPr>
          <w:p w14:paraId="2AD3C28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18DB9249"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prescription grade Chondroitin Sulfate</w:t>
            </w:r>
          </w:p>
          <w:p w14:paraId="3A87C60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05C597CD"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24 weeks</w:t>
            </w:r>
          </w:p>
        </w:tc>
        <w:tc>
          <w:tcPr>
            <w:tcW w:w="1337" w:type="dxa"/>
          </w:tcPr>
          <w:p w14:paraId="085D33F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307</w:t>
            </w:r>
          </w:p>
          <w:p w14:paraId="7AA06AAA" w14:textId="77777777" w:rsidR="00582B19" w:rsidRPr="000B369D" w:rsidRDefault="00582B19" w:rsidP="00111BE5">
            <w:pPr>
              <w:rPr>
                <w:rFonts w:ascii="Arial" w:hAnsi="Arial" w:cs="Arial"/>
                <w:color w:val="000000"/>
                <w:sz w:val="20"/>
                <w:szCs w:val="20"/>
              </w:rPr>
            </w:pPr>
          </w:p>
          <w:p w14:paraId="7729025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153</w:t>
            </w:r>
            <w:r w:rsidRPr="000B369D">
              <w:rPr>
                <w:rFonts w:ascii="Arial" w:hAnsi="Arial" w:cs="Arial"/>
                <w:color w:val="000000"/>
                <w:sz w:val="20"/>
                <w:szCs w:val="20"/>
              </w:rPr>
              <w:br/>
              <w:t>G2: 154</w:t>
            </w:r>
          </w:p>
        </w:tc>
        <w:tc>
          <w:tcPr>
            <w:tcW w:w="1619" w:type="dxa"/>
          </w:tcPr>
          <w:p w14:paraId="7B4B330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66 ± 8.8</w:t>
            </w:r>
            <w:r w:rsidRPr="000B369D">
              <w:rPr>
                <w:rFonts w:ascii="Arial" w:hAnsi="Arial" w:cs="Arial"/>
                <w:color w:val="000000"/>
                <w:sz w:val="20"/>
                <w:szCs w:val="20"/>
              </w:rPr>
              <w:br/>
              <w:t>G2: 66 ± 7.7</w:t>
            </w:r>
          </w:p>
        </w:tc>
        <w:tc>
          <w:tcPr>
            <w:tcW w:w="871" w:type="dxa"/>
          </w:tcPr>
          <w:p w14:paraId="0EF227C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140 W</w:t>
            </w:r>
            <w:r w:rsidRPr="000B369D">
              <w:rPr>
                <w:rFonts w:ascii="Arial" w:hAnsi="Arial" w:cs="Arial"/>
                <w:color w:val="000000"/>
                <w:sz w:val="20"/>
                <w:szCs w:val="20"/>
              </w:rPr>
              <w:br/>
              <w:t>167 M</w:t>
            </w:r>
          </w:p>
        </w:tc>
        <w:tc>
          <w:tcPr>
            <w:tcW w:w="1813" w:type="dxa"/>
          </w:tcPr>
          <w:p w14:paraId="7AEDD895" w14:textId="77777777" w:rsidR="00582B19" w:rsidRPr="000B369D" w:rsidRDefault="00582B19" w:rsidP="00111BE5">
            <w:pPr>
              <w:rPr>
                <w:rFonts w:ascii="Arial" w:hAnsi="Arial" w:cs="Arial"/>
                <w:sz w:val="20"/>
                <w:szCs w:val="20"/>
              </w:rPr>
            </w:pPr>
            <w:r w:rsidRPr="000B369D">
              <w:rPr>
                <w:rFonts w:ascii="Arial" w:hAnsi="Arial" w:cs="Arial"/>
                <w:sz w:val="20"/>
                <w:szCs w:val="20"/>
              </w:rPr>
              <w:t>Pain</w:t>
            </w:r>
          </w:p>
        </w:tc>
        <w:tc>
          <w:tcPr>
            <w:tcW w:w="2517" w:type="dxa"/>
          </w:tcPr>
          <w:p w14:paraId="119AC8AA"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 xml:space="preserve">Funded by the Pierre Fabre Company. </w:t>
            </w:r>
          </w:p>
        </w:tc>
      </w:tr>
      <w:tr w:rsidR="00582B19" w:rsidRPr="00252F1D" w14:paraId="670F98A4" w14:textId="77777777" w:rsidTr="008C4C2C">
        <w:tc>
          <w:tcPr>
            <w:tcW w:w="1342" w:type="dxa"/>
          </w:tcPr>
          <w:p w14:paraId="723037B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McAlindon, 2013</w:t>
            </w:r>
          </w:p>
        </w:tc>
        <w:tc>
          <w:tcPr>
            <w:tcW w:w="1131" w:type="dxa"/>
          </w:tcPr>
          <w:p w14:paraId="3ED61B4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36E07A3C"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Vitamin D</w:t>
            </w:r>
          </w:p>
          <w:p w14:paraId="5CBE1FAB"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04D1D517"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104 weeks</w:t>
            </w:r>
          </w:p>
        </w:tc>
        <w:tc>
          <w:tcPr>
            <w:tcW w:w="1337" w:type="dxa"/>
          </w:tcPr>
          <w:p w14:paraId="00E8916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146</w:t>
            </w:r>
          </w:p>
          <w:p w14:paraId="751EB8D0" w14:textId="77777777" w:rsidR="00582B19" w:rsidRPr="000B369D" w:rsidRDefault="00582B19" w:rsidP="00111BE5">
            <w:pPr>
              <w:rPr>
                <w:rFonts w:ascii="Arial" w:hAnsi="Arial" w:cs="Arial"/>
                <w:color w:val="000000"/>
                <w:sz w:val="20"/>
                <w:szCs w:val="20"/>
              </w:rPr>
            </w:pPr>
          </w:p>
          <w:p w14:paraId="36A4FDB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73</w:t>
            </w:r>
            <w:r w:rsidRPr="000B369D">
              <w:rPr>
                <w:rFonts w:ascii="Arial" w:hAnsi="Arial" w:cs="Arial"/>
                <w:color w:val="000000"/>
                <w:sz w:val="20"/>
                <w:szCs w:val="20"/>
              </w:rPr>
              <w:br/>
              <w:t>G2: 73</w:t>
            </w:r>
          </w:p>
        </w:tc>
        <w:tc>
          <w:tcPr>
            <w:tcW w:w="1619" w:type="dxa"/>
          </w:tcPr>
          <w:p w14:paraId="72A57DE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61.8 ± 7.7</w:t>
            </w:r>
            <w:r w:rsidRPr="000B369D">
              <w:rPr>
                <w:rFonts w:ascii="Arial" w:hAnsi="Arial" w:cs="Arial"/>
                <w:color w:val="000000"/>
                <w:sz w:val="20"/>
                <w:szCs w:val="20"/>
              </w:rPr>
              <w:br/>
              <w:t>G2: 63.0 ± 9.3</w:t>
            </w:r>
          </w:p>
        </w:tc>
        <w:tc>
          <w:tcPr>
            <w:tcW w:w="871" w:type="dxa"/>
          </w:tcPr>
          <w:p w14:paraId="51DB60B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89 W</w:t>
            </w:r>
            <w:r w:rsidRPr="000B369D">
              <w:rPr>
                <w:rFonts w:ascii="Arial" w:hAnsi="Arial" w:cs="Arial"/>
                <w:color w:val="000000"/>
                <w:sz w:val="20"/>
                <w:szCs w:val="20"/>
              </w:rPr>
              <w:br/>
              <w:t>57 M</w:t>
            </w:r>
          </w:p>
        </w:tc>
        <w:tc>
          <w:tcPr>
            <w:tcW w:w="1813" w:type="dxa"/>
          </w:tcPr>
          <w:p w14:paraId="6819C15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Pain </w:t>
            </w:r>
            <w:r w:rsidRPr="000B369D">
              <w:rPr>
                <w:rFonts w:ascii="Arial" w:hAnsi="Arial" w:cs="Arial"/>
                <w:color w:val="000000"/>
                <w:sz w:val="20"/>
                <w:szCs w:val="20"/>
              </w:rPr>
              <w:br/>
              <w:t xml:space="preserve">Function </w:t>
            </w:r>
            <w:r w:rsidRPr="000B369D">
              <w:rPr>
                <w:rFonts w:ascii="Arial" w:hAnsi="Arial" w:cs="Arial"/>
                <w:color w:val="000000"/>
                <w:sz w:val="20"/>
                <w:szCs w:val="20"/>
              </w:rPr>
              <w:br/>
            </w:r>
          </w:p>
        </w:tc>
        <w:tc>
          <w:tcPr>
            <w:tcW w:w="2517" w:type="dxa"/>
          </w:tcPr>
          <w:p w14:paraId="3F1A17CB"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Funded by grant from the National Institutes of Health, NIAMS, and the Office of Dietary Supplements, grant from the National Center for Research</w:t>
            </w:r>
            <w:r w:rsidRPr="000B369D">
              <w:rPr>
                <w:rFonts w:ascii="Arial" w:hAnsi="Arial" w:cs="Arial"/>
                <w:color w:val="000000"/>
                <w:sz w:val="20"/>
                <w:szCs w:val="20"/>
                <w:lang w:val="en-GB"/>
              </w:rPr>
              <w:br/>
              <w:t xml:space="preserve">Resources, and grant from the Houston Veterans Affairs Health </w:t>
            </w:r>
            <w:r w:rsidRPr="000B369D">
              <w:rPr>
                <w:rFonts w:ascii="Arial" w:hAnsi="Arial" w:cs="Arial"/>
                <w:color w:val="000000"/>
                <w:sz w:val="20"/>
                <w:szCs w:val="20"/>
                <w:lang w:val="en-GB"/>
              </w:rPr>
              <w:lastRenderedPageBreak/>
              <w:t>Services Research and Development Service</w:t>
            </w:r>
          </w:p>
        </w:tc>
      </w:tr>
      <w:tr w:rsidR="00582B19" w:rsidRPr="000B369D" w14:paraId="601B39B3" w14:textId="77777777" w:rsidTr="008C4C2C">
        <w:tc>
          <w:tcPr>
            <w:tcW w:w="1342" w:type="dxa"/>
          </w:tcPr>
          <w:p w14:paraId="5C5FB9D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lastRenderedPageBreak/>
              <w:t>Michel, 2005</w:t>
            </w:r>
          </w:p>
        </w:tc>
        <w:tc>
          <w:tcPr>
            <w:tcW w:w="1131" w:type="dxa"/>
          </w:tcPr>
          <w:p w14:paraId="5F6A883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14F9590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prescription grade Chondroitin Sulfate</w:t>
            </w:r>
          </w:p>
          <w:p w14:paraId="3CD9960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025E13C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104 weeks</w:t>
            </w:r>
          </w:p>
        </w:tc>
        <w:tc>
          <w:tcPr>
            <w:tcW w:w="1337" w:type="dxa"/>
          </w:tcPr>
          <w:p w14:paraId="6E2A0685"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300</w:t>
            </w:r>
          </w:p>
          <w:p w14:paraId="5D4909DD" w14:textId="77777777" w:rsidR="00582B19" w:rsidRPr="000B369D" w:rsidRDefault="00582B19" w:rsidP="00111BE5">
            <w:pPr>
              <w:rPr>
                <w:rFonts w:ascii="Arial" w:hAnsi="Arial" w:cs="Arial"/>
                <w:color w:val="000000"/>
                <w:sz w:val="20"/>
                <w:szCs w:val="20"/>
              </w:rPr>
            </w:pPr>
          </w:p>
          <w:p w14:paraId="560C434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150</w:t>
            </w:r>
            <w:r w:rsidRPr="000B369D">
              <w:rPr>
                <w:rFonts w:ascii="Arial" w:hAnsi="Arial" w:cs="Arial"/>
                <w:color w:val="000000"/>
                <w:sz w:val="20"/>
                <w:szCs w:val="20"/>
              </w:rPr>
              <w:br/>
              <w:t>G2: 150</w:t>
            </w:r>
          </w:p>
        </w:tc>
        <w:tc>
          <w:tcPr>
            <w:tcW w:w="1619" w:type="dxa"/>
          </w:tcPr>
          <w:p w14:paraId="2F7D7BB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62.5 ± 9.1</w:t>
            </w:r>
            <w:r w:rsidRPr="000B369D">
              <w:rPr>
                <w:rFonts w:ascii="Arial" w:hAnsi="Arial" w:cs="Arial"/>
                <w:color w:val="000000"/>
                <w:sz w:val="20"/>
                <w:szCs w:val="20"/>
              </w:rPr>
              <w:br/>
              <w:t>G2: 63.1 ± 10.7</w:t>
            </w:r>
          </w:p>
        </w:tc>
        <w:tc>
          <w:tcPr>
            <w:tcW w:w="871" w:type="dxa"/>
          </w:tcPr>
          <w:p w14:paraId="7BFF160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154 W</w:t>
            </w:r>
            <w:r w:rsidRPr="000B369D">
              <w:rPr>
                <w:rFonts w:ascii="Arial" w:hAnsi="Arial" w:cs="Arial"/>
                <w:color w:val="000000"/>
                <w:sz w:val="20"/>
                <w:szCs w:val="20"/>
              </w:rPr>
              <w:br/>
              <w:t>146 M</w:t>
            </w:r>
          </w:p>
        </w:tc>
        <w:tc>
          <w:tcPr>
            <w:tcW w:w="1813" w:type="dxa"/>
          </w:tcPr>
          <w:p w14:paraId="03FD1DD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 xml:space="preserve">Function </w:t>
            </w:r>
            <w:r w:rsidRPr="000B369D">
              <w:rPr>
                <w:rFonts w:ascii="Arial" w:hAnsi="Arial" w:cs="Arial"/>
                <w:color w:val="000000"/>
                <w:sz w:val="20"/>
                <w:szCs w:val="20"/>
              </w:rPr>
              <w:br/>
            </w:r>
          </w:p>
        </w:tc>
        <w:tc>
          <w:tcPr>
            <w:tcW w:w="2517" w:type="dxa"/>
          </w:tcPr>
          <w:p w14:paraId="206F123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252F1D" w14:paraId="7C9B3296" w14:textId="77777777" w:rsidTr="008C4C2C">
        <w:tc>
          <w:tcPr>
            <w:tcW w:w="1342" w:type="dxa"/>
          </w:tcPr>
          <w:p w14:paraId="0F8160D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Navarro-Sarabia, 2011</w:t>
            </w:r>
          </w:p>
        </w:tc>
        <w:tc>
          <w:tcPr>
            <w:tcW w:w="1131" w:type="dxa"/>
          </w:tcPr>
          <w:p w14:paraId="716C152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RCT, double blind, 2 groups </w:t>
            </w:r>
          </w:p>
        </w:tc>
        <w:tc>
          <w:tcPr>
            <w:tcW w:w="1919" w:type="dxa"/>
          </w:tcPr>
          <w:p w14:paraId="5A737FB5"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1BF7322D"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754C9FA4"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Five injections in 5 weeks, repeated at baseline, 6 months, 14 months &amp; 27 months</w:t>
            </w:r>
          </w:p>
        </w:tc>
        <w:tc>
          <w:tcPr>
            <w:tcW w:w="1337" w:type="dxa"/>
          </w:tcPr>
          <w:p w14:paraId="179558B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306</w:t>
            </w:r>
          </w:p>
          <w:p w14:paraId="5779C50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br/>
              <w:t>G1: 153</w:t>
            </w:r>
            <w:r w:rsidRPr="000B369D">
              <w:rPr>
                <w:rFonts w:ascii="Arial" w:hAnsi="Arial" w:cs="Arial"/>
                <w:color w:val="000000"/>
                <w:sz w:val="20"/>
                <w:szCs w:val="20"/>
              </w:rPr>
              <w:br/>
              <w:t>G2: 153</w:t>
            </w:r>
          </w:p>
        </w:tc>
        <w:tc>
          <w:tcPr>
            <w:tcW w:w="1619" w:type="dxa"/>
          </w:tcPr>
          <w:p w14:paraId="7588F8E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63 ± 8.2</w:t>
            </w:r>
            <w:r w:rsidRPr="000B369D">
              <w:rPr>
                <w:rFonts w:ascii="Arial" w:hAnsi="Arial" w:cs="Arial"/>
                <w:color w:val="000000"/>
                <w:sz w:val="20"/>
                <w:szCs w:val="20"/>
              </w:rPr>
              <w:br/>
              <w:t>G2: 63.9 ± 8.9</w:t>
            </w:r>
          </w:p>
        </w:tc>
        <w:tc>
          <w:tcPr>
            <w:tcW w:w="871" w:type="dxa"/>
          </w:tcPr>
          <w:p w14:paraId="22C2BCA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256 W</w:t>
            </w:r>
            <w:r w:rsidRPr="000B369D">
              <w:rPr>
                <w:rFonts w:ascii="Arial" w:hAnsi="Arial" w:cs="Arial"/>
                <w:color w:val="000000"/>
                <w:sz w:val="20"/>
                <w:szCs w:val="20"/>
              </w:rPr>
              <w:br/>
              <w:t>50 M</w:t>
            </w:r>
          </w:p>
        </w:tc>
        <w:tc>
          <w:tcPr>
            <w:tcW w:w="1813" w:type="dxa"/>
          </w:tcPr>
          <w:p w14:paraId="23CCCFD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Pain </w:t>
            </w:r>
            <w:r w:rsidRPr="000B369D">
              <w:rPr>
                <w:rFonts w:ascii="Arial" w:hAnsi="Arial" w:cs="Arial"/>
                <w:color w:val="000000"/>
                <w:sz w:val="20"/>
                <w:szCs w:val="20"/>
              </w:rPr>
              <w:br/>
              <w:t>Function</w:t>
            </w:r>
          </w:p>
        </w:tc>
        <w:tc>
          <w:tcPr>
            <w:tcW w:w="2517" w:type="dxa"/>
          </w:tcPr>
          <w:p w14:paraId="034EAEF9"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Supported by Tedec Meiji Farma SA</w:t>
            </w:r>
          </w:p>
        </w:tc>
      </w:tr>
      <w:tr w:rsidR="00582B19" w:rsidRPr="000B369D" w14:paraId="364235BA" w14:textId="77777777" w:rsidTr="008C4C2C">
        <w:tc>
          <w:tcPr>
            <w:tcW w:w="1342" w:type="dxa"/>
          </w:tcPr>
          <w:p w14:paraId="68F0A42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Ozturk, 2006</w:t>
            </w:r>
          </w:p>
        </w:tc>
        <w:tc>
          <w:tcPr>
            <w:tcW w:w="1131" w:type="dxa"/>
          </w:tcPr>
          <w:p w14:paraId="72D70A5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RCT, double blind, 2 groups </w:t>
            </w:r>
          </w:p>
        </w:tc>
        <w:tc>
          <w:tcPr>
            <w:tcW w:w="1919" w:type="dxa"/>
          </w:tcPr>
          <w:p w14:paraId="3EB3B991"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0FE2B822"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Hyaluronic acid + Triamcinolone acetonide</w:t>
            </w:r>
          </w:p>
        </w:tc>
        <w:tc>
          <w:tcPr>
            <w:tcW w:w="1445" w:type="dxa"/>
          </w:tcPr>
          <w:p w14:paraId="07BEBCA2"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3 injections in 3 weeks; 6 months interval; 3 injections in 3 weeks</w:t>
            </w:r>
            <w:r w:rsidRPr="000B369D">
              <w:rPr>
                <w:rFonts w:ascii="Arial" w:hAnsi="Arial" w:cs="Arial"/>
                <w:color w:val="000000"/>
                <w:sz w:val="20"/>
                <w:szCs w:val="20"/>
                <w:lang w:val="en-GB"/>
              </w:rPr>
              <w:br/>
              <w:t xml:space="preserve">G2: 1 injection HA+TA + 2 injections HA in 3 weeks; 6 months interval; 1 injection HA+TA + 2 injections HA in 3 weeks </w:t>
            </w:r>
          </w:p>
        </w:tc>
        <w:tc>
          <w:tcPr>
            <w:tcW w:w="1337" w:type="dxa"/>
          </w:tcPr>
          <w:p w14:paraId="3B5742E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47</w:t>
            </w:r>
          </w:p>
          <w:p w14:paraId="1DAD9C24" w14:textId="77777777" w:rsidR="00582B19" w:rsidRPr="000B369D" w:rsidRDefault="00582B19" w:rsidP="00111BE5">
            <w:pPr>
              <w:rPr>
                <w:rFonts w:ascii="Arial" w:hAnsi="Arial" w:cs="Arial"/>
                <w:color w:val="000000"/>
                <w:sz w:val="20"/>
                <w:szCs w:val="20"/>
              </w:rPr>
            </w:pPr>
          </w:p>
          <w:p w14:paraId="284BC1D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24</w:t>
            </w:r>
            <w:r w:rsidRPr="000B369D">
              <w:rPr>
                <w:rFonts w:ascii="Arial" w:hAnsi="Arial" w:cs="Arial"/>
                <w:color w:val="000000"/>
                <w:sz w:val="20"/>
                <w:szCs w:val="20"/>
              </w:rPr>
              <w:br/>
              <w:t>G2: 23</w:t>
            </w:r>
          </w:p>
        </w:tc>
        <w:tc>
          <w:tcPr>
            <w:tcW w:w="1619" w:type="dxa"/>
          </w:tcPr>
          <w:p w14:paraId="7D58D1E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G1: 58.0 ± 7.7 </w:t>
            </w:r>
            <w:r w:rsidRPr="000B369D">
              <w:rPr>
                <w:rFonts w:ascii="Arial" w:hAnsi="Arial" w:cs="Arial"/>
                <w:color w:val="000000"/>
                <w:sz w:val="20"/>
                <w:szCs w:val="20"/>
              </w:rPr>
              <w:br/>
              <w:t xml:space="preserve">G2: 58.06 ± 10.3 </w:t>
            </w:r>
          </w:p>
        </w:tc>
        <w:tc>
          <w:tcPr>
            <w:tcW w:w="871" w:type="dxa"/>
          </w:tcPr>
          <w:p w14:paraId="5379D24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39 W</w:t>
            </w:r>
            <w:r w:rsidRPr="000B369D">
              <w:rPr>
                <w:rFonts w:ascii="Arial" w:hAnsi="Arial" w:cs="Arial"/>
                <w:color w:val="000000"/>
                <w:sz w:val="20"/>
                <w:szCs w:val="20"/>
              </w:rPr>
              <w:br/>
              <w:t>1 M</w:t>
            </w:r>
          </w:p>
        </w:tc>
        <w:tc>
          <w:tcPr>
            <w:tcW w:w="1813" w:type="dxa"/>
          </w:tcPr>
          <w:p w14:paraId="0385BB2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Pain </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3C697F3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0B369D" w14:paraId="6B611534" w14:textId="77777777" w:rsidTr="008C4C2C">
        <w:tc>
          <w:tcPr>
            <w:tcW w:w="1342" w:type="dxa"/>
          </w:tcPr>
          <w:p w14:paraId="2513E4C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Pavelka, 2010</w:t>
            </w:r>
          </w:p>
        </w:tc>
        <w:tc>
          <w:tcPr>
            <w:tcW w:w="1131" w:type="dxa"/>
          </w:tcPr>
          <w:p w14:paraId="073BA53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163D23E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prescription grade Chondroitin Sulfate</w:t>
            </w:r>
          </w:p>
          <w:p w14:paraId="42979D0D"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avocado soybean unsaponifiable</w:t>
            </w:r>
          </w:p>
        </w:tc>
        <w:tc>
          <w:tcPr>
            <w:tcW w:w="1445" w:type="dxa"/>
          </w:tcPr>
          <w:p w14:paraId="4D70DBC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 xml:space="preserve">26 weeks </w:t>
            </w:r>
          </w:p>
        </w:tc>
        <w:tc>
          <w:tcPr>
            <w:tcW w:w="1337" w:type="dxa"/>
          </w:tcPr>
          <w:p w14:paraId="7DAC5C3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361</w:t>
            </w:r>
          </w:p>
          <w:p w14:paraId="585BDFDC" w14:textId="77777777" w:rsidR="00582B19" w:rsidRPr="000B369D" w:rsidRDefault="00582B19" w:rsidP="00111BE5">
            <w:pPr>
              <w:rPr>
                <w:rFonts w:ascii="Arial" w:hAnsi="Arial" w:cs="Arial"/>
                <w:color w:val="000000"/>
                <w:sz w:val="20"/>
                <w:szCs w:val="20"/>
              </w:rPr>
            </w:pPr>
          </w:p>
          <w:p w14:paraId="57A7E83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178</w:t>
            </w:r>
            <w:r w:rsidRPr="000B369D">
              <w:rPr>
                <w:rFonts w:ascii="Arial" w:hAnsi="Arial" w:cs="Arial"/>
                <w:color w:val="000000"/>
                <w:sz w:val="20"/>
                <w:szCs w:val="20"/>
              </w:rPr>
              <w:br/>
              <w:t>G2: 183</w:t>
            </w:r>
          </w:p>
        </w:tc>
        <w:tc>
          <w:tcPr>
            <w:tcW w:w="1619" w:type="dxa"/>
          </w:tcPr>
          <w:p w14:paraId="5F856CE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62.2 ± 9.02</w:t>
            </w:r>
            <w:r w:rsidRPr="000B369D">
              <w:rPr>
                <w:rFonts w:ascii="Arial" w:hAnsi="Arial" w:cs="Arial"/>
                <w:color w:val="000000"/>
                <w:sz w:val="20"/>
                <w:szCs w:val="20"/>
              </w:rPr>
              <w:br/>
              <w:t>G2: 62.3 ± 9.46</w:t>
            </w:r>
          </w:p>
        </w:tc>
        <w:tc>
          <w:tcPr>
            <w:tcW w:w="871" w:type="dxa"/>
          </w:tcPr>
          <w:p w14:paraId="1CAF1C8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299 W</w:t>
            </w:r>
            <w:r w:rsidRPr="000B369D">
              <w:rPr>
                <w:rFonts w:ascii="Arial" w:hAnsi="Arial" w:cs="Arial"/>
                <w:color w:val="000000"/>
                <w:sz w:val="20"/>
                <w:szCs w:val="20"/>
              </w:rPr>
              <w:br/>
              <w:t>62 M</w:t>
            </w:r>
          </w:p>
        </w:tc>
        <w:tc>
          <w:tcPr>
            <w:tcW w:w="1813" w:type="dxa"/>
          </w:tcPr>
          <w:p w14:paraId="04E7302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Pain </w:t>
            </w:r>
            <w:r w:rsidRPr="000B369D">
              <w:rPr>
                <w:rFonts w:ascii="Arial" w:hAnsi="Arial" w:cs="Arial"/>
                <w:color w:val="000000"/>
                <w:sz w:val="20"/>
                <w:szCs w:val="20"/>
              </w:rPr>
              <w:br/>
              <w:t>Function</w:t>
            </w:r>
          </w:p>
        </w:tc>
        <w:tc>
          <w:tcPr>
            <w:tcW w:w="2517" w:type="dxa"/>
          </w:tcPr>
          <w:p w14:paraId="342E32D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Supported by Laboratoire Expanscience, F-92400</w:t>
            </w:r>
            <w:r w:rsidRPr="000B369D">
              <w:rPr>
                <w:rFonts w:ascii="Arial" w:hAnsi="Arial" w:cs="Arial"/>
                <w:color w:val="000000"/>
                <w:sz w:val="20"/>
                <w:szCs w:val="20"/>
              </w:rPr>
              <w:br/>
              <w:t>Courbevoie, France.</w:t>
            </w:r>
          </w:p>
        </w:tc>
      </w:tr>
      <w:tr w:rsidR="00582B19" w:rsidRPr="00252F1D" w14:paraId="2B0EDB27" w14:textId="77777777" w:rsidTr="008C4C2C">
        <w:tc>
          <w:tcPr>
            <w:tcW w:w="1342" w:type="dxa"/>
          </w:tcPr>
          <w:p w14:paraId="0677677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lastRenderedPageBreak/>
              <w:t>Pavelka, 2002</w:t>
            </w:r>
          </w:p>
        </w:tc>
        <w:tc>
          <w:tcPr>
            <w:tcW w:w="1131" w:type="dxa"/>
          </w:tcPr>
          <w:p w14:paraId="2DC86E7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7D435E5D"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prescription grade Crystalline Glucocamine Sulfate</w:t>
            </w:r>
          </w:p>
          <w:p w14:paraId="1C88156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2BA95DB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156 weeks</w:t>
            </w:r>
          </w:p>
        </w:tc>
        <w:tc>
          <w:tcPr>
            <w:tcW w:w="1337" w:type="dxa"/>
          </w:tcPr>
          <w:p w14:paraId="1B7C2A4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202</w:t>
            </w:r>
          </w:p>
          <w:p w14:paraId="056E39D0" w14:textId="77777777" w:rsidR="00582B19" w:rsidRPr="000B369D" w:rsidRDefault="00582B19" w:rsidP="00111BE5">
            <w:pPr>
              <w:rPr>
                <w:rFonts w:ascii="Arial" w:hAnsi="Arial" w:cs="Arial"/>
                <w:color w:val="000000"/>
                <w:sz w:val="20"/>
                <w:szCs w:val="20"/>
              </w:rPr>
            </w:pPr>
          </w:p>
          <w:p w14:paraId="70ACA27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101</w:t>
            </w:r>
            <w:r w:rsidRPr="000B369D">
              <w:rPr>
                <w:rFonts w:ascii="Arial" w:hAnsi="Arial" w:cs="Arial"/>
                <w:color w:val="000000"/>
                <w:sz w:val="20"/>
                <w:szCs w:val="20"/>
              </w:rPr>
              <w:br/>
              <w:t>G2: 101</w:t>
            </w:r>
          </w:p>
        </w:tc>
        <w:tc>
          <w:tcPr>
            <w:tcW w:w="1619" w:type="dxa"/>
          </w:tcPr>
          <w:p w14:paraId="29E2DC5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61.2 ± 7.3</w:t>
            </w:r>
            <w:r w:rsidRPr="000B369D">
              <w:rPr>
                <w:rFonts w:ascii="Arial" w:hAnsi="Arial" w:cs="Arial"/>
                <w:color w:val="000000"/>
                <w:sz w:val="20"/>
                <w:szCs w:val="20"/>
              </w:rPr>
              <w:br/>
              <w:t>G2: 63.5 ± 6.9</w:t>
            </w:r>
          </w:p>
        </w:tc>
        <w:tc>
          <w:tcPr>
            <w:tcW w:w="871" w:type="dxa"/>
          </w:tcPr>
          <w:p w14:paraId="7F2BFFB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157 W</w:t>
            </w:r>
            <w:r w:rsidRPr="000B369D">
              <w:rPr>
                <w:rFonts w:ascii="Arial" w:hAnsi="Arial" w:cs="Arial"/>
                <w:color w:val="000000"/>
                <w:sz w:val="20"/>
                <w:szCs w:val="20"/>
              </w:rPr>
              <w:br/>
              <w:t>45 M</w:t>
            </w:r>
          </w:p>
        </w:tc>
        <w:tc>
          <w:tcPr>
            <w:tcW w:w="1813" w:type="dxa"/>
          </w:tcPr>
          <w:p w14:paraId="55FD46C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Pain </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7091F91E"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Funded by the Rotta Research/Rottapharm Group</w:t>
            </w:r>
          </w:p>
        </w:tc>
      </w:tr>
      <w:tr w:rsidR="00582B19" w:rsidRPr="00252F1D" w14:paraId="0545FEF3" w14:textId="77777777" w:rsidTr="008C4C2C">
        <w:tc>
          <w:tcPr>
            <w:tcW w:w="1342" w:type="dxa"/>
          </w:tcPr>
          <w:p w14:paraId="73FA265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Pelletier, 2016</w:t>
            </w:r>
          </w:p>
        </w:tc>
        <w:tc>
          <w:tcPr>
            <w:tcW w:w="1131" w:type="dxa"/>
          </w:tcPr>
          <w:p w14:paraId="5E9D697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57E2D08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prescription grade Chondroitin Sulfate</w:t>
            </w:r>
          </w:p>
          <w:p w14:paraId="3366483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Celecoxib</w:t>
            </w:r>
          </w:p>
        </w:tc>
        <w:tc>
          <w:tcPr>
            <w:tcW w:w="1445" w:type="dxa"/>
          </w:tcPr>
          <w:p w14:paraId="75EC83B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104 weeks</w:t>
            </w:r>
          </w:p>
        </w:tc>
        <w:tc>
          <w:tcPr>
            <w:tcW w:w="1337" w:type="dxa"/>
          </w:tcPr>
          <w:p w14:paraId="0D87319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194</w:t>
            </w:r>
          </w:p>
          <w:p w14:paraId="16857932" w14:textId="77777777" w:rsidR="00582B19" w:rsidRPr="000B369D" w:rsidRDefault="00582B19" w:rsidP="00111BE5">
            <w:pPr>
              <w:rPr>
                <w:rFonts w:ascii="Arial" w:hAnsi="Arial" w:cs="Arial"/>
                <w:color w:val="000000"/>
                <w:sz w:val="20"/>
                <w:szCs w:val="20"/>
              </w:rPr>
            </w:pPr>
          </w:p>
          <w:p w14:paraId="19872DC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97</w:t>
            </w:r>
            <w:r w:rsidRPr="000B369D">
              <w:rPr>
                <w:rFonts w:ascii="Arial" w:hAnsi="Arial" w:cs="Arial"/>
                <w:color w:val="000000"/>
                <w:sz w:val="20"/>
                <w:szCs w:val="20"/>
              </w:rPr>
              <w:br/>
              <w:t>G2: 97</w:t>
            </w:r>
          </w:p>
        </w:tc>
        <w:tc>
          <w:tcPr>
            <w:tcW w:w="1619" w:type="dxa"/>
          </w:tcPr>
          <w:p w14:paraId="71F346F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61.4 ± 9.3</w:t>
            </w:r>
            <w:r w:rsidRPr="000B369D">
              <w:rPr>
                <w:rFonts w:ascii="Arial" w:hAnsi="Arial" w:cs="Arial"/>
                <w:color w:val="000000"/>
                <w:sz w:val="20"/>
                <w:szCs w:val="20"/>
              </w:rPr>
              <w:br/>
              <w:t>G2: 61.3 ± 8.5</w:t>
            </w:r>
          </w:p>
        </w:tc>
        <w:tc>
          <w:tcPr>
            <w:tcW w:w="871" w:type="dxa"/>
          </w:tcPr>
          <w:p w14:paraId="1CF6434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114 W</w:t>
            </w:r>
            <w:r w:rsidRPr="000B369D">
              <w:rPr>
                <w:rFonts w:ascii="Arial" w:hAnsi="Arial" w:cs="Arial"/>
                <w:color w:val="000000"/>
                <w:sz w:val="20"/>
                <w:szCs w:val="20"/>
              </w:rPr>
              <w:br/>
              <w:t>80 M</w:t>
            </w:r>
          </w:p>
        </w:tc>
        <w:tc>
          <w:tcPr>
            <w:tcW w:w="1813" w:type="dxa"/>
          </w:tcPr>
          <w:p w14:paraId="2E7EE01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Pain </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5466C2A4"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 xml:space="preserve">Funded by Bioibérica SA, Barcelona, Spain. </w:t>
            </w:r>
          </w:p>
        </w:tc>
      </w:tr>
      <w:tr w:rsidR="00582B19" w:rsidRPr="00252F1D" w14:paraId="2C558B9D" w14:textId="77777777" w:rsidTr="008C4C2C">
        <w:tc>
          <w:tcPr>
            <w:tcW w:w="1342" w:type="dxa"/>
          </w:tcPr>
          <w:p w14:paraId="69525CE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Van der Weegen, 2015</w:t>
            </w:r>
          </w:p>
        </w:tc>
        <w:tc>
          <w:tcPr>
            <w:tcW w:w="1131" w:type="dxa"/>
          </w:tcPr>
          <w:p w14:paraId="17C4208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RCT, double blind, 2 groups </w:t>
            </w:r>
          </w:p>
        </w:tc>
        <w:tc>
          <w:tcPr>
            <w:tcW w:w="1919" w:type="dxa"/>
          </w:tcPr>
          <w:p w14:paraId="5A21B85B"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5AAA73EB"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582DD7A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3 injections in 3 weeks</w:t>
            </w:r>
          </w:p>
        </w:tc>
        <w:tc>
          <w:tcPr>
            <w:tcW w:w="1337" w:type="dxa"/>
          </w:tcPr>
          <w:p w14:paraId="71B8423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196</w:t>
            </w:r>
          </w:p>
          <w:p w14:paraId="44D0480A" w14:textId="77777777" w:rsidR="00582B19" w:rsidRPr="000B369D" w:rsidRDefault="00582B19" w:rsidP="00111BE5">
            <w:pPr>
              <w:rPr>
                <w:rFonts w:ascii="Arial" w:hAnsi="Arial" w:cs="Arial"/>
                <w:color w:val="000000"/>
                <w:sz w:val="20"/>
                <w:szCs w:val="20"/>
              </w:rPr>
            </w:pPr>
          </w:p>
          <w:p w14:paraId="0568736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99</w:t>
            </w:r>
            <w:r w:rsidRPr="000B369D">
              <w:rPr>
                <w:rFonts w:ascii="Arial" w:hAnsi="Arial" w:cs="Arial"/>
                <w:color w:val="000000"/>
                <w:sz w:val="20"/>
                <w:szCs w:val="20"/>
              </w:rPr>
              <w:br/>
              <w:t>G2: 97</w:t>
            </w:r>
          </w:p>
        </w:tc>
        <w:tc>
          <w:tcPr>
            <w:tcW w:w="1619" w:type="dxa"/>
          </w:tcPr>
          <w:p w14:paraId="131F68F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58.7 ± 9.6</w:t>
            </w:r>
            <w:r w:rsidRPr="000B369D">
              <w:rPr>
                <w:rFonts w:ascii="Arial" w:hAnsi="Arial" w:cs="Arial"/>
                <w:color w:val="000000"/>
                <w:sz w:val="20"/>
                <w:szCs w:val="20"/>
              </w:rPr>
              <w:br/>
              <w:t>G2: 60.1 ± 10.1</w:t>
            </w:r>
          </w:p>
        </w:tc>
        <w:tc>
          <w:tcPr>
            <w:tcW w:w="871" w:type="dxa"/>
          </w:tcPr>
          <w:p w14:paraId="3709C66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97 W</w:t>
            </w:r>
            <w:r w:rsidRPr="000B369D">
              <w:rPr>
                <w:rFonts w:ascii="Arial" w:hAnsi="Arial" w:cs="Arial"/>
                <w:color w:val="000000"/>
                <w:sz w:val="20"/>
                <w:szCs w:val="20"/>
              </w:rPr>
              <w:br/>
              <w:t>99 M</w:t>
            </w:r>
          </w:p>
        </w:tc>
        <w:tc>
          <w:tcPr>
            <w:tcW w:w="1813" w:type="dxa"/>
          </w:tcPr>
          <w:p w14:paraId="0D0E64D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p>
        </w:tc>
        <w:tc>
          <w:tcPr>
            <w:tcW w:w="2517" w:type="dxa"/>
          </w:tcPr>
          <w:p w14:paraId="7C3F881C"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Financial support provided to conduct this trial (Biomet Europe), together with material support (both the investigational device and placebo materials were supplied by Hyaltech Inc.).</w:t>
            </w:r>
          </w:p>
        </w:tc>
      </w:tr>
      <w:tr w:rsidR="00582B19" w:rsidRPr="00252F1D" w14:paraId="5AE5EBC1" w14:textId="77777777" w:rsidTr="008C4C2C">
        <w:tc>
          <w:tcPr>
            <w:tcW w:w="1342" w:type="dxa"/>
          </w:tcPr>
          <w:p w14:paraId="68D9E02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Hangody, 2018</w:t>
            </w:r>
          </w:p>
        </w:tc>
        <w:tc>
          <w:tcPr>
            <w:tcW w:w="1131" w:type="dxa"/>
          </w:tcPr>
          <w:p w14:paraId="0979E58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3 groups</w:t>
            </w:r>
          </w:p>
        </w:tc>
        <w:tc>
          <w:tcPr>
            <w:tcW w:w="1919" w:type="dxa"/>
          </w:tcPr>
          <w:p w14:paraId="24675B50"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 xml:space="preserve">G1: IA Hyaluronic acid + Triamcinolone </w:t>
            </w:r>
          </w:p>
          <w:p w14:paraId="2C26DBCA"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Hyaluronic acid</w:t>
            </w:r>
          </w:p>
          <w:p w14:paraId="69CA920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G3: Placebo</w:t>
            </w:r>
          </w:p>
        </w:tc>
        <w:tc>
          <w:tcPr>
            <w:tcW w:w="1445" w:type="dxa"/>
          </w:tcPr>
          <w:p w14:paraId="1B51C30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 injection</w:t>
            </w:r>
          </w:p>
        </w:tc>
        <w:tc>
          <w:tcPr>
            <w:tcW w:w="1337" w:type="dxa"/>
          </w:tcPr>
          <w:p w14:paraId="2AB2E5BD"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368</w:t>
            </w:r>
          </w:p>
          <w:p w14:paraId="2C245E7A" w14:textId="77777777" w:rsidR="00582B19" w:rsidRPr="000B369D" w:rsidRDefault="00582B19" w:rsidP="00111BE5">
            <w:pPr>
              <w:rPr>
                <w:rFonts w:ascii="Arial" w:hAnsi="Arial" w:cs="Arial"/>
                <w:color w:val="000000"/>
                <w:sz w:val="20"/>
                <w:szCs w:val="20"/>
              </w:rPr>
            </w:pPr>
          </w:p>
          <w:p w14:paraId="0A49277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149</w:t>
            </w:r>
            <w:r w:rsidRPr="000B369D">
              <w:rPr>
                <w:rFonts w:ascii="Arial" w:hAnsi="Arial" w:cs="Arial"/>
                <w:color w:val="000000"/>
                <w:sz w:val="20"/>
                <w:szCs w:val="20"/>
              </w:rPr>
              <w:br/>
              <w:t>G2: 150</w:t>
            </w:r>
            <w:r w:rsidRPr="000B369D">
              <w:rPr>
                <w:rFonts w:ascii="Arial" w:hAnsi="Arial" w:cs="Arial"/>
                <w:color w:val="000000"/>
                <w:sz w:val="20"/>
                <w:szCs w:val="20"/>
              </w:rPr>
              <w:br/>
              <w:t>G3: 69</w:t>
            </w:r>
          </w:p>
        </w:tc>
        <w:tc>
          <w:tcPr>
            <w:tcW w:w="1619" w:type="dxa"/>
          </w:tcPr>
          <w:p w14:paraId="337CD6F4"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58.9 ± 12.3</w:t>
            </w:r>
            <w:r w:rsidRPr="000B369D">
              <w:rPr>
                <w:rFonts w:ascii="Arial" w:hAnsi="Arial" w:cs="Arial"/>
                <w:color w:val="000000"/>
                <w:sz w:val="20"/>
                <w:szCs w:val="20"/>
              </w:rPr>
              <w:br/>
              <w:t>G2: 61.0 ± 11.77</w:t>
            </w:r>
            <w:r w:rsidRPr="000B369D">
              <w:rPr>
                <w:rFonts w:ascii="Arial" w:hAnsi="Arial" w:cs="Arial"/>
                <w:color w:val="000000"/>
                <w:sz w:val="20"/>
                <w:szCs w:val="20"/>
              </w:rPr>
              <w:br/>
              <w:t>G3: 58.8 ± 10.6</w:t>
            </w:r>
          </w:p>
        </w:tc>
        <w:tc>
          <w:tcPr>
            <w:tcW w:w="871" w:type="dxa"/>
          </w:tcPr>
          <w:p w14:paraId="574F21B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247 W</w:t>
            </w:r>
            <w:r w:rsidRPr="000B369D">
              <w:rPr>
                <w:rFonts w:ascii="Arial" w:hAnsi="Arial" w:cs="Arial"/>
                <w:color w:val="000000"/>
                <w:sz w:val="20"/>
                <w:szCs w:val="20"/>
              </w:rPr>
              <w:br/>
              <w:t>121 M</w:t>
            </w:r>
          </w:p>
        </w:tc>
        <w:tc>
          <w:tcPr>
            <w:tcW w:w="1813" w:type="dxa"/>
          </w:tcPr>
          <w:p w14:paraId="11CE13F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29E1EA4A"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The study sponsor, Anika Therapeutics Inc., funded the clinical study</w:t>
            </w:r>
          </w:p>
        </w:tc>
      </w:tr>
      <w:tr w:rsidR="00582B19" w:rsidRPr="00252F1D" w14:paraId="4DB742BB" w14:textId="77777777" w:rsidTr="008C4C2C">
        <w:tc>
          <w:tcPr>
            <w:tcW w:w="1342" w:type="dxa"/>
          </w:tcPr>
          <w:p w14:paraId="419220E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McAlindon, 2017</w:t>
            </w:r>
          </w:p>
        </w:tc>
        <w:tc>
          <w:tcPr>
            <w:tcW w:w="1131" w:type="dxa"/>
          </w:tcPr>
          <w:p w14:paraId="1E053D4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2 groups</w:t>
            </w:r>
          </w:p>
        </w:tc>
        <w:tc>
          <w:tcPr>
            <w:tcW w:w="1919" w:type="dxa"/>
          </w:tcPr>
          <w:p w14:paraId="4A0D5E5B"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Triamcinolone</w:t>
            </w:r>
          </w:p>
          <w:p w14:paraId="7DE9A96A"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081537F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 xml:space="preserve">8 injections in 3-month interval </w:t>
            </w:r>
          </w:p>
        </w:tc>
        <w:tc>
          <w:tcPr>
            <w:tcW w:w="1337" w:type="dxa"/>
          </w:tcPr>
          <w:p w14:paraId="31113E0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140</w:t>
            </w:r>
          </w:p>
          <w:p w14:paraId="7D853B9A" w14:textId="77777777" w:rsidR="00582B19" w:rsidRPr="000B369D" w:rsidRDefault="00582B19" w:rsidP="00111BE5">
            <w:pPr>
              <w:rPr>
                <w:rFonts w:ascii="Arial" w:hAnsi="Arial" w:cs="Arial"/>
                <w:color w:val="000000"/>
                <w:sz w:val="20"/>
                <w:szCs w:val="20"/>
              </w:rPr>
            </w:pPr>
          </w:p>
          <w:p w14:paraId="7B4C717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70</w:t>
            </w:r>
            <w:r w:rsidRPr="000B369D">
              <w:rPr>
                <w:rFonts w:ascii="Arial" w:hAnsi="Arial" w:cs="Arial"/>
                <w:color w:val="000000"/>
                <w:sz w:val="20"/>
                <w:szCs w:val="20"/>
              </w:rPr>
              <w:br/>
              <w:t>G2: 70</w:t>
            </w:r>
          </w:p>
        </w:tc>
        <w:tc>
          <w:tcPr>
            <w:tcW w:w="1619" w:type="dxa"/>
          </w:tcPr>
          <w:p w14:paraId="3EA9B91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59.1 ± 8.3</w:t>
            </w:r>
            <w:r w:rsidRPr="000B369D">
              <w:rPr>
                <w:rFonts w:ascii="Arial" w:hAnsi="Arial" w:cs="Arial"/>
                <w:color w:val="000000"/>
                <w:sz w:val="20"/>
                <w:szCs w:val="20"/>
              </w:rPr>
              <w:br/>
              <w:t>G2: 57.2 ± 7.6</w:t>
            </w:r>
          </w:p>
        </w:tc>
        <w:tc>
          <w:tcPr>
            <w:tcW w:w="871" w:type="dxa"/>
          </w:tcPr>
          <w:p w14:paraId="102DD57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75 W</w:t>
            </w:r>
            <w:r w:rsidRPr="000B369D">
              <w:rPr>
                <w:rFonts w:ascii="Arial" w:hAnsi="Arial" w:cs="Arial"/>
                <w:color w:val="000000"/>
                <w:sz w:val="20"/>
                <w:szCs w:val="20"/>
              </w:rPr>
              <w:br/>
              <w:t>65 M</w:t>
            </w:r>
          </w:p>
        </w:tc>
        <w:tc>
          <w:tcPr>
            <w:tcW w:w="1813" w:type="dxa"/>
          </w:tcPr>
          <w:p w14:paraId="4962D540"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6F9BD9BB" w14:textId="77777777" w:rsidR="00582B19" w:rsidRPr="000B369D" w:rsidRDefault="00582B19" w:rsidP="00111BE5">
            <w:pPr>
              <w:rPr>
                <w:rFonts w:ascii="Arial" w:hAnsi="Arial" w:cs="Arial"/>
                <w:sz w:val="20"/>
                <w:szCs w:val="20"/>
              </w:rPr>
            </w:pPr>
            <w:r w:rsidRPr="000B369D">
              <w:rPr>
                <w:rFonts w:ascii="Arial" w:hAnsi="Arial" w:cs="Arial"/>
                <w:sz w:val="20"/>
                <w:szCs w:val="20"/>
              </w:rPr>
              <w:t>Function</w:t>
            </w:r>
          </w:p>
          <w:p w14:paraId="48FCC0D6" w14:textId="77777777" w:rsidR="00582B19" w:rsidRPr="000B369D" w:rsidRDefault="00582B19" w:rsidP="00111BE5">
            <w:pPr>
              <w:rPr>
                <w:rFonts w:ascii="Arial" w:hAnsi="Arial" w:cs="Arial"/>
                <w:sz w:val="20"/>
                <w:szCs w:val="20"/>
              </w:rPr>
            </w:pPr>
          </w:p>
        </w:tc>
        <w:tc>
          <w:tcPr>
            <w:tcW w:w="2517" w:type="dxa"/>
          </w:tcPr>
          <w:p w14:paraId="237EACC8"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Supported by grants from the National Institute for Arthritis and Musculoskeletal Disorders and Skin Diseases (NIAMS) and from the National Center for Advancing Translational Sciences, National Institutes of Health.</w:t>
            </w:r>
          </w:p>
        </w:tc>
      </w:tr>
      <w:tr w:rsidR="00582B19" w:rsidRPr="000B369D" w14:paraId="32F8C867" w14:textId="77777777" w:rsidTr="008C4C2C">
        <w:tc>
          <w:tcPr>
            <w:tcW w:w="1342" w:type="dxa"/>
          </w:tcPr>
          <w:p w14:paraId="0A87E41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Raynauld, 2003</w:t>
            </w:r>
          </w:p>
        </w:tc>
        <w:tc>
          <w:tcPr>
            <w:tcW w:w="1131" w:type="dxa"/>
          </w:tcPr>
          <w:p w14:paraId="1A4700C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2 groups</w:t>
            </w:r>
          </w:p>
        </w:tc>
        <w:tc>
          <w:tcPr>
            <w:tcW w:w="1919" w:type="dxa"/>
          </w:tcPr>
          <w:p w14:paraId="30F4CC3F"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 xml:space="preserve">G1: IA Triamcinolone </w:t>
            </w:r>
          </w:p>
          <w:p w14:paraId="3A4C6873"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204FDC45"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104 weeks</w:t>
            </w:r>
            <w:r w:rsidRPr="000B369D">
              <w:rPr>
                <w:rFonts w:ascii="Arial" w:hAnsi="Arial" w:cs="Arial"/>
                <w:color w:val="000000"/>
                <w:sz w:val="20"/>
                <w:szCs w:val="20"/>
                <w:lang w:val="en-GB"/>
              </w:rPr>
              <w:br/>
              <w:t>8 injections in 3-month interval</w:t>
            </w:r>
          </w:p>
        </w:tc>
        <w:tc>
          <w:tcPr>
            <w:tcW w:w="1337" w:type="dxa"/>
          </w:tcPr>
          <w:p w14:paraId="32C20A6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68</w:t>
            </w:r>
          </w:p>
          <w:p w14:paraId="5915C1E5" w14:textId="77777777" w:rsidR="00582B19" w:rsidRPr="000B369D" w:rsidRDefault="00582B19" w:rsidP="00111BE5">
            <w:pPr>
              <w:rPr>
                <w:rFonts w:ascii="Arial" w:hAnsi="Arial" w:cs="Arial"/>
                <w:color w:val="000000"/>
                <w:sz w:val="20"/>
                <w:szCs w:val="20"/>
              </w:rPr>
            </w:pPr>
          </w:p>
          <w:p w14:paraId="32BC5C0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34</w:t>
            </w:r>
            <w:r w:rsidRPr="000B369D">
              <w:rPr>
                <w:rFonts w:ascii="Arial" w:hAnsi="Arial" w:cs="Arial"/>
                <w:color w:val="000000"/>
                <w:sz w:val="20"/>
                <w:szCs w:val="20"/>
              </w:rPr>
              <w:br/>
              <w:t>G2: 34</w:t>
            </w:r>
          </w:p>
        </w:tc>
        <w:tc>
          <w:tcPr>
            <w:tcW w:w="1619" w:type="dxa"/>
          </w:tcPr>
          <w:p w14:paraId="7F23AA0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63.1 ± 9.1</w:t>
            </w:r>
            <w:r w:rsidRPr="000B369D">
              <w:rPr>
                <w:rFonts w:ascii="Arial" w:hAnsi="Arial" w:cs="Arial"/>
                <w:color w:val="000000"/>
                <w:sz w:val="20"/>
                <w:szCs w:val="20"/>
              </w:rPr>
              <w:br/>
              <w:t>G2: 63.3 ± 9.0</w:t>
            </w:r>
          </w:p>
        </w:tc>
        <w:tc>
          <w:tcPr>
            <w:tcW w:w="871" w:type="dxa"/>
          </w:tcPr>
          <w:p w14:paraId="163F73F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46 W</w:t>
            </w:r>
            <w:r w:rsidRPr="000B369D">
              <w:rPr>
                <w:rFonts w:ascii="Arial" w:hAnsi="Arial" w:cs="Arial"/>
                <w:color w:val="000000"/>
                <w:sz w:val="20"/>
                <w:szCs w:val="20"/>
              </w:rPr>
              <w:br/>
              <w:t>22 M</w:t>
            </w:r>
          </w:p>
        </w:tc>
        <w:tc>
          <w:tcPr>
            <w:tcW w:w="1813" w:type="dxa"/>
          </w:tcPr>
          <w:p w14:paraId="1B5089E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7BC6F4B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Function</w:t>
            </w:r>
          </w:p>
          <w:p w14:paraId="1AA84C6F" w14:textId="77777777" w:rsidR="00582B19" w:rsidRPr="000B369D" w:rsidRDefault="00582B19" w:rsidP="00111BE5">
            <w:pPr>
              <w:rPr>
                <w:rFonts w:ascii="Arial" w:hAnsi="Arial" w:cs="Arial"/>
                <w:sz w:val="20"/>
                <w:szCs w:val="20"/>
              </w:rPr>
            </w:pPr>
          </w:p>
        </w:tc>
        <w:tc>
          <w:tcPr>
            <w:tcW w:w="2517" w:type="dxa"/>
          </w:tcPr>
          <w:p w14:paraId="4588FA5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Supported in part by a grant from the Fonds de la Recherche en Santé du Québec.</w:t>
            </w:r>
          </w:p>
        </w:tc>
      </w:tr>
      <w:tr w:rsidR="00582B19" w:rsidRPr="00252F1D" w14:paraId="5F2F3F07" w14:textId="77777777" w:rsidTr="008C4C2C">
        <w:tc>
          <w:tcPr>
            <w:tcW w:w="1342" w:type="dxa"/>
          </w:tcPr>
          <w:p w14:paraId="0D2CE75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lastRenderedPageBreak/>
              <w:t>Reginster, 2001</w:t>
            </w:r>
          </w:p>
        </w:tc>
        <w:tc>
          <w:tcPr>
            <w:tcW w:w="1131" w:type="dxa"/>
          </w:tcPr>
          <w:p w14:paraId="0EB4D3B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2 groups</w:t>
            </w:r>
          </w:p>
        </w:tc>
        <w:tc>
          <w:tcPr>
            <w:tcW w:w="1919" w:type="dxa"/>
          </w:tcPr>
          <w:p w14:paraId="4A2B1A20"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prescription grade Crystalline Glucocamine Sulfate</w:t>
            </w:r>
          </w:p>
          <w:p w14:paraId="7296271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0567C6E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156 weeks</w:t>
            </w:r>
          </w:p>
        </w:tc>
        <w:tc>
          <w:tcPr>
            <w:tcW w:w="1337" w:type="dxa"/>
          </w:tcPr>
          <w:p w14:paraId="79454787"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212</w:t>
            </w:r>
          </w:p>
          <w:p w14:paraId="71D6032C" w14:textId="77777777" w:rsidR="00582B19" w:rsidRPr="000B369D" w:rsidRDefault="00582B19" w:rsidP="00111BE5">
            <w:pPr>
              <w:rPr>
                <w:rFonts w:ascii="Arial" w:hAnsi="Arial" w:cs="Arial"/>
                <w:color w:val="000000"/>
                <w:sz w:val="20"/>
                <w:szCs w:val="20"/>
              </w:rPr>
            </w:pPr>
          </w:p>
          <w:p w14:paraId="3A44960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106</w:t>
            </w:r>
            <w:r w:rsidRPr="000B369D">
              <w:rPr>
                <w:rFonts w:ascii="Arial" w:hAnsi="Arial" w:cs="Arial"/>
                <w:color w:val="000000"/>
                <w:sz w:val="20"/>
                <w:szCs w:val="20"/>
              </w:rPr>
              <w:br/>
              <w:t>G2: 106</w:t>
            </w:r>
          </w:p>
        </w:tc>
        <w:tc>
          <w:tcPr>
            <w:tcW w:w="1619" w:type="dxa"/>
          </w:tcPr>
          <w:p w14:paraId="743BC1A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66.0 ± 8.1</w:t>
            </w:r>
            <w:r w:rsidRPr="000B369D">
              <w:rPr>
                <w:rFonts w:ascii="Arial" w:hAnsi="Arial" w:cs="Arial"/>
                <w:color w:val="000000"/>
                <w:sz w:val="20"/>
                <w:szCs w:val="20"/>
              </w:rPr>
              <w:br/>
              <w:t>G2: 65.5 ± 7.5</w:t>
            </w:r>
          </w:p>
        </w:tc>
        <w:tc>
          <w:tcPr>
            <w:tcW w:w="871" w:type="dxa"/>
          </w:tcPr>
          <w:p w14:paraId="33806E2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162 W</w:t>
            </w:r>
            <w:r w:rsidRPr="000B369D">
              <w:rPr>
                <w:rFonts w:ascii="Arial" w:hAnsi="Arial" w:cs="Arial"/>
                <w:color w:val="000000"/>
                <w:sz w:val="20"/>
                <w:szCs w:val="20"/>
              </w:rPr>
              <w:br/>
              <w:t>50 M</w:t>
            </w:r>
          </w:p>
        </w:tc>
        <w:tc>
          <w:tcPr>
            <w:tcW w:w="1813" w:type="dxa"/>
          </w:tcPr>
          <w:p w14:paraId="610F4D7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r w:rsidRPr="000B369D">
              <w:rPr>
                <w:rFonts w:ascii="Arial" w:hAnsi="Arial" w:cs="Arial"/>
                <w:color w:val="000000"/>
                <w:sz w:val="20"/>
                <w:szCs w:val="20"/>
              </w:rPr>
              <w:br/>
            </w:r>
          </w:p>
        </w:tc>
        <w:tc>
          <w:tcPr>
            <w:tcW w:w="2517" w:type="dxa"/>
          </w:tcPr>
          <w:p w14:paraId="231B08D9"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Supported by a research grant from the Rotta Research Group, Monza, Italy.</w:t>
            </w:r>
          </w:p>
        </w:tc>
      </w:tr>
      <w:tr w:rsidR="00582B19" w:rsidRPr="000B369D" w14:paraId="2E116DAA" w14:textId="77777777" w:rsidTr="008C4C2C">
        <w:tc>
          <w:tcPr>
            <w:tcW w:w="1342" w:type="dxa"/>
          </w:tcPr>
          <w:p w14:paraId="3291D35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Reginster, 2017</w:t>
            </w:r>
          </w:p>
        </w:tc>
        <w:tc>
          <w:tcPr>
            <w:tcW w:w="1131" w:type="dxa"/>
          </w:tcPr>
          <w:p w14:paraId="1F65D51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3 groups</w:t>
            </w:r>
          </w:p>
        </w:tc>
        <w:tc>
          <w:tcPr>
            <w:tcW w:w="1919" w:type="dxa"/>
          </w:tcPr>
          <w:p w14:paraId="20AC084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prescription grade Chondroitin Sulfate</w:t>
            </w:r>
          </w:p>
          <w:p w14:paraId="02C6657C"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Celecoxib</w:t>
            </w:r>
          </w:p>
          <w:p w14:paraId="103009C9"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G3: Placebo</w:t>
            </w:r>
          </w:p>
        </w:tc>
        <w:tc>
          <w:tcPr>
            <w:tcW w:w="1445" w:type="dxa"/>
          </w:tcPr>
          <w:p w14:paraId="1DF41F4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26 weeks</w:t>
            </w:r>
          </w:p>
        </w:tc>
        <w:tc>
          <w:tcPr>
            <w:tcW w:w="1337" w:type="dxa"/>
          </w:tcPr>
          <w:p w14:paraId="39613E5D"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603</w:t>
            </w:r>
          </w:p>
          <w:p w14:paraId="62A23F83" w14:textId="77777777" w:rsidR="00582B19" w:rsidRPr="000B369D" w:rsidRDefault="00582B19" w:rsidP="00111BE5">
            <w:pPr>
              <w:rPr>
                <w:rFonts w:ascii="Arial" w:hAnsi="Arial" w:cs="Arial"/>
                <w:color w:val="000000"/>
                <w:sz w:val="20"/>
                <w:szCs w:val="20"/>
              </w:rPr>
            </w:pPr>
          </w:p>
          <w:p w14:paraId="056B7A9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199</w:t>
            </w:r>
            <w:r w:rsidRPr="000B369D">
              <w:rPr>
                <w:rFonts w:ascii="Arial" w:hAnsi="Arial" w:cs="Arial"/>
                <w:color w:val="000000"/>
                <w:sz w:val="20"/>
                <w:szCs w:val="20"/>
              </w:rPr>
              <w:br/>
              <w:t>G2: 199</w:t>
            </w:r>
            <w:r w:rsidRPr="000B369D">
              <w:rPr>
                <w:rFonts w:ascii="Arial" w:hAnsi="Arial" w:cs="Arial"/>
                <w:color w:val="000000"/>
                <w:sz w:val="20"/>
                <w:szCs w:val="20"/>
              </w:rPr>
              <w:br/>
              <w:t>G3: 205</w:t>
            </w:r>
          </w:p>
        </w:tc>
        <w:tc>
          <w:tcPr>
            <w:tcW w:w="1619" w:type="dxa"/>
          </w:tcPr>
          <w:p w14:paraId="074B430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65.5 ± 8.0</w:t>
            </w:r>
            <w:r w:rsidRPr="000B369D">
              <w:rPr>
                <w:rFonts w:ascii="Arial" w:hAnsi="Arial" w:cs="Arial"/>
                <w:color w:val="000000"/>
                <w:sz w:val="20"/>
                <w:szCs w:val="20"/>
              </w:rPr>
              <w:br/>
              <w:t xml:space="preserve">G2: 65.5 ± 7.8 </w:t>
            </w:r>
            <w:r w:rsidRPr="000B369D">
              <w:rPr>
                <w:rFonts w:ascii="Arial" w:hAnsi="Arial" w:cs="Arial"/>
                <w:color w:val="000000"/>
                <w:sz w:val="20"/>
                <w:szCs w:val="20"/>
              </w:rPr>
              <w:br/>
              <w:t>G3: 64.9 ± 8.0</w:t>
            </w:r>
          </w:p>
        </w:tc>
        <w:tc>
          <w:tcPr>
            <w:tcW w:w="871" w:type="dxa"/>
          </w:tcPr>
          <w:p w14:paraId="6D566E2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468 W</w:t>
            </w:r>
            <w:r w:rsidRPr="000B369D">
              <w:rPr>
                <w:rFonts w:ascii="Arial" w:hAnsi="Arial" w:cs="Arial"/>
                <w:color w:val="000000"/>
                <w:sz w:val="20"/>
                <w:szCs w:val="20"/>
              </w:rPr>
              <w:br/>
              <w:t>135 M</w:t>
            </w:r>
          </w:p>
        </w:tc>
        <w:tc>
          <w:tcPr>
            <w:tcW w:w="1813" w:type="dxa"/>
          </w:tcPr>
          <w:p w14:paraId="27CBCFF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p>
        </w:tc>
        <w:tc>
          <w:tcPr>
            <w:tcW w:w="2517" w:type="dxa"/>
          </w:tcPr>
          <w:p w14:paraId="50F6FB3F"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Sponsored by IBSA Institut Biochimique SA, Pambio-Noranco, Switzerland. </w:t>
            </w:r>
          </w:p>
        </w:tc>
      </w:tr>
      <w:tr w:rsidR="00582B19" w:rsidRPr="00252F1D" w14:paraId="1C5E0F3D" w14:textId="77777777" w:rsidTr="008C4C2C">
        <w:tc>
          <w:tcPr>
            <w:tcW w:w="1342" w:type="dxa"/>
          </w:tcPr>
          <w:p w14:paraId="6DA8DB1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Roman-Blas, 2017</w:t>
            </w:r>
          </w:p>
        </w:tc>
        <w:tc>
          <w:tcPr>
            <w:tcW w:w="1131" w:type="dxa"/>
          </w:tcPr>
          <w:p w14:paraId="01E8D98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double-blind, 2 groups</w:t>
            </w:r>
          </w:p>
        </w:tc>
        <w:tc>
          <w:tcPr>
            <w:tcW w:w="1919" w:type="dxa"/>
          </w:tcPr>
          <w:p w14:paraId="5CED7B9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G1: Chondroitin sulfate + Glucosamine sulfate</w:t>
            </w:r>
          </w:p>
          <w:p w14:paraId="1DAB1325"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G2: Placebo</w:t>
            </w:r>
          </w:p>
        </w:tc>
        <w:tc>
          <w:tcPr>
            <w:tcW w:w="1445" w:type="dxa"/>
          </w:tcPr>
          <w:p w14:paraId="470A414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24 weeks</w:t>
            </w:r>
          </w:p>
        </w:tc>
        <w:tc>
          <w:tcPr>
            <w:tcW w:w="1337" w:type="dxa"/>
          </w:tcPr>
          <w:p w14:paraId="6F76AAD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164</w:t>
            </w:r>
          </w:p>
          <w:p w14:paraId="3684CB7A" w14:textId="77777777" w:rsidR="00582B19" w:rsidRPr="000B369D" w:rsidRDefault="00582B19" w:rsidP="00111BE5">
            <w:pPr>
              <w:rPr>
                <w:rFonts w:ascii="Arial" w:hAnsi="Arial" w:cs="Arial"/>
                <w:color w:val="000000"/>
                <w:sz w:val="20"/>
                <w:szCs w:val="20"/>
              </w:rPr>
            </w:pPr>
          </w:p>
          <w:p w14:paraId="1F7EEB5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 xml:space="preserve">G1: 81 </w:t>
            </w:r>
            <w:r w:rsidRPr="000B369D">
              <w:rPr>
                <w:rFonts w:ascii="Arial" w:hAnsi="Arial" w:cs="Arial"/>
                <w:color w:val="000000"/>
                <w:sz w:val="20"/>
                <w:szCs w:val="20"/>
              </w:rPr>
              <w:br/>
              <w:t xml:space="preserve">G2: 83 </w:t>
            </w:r>
          </w:p>
        </w:tc>
        <w:tc>
          <w:tcPr>
            <w:tcW w:w="1619" w:type="dxa"/>
          </w:tcPr>
          <w:p w14:paraId="6317A1F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65 ± 8</w:t>
            </w:r>
            <w:r w:rsidRPr="000B369D">
              <w:rPr>
                <w:rFonts w:ascii="Arial" w:hAnsi="Arial" w:cs="Arial"/>
                <w:color w:val="000000"/>
                <w:sz w:val="20"/>
                <w:szCs w:val="20"/>
              </w:rPr>
              <w:br/>
              <w:t>G2: 67 ± 8</w:t>
            </w:r>
          </w:p>
        </w:tc>
        <w:tc>
          <w:tcPr>
            <w:tcW w:w="871" w:type="dxa"/>
          </w:tcPr>
          <w:p w14:paraId="1CADDC3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132 W</w:t>
            </w:r>
            <w:r w:rsidRPr="000B369D">
              <w:rPr>
                <w:rFonts w:ascii="Arial" w:hAnsi="Arial" w:cs="Arial"/>
                <w:color w:val="000000"/>
                <w:sz w:val="20"/>
                <w:szCs w:val="20"/>
              </w:rPr>
              <w:br/>
              <w:t>26 M</w:t>
            </w:r>
          </w:p>
        </w:tc>
        <w:tc>
          <w:tcPr>
            <w:tcW w:w="1813" w:type="dxa"/>
          </w:tcPr>
          <w:p w14:paraId="54E544F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r w:rsidRPr="000B369D">
              <w:rPr>
                <w:rFonts w:ascii="Arial" w:hAnsi="Arial" w:cs="Arial"/>
                <w:color w:val="000000"/>
                <w:sz w:val="20"/>
                <w:szCs w:val="20"/>
              </w:rPr>
              <w:br/>
              <w:t>Function</w:t>
            </w:r>
          </w:p>
        </w:tc>
        <w:tc>
          <w:tcPr>
            <w:tcW w:w="2517" w:type="dxa"/>
          </w:tcPr>
          <w:p w14:paraId="7A940A5A"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 xml:space="preserve">Supported by Tedec Meiji Farma SA, Madrid, Spain </w:t>
            </w:r>
          </w:p>
        </w:tc>
      </w:tr>
      <w:tr w:rsidR="00582B19" w:rsidRPr="000B369D" w14:paraId="3218FF0F" w14:textId="77777777" w:rsidTr="008C4C2C">
        <w:tc>
          <w:tcPr>
            <w:tcW w:w="1342" w:type="dxa"/>
          </w:tcPr>
          <w:p w14:paraId="5F7B6A67"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Baltzer, 2009</w:t>
            </w:r>
          </w:p>
        </w:tc>
        <w:tc>
          <w:tcPr>
            <w:tcW w:w="1131" w:type="dxa"/>
          </w:tcPr>
          <w:p w14:paraId="1CADEA0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3 groups</w:t>
            </w:r>
          </w:p>
        </w:tc>
        <w:tc>
          <w:tcPr>
            <w:tcW w:w="1919" w:type="dxa"/>
          </w:tcPr>
          <w:p w14:paraId="56F8DF7F"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24A2DEC2"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1748873B"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1 injection per week for 3 weeks</w:t>
            </w:r>
          </w:p>
        </w:tc>
        <w:tc>
          <w:tcPr>
            <w:tcW w:w="1337" w:type="dxa"/>
          </w:tcPr>
          <w:p w14:paraId="5478923D"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376</w:t>
            </w:r>
          </w:p>
          <w:p w14:paraId="308F03A8" w14:textId="77777777" w:rsidR="00582B19" w:rsidRPr="000B369D" w:rsidRDefault="00582B19" w:rsidP="00111BE5">
            <w:pPr>
              <w:rPr>
                <w:rFonts w:ascii="Arial" w:hAnsi="Arial" w:cs="Arial"/>
                <w:color w:val="000000"/>
                <w:sz w:val="20"/>
                <w:szCs w:val="20"/>
                <w:lang w:val="en-GB"/>
              </w:rPr>
            </w:pPr>
          </w:p>
          <w:p w14:paraId="798C012B"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G1: 135</w:t>
            </w:r>
            <w:r w:rsidRPr="000B369D">
              <w:rPr>
                <w:rFonts w:ascii="Arial" w:hAnsi="Arial" w:cs="Arial"/>
                <w:color w:val="000000"/>
                <w:sz w:val="20"/>
                <w:szCs w:val="20"/>
                <w:lang w:val="en-GB"/>
              </w:rPr>
              <w:br/>
              <w:t>G2: 107</w:t>
            </w:r>
            <w:r w:rsidRPr="000B369D">
              <w:rPr>
                <w:rFonts w:ascii="Arial" w:hAnsi="Arial" w:cs="Arial"/>
                <w:color w:val="000000"/>
                <w:sz w:val="20"/>
                <w:szCs w:val="20"/>
                <w:lang w:val="en-GB"/>
              </w:rPr>
              <w:br/>
              <w:t>G3: 134 (not used in this analysis)</w:t>
            </w:r>
          </w:p>
        </w:tc>
        <w:tc>
          <w:tcPr>
            <w:tcW w:w="1619" w:type="dxa"/>
          </w:tcPr>
          <w:p w14:paraId="0B15D73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57,4 ± 12</w:t>
            </w:r>
            <w:r w:rsidRPr="000B369D">
              <w:rPr>
                <w:rFonts w:ascii="Arial" w:hAnsi="Arial" w:cs="Arial"/>
                <w:color w:val="000000"/>
                <w:sz w:val="20"/>
                <w:szCs w:val="20"/>
              </w:rPr>
              <w:br/>
              <w:t>G2: 60,3 ± 10,7</w:t>
            </w:r>
          </w:p>
        </w:tc>
        <w:tc>
          <w:tcPr>
            <w:tcW w:w="871" w:type="dxa"/>
          </w:tcPr>
          <w:p w14:paraId="5FEE37E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207 W</w:t>
            </w:r>
            <w:r w:rsidRPr="000B369D">
              <w:rPr>
                <w:rFonts w:ascii="Arial" w:hAnsi="Arial" w:cs="Arial"/>
                <w:color w:val="000000"/>
                <w:sz w:val="20"/>
                <w:szCs w:val="20"/>
              </w:rPr>
              <w:br/>
              <w:t>169 M</w:t>
            </w:r>
          </w:p>
        </w:tc>
        <w:tc>
          <w:tcPr>
            <w:tcW w:w="1813" w:type="dxa"/>
          </w:tcPr>
          <w:p w14:paraId="50E3EB2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52C19E52" w14:textId="77777777" w:rsidR="00582B19" w:rsidRPr="000B369D" w:rsidRDefault="00582B19" w:rsidP="00111BE5">
            <w:pPr>
              <w:rPr>
                <w:rFonts w:ascii="Arial" w:hAnsi="Arial" w:cs="Arial"/>
                <w:sz w:val="20"/>
                <w:szCs w:val="20"/>
              </w:rPr>
            </w:pPr>
            <w:r w:rsidRPr="000B369D">
              <w:rPr>
                <w:rFonts w:ascii="Arial" w:hAnsi="Arial" w:cs="Arial"/>
                <w:sz w:val="20"/>
                <w:szCs w:val="20"/>
              </w:rPr>
              <w:t>Function</w:t>
            </w:r>
          </w:p>
          <w:p w14:paraId="68E3977D" w14:textId="77777777" w:rsidR="00582B19" w:rsidRPr="000B369D" w:rsidRDefault="00582B19" w:rsidP="00111BE5">
            <w:pPr>
              <w:rPr>
                <w:rFonts w:ascii="Arial" w:hAnsi="Arial" w:cs="Arial"/>
                <w:sz w:val="20"/>
                <w:szCs w:val="20"/>
              </w:rPr>
            </w:pPr>
          </w:p>
        </w:tc>
        <w:tc>
          <w:tcPr>
            <w:tcW w:w="2517" w:type="dxa"/>
          </w:tcPr>
          <w:p w14:paraId="7E377F3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NR</w:t>
            </w:r>
          </w:p>
        </w:tc>
      </w:tr>
      <w:tr w:rsidR="00582B19" w:rsidRPr="00252F1D" w14:paraId="2E3AF7ED" w14:textId="77777777" w:rsidTr="008C4C2C">
        <w:tc>
          <w:tcPr>
            <w:tcW w:w="1342" w:type="dxa"/>
          </w:tcPr>
          <w:p w14:paraId="03FDA96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Altman, 2009</w:t>
            </w:r>
          </w:p>
        </w:tc>
        <w:tc>
          <w:tcPr>
            <w:tcW w:w="1131" w:type="dxa"/>
          </w:tcPr>
          <w:p w14:paraId="3558D52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2BF5C888"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0F1AC5F4"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1128CC2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 xml:space="preserve">3 weekly injections </w:t>
            </w:r>
          </w:p>
        </w:tc>
        <w:tc>
          <w:tcPr>
            <w:tcW w:w="1337" w:type="dxa"/>
          </w:tcPr>
          <w:p w14:paraId="652BC11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588</w:t>
            </w:r>
          </w:p>
          <w:p w14:paraId="5A9B648C" w14:textId="77777777" w:rsidR="00582B19" w:rsidRPr="000B369D" w:rsidRDefault="00582B19" w:rsidP="00111BE5">
            <w:pPr>
              <w:rPr>
                <w:rFonts w:ascii="Arial" w:hAnsi="Arial" w:cs="Arial"/>
                <w:color w:val="000000"/>
                <w:sz w:val="20"/>
                <w:szCs w:val="20"/>
              </w:rPr>
            </w:pPr>
          </w:p>
          <w:p w14:paraId="166D3CD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293 (ITT 291)</w:t>
            </w:r>
            <w:r w:rsidRPr="000B369D">
              <w:rPr>
                <w:rFonts w:ascii="Arial" w:hAnsi="Arial" w:cs="Arial"/>
                <w:color w:val="000000"/>
                <w:sz w:val="20"/>
                <w:szCs w:val="20"/>
              </w:rPr>
              <w:br/>
              <w:t>G2: 295</w:t>
            </w:r>
          </w:p>
        </w:tc>
        <w:tc>
          <w:tcPr>
            <w:tcW w:w="1619" w:type="dxa"/>
          </w:tcPr>
          <w:p w14:paraId="77C469E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62,5 ± 11</w:t>
            </w:r>
            <w:r w:rsidRPr="000B369D">
              <w:rPr>
                <w:rFonts w:ascii="Arial" w:hAnsi="Arial" w:cs="Arial"/>
                <w:color w:val="000000"/>
                <w:sz w:val="20"/>
                <w:szCs w:val="20"/>
              </w:rPr>
              <w:br/>
              <w:t>G2: 60,8 ± 10</w:t>
            </w:r>
          </w:p>
        </w:tc>
        <w:tc>
          <w:tcPr>
            <w:tcW w:w="871" w:type="dxa"/>
          </w:tcPr>
          <w:p w14:paraId="451FED0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370 W</w:t>
            </w:r>
            <w:r w:rsidRPr="000B369D">
              <w:rPr>
                <w:rFonts w:ascii="Arial" w:hAnsi="Arial" w:cs="Arial"/>
                <w:color w:val="000000"/>
                <w:sz w:val="20"/>
                <w:szCs w:val="20"/>
              </w:rPr>
              <w:br/>
              <w:t>216 M</w:t>
            </w:r>
          </w:p>
        </w:tc>
        <w:tc>
          <w:tcPr>
            <w:tcW w:w="1813" w:type="dxa"/>
          </w:tcPr>
          <w:p w14:paraId="74D425C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09BA9BD7" w14:textId="77777777" w:rsidR="00582B19" w:rsidRPr="000B369D" w:rsidRDefault="00582B19" w:rsidP="00111BE5">
            <w:pPr>
              <w:rPr>
                <w:rFonts w:ascii="Arial" w:hAnsi="Arial" w:cs="Arial"/>
                <w:sz w:val="20"/>
                <w:szCs w:val="20"/>
              </w:rPr>
            </w:pPr>
            <w:r w:rsidRPr="000B369D">
              <w:rPr>
                <w:rFonts w:ascii="Arial" w:hAnsi="Arial" w:cs="Arial"/>
                <w:sz w:val="20"/>
                <w:szCs w:val="20"/>
              </w:rPr>
              <w:t>Function</w:t>
            </w:r>
          </w:p>
          <w:p w14:paraId="56F9387B" w14:textId="77777777" w:rsidR="00582B19" w:rsidRPr="000B369D" w:rsidRDefault="00582B19" w:rsidP="00111BE5">
            <w:pPr>
              <w:rPr>
                <w:rFonts w:ascii="Arial" w:hAnsi="Arial" w:cs="Arial"/>
                <w:sz w:val="20"/>
                <w:szCs w:val="20"/>
              </w:rPr>
            </w:pPr>
          </w:p>
        </w:tc>
        <w:tc>
          <w:tcPr>
            <w:tcW w:w="2517" w:type="dxa"/>
          </w:tcPr>
          <w:p w14:paraId="31F8BB6C"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Supported by Ferring Pharmaceuticals Inc., Parsippany, New Jersey.</w:t>
            </w:r>
          </w:p>
        </w:tc>
      </w:tr>
      <w:tr w:rsidR="00582B19" w:rsidRPr="00252F1D" w14:paraId="02624CED" w14:textId="77777777" w:rsidTr="008C4C2C">
        <w:tc>
          <w:tcPr>
            <w:tcW w:w="1342" w:type="dxa"/>
          </w:tcPr>
          <w:p w14:paraId="274602D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Buendia-Lopez, 2018</w:t>
            </w:r>
          </w:p>
        </w:tc>
        <w:tc>
          <w:tcPr>
            <w:tcW w:w="1131" w:type="dxa"/>
          </w:tcPr>
          <w:p w14:paraId="43E7870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single blind, 3 groups</w:t>
            </w:r>
          </w:p>
        </w:tc>
        <w:tc>
          <w:tcPr>
            <w:tcW w:w="1919" w:type="dxa"/>
          </w:tcPr>
          <w:p w14:paraId="24334B91"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5EE6CC78"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IA Etoricoxib</w:t>
            </w:r>
          </w:p>
        </w:tc>
        <w:tc>
          <w:tcPr>
            <w:tcW w:w="1445" w:type="dxa"/>
          </w:tcPr>
          <w:p w14:paraId="573F0CC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Single injection</w:t>
            </w:r>
          </w:p>
        </w:tc>
        <w:tc>
          <w:tcPr>
            <w:tcW w:w="1337" w:type="dxa"/>
          </w:tcPr>
          <w:p w14:paraId="28DA31CB"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106</w:t>
            </w:r>
          </w:p>
          <w:p w14:paraId="55B50A1E" w14:textId="77777777" w:rsidR="00582B19" w:rsidRPr="000B369D" w:rsidRDefault="00582B19" w:rsidP="00111BE5">
            <w:pPr>
              <w:rPr>
                <w:rFonts w:ascii="Arial" w:hAnsi="Arial" w:cs="Arial"/>
                <w:color w:val="000000"/>
                <w:sz w:val="20"/>
                <w:szCs w:val="20"/>
                <w:lang w:val="en-GB"/>
              </w:rPr>
            </w:pPr>
          </w:p>
          <w:p w14:paraId="1D5204C8"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G1: 36</w:t>
            </w:r>
            <w:r w:rsidRPr="000B369D">
              <w:rPr>
                <w:rFonts w:ascii="Arial" w:hAnsi="Arial" w:cs="Arial"/>
                <w:color w:val="000000"/>
                <w:sz w:val="20"/>
                <w:szCs w:val="20"/>
                <w:lang w:val="en-GB"/>
              </w:rPr>
              <w:br/>
              <w:t>G2: 35</w:t>
            </w:r>
            <w:r w:rsidRPr="000B369D">
              <w:rPr>
                <w:rFonts w:ascii="Arial" w:hAnsi="Arial" w:cs="Arial"/>
                <w:color w:val="000000"/>
                <w:sz w:val="20"/>
                <w:szCs w:val="20"/>
                <w:lang w:val="en-GB"/>
              </w:rPr>
              <w:br/>
              <w:t>G3: 35 (not used in analyses)</w:t>
            </w:r>
          </w:p>
        </w:tc>
        <w:tc>
          <w:tcPr>
            <w:tcW w:w="1619" w:type="dxa"/>
          </w:tcPr>
          <w:p w14:paraId="6E8E2500"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56,63 ± 2,9</w:t>
            </w:r>
            <w:r w:rsidRPr="000B369D">
              <w:rPr>
                <w:rFonts w:ascii="Arial" w:hAnsi="Arial" w:cs="Arial"/>
                <w:color w:val="000000"/>
                <w:sz w:val="20"/>
                <w:szCs w:val="20"/>
              </w:rPr>
              <w:br/>
              <w:t>G2: 57,42 ± 3,1</w:t>
            </w:r>
          </w:p>
        </w:tc>
        <w:tc>
          <w:tcPr>
            <w:tcW w:w="871" w:type="dxa"/>
          </w:tcPr>
          <w:p w14:paraId="5E2E619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47 W</w:t>
            </w:r>
            <w:r w:rsidRPr="000B369D">
              <w:rPr>
                <w:rFonts w:ascii="Arial" w:hAnsi="Arial" w:cs="Arial"/>
                <w:color w:val="000000"/>
                <w:sz w:val="20"/>
                <w:szCs w:val="20"/>
              </w:rPr>
              <w:br/>
              <w:t>51 M</w:t>
            </w:r>
          </w:p>
        </w:tc>
        <w:tc>
          <w:tcPr>
            <w:tcW w:w="1813" w:type="dxa"/>
          </w:tcPr>
          <w:p w14:paraId="3463C48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7277A950" w14:textId="77777777" w:rsidR="00582B19" w:rsidRPr="000B369D" w:rsidRDefault="00582B19" w:rsidP="00111BE5">
            <w:pPr>
              <w:rPr>
                <w:rFonts w:ascii="Arial" w:hAnsi="Arial" w:cs="Arial"/>
                <w:sz w:val="20"/>
                <w:szCs w:val="20"/>
              </w:rPr>
            </w:pPr>
            <w:r w:rsidRPr="000B369D">
              <w:rPr>
                <w:rFonts w:ascii="Arial" w:hAnsi="Arial" w:cs="Arial"/>
                <w:sz w:val="20"/>
                <w:szCs w:val="20"/>
              </w:rPr>
              <w:t>Function</w:t>
            </w:r>
          </w:p>
          <w:p w14:paraId="73A75154" w14:textId="77777777" w:rsidR="00582B19" w:rsidRPr="000B369D" w:rsidRDefault="00582B19" w:rsidP="00111BE5">
            <w:pPr>
              <w:rPr>
                <w:rFonts w:ascii="Arial" w:hAnsi="Arial" w:cs="Arial"/>
                <w:sz w:val="20"/>
                <w:szCs w:val="20"/>
              </w:rPr>
            </w:pPr>
          </w:p>
        </w:tc>
        <w:tc>
          <w:tcPr>
            <w:tcW w:w="2517" w:type="dxa"/>
          </w:tcPr>
          <w:p w14:paraId="74E7F9AD"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 xml:space="preserve">National Institute of Arthritis and Musculoskeletal and Skin Diseases and the National Center for Complementary and Alternative Medicine </w:t>
            </w:r>
          </w:p>
        </w:tc>
      </w:tr>
      <w:tr w:rsidR="00582B19" w:rsidRPr="00252F1D" w14:paraId="6AF3C743" w14:textId="77777777" w:rsidTr="008C4C2C">
        <w:tc>
          <w:tcPr>
            <w:tcW w:w="1342" w:type="dxa"/>
          </w:tcPr>
          <w:p w14:paraId="102DC2F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Chevalier, 2010</w:t>
            </w:r>
          </w:p>
        </w:tc>
        <w:tc>
          <w:tcPr>
            <w:tcW w:w="1131" w:type="dxa"/>
          </w:tcPr>
          <w:p w14:paraId="469C5CC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77A07591"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61CB20C1"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48B4674D"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 injection</w:t>
            </w:r>
          </w:p>
        </w:tc>
        <w:tc>
          <w:tcPr>
            <w:tcW w:w="1337" w:type="dxa"/>
          </w:tcPr>
          <w:p w14:paraId="4BEBD0FC"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253</w:t>
            </w:r>
          </w:p>
          <w:p w14:paraId="30BD2F7C" w14:textId="77777777" w:rsidR="00582B19" w:rsidRPr="000B369D" w:rsidRDefault="00582B19" w:rsidP="00111BE5">
            <w:pPr>
              <w:rPr>
                <w:rFonts w:ascii="Arial" w:hAnsi="Arial" w:cs="Arial"/>
                <w:color w:val="000000"/>
                <w:sz w:val="20"/>
                <w:szCs w:val="20"/>
                <w:lang w:val="en-GB"/>
              </w:rPr>
            </w:pPr>
          </w:p>
          <w:p w14:paraId="64D37D03"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G1: 124 (treated 123)</w:t>
            </w:r>
            <w:r w:rsidRPr="000B369D">
              <w:rPr>
                <w:rFonts w:ascii="Arial" w:hAnsi="Arial" w:cs="Arial"/>
                <w:color w:val="000000"/>
                <w:sz w:val="20"/>
                <w:szCs w:val="20"/>
                <w:lang w:val="en-GB"/>
              </w:rPr>
              <w:br/>
            </w:r>
            <w:r w:rsidRPr="000B369D">
              <w:rPr>
                <w:rFonts w:ascii="Arial" w:hAnsi="Arial" w:cs="Arial"/>
                <w:color w:val="000000"/>
                <w:sz w:val="20"/>
                <w:szCs w:val="20"/>
                <w:lang w:val="en-GB"/>
              </w:rPr>
              <w:lastRenderedPageBreak/>
              <w:t>G2: 129 (treated 130)</w:t>
            </w:r>
          </w:p>
        </w:tc>
        <w:tc>
          <w:tcPr>
            <w:tcW w:w="1619" w:type="dxa"/>
          </w:tcPr>
          <w:p w14:paraId="206FDB8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lastRenderedPageBreak/>
              <w:t>G1: 63,6 ± 9,64</w:t>
            </w:r>
            <w:r w:rsidRPr="000B369D">
              <w:rPr>
                <w:rFonts w:ascii="Arial" w:hAnsi="Arial" w:cs="Arial"/>
                <w:color w:val="000000"/>
                <w:sz w:val="20"/>
                <w:szCs w:val="20"/>
              </w:rPr>
              <w:br/>
              <w:t>G2: 62,5 ± 9,17</w:t>
            </w:r>
          </w:p>
        </w:tc>
        <w:tc>
          <w:tcPr>
            <w:tcW w:w="871" w:type="dxa"/>
          </w:tcPr>
          <w:p w14:paraId="7E463C3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180 W</w:t>
            </w:r>
            <w:r w:rsidRPr="000B369D">
              <w:rPr>
                <w:rFonts w:ascii="Arial" w:hAnsi="Arial" w:cs="Arial"/>
                <w:color w:val="000000"/>
                <w:sz w:val="20"/>
                <w:szCs w:val="20"/>
              </w:rPr>
              <w:br/>
              <w:t>73 M</w:t>
            </w:r>
          </w:p>
        </w:tc>
        <w:tc>
          <w:tcPr>
            <w:tcW w:w="1813" w:type="dxa"/>
          </w:tcPr>
          <w:p w14:paraId="6780BFDA"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514CFF1D" w14:textId="77777777" w:rsidR="00582B19" w:rsidRPr="000B369D" w:rsidRDefault="00582B19" w:rsidP="00111BE5">
            <w:pPr>
              <w:rPr>
                <w:rFonts w:ascii="Arial" w:hAnsi="Arial" w:cs="Arial"/>
                <w:sz w:val="20"/>
                <w:szCs w:val="20"/>
              </w:rPr>
            </w:pPr>
            <w:r w:rsidRPr="000B369D">
              <w:rPr>
                <w:rFonts w:ascii="Arial" w:hAnsi="Arial" w:cs="Arial"/>
                <w:sz w:val="20"/>
                <w:szCs w:val="20"/>
              </w:rPr>
              <w:t>Function</w:t>
            </w:r>
          </w:p>
        </w:tc>
        <w:tc>
          <w:tcPr>
            <w:tcW w:w="2517" w:type="dxa"/>
          </w:tcPr>
          <w:p w14:paraId="11E3CB1D"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This manuscript is based upon clinical trial results from a study sponsored by</w:t>
            </w:r>
            <w:r w:rsidRPr="000B369D">
              <w:rPr>
                <w:rFonts w:ascii="Arial" w:hAnsi="Arial" w:cs="Arial"/>
                <w:color w:val="000000"/>
                <w:sz w:val="20"/>
                <w:szCs w:val="20"/>
                <w:lang w:val="en-GB"/>
              </w:rPr>
              <w:br/>
              <w:t>Genzyme Biosurge</w:t>
            </w:r>
          </w:p>
        </w:tc>
      </w:tr>
      <w:tr w:rsidR="00582B19" w:rsidRPr="000B369D" w14:paraId="74D59443" w14:textId="77777777" w:rsidTr="008C4C2C">
        <w:tc>
          <w:tcPr>
            <w:tcW w:w="1342" w:type="dxa"/>
          </w:tcPr>
          <w:p w14:paraId="25304A3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Maheu, 1998</w:t>
            </w:r>
          </w:p>
        </w:tc>
        <w:tc>
          <w:tcPr>
            <w:tcW w:w="1131" w:type="dxa"/>
          </w:tcPr>
          <w:p w14:paraId="489C7AB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361BE085"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avocado soybean unsaponifiable</w:t>
            </w:r>
          </w:p>
          <w:p w14:paraId="668130B2"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05360977"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26 weeks</w:t>
            </w:r>
          </w:p>
        </w:tc>
        <w:tc>
          <w:tcPr>
            <w:tcW w:w="1337" w:type="dxa"/>
          </w:tcPr>
          <w:p w14:paraId="0515C3D2"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164</w:t>
            </w:r>
          </w:p>
          <w:p w14:paraId="2F05FB80" w14:textId="77777777" w:rsidR="00582B19" w:rsidRPr="000B369D" w:rsidRDefault="00582B19" w:rsidP="00111BE5">
            <w:pPr>
              <w:rPr>
                <w:rFonts w:ascii="Arial" w:hAnsi="Arial" w:cs="Arial"/>
                <w:color w:val="000000"/>
                <w:sz w:val="20"/>
                <w:szCs w:val="20"/>
              </w:rPr>
            </w:pPr>
          </w:p>
          <w:p w14:paraId="138E176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85</w:t>
            </w:r>
            <w:r w:rsidRPr="000B369D">
              <w:rPr>
                <w:rFonts w:ascii="Arial" w:hAnsi="Arial" w:cs="Arial"/>
                <w:color w:val="000000"/>
                <w:sz w:val="20"/>
                <w:szCs w:val="20"/>
              </w:rPr>
              <w:br/>
              <w:t>G2: 79</w:t>
            </w:r>
          </w:p>
        </w:tc>
        <w:tc>
          <w:tcPr>
            <w:tcW w:w="1619" w:type="dxa"/>
          </w:tcPr>
          <w:p w14:paraId="4D254D5F"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64,1 ± 7,5</w:t>
            </w:r>
          </w:p>
          <w:p w14:paraId="2B1605C3" w14:textId="77777777" w:rsidR="00582B19" w:rsidRPr="000B369D" w:rsidRDefault="00582B19" w:rsidP="00111BE5">
            <w:pPr>
              <w:rPr>
                <w:rFonts w:ascii="Arial" w:hAnsi="Arial" w:cs="Arial"/>
                <w:color w:val="000000"/>
                <w:sz w:val="20"/>
                <w:szCs w:val="20"/>
              </w:rPr>
            </w:pPr>
          </w:p>
          <w:p w14:paraId="06E7D1E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63,3 ± 7,6</w:t>
            </w:r>
            <w:r w:rsidRPr="000B369D">
              <w:rPr>
                <w:rFonts w:ascii="Arial" w:hAnsi="Arial" w:cs="Arial"/>
                <w:color w:val="000000"/>
                <w:sz w:val="20"/>
                <w:szCs w:val="20"/>
              </w:rPr>
              <w:br/>
              <w:t>G2: 65,1 ± 6,9</w:t>
            </w:r>
            <w:r w:rsidRPr="000B369D">
              <w:rPr>
                <w:rFonts w:ascii="Arial" w:hAnsi="Arial" w:cs="Arial"/>
                <w:color w:val="000000"/>
                <w:sz w:val="20"/>
                <w:szCs w:val="20"/>
              </w:rPr>
              <w:br/>
            </w:r>
          </w:p>
        </w:tc>
        <w:tc>
          <w:tcPr>
            <w:tcW w:w="871" w:type="dxa"/>
          </w:tcPr>
          <w:p w14:paraId="066D1A89"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118 W</w:t>
            </w:r>
            <w:r w:rsidRPr="000B369D">
              <w:rPr>
                <w:rFonts w:ascii="Arial" w:hAnsi="Arial" w:cs="Arial"/>
                <w:color w:val="000000"/>
                <w:sz w:val="20"/>
                <w:szCs w:val="20"/>
              </w:rPr>
              <w:br/>
              <w:t>46 M</w:t>
            </w:r>
          </w:p>
        </w:tc>
        <w:tc>
          <w:tcPr>
            <w:tcW w:w="1813" w:type="dxa"/>
          </w:tcPr>
          <w:p w14:paraId="229FBE6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65585DF1" w14:textId="77777777" w:rsidR="00582B19" w:rsidRPr="000B369D" w:rsidRDefault="00582B19" w:rsidP="00111BE5">
            <w:pPr>
              <w:rPr>
                <w:rFonts w:ascii="Arial" w:hAnsi="Arial" w:cs="Arial"/>
                <w:sz w:val="20"/>
                <w:szCs w:val="20"/>
              </w:rPr>
            </w:pPr>
            <w:r w:rsidRPr="000B369D">
              <w:rPr>
                <w:rFonts w:ascii="Arial" w:hAnsi="Arial" w:cs="Arial"/>
                <w:sz w:val="20"/>
                <w:szCs w:val="20"/>
              </w:rPr>
              <w:t>Function</w:t>
            </w:r>
          </w:p>
        </w:tc>
        <w:tc>
          <w:tcPr>
            <w:tcW w:w="2517" w:type="dxa"/>
          </w:tcPr>
          <w:p w14:paraId="0A18CF4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Supported by Pharmascience Laboratoriea, Courbcvoie,</w:t>
            </w:r>
            <w:r w:rsidRPr="000B369D">
              <w:rPr>
                <w:rFonts w:ascii="Arial" w:hAnsi="Arial" w:cs="Arial"/>
                <w:color w:val="000000"/>
                <w:sz w:val="20"/>
                <w:szCs w:val="20"/>
              </w:rPr>
              <w:br/>
              <w:t xml:space="preserve">France. </w:t>
            </w:r>
          </w:p>
        </w:tc>
      </w:tr>
      <w:tr w:rsidR="00582B19" w:rsidRPr="00252F1D" w14:paraId="6BE1BAC7" w14:textId="77777777" w:rsidTr="008C4C2C">
        <w:tc>
          <w:tcPr>
            <w:tcW w:w="1342" w:type="dxa"/>
          </w:tcPr>
          <w:p w14:paraId="40A5BFA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Petterson, 2019</w:t>
            </w:r>
          </w:p>
        </w:tc>
        <w:tc>
          <w:tcPr>
            <w:tcW w:w="1131" w:type="dxa"/>
          </w:tcPr>
          <w:p w14:paraId="31B575E8"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197906C5"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530583F7"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15A470C0"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1 injection</w:t>
            </w:r>
          </w:p>
        </w:tc>
        <w:tc>
          <w:tcPr>
            <w:tcW w:w="1337" w:type="dxa"/>
          </w:tcPr>
          <w:p w14:paraId="60863D4E"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369</w:t>
            </w:r>
          </w:p>
          <w:p w14:paraId="18EAC516" w14:textId="77777777" w:rsidR="00582B19" w:rsidRPr="000B369D" w:rsidRDefault="00582B19" w:rsidP="00111BE5">
            <w:pPr>
              <w:rPr>
                <w:rFonts w:ascii="Arial" w:hAnsi="Arial" w:cs="Arial"/>
                <w:color w:val="000000"/>
                <w:sz w:val="20"/>
                <w:szCs w:val="20"/>
              </w:rPr>
            </w:pPr>
          </w:p>
          <w:p w14:paraId="0197981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184</w:t>
            </w:r>
            <w:r w:rsidRPr="000B369D">
              <w:rPr>
                <w:rFonts w:ascii="Arial" w:hAnsi="Arial" w:cs="Arial"/>
                <w:color w:val="000000"/>
                <w:sz w:val="20"/>
                <w:szCs w:val="20"/>
              </w:rPr>
              <w:br/>
              <w:t>G2: 185</w:t>
            </w:r>
          </w:p>
        </w:tc>
        <w:tc>
          <w:tcPr>
            <w:tcW w:w="1619" w:type="dxa"/>
          </w:tcPr>
          <w:p w14:paraId="2FB3501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59,5 ± 8</w:t>
            </w:r>
            <w:r w:rsidRPr="000B369D">
              <w:rPr>
                <w:rFonts w:ascii="Arial" w:hAnsi="Arial" w:cs="Arial"/>
                <w:color w:val="000000"/>
                <w:sz w:val="20"/>
                <w:szCs w:val="20"/>
              </w:rPr>
              <w:br/>
              <w:t>G2: 58,7 ± 9,2</w:t>
            </w:r>
          </w:p>
        </w:tc>
        <w:tc>
          <w:tcPr>
            <w:tcW w:w="871" w:type="dxa"/>
          </w:tcPr>
          <w:p w14:paraId="0D13C3F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215 W</w:t>
            </w:r>
            <w:r w:rsidRPr="000B369D">
              <w:rPr>
                <w:rFonts w:ascii="Arial" w:hAnsi="Arial" w:cs="Arial"/>
                <w:color w:val="000000"/>
                <w:sz w:val="20"/>
                <w:szCs w:val="20"/>
              </w:rPr>
              <w:br/>
              <w:t>154 M</w:t>
            </w:r>
          </w:p>
        </w:tc>
        <w:tc>
          <w:tcPr>
            <w:tcW w:w="1813" w:type="dxa"/>
          </w:tcPr>
          <w:p w14:paraId="4A50CE21"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19009475" w14:textId="77777777" w:rsidR="00582B19" w:rsidRPr="000B369D" w:rsidRDefault="00582B19" w:rsidP="00111BE5">
            <w:pPr>
              <w:rPr>
                <w:rFonts w:ascii="Arial" w:hAnsi="Arial" w:cs="Arial"/>
                <w:sz w:val="20"/>
                <w:szCs w:val="20"/>
              </w:rPr>
            </w:pPr>
            <w:r w:rsidRPr="000B369D">
              <w:rPr>
                <w:rFonts w:ascii="Arial" w:hAnsi="Arial" w:cs="Arial"/>
                <w:sz w:val="20"/>
                <w:szCs w:val="20"/>
              </w:rPr>
              <w:t>Function</w:t>
            </w:r>
          </w:p>
        </w:tc>
        <w:tc>
          <w:tcPr>
            <w:tcW w:w="2517" w:type="dxa"/>
          </w:tcPr>
          <w:p w14:paraId="464BFACF"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This manuscript is based upon clinical trial results from a</w:t>
            </w:r>
            <w:r w:rsidRPr="000B369D">
              <w:rPr>
                <w:rFonts w:ascii="Arial" w:hAnsi="Arial" w:cs="Arial"/>
                <w:color w:val="000000"/>
                <w:sz w:val="20"/>
                <w:szCs w:val="20"/>
                <w:lang w:val="en-GB"/>
              </w:rPr>
              <w:br/>
              <w:t>study sponsored by Anika Therapeutics.</w:t>
            </w:r>
          </w:p>
        </w:tc>
      </w:tr>
      <w:tr w:rsidR="00582B19" w:rsidRPr="000B369D" w14:paraId="5D0891CE" w14:textId="77777777" w:rsidTr="008C4C2C">
        <w:tc>
          <w:tcPr>
            <w:tcW w:w="1342" w:type="dxa"/>
          </w:tcPr>
          <w:p w14:paraId="4DC74D7E"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Sanghi, 2013</w:t>
            </w:r>
          </w:p>
        </w:tc>
        <w:tc>
          <w:tcPr>
            <w:tcW w:w="1131" w:type="dxa"/>
          </w:tcPr>
          <w:p w14:paraId="71F4B582"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53E43B27"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Vitamin D</w:t>
            </w:r>
          </w:p>
          <w:p w14:paraId="75BE3BFA"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1E0FECD8"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52 weeks</w:t>
            </w:r>
          </w:p>
        </w:tc>
        <w:tc>
          <w:tcPr>
            <w:tcW w:w="1337" w:type="dxa"/>
          </w:tcPr>
          <w:p w14:paraId="63FDDA3B"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106</w:t>
            </w:r>
          </w:p>
          <w:p w14:paraId="1CA9F961" w14:textId="77777777" w:rsidR="00582B19" w:rsidRPr="000B369D" w:rsidRDefault="00582B19" w:rsidP="00111BE5">
            <w:pPr>
              <w:rPr>
                <w:rFonts w:ascii="Arial" w:hAnsi="Arial" w:cs="Arial"/>
                <w:color w:val="000000"/>
                <w:sz w:val="20"/>
                <w:szCs w:val="20"/>
              </w:rPr>
            </w:pPr>
          </w:p>
          <w:p w14:paraId="3FD0BFF3"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53</w:t>
            </w:r>
            <w:r w:rsidRPr="000B369D">
              <w:rPr>
                <w:rFonts w:ascii="Arial" w:hAnsi="Arial" w:cs="Arial"/>
                <w:color w:val="000000"/>
                <w:sz w:val="20"/>
                <w:szCs w:val="20"/>
              </w:rPr>
              <w:br/>
              <w:t>G2: 53</w:t>
            </w:r>
          </w:p>
        </w:tc>
        <w:tc>
          <w:tcPr>
            <w:tcW w:w="1619" w:type="dxa"/>
          </w:tcPr>
          <w:p w14:paraId="4660B295"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53,24 ± 9,64</w:t>
            </w:r>
            <w:r w:rsidRPr="000B369D">
              <w:rPr>
                <w:rFonts w:ascii="Arial" w:hAnsi="Arial" w:cs="Arial"/>
                <w:color w:val="000000"/>
                <w:sz w:val="20"/>
                <w:szCs w:val="20"/>
              </w:rPr>
              <w:br/>
              <w:t>G2: 53 ± 7,44</w:t>
            </w:r>
          </w:p>
        </w:tc>
        <w:tc>
          <w:tcPr>
            <w:tcW w:w="871" w:type="dxa"/>
          </w:tcPr>
          <w:p w14:paraId="06AFC7CA"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66 W</w:t>
            </w:r>
            <w:r w:rsidRPr="000B369D">
              <w:rPr>
                <w:rFonts w:ascii="Arial" w:hAnsi="Arial" w:cs="Arial"/>
                <w:color w:val="000000"/>
                <w:sz w:val="20"/>
                <w:szCs w:val="20"/>
              </w:rPr>
              <w:br/>
              <w:t>37 M</w:t>
            </w:r>
          </w:p>
        </w:tc>
        <w:tc>
          <w:tcPr>
            <w:tcW w:w="1813" w:type="dxa"/>
          </w:tcPr>
          <w:p w14:paraId="209032B4"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Pain</w:t>
            </w:r>
          </w:p>
          <w:p w14:paraId="56F5DE35" w14:textId="77777777" w:rsidR="00582B19" w:rsidRPr="000B369D" w:rsidRDefault="00582B19" w:rsidP="00111BE5">
            <w:pPr>
              <w:rPr>
                <w:rFonts w:ascii="Arial" w:hAnsi="Arial" w:cs="Arial"/>
                <w:sz w:val="20"/>
                <w:szCs w:val="20"/>
              </w:rPr>
            </w:pPr>
            <w:r w:rsidRPr="000B369D">
              <w:rPr>
                <w:rFonts w:ascii="Arial" w:hAnsi="Arial" w:cs="Arial"/>
                <w:sz w:val="20"/>
                <w:szCs w:val="20"/>
              </w:rPr>
              <w:t>Function</w:t>
            </w:r>
          </w:p>
          <w:p w14:paraId="315A87A6" w14:textId="77777777" w:rsidR="00582B19" w:rsidRPr="000B369D" w:rsidRDefault="00582B19" w:rsidP="00111BE5">
            <w:pPr>
              <w:rPr>
                <w:rFonts w:ascii="Arial" w:hAnsi="Arial" w:cs="Arial"/>
                <w:sz w:val="20"/>
                <w:szCs w:val="20"/>
              </w:rPr>
            </w:pPr>
          </w:p>
        </w:tc>
        <w:tc>
          <w:tcPr>
            <w:tcW w:w="2517" w:type="dxa"/>
          </w:tcPr>
          <w:p w14:paraId="7912B076"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None</w:t>
            </w:r>
          </w:p>
        </w:tc>
      </w:tr>
      <w:tr w:rsidR="00582B19" w:rsidRPr="00252F1D" w14:paraId="5B38DC33" w14:textId="77777777" w:rsidTr="008C4C2C">
        <w:tc>
          <w:tcPr>
            <w:tcW w:w="1342" w:type="dxa"/>
          </w:tcPr>
          <w:p w14:paraId="2CCE7E4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Wobig, 1998</w:t>
            </w:r>
          </w:p>
        </w:tc>
        <w:tc>
          <w:tcPr>
            <w:tcW w:w="1131" w:type="dxa"/>
          </w:tcPr>
          <w:p w14:paraId="08CE451B"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RCT, double blind, 2 groups</w:t>
            </w:r>
          </w:p>
        </w:tc>
        <w:tc>
          <w:tcPr>
            <w:tcW w:w="1919" w:type="dxa"/>
          </w:tcPr>
          <w:p w14:paraId="6C3DC6D7"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G1: IA Hyaluronic acid</w:t>
            </w:r>
          </w:p>
          <w:p w14:paraId="1902227D"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G2: Placebo</w:t>
            </w:r>
          </w:p>
        </w:tc>
        <w:tc>
          <w:tcPr>
            <w:tcW w:w="1445" w:type="dxa"/>
          </w:tcPr>
          <w:p w14:paraId="01F1DCF9"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 xml:space="preserve">3 weekly injections </w:t>
            </w:r>
          </w:p>
        </w:tc>
        <w:tc>
          <w:tcPr>
            <w:tcW w:w="1337" w:type="dxa"/>
          </w:tcPr>
          <w:p w14:paraId="36B6DB7A" w14:textId="77777777" w:rsidR="00582B19" w:rsidRPr="000B369D" w:rsidRDefault="00582B19" w:rsidP="00111BE5">
            <w:pPr>
              <w:rPr>
                <w:rFonts w:ascii="Arial" w:hAnsi="Arial" w:cs="Arial"/>
                <w:color w:val="000000"/>
                <w:sz w:val="20"/>
                <w:szCs w:val="20"/>
                <w:lang w:val="en-GB"/>
              </w:rPr>
            </w:pPr>
            <w:r w:rsidRPr="000B369D">
              <w:rPr>
                <w:rFonts w:ascii="Arial" w:hAnsi="Arial" w:cs="Arial"/>
                <w:color w:val="000000"/>
                <w:sz w:val="20"/>
                <w:szCs w:val="20"/>
                <w:lang w:val="en-GB"/>
              </w:rPr>
              <w:t>Total: 117 kness</w:t>
            </w:r>
          </w:p>
          <w:p w14:paraId="200EB8CE" w14:textId="77777777" w:rsidR="00582B19" w:rsidRPr="000B369D" w:rsidRDefault="00582B19" w:rsidP="00111BE5">
            <w:pPr>
              <w:rPr>
                <w:rFonts w:ascii="Arial" w:hAnsi="Arial" w:cs="Arial"/>
                <w:color w:val="000000"/>
                <w:sz w:val="20"/>
                <w:szCs w:val="20"/>
                <w:lang w:val="en-GB"/>
              </w:rPr>
            </w:pPr>
          </w:p>
          <w:p w14:paraId="6FD48D60"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 xml:space="preserve">G1: 57 knees </w:t>
            </w:r>
            <w:r w:rsidRPr="000B369D">
              <w:rPr>
                <w:rFonts w:ascii="Arial" w:hAnsi="Arial" w:cs="Arial"/>
                <w:color w:val="000000"/>
                <w:sz w:val="20"/>
                <w:szCs w:val="20"/>
                <w:lang w:val="en-GB"/>
              </w:rPr>
              <w:br/>
              <w:t>G2: 60 knees</w:t>
            </w:r>
          </w:p>
        </w:tc>
        <w:tc>
          <w:tcPr>
            <w:tcW w:w="1619" w:type="dxa"/>
          </w:tcPr>
          <w:p w14:paraId="48409436" w14:textId="77777777" w:rsidR="00582B19" w:rsidRPr="000B369D" w:rsidRDefault="00582B19" w:rsidP="00111BE5">
            <w:pPr>
              <w:rPr>
                <w:rFonts w:ascii="Arial" w:hAnsi="Arial" w:cs="Arial"/>
                <w:color w:val="000000"/>
                <w:sz w:val="20"/>
                <w:szCs w:val="20"/>
              </w:rPr>
            </w:pPr>
            <w:r w:rsidRPr="000B369D">
              <w:rPr>
                <w:rFonts w:ascii="Arial" w:hAnsi="Arial" w:cs="Arial"/>
                <w:color w:val="000000"/>
                <w:sz w:val="20"/>
                <w:szCs w:val="20"/>
              </w:rPr>
              <w:t>Total: 62 ± 1</w:t>
            </w:r>
          </w:p>
          <w:p w14:paraId="7082AAAA" w14:textId="77777777" w:rsidR="00582B19" w:rsidRPr="000B369D" w:rsidRDefault="00582B19" w:rsidP="00111BE5">
            <w:pPr>
              <w:rPr>
                <w:rFonts w:ascii="Arial" w:hAnsi="Arial" w:cs="Arial"/>
                <w:color w:val="000000"/>
                <w:sz w:val="20"/>
                <w:szCs w:val="20"/>
              </w:rPr>
            </w:pPr>
          </w:p>
          <w:p w14:paraId="5FDA2DCC"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G1: 60 ± 2</w:t>
            </w:r>
            <w:r w:rsidRPr="000B369D">
              <w:rPr>
                <w:rFonts w:ascii="Arial" w:hAnsi="Arial" w:cs="Arial"/>
                <w:color w:val="000000"/>
                <w:sz w:val="20"/>
                <w:szCs w:val="20"/>
              </w:rPr>
              <w:br/>
              <w:t>G2: 64 ± 2</w:t>
            </w:r>
            <w:r w:rsidRPr="000B369D">
              <w:rPr>
                <w:rFonts w:ascii="Arial" w:hAnsi="Arial" w:cs="Arial"/>
                <w:color w:val="000000"/>
                <w:sz w:val="20"/>
                <w:szCs w:val="20"/>
              </w:rPr>
              <w:br/>
            </w:r>
          </w:p>
        </w:tc>
        <w:tc>
          <w:tcPr>
            <w:tcW w:w="871" w:type="dxa"/>
          </w:tcPr>
          <w:p w14:paraId="501BD6A1"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72 W</w:t>
            </w:r>
            <w:r w:rsidRPr="000B369D">
              <w:rPr>
                <w:rFonts w:ascii="Arial" w:hAnsi="Arial" w:cs="Arial"/>
                <w:color w:val="000000"/>
                <w:sz w:val="20"/>
                <w:szCs w:val="20"/>
              </w:rPr>
              <w:br/>
              <w:t>38 M</w:t>
            </w:r>
          </w:p>
        </w:tc>
        <w:tc>
          <w:tcPr>
            <w:tcW w:w="1813" w:type="dxa"/>
          </w:tcPr>
          <w:p w14:paraId="5705D16D" w14:textId="77777777" w:rsidR="00582B19" w:rsidRPr="000B369D" w:rsidRDefault="00582B19" w:rsidP="00111BE5">
            <w:pPr>
              <w:rPr>
                <w:rFonts w:ascii="Arial" w:hAnsi="Arial" w:cs="Arial"/>
                <w:sz w:val="20"/>
                <w:szCs w:val="20"/>
              </w:rPr>
            </w:pPr>
            <w:r w:rsidRPr="000B369D">
              <w:rPr>
                <w:rFonts w:ascii="Arial" w:hAnsi="Arial" w:cs="Arial"/>
                <w:color w:val="000000"/>
                <w:sz w:val="20"/>
                <w:szCs w:val="20"/>
              </w:rPr>
              <w:t>Pain</w:t>
            </w:r>
          </w:p>
        </w:tc>
        <w:tc>
          <w:tcPr>
            <w:tcW w:w="2517" w:type="dxa"/>
          </w:tcPr>
          <w:p w14:paraId="154034DE" w14:textId="77777777" w:rsidR="00582B19" w:rsidRPr="000B369D" w:rsidRDefault="00582B19" w:rsidP="00111BE5">
            <w:pPr>
              <w:rPr>
                <w:rFonts w:ascii="Arial" w:hAnsi="Arial" w:cs="Arial"/>
                <w:sz w:val="20"/>
                <w:szCs w:val="20"/>
                <w:lang w:val="en-GB"/>
              </w:rPr>
            </w:pPr>
            <w:r w:rsidRPr="000B369D">
              <w:rPr>
                <w:rFonts w:ascii="Arial" w:hAnsi="Arial" w:cs="Arial"/>
                <w:color w:val="000000"/>
                <w:sz w:val="20"/>
                <w:szCs w:val="20"/>
                <w:lang w:val="en-GB"/>
              </w:rPr>
              <w:t>Supported by Biomatrix,</w:t>
            </w:r>
            <w:r w:rsidRPr="000B369D">
              <w:rPr>
                <w:rFonts w:ascii="Arial" w:hAnsi="Arial" w:cs="Arial"/>
                <w:color w:val="000000"/>
                <w:sz w:val="20"/>
                <w:szCs w:val="20"/>
                <w:lang w:val="en-GB"/>
              </w:rPr>
              <w:br/>
              <w:t xml:space="preserve">Inc., Ridgefield, New Jersey. </w:t>
            </w:r>
          </w:p>
        </w:tc>
      </w:tr>
    </w:tbl>
    <w:p w14:paraId="702CAB30" w14:textId="6043B03A" w:rsidR="00A13521" w:rsidRDefault="00A13521" w:rsidP="00111BE5">
      <w:pPr>
        <w:spacing w:line="240" w:lineRule="auto"/>
        <w:rPr>
          <w:rFonts w:ascii="Arial" w:hAnsi="Arial" w:cs="Arial"/>
          <w:sz w:val="20"/>
          <w:szCs w:val="20"/>
          <w:lang w:val="en-GB"/>
        </w:rPr>
      </w:pPr>
    </w:p>
    <w:p w14:paraId="1FCC8986" w14:textId="77777777" w:rsidR="00A13521" w:rsidRDefault="00A13521">
      <w:pPr>
        <w:rPr>
          <w:rFonts w:ascii="Arial" w:hAnsi="Arial" w:cs="Arial"/>
          <w:sz w:val="20"/>
          <w:szCs w:val="20"/>
          <w:lang w:val="en-GB"/>
        </w:rPr>
      </w:pPr>
      <w:r>
        <w:rPr>
          <w:rFonts w:ascii="Arial" w:hAnsi="Arial" w:cs="Arial"/>
          <w:sz w:val="20"/>
          <w:szCs w:val="20"/>
          <w:lang w:val="en-GB"/>
        </w:rPr>
        <w:br w:type="page"/>
      </w:r>
    </w:p>
    <w:p w14:paraId="725DC1B0" w14:textId="77777777" w:rsidR="00A13521" w:rsidRDefault="00A13521" w:rsidP="00111BE5">
      <w:pPr>
        <w:spacing w:line="240" w:lineRule="auto"/>
        <w:rPr>
          <w:rFonts w:ascii="Arial" w:hAnsi="Arial" w:cs="Arial"/>
          <w:sz w:val="20"/>
          <w:szCs w:val="20"/>
          <w:lang w:val="en-GB"/>
        </w:rPr>
        <w:sectPr w:rsidR="00A13521" w:rsidSect="00FA506A">
          <w:pgSz w:w="16838" w:h="11906" w:orient="landscape"/>
          <w:pgMar w:top="1418" w:right="1418" w:bottom="1418" w:left="1418" w:header="709" w:footer="709" w:gutter="0"/>
          <w:cols w:space="708"/>
          <w:docGrid w:linePitch="360"/>
        </w:sectPr>
      </w:pPr>
    </w:p>
    <w:p w14:paraId="5C5FBF88" w14:textId="3E02D392" w:rsidR="00582B19" w:rsidRDefault="00A13521" w:rsidP="00111BE5">
      <w:pPr>
        <w:spacing w:line="240" w:lineRule="auto"/>
        <w:rPr>
          <w:rFonts w:ascii="Arial" w:hAnsi="Arial" w:cs="Arial"/>
          <w:sz w:val="20"/>
          <w:szCs w:val="20"/>
          <w:lang w:val="en-GB"/>
        </w:rPr>
      </w:pPr>
      <w:r>
        <w:rPr>
          <w:rFonts w:ascii="Arial" w:hAnsi="Arial" w:cs="Arial"/>
          <w:sz w:val="20"/>
          <w:szCs w:val="20"/>
          <w:lang w:val="en-GB"/>
        </w:rPr>
        <w:lastRenderedPageBreak/>
        <w:t>APPENDIX REFERENCES</w:t>
      </w:r>
    </w:p>
    <w:p w14:paraId="700B53AE" w14:textId="4E48FC11" w:rsidR="00A13521" w:rsidRPr="00A13521" w:rsidRDefault="00A13521" w:rsidP="00A13521">
      <w:pPr>
        <w:spacing w:line="240" w:lineRule="auto"/>
        <w:rPr>
          <w:rFonts w:ascii="Arial" w:hAnsi="Arial" w:cs="Arial"/>
          <w:sz w:val="16"/>
          <w:szCs w:val="16"/>
          <w:lang w:val="en-GB"/>
        </w:rPr>
      </w:pPr>
      <w:r w:rsidRPr="00A13521">
        <w:rPr>
          <w:rFonts w:ascii="Arial" w:hAnsi="Arial" w:cs="Arial"/>
          <w:sz w:val="20"/>
          <w:szCs w:val="20"/>
          <w:lang w:val="en-GB"/>
        </w:rPr>
        <w:t>References of included studies</w:t>
      </w:r>
    </w:p>
    <w:p w14:paraId="7D963278"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fldChar w:fldCharType="begin" w:fldLock="1"/>
      </w:r>
      <w:r w:rsidRPr="00111BE5">
        <w:rPr>
          <w:rFonts w:ascii="Arial" w:hAnsi="Arial" w:cs="Arial"/>
          <w:sz w:val="20"/>
          <w:szCs w:val="20"/>
          <w:lang w:val="en-GB"/>
        </w:rPr>
        <w:instrText xml:space="preserve">ADDIN Mendeley Bibliography CSL_BIBLIOGRAPHY </w:instrText>
      </w:r>
      <w:r w:rsidRPr="00111BE5">
        <w:rPr>
          <w:rFonts w:ascii="Arial" w:hAnsi="Arial" w:cs="Arial"/>
          <w:sz w:val="20"/>
          <w:szCs w:val="20"/>
          <w:lang w:val="en-GB"/>
        </w:rPr>
        <w:fldChar w:fldCharType="separate"/>
      </w:r>
      <w:r w:rsidRPr="00111BE5">
        <w:rPr>
          <w:rFonts w:ascii="Arial" w:hAnsi="Arial" w:cs="Arial"/>
          <w:sz w:val="20"/>
          <w:szCs w:val="20"/>
          <w:lang w:val="en-GB"/>
        </w:rPr>
        <w:t xml:space="preserve">1. Altman RD, Moskowitz R. Intraarticular sodium hyaluronate (Hyalgan®) in the treatment of patients with osteoarthritis of the knee: A randomized clinical trial. </w:t>
      </w:r>
      <w:r w:rsidRPr="00111BE5">
        <w:rPr>
          <w:rFonts w:ascii="Arial" w:hAnsi="Arial" w:cs="Arial"/>
          <w:i/>
          <w:iCs/>
          <w:sz w:val="20"/>
          <w:szCs w:val="20"/>
          <w:lang w:val="en-GB"/>
        </w:rPr>
        <w:t>J Rheumatol</w:t>
      </w:r>
      <w:r w:rsidRPr="00111BE5">
        <w:rPr>
          <w:rFonts w:ascii="Arial" w:hAnsi="Arial" w:cs="Arial"/>
          <w:sz w:val="20"/>
          <w:szCs w:val="20"/>
          <w:lang w:val="en-GB"/>
        </w:rPr>
        <w:t xml:space="preserve"> 1998;25:2203–2212. Available at: https://www.scopus.com/inward/record.uri?eid=2-s2.0-0031731884&amp;partnerID=40&amp;md5=88ddd64dfa16f63dd717fb2dc08b8240 NS  -.</w:t>
      </w:r>
    </w:p>
    <w:p w14:paraId="061B13F8"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2. Altman RD, Akermark C, Beaulieu AD, Schnitzer T, Group DIS. Efficacy and safety of a single intra-articular injection of non-animal stabilized hyaluronic acid (NASHA) in patients with osteoarthritis of the knee. </w:t>
      </w:r>
      <w:r w:rsidRPr="00111BE5">
        <w:rPr>
          <w:rFonts w:ascii="Arial" w:hAnsi="Arial" w:cs="Arial"/>
          <w:i/>
          <w:iCs/>
          <w:sz w:val="20"/>
          <w:szCs w:val="20"/>
          <w:lang w:val="en-GB"/>
        </w:rPr>
        <w:t>Osteoarthr Cartil</w:t>
      </w:r>
      <w:r w:rsidRPr="00111BE5">
        <w:rPr>
          <w:rFonts w:ascii="Arial" w:hAnsi="Arial" w:cs="Arial"/>
          <w:sz w:val="20"/>
          <w:szCs w:val="20"/>
          <w:lang w:val="en-GB"/>
        </w:rPr>
        <w:t xml:space="preserve"> 2004;12:642–649. Available at: NS  -.</w:t>
      </w:r>
    </w:p>
    <w:p w14:paraId="57D9B3A2"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3. Arden NK, Cro S, Sheard S, Dore CJ, Bara A, Tebbs SA, et al. The effect of vitamin D supplementation on knee osteoarthritis, the VIDEO study: a randomised controlled trial. </w:t>
      </w:r>
      <w:r w:rsidRPr="00111BE5">
        <w:rPr>
          <w:rFonts w:ascii="Arial" w:hAnsi="Arial" w:cs="Arial"/>
          <w:i/>
          <w:iCs/>
          <w:sz w:val="20"/>
          <w:szCs w:val="20"/>
          <w:lang w:val="en-GB"/>
        </w:rPr>
        <w:t>Osteoarthr Cartil</w:t>
      </w:r>
      <w:r w:rsidRPr="00111BE5">
        <w:rPr>
          <w:rFonts w:ascii="Arial" w:hAnsi="Arial" w:cs="Arial"/>
          <w:sz w:val="20"/>
          <w:szCs w:val="20"/>
          <w:lang w:val="en-GB"/>
        </w:rPr>
        <w:t xml:space="preserve"> 2016;24:1858–1866. Available at: NS  -.</w:t>
      </w:r>
    </w:p>
    <w:p w14:paraId="55CD43F0"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4. Baltzer AWA, Moser C, Jansen SA, Krauspe R. Autologous conditioned serum (Orthokine) is an effective treatment for knee osteoarthritis. </w:t>
      </w:r>
      <w:r w:rsidRPr="00111BE5">
        <w:rPr>
          <w:rFonts w:ascii="Arial" w:hAnsi="Arial" w:cs="Arial"/>
          <w:i/>
          <w:iCs/>
          <w:sz w:val="20"/>
          <w:szCs w:val="20"/>
          <w:lang w:val="en-GB"/>
        </w:rPr>
        <w:t>Osteoarthr Cartil</w:t>
      </w:r>
      <w:r w:rsidRPr="00111BE5">
        <w:rPr>
          <w:rFonts w:ascii="Arial" w:hAnsi="Arial" w:cs="Arial"/>
          <w:sz w:val="20"/>
          <w:szCs w:val="20"/>
          <w:lang w:val="en-GB"/>
        </w:rPr>
        <w:t xml:space="preserve"> 2009;17:152–160. Available at: NS  -.</w:t>
      </w:r>
    </w:p>
    <w:p w14:paraId="3EB43238"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5. Bellamy JL, Goff BJ, Sayeed SA. Economic Impact of Ketorolac vs Corticosteroid Intra-Articular Knee Injections for Osteoarthritis: A Randomized, Double-Blind, Prospective Study. </w:t>
      </w:r>
      <w:r w:rsidRPr="00111BE5">
        <w:rPr>
          <w:rFonts w:ascii="Arial" w:hAnsi="Arial" w:cs="Arial"/>
          <w:i/>
          <w:iCs/>
          <w:sz w:val="20"/>
          <w:szCs w:val="20"/>
          <w:lang w:val="en-GB"/>
        </w:rPr>
        <w:t>J Arthroplasty</w:t>
      </w:r>
      <w:r w:rsidRPr="00111BE5">
        <w:rPr>
          <w:rFonts w:ascii="Arial" w:hAnsi="Arial" w:cs="Arial"/>
          <w:sz w:val="20"/>
          <w:szCs w:val="20"/>
          <w:lang w:val="en-GB"/>
        </w:rPr>
        <w:t xml:space="preserve"> 2016;31:293–297. Available at: NS  -.</w:t>
      </w:r>
    </w:p>
    <w:p w14:paraId="21F754A1"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6. Bisicchia S, Bernardi G, Tudisco C. HYADD 4 versus methylprednisolone acetate in symptomatic knee osteoarthritis: A single-centre single blind prospective randomised controlled clinical study with a 1-year follow-up. </w:t>
      </w:r>
      <w:r w:rsidRPr="00111BE5">
        <w:rPr>
          <w:rFonts w:ascii="Arial" w:hAnsi="Arial" w:cs="Arial"/>
          <w:i/>
          <w:iCs/>
          <w:sz w:val="20"/>
          <w:szCs w:val="20"/>
          <w:lang w:val="en-GB"/>
        </w:rPr>
        <w:t>Clin Exp Rheumatol</w:t>
      </w:r>
      <w:r w:rsidRPr="00111BE5">
        <w:rPr>
          <w:rFonts w:ascii="Arial" w:hAnsi="Arial" w:cs="Arial"/>
          <w:sz w:val="20"/>
          <w:szCs w:val="20"/>
          <w:lang w:val="en-GB"/>
        </w:rPr>
        <w:t xml:space="preserve"> 2016;34:857–863. Available at: https://www.scopus.com/inward/record.uri?eid=2-s2.0-84988429339&amp;partnerID=40&amp;md5=38066f29d98e378c3815114afd933fa0 NS  -.</w:t>
      </w:r>
    </w:p>
    <w:p w14:paraId="28766680"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rPr>
        <w:t xml:space="preserve">7. Blanco FJ, Fernandez-Sueiro  J.L., Pinto-Tasende JA, Fernandez-Lopez JC, Ramallal M, Freire A, et al. </w:t>
      </w:r>
      <w:r w:rsidRPr="00111BE5">
        <w:rPr>
          <w:rFonts w:ascii="Arial" w:hAnsi="Arial" w:cs="Arial"/>
          <w:sz w:val="20"/>
          <w:szCs w:val="20"/>
          <w:lang w:val="en-GB"/>
        </w:rPr>
        <w:t xml:space="preserve">Intra-Articular Hyaluronan Treatment of Patients with Knee Osteoarthritis Waiting for Replacement Surgery. </w:t>
      </w:r>
      <w:r w:rsidRPr="00111BE5">
        <w:rPr>
          <w:rFonts w:ascii="Arial" w:hAnsi="Arial" w:cs="Arial"/>
          <w:i/>
          <w:iCs/>
          <w:sz w:val="20"/>
          <w:szCs w:val="20"/>
          <w:lang w:val="en-GB"/>
        </w:rPr>
        <w:t>Open Arthritis J</w:t>
      </w:r>
      <w:r w:rsidRPr="00111BE5">
        <w:rPr>
          <w:rFonts w:ascii="Arial" w:hAnsi="Arial" w:cs="Arial"/>
          <w:sz w:val="20"/>
          <w:szCs w:val="20"/>
          <w:lang w:val="en-GB"/>
        </w:rPr>
        <w:t xml:space="preserve"> 2008;1:1–7. Available at: NS  -.</w:t>
      </w:r>
    </w:p>
    <w:p w14:paraId="61471750"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8. Brand C, Snaddon J, Bailey M, Cicuttini F. Vitamin E is ineffective for symptomatic relief of knee osteoarthritis: a six month double blind, randomised, placebo controlled study. </w:t>
      </w:r>
      <w:r w:rsidRPr="00111BE5">
        <w:rPr>
          <w:rFonts w:ascii="Arial" w:hAnsi="Arial" w:cs="Arial"/>
          <w:i/>
          <w:iCs/>
          <w:sz w:val="20"/>
          <w:szCs w:val="20"/>
          <w:lang w:val="en-GB"/>
        </w:rPr>
        <w:t>Ann Rheum Dis</w:t>
      </w:r>
      <w:r w:rsidRPr="00111BE5">
        <w:rPr>
          <w:rFonts w:ascii="Arial" w:hAnsi="Arial" w:cs="Arial"/>
          <w:sz w:val="20"/>
          <w:szCs w:val="20"/>
          <w:lang w:val="en-GB"/>
        </w:rPr>
        <w:t xml:space="preserve"> 2001;60:946–949. Available at: NS  -.</w:t>
      </w:r>
    </w:p>
    <w:p w14:paraId="7F563798"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9. Brandt KD, Block JA, Michalski JP, Moreland LW, Caldwell JR, Lavin PT. Efficacy and safety of intraarticular sodium hyaluronate in knee osteoarthritis. ORTHOVISC Study Group. </w:t>
      </w:r>
      <w:r w:rsidRPr="00111BE5">
        <w:rPr>
          <w:rFonts w:ascii="Arial" w:hAnsi="Arial" w:cs="Arial"/>
          <w:i/>
          <w:iCs/>
          <w:sz w:val="20"/>
          <w:szCs w:val="20"/>
          <w:lang w:val="en-GB"/>
        </w:rPr>
        <w:t>Clin Orthop Relat Res</w:t>
      </w:r>
      <w:r w:rsidRPr="00111BE5">
        <w:rPr>
          <w:rFonts w:ascii="Arial" w:hAnsi="Arial" w:cs="Arial"/>
          <w:sz w:val="20"/>
          <w:szCs w:val="20"/>
          <w:lang w:val="en-GB"/>
        </w:rPr>
        <w:t xml:space="preserve"> 2001:130–143. Available at: NS  -.</w:t>
      </w:r>
    </w:p>
    <w:p w14:paraId="299FB2C3"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10. Buckland-Wright JC, MacFarlane DG, Lynch JA, Jasani MK. Quantitative microfocal radiography detects changes in OA knee joint space width in patients in placebo controlled trial of NSAID therapy. </w:t>
      </w:r>
      <w:r w:rsidRPr="00111BE5">
        <w:rPr>
          <w:rFonts w:ascii="Arial" w:hAnsi="Arial" w:cs="Arial"/>
          <w:i/>
          <w:iCs/>
          <w:sz w:val="20"/>
          <w:szCs w:val="20"/>
          <w:lang w:val="en-GB"/>
        </w:rPr>
        <w:t>J Rheumatol</w:t>
      </w:r>
      <w:r w:rsidRPr="00111BE5">
        <w:rPr>
          <w:rFonts w:ascii="Arial" w:hAnsi="Arial" w:cs="Arial"/>
          <w:sz w:val="20"/>
          <w:szCs w:val="20"/>
          <w:lang w:val="en-GB"/>
        </w:rPr>
        <w:t xml:space="preserve"> 1995;22:937–943. Available at: NS  -.</w:t>
      </w:r>
    </w:p>
    <w:p w14:paraId="6E99B615"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11. Bucsi L, Poor G. Efficacy and tolerability of oral chondroitin sulfate as a symptomatic slow-acting drug for osteoarthritis (SYSADOA) in the treatment of knee osteoarthritis. </w:t>
      </w:r>
      <w:r w:rsidRPr="00111BE5">
        <w:rPr>
          <w:rFonts w:ascii="Arial" w:hAnsi="Arial" w:cs="Arial"/>
          <w:i/>
          <w:iCs/>
          <w:sz w:val="20"/>
          <w:szCs w:val="20"/>
          <w:lang w:val="en-GB"/>
        </w:rPr>
        <w:t>Osteoarthr Cartil</w:t>
      </w:r>
      <w:r w:rsidRPr="00111BE5">
        <w:rPr>
          <w:rFonts w:ascii="Arial" w:hAnsi="Arial" w:cs="Arial"/>
          <w:sz w:val="20"/>
          <w:szCs w:val="20"/>
          <w:lang w:val="en-GB"/>
        </w:rPr>
        <w:t xml:space="preserve"> 1998;6:31–36. Available at: https://www.scopus.com/inward/record.uri?eid=2-s2.0-0031750348&amp;doi=10.1016%2FS1063-4584%2898%2980009-5&amp;partnerID=40&amp;md5=2d377c23fddec385c33b982b94bb2cd8 NS  -.</w:t>
      </w:r>
    </w:p>
    <w:p w14:paraId="19EB3C44"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rPr>
        <w:t xml:space="preserve">12. Buendia-Lopez D, Medina-Quiros M, Fernandez-Villacanas Marin MA. </w:t>
      </w:r>
      <w:r w:rsidRPr="00111BE5">
        <w:rPr>
          <w:rFonts w:ascii="Arial" w:hAnsi="Arial" w:cs="Arial"/>
          <w:sz w:val="20"/>
          <w:szCs w:val="20"/>
          <w:lang w:val="en-GB"/>
        </w:rPr>
        <w:t xml:space="preserve">Clinical and radiographic comparison of a single LP-PRP injection, a single hyaluronic acid injection and daily NSAID administration with a 52-week follow-up: a randomized controlled trial. </w:t>
      </w:r>
      <w:r w:rsidRPr="00111BE5">
        <w:rPr>
          <w:rFonts w:ascii="Arial" w:hAnsi="Arial" w:cs="Arial"/>
          <w:i/>
          <w:iCs/>
          <w:sz w:val="20"/>
          <w:szCs w:val="20"/>
          <w:lang w:val="en-GB"/>
        </w:rPr>
        <w:t>J Orthop Traumatol</w:t>
      </w:r>
      <w:r w:rsidRPr="00111BE5">
        <w:rPr>
          <w:rFonts w:ascii="Arial" w:hAnsi="Arial" w:cs="Arial"/>
          <w:sz w:val="20"/>
          <w:szCs w:val="20"/>
          <w:lang w:val="en-GB"/>
        </w:rPr>
        <w:t xml:space="preserve"> 2018;19:3. Available at: NS  -.</w:t>
      </w:r>
    </w:p>
    <w:p w14:paraId="7073C143" w14:textId="77777777" w:rsidR="00A13521" w:rsidRPr="00111BE5" w:rsidRDefault="00A13521" w:rsidP="00A13521">
      <w:pPr>
        <w:spacing w:line="240" w:lineRule="auto"/>
        <w:rPr>
          <w:rFonts w:ascii="Arial" w:hAnsi="Arial" w:cs="Arial"/>
          <w:sz w:val="20"/>
          <w:szCs w:val="20"/>
        </w:rPr>
      </w:pPr>
      <w:r w:rsidRPr="00111BE5">
        <w:rPr>
          <w:rFonts w:ascii="Arial" w:hAnsi="Arial" w:cs="Arial"/>
          <w:sz w:val="20"/>
          <w:szCs w:val="20"/>
          <w:lang w:val="en-GB"/>
        </w:rPr>
        <w:t xml:space="preserve">13. Caborn D, Rush J, Lanzer W, Parenti D, Murray C, Group S 901 S. A randomized, single-blind comparison of the efficacy and tolerability of hylan G-F 20 and triamcinolone hexacetonide in patients with osteoarthritis of the knee. </w:t>
      </w:r>
      <w:r w:rsidRPr="00111BE5">
        <w:rPr>
          <w:rFonts w:ascii="Arial" w:hAnsi="Arial" w:cs="Arial"/>
          <w:i/>
          <w:iCs/>
          <w:sz w:val="20"/>
          <w:szCs w:val="20"/>
        </w:rPr>
        <w:t>J Rheumatol</w:t>
      </w:r>
      <w:r w:rsidRPr="00111BE5">
        <w:rPr>
          <w:rFonts w:ascii="Arial" w:hAnsi="Arial" w:cs="Arial"/>
          <w:sz w:val="20"/>
          <w:szCs w:val="20"/>
        </w:rPr>
        <w:t xml:space="preserve"> 2004;31:333–343. Available at: NS  -.</w:t>
      </w:r>
    </w:p>
    <w:p w14:paraId="23CA08E6"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rPr>
        <w:t xml:space="preserve">14. Campos ALS, E Albuquerque RSP, Silva EB da, Fayad SG, Acerbi LD, Almeida FN de, et al. </w:t>
      </w:r>
      <w:r w:rsidRPr="00111BE5">
        <w:rPr>
          <w:rFonts w:ascii="Arial" w:hAnsi="Arial" w:cs="Arial"/>
          <w:sz w:val="20"/>
          <w:szCs w:val="20"/>
          <w:lang w:val="en-GB"/>
        </w:rPr>
        <w:t xml:space="preserve">Viscosupplementation in patients with severe osteoarthritis of the knee: six month follow-up of a randomized, double-blind clinical trial. </w:t>
      </w:r>
      <w:r w:rsidRPr="00111BE5">
        <w:rPr>
          <w:rFonts w:ascii="Arial" w:hAnsi="Arial" w:cs="Arial"/>
          <w:i/>
          <w:iCs/>
          <w:sz w:val="20"/>
          <w:szCs w:val="20"/>
          <w:lang w:val="en-GB"/>
        </w:rPr>
        <w:t>Int Orthop</w:t>
      </w:r>
      <w:r w:rsidRPr="00111BE5">
        <w:rPr>
          <w:rFonts w:ascii="Arial" w:hAnsi="Arial" w:cs="Arial"/>
          <w:sz w:val="20"/>
          <w:szCs w:val="20"/>
          <w:lang w:val="en-GB"/>
        </w:rPr>
        <w:t xml:space="preserve"> 2017;41:2273–2280. Available at: NS  -.</w:t>
      </w:r>
    </w:p>
    <w:p w14:paraId="18C42637"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lastRenderedPageBreak/>
        <w:t xml:space="preserve">15. Chevalier X, Jerosch J, Goupille P, Dijk N van, Luyten FP, Scott DL, et al. Single, intra-articular treatment with 6 ml hylan G-F 20 in patients with symptomatic primary osteoarthritis of the knee: a randomised, multicentre, double-blind, placebo controlled trial. </w:t>
      </w:r>
      <w:r w:rsidRPr="00111BE5">
        <w:rPr>
          <w:rFonts w:ascii="Arial" w:hAnsi="Arial" w:cs="Arial"/>
          <w:i/>
          <w:iCs/>
          <w:sz w:val="20"/>
          <w:szCs w:val="20"/>
          <w:lang w:val="en-GB"/>
        </w:rPr>
        <w:t>Ann Rheum Dis</w:t>
      </w:r>
      <w:r w:rsidRPr="00111BE5">
        <w:rPr>
          <w:rFonts w:ascii="Arial" w:hAnsi="Arial" w:cs="Arial"/>
          <w:sz w:val="20"/>
          <w:szCs w:val="20"/>
          <w:lang w:val="en-GB"/>
        </w:rPr>
        <w:t xml:space="preserve"> 2010;69:113–119. Available at: NS  -.</w:t>
      </w:r>
    </w:p>
    <w:p w14:paraId="37FACA79"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16. Chopra A, Saluja M, Tillu G, Sarmukkaddam S, Venugopalan A, Narsimulu G, et al. Ayurvedic medicine offers a good alternative to glucosamine and celecoxib in the treatment of symptomatic knee osteoarthritis: a randomized, double-blind, controlled equivalence drug trial. </w:t>
      </w:r>
      <w:r w:rsidRPr="00111BE5">
        <w:rPr>
          <w:rFonts w:ascii="Arial" w:hAnsi="Arial" w:cs="Arial"/>
          <w:i/>
          <w:iCs/>
          <w:sz w:val="20"/>
          <w:szCs w:val="20"/>
          <w:lang w:val="en-GB"/>
        </w:rPr>
        <w:t>Rheumatology (Oxford)</w:t>
      </w:r>
      <w:r w:rsidRPr="00111BE5">
        <w:rPr>
          <w:rFonts w:ascii="Arial" w:hAnsi="Arial" w:cs="Arial"/>
          <w:sz w:val="20"/>
          <w:szCs w:val="20"/>
          <w:lang w:val="en-GB"/>
        </w:rPr>
        <w:t xml:space="preserve"> 2013;52:1408–1417. Available at: NS  -.</w:t>
      </w:r>
    </w:p>
    <w:p w14:paraId="2B364A2B"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17. Clegg DO, Reda DJ, Harris CL, Klein MA, O’Dell JR, Hooper MM, et al. Glucosamine, chondroitin sulfate, and the two in combination for painful knee osteoarthritis. </w:t>
      </w:r>
      <w:r w:rsidRPr="00111BE5">
        <w:rPr>
          <w:rFonts w:ascii="Arial" w:hAnsi="Arial" w:cs="Arial"/>
          <w:i/>
          <w:iCs/>
          <w:sz w:val="20"/>
          <w:szCs w:val="20"/>
          <w:lang w:val="en-GB"/>
        </w:rPr>
        <w:t>N Engl J Med</w:t>
      </w:r>
      <w:r w:rsidRPr="00111BE5">
        <w:rPr>
          <w:rFonts w:ascii="Arial" w:hAnsi="Arial" w:cs="Arial"/>
          <w:sz w:val="20"/>
          <w:szCs w:val="20"/>
          <w:lang w:val="en-GB"/>
        </w:rPr>
        <w:t xml:space="preserve"> 2006;354:795–808. Available at: NS  -.</w:t>
      </w:r>
    </w:p>
    <w:p w14:paraId="5CC80EAA"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18. Conaghan PG, Hunter DJ, Cohen SB, Kraus VB, Berenbaum F, Lieberman JR, et al. Effects of a Single Intra-Articular Injection of a Microsphere Formulation of Triamcinolone Acetonide on Knee Osteoarthritis Pain: A Double-Blinded, Randomized, Placebo-Controlled, Multinational Study. </w:t>
      </w:r>
      <w:r w:rsidRPr="00111BE5">
        <w:rPr>
          <w:rFonts w:ascii="Arial" w:hAnsi="Arial" w:cs="Arial"/>
          <w:i/>
          <w:iCs/>
          <w:sz w:val="20"/>
          <w:szCs w:val="20"/>
          <w:lang w:val="en-GB"/>
        </w:rPr>
        <w:t>J Bone Joint Surg Am</w:t>
      </w:r>
      <w:r w:rsidRPr="00111BE5">
        <w:rPr>
          <w:rFonts w:ascii="Arial" w:hAnsi="Arial" w:cs="Arial"/>
          <w:sz w:val="20"/>
          <w:szCs w:val="20"/>
          <w:lang w:val="en-GB"/>
        </w:rPr>
        <w:t xml:space="preserve"> 2018;100:666–677. Available at: NS  -.</w:t>
      </w:r>
    </w:p>
    <w:p w14:paraId="01E76EB2"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19. Campos GC de, Rezende MU, Pailo AF, Frucchi R, Camargo OP. Adding triamcinolone improves viscosupplementation: a randomized clinical trial. </w:t>
      </w:r>
      <w:r w:rsidRPr="00111BE5">
        <w:rPr>
          <w:rFonts w:ascii="Arial" w:hAnsi="Arial" w:cs="Arial"/>
          <w:i/>
          <w:iCs/>
          <w:sz w:val="20"/>
          <w:szCs w:val="20"/>
          <w:lang w:val="en-GB"/>
        </w:rPr>
        <w:t>Clin Orthop Relat Res</w:t>
      </w:r>
      <w:r w:rsidRPr="00111BE5">
        <w:rPr>
          <w:rFonts w:ascii="Arial" w:hAnsi="Arial" w:cs="Arial"/>
          <w:sz w:val="20"/>
          <w:szCs w:val="20"/>
          <w:lang w:val="en-GB"/>
        </w:rPr>
        <w:t xml:space="preserve"> 2013;471:613–620. Available at: NS  -.</w:t>
      </w:r>
    </w:p>
    <w:p w14:paraId="268E5B76"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20. Dieppe P, Cushnaghan J, Jasani MK, McCrae F, Watt I. A two-year, placebo-controlled trial of non-steroidal anti-inflammatory therapy in osteoarthritis of the knee joint. </w:t>
      </w:r>
      <w:r w:rsidRPr="00111BE5">
        <w:rPr>
          <w:rFonts w:ascii="Arial" w:hAnsi="Arial" w:cs="Arial"/>
          <w:i/>
          <w:iCs/>
          <w:sz w:val="20"/>
          <w:szCs w:val="20"/>
          <w:lang w:val="en-GB"/>
        </w:rPr>
        <w:t>Br J Rheumatol</w:t>
      </w:r>
      <w:r w:rsidRPr="00111BE5">
        <w:rPr>
          <w:rFonts w:ascii="Arial" w:hAnsi="Arial" w:cs="Arial"/>
          <w:sz w:val="20"/>
          <w:szCs w:val="20"/>
          <w:lang w:val="en-GB"/>
        </w:rPr>
        <w:t xml:space="preserve"> 1993;32:595–600. Available at: NS  -.</w:t>
      </w:r>
    </w:p>
    <w:p w14:paraId="3E578B92"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21. Dixon AS, Jacoby RK, Berry H, Hamilton EB. Clinical trial of intra-articular injection of sodium hyaluronate in patients with osteoarthritis of the knee. </w:t>
      </w:r>
      <w:r w:rsidRPr="00111BE5">
        <w:rPr>
          <w:rFonts w:ascii="Arial" w:hAnsi="Arial" w:cs="Arial"/>
          <w:i/>
          <w:iCs/>
          <w:sz w:val="20"/>
          <w:szCs w:val="20"/>
          <w:lang w:val="en-GB"/>
        </w:rPr>
        <w:t>Curr Med Res Opin</w:t>
      </w:r>
      <w:r w:rsidRPr="00111BE5">
        <w:rPr>
          <w:rFonts w:ascii="Arial" w:hAnsi="Arial" w:cs="Arial"/>
          <w:sz w:val="20"/>
          <w:szCs w:val="20"/>
          <w:lang w:val="en-GB"/>
        </w:rPr>
        <w:t xml:space="preserve"> 1988;11:205–213. Available at: NS  -.</w:t>
      </w:r>
    </w:p>
    <w:p w14:paraId="3F923861"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22. Essex MN, Bhadra P, Sands GH. Efficacy and tolerability of celecoxib versus naproxen in patients with osteoarthritis of the knee: a randomized, double-blind, double-dummy trial. </w:t>
      </w:r>
      <w:r w:rsidRPr="00111BE5">
        <w:rPr>
          <w:rFonts w:ascii="Arial" w:hAnsi="Arial" w:cs="Arial"/>
          <w:i/>
          <w:iCs/>
          <w:sz w:val="20"/>
          <w:szCs w:val="20"/>
          <w:lang w:val="en-GB"/>
        </w:rPr>
        <w:t>J Int Med Res</w:t>
      </w:r>
      <w:r w:rsidRPr="00111BE5">
        <w:rPr>
          <w:rFonts w:ascii="Arial" w:hAnsi="Arial" w:cs="Arial"/>
          <w:sz w:val="20"/>
          <w:szCs w:val="20"/>
          <w:lang w:val="en-GB"/>
        </w:rPr>
        <w:t xml:space="preserve"> 2012;40:1357–1370. Available at: NS  -.</w:t>
      </w:r>
    </w:p>
    <w:p w14:paraId="6789C0FF"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23. Fransen M, Agaliotis M, Nairn L, Votrubec M, Bridgett L, Su S, et al. Glucosamine and chondroitin for knee osteoarthritis: a double-blind randomised placebo-controlled clinical trial evaluating single and combination regimens. </w:t>
      </w:r>
      <w:r w:rsidRPr="00111BE5">
        <w:rPr>
          <w:rFonts w:ascii="Arial" w:hAnsi="Arial" w:cs="Arial"/>
          <w:i/>
          <w:iCs/>
          <w:sz w:val="20"/>
          <w:szCs w:val="20"/>
          <w:lang w:val="en-GB"/>
        </w:rPr>
        <w:t>Ann Rheum Dis</w:t>
      </w:r>
      <w:r w:rsidRPr="00111BE5">
        <w:rPr>
          <w:rFonts w:ascii="Arial" w:hAnsi="Arial" w:cs="Arial"/>
          <w:sz w:val="20"/>
          <w:szCs w:val="20"/>
          <w:lang w:val="en-GB"/>
        </w:rPr>
        <w:t xml:space="preserve"> 2015;74:851–858. Available at: NS  -.</w:t>
      </w:r>
    </w:p>
    <w:p w14:paraId="2ABDD5B9"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24. Frizziero L, Pasquali Ronchetti I. Intra-articular treatment of osteoarthritis of the knee: An arthroscopic and clinical comparison between sodium hyaluronate (500-730 kDa) and methylprednisolone acetate. </w:t>
      </w:r>
      <w:r w:rsidRPr="00111BE5">
        <w:rPr>
          <w:rFonts w:ascii="Arial" w:hAnsi="Arial" w:cs="Arial"/>
          <w:i/>
          <w:iCs/>
          <w:sz w:val="20"/>
          <w:szCs w:val="20"/>
          <w:lang w:val="en-GB"/>
        </w:rPr>
        <w:t>J Orthop Traumatol</w:t>
      </w:r>
      <w:r w:rsidRPr="00111BE5">
        <w:rPr>
          <w:rFonts w:ascii="Arial" w:hAnsi="Arial" w:cs="Arial"/>
          <w:sz w:val="20"/>
          <w:szCs w:val="20"/>
          <w:lang w:val="en-GB"/>
        </w:rPr>
        <w:t xml:space="preserve"> 2002;3:89–96. Available at: https://www.scopus.com/inward/record.uri?eid=2-s2.0-0036826474&amp;doi=10.1007%2Fs101950200034&amp;partnerID=40&amp;md5=e1b6555fd29b2ffac63aee3643042ef4 NS  -.</w:t>
      </w:r>
    </w:p>
    <w:p w14:paraId="4FBCE0F0"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rPr>
        <w:t xml:space="preserve">25. Giarratana LS, Marelli BM, Crapanzano C, Martinis SE De, Gala L, Ferraro M, et al. </w:t>
      </w:r>
      <w:r w:rsidRPr="00111BE5">
        <w:rPr>
          <w:rFonts w:ascii="Arial" w:hAnsi="Arial" w:cs="Arial"/>
          <w:sz w:val="20"/>
          <w:szCs w:val="20"/>
          <w:lang w:val="en-GB"/>
        </w:rPr>
        <w:t xml:space="preserve">A randomized double-blind clinical trial on the treatment of knee osteoarthritis: the efficacy of polynucleotides compared to standard hyaluronian viscosupplementation. </w:t>
      </w:r>
      <w:r w:rsidRPr="00111BE5">
        <w:rPr>
          <w:rFonts w:ascii="Arial" w:hAnsi="Arial" w:cs="Arial"/>
          <w:i/>
          <w:iCs/>
          <w:sz w:val="20"/>
          <w:szCs w:val="20"/>
          <w:lang w:val="en-GB"/>
        </w:rPr>
        <w:t>Knee</w:t>
      </w:r>
      <w:r w:rsidRPr="00111BE5">
        <w:rPr>
          <w:rFonts w:ascii="Arial" w:hAnsi="Arial" w:cs="Arial"/>
          <w:sz w:val="20"/>
          <w:szCs w:val="20"/>
          <w:lang w:val="en-GB"/>
        </w:rPr>
        <w:t xml:space="preserve"> 2014;21:661–668. Available at: NS  -.</w:t>
      </w:r>
    </w:p>
    <w:p w14:paraId="1C0E4303"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26. Gormeli G, Gormeli CA, Ataoglu B, Colak C, Aslanturk O, Ertem K. Multiple PRP injections are more effective than single injections and hyaluronic acid in knees with early osteoarthritis: a randomized, double-blind, placebo-controlled trial. </w:t>
      </w:r>
      <w:r w:rsidRPr="00111BE5">
        <w:rPr>
          <w:rFonts w:ascii="Arial" w:hAnsi="Arial" w:cs="Arial"/>
          <w:i/>
          <w:iCs/>
          <w:sz w:val="20"/>
          <w:szCs w:val="20"/>
          <w:lang w:val="en-GB"/>
        </w:rPr>
        <w:t>Knee Surg Sports Traumatol Arthrosc</w:t>
      </w:r>
      <w:r w:rsidRPr="00111BE5">
        <w:rPr>
          <w:rFonts w:ascii="Arial" w:hAnsi="Arial" w:cs="Arial"/>
          <w:sz w:val="20"/>
          <w:szCs w:val="20"/>
          <w:lang w:val="en-GB"/>
        </w:rPr>
        <w:t xml:space="preserve"> 2017;25:958–965. Available at: NS  -.</w:t>
      </w:r>
    </w:p>
    <w:p w14:paraId="6A2D8C2D"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27. Guner S, Gokalp MA, Gozen A, Unsal SS, Guner SI. Effectiveness of etofenamate for treatment of knee osteoarthritis: a randomized controlled trial. </w:t>
      </w:r>
      <w:r w:rsidRPr="00111BE5">
        <w:rPr>
          <w:rFonts w:ascii="Arial" w:hAnsi="Arial" w:cs="Arial"/>
          <w:i/>
          <w:iCs/>
          <w:sz w:val="20"/>
          <w:szCs w:val="20"/>
          <w:lang w:val="en-GB"/>
        </w:rPr>
        <w:t>Ther Clin Risk Manag</w:t>
      </w:r>
      <w:r w:rsidRPr="00111BE5">
        <w:rPr>
          <w:rFonts w:ascii="Arial" w:hAnsi="Arial" w:cs="Arial"/>
          <w:sz w:val="20"/>
          <w:szCs w:val="20"/>
          <w:lang w:val="en-GB"/>
        </w:rPr>
        <w:t xml:space="preserve"> 2016;12:1693–1699. Available at: NS  -.</w:t>
      </w:r>
    </w:p>
    <w:p w14:paraId="70677C20"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28. Haflah NHM, Jaarin K, Abdullah S, Omar M. Palm vitamin E and glucosamine sulphate in the treatment of osteoarthritis of the knee. </w:t>
      </w:r>
      <w:r w:rsidRPr="00111BE5">
        <w:rPr>
          <w:rFonts w:ascii="Arial" w:hAnsi="Arial" w:cs="Arial"/>
          <w:i/>
          <w:iCs/>
          <w:sz w:val="20"/>
          <w:szCs w:val="20"/>
          <w:lang w:val="en-GB"/>
        </w:rPr>
        <w:t>Saudi Med J</w:t>
      </w:r>
      <w:r w:rsidRPr="00111BE5">
        <w:rPr>
          <w:rFonts w:ascii="Arial" w:hAnsi="Arial" w:cs="Arial"/>
          <w:sz w:val="20"/>
          <w:szCs w:val="20"/>
          <w:lang w:val="en-GB"/>
        </w:rPr>
        <w:t xml:space="preserve"> 2009;30:1432–1438. Available at: https://www.scopus.com/inward/record.uri?eid=2-s2.0-70449652742&amp;partnerID=40&amp;md5=694dfd9da2a30f4001fb97f672578394 NS  -.</w:t>
      </w:r>
    </w:p>
    <w:p w14:paraId="4D11D966"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lastRenderedPageBreak/>
        <w:t xml:space="preserve">29. Hangody L, Szody R, Lukasik P, Zgadzaj W, Lenart E, Dokoupilova E, et al. Intraarticular Injection of a Cross-Linked Sodium Hyaluronate Combined with Triamcinolone Hexacetonide (Cingal) to Provide Symptomatic Relief of Osteoarthritis of the Knee: A Randomized, Double-Blind, Placebo-Controlled Multicenter Clinical Trial. </w:t>
      </w:r>
      <w:r w:rsidRPr="00111BE5">
        <w:rPr>
          <w:rFonts w:ascii="Arial" w:hAnsi="Arial" w:cs="Arial"/>
          <w:i/>
          <w:iCs/>
          <w:sz w:val="20"/>
          <w:szCs w:val="20"/>
          <w:lang w:val="en-GB"/>
        </w:rPr>
        <w:t>Cartilage</w:t>
      </w:r>
      <w:r w:rsidRPr="00111BE5">
        <w:rPr>
          <w:rFonts w:ascii="Arial" w:hAnsi="Arial" w:cs="Arial"/>
          <w:sz w:val="20"/>
          <w:szCs w:val="20"/>
          <w:lang w:val="en-GB"/>
        </w:rPr>
        <w:t xml:space="preserve"> 2018;9:276–283. Available at: http://ovidsp.ovid.com/ovidweb.cgi?T=JS&amp;PAGE=reference&amp;D=medl&amp;NEWS=N&amp;AN=28535076.</w:t>
      </w:r>
    </w:p>
    <w:p w14:paraId="40CE0EF9"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30. Hermans J  Niesten D, Verhaar JA, Reijman M B-ZSM. The visk study: A pragmatic randomized clinical trialfor the effectiveness of intra articular hyaluronic acid for knee osteoarthritis. 2013;21:S148. Available at: NS  -.</w:t>
      </w:r>
    </w:p>
    <w:p w14:paraId="3C213608"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31. Herrero-Beaumont G, Ivorra JAR, Carmen Trabado M Del, Blanco FJ, Benito P, Martin-Mola E, et al. Glucosamine sulfate in the treatment of knee osteoarthritis symptoms: a randomized, double-blind, placebo-controlled study using acetaminophen as a side comparator. </w:t>
      </w:r>
      <w:r w:rsidRPr="00111BE5">
        <w:rPr>
          <w:rFonts w:ascii="Arial" w:hAnsi="Arial" w:cs="Arial"/>
          <w:i/>
          <w:iCs/>
          <w:sz w:val="20"/>
          <w:szCs w:val="20"/>
          <w:lang w:val="en-GB"/>
        </w:rPr>
        <w:t>Arthritis Rheum</w:t>
      </w:r>
      <w:r w:rsidRPr="00111BE5">
        <w:rPr>
          <w:rFonts w:ascii="Arial" w:hAnsi="Arial" w:cs="Arial"/>
          <w:sz w:val="20"/>
          <w:szCs w:val="20"/>
          <w:lang w:val="en-GB"/>
        </w:rPr>
        <w:t xml:space="preserve"> 2007;56:555–567. Available at: NS  -.</w:t>
      </w:r>
    </w:p>
    <w:p w14:paraId="6122A6FF"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32. Hochberg MC, Martel-Pelletier J, Monfort J, Moller I, Castillo JR, Arden N, et al. Combined chondroitin sulfate and glucosamine for painful knee osteoarthritis: a multicentre, randomised, double-blind, non-inferiority trial versus celecoxib. </w:t>
      </w:r>
      <w:r w:rsidRPr="00111BE5">
        <w:rPr>
          <w:rFonts w:ascii="Arial" w:hAnsi="Arial" w:cs="Arial"/>
          <w:i/>
          <w:iCs/>
          <w:sz w:val="20"/>
          <w:szCs w:val="20"/>
          <w:lang w:val="en-GB"/>
        </w:rPr>
        <w:t>Ann Rheum Dis</w:t>
      </w:r>
      <w:r w:rsidRPr="00111BE5">
        <w:rPr>
          <w:rFonts w:ascii="Arial" w:hAnsi="Arial" w:cs="Arial"/>
          <w:sz w:val="20"/>
          <w:szCs w:val="20"/>
          <w:lang w:val="en-GB"/>
        </w:rPr>
        <w:t xml:space="preserve"> 2016;75:37–44. Available at: NS  -.</w:t>
      </w:r>
    </w:p>
    <w:p w14:paraId="096D7987"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33. Housman L, Arden N, Schnitzer TJ, Birbara C, Conrozier T, Skrepnik N, et al. Intra-articular hylastan versus steroid for knee osteoarthritis. </w:t>
      </w:r>
      <w:r w:rsidRPr="00111BE5">
        <w:rPr>
          <w:rFonts w:ascii="Arial" w:hAnsi="Arial" w:cs="Arial"/>
          <w:i/>
          <w:iCs/>
          <w:sz w:val="20"/>
          <w:szCs w:val="20"/>
          <w:lang w:val="en-GB"/>
        </w:rPr>
        <w:t>Knee Surg Sports Traumatol Arthrosc</w:t>
      </w:r>
      <w:r w:rsidRPr="00111BE5">
        <w:rPr>
          <w:rFonts w:ascii="Arial" w:hAnsi="Arial" w:cs="Arial"/>
          <w:sz w:val="20"/>
          <w:szCs w:val="20"/>
          <w:lang w:val="en-GB"/>
        </w:rPr>
        <w:t xml:space="preserve"> 2014;22:1684–1692. Available at: NS  -.</w:t>
      </w:r>
    </w:p>
    <w:p w14:paraId="47DBF14E"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34. Huang T-L, Chang C-C, Lee C-H, Chen S-C, Lai C-H, Tsai C-L. Intra-articular injections of sodium hyaluronate (Hyalgan) in osteoarthritis of the knee. a randomized, controlled, double-blind, multicenter trial in the Asian population. </w:t>
      </w:r>
      <w:r w:rsidRPr="00111BE5">
        <w:rPr>
          <w:rFonts w:ascii="Arial" w:hAnsi="Arial" w:cs="Arial"/>
          <w:i/>
          <w:iCs/>
          <w:sz w:val="20"/>
          <w:szCs w:val="20"/>
          <w:lang w:val="en-GB"/>
        </w:rPr>
        <w:t>BMC Musculoskelet Disord</w:t>
      </w:r>
      <w:r w:rsidRPr="00111BE5">
        <w:rPr>
          <w:rFonts w:ascii="Arial" w:hAnsi="Arial" w:cs="Arial"/>
          <w:sz w:val="20"/>
          <w:szCs w:val="20"/>
          <w:lang w:val="en-GB"/>
        </w:rPr>
        <w:t xml:space="preserve"> 2011;12:221. Available at: NS  -.</w:t>
      </w:r>
    </w:p>
    <w:p w14:paraId="5BC51F31"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35. Huang Y, Liu X, Xu X, Liu J. Intra-articular injections of platelet-rich plasma, hyaluronic acid or corticosteroids for knee osteoarthritis : A prospective randomized controlled study. </w:t>
      </w:r>
      <w:r w:rsidRPr="00111BE5">
        <w:rPr>
          <w:rFonts w:ascii="Arial" w:hAnsi="Arial" w:cs="Arial"/>
          <w:i/>
          <w:iCs/>
          <w:sz w:val="20"/>
          <w:szCs w:val="20"/>
          <w:lang w:val="en-GB"/>
        </w:rPr>
        <w:t>Orthopade</w:t>
      </w:r>
      <w:r w:rsidRPr="00111BE5">
        <w:rPr>
          <w:rFonts w:ascii="Arial" w:hAnsi="Arial" w:cs="Arial"/>
          <w:sz w:val="20"/>
          <w:szCs w:val="20"/>
          <w:lang w:val="en-GB"/>
        </w:rPr>
        <w:t xml:space="preserve"> 2019;48:239–247. Available at: NS  -.</w:t>
      </w:r>
    </w:p>
    <w:p w14:paraId="344A7D2F"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36. Hughes R, Carr A. A randomized, double-blind, placebo-controlled trial of glucosamine sulphate as an analgesic in osteoarthritis of the knee. </w:t>
      </w:r>
      <w:r w:rsidRPr="00111BE5">
        <w:rPr>
          <w:rFonts w:ascii="Arial" w:hAnsi="Arial" w:cs="Arial"/>
          <w:i/>
          <w:iCs/>
          <w:sz w:val="20"/>
          <w:szCs w:val="20"/>
          <w:lang w:val="en-GB"/>
        </w:rPr>
        <w:t>Rheumatology (Oxford)</w:t>
      </w:r>
      <w:r w:rsidRPr="00111BE5">
        <w:rPr>
          <w:rFonts w:ascii="Arial" w:hAnsi="Arial" w:cs="Arial"/>
          <w:sz w:val="20"/>
          <w:szCs w:val="20"/>
          <w:lang w:val="en-GB"/>
        </w:rPr>
        <w:t xml:space="preserve"> 2002;41:279–284. Available at: NS  -.</w:t>
      </w:r>
    </w:p>
    <w:p w14:paraId="28B13A82"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37. Huskisson EC, Donnelly S. Hyaluronic acid in the treatment of osteoarthritis of the knee. </w:t>
      </w:r>
      <w:r w:rsidRPr="00111BE5">
        <w:rPr>
          <w:rFonts w:ascii="Arial" w:hAnsi="Arial" w:cs="Arial"/>
          <w:i/>
          <w:iCs/>
          <w:sz w:val="20"/>
          <w:szCs w:val="20"/>
          <w:lang w:val="en-GB"/>
        </w:rPr>
        <w:t>Rheumatology (Oxford)</w:t>
      </w:r>
      <w:r w:rsidRPr="00111BE5">
        <w:rPr>
          <w:rFonts w:ascii="Arial" w:hAnsi="Arial" w:cs="Arial"/>
          <w:sz w:val="20"/>
          <w:szCs w:val="20"/>
          <w:lang w:val="en-GB"/>
        </w:rPr>
        <w:t xml:space="preserve"> 1999;38:602–607. Available at: NS  -.</w:t>
      </w:r>
    </w:p>
    <w:p w14:paraId="321E5D2D"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38. Jin X, Jones G, Cicuttini F, Wluka A, Zhu Z, Han W, et al. Effect of Vitamin D Supplementation on Tibial Cartilage Volume and Knee Pain Among Patients With Symptomatic Knee Osteoarthritis: A Randomized Clinical Trial. </w:t>
      </w:r>
      <w:r w:rsidRPr="00111BE5">
        <w:rPr>
          <w:rFonts w:ascii="Arial" w:hAnsi="Arial" w:cs="Arial"/>
          <w:i/>
          <w:iCs/>
          <w:sz w:val="20"/>
          <w:szCs w:val="20"/>
          <w:lang w:val="en-GB"/>
        </w:rPr>
        <w:t>JAMA</w:t>
      </w:r>
      <w:r w:rsidRPr="00111BE5">
        <w:rPr>
          <w:rFonts w:ascii="Arial" w:hAnsi="Arial" w:cs="Arial"/>
          <w:sz w:val="20"/>
          <w:szCs w:val="20"/>
          <w:lang w:val="en-GB"/>
        </w:rPr>
        <w:t xml:space="preserve"> 2016;315:1005–1013. Available at: NS  -.</w:t>
      </w:r>
    </w:p>
    <w:p w14:paraId="51E959EB"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39. Jones AC, Pattrick M, Doherty S, Doherty M. Intra-articular hyaluronic acid compared to intra-articular triamcinolone hexacetonide in inflammatory knee osteoarthritis. </w:t>
      </w:r>
      <w:r w:rsidRPr="00111BE5">
        <w:rPr>
          <w:rFonts w:ascii="Arial" w:hAnsi="Arial" w:cs="Arial"/>
          <w:i/>
          <w:iCs/>
          <w:sz w:val="20"/>
          <w:szCs w:val="20"/>
          <w:lang w:val="en-GB"/>
        </w:rPr>
        <w:t>Osteoarthr Cartil</w:t>
      </w:r>
      <w:r w:rsidRPr="00111BE5">
        <w:rPr>
          <w:rFonts w:ascii="Arial" w:hAnsi="Arial" w:cs="Arial"/>
          <w:sz w:val="20"/>
          <w:szCs w:val="20"/>
          <w:lang w:val="en-GB"/>
        </w:rPr>
        <w:t xml:space="preserve"> 1995;3:269–273. Available at: NS  -.</w:t>
      </w:r>
    </w:p>
    <w:p w14:paraId="002B6CA8"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40. Kahan A, Uebelhart D, Vathaire F De, Delmas PD, Reginster J-Y. Long-term effects of chondroitins 4 and 6 sulfate on knee osteoarthritis: the study on osteoarthritis progression prevention, a two-year, randomized, double-blind, placebo-controlled trial. </w:t>
      </w:r>
      <w:r w:rsidRPr="00111BE5">
        <w:rPr>
          <w:rFonts w:ascii="Arial" w:hAnsi="Arial" w:cs="Arial"/>
          <w:i/>
          <w:iCs/>
          <w:sz w:val="20"/>
          <w:szCs w:val="20"/>
          <w:lang w:val="en-GB"/>
        </w:rPr>
        <w:t>Arthritis Rheum</w:t>
      </w:r>
      <w:r w:rsidRPr="00111BE5">
        <w:rPr>
          <w:rFonts w:ascii="Arial" w:hAnsi="Arial" w:cs="Arial"/>
          <w:sz w:val="20"/>
          <w:szCs w:val="20"/>
          <w:lang w:val="en-GB"/>
        </w:rPr>
        <w:t xml:space="preserve"> 2009;60:524–533. Available at: NS  -.</w:t>
      </w:r>
    </w:p>
    <w:p w14:paraId="1CF42C2B"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41. Karlsson J, Sjogren LS, Lohmander LS. Comparison of two hyaluronan drugs and placebo in patients with knee osteoarthritis. A controlled, randomized, double-blind, parallel-design multicentre study. </w:t>
      </w:r>
      <w:r w:rsidRPr="00111BE5">
        <w:rPr>
          <w:rFonts w:ascii="Arial" w:hAnsi="Arial" w:cs="Arial"/>
          <w:i/>
          <w:iCs/>
          <w:sz w:val="20"/>
          <w:szCs w:val="20"/>
          <w:lang w:val="en-GB"/>
        </w:rPr>
        <w:t>Rheumatology (Oxford)</w:t>
      </w:r>
      <w:r w:rsidRPr="00111BE5">
        <w:rPr>
          <w:rFonts w:ascii="Arial" w:hAnsi="Arial" w:cs="Arial"/>
          <w:sz w:val="20"/>
          <w:szCs w:val="20"/>
          <w:lang w:val="en-GB"/>
        </w:rPr>
        <w:t xml:space="preserve"> 2002;41:1240–1248. Available at: NS  -.</w:t>
      </w:r>
    </w:p>
    <w:p w14:paraId="5E4F3DDF"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42. Kosuwon W. Determination of Cartilage Volume Using MRI in Patients with Knee Osteoarthritis: Efficacy Study of 25 Milligrams of Sodium Hyaluronate (2.5 Ml) Versus Placebo. </w:t>
      </w:r>
      <w:r w:rsidRPr="00111BE5">
        <w:rPr>
          <w:rFonts w:ascii="Arial" w:hAnsi="Arial" w:cs="Arial"/>
          <w:i/>
          <w:iCs/>
          <w:sz w:val="20"/>
          <w:szCs w:val="20"/>
          <w:lang w:val="en-GB"/>
        </w:rPr>
        <w:t>Clin Exp Pharmacol</w:t>
      </w:r>
      <w:r w:rsidRPr="00111BE5">
        <w:rPr>
          <w:rFonts w:ascii="Arial" w:hAnsi="Arial" w:cs="Arial"/>
          <w:sz w:val="20"/>
          <w:szCs w:val="20"/>
          <w:lang w:val="en-GB"/>
        </w:rPr>
        <w:t xml:space="preserve"> 2012;02. Available at: NS  -.</w:t>
      </w:r>
    </w:p>
    <w:p w14:paraId="21056A7B" w14:textId="77777777" w:rsidR="00A13521" w:rsidRPr="00111BE5" w:rsidRDefault="00A13521" w:rsidP="00A13521">
      <w:pPr>
        <w:spacing w:line="240" w:lineRule="auto"/>
        <w:rPr>
          <w:rFonts w:ascii="Arial" w:hAnsi="Arial" w:cs="Arial"/>
          <w:sz w:val="20"/>
          <w:szCs w:val="20"/>
        </w:rPr>
      </w:pPr>
      <w:r w:rsidRPr="00111BE5">
        <w:rPr>
          <w:rFonts w:ascii="Arial" w:hAnsi="Arial" w:cs="Arial"/>
          <w:sz w:val="20"/>
          <w:szCs w:val="20"/>
          <w:lang w:val="en-GB"/>
        </w:rPr>
        <w:t xml:space="preserve">43. Kotevoglu N, Iyibozkurt PC, Hiz O, Toktas H, Kuran B. A prospective randomised controlled clinical trial comparing the efficacy of different molecular weight hyaluronan solutions in the treatment of knee osteoarthritis. </w:t>
      </w:r>
      <w:r w:rsidRPr="00111BE5">
        <w:rPr>
          <w:rFonts w:ascii="Arial" w:hAnsi="Arial" w:cs="Arial"/>
          <w:i/>
          <w:iCs/>
          <w:sz w:val="20"/>
          <w:szCs w:val="20"/>
        </w:rPr>
        <w:t>Rheumatol Int</w:t>
      </w:r>
      <w:r w:rsidRPr="00111BE5">
        <w:rPr>
          <w:rFonts w:ascii="Arial" w:hAnsi="Arial" w:cs="Arial"/>
          <w:sz w:val="20"/>
          <w:szCs w:val="20"/>
        </w:rPr>
        <w:t xml:space="preserve"> 2006;26:325–330. Available at: NS  -.</w:t>
      </w:r>
    </w:p>
    <w:p w14:paraId="67D2BBAF"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rPr>
        <w:lastRenderedPageBreak/>
        <w:t xml:space="preserve">44. Montagna G La, Tirri G, Cacace E, Perpignano G, Covelli M, Pipitone V, et al. </w:t>
      </w:r>
      <w:r w:rsidRPr="00111BE5">
        <w:rPr>
          <w:rFonts w:ascii="Arial" w:hAnsi="Arial" w:cs="Arial"/>
          <w:sz w:val="20"/>
          <w:szCs w:val="20"/>
          <w:lang w:val="en-GB"/>
        </w:rPr>
        <w:t xml:space="preserve">Quality of life assessment during six months of NSAID treatment [Gonarthrosis and Quality of Life (GOAL) Study]. </w:t>
      </w:r>
      <w:r w:rsidRPr="00111BE5">
        <w:rPr>
          <w:rFonts w:ascii="Arial" w:hAnsi="Arial" w:cs="Arial"/>
          <w:i/>
          <w:iCs/>
          <w:sz w:val="20"/>
          <w:szCs w:val="20"/>
          <w:lang w:val="en-GB"/>
        </w:rPr>
        <w:t>Clin Exp Rheumatol</w:t>
      </w:r>
      <w:r w:rsidRPr="00111BE5">
        <w:rPr>
          <w:rFonts w:ascii="Arial" w:hAnsi="Arial" w:cs="Arial"/>
          <w:sz w:val="20"/>
          <w:szCs w:val="20"/>
          <w:lang w:val="en-GB"/>
        </w:rPr>
        <w:t xml:space="preserve"> 1998;16:49–54. Available at: NS  -.</w:t>
      </w:r>
    </w:p>
    <w:p w14:paraId="1A7721F6"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45. Leighton R, Akermark C, Therrien R, Richardson JB, Andersson M, Todman MG, et al. NASHA hyaluronic acid vs. methylprednisolone for knee osteoarthritis: a prospective, multi-centre, randomized, non-inferiority trial. </w:t>
      </w:r>
      <w:r w:rsidRPr="00111BE5">
        <w:rPr>
          <w:rFonts w:ascii="Arial" w:hAnsi="Arial" w:cs="Arial"/>
          <w:i/>
          <w:iCs/>
          <w:sz w:val="20"/>
          <w:szCs w:val="20"/>
          <w:lang w:val="en-GB"/>
        </w:rPr>
        <w:t>Osteoarthr Cartil</w:t>
      </w:r>
      <w:r w:rsidRPr="00111BE5">
        <w:rPr>
          <w:rFonts w:ascii="Arial" w:hAnsi="Arial" w:cs="Arial"/>
          <w:sz w:val="20"/>
          <w:szCs w:val="20"/>
          <w:lang w:val="en-GB"/>
        </w:rPr>
        <w:t xml:space="preserve"> 2014;22:17–25. Available at: NS  -.</w:t>
      </w:r>
    </w:p>
    <w:p w14:paraId="675E97BB"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46. Lomonte ABV, Morais MGV de, Carvalho LO de, Zerbini CA de F. Efficacy of Triamcinolone Hexacetonide versus Methylprednisolone Acetate Intraarticular Injections in Knee Osteoarthritis: A Randomized, Double-blinded, 24-week Study. </w:t>
      </w:r>
      <w:r w:rsidRPr="00111BE5">
        <w:rPr>
          <w:rFonts w:ascii="Arial" w:hAnsi="Arial" w:cs="Arial"/>
          <w:i/>
          <w:iCs/>
          <w:sz w:val="20"/>
          <w:szCs w:val="20"/>
          <w:lang w:val="en-GB"/>
        </w:rPr>
        <w:t>J Rheumatol</w:t>
      </w:r>
      <w:r w:rsidRPr="00111BE5">
        <w:rPr>
          <w:rFonts w:ascii="Arial" w:hAnsi="Arial" w:cs="Arial"/>
          <w:sz w:val="20"/>
          <w:szCs w:val="20"/>
          <w:lang w:val="en-GB"/>
        </w:rPr>
        <w:t xml:space="preserve"> 2015;42:1677–1684. Available at: NS  -.</w:t>
      </w:r>
    </w:p>
    <w:p w14:paraId="32EFD812"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47. Lugo JP, Saiyed ZM, Lane NE. Efficacy and tolerability of an undenatured type II collagen supplement in modulating knee osteoarthritis symptoms: a multicenter randomized, double-blind, placebo-controlled study. </w:t>
      </w:r>
      <w:r w:rsidRPr="00111BE5">
        <w:rPr>
          <w:rFonts w:ascii="Arial" w:hAnsi="Arial" w:cs="Arial"/>
          <w:i/>
          <w:iCs/>
          <w:sz w:val="20"/>
          <w:szCs w:val="20"/>
          <w:lang w:val="en-GB"/>
        </w:rPr>
        <w:t>Nutr J</w:t>
      </w:r>
      <w:r w:rsidRPr="00111BE5">
        <w:rPr>
          <w:rFonts w:ascii="Arial" w:hAnsi="Arial" w:cs="Arial"/>
          <w:sz w:val="20"/>
          <w:szCs w:val="20"/>
          <w:lang w:val="en-GB"/>
        </w:rPr>
        <w:t xml:space="preserve"> 2016;15:14. Available at: NS  -.</w:t>
      </w:r>
    </w:p>
    <w:p w14:paraId="3640FD09" w14:textId="77777777" w:rsidR="00A13521" w:rsidRPr="00111BE5" w:rsidRDefault="00A13521" w:rsidP="00A13521">
      <w:pPr>
        <w:spacing w:line="240" w:lineRule="auto"/>
        <w:rPr>
          <w:rFonts w:ascii="Arial" w:hAnsi="Arial" w:cs="Arial"/>
          <w:sz w:val="20"/>
          <w:szCs w:val="20"/>
        </w:rPr>
      </w:pPr>
      <w:r w:rsidRPr="00111BE5">
        <w:rPr>
          <w:rFonts w:ascii="Arial" w:hAnsi="Arial" w:cs="Arial"/>
          <w:sz w:val="20"/>
          <w:szCs w:val="20"/>
          <w:lang w:val="en-GB"/>
        </w:rPr>
        <w:t xml:space="preserve">48. Lundsgaard C, Dufour N, Fallentin E, Winkel P, Gluud C. Intra-articular sodium hyaluronate 2 mL versus physiological saline 20 mL versus physiological saline 2 mL for painful knee osteoarthritis: a randomized clinical trial. </w:t>
      </w:r>
      <w:r w:rsidRPr="00111BE5">
        <w:rPr>
          <w:rFonts w:ascii="Arial" w:hAnsi="Arial" w:cs="Arial"/>
          <w:i/>
          <w:iCs/>
          <w:sz w:val="20"/>
          <w:szCs w:val="20"/>
        </w:rPr>
        <w:t>Scand J Rheumatol</w:t>
      </w:r>
      <w:r w:rsidRPr="00111BE5">
        <w:rPr>
          <w:rFonts w:ascii="Arial" w:hAnsi="Arial" w:cs="Arial"/>
          <w:sz w:val="20"/>
          <w:szCs w:val="20"/>
        </w:rPr>
        <w:t xml:space="preserve"> 2008;37:142–150. Available at: NS  -.</w:t>
      </w:r>
    </w:p>
    <w:p w14:paraId="76381B95"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rPr>
        <w:t xml:space="preserve">49. Maheu E, Mazieres B, Valat JP, Loyau G, Loet X Le, Bourgeois P, et al. </w:t>
      </w:r>
      <w:r w:rsidRPr="00111BE5">
        <w:rPr>
          <w:rFonts w:ascii="Arial" w:hAnsi="Arial" w:cs="Arial"/>
          <w:sz w:val="20"/>
          <w:szCs w:val="20"/>
          <w:lang w:val="en-GB"/>
        </w:rPr>
        <w:t xml:space="preserve">Symptomatic efficacy of avocado/soybean unsaponifiables in the treatment of osteoarthritis of the knee and hip: a prospective, randomized, double-blind, placebo-controlled, multicenter clinical trial with a six-month treatment period and a two-month follo. </w:t>
      </w:r>
      <w:r w:rsidRPr="00111BE5">
        <w:rPr>
          <w:rFonts w:ascii="Arial" w:hAnsi="Arial" w:cs="Arial"/>
          <w:i/>
          <w:iCs/>
          <w:sz w:val="20"/>
          <w:szCs w:val="20"/>
          <w:lang w:val="en-GB"/>
        </w:rPr>
        <w:t>Arthritis Rheum</w:t>
      </w:r>
      <w:r w:rsidRPr="00111BE5">
        <w:rPr>
          <w:rFonts w:ascii="Arial" w:hAnsi="Arial" w:cs="Arial"/>
          <w:sz w:val="20"/>
          <w:szCs w:val="20"/>
          <w:lang w:val="en-GB"/>
        </w:rPr>
        <w:t xml:space="preserve"> 1998;41:81–91. Available at: NS  -.</w:t>
      </w:r>
    </w:p>
    <w:p w14:paraId="618710BF"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50. Mazieres B, Hucher M, Zaim M, Garnero P. Effect of chondroitin sulphate in symptomatic knee osteoarthritis: a multicentre, randomised, double-blind, placebo-controlled study. </w:t>
      </w:r>
      <w:r w:rsidRPr="00111BE5">
        <w:rPr>
          <w:rFonts w:ascii="Arial" w:hAnsi="Arial" w:cs="Arial"/>
          <w:i/>
          <w:iCs/>
          <w:sz w:val="20"/>
          <w:szCs w:val="20"/>
          <w:lang w:val="en-GB"/>
        </w:rPr>
        <w:t>Ann Rheum Dis</w:t>
      </w:r>
      <w:r w:rsidRPr="00111BE5">
        <w:rPr>
          <w:rFonts w:ascii="Arial" w:hAnsi="Arial" w:cs="Arial"/>
          <w:sz w:val="20"/>
          <w:szCs w:val="20"/>
          <w:lang w:val="en-GB"/>
        </w:rPr>
        <w:t xml:space="preserve"> 2007;66:639–645. Available at: NS  -.</w:t>
      </w:r>
    </w:p>
    <w:p w14:paraId="159A65B4"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51. McAlindon TE, LaValley MP, Harvey WF, Price LL, Driban JB, Zhang M, et al. Effect of Intra-articular Triamcinolone vs Saline on Knee Cartilage Volume and Pain in Patients With Knee Osteoarthritis: A Randomized Clinical Trial. </w:t>
      </w:r>
      <w:r w:rsidRPr="00111BE5">
        <w:rPr>
          <w:rFonts w:ascii="Arial" w:hAnsi="Arial" w:cs="Arial"/>
          <w:i/>
          <w:iCs/>
          <w:sz w:val="20"/>
          <w:szCs w:val="20"/>
          <w:lang w:val="en-GB"/>
        </w:rPr>
        <w:t>JAMA</w:t>
      </w:r>
      <w:r w:rsidRPr="00111BE5">
        <w:rPr>
          <w:rFonts w:ascii="Arial" w:hAnsi="Arial" w:cs="Arial"/>
          <w:sz w:val="20"/>
          <w:szCs w:val="20"/>
          <w:lang w:val="en-GB"/>
        </w:rPr>
        <w:t xml:space="preserve"> 2017;317:1967–1975. Available at: NS  -.</w:t>
      </w:r>
    </w:p>
    <w:p w14:paraId="5F3C5699"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52. McAlindon T, LaValley M, Schneider E, Nuite M, Lee JY, Price LL, et al. Effect of vitamin D supplementation on progression of knee pain and cartilage volume loss in patients with symptomatic osteoarthritis: a randomized controlled trial. </w:t>
      </w:r>
      <w:r w:rsidRPr="00111BE5">
        <w:rPr>
          <w:rFonts w:ascii="Arial" w:hAnsi="Arial" w:cs="Arial"/>
          <w:i/>
          <w:iCs/>
          <w:sz w:val="20"/>
          <w:szCs w:val="20"/>
          <w:lang w:val="en-GB"/>
        </w:rPr>
        <w:t>JAMA</w:t>
      </w:r>
      <w:r w:rsidRPr="00111BE5">
        <w:rPr>
          <w:rFonts w:ascii="Arial" w:hAnsi="Arial" w:cs="Arial"/>
          <w:sz w:val="20"/>
          <w:szCs w:val="20"/>
          <w:lang w:val="en-GB"/>
        </w:rPr>
        <w:t xml:space="preserve"> 2013;309:155–162. Available at: NS  -.</w:t>
      </w:r>
    </w:p>
    <w:p w14:paraId="28D30BDE" w14:textId="77777777" w:rsidR="00A13521" w:rsidRPr="00111BE5" w:rsidRDefault="00A13521" w:rsidP="00A13521">
      <w:pPr>
        <w:spacing w:line="240" w:lineRule="auto"/>
        <w:rPr>
          <w:rFonts w:ascii="Arial" w:hAnsi="Arial" w:cs="Arial"/>
          <w:sz w:val="20"/>
          <w:szCs w:val="20"/>
        </w:rPr>
      </w:pPr>
      <w:r w:rsidRPr="00252F1D">
        <w:rPr>
          <w:rFonts w:ascii="Arial" w:hAnsi="Arial" w:cs="Arial"/>
          <w:sz w:val="20"/>
          <w:szCs w:val="20"/>
          <w:lang w:val="en-GB"/>
        </w:rPr>
        <w:t xml:space="preserve">53. Michel BA, Stucki G, Frey D, Vathaire F De, Vignon E, Bruehlmann P, et al. </w:t>
      </w:r>
      <w:r w:rsidRPr="00111BE5">
        <w:rPr>
          <w:rFonts w:ascii="Arial" w:hAnsi="Arial" w:cs="Arial"/>
          <w:sz w:val="20"/>
          <w:szCs w:val="20"/>
          <w:lang w:val="en-GB"/>
        </w:rPr>
        <w:t xml:space="preserve">Chondroitins 4 and 6 sulfate in osteoarthritis of the knee: a randomized, controlled trial. </w:t>
      </w:r>
      <w:r w:rsidRPr="00111BE5">
        <w:rPr>
          <w:rFonts w:ascii="Arial" w:hAnsi="Arial" w:cs="Arial"/>
          <w:i/>
          <w:iCs/>
          <w:sz w:val="20"/>
          <w:szCs w:val="20"/>
        </w:rPr>
        <w:t>Arthritis Rheum</w:t>
      </w:r>
      <w:r w:rsidRPr="00111BE5">
        <w:rPr>
          <w:rFonts w:ascii="Arial" w:hAnsi="Arial" w:cs="Arial"/>
          <w:sz w:val="20"/>
          <w:szCs w:val="20"/>
        </w:rPr>
        <w:t xml:space="preserve"> 2005;52:779–786. Available at: NS  -.</w:t>
      </w:r>
    </w:p>
    <w:p w14:paraId="437B06C9"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rPr>
        <w:t xml:space="preserve">54. Navarro-Sarabia F, Coronel P, Collantes E, Navarro FJ, la Serna AR de, Naranjo A, et al. </w:t>
      </w:r>
      <w:r w:rsidRPr="00111BE5">
        <w:rPr>
          <w:rFonts w:ascii="Arial" w:hAnsi="Arial" w:cs="Arial"/>
          <w:sz w:val="20"/>
          <w:szCs w:val="20"/>
          <w:lang w:val="en-GB"/>
        </w:rPr>
        <w:t xml:space="preserve">A 40-month multicentre, randomised placebo-controlled study to assess the efficacy and carry-over effect of repeated intra-articular injections of hyaluronic acid in knee osteoarthritis: the AMELIA project. </w:t>
      </w:r>
      <w:r w:rsidRPr="00111BE5">
        <w:rPr>
          <w:rFonts w:ascii="Arial" w:hAnsi="Arial" w:cs="Arial"/>
          <w:i/>
          <w:iCs/>
          <w:sz w:val="20"/>
          <w:szCs w:val="20"/>
          <w:lang w:val="en-GB"/>
        </w:rPr>
        <w:t>Ann Rheum Dis</w:t>
      </w:r>
      <w:r w:rsidRPr="00111BE5">
        <w:rPr>
          <w:rFonts w:ascii="Arial" w:hAnsi="Arial" w:cs="Arial"/>
          <w:sz w:val="20"/>
          <w:szCs w:val="20"/>
          <w:lang w:val="en-GB"/>
        </w:rPr>
        <w:t xml:space="preserve"> 2011;70:1957–1962. Available at: NS  -.</w:t>
      </w:r>
    </w:p>
    <w:p w14:paraId="61C01D44"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55. Ozturk C, Atamaz F, Hepguler S, Argin M, Arkun R. The safety and efficacy of intraarticular hyaluronan with/without corticosteroid in knee osteoarthritis: 1-year, single-blind, randomized study. </w:t>
      </w:r>
      <w:r w:rsidRPr="00111BE5">
        <w:rPr>
          <w:rFonts w:ascii="Arial" w:hAnsi="Arial" w:cs="Arial"/>
          <w:i/>
          <w:iCs/>
          <w:sz w:val="20"/>
          <w:szCs w:val="20"/>
          <w:lang w:val="en-GB"/>
        </w:rPr>
        <w:t>Rheumatol Int</w:t>
      </w:r>
      <w:r w:rsidRPr="00111BE5">
        <w:rPr>
          <w:rFonts w:ascii="Arial" w:hAnsi="Arial" w:cs="Arial"/>
          <w:sz w:val="20"/>
          <w:szCs w:val="20"/>
          <w:lang w:val="en-GB"/>
        </w:rPr>
        <w:t xml:space="preserve"> 2006;26:314–319. Available at: NS  -.</w:t>
      </w:r>
    </w:p>
    <w:p w14:paraId="222FA826"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56. Pavelka K, Coste P, Geher P, Krejci G. Efficacy and safety of piascledine 300 versus chondroitin sulfate in a 6 months treatment plus 2 months observation in patients with osteoarthritis of the knee. </w:t>
      </w:r>
      <w:r w:rsidRPr="00111BE5">
        <w:rPr>
          <w:rFonts w:ascii="Arial" w:hAnsi="Arial" w:cs="Arial"/>
          <w:i/>
          <w:iCs/>
          <w:sz w:val="20"/>
          <w:szCs w:val="20"/>
          <w:lang w:val="en-GB"/>
        </w:rPr>
        <w:t>Clin Rheumatol</w:t>
      </w:r>
      <w:r w:rsidRPr="00111BE5">
        <w:rPr>
          <w:rFonts w:ascii="Arial" w:hAnsi="Arial" w:cs="Arial"/>
          <w:sz w:val="20"/>
          <w:szCs w:val="20"/>
          <w:lang w:val="en-GB"/>
        </w:rPr>
        <w:t xml:space="preserve"> 2010;29:659–670. Available at: NS  -.</w:t>
      </w:r>
    </w:p>
    <w:p w14:paraId="1952899B"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57. Pavelka K, Gatterova J, Olejarova M, Machacek S, Giacovelli G, Rovati LC. Glucosamine sulfate use and delay of progression of knee osteoarthritis: a 3-year, randomized, placebo-controlled, double-blind study. </w:t>
      </w:r>
      <w:r w:rsidRPr="00111BE5">
        <w:rPr>
          <w:rFonts w:ascii="Arial" w:hAnsi="Arial" w:cs="Arial"/>
          <w:i/>
          <w:iCs/>
          <w:sz w:val="20"/>
          <w:szCs w:val="20"/>
          <w:lang w:val="en-GB"/>
        </w:rPr>
        <w:t>Arch Intern Med</w:t>
      </w:r>
      <w:r w:rsidRPr="00111BE5">
        <w:rPr>
          <w:rFonts w:ascii="Arial" w:hAnsi="Arial" w:cs="Arial"/>
          <w:sz w:val="20"/>
          <w:szCs w:val="20"/>
          <w:lang w:val="en-GB"/>
        </w:rPr>
        <w:t xml:space="preserve"> 2002;162:2113–2123. Available at: NS  -.</w:t>
      </w:r>
    </w:p>
    <w:p w14:paraId="0E75C3F2"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58. Pelletier J-P, Raynauld J-P, Beaulieu AD, Bessette L, Morin F, Brum-Fernandes AJ de, et al. Chondroitin sulfate efficacy versus celecoxib on knee osteoarthritis structural changes using magnetic resonance imaging: a 2-year multicentre exploratory study. </w:t>
      </w:r>
      <w:r w:rsidRPr="00111BE5">
        <w:rPr>
          <w:rFonts w:ascii="Arial" w:hAnsi="Arial" w:cs="Arial"/>
          <w:i/>
          <w:iCs/>
          <w:sz w:val="20"/>
          <w:szCs w:val="20"/>
          <w:lang w:val="en-GB"/>
        </w:rPr>
        <w:t>Arthritis Res Ther</w:t>
      </w:r>
      <w:r w:rsidRPr="00111BE5">
        <w:rPr>
          <w:rFonts w:ascii="Arial" w:hAnsi="Arial" w:cs="Arial"/>
          <w:sz w:val="20"/>
          <w:szCs w:val="20"/>
          <w:lang w:val="en-GB"/>
        </w:rPr>
        <w:t xml:space="preserve"> 2016;18:256. Available at: NS  -.</w:t>
      </w:r>
    </w:p>
    <w:p w14:paraId="56EADD13" w14:textId="77777777" w:rsidR="00A13521" w:rsidRPr="00111BE5" w:rsidRDefault="00A13521" w:rsidP="00A13521">
      <w:pPr>
        <w:spacing w:line="240" w:lineRule="auto"/>
        <w:rPr>
          <w:rFonts w:ascii="Arial" w:hAnsi="Arial" w:cs="Arial"/>
          <w:sz w:val="20"/>
          <w:szCs w:val="20"/>
          <w:lang w:val="en-GB"/>
        </w:rPr>
      </w:pPr>
      <w:r w:rsidRPr="00252F1D">
        <w:rPr>
          <w:rFonts w:ascii="Arial" w:hAnsi="Arial" w:cs="Arial"/>
          <w:sz w:val="20"/>
          <w:szCs w:val="20"/>
          <w:lang w:val="en-GB"/>
        </w:rPr>
        <w:t xml:space="preserve">59. Petrella RJ, Decaria J, Petrella MJ. </w:t>
      </w:r>
      <w:r w:rsidRPr="00111BE5">
        <w:rPr>
          <w:rFonts w:ascii="Arial" w:hAnsi="Arial" w:cs="Arial"/>
          <w:sz w:val="20"/>
          <w:szCs w:val="20"/>
          <w:lang w:val="en-GB"/>
        </w:rPr>
        <w:t xml:space="preserve">Long term efficacy and safety of a combined low and high molecular weight hyaluronic acid in the treatment of osteoarthritis of the knee. </w:t>
      </w:r>
      <w:r w:rsidRPr="00111BE5">
        <w:rPr>
          <w:rFonts w:ascii="Arial" w:hAnsi="Arial" w:cs="Arial"/>
          <w:i/>
          <w:iCs/>
          <w:sz w:val="20"/>
          <w:szCs w:val="20"/>
          <w:lang w:val="en-GB"/>
        </w:rPr>
        <w:t>Rheumatol Reports</w:t>
      </w:r>
      <w:r w:rsidRPr="00111BE5">
        <w:rPr>
          <w:rFonts w:ascii="Arial" w:hAnsi="Arial" w:cs="Arial"/>
          <w:sz w:val="20"/>
          <w:szCs w:val="20"/>
          <w:lang w:val="en-GB"/>
        </w:rPr>
        <w:t xml:space="preserve"> </w:t>
      </w:r>
      <w:r w:rsidRPr="00111BE5">
        <w:rPr>
          <w:rFonts w:ascii="Arial" w:hAnsi="Arial" w:cs="Arial"/>
          <w:sz w:val="20"/>
          <w:szCs w:val="20"/>
          <w:lang w:val="en-GB"/>
        </w:rPr>
        <w:lastRenderedPageBreak/>
        <w:t>2011;3:16–21. Available at: https://www.scopus.com/inward/record.uri?eid=2-s2.0-79953131424&amp;doi=10.4081%2Frr.2011.e4&amp;partnerID=40&amp;md5=66643df95f941c2c6314980237968ef7 NS  -.</w:t>
      </w:r>
    </w:p>
    <w:p w14:paraId="0B300AA8"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60. Petrella RJ, Emans PJ, Alleyne J, Dellaert F, Gill DP, Maroney M. Safety and performance of Hydros and Hydros-TA for knee osteoarthritis: a prospective, multicenter, randomized, double-blind feasibility trial. </w:t>
      </w:r>
      <w:r w:rsidRPr="00111BE5">
        <w:rPr>
          <w:rFonts w:ascii="Arial" w:hAnsi="Arial" w:cs="Arial"/>
          <w:i/>
          <w:iCs/>
          <w:sz w:val="20"/>
          <w:szCs w:val="20"/>
          <w:lang w:val="en-GB"/>
        </w:rPr>
        <w:t>BMC Musculoskelet Disord</w:t>
      </w:r>
      <w:r w:rsidRPr="00111BE5">
        <w:rPr>
          <w:rFonts w:ascii="Arial" w:hAnsi="Arial" w:cs="Arial"/>
          <w:sz w:val="20"/>
          <w:szCs w:val="20"/>
          <w:lang w:val="en-GB"/>
        </w:rPr>
        <w:t xml:space="preserve"> 2015;16:57. Available at: NS  -.</w:t>
      </w:r>
    </w:p>
    <w:p w14:paraId="4D157FF5"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61. Petterson SC, Plancher KD. Single intra-articular injection of lightly cross-linked hyaluronic acid reduces knee pain in symptomatic knee osteoarthritis: a multicenter, double-blind, randomized, placebo-controlled trial. </w:t>
      </w:r>
      <w:r w:rsidRPr="00111BE5">
        <w:rPr>
          <w:rFonts w:ascii="Arial" w:hAnsi="Arial" w:cs="Arial"/>
          <w:i/>
          <w:iCs/>
          <w:sz w:val="20"/>
          <w:szCs w:val="20"/>
          <w:lang w:val="en-GB"/>
        </w:rPr>
        <w:t>Knee Surg Sports Traumatol Arthrosc</w:t>
      </w:r>
      <w:r w:rsidRPr="00111BE5">
        <w:rPr>
          <w:rFonts w:ascii="Arial" w:hAnsi="Arial" w:cs="Arial"/>
          <w:sz w:val="20"/>
          <w:szCs w:val="20"/>
          <w:lang w:val="en-GB"/>
        </w:rPr>
        <w:t xml:space="preserve"> 2019;27:1992–2002. Available at: http://ovidsp.ovid.com/ovidweb.cgi?T=JS&amp;PAGE=reference&amp;D=medl&amp;NEWS=N&amp;AN=30159738.</w:t>
      </w:r>
    </w:p>
    <w:p w14:paraId="4CDACB4C" w14:textId="77777777" w:rsidR="00A13521" w:rsidRPr="00111BE5" w:rsidRDefault="00A13521" w:rsidP="00A13521">
      <w:pPr>
        <w:spacing w:line="240" w:lineRule="auto"/>
        <w:rPr>
          <w:rFonts w:ascii="Arial" w:hAnsi="Arial" w:cs="Arial"/>
          <w:sz w:val="20"/>
          <w:szCs w:val="20"/>
        </w:rPr>
      </w:pPr>
      <w:r w:rsidRPr="00111BE5">
        <w:rPr>
          <w:rFonts w:ascii="Arial" w:hAnsi="Arial" w:cs="Arial"/>
          <w:sz w:val="20"/>
          <w:szCs w:val="20"/>
          <w:lang w:val="en-GB"/>
        </w:rPr>
        <w:t xml:space="preserve">62. Railhac J-J, Zaim M, Saurel A-S, Vial J, Fournie B. Effect of 12 months treatment with chondroitin sulfate on cartilage volume in knee osteoarthritis patients: a randomized, double-blind, placebo-controlled pilot study using MRI. </w:t>
      </w:r>
      <w:r w:rsidRPr="00111BE5">
        <w:rPr>
          <w:rFonts w:ascii="Arial" w:hAnsi="Arial" w:cs="Arial"/>
          <w:i/>
          <w:iCs/>
          <w:sz w:val="20"/>
          <w:szCs w:val="20"/>
        </w:rPr>
        <w:t>Clin Rheumatol</w:t>
      </w:r>
      <w:r w:rsidRPr="00111BE5">
        <w:rPr>
          <w:rFonts w:ascii="Arial" w:hAnsi="Arial" w:cs="Arial"/>
          <w:sz w:val="20"/>
          <w:szCs w:val="20"/>
        </w:rPr>
        <w:t xml:space="preserve"> 2012;31:1347–1357. Available at: NS  -.</w:t>
      </w:r>
    </w:p>
    <w:p w14:paraId="00B5EEAA"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rPr>
        <w:t xml:space="preserve">63. Ravaud P, Moulinier L, Giraudeau B, Ayral X, Guerin C, Noel E, et al. </w:t>
      </w:r>
      <w:r w:rsidRPr="00111BE5">
        <w:rPr>
          <w:rFonts w:ascii="Arial" w:hAnsi="Arial" w:cs="Arial"/>
          <w:sz w:val="20"/>
          <w:szCs w:val="20"/>
          <w:lang w:val="en-GB"/>
        </w:rPr>
        <w:t xml:space="preserve">Effects of joint lavage and steroid injection in patients with osteoarthritis of the knee: results of a multicenter, randomized, controlled trial. </w:t>
      </w:r>
      <w:r w:rsidRPr="00111BE5">
        <w:rPr>
          <w:rFonts w:ascii="Arial" w:hAnsi="Arial" w:cs="Arial"/>
          <w:i/>
          <w:iCs/>
          <w:sz w:val="20"/>
          <w:szCs w:val="20"/>
          <w:lang w:val="en-GB"/>
        </w:rPr>
        <w:t>Arthritis Rheum</w:t>
      </w:r>
      <w:r w:rsidRPr="00111BE5">
        <w:rPr>
          <w:rFonts w:ascii="Arial" w:hAnsi="Arial" w:cs="Arial"/>
          <w:sz w:val="20"/>
          <w:szCs w:val="20"/>
          <w:lang w:val="en-GB"/>
        </w:rPr>
        <w:t xml:space="preserve"> 1999;42:475–482. Available at: NS  -.</w:t>
      </w:r>
    </w:p>
    <w:p w14:paraId="5E91B13E"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64. Raynauld J-P, Buckland-Wright C, Ward R, Choquette D, Haraoui B, Martel-Pelletier J, et al. Safety and efficacy of long-term intraarticular steroid injections in osteoarthritis of the knee: a randomized, double-blind, placebo-controlled trial. </w:t>
      </w:r>
      <w:r w:rsidRPr="00111BE5">
        <w:rPr>
          <w:rFonts w:ascii="Arial" w:hAnsi="Arial" w:cs="Arial"/>
          <w:i/>
          <w:iCs/>
          <w:sz w:val="20"/>
          <w:szCs w:val="20"/>
          <w:lang w:val="en-GB"/>
        </w:rPr>
        <w:t>Arthritis Rheum</w:t>
      </w:r>
      <w:r w:rsidRPr="00111BE5">
        <w:rPr>
          <w:rFonts w:ascii="Arial" w:hAnsi="Arial" w:cs="Arial"/>
          <w:sz w:val="20"/>
          <w:szCs w:val="20"/>
          <w:lang w:val="en-GB"/>
        </w:rPr>
        <w:t xml:space="preserve"> 2003;48:370–377. Available at: NS  -.</w:t>
      </w:r>
    </w:p>
    <w:p w14:paraId="16498E4A"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65. Raynauld J-P, Martel-Pelletier J, Bias P, Laufer S, Haraoui B, Choquette D, et al. Protective effects of licofelone, a 5-lipoxygenase and cyclo-oxygenase inhibitor, versus naproxen on cartilage loss in knee osteoarthritis: a first multicentre clinical trial using quantitative MRI. </w:t>
      </w:r>
      <w:r w:rsidRPr="00111BE5">
        <w:rPr>
          <w:rFonts w:ascii="Arial" w:hAnsi="Arial" w:cs="Arial"/>
          <w:i/>
          <w:iCs/>
          <w:sz w:val="20"/>
          <w:szCs w:val="20"/>
          <w:lang w:val="en-GB"/>
        </w:rPr>
        <w:t>Ann Rheum Dis</w:t>
      </w:r>
      <w:r w:rsidRPr="00111BE5">
        <w:rPr>
          <w:rFonts w:ascii="Arial" w:hAnsi="Arial" w:cs="Arial"/>
          <w:sz w:val="20"/>
          <w:szCs w:val="20"/>
          <w:lang w:val="en-GB"/>
        </w:rPr>
        <w:t xml:space="preserve"> 2009;68:938–947. Available at: NS  -.</w:t>
      </w:r>
    </w:p>
    <w:p w14:paraId="1EE46801"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66. Reginster JY, Deroisy R, Rovati LC, Lee RL, Lejeune E, Bruyere O, et al. Long-term effects of glucosamine sulphate on osteoarthritis progression: a randomised, placebo-controlled clinical trial. </w:t>
      </w:r>
      <w:r w:rsidRPr="00111BE5">
        <w:rPr>
          <w:rFonts w:ascii="Arial" w:hAnsi="Arial" w:cs="Arial"/>
          <w:i/>
          <w:iCs/>
          <w:sz w:val="20"/>
          <w:szCs w:val="20"/>
          <w:lang w:val="en-GB"/>
        </w:rPr>
        <w:t>Lancet (London, England)</w:t>
      </w:r>
      <w:r w:rsidRPr="00111BE5">
        <w:rPr>
          <w:rFonts w:ascii="Arial" w:hAnsi="Arial" w:cs="Arial"/>
          <w:sz w:val="20"/>
          <w:szCs w:val="20"/>
          <w:lang w:val="en-GB"/>
        </w:rPr>
        <w:t xml:space="preserve"> 2001;357:251–256. Available at: NS  -.</w:t>
      </w:r>
    </w:p>
    <w:p w14:paraId="3B76ADE7"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67. Reginster J-Y, Dudler J, Blicharski T, Pavelka K. Pharmaceutical-grade Chondroitin sulfate is as effective as celecoxib and superior to placebo in symptomatic knee osteoarthritis: the ChONdroitin versus CElecoxib versus Placebo Trial (CONCEPT). </w:t>
      </w:r>
      <w:r w:rsidRPr="00111BE5">
        <w:rPr>
          <w:rFonts w:ascii="Arial" w:hAnsi="Arial" w:cs="Arial"/>
          <w:i/>
          <w:iCs/>
          <w:sz w:val="20"/>
          <w:szCs w:val="20"/>
          <w:lang w:val="en-GB"/>
        </w:rPr>
        <w:t>Ann Rheum Dis</w:t>
      </w:r>
      <w:r w:rsidRPr="00111BE5">
        <w:rPr>
          <w:rFonts w:ascii="Arial" w:hAnsi="Arial" w:cs="Arial"/>
          <w:sz w:val="20"/>
          <w:szCs w:val="20"/>
          <w:lang w:val="en-GB"/>
        </w:rPr>
        <w:t xml:space="preserve"> 2017;76:1537–1543. Available at: NS  -.</w:t>
      </w:r>
    </w:p>
    <w:p w14:paraId="52FA51F4"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68. Roman-Blas JA, Castaneda S, Sanchez-Pernaute O, Largo R, Herrero-Beaumont G, Group CCTS. Combined Treatment With Chondroitin Sulfate and Glucosamine Sulfate Shows No Superiority Over Placebo for Reduction of Joint Pain and Functional Impairment in Patients With Knee Osteoarthritis: A Six-Month Multicenter, Randomized, Double-Blind, Placebo-Co. </w:t>
      </w:r>
      <w:r w:rsidRPr="00111BE5">
        <w:rPr>
          <w:rFonts w:ascii="Arial" w:hAnsi="Arial" w:cs="Arial"/>
          <w:i/>
          <w:iCs/>
          <w:sz w:val="20"/>
          <w:szCs w:val="20"/>
          <w:lang w:val="en-GB"/>
        </w:rPr>
        <w:t>Arthritis Rheumatol (Hoboken, NJ)</w:t>
      </w:r>
      <w:r w:rsidRPr="00111BE5">
        <w:rPr>
          <w:rFonts w:ascii="Arial" w:hAnsi="Arial" w:cs="Arial"/>
          <w:sz w:val="20"/>
          <w:szCs w:val="20"/>
          <w:lang w:val="en-GB"/>
        </w:rPr>
        <w:t xml:space="preserve"> 2017;69:77–85. Available at: NS  -.</w:t>
      </w:r>
    </w:p>
    <w:p w14:paraId="6826F214"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69. Sanghi D, Mishra A, Sharma AC, Singh A, Natu SM, Agarwal S, et al. Does vitamin D improve osteoarthritis of the knee: a randomized controlled pilot trial. </w:t>
      </w:r>
      <w:r w:rsidRPr="00111BE5">
        <w:rPr>
          <w:rFonts w:ascii="Arial" w:hAnsi="Arial" w:cs="Arial"/>
          <w:i/>
          <w:iCs/>
          <w:sz w:val="20"/>
          <w:szCs w:val="20"/>
          <w:lang w:val="en-GB"/>
        </w:rPr>
        <w:t>Clin Orthop Relat Res</w:t>
      </w:r>
      <w:r w:rsidRPr="00111BE5">
        <w:rPr>
          <w:rFonts w:ascii="Arial" w:hAnsi="Arial" w:cs="Arial"/>
          <w:sz w:val="20"/>
          <w:szCs w:val="20"/>
          <w:lang w:val="en-GB"/>
        </w:rPr>
        <w:t xml:space="preserve"> 2013;471:3556–3562. Available at: NS  -.</w:t>
      </w:r>
    </w:p>
    <w:p w14:paraId="3921CD72"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70. Shimizu M, Higuchi H, Takagishi K, Shinozaki T, Kobayashi T. Clinical and biochemical characteristics after intra-articular injection for the treatment of osteoarthritis of the knee: prospective randomized study of sodium hyaluronate and corticosteroid. </w:t>
      </w:r>
      <w:r w:rsidRPr="00111BE5">
        <w:rPr>
          <w:rFonts w:ascii="Arial" w:hAnsi="Arial" w:cs="Arial"/>
          <w:i/>
          <w:iCs/>
          <w:sz w:val="20"/>
          <w:szCs w:val="20"/>
          <w:lang w:val="en-GB"/>
        </w:rPr>
        <w:t>J Orthop Sci</w:t>
      </w:r>
      <w:r w:rsidRPr="00111BE5">
        <w:rPr>
          <w:rFonts w:ascii="Arial" w:hAnsi="Arial" w:cs="Arial"/>
          <w:sz w:val="20"/>
          <w:szCs w:val="20"/>
          <w:lang w:val="en-GB"/>
        </w:rPr>
        <w:t xml:space="preserve"> 2010;15:51–56. Available at: NS  -.</w:t>
      </w:r>
    </w:p>
    <w:p w14:paraId="60D362A2"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71. Siddharth R, Harleen U. A prospective, randomized trial on comparative study of intrarticular hyaluronic acid with corticosteroid injections for the treatment of osteoarthritis of the knee joint. </w:t>
      </w:r>
      <w:r w:rsidRPr="00111BE5">
        <w:rPr>
          <w:rFonts w:ascii="Arial" w:hAnsi="Arial" w:cs="Arial"/>
          <w:i/>
          <w:iCs/>
          <w:sz w:val="20"/>
          <w:szCs w:val="20"/>
          <w:lang w:val="en-GB"/>
        </w:rPr>
        <w:t>Indian J Public Heal Res Dev</w:t>
      </w:r>
      <w:r w:rsidRPr="00111BE5">
        <w:rPr>
          <w:rFonts w:ascii="Arial" w:hAnsi="Arial" w:cs="Arial"/>
          <w:sz w:val="20"/>
          <w:szCs w:val="20"/>
          <w:lang w:val="en-GB"/>
        </w:rPr>
        <w:t xml:space="preserve"> 2017;8:14–18. Available at: https://www.scopus.com/inward/record.uri?eid=2-s2.0-85030842815&amp;doi=10.5958%2F0976-5506.2017.00074.2&amp;partnerID=40&amp;md5=bd7cc28c541bac265db035762b05b66a NS  -.</w:t>
      </w:r>
    </w:p>
    <w:p w14:paraId="287BC0FC"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72. Tammachote N, Kanitnate S, Yakumpor T, Panichkul P. Intra-Articular, Single-Shot Hylan G-F 20 Hyaluronic Acid Injection Compared with Corticosteroid in Knee Osteoarthritis: A Double-Blind, Randomized Controlled Trial. </w:t>
      </w:r>
      <w:r w:rsidRPr="00111BE5">
        <w:rPr>
          <w:rFonts w:ascii="Arial" w:hAnsi="Arial" w:cs="Arial"/>
          <w:i/>
          <w:iCs/>
          <w:sz w:val="20"/>
          <w:szCs w:val="20"/>
          <w:lang w:val="en-GB"/>
        </w:rPr>
        <w:t>J Bone Joint Surg Am</w:t>
      </w:r>
      <w:r w:rsidRPr="00111BE5">
        <w:rPr>
          <w:rFonts w:ascii="Arial" w:hAnsi="Arial" w:cs="Arial"/>
          <w:sz w:val="20"/>
          <w:szCs w:val="20"/>
          <w:lang w:val="en-GB"/>
        </w:rPr>
        <w:t xml:space="preserve"> 2016;98:885–892. Available at: NS  -.</w:t>
      </w:r>
    </w:p>
    <w:p w14:paraId="2EA75F1C"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lastRenderedPageBreak/>
        <w:t xml:space="preserve">73. Tasciotaoglu F, Oner C. Efficacy of intra-articular sodium hyaluronate in the treatment of knee osteoarthritis. </w:t>
      </w:r>
      <w:r w:rsidRPr="00111BE5">
        <w:rPr>
          <w:rFonts w:ascii="Arial" w:hAnsi="Arial" w:cs="Arial"/>
          <w:i/>
          <w:iCs/>
          <w:sz w:val="20"/>
          <w:szCs w:val="20"/>
          <w:lang w:val="en-GB"/>
        </w:rPr>
        <w:t>Clin Rheumatol</w:t>
      </w:r>
      <w:r w:rsidRPr="00111BE5">
        <w:rPr>
          <w:rFonts w:ascii="Arial" w:hAnsi="Arial" w:cs="Arial"/>
          <w:sz w:val="20"/>
          <w:szCs w:val="20"/>
          <w:lang w:val="en-GB"/>
        </w:rPr>
        <w:t xml:space="preserve"> 2003;22:112–117. Available at: NS  -.</w:t>
      </w:r>
    </w:p>
    <w:p w14:paraId="65F88DA9"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74. Uebelhart D, Thonar EJ, Delmas PD, Chantraine A, Vignon E. Effects of oral chondroitin sulfate on the progression of knee osteoarthritis: a pilot study. </w:t>
      </w:r>
      <w:r w:rsidRPr="00111BE5">
        <w:rPr>
          <w:rFonts w:ascii="Arial" w:hAnsi="Arial" w:cs="Arial"/>
          <w:i/>
          <w:iCs/>
          <w:sz w:val="20"/>
          <w:szCs w:val="20"/>
          <w:lang w:val="en-GB"/>
        </w:rPr>
        <w:t>Osteoarthr Cartil</w:t>
      </w:r>
      <w:r w:rsidRPr="00111BE5">
        <w:rPr>
          <w:rFonts w:ascii="Arial" w:hAnsi="Arial" w:cs="Arial"/>
          <w:sz w:val="20"/>
          <w:szCs w:val="20"/>
          <w:lang w:val="en-GB"/>
        </w:rPr>
        <w:t xml:space="preserve"> 1998;6 Suppl A:39–46. Available at: NS  -.</w:t>
      </w:r>
    </w:p>
    <w:p w14:paraId="0B5F7A18"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75. Vaishya R, Pandit R, Agarwal AK, Vijay V. Intra-articular hyaluronic acid is superior to steroids in knee osteoarthritis: A comparative, randomized study. </w:t>
      </w:r>
      <w:r w:rsidRPr="00111BE5">
        <w:rPr>
          <w:rFonts w:ascii="Arial" w:hAnsi="Arial" w:cs="Arial"/>
          <w:i/>
          <w:iCs/>
          <w:sz w:val="20"/>
          <w:szCs w:val="20"/>
          <w:lang w:val="en-GB"/>
        </w:rPr>
        <w:t>J Clin Orthop trauma</w:t>
      </w:r>
      <w:r w:rsidRPr="00111BE5">
        <w:rPr>
          <w:rFonts w:ascii="Arial" w:hAnsi="Arial" w:cs="Arial"/>
          <w:sz w:val="20"/>
          <w:szCs w:val="20"/>
          <w:lang w:val="en-GB"/>
        </w:rPr>
        <w:t xml:space="preserve"> 2017;8:85–88. Available at: NS  -.</w:t>
      </w:r>
    </w:p>
    <w:p w14:paraId="68DB9B32"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76. Weegen W van der, Wullems JA, Bos E, Noten H, Drumpt RAM van. No difference between intra-articular injection of hyaluronic acid and placebo for mild to moderate knee osteoarthritis: a randomized, controlled, double-blind trial. </w:t>
      </w:r>
      <w:r w:rsidRPr="00111BE5">
        <w:rPr>
          <w:rFonts w:ascii="Arial" w:hAnsi="Arial" w:cs="Arial"/>
          <w:i/>
          <w:iCs/>
          <w:sz w:val="20"/>
          <w:szCs w:val="20"/>
          <w:lang w:val="en-GB"/>
        </w:rPr>
        <w:t>J Arthroplasty</w:t>
      </w:r>
      <w:r w:rsidRPr="00111BE5">
        <w:rPr>
          <w:rFonts w:ascii="Arial" w:hAnsi="Arial" w:cs="Arial"/>
          <w:sz w:val="20"/>
          <w:szCs w:val="20"/>
          <w:lang w:val="en-GB"/>
        </w:rPr>
        <w:t xml:space="preserve"> 2015;30:754–757. Available at: NS  -.</w:t>
      </w:r>
    </w:p>
    <w:p w14:paraId="4BDDBB02" w14:textId="77777777" w:rsidR="00A13521" w:rsidRPr="00111BE5" w:rsidRDefault="00A13521" w:rsidP="00A13521">
      <w:pPr>
        <w:spacing w:line="240" w:lineRule="auto"/>
        <w:rPr>
          <w:rFonts w:ascii="Arial" w:hAnsi="Arial" w:cs="Arial"/>
          <w:sz w:val="20"/>
          <w:szCs w:val="20"/>
          <w:lang w:val="en-GB"/>
        </w:rPr>
      </w:pPr>
      <w:r w:rsidRPr="008C4C2C">
        <w:rPr>
          <w:rFonts w:ascii="Arial" w:hAnsi="Arial" w:cs="Arial"/>
          <w:sz w:val="20"/>
          <w:szCs w:val="20"/>
          <w:lang w:val="en-GB"/>
        </w:rPr>
        <w:t xml:space="preserve">77. Wildi LM, Raynauld J-P, Martel-Pelletier J, Beaulieu A, Bessette L, Morin F, et al. </w:t>
      </w:r>
      <w:r w:rsidRPr="00111BE5">
        <w:rPr>
          <w:rFonts w:ascii="Arial" w:hAnsi="Arial" w:cs="Arial"/>
          <w:sz w:val="20"/>
          <w:szCs w:val="20"/>
          <w:lang w:val="en-GB"/>
        </w:rPr>
        <w:t xml:space="preserve">Chondroitin sulphate reduces both cartilage volume loss and bone marrow lesions in knee osteoarthritis patients starting as early as 6 months after initiation of therapy: a randomised, double-blind, placebo-controlled pilot study using MRI. </w:t>
      </w:r>
      <w:r w:rsidRPr="00111BE5">
        <w:rPr>
          <w:rFonts w:ascii="Arial" w:hAnsi="Arial" w:cs="Arial"/>
          <w:i/>
          <w:iCs/>
          <w:sz w:val="20"/>
          <w:szCs w:val="20"/>
          <w:lang w:val="en-GB"/>
        </w:rPr>
        <w:t>Ann Rheum Dis</w:t>
      </w:r>
      <w:r w:rsidRPr="00111BE5">
        <w:rPr>
          <w:rFonts w:ascii="Arial" w:hAnsi="Arial" w:cs="Arial"/>
          <w:sz w:val="20"/>
          <w:szCs w:val="20"/>
          <w:lang w:val="en-GB"/>
        </w:rPr>
        <w:t xml:space="preserve"> 2011;70:982–989. Available at: NS  -.</w:t>
      </w:r>
    </w:p>
    <w:p w14:paraId="145C2082"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78. Williams HJ, Ward JR, Egger MJ, Neuner R, Brooks RH, Clegg DO, et al. Comparison of naproxen and acetaminophen in a two-year study of treatment of osteoarthritis of the knee. </w:t>
      </w:r>
      <w:r w:rsidRPr="00111BE5">
        <w:rPr>
          <w:rFonts w:ascii="Arial" w:hAnsi="Arial" w:cs="Arial"/>
          <w:i/>
          <w:iCs/>
          <w:sz w:val="20"/>
          <w:szCs w:val="20"/>
          <w:lang w:val="en-GB"/>
        </w:rPr>
        <w:t>Arthritis Rheum</w:t>
      </w:r>
      <w:r w:rsidRPr="00111BE5">
        <w:rPr>
          <w:rFonts w:ascii="Arial" w:hAnsi="Arial" w:cs="Arial"/>
          <w:sz w:val="20"/>
          <w:szCs w:val="20"/>
          <w:lang w:val="en-GB"/>
        </w:rPr>
        <w:t xml:space="preserve"> 1993;36:1196–1206. Available at: NS  -.</w:t>
      </w:r>
    </w:p>
    <w:p w14:paraId="2D57DA78"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79. Wluka AE, Stuckey S, Brand C, Cicuttini FM. Supplementary vitamin E does not affect the loss of cartilage volume in knee osteoarthritis: a 2 year double blind randomized placebo controlled study. </w:t>
      </w:r>
      <w:r w:rsidRPr="00111BE5">
        <w:rPr>
          <w:rFonts w:ascii="Arial" w:hAnsi="Arial" w:cs="Arial"/>
          <w:i/>
          <w:iCs/>
          <w:sz w:val="20"/>
          <w:szCs w:val="20"/>
          <w:lang w:val="en-GB"/>
        </w:rPr>
        <w:t>J Rheumatol</w:t>
      </w:r>
      <w:r w:rsidRPr="00111BE5">
        <w:rPr>
          <w:rFonts w:ascii="Arial" w:hAnsi="Arial" w:cs="Arial"/>
          <w:sz w:val="20"/>
          <w:szCs w:val="20"/>
          <w:lang w:val="en-GB"/>
        </w:rPr>
        <w:t xml:space="preserve"> 2002;29:2585–2591. Available at: NS  -.</w:t>
      </w:r>
    </w:p>
    <w:p w14:paraId="1E64ECC3"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t xml:space="preserve">80. Wobig M, Dickhut A, Maier R, Vetter G. Viscosupplementation with hylan G-F 20: a 26-week controlled trial of efficacy and safety in the osteoarthritic knee. </w:t>
      </w:r>
      <w:r w:rsidRPr="00111BE5">
        <w:rPr>
          <w:rFonts w:ascii="Arial" w:hAnsi="Arial" w:cs="Arial"/>
          <w:i/>
          <w:iCs/>
          <w:sz w:val="20"/>
          <w:szCs w:val="20"/>
          <w:lang w:val="en-GB"/>
        </w:rPr>
        <w:t>Clin Ther</w:t>
      </w:r>
      <w:r w:rsidRPr="00111BE5">
        <w:rPr>
          <w:rFonts w:ascii="Arial" w:hAnsi="Arial" w:cs="Arial"/>
          <w:sz w:val="20"/>
          <w:szCs w:val="20"/>
          <w:lang w:val="en-GB"/>
        </w:rPr>
        <w:t xml:space="preserve"> 1998;20:410–423. Available at: NS  -.</w:t>
      </w:r>
    </w:p>
    <w:p w14:paraId="20DBAD0A" w14:textId="77777777" w:rsidR="00A13521" w:rsidRPr="00111BE5" w:rsidRDefault="00A13521" w:rsidP="00A13521">
      <w:pPr>
        <w:spacing w:line="240" w:lineRule="auto"/>
        <w:rPr>
          <w:rFonts w:ascii="Arial" w:hAnsi="Arial" w:cs="Arial"/>
          <w:sz w:val="20"/>
          <w:szCs w:val="20"/>
          <w:lang w:val="en-GB"/>
        </w:rPr>
      </w:pPr>
      <w:r w:rsidRPr="00111BE5">
        <w:rPr>
          <w:rFonts w:ascii="Arial" w:hAnsi="Arial" w:cs="Arial"/>
          <w:sz w:val="20"/>
          <w:szCs w:val="20"/>
          <w:lang w:val="en-GB"/>
        </w:rPr>
        <w:fldChar w:fldCharType="end"/>
      </w:r>
    </w:p>
    <w:p w14:paraId="589CA08D" w14:textId="223E51A1" w:rsidR="00A13521" w:rsidRPr="000B369D" w:rsidRDefault="00A13521" w:rsidP="00111BE5">
      <w:pPr>
        <w:spacing w:line="240" w:lineRule="auto"/>
        <w:rPr>
          <w:rFonts w:ascii="Arial" w:hAnsi="Arial" w:cs="Arial"/>
          <w:sz w:val="20"/>
          <w:szCs w:val="20"/>
          <w:lang w:val="en-GB"/>
        </w:rPr>
      </w:pPr>
    </w:p>
    <w:sectPr w:rsidR="00A13521" w:rsidRPr="000B369D" w:rsidSect="00A1352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C5AC9D" w14:textId="77777777" w:rsidR="004E4406" w:rsidRDefault="004E4406" w:rsidP="0016068E">
      <w:pPr>
        <w:spacing w:after="0" w:line="240" w:lineRule="auto"/>
      </w:pPr>
      <w:r>
        <w:separator/>
      </w:r>
    </w:p>
  </w:endnote>
  <w:endnote w:type="continuationSeparator" w:id="0">
    <w:p w14:paraId="7DF20DC0" w14:textId="77777777" w:rsidR="004E4406" w:rsidRDefault="004E4406" w:rsidP="00160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2364759"/>
      <w:docPartObj>
        <w:docPartGallery w:val="Page Numbers (Bottom of Page)"/>
        <w:docPartUnique/>
      </w:docPartObj>
    </w:sdtPr>
    <w:sdtEndPr/>
    <w:sdtContent>
      <w:p w14:paraId="5B458374" w14:textId="2E6AE89E" w:rsidR="009C386E" w:rsidRDefault="009C386E">
        <w:pPr>
          <w:pStyle w:val="Pieddepage"/>
          <w:jc w:val="right"/>
        </w:pPr>
        <w:r>
          <w:fldChar w:fldCharType="begin"/>
        </w:r>
        <w:r>
          <w:instrText>PAGE   \* MERGEFORMAT</w:instrText>
        </w:r>
        <w:r>
          <w:fldChar w:fldCharType="separate"/>
        </w:r>
        <w:r>
          <w:rPr>
            <w:lang w:val="fr-FR"/>
          </w:rPr>
          <w:t>2</w:t>
        </w:r>
        <w:r>
          <w:fldChar w:fldCharType="end"/>
        </w:r>
      </w:p>
    </w:sdtContent>
  </w:sdt>
  <w:p w14:paraId="3E411C51" w14:textId="77777777" w:rsidR="009C386E" w:rsidRDefault="009C386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0AC735" w14:textId="77777777" w:rsidR="004E4406" w:rsidRDefault="004E4406" w:rsidP="0016068E">
      <w:pPr>
        <w:spacing w:after="0" w:line="240" w:lineRule="auto"/>
      </w:pPr>
      <w:r>
        <w:separator/>
      </w:r>
    </w:p>
  </w:footnote>
  <w:footnote w:type="continuationSeparator" w:id="0">
    <w:p w14:paraId="62966989" w14:textId="77777777" w:rsidR="004E4406" w:rsidRDefault="004E4406" w:rsidP="001606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EC2994"/>
    <w:multiLevelType w:val="hybridMultilevel"/>
    <w:tmpl w:val="BA1A28E6"/>
    <w:lvl w:ilvl="0" w:tplc="4DBEE1D8">
      <w:start w:val="142"/>
      <w:numFmt w:val="bullet"/>
      <w:lvlText w:val=""/>
      <w:lvlJc w:val="left"/>
      <w:pPr>
        <w:ind w:left="720" w:hanging="360"/>
      </w:pPr>
      <w:rPr>
        <w:rFonts w:ascii="Wingdings" w:eastAsia="Arial Unicode MS" w:hAnsi="Wingdings" w:cs="Arial Unicode M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68E"/>
    <w:rsid w:val="00026BB6"/>
    <w:rsid w:val="000B0D10"/>
    <w:rsid w:val="000B369D"/>
    <w:rsid w:val="000B4D26"/>
    <w:rsid w:val="00111BE5"/>
    <w:rsid w:val="001454A4"/>
    <w:rsid w:val="0016068E"/>
    <w:rsid w:val="001679A7"/>
    <w:rsid w:val="001C6372"/>
    <w:rsid w:val="00252F1D"/>
    <w:rsid w:val="00307AFD"/>
    <w:rsid w:val="003F2AD9"/>
    <w:rsid w:val="0042706E"/>
    <w:rsid w:val="00440B91"/>
    <w:rsid w:val="004A4B2E"/>
    <w:rsid w:val="004E4406"/>
    <w:rsid w:val="005161F9"/>
    <w:rsid w:val="00582B19"/>
    <w:rsid w:val="00636B4D"/>
    <w:rsid w:val="00677FDA"/>
    <w:rsid w:val="00707017"/>
    <w:rsid w:val="00712121"/>
    <w:rsid w:val="00731191"/>
    <w:rsid w:val="00750D07"/>
    <w:rsid w:val="0084671B"/>
    <w:rsid w:val="008C4C2C"/>
    <w:rsid w:val="008F23FB"/>
    <w:rsid w:val="008F7663"/>
    <w:rsid w:val="009C386E"/>
    <w:rsid w:val="009E1250"/>
    <w:rsid w:val="00A06804"/>
    <w:rsid w:val="00A126D0"/>
    <w:rsid w:val="00A13521"/>
    <w:rsid w:val="00A7298B"/>
    <w:rsid w:val="00AC4BD1"/>
    <w:rsid w:val="00BE0B18"/>
    <w:rsid w:val="00C265B5"/>
    <w:rsid w:val="00D8151D"/>
    <w:rsid w:val="00DE7DCE"/>
    <w:rsid w:val="00DF22B7"/>
    <w:rsid w:val="00E502F9"/>
    <w:rsid w:val="00E57023"/>
    <w:rsid w:val="00EF0B66"/>
    <w:rsid w:val="00F20D3D"/>
    <w:rsid w:val="00F476B0"/>
    <w:rsid w:val="00FA506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8FA18"/>
  <w15:chartTrackingRefBased/>
  <w15:docId w15:val="{E92D7289-900D-40E1-93CF-A084D98EB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6068E"/>
    <w:pPr>
      <w:widowControl w:val="0"/>
      <w:autoSpaceDE w:val="0"/>
      <w:autoSpaceDN w:val="0"/>
      <w:adjustRightInd w:val="0"/>
      <w:spacing w:after="0" w:line="240" w:lineRule="auto"/>
    </w:pPr>
    <w:rPr>
      <w:rFonts w:ascii="Calibri" w:eastAsia="Times New Roman" w:hAnsi="Calibri" w:cs="Calibri"/>
      <w:color w:val="000000"/>
      <w:sz w:val="24"/>
      <w:szCs w:val="24"/>
      <w:lang w:val="en-US" w:eastAsia="en-CA"/>
    </w:rPr>
  </w:style>
  <w:style w:type="paragraph" w:styleId="En-tte">
    <w:name w:val="header"/>
    <w:basedOn w:val="Normal"/>
    <w:link w:val="En-tteCar"/>
    <w:uiPriority w:val="99"/>
    <w:unhideWhenUsed/>
    <w:rsid w:val="0016068E"/>
    <w:pPr>
      <w:tabs>
        <w:tab w:val="center" w:pos="4536"/>
        <w:tab w:val="right" w:pos="9072"/>
      </w:tabs>
      <w:spacing w:after="0" w:line="240" w:lineRule="auto"/>
    </w:pPr>
  </w:style>
  <w:style w:type="character" w:customStyle="1" w:styleId="En-tteCar">
    <w:name w:val="En-tête Car"/>
    <w:basedOn w:val="Policepardfaut"/>
    <w:link w:val="En-tte"/>
    <w:uiPriority w:val="99"/>
    <w:rsid w:val="0016068E"/>
  </w:style>
  <w:style w:type="paragraph" w:styleId="Pieddepage">
    <w:name w:val="footer"/>
    <w:basedOn w:val="Normal"/>
    <w:link w:val="PieddepageCar"/>
    <w:uiPriority w:val="99"/>
    <w:unhideWhenUsed/>
    <w:rsid w:val="001606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068E"/>
  </w:style>
  <w:style w:type="character" w:customStyle="1" w:styleId="txtsmaller">
    <w:name w:val="txtsmaller"/>
    <w:rsid w:val="0016068E"/>
  </w:style>
  <w:style w:type="character" w:customStyle="1" w:styleId="txtsmallerbold">
    <w:name w:val="txtsmallerbold"/>
    <w:rsid w:val="0016068E"/>
  </w:style>
  <w:style w:type="character" w:styleId="Marquedecommentaire">
    <w:name w:val="annotation reference"/>
    <w:uiPriority w:val="99"/>
    <w:unhideWhenUsed/>
    <w:rsid w:val="0016068E"/>
    <w:rPr>
      <w:sz w:val="16"/>
      <w:szCs w:val="16"/>
    </w:rPr>
  </w:style>
  <w:style w:type="paragraph" w:styleId="Commentaire">
    <w:name w:val="annotation text"/>
    <w:basedOn w:val="Normal"/>
    <w:link w:val="CommentaireCar"/>
    <w:uiPriority w:val="99"/>
    <w:unhideWhenUsed/>
    <w:rsid w:val="0016068E"/>
    <w:pPr>
      <w:spacing w:line="240" w:lineRule="auto"/>
    </w:pPr>
    <w:rPr>
      <w:rFonts w:ascii="Calibri" w:eastAsia="Calibri" w:hAnsi="Calibri" w:cs="Times New Roman"/>
      <w:sz w:val="20"/>
      <w:szCs w:val="20"/>
      <w:lang w:val="en-GB"/>
    </w:rPr>
  </w:style>
  <w:style w:type="character" w:customStyle="1" w:styleId="CommentaireCar">
    <w:name w:val="Commentaire Car"/>
    <w:basedOn w:val="Policepardfaut"/>
    <w:link w:val="Commentaire"/>
    <w:uiPriority w:val="99"/>
    <w:rsid w:val="0016068E"/>
    <w:rPr>
      <w:rFonts w:ascii="Calibri" w:eastAsia="Calibri" w:hAnsi="Calibri" w:cs="Times New Roman"/>
      <w:sz w:val="20"/>
      <w:szCs w:val="20"/>
      <w:lang w:val="en-GB"/>
    </w:rPr>
  </w:style>
  <w:style w:type="paragraph" w:styleId="Textedebulles">
    <w:name w:val="Balloon Text"/>
    <w:basedOn w:val="Normal"/>
    <w:link w:val="TextedebullesCar"/>
    <w:uiPriority w:val="99"/>
    <w:rsid w:val="0016068E"/>
    <w:pPr>
      <w:spacing w:after="0" w:line="240" w:lineRule="auto"/>
    </w:pPr>
    <w:rPr>
      <w:rFonts w:ascii="Segoe UI" w:eastAsia="Times New Roman" w:hAnsi="Segoe UI" w:cs="Segoe UI"/>
      <w:sz w:val="18"/>
      <w:szCs w:val="18"/>
      <w:lang w:val="en-US"/>
    </w:rPr>
  </w:style>
  <w:style w:type="character" w:customStyle="1" w:styleId="TextedebullesCar">
    <w:name w:val="Texte de bulles Car"/>
    <w:basedOn w:val="Policepardfaut"/>
    <w:link w:val="Textedebulles"/>
    <w:uiPriority w:val="99"/>
    <w:rsid w:val="0016068E"/>
    <w:rPr>
      <w:rFonts w:ascii="Segoe UI" w:eastAsia="Times New Roman" w:hAnsi="Segoe UI" w:cs="Segoe UI"/>
      <w:sz w:val="18"/>
      <w:szCs w:val="18"/>
      <w:lang w:val="en-US"/>
    </w:rPr>
  </w:style>
  <w:style w:type="table" w:styleId="Grilledutableau">
    <w:name w:val="Table Grid"/>
    <w:basedOn w:val="TableauNormal"/>
    <w:uiPriority w:val="39"/>
    <w:rsid w:val="00160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582B19"/>
    <w:rPr>
      <w:color w:val="0563C1"/>
      <w:u w:val="single"/>
    </w:rPr>
  </w:style>
  <w:style w:type="character" w:styleId="Lienhypertextesuivivisit">
    <w:name w:val="FollowedHyperlink"/>
    <w:basedOn w:val="Policepardfaut"/>
    <w:uiPriority w:val="99"/>
    <w:semiHidden/>
    <w:unhideWhenUsed/>
    <w:rsid w:val="00582B19"/>
    <w:rPr>
      <w:color w:val="954F72"/>
      <w:u w:val="single"/>
    </w:rPr>
  </w:style>
  <w:style w:type="paragraph" w:customStyle="1" w:styleId="msonormal0">
    <w:name w:val="msonormal"/>
    <w:basedOn w:val="Normal"/>
    <w:rsid w:val="00582B19"/>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font5">
    <w:name w:val="font5"/>
    <w:basedOn w:val="Normal"/>
    <w:rsid w:val="00582B19"/>
    <w:pPr>
      <w:spacing w:before="100" w:beforeAutospacing="1" w:after="100" w:afterAutospacing="1" w:line="240" w:lineRule="auto"/>
    </w:pPr>
    <w:rPr>
      <w:rFonts w:ascii="Arial" w:eastAsia="Times New Roman" w:hAnsi="Arial" w:cs="Arial"/>
      <w:color w:val="2A2A2A"/>
      <w:sz w:val="24"/>
      <w:szCs w:val="24"/>
      <w:lang w:eastAsia="fr-BE"/>
    </w:rPr>
  </w:style>
  <w:style w:type="paragraph" w:customStyle="1" w:styleId="font6">
    <w:name w:val="font6"/>
    <w:basedOn w:val="Normal"/>
    <w:rsid w:val="00582B19"/>
    <w:pPr>
      <w:spacing w:before="100" w:beforeAutospacing="1" w:after="100" w:afterAutospacing="1" w:line="240" w:lineRule="auto"/>
    </w:pPr>
    <w:rPr>
      <w:rFonts w:ascii="Arial" w:eastAsia="Times New Roman" w:hAnsi="Arial" w:cs="Arial"/>
      <w:color w:val="374D35"/>
      <w:sz w:val="24"/>
      <w:szCs w:val="24"/>
      <w:lang w:eastAsia="fr-BE"/>
    </w:rPr>
  </w:style>
  <w:style w:type="paragraph" w:customStyle="1" w:styleId="xl63">
    <w:name w:val="xl63"/>
    <w:basedOn w:val="Normal"/>
    <w:rsid w:val="00582B19"/>
    <w:pPr>
      <w:spacing w:before="100" w:beforeAutospacing="1" w:after="100" w:afterAutospacing="1" w:line="240" w:lineRule="auto"/>
    </w:pPr>
    <w:rPr>
      <w:rFonts w:ascii="Times New Roman" w:eastAsia="Times New Roman" w:hAnsi="Times New Roman" w:cs="Times New Roman"/>
      <w:sz w:val="24"/>
      <w:szCs w:val="24"/>
      <w:lang w:eastAsia="fr-BE"/>
    </w:rPr>
  </w:style>
  <w:style w:type="table" w:styleId="Tableausimple1">
    <w:name w:val="Plain Table 1"/>
    <w:basedOn w:val="TableauNormal"/>
    <w:uiPriority w:val="41"/>
    <w:rsid w:val="00582B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Grille2-Accentuation3">
    <w:name w:val="Grid Table 2 Accent 3"/>
    <w:basedOn w:val="TableauNormal"/>
    <w:uiPriority w:val="47"/>
    <w:rsid w:val="00582B1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Objetducommentaire">
    <w:name w:val="annotation subject"/>
    <w:basedOn w:val="Commentaire"/>
    <w:next w:val="Commentaire"/>
    <w:link w:val="ObjetducommentaireCar"/>
    <w:uiPriority w:val="99"/>
    <w:semiHidden/>
    <w:unhideWhenUsed/>
    <w:rsid w:val="00DE7DCE"/>
    <w:rPr>
      <w:rFonts w:asciiTheme="minorHAnsi" w:eastAsiaTheme="minorHAnsi" w:hAnsiTheme="minorHAnsi" w:cstheme="minorBidi"/>
      <w:b/>
      <w:bCs/>
      <w:lang w:val="fr-BE"/>
    </w:rPr>
  </w:style>
  <w:style w:type="character" w:customStyle="1" w:styleId="ObjetducommentaireCar">
    <w:name w:val="Objet du commentaire Car"/>
    <w:basedOn w:val="CommentaireCar"/>
    <w:link w:val="Objetducommentaire"/>
    <w:uiPriority w:val="99"/>
    <w:semiHidden/>
    <w:rsid w:val="00DE7DCE"/>
    <w:rPr>
      <w:rFonts w:ascii="Calibri" w:eastAsia="Calibri" w:hAnsi="Calibri"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beaudart@uliege.be"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hyperlink" Target="https://www.ncbi.nlm.nih.gov/pubmed/?term=Uebelhart%20D%5BAuthor%5D&amp;cauthor=true&amp;cauthor_uid=1049834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71</Pages>
  <Words>23758</Words>
  <Characters>130670</Characters>
  <Application>Microsoft Office Word</Application>
  <DocSecurity>0</DocSecurity>
  <Lines>1088</Lines>
  <Paragraphs>308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Beaudart</dc:creator>
  <cp:keywords/>
  <dc:description/>
  <cp:lastModifiedBy>Charlotte Beaudart</cp:lastModifiedBy>
  <cp:revision>24</cp:revision>
  <dcterms:created xsi:type="dcterms:W3CDTF">2020-06-18T08:32:00Z</dcterms:created>
  <dcterms:modified xsi:type="dcterms:W3CDTF">2020-09-30T14:02:00Z</dcterms:modified>
</cp:coreProperties>
</file>