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11D" w:rsidRPr="00EE4EC3" w:rsidRDefault="00F8511D" w:rsidP="00F8511D">
      <w:pPr>
        <w:spacing w:after="0" w:line="240" w:lineRule="auto"/>
        <w:jc w:val="center"/>
        <w:rPr>
          <w:b/>
          <w:sz w:val="24"/>
          <w:szCs w:val="24"/>
        </w:rPr>
      </w:pPr>
      <w:r w:rsidRPr="00EE4EC3">
        <w:rPr>
          <w:b/>
          <w:sz w:val="24"/>
          <w:szCs w:val="24"/>
        </w:rPr>
        <w:t>Electronic Supplementary Material</w:t>
      </w:r>
    </w:p>
    <w:p w:rsidR="00F8511D" w:rsidRPr="00EE4EC3" w:rsidRDefault="00F8511D" w:rsidP="00F8511D">
      <w:pPr>
        <w:spacing w:after="0" w:line="240" w:lineRule="auto"/>
        <w:rPr>
          <w:b/>
          <w:i/>
          <w:sz w:val="28"/>
          <w:szCs w:val="28"/>
        </w:rPr>
      </w:pPr>
    </w:p>
    <w:p w:rsidR="00F8511D" w:rsidRPr="00EE4EC3" w:rsidRDefault="00F8511D" w:rsidP="00F8511D">
      <w:pPr>
        <w:spacing w:after="0" w:line="240" w:lineRule="auto"/>
        <w:rPr>
          <w:b/>
          <w:i/>
          <w:sz w:val="28"/>
          <w:szCs w:val="28"/>
        </w:rPr>
      </w:pPr>
      <w:r w:rsidRPr="00EE4EC3">
        <w:rPr>
          <w:b/>
          <w:i/>
          <w:sz w:val="28"/>
          <w:szCs w:val="28"/>
        </w:rPr>
        <w:t>Drugs &amp; Aging</w:t>
      </w:r>
    </w:p>
    <w:p w:rsidR="00F8511D" w:rsidRDefault="00F8511D" w:rsidP="00F8511D">
      <w:pPr>
        <w:spacing w:after="0" w:line="240" w:lineRule="auto"/>
      </w:pPr>
    </w:p>
    <w:p w:rsidR="00F8511D" w:rsidRPr="00EE4EC3" w:rsidRDefault="00F8511D" w:rsidP="00F8511D">
      <w:pPr>
        <w:spacing w:after="0" w:line="240" w:lineRule="auto"/>
        <w:rPr>
          <w:b/>
          <w:sz w:val="24"/>
          <w:szCs w:val="24"/>
        </w:rPr>
      </w:pPr>
      <w:r w:rsidRPr="00EE4EC3">
        <w:rPr>
          <w:b/>
          <w:sz w:val="24"/>
          <w:szCs w:val="24"/>
        </w:rPr>
        <w:t>Clustering of ABCB1 and CYP2C19 genetic variants predicts risk of major bleeding and thrombotic events in</w:t>
      </w:r>
      <w:r>
        <w:rPr>
          <w:b/>
          <w:sz w:val="24"/>
          <w:szCs w:val="24"/>
        </w:rPr>
        <w:t xml:space="preserve"> </w:t>
      </w:r>
      <w:r w:rsidRPr="00EE4EC3">
        <w:rPr>
          <w:b/>
          <w:sz w:val="24"/>
          <w:szCs w:val="24"/>
        </w:rPr>
        <w:t>elderly patients with acute coronary syndrome receiving dual antiplatelet therapy with aspirin and clopidogrel</w:t>
      </w:r>
    </w:p>
    <w:p w:rsidR="00F8511D" w:rsidRDefault="00F8511D" w:rsidP="00F8511D">
      <w:pPr>
        <w:spacing w:after="0" w:line="240" w:lineRule="auto"/>
      </w:pPr>
      <w:r>
        <w:t>Roberta Galeazzi*, Fabiola Olivieri*, Liana Spazzafumo*, Giuseppina Rose, Alberto Montesanto, Simona</w:t>
      </w:r>
    </w:p>
    <w:p w:rsidR="00F8511D" w:rsidRDefault="00F8511D" w:rsidP="00F8511D">
      <w:pPr>
        <w:spacing w:after="0" w:line="240" w:lineRule="auto"/>
      </w:pPr>
      <w:r>
        <w:t>Giovagnetti, Sara Cecchini, Gelsomina Malatesta, Raffaele Di Pillo and Roberto Antonicelli</w:t>
      </w:r>
    </w:p>
    <w:p w:rsidR="00F8511D" w:rsidRDefault="00F8511D" w:rsidP="00F8511D">
      <w:pPr>
        <w:spacing w:after="0" w:line="240" w:lineRule="auto"/>
      </w:pPr>
      <w:r>
        <w:t>*These authors contributed equally</w:t>
      </w:r>
      <w:bookmarkStart w:id="0" w:name="_GoBack"/>
      <w:bookmarkEnd w:id="0"/>
    </w:p>
    <w:p w:rsidR="00F8511D" w:rsidRDefault="00F8511D" w:rsidP="00F8511D">
      <w:pPr>
        <w:spacing w:after="0" w:line="240" w:lineRule="auto"/>
      </w:pPr>
    </w:p>
    <w:p w:rsidR="00F8511D" w:rsidRDefault="00F8511D" w:rsidP="00F8511D">
      <w:pPr>
        <w:spacing w:after="0" w:line="240" w:lineRule="auto"/>
      </w:pPr>
      <w:r>
        <w:t>Corresponding author:</w:t>
      </w:r>
    </w:p>
    <w:p w:rsidR="00F8511D" w:rsidRDefault="00F8511D" w:rsidP="00F8511D">
      <w:pPr>
        <w:spacing w:after="0" w:line="240" w:lineRule="auto"/>
      </w:pPr>
      <w:r>
        <w:t>Gelsomina Malatesta, M.D,</w:t>
      </w:r>
    </w:p>
    <w:p w:rsidR="00F8511D" w:rsidRDefault="00F8511D" w:rsidP="00F8511D">
      <w:pPr>
        <w:spacing w:after="0" w:line="240" w:lineRule="auto"/>
      </w:pPr>
      <w:r>
        <w:t xml:space="preserve">Cardiology Unit, INRCA National Institute, Ancona, Via della Montagnola 81 - 64125 Ancona, Italy. </w:t>
      </w:r>
    </w:p>
    <w:p w:rsidR="00DD1B11" w:rsidRDefault="00F8511D" w:rsidP="00F8511D">
      <w:r>
        <w:t xml:space="preserve">Ph: +39 071 8003202, Fax: +39 071 8003203; e-mail: </w:t>
      </w:r>
      <w:hyperlink r:id="rId5" w:history="1">
        <w:r w:rsidRPr="00B82FCB">
          <w:rPr>
            <w:rStyle w:val="Hyperlink"/>
          </w:rPr>
          <w:t>g.malaesta@inrca.it</w:t>
        </w:r>
      </w:hyperlink>
    </w:p>
    <w:p w:rsidR="00F8511D" w:rsidRDefault="00F8511D"/>
    <w:tbl>
      <w:tblPr>
        <w:tblW w:w="10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2540"/>
        <w:gridCol w:w="2540"/>
        <w:gridCol w:w="3200"/>
      </w:tblGrid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b/>
                <w:bCs/>
                <w:color w:val="000000"/>
              </w:rPr>
              <w:t>CYP2C19681GA2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b/>
                <w:bCs/>
                <w:color w:val="000000"/>
              </w:rPr>
              <w:t>CYP2C19806CT17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b/>
                <w:bCs/>
                <w:color w:val="000000"/>
              </w:rPr>
              <w:t>ABCB13435CT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Phenotype metabolizer status 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*17/*17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*17/*17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*2/*2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*17/*17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*2/*2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*2/*2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*17/*17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*17/*17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*2/*2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*17/*17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*2/*2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*17/*17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*17/*17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lastRenderedPageBreak/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*2/*2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*17/*17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*17/*17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*2/*2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*17/*17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*2/*2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*17/*17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*2/*2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*17/*17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*2/*2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*17/*17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*2/*2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*17/*17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lastRenderedPageBreak/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*17/*17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*2/*2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*1/*17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ultra rapid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*2/*2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T/T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poor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  <w:tr w:rsidR="00F8511D" w:rsidRPr="00CE4E36" w:rsidTr="009101ED">
        <w:trPr>
          <w:trHeight w:val="300"/>
          <w:jc w:val="center"/>
        </w:trPr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*1/*1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C/C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F8511D" w:rsidRPr="00CE4E36" w:rsidRDefault="00F8511D" w:rsidP="00910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E4E36">
              <w:rPr>
                <w:rFonts w:ascii="Calibri" w:eastAsia="Times New Roman" w:hAnsi="Calibri" w:cs="Times New Roman"/>
                <w:color w:val="000000"/>
              </w:rPr>
              <w:t>extensive</w:t>
            </w:r>
          </w:p>
        </w:tc>
      </w:tr>
    </w:tbl>
    <w:p w:rsidR="00F8511D" w:rsidRDefault="00F8511D"/>
    <w:sectPr w:rsidR="00F8511D" w:rsidSect="00F851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36"/>
    <w:rsid w:val="00CE4E36"/>
    <w:rsid w:val="00DD1B11"/>
    <w:rsid w:val="00F8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5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5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malaesta@inrc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Gelsomina Malatesta</dc:creator>
  <cp:lastModifiedBy>Prakash, Amitabh, Springer</cp:lastModifiedBy>
  <cp:revision>2</cp:revision>
  <dcterms:created xsi:type="dcterms:W3CDTF">2018-04-27T04:22:00Z</dcterms:created>
  <dcterms:modified xsi:type="dcterms:W3CDTF">2018-04-27T04:22:00Z</dcterms:modified>
</cp:coreProperties>
</file>