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Supplementary material</w:t>
      </w:r>
    </w:p>
    <w:p>
      <w:pPr>
        <w:spacing w:line="240" w:lineRule="auto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>Supplementary Table 1</w:t>
      </w:r>
      <w:r>
        <w:rPr>
          <w:rFonts w:ascii="Arial" w:hAnsi="Arial" w:cs="Arial"/>
          <w:noProof/>
        </w:rPr>
        <w:t xml:space="preserve"> Individual PK parameter estimates after oral administration of 200-mg AMG 986 tablet and capsule formulations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4"/>
        <w:gridCol w:w="1219"/>
        <w:gridCol w:w="1342"/>
        <w:gridCol w:w="1111"/>
        <w:gridCol w:w="1221"/>
        <w:gridCol w:w="1215"/>
        <w:gridCol w:w="1224"/>
      </w:tblGrid>
      <w:tr>
        <w:tc>
          <w:tcPr>
            <w:tcW w:w="5000" w:type="pct"/>
            <w:gridSpan w:val="7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AMG 986 200-mg tablet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bookmarkStart w:id="0" w:name="_Hlk96420098"/>
            <w:r>
              <w:rPr>
                <w:rFonts w:ascii="Arial" w:hAnsi="Arial" w:cs="Arial"/>
                <w:noProof/>
                <w:szCs w:val="24"/>
              </w:rPr>
              <w:t>Subject ID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max</w:t>
            </w:r>
            <w:r>
              <w:rPr>
                <w:rFonts w:ascii="Arial" w:hAnsi="Arial" w:cs="Arial"/>
                <w:noProof/>
                <w:szCs w:val="24"/>
              </w:rPr>
              <w:t>, ng/mL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0–120h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last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inf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t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½</w:t>
            </w:r>
            <w:r>
              <w:rPr>
                <w:rFonts w:ascii="Arial" w:hAnsi="Arial" w:cs="Arial"/>
                <w:noProof/>
                <w:szCs w:val="24"/>
              </w:rPr>
              <w:t>, h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t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max</w:t>
            </w:r>
            <w:r>
              <w:rPr>
                <w:rFonts w:ascii="Arial" w:hAnsi="Arial" w:cs="Arial"/>
                <w:noProof/>
                <w:szCs w:val="24"/>
              </w:rPr>
              <w:t>, h</w:t>
            </w:r>
          </w:p>
        </w:tc>
      </w:tr>
      <w:bookmarkEnd w:id="0"/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55366001001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3910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41,800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41,800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42,100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18.7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55366001002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7530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68,100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68,100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68,400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20.8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12,300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101,000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101,000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102,000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15.4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55366001006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9700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75,800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75,800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78,600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39.7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55366001007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17,900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96,400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96,400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97,500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30.3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55366001014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6500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47,400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47,400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49,200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33.0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8060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69,400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69,400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69,900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25.7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55366001016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12,300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82,200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82,200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83,800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67.5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0.48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55366001019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14,900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60,200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60,200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62,000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0.50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55366001021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15,100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81,800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81,800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83,800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66.6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55366001023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6430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50,600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50,600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53,200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37.6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11,400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68,700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68,700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30.8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5000" w:type="pct"/>
            <w:gridSpan w:val="7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AMG 986 200-mg capsule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Subject ID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max</w:t>
            </w:r>
            <w:r>
              <w:rPr>
                <w:rFonts w:ascii="Arial" w:hAnsi="Arial" w:cs="Arial"/>
                <w:noProof/>
                <w:szCs w:val="24"/>
              </w:rPr>
              <w:t>, ng/mL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0–120h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last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AUC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inf</w:t>
            </w:r>
            <w:r>
              <w:rPr>
                <w:rFonts w:ascii="Arial" w:hAnsi="Arial" w:cs="Arial"/>
                <w:noProof/>
                <w:szCs w:val="24"/>
              </w:rPr>
              <w:t>, ng*h/mL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t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½</w:t>
            </w:r>
            <w:r>
              <w:rPr>
                <w:rFonts w:ascii="Arial" w:hAnsi="Arial" w:cs="Arial"/>
                <w:noProof/>
                <w:szCs w:val="24"/>
              </w:rPr>
              <w:t xml:space="preserve">, </w:t>
            </w:r>
          </w:p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h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iCs/>
                <w:noProof/>
                <w:szCs w:val="24"/>
              </w:rPr>
              <w:t>t</w:t>
            </w:r>
            <w:r>
              <w:rPr>
                <w:rFonts w:ascii="Arial" w:hAnsi="Arial" w:cs="Arial"/>
                <w:noProof/>
                <w:szCs w:val="24"/>
                <w:vertAlign w:val="subscript"/>
              </w:rPr>
              <w:t>max</w:t>
            </w:r>
            <w:r>
              <w:rPr>
                <w:rFonts w:ascii="Arial" w:hAnsi="Arial" w:cs="Arial"/>
                <w:noProof/>
                <w:szCs w:val="24"/>
              </w:rPr>
              <w:t>, h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55366001001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5070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44,000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44,000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44,200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18.4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55366001002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8160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65,100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65,100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66,200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41.4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6620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80,200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80,200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80,500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14.4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0.75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55366001006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9480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77,500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77,500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78,900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28.0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55366001007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5000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76,900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76,900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77,200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12.9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55366001014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4380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49,600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49,600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51,100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28.6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8680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69,800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69,800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71,500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53.4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55366001016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5950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55,000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55,000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55,400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13.6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55366001019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12,200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58,600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58,600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59,700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59.8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55366001021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11,000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57,600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57,600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58,400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47.6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55366001023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5260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45,100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45,100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46,100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32.8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3.0</w:t>
            </w:r>
          </w:p>
        </w:tc>
      </w:tr>
      <w:tr>
        <w:tc>
          <w:tcPr>
            <w:tcW w:w="934" w:type="pct"/>
          </w:tcPr>
          <w:p>
            <w:pPr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t>55366001025</w:t>
            </w:r>
          </w:p>
        </w:tc>
        <w:tc>
          <w:tcPr>
            <w:tcW w:w="67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5810</w:t>
            </w:r>
          </w:p>
        </w:tc>
        <w:tc>
          <w:tcPr>
            <w:tcW w:w="74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53,800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53,800</w:t>
            </w:r>
          </w:p>
        </w:tc>
        <w:tc>
          <w:tcPr>
            <w:tcW w:w="677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54,200</w:t>
            </w:r>
          </w:p>
        </w:tc>
        <w:tc>
          <w:tcPr>
            <w:tcW w:w="674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18.2</w:t>
            </w:r>
          </w:p>
        </w:tc>
        <w:tc>
          <w:tcPr>
            <w:tcW w:w="679" w:type="pct"/>
          </w:tcPr>
          <w:p>
            <w:pPr>
              <w:jc w:val="center"/>
              <w:rPr>
                <w:rFonts w:ascii="Arial" w:hAnsi="Arial" w:cs="Arial"/>
                <w:noProof/>
                <w:szCs w:val="24"/>
              </w:rPr>
            </w:pPr>
            <w:r>
              <w:rPr>
                <w:rFonts w:ascii="Arial" w:hAnsi="Arial" w:cs="Arial"/>
                <w:szCs w:val="24"/>
              </w:rPr>
              <w:t>2.0</w:t>
            </w:r>
          </w:p>
        </w:tc>
      </w:tr>
    </w:tbl>
    <w:p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>AUC</w:t>
      </w:r>
      <w:r>
        <w:rPr>
          <w:rFonts w:ascii="Arial" w:hAnsi="Arial" w:cs="Arial"/>
          <w:i/>
          <w:iCs/>
          <w:sz w:val="20"/>
          <w:szCs w:val="20"/>
          <w:vertAlign w:val="subscript"/>
          <w:lang w:val="en-GB"/>
        </w:rPr>
        <w:t>0-120h</w:t>
      </w:r>
      <w:r>
        <w:rPr>
          <w:rFonts w:ascii="Arial" w:hAnsi="Arial" w:cs="Arial"/>
          <w:sz w:val="20"/>
          <w:szCs w:val="20"/>
        </w:rPr>
        <w:t xml:space="preserve"> area under the plasma concentration–time curve from time zero to 120 h, </w:t>
      </w:r>
      <w:r>
        <w:rPr>
          <w:rFonts w:ascii="Arial" w:hAnsi="Arial" w:cs="Arial"/>
          <w:i/>
          <w:iCs/>
          <w:sz w:val="20"/>
          <w:szCs w:val="20"/>
        </w:rPr>
        <w:t>AUC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inf</w:t>
      </w:r>
      <w:r>
        <w:rPr>
          <w:rFonts w:ascii="Arial" w:hAnsi="Arial" w:cs="Arial"/>
          <w:sz w:val="20"/>
          <w:szCs w:val="20"/>
        </w:rPr>
        <w:t xml:space="preserve"> area under the plasma concentration–time curve from time zero to infinity,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AUC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last</w:t>
      </w:r>
      <w:proofErr w:type="spellEnd"/>
      <w:r>
        <w:rPr>
          <w:rFonts w:ascii="Arial" w:hAnsi="Arial" w:cs="Arial"/>
          <w:sz w:val="20"/>
          <w:szCs w:val="20"/>
        </w:rPr>
        <w:t xml:space="preserve"> area under the plasma concentration–time curve from time zero to the last quantifiable time point post-dose,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max</w:t>
      </w:r>
      <w:proofErr w:type="spellEnd"/>
      <w:r>
        <w:rPr>
          <w:rFonts w:ascii="Arial" w:hAnsi="Arial" w:cs="Arial"/>
          <w:sz w:val="20"/>
          <w:szCs w:val="20"/>
        </w:rPr>
        <w:t xml:space="preserve"> maximum observed plasma concentration, </w:t>
      </w:r>
      <w:r>
        <w:rPr>
          <w:rFonts w:ascii="Arial" w:hAnsi="Arial" w:cs="Arial"/>
          <w:i/>
          <w:iCs/>
          <w:sz w:val="20"/>
          <w:szCs w:val="20"/>
        </w:rPr>
        <w:t>PK</w:t>
      </w:r>
      <w:r>
        <w:rPr>
          <w:rFonts w:ascii="Arial" w:hAnsi="Arial" w:cs="Arial"/>
          <w:sz w:val="20"/>
          <w:szCs w:val="20"/>
        </w:rPr>
        <w:t xml:space="preserve"> pharmacokinetic, </w:t>
      </w:r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½</w:t>
      </w:r>
      <w:r>
        <w:rPr>
          <w:rFonts w:ascii="Arial" w:hAnsi="Arial" w:cs="Arial"/>
          <w:sz w:val="20"/>
          <w:szCs w:val="20"/>
        </w:rPr>
        <w:t xml:space="preserve"> terminal half-life,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  <w:vertAlign w:val="subscript"/>
        </w:rPr>
        <w:t>max</w:t>
      </w:r>
      <w:proofErr w:type="spellEnd"/>
      <w:r>
        <w:rPr>
          <w:rFonts w:ascii="Arial" w:hAnsi="Arial" w:cs="Arial"/>
          <w:sz w:val="20"/>
          <w:szCs w:val="20"/>
        </w:rPr>
        <w:t xml:space="preserve"> time to maximum concentration</w:t>
      </w:r>
    </w:p>
    <w:p/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BDA59-6A6E-4B2D-A9A9-0FBD3004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Jenifer.T</dc:creator>
  <cp:keywords/>
  <dc:description/>
  <cp:lastModifiedBy>EDITOR</cp:lastModifiedBy>
  <cp:revision>3</cp:revision>
  <dcterms:created xsi:type="dcterms:W3CDTF">2022-03-31T09:43:00Z</dcterms:created>
  <dcterms:modified xsi:type="dcterms:W3CDTF">2022-03-31T09:43:00Z</dcterms:modified>
</cp:coreProperties>
</file>