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0ECCFB" w14:textId="77777777" w:rsidR="009A2679" w:rsidRPr="009D022F" w:rsidRDefault="009A2679" w:rsidP="009A2679">
      <w:bookmarkStart w:id="0" w:name="_GoBack"/>
      <w:r w:rsidRPr="001E3353">
        <w:rPr>
          <w:b/>
          <w:bCs/>
        </w:rPr>
        <w:t xml:space="preserve">Title: </w:t>
      </w:r>
      <w:r>
        <w:t xml:space="preserve">Comparing patient preferences </w:t>
      </w:r>
      <w:r w:rsidRPr="009D022F">
        <w:t xml:space="preserve">for antithrombotic </w:t>
      </w:r>
      <w:r>
        <w:t>treatment during the acute and chronic phases of myocardial infarction</w:t>
      </w:r>
      <w:r w:rsidRPr="000A140B">
        <w:t>: A discrete</w:t>
      </w:r>
      <w:r>
        <w:t>-</w:t>
      </w:r>
      <w:r w:rsidRPr="000A140B">
        <w:t>choice experiment</w:t>
      </w:r>
    </w:p>
    <w:p w14:paraId="6ADABCE8" w14:textId="77777777" w:rsidR="009A2679" w:rsidRDefault="009A2679" w:rsidP="009A2679">
      <w:pPr>
        <w:rPr>
          <w:i/>
          <w:iCs/>
        </w:rPr>
      </w:pPr>
      <w:r w:rsidRPr="001E3353">
        <w:rPr>
          <w:b/>
          <w:bCs/>
        </w:rPr>
        <w:t>Journal:</w:t>
      </w:r>
      <w:r>
        <w:t xml:space="preserve"> </w:t>
      </w:r>
      <w:r w:rsidRPr="001E3353">
        <w:rPr>
          <w:i/>
          <w:iCs/>
        </w:rPr>
        <w:t>The Patient</w:t>
      </w:r>
    </w:p>
    <w:p w14:paraId="648DF6B5" w14:textId="77777777" w:rsidR="009A2679" w:rsidRPr="00EF5B25" w:rsidRDefault="009A2679" w:rsidP="009A2679">
      <w:r w:rsidRPr="001E3353">
        <w:rPr>
          <w:b/>
          <w:bCs/>
        </w:rPr>
        <w:t>Authors:</w:t>
      </w:r>
      <w:r>
        <w:t xml:space="preserve"> C</w:t>
      </w:r>
      <w:r w:rsidRPr="009D022F">
        <w:t>athy Anne Pinto, Gin Nie Chua, John F</w:t>
      </w:r>
      <w:r>
        <w:t xml:space="preserve">.P. </w:t>
      </w:r>
      <w:r w:rsidRPr="009D022F">
        <w:t>Bridges, Ella Brookes, Johanna Hyacinthe, Tommi Tervonen</w:t>
      </w:r>
    </w:p>
    <w:p w14:paraId="353E6348" w14:textId="77777777" w:rsidR="009A2679" w:rsidRPr="004B6DBA" w:rsidRDefault="009A2679" w:rsidP="009A2679">
      <w:pPr>
        <w:spacing w:after="0"/>
        <w:rPr>
          <w:rStyle w:val="Hyperlink"/>
        </w:rPr>
      </w:pPr>
      <w:r w:rsidRPr="001E3353">
        <w:rPr>
          <w:b/>
          <w:bCs/>
        </w:rPr>
        <w:t>Corresponding author:</w:t>
      </w:r>
      <w:r w:rsidRPr="001E3353">
        <w:t xml:space="preserve"> </w:t>
      </w:r>
      <w:r>
        <w:t xml:space="preserve">Tommi Tervonen, Evidera, London, UK. Email: </w:t>
      </w:r>
      <w:hyperlink r:id="rId4" w:history="1">
        <w:r w:rsidRPr="00557783">
          <w:rPr>
            <w:rStyle w:val="Hyperlink"/>
          </w:rPr>
          <w:t>tommi.tervonen@evidera.com</w:t>
        </w:r>
      </w:hyperlink>
    </w:p>
    <w:bookmarkEnd w:id="0"/>
    <w:p w14:paraId="35739FB7" w14:textId="77777777" w:rsidR="009A2679" w:rsidRPr="00557783" w:rsidRDefault="009A2679" w:rsidP="009A2679"/>
    <w:p w14:paraId="2FC3122A" w14:textId="294EC4E2" w:rsidR="009A2679" w:rsidRPr="00C87246" w:rsidRDefault="009A2679" w:rsidP="009A2679">
      <w:pPr>
        <w:pStyle w:val="Heading1"/>
      </w:pPr>
      <w:r>
        <w:t>Supplemental Methods: M</w:t>
      </w:r>
      <w:r w:rsidRPr="00C87246">
        <w:t xml:space="preserve">odel </w:t>
      </w:r>
      <w:r>
        <w:t>S</w:t>
      </w:r>
      <w:r w:rsidRPr="00C87246">
        <w:t>pecification</w:t>
      </w:r>
    </w:p>
    <w:p w14:paraId="699C9133" w14:textId="77777777" w:rsidR="009A2679" w:rsidRPr="00C87246" w:rsidRDefault="009A2679" w:rsidP="009A2679">
      <w:pPr>
        <w:rPr>
          <w:rFonts w:ascii="Times New Roman" w:eastAsia="Times New Roman" w:hAnsi="Times New Roman" w:cs="Times New Roman"/>
          <w:szCs w:val="24"/>
        </w:rPr>
      </w:pPr>
      <w:r w:rsidRPr="009F2679">
        <w:rPr>
          <w:rFonts w:cs="Arial"/>
          <w:szCs w:val="24"/>
        </w:rPr>
        <w:t xml:space="preserve">The analysis of all DCE responses followed the </w:t>
      </w:r>
      <w:r>
        <w:rPr>
          <w:rFonts w:cs="Arial"/>
          <w:szCs w:val="24"/>
        </w:rPr>
        <w:t xml:space="preserve">random utility </w:t>
      </w:r>
      <w:r w:rsidRPr="009F2679">
        <w:rPr>
          <w:rFonts w:cs="Arial"/>
          <w:szCs w:val="24"/>
        </w:rPr>
        <w:t>theory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fldChar w:fldCharType="begin">
          <w:fldData xml:space="preserve">PEVuZE5vdGU+PENpdGU+PEF1dGhvcj5NYW5za2k8L0F1dGhvcj48WWVhcj4xOTc3PC9ZZWFyPjxS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</w:fldData>
        </w:fldChar>
      </w:r>
      <w:r>
        <w:rPr>
          <w:rFonts w:cs="Arial"/>
          <w:szCs w:val="24"/>
        </w:rPr>
        <w:instrText xml:space="preserve"> ADDIN EN.CITE </w:instrText>
      </w:r>
      <w:r>
        <w:rPr>
          <w:rFonts w:cs="Arial"/>
          <w:szCs w:val="24"/>
        </w:rPr>
        <w:fldChar w:fldCharType="begin">
          <w:fldData xml:space="preserve">PEVuZE5vdGU+PENpdGU+PEF1dGhvcj5NYW5za2k8L0F1dGhvcj48WWVhcj4xOTc3PC9ZZWFyPjxS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</w:fldData>
        </w:fldChar>
      </w:r>
      <w:r>
        <w:rPr>
          <w:rFonts w:cs="Arial"/>
          <w:szCs w:val="24"/>
        </w:rPr>
        <w:instrText xml:space="preserve"> ADDIN EN.CITE.DATA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end"/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 w:rsidRPr="00337659">
        <w:rPr>
          <w:rFonts w:cs="Arial"/>
          <w:noProof/>
          <w:szCs w:val="24"/>
          <w:vertAlign w:val="superscript"/>
        </w:rPr>
        <w:t>31, 32, 40</w:t>
      </w:r>
      <w:r>
        <w:rPr>
          <w:rFonts w:cs="Arial"/>
          <w:szCs w:val="24"/>
        </w:rPr>
        <w:fldChar w:fldCharType="end"/>
      </w:r>
      <w:r w:rsidRPr="009F2679">
        <w:rPr>
          <w:rFonts w:cs="Arial"/>
          <w:szCs w:val="24"/>
        </w:rPr>
        <w:t xml:space="preserve"> The model assumed that each respondent (</w:t>
      </w:r>
      <w:r w:rsidRPr="009F2679">
        <w:rPr>
          <w:rFonts w:cs="Arial"/>
          <w:i/>
          <w:iCs/>
          <w:szCs w:val="24"/>
        </w:rPr>
        <w:t>n</w:t>
      </w:r>
      <w:r w:rsidRPr="009F2679">
        <w:rPr>
          <w:rFonts w:cs="Arial"/>
          <w:szCs w:val="24"/>
        </w:rPr>
        <w:t>) chooses the alternative (</w:t>
      </w:r>
      <w:r w:rsidRPr="009F2679">
        <w:rPr>
          <w:rFonts w:cs="Arial"/>
          <w:i/>
          <w:iCs/>
          <w:szCs w:val="24"/>
        </w:rPr>
        <w:t>j</w:t>
      </w:r>
      <w:r w:rsidRPr="009F2679">
        <w:rPr>
          <w:rFonts w:cs="Arial"/>
          <w:szCs w:val="24"/>
        </w:rPr>
        <w:t>) in every DCE question (</w:t>
      </w:r>
      <w:r w:rsidRPr="009F2679">
        <w:rPr>
          <w:rFonts w:cs="Arial"/>
          <w:i/>
          <w:iCs/>
          <w:szCs w:val="24"/>
        </w:rPr>
        <w:t>t</w:t>
      </w:r>
      <w:r w:rsidRPr="009F2679">
        <w:rPr>
          <w:rFonts w:cs="Arial"/>
          <w:szCs w:val="24"/>
        </w:rPr>
        <w:t xml:space="preserve">) that results in the highest utility of all available alternatives. Utility in a RUM model is defined as: </w:t>
      </w:r>
      <m:oMath>
        <m:r>
          <m:rPr>
            <m:sty m:val="p"/>
          </m:rPr>
          <w:rPr>
            <w:rFonts w:ascii="Cambria Math" w:eastAsia="Times New Roman" w:hAnsi="Cambria Math" w:cs="Times New Roman"/>
            <w:szCs w:val="24"/>
          </w:rPr>
          <w:br/>
        </m:r>
      </m:oMath>
      <m:oMathPara>
        <m:oMathParaPr>
          <m:jc m:val="center"/>
        </m:oMathParaPr>
        <m:oMath>
          <m:r>
            <w:rPr>
              <w:rFonts w:ascii="Cambria Math" w:eastAsia="Times New Roman" w:hAnsi="Cambria Math" w:cs="Times New Roman"/>
              <w:szCs w:val="24"/>
            </w:rPr>
            <m:t>u(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4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</w:rPr>
                <m:t>jnt</m:t>
              </m:r>
            </m:sub>
          </m:sSub>
          <m:r>
            <w:rPr>
              <w:rFonts w:ascii="Cambria Math" w:eastAsia="Times New Roman" w:hAnsi="Cambria Math" w:cs="Times New Roman"/>
              <w:szCs w:val="24"/>
            </w:rPr>
            <m:t>)=v(</m:t>
          </m:r>
          <m:sSub>
            <m:sSubPr>
              <m:ctrlPr>
                <w:rPr>
                  <w:rFonts w:ascii="Cambria Math" w:eastAsia="Times New Roman" w:hAnsi="Cambria Math" w:cs="Times New Roman"/>
                  <w:b/>
                  <w:i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Cs w:val="24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</w:rPr>
                <m:t>jnt</m:t>
              </m:r>
            </m:sub>
          </m:sSub>
          <m:r>
            <w:rPr>
              <w:rFonts w:ascii="Cambria Math" w:eastAsia="Times New Roman" w:hAnsi="Cambria Math" w:cs="Times New Roman"/>
              <w:szCs w:val="24"/>
            </w:rPr>
            <m:t>)+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Cs w:val="24"/>
                </w:rPr>
                <m:t>ε</m:t>
              </m:r>
            </m:e>
            <m:sub>
              <m:r>
                <w:rPr>
                  <w:rFonts w:ascii="Cambria Math" w:eastAsia="Times New Roman" w:hAnsi="Cambria Math" w:cs="Times New Roman"/>
                  <w:szCs w:val="24"/>
                </w:rPr>
                <m:t>jnt</m:t>
              </m:r>
            </m:sub>
          </m:sSub>
        </m:oMath>
      </m:oMathPara>
    </w:p>
    <w:p w14:paraId="367B375B" w14:textId="77777777" w:rsidR="009A2679" w:rsidRPr="00990664" w:rsidRDefault="009A2679" w:rsidP="009A2679">
      <w:pPr>
        <w:rPr>
          <w:rFonts w:eastAsiaTheme="minorEastAsia" w:cs="Arial"/>
        </w:rPr>
      </w:pPr>
      <w:r w:rsidRPr="00C87246">
        <w:rPr>
          <w:rFonts w:cs="Arial"/>
          <w:szCs w:val="24"/>
        </w:rPr>
        <w:t xml:space="preserve">Here the systematic utility component </w:t>
      </w:r>
      <m:oMath>
        <m:r>
          <w:rPr>
            <w:rFonts w:ascii="Cambria Math" w:eastAsia="Times New Roman" w:hAnsi="Cambria Math" w:cs="Arial"/>
            <w:szCs w:val="24"/>
          </w:rPr>
          <m:t>v</m:t>
        </m:r>
        <m:d>
          <m:dPr>
            <m:ctrlPr>
              <w:rPr>
                <w:rFonts w:ascii="Cambria Math" w:eastAsia="Times New Roman" w:hAnsi="Cambria Math" w:cs="Arial"/>
                <w:i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Arial"/>
                    <w:b/>
                    <w:i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Arial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Arial"/>
                    <w:szCs w:val="24"/>
                  </w:rPr>
                  <m:t>jnt</m:t>
                </m:r>
              </m:sub>
            </m:sSub>
          </m:e>
        </m:d>
      </m:oMath>
      <w:r w:rsidRPr="00C87246">
        <w:rPr>
          <w:rFonts w:cs="Arial"/>
          <w:szCs w:val="24"/>
        </w:rPr>
        <w:t xml:space="preserve"> is a function of the DCE attributes and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Cs w:val="24"/>
              </w:rPr>
            </m:ctrlPr>
          </m:sSubPr>
          <m:e>
            <m:r>
              <w:rPr>
                <w:rFonts w:ascii="Cambria Math" w:eastAsia="Times New Roman" w:hAnsi="Cambria Math" w:cs="Arial"/>
                <w:szCs w:val="24"/>
              </w:rPr>
              <m:t>ε</m:t>
            </m:r>
          </m:e>
          <m:sub>
            <m:r>
              <w:rPr>
                <w:rFonts w:ascii="Cambria Math" w:eastAsia="Times New Roman" w:hAnsi="Cambria Math" w:cs="Arial"/>
                <w:szCs w:val="24"/>
              </w:rPr>
              <m:t>jnt</m:t>
            </m:r>
          </m:sub>
        </m:sSub>
      </m:oMath>
      <w:r w:rsidRPr="00C87246">
        <w:rPr>
          <w:rFonts w:cs="Arial"/>
          <w:szCs w:val="24"/>
        </w:rPr>
        <w:t xml:space="preserve"> is a Type 1 extreme value distributed random error. </w:t>
      </w:r>
      <w:r>
        <w:rPr>
          <w:rFonts w:cs="Arial"/>
          <w:szCs w:val="24"/>
        </w:rPr>
        <w:t xml:space="preserve">Prior to the estimation of the final model presented in the paper, a dummy-coded MNL model and HMNL model were estimated. For the former, the utility function is defined as: 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ParaPr>
          <m:jc m:val="center"/>
        </m:oMathParaPr>
        <m:oMath>
          <m: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jnt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CVD10</m:t>
              </m:r>
            </m:e>
            <m:sub>
              <m:r>
                <w:rPr>
                  <w:rFonts w:ascii="Cambria Math" w:hAnsi="Cambria Math"/>
                </w:rPr>
                <m:t>jnt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CVD5</m:t>
              </m:r>
            </m:e>
            <m:sub>
              <m:r>
                <w:rPr>
                  <w:rFonts w:ascii="Cambria Math" w:hAnsi="Cambria Math"/>
                </w:rPr>
                <m:t>jnt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CVD1</m:t>
              </m:r>
            </m:e>
            <m:sub>
              <m:r>
                <w:rPr>
                  <w:rFonts w:ascii="Cambria Math" w:hAnsi="Cambria Math"/>
                </w:rPr>
                <m:t>jnt</m:t>
              </m:r>
            </m:sub>
          </m:sSub>
        </m:oMath>
      </m:oMathPara>
    </w:p>
    <w:p w14:paraId="30077221" w14:textId="77777777" w:rsidR="009A2679" w:rsidRDefault="009A2679" w:rsidP="009A2679">
      <w:pPr>
        <w:rPr>
          <w:rFonts w:eastAsiaTheme="minorEastAsia" w:cs="Arial"/>
        </w:rPr>
      </w:pPr>
      <w:r>
        <w:rPr>
          <w:rFonts w:eastAsiaTheme="minorEastAsia" w:cs="Arial"/>
        </w:rPr>
        <w:t xml:space="preserve"> </w:t>
      </w:r>
      <w:r>
        <w:rPr>
          <w:rFonts w:eastAsiaTheme="minorEastAsia" w:cs="Arial"/>
        </w:rPr>
        <w:tab/>
      </w:r>
      <w:r>
        <w:rPr>
          <w:rFonts w:eastAsiaTheme="minorEastAsia" w:cs="Arial"/>
        </w:rPr>
        <w:tab/>
      </w:r>
      <w:r>
        <w:rPr>
          <w:rFonts w:eastAsiaTheme="minorEastAsia" w:cs="Arial"/>
        </w:rPr>
        <w:tab/>
      </w:r>
      <w:r>
        <w:rPr>
          <w:rFonts w:eastAsiaTheme="minorEastAsia" w:cs="Arial"/>
        </w:rPr>
        <w:tab/>
        <w:t xml:space="preserve">       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MI14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MI11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MI8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</m:oMath>
    </w:p>
    <w:p w14:paraId="28B22E30" w14:textId="77777777" w:rsidR="009A2679" w:rsidRPr="00990664" w:rsidRDefault="009A2679" w:rsidP="009A2679">
      <w:pPr>
        <w:ind w:left="720" w:firstLine="720"/>
        <w:rPr>
          <w:rFonts w:eastAsiaTheme="minorEastAsia" w:cs="Arial"/>
        </w:rPr>
      </w:pPr>
      <w:r>
        <w:rPr>
          <w:rFonts w:eastAsiaTheme="minorEastAsia" w:cs="Arial"/>
        </w:rPr>
        <w:t xml:space="preserve">  </w:t>
      </w:r>
      <w:r>
        <w:rPr>
          <w:rFonts w:eastAsiaTheme="minorEastAsia" w:cs="Arial"/>
        </w:rPr>
        <w:tab/>
      </w:r>
      <w:r>
        <w:rPr>
          <w:rFonts w:eastAsiaTheme="minorEastAsia" w:cs="Arial"/>
        </w:rPr>
        <w:tab/>
        <w:t xml:space="preserve">       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IS0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ICH0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GUSTO0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</m:oMath>
    </w:p>
    <w:p w14:paraId="56A2A4E1" w14:textId="77777777" w:rsidR="009A2679" w:rsidRDefault="009A2679" w:rsidP="009A2679">
      <w:r w:rsidRPr="009F2679">
        <w:rPr>
          <w:rFonts w:cs="Arial"/>
          <w:szCs w:val="24"/>
        </w:rPr>
        <w:t xml:space="preserve">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Pr="00C87246">
        <w:rPr>
          <w:rFonts w:cs="Arial"/>
          <w:szCs w:val="24"/>
        </w:rPr>
        <w:t xml:space="preserve"> is the constant of </w:t>
      </w:r>
      <w:r>
        <w:rPr>
          <w:rFonts w:cs="Arial"/>
          <w:szCs w:val="24"/>
        </w:rPr>
        <w:t xml:space="preserve">left </w:t>
      </w:r>
      <w:r w:rsidRPr="00C87246">
        <w:rPr>
          <w:rFonts w:cs="Arial"/>
          <w:szCs w:val="24"/>
        </w:rPr>
        <w:t xml:space="preserve">treatment alternative in the DCE and captured any presence of left-right bias, while </w:t>
      </w:r>
      <w:r w:rsidRPr="00C87246">
        <w:rPr>
          <w:rFonts w:cs="Arial"/>
          <w:i/>
          <w:szCs w:val="24"/>
        </w:rPr>
        <w:t>β</w:t>
      </w:r>
      <w:r w:rsidRPr="00C87246">
        <w:rPr>
          <w:rFonts w:cs="Arial"/>
          <w:i/>
          <w:szCs w:val="24"/>
          <w:vertAlign w:val="subscript"/>
        </w:rPr>
        <w:t>1-</w:t>
      </w:r>
      <w:r>
        <w:rPr>
          <w:rFonts w:cs="Arial"/>
          <w:i/>
          <w:szCs w:val="24"/>
          <w:vertAlign w:val="subscript"/>
        </w:rPr>
        <w:t>9</w:t>
      </w:r>
      <w:r w:rsidRPr="00C8724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are the maximum likelihood estimates that </w:t>
      </w:r>
      <w:r w:rsidRPr="00C87246">
        <w:rPr>
          <w:rFonts w:cs="Arial"/>
          <w:szCs w:val="24"/>
        </w:rPr>
        <w:t xml:space="preserve">captured patients’ preferences for </w:t>
      </w:r>
      <w:r>
        <w:rPr>
          <w:rFonts w:cs="Arial"/>
          <w:szCs w:val="24"/>
        </w:rPr>
        <w:t>a one-level change in the</w:t>
      </w:r>
      <w:r w:rsidRPr="00C87246">
        <w:rPr>
          <w:rFonts w:cs="Arial"/>
          <w:szCs w:val="24"/>
        </w:rPr>
        <w:t xml:space="preserve"> treatment attributes</w:t>
      </w:r>
      <w:r>
        <w:rPr>
          <w:rFonts w:cs="Arial"/>
          <w:szCs w:val="24"/>
        </w:rPr>
        <w:t xml:space="preserve"> compared to the reference level. Once the assumption of linearity was satisfied, a HMNL model was estimated to </w:t>
      </w:r>
      <w:r w:rsidRPr="001209D7">
        <w:t>assess the presence of scale heterogeneity between acute and chronic samples</w:t>
      </w:r>
      <w:r>
        <w:t>. The utility function of the HMNL model is defined as:</w:t>
      </w:r>
    </w:p>
    <w:p w14:paraId="389C237B" w14:textId="77777777" w:rsidR="009A2679" w:rsidRPr="009F2679" w:rsidRDefault="009A2679" w:rsidP="009A2679">
      <w:pPr>
        <w:jc w:val="center"/>
        <w:rPr>
          <w:rFonts w:cs="Arial"/>
          <w:szCs w:val="24"/>
        </w:rPr>
      </w:pP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jnt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CV death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MI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IS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</m:oMath>
      <w:r w:rsidRPr="009F2679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ICH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GUSTO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</m:oMath>
      <w:r>
        <w:rPr>
          <w:rFonts w:eastAsiaTheme="minorEastAsia"/>
        </w:rPr>
        <w:t>)</w:t>
      </w:r>
    </w:p>
    <w:p w14:paraId="5909F40F" w14:textId="77777777" w:rsidR="009A2679" w:rsidRDefault="009A2679" w:rsidP="009A2679">
      <w:r w:rsidRPr="002B3B1F">
        <w:rPr>
          <w:rFonts w:cs="Arial"/>
          <w:szCs w:val="24"/>
        </w:rPr>
        <w:t>Here</w:t>
      </w:r>
      <w:r>
        <w:rPr>
          <w:rFonts w:cs="Arial"/>
          <w:szCs w:val="24"/>
        </w:rPr>
        <w:t xml:space="preserve">, </w:t>
      </w:r>
      <w:r w:rsidRPr="00C87246">
        <w:rPr>
          <w:rFonts w:cs="Arial"/>
          <w:i/>
          <w:szCs w:val="24"/>
        </w:rPr>
        <w:t>β</w:t>
      </w:r>
      <w:r w:rsidRPr="00C87246">
        <w:rPr>
          <w:rFonts w:cs="Arial"/>
          <w:i/>
          <w:szCs w:val="24"/>
          <w:vertAlign w:val="subscript"/>
        </w:rPr>
        <w:t>1-5</w:t>
      </w:r>
      <w:r w:rsidRPr="00C8724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are the maximum likelihood estimates that </w:t>
      </w:r>
      <w:r w:rsidRPr="00C87246">
        <w:rPr>
          <w:rFonts w:cs="Arial"/>
          <w:szCs w:val="24"/>
        </w:rPr>
        <w:t xml:space="preserve">captured patients’ preferences for the treatment attributes </w:t>
      </w:r>
      <w:r>
        <w:rPr>
          <w:rFonts w:cs="Arial"/>
          <w:szCs w:val="24"/>
        </w:rPr>
        <w:t xml:space="preserve">for 1% decrease in risk of CV events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 w:rsidRPr="0060453D">
        <w:t xml:space="preserve">is an individual-specific scale factor that is inversely related to the variance of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jnt</m:t>
            </m:r>
          </m:sub>
        </m:sSub>
      </m:oMath>
      <w:r w:rsidRPr="0060453D">
        <w:t>. The scale factor is used to introduce correlation between choices of respondents with similar characteristics. It is therefore defined as</w:t>
      </w:r>
      <w:r>
        <w:t xml:space="preserve"> function of patients’ disease stage such that:</w:t>
      </w:r>
    </w:p>
    <w:p w14:paraId="6DE4BD23" w14:textId="77777777" w:rsidR="009A2679" w:rsidRPr="00990664" w:rsidRDefault="00441E0A" w:rsidP="009A2679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=exp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θ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ChronicMI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d>
        </m:oMath>
      </m:oMathPara>
    </w:p>
    <w:p w14:paraId="7B38D1CF" w14:textId="77777777" w:rsidR="009A2679" w:rsidRPr="006002CB" w:rsidRDefault="009A2679" w:rsidP="009A2679">
      <w:pPr>
        <w:rPr>
          <w:rFonts w:cs="Arial"/>
          <w:szCs w:val="24"/>
        </w:rPr>
      </w:pPr>
      <w:r w:rsidRPr="0060453D">
        <w:t>wh</w:t>
      </w:r>
      <w:r w:rsidRPr="0060453D">
        <w:rPr>
          <w:bCs/>
        </w:rPr>
        <w:t xml:space="preserve">ere </w:t>
      </w:r>
      <m:oMath>
        <m:r>
          <m:rPr>
            <m:sty m:val="p"/>
          </m:rPr>
          <w:rPr>
            <w:rFonts w:ascii="Cambria Math" w:hAnsi="Cambria Math"/>
          </w:rPr>
          <m:t>θ</m:t>
        </m:r>
      </m:oMath>
      <w:r w:rsidRPr="0060453D">
        <w:rPr>
          <w:bCs/>
        </w:rPr>
        <w:t xml:space="preserve"> is </w:t>
      </w:r>
      <w:r>
        <w:rPr>
          <w:bCs/>
        </w:rPr>
        <w:t>the estimated</w:t>
      </w:r>
      <w:r w:rsidRPr="0060453D">
        <w:rPr>
          <w:bCs/>
        </w:rPr>
        <w:t xml:space="preserve"> </w:t>
      </w:r>
      <w:proofErr w:type="gramStart"/>
      <w:r w:rsidRPr="0060453D">
        <w:rPr>
          <w:bCs/>
        </w:rPr>
        <w:t>parameter</w:t>
      </w:r>
      <w:r>
        <w:rPr>
          <w:bCs/>
        </w:rPr>
        <w:t>.</w:t>
      </w:r>
      <w:proofErr w:type="gramEnd"/>
      <w:r>
        <w:rPr>
          <w:bCs/>
        </w:rPr>
        <w:t xml:space="preserve"> As there was no </w:t>
      </w:r>
      <w:r w:rsidRPr="00854DAE">
        <w:t>significant scale heterogeneity between acute and chronic MI patients</w:t>
      </w:r>
      <w:r>
        <w:t xml:space="preserve">, the utility function of the final MNL model </w:t>
      </w:r>
      <w:r w:rsidRPr="00C87246">
        <w:rPr>
          <w:rFonts w:eastAsia="Times New Roman" w:cs="Arial"/>
          <w:szCs w:val="24"/>
        </w:rPr>
        <w:t>is defined as:</w:t>
      </w:r>
    </w:p>
    <w:p w14:paraId="4DD5FA32" w14:textId="77777777" w:rsidR="009A2679" w:rsidRPr="009F2679" w:rsidRDefault="009A2679" w:rsidP="009A2679">
      <w:pPr>
        <w:ind w:left="1800"/>
        <w:rPr>
          <w:rFonts w:cs="Arial"/>
          <w:szCs w:val="24"/>
        </w:rPr>
      </w:pP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jnt</m:t>
                </m:r>
              </m:sub>
            </m:sSub>
          </m:e>
        </m:d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CV death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MI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IS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</m:oMath>
      <w:r w:rsidRPr="009F2679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ICH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GUSTO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</m:oMath>
    </w:p>
    <w:p w14:paraId="24EC1DB8" w14:textId="77777777" w:rsidR="009A2679" w:rsidRPr="00990664" w:rsidRDefault="009A2679" w:rsidP="009A2679">
      <w:pPr>
        <w:rPr>
          <w:rFonts w:cs="Arial"/>
          <w:szCs w:val="24"/>
        </w:rPr>
      </w:pPr>
      <w:r w:rsidRPr="00990664">
        <w:rPr>
          <w:rFonts w:cs="Arial"/>
          <w:szCs w:val="24"/>
        </w:rPr>
        <w:t>To assess potential effect of sociodemographic and clinical characteristics on preference</w:t>
      </w:r>
      <w:r>
        <w:rPr>
          <w:rFonts w:cs="Arial"/>
          <w:szCs w:val="24"/>
        </w:rPr>
        <w:t xml:space="preserve"> </w:t>
      </w:r>
      <w:r w:rsidRPr="00990664">
        <w:rPr>
          <w:rFonts w:cs="Arial"/>
          <w:szCs w:val="24"/>
        </w:rPr>
        <w:t>heterogeneity, subgroups were introduced as an interaction term with the treatment attributes in the MNL model</w:t>
      </w:r>
      <w:r>
        <w:rPr>
          <w:rFonts w:cs="Arial"/>
          <w:szCs w:val="24"/>
        </w:rPr>
        <w:t>. The utility function of the interaction MNL model is defined as:</w:t>
      </w:r>
    </w:p>
    <w:p w14:paraId="113CCF3F" w14:textId="77777777" w:rsidR="009A2679" w:rsidRPr="00990664" w:rsidRDefault="009A2679" w:rsidP="009A2679">
      <w:pPr>
        <w:rPr>
          <w:rFonts w:eastAsiaTheme="minorEastAsia" w:cs="Arial"/>
        </w:rPr>
      </w:pPr>
      <m:oMathPara>
        <m:oMath>
          <m: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jnt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CV death</m:t>
              </m:r>
            </m:e>
            <m:sub>
              <m:r>
                <w:rPr>
                  <w:rFonts w:ascii="Cambria Math" w:hAnsi="Cambria Math"/>
                </w:rPr>
                <m:t>jnt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MI</m:t>
              </m:r>
            </m:e>
            <m:sub>
              <m:r>
                <w:rPr>
                  <w:rFonts w:ascii="Cambria Math" w:hAnsi="Cambria Math"/>
                </w:rPr>
                <m:t>jnt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IS</m:t>
              </m:r>
            </m:e>
            <m:sub>
              <m:r>
                <w:rPr>
                  <w:rFonts w:ascii="Cambria Math" w:hAnsi="Cambria Math"/>
                </w:rPr>
                <m:t>jnt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4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ICH</m:t>
              </m:r>
            </m:e>
            <m:sub>
              <m:r>
                <w:rPr>
                  <w:rFonts w:ascii="Cambria Math" w:hAnsi="Cambria Math"/>
                </w:rPr>
                <m:t>jnt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GUSTO</m:t>
              </m:r>
            </m:e>
            <m:sub>
              <m:r>
                <w:rPr>
                  <w:rFonts w:ascii="Cambria Math" w:hAnsi="Cambria Math"/>
                </w:rPr>
                <m:t>jnt</m:t>
              </m:r>
            </m:sub>
          </m:sSub>
        </m:oMath>
      </m:oMathPara>
    </w:p>
    <w:p w14:paraId="64E76E97" w14:textId="77777777" w:rsidR="009A2679" w:rsidRDefault="009A2679" w:rsidP="009A2679">
      <w:pPr>
        <w:ind w:firstLine="720"/>
        <w:rPr>
          <w:rFonts w:eastAsiaTheme="minorEastAsia" w:cs="Arial"/>
        </w:rPr>
      </w:pPr>
      <w:r>
        <w:rPr>
          <w:rFonts w:eastAsiaTheme="minorEastAsia" w:cs="Arial"/>
        </w:rPr>
        <w:t xml:space="preserve"> </w:t>
      </w:r>
      <w:r>
        <w:rPr>
          <w:rFonts w:eastAsiaTheme="minorEastAsia" w:cs="Arial"/>
        </w:rPr>
        <w:tab/>
      </w:r>
      <w:r>
        <w:rPr>
          <w:rFonts w:eastAsiaTheme="minorEastAsia" w:cs="Arial"/>
        </w:rPr>
        <w:tab/>
        <w:t xml:space="preserve">    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(CV death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(MI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n)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8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IS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)</m:t>
        </m:r>
      </m:oMath>
    </w:p>
    <w:p w14:paraId="1D8A745E" w14:textId="77777777" w:rsidR="009A2679" w:rsidRPr="00990664" w:rsidRDefault="009A2679" w:rsidP="009A2679">
      <w:pPr>
        <w:ind w:left="1440" w:firstLine="720"/>
        <w:rPr>
          <w:rFonts w:eastAsiaTheme="minorEastAsia" w:cs="Arial"/>
        </w:rPr>
      </w:pPr>
      <w:r>
        <w:rPr>
          <w:rFonts w:eastAsiaTheme="minorEastAsia" w:cs="Arial"/>
        </w:rPr>
        <w:t xml:space="preserve">     </w:t>
      </w:r>
      <m:oMath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ICH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n)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GUSTO</m:t>
            </m:r>
          </m:e>
          <m:sub>
            <m:r>
              <w:rPr>
                <w:rFonts w:ascii="Cambria Math" w:hAnsi="Cambria Math"/>
              </w:rPr>
              <m:t>jnt</m:t>
            </m:r>
          </m:sub>
        </m:sSub>
        <m:r>
          <w:rPr>
            <w:rFonts w:ascii="Cambria Math" w:hAnsi="Cambria Math"/>
          </w:rPr>
          <m:t>*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 xml:space="preserve">) </m:t>
        </m:r>
      </m:oMath>
      <w:r w:rsidRPr="009F2679">
        <w:rPr>
          <w:rFonts w:eastAsiaTheme="minorEastAsia"/>
        </w:rPr>
        <w:t xml:space="preserve"> </w:t>
      </w:r>
    </w:p>
    <w:p w14:paraId="32F465F2" w14:textId="639F07FF" w:rsidR="00764949" w:rsidRDefault="009A2679" w:rsidP="009A2679">
      <w:r>
        <w:t xml:space="preserve">Here, </w:t>
      </w:r>
      <w:r w:rsidRPr="00C87246">
        <w:rPr>
          <w:rFonts w:cs="Arial"/>
          <w:i/>
          <w:szCs w:val="24"/>
        </w:rPr>
        <w:t>β</w:t>
      </w:r>
      <w:r>
        <w:rPr>
          <w:rFonts w:cs="Arial"/>
          <w:i/>
          <w:szCs w:val="24"/>
          <w:vertAlign w:val="subscript"/>
        </w:rPr>
        <w:t>6-10</w:t>
      </w:r>
      <w:r>
        <w:rPr>
          <w:rFonts w:cs="Arial"/>
          <w:i/>
          <w:szCs w:val="24"/>
        </w:rPr>
        <w:t xml:space="preserve"> </w:t>
      </w:r>
      <w:r>
        <w:rPr>
          <w:rFonts w:cs="Arial"/>
          <w:iCs/>
          <w:szCs w:val="24"/>
        </w:rPr>
        <w:t xml:space="preserve">captured the marginal effect of </w:t>
      </w:r>
      <w:r w:rsidRPr="00990664">
        <w:rPr>
          <w:rFonts w:cs="Arial"/>
          <w:szCs w:val="24"/>
        </w:rPr>
        <w:t>sociodemographic and clinical characteristics on</w:t>
      </w:r>
      <w:r>
        <w:rPr>
          <w:rFonts w:cs="Arial"/>
          <w:szCs w:val="24"/>
        </w:rPr>
        <w:t xml:space="preserve"> patients’ preferences (</w:t>
      </w:r>
      <w:r w:rsidRPr="00C87246">
        <w:rPr>
          <w:rFonts w:cs="Arial"/>
          <w:i/>
          <w:szCs w:val="24"/>
        </w:rPr>
        <w:t>β</w:t>
      </w:r>
      <w:r w:rsidRPr="00C87246">
        <w:rPr>
          <w:rFonts w:cs="Arial"/>
          <w:i/>
          <w:szCs w:val="24"/>
          <w:vertAlign w:val="subscript"/>
        </w:rPr>
        <w:t>1-5</w:t>
      </w:r>
      <w:r>
        <w:rPr>
          <w:rFonts w:cs="Arial"/>
          <w:iCs/>
          <w:szCs w:val="24"/>
        </w:rPr>
        <w:t xml:space="preserve">) for the treatment attributes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n</m:t>
            </m:r>
          </m:sub>
        </m:sSub>
      </m:oMath>
      <w:r>
        <w:rPr>
          <w:rFonts w:eastAsiaTheme="minorEastAsia" w:cs="Arial"/>
        </w:rPr>
        <w:t xml:space="preserve"> is the </w:t>
      </w:r>
      <w:r w:rsidRPr="00990664">
        <w:rPr>
          <w:rFonts w:cs="Arial"/>
          <w:szCs w:val="24"/>
        </w:rPr>
        <w:t>sociodemographic and clinical characteristics</w:t>
      </w:r>
      <w:r>
        <w:rPr>
          <w:rFonts w:cs="Arial"/>
          <w:szCs w:val="24"/>
        </w:rPr>
        <w:t xml:space="preserve"> of patient, </w:t>
      </w:r>
      <w:r>
        <w:rPr>
          <w:rFonts w:cs="Arial"/>
          <w:i/>
          <w:iCs/>
          <w:szCs w:val="24"/>
        </w:rPr>
        <w:t>n.</w:t>
      </w:r>
    </w:p>
    <w:sectPr w:rsidR="007649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79"/>
    <w:rsid w:val="00441E0A"/>
    <w:rsid w:val="004E18EE"/>
    <w:rsid w:val="0050730D"/>
    <w:rsid w:val="00764949"/>
    <w:rsid w:val="00943466"/>
    <w:rsid w:val="009A2679"/>
    <w:rsid w:val="00D8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AA34F"/>
  <w15:chartTrackingRefBased/>
  <w15:docId w15:val="{432ECE51-33BF-4562-97B3-16B0160F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679"/>
    <w:pPr>
      <w:spacing w:after="12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2679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679"/>
    <w:rPr>
      <w:rFonts w:ascii="Arial" w:eastAsiaTheme="majorEastAsia" w:hAnsi="Arial" w:cstheme="majorBidi"/>
      <w:b/>
      <w:sz w:val="20"/>
      <w:szCs w:val="32"/>
    </w:rPr>
  </w:style>
  <w:style w:type="character" w:styleId="Hyperlink">
    <w:name w:val="Hyperlink"/>
    <w:basedOn w:val="DefaultParagraphFont"/>
    <w:uiPriority w:val="99"/>
    <w:unhideWhenUsed/>
    <w:rsid w:val="009A26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67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mmi.tervonen@evide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Leventhal</dc:creator>
  <cp:keywords/>
  <dc:description/>
  <cp:lastModifiedBy>Phil Leventhal</cp:lastModifiedBy>
  <cp:revision>2</cp:revision>
  <dcterms:created xsi:type="dcterms:W3CDTF">2021-04-20T16:43:00Z</dcterms:created>
  <dcterms:modified xsi:type="dcterms:W3CDTF">2021-04-20T16:55:00Z</dcterms:modified>
</cp:coreProperties>
</file>