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keepLines w:val="true"/>
        <w:spacing w:before="480" w:after="0" w:line="276"/>
        <w:ind w:right="0" w:left="0" w:firstLine="0"/>
        <w:jc w:val="left"/>
        <w:rPr>
          <w:rFonts w:ascii="Cambria" w:hAnsi="Cambria" w:cs="Cambria" w:eastAsia="Cambria"/>
          <w:b/>
          <w:color w:val="365F91"/>
          <w:spacing w:val="0"/>
          <w:position w:val="0"/>
          <w:sz w:val="28"/>
          <w:shd w:fill="auto" w:val="clear"/>
        </w:rPr>
      </w:pPr>
      <w:r>
        <w:rPr>
          <w:rFonts w:ascii="Cambria" w:hAnsi="Cambria" w:cs="Cambria" w:eastAsia="Cambria"/>
          <w:b/>
          <w:color w:val="365F91"/>
          <w:spacing w:val="0"/>
          <w:position w:val="0"/>
          <w:sz w:val="28"/>
          <w:shd w:fill="auto" w:val="clear"/>
        </w:rPr>
        <w:t xml:space="preserve">Appendix A: Analysis of HAQ score and VAS pain change for ACR response change</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Data from three large randomised clinical trials of patients in the disease-modifying anti-rheumatic drug inadequate response (DMARD-IR) population were used [</w:t>
      </w:r>
      <w:r>
        <w:rPr>
          <w:rFonts w:ascii="Calibri" w:hAnsi="Calibri" w:cs="Calibri" w:eastAsia="Calibri"/>
          <w:b/>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 All patient data were considered regardless of treatment allocation since the hypothesis is that changes in the health assessment questionnaire (HAQ) score and visual analogue scale (VAS) pain are dependent upon the American College of Rheumatology (ACR) response and not treatment.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Summary statistics were derived for the levels of HAQ score and VAS pain for patients falling to an ACR response category: ACR00, ACR20, ACR50 and ACR70 at 6-months and at baseline (retrospectively).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results of the analysis are presented below:</w:t>
      </w:r>
    </w:p>
    <w:p>
      <w:pPr>
        <w:keepNext w:val="true"/>
        <w:spacing w:before="0" w:after="200" w:line="240"/>
        <w:ind w:right="0" w:left="0" w:firstLine="0"/>
        <w:jc w:val="left"/>
        <w:rPr>
          <w:rFonts w:ascii="Calibri" w:hAnsi="Calibri" w:cs="Calibri" w:eastAsia="Calibri"/>
          <w:b/>
          <w:color w:val="4F81BD"/>
          <w:spacing w:val="0"/>
          <w:position w:val="0"/>
          <w:sz w:val="18"/>
          <w:shd w:fill="auto" w:val="clear"/>
        </w:rPr>
      </w:pPr>
      <w:r>
        <w:rPr>
          <w:rFonts w:ascii="Calibri" w:hAnsi="Calibri" w:cs="Calibri" w:eastAsia="Calibri"/>
          <w:b/>
          <w:color w:val="4F81BD"/>
          <w:spacing w:val="0"/>
          <w:position w:val="0"/>
          <w:sz w:val="18"/>
          <w:shd w:fill="auto" w:val="clear"/>
        </w:rPr>
        <w:t xml:space="preserve">Table </w:t>
        <w:tab/>
        <w:t xml:space="preserve">HAQ score analysis</w:t>
      </w:r>
    </w:p>
    <w:tbl>
      <w:tblPr/>
      <w:tblGrid>
        <w:gridCol w:w="1268"/>
        <w:gridCol w:w="1405"/>
        <w:gridCol w:w="1405"/>
        <w:gridCol w:w="1374"/>
        <w:gridCol w:w="1638"/>
      </w:tblGrid>
      <w:tr>
        <w:trPr>
          <w:trHeight w:val="1" w:hRule="atLeast"/>
          <w:jc w:val="left"/>
        </w:trPr>
        <w:tc>
          <w:tcPr>
            <w:tcW w:w="1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Mean</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Standard error</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ACR00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897</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1.52</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0.02</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1.38</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0.02</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-0.14</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0.02</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ACR20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582</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1.56</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1.10</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-0.46</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0.02</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ACR50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400</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1.47</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0.79</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-0.68</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ACR70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325</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1.36</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0.46</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-0.90</w:t>
            </w:r>
          </w:p>
        </w:tc>
        <w:tc>
          <w:tcPr>
            <w:tcW w:w="16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0.03</w:t>
            </w:r>
          </w:p>
        </w:tc>
      </w:tr>
    </w:tbl>
    <w:p>
      <w:pPr>
        <w:spacing w:before="0" w:after="200" w:line="276"/>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ACR, American College of Rheumatology</w:t>
      </w:r>
    </w:p>
    <w:p>
      <w:pPr>
        <w:keepNext w:val="true"/>
        <w:spacing w:before="0" w:after="200" w:line="240"/>
        <w:ind w:right="0" w:left="0" w:firstLine="0"/>
        <w:jc w:val="left"/>
        <w:rPr>
          <w:rFonts w:ascii="Calibri" w:hAnsi="Calibri" w:cs="Calibri" w:eastAsia="Calibri"/>
          <w:b/>
          <w:color w:val="4F81BD"/>
          <w:spacing w:val="0"/>
          <w:position w:val="0"/>
          <w:sz w:val="18"/>
          <w:shd w:fill="auto" w:val="clear"/>
        </w:rPr>
      </w:pPr>
      <w:r>
        <w:rPr>
          <w:rFonts w:ascii="Calibri" w:hAnsi="Calibri" w:cs="Calibri" w:eastAsia="Calibri"/>
          <w:b/>
          <w:color w:val="4F81BD"/>
          <w:spacing w:val="0"/>
          <w:position w:val="0"/>
          <w:sz w:val="18"/>
          <w:shd w:fill="auto" w:val="clear"/>
        </w:rPr>
        <w:t xml:space="preserve">Table 2</w:t>
        <w:tab/>
        <w:t xml:space="preserve">VAS pain analysis</w:t>
      </w:r>
    </w:p>
    <w:tbl>
      <w:tblPr/>
      <w:tblGrid>
        <w:gridCol w:w="1268"/>
        <w:gridCol w:w="1405"/>
        <w:gridCol w:w="1405"/>
        <w:gridCol w:w="1374"/>
        <w:gridCol w:w="1640"/>
      </w:tblGrid>
      <w:tr>
        <w:trPr>
          <w:trHeight w:val="1" w:hRule="atLeast"/>
          <w:jc w:val="left"/>
        </w:trPr>
        <w:tc>
          <w:tcPr>
            <w:tcW w:w="1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Mean</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Standard error</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ACR00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948</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55.05</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0.74</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51.02</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0.75</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-4.02</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0.79</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ACR20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612</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58.37</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0.90</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34.40</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0.75</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-23.97</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0.86</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ACR50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429</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57.18</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1.04</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21.18</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0.65</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-36.00</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0.95</w:t>
            </w:r>
          </w:p>
        </w:tc>
      </w:tr>
      <w:tr>
        <w:trPr>
          <w:trHeight w:val="1" w:hRule="atLeast"/>
          <w:jc w:val="left"/>
        </w:trPr>
        <w:tc>
          <w:tcPr>
            <w:tcW w:w="12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ACR70</w:t>
            </w:r>
          </w:p>
        </w:tc>
        <w:tc>
          <w:tcPr>
            <w:tcW w:w="140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353</w:t>
            </w: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Baseline</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55.11</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1.26</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Week 24</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9.14</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0.50</w:t>
            </w:r>
          </w:p>
        </w:tc>
      </w:tr>
      <w:tr>
        <w:trPr>
          <w:trHeight w:val="1" w:hRule="atLeast"/>
          <w:jc w:val="left"/>
        </w:trPr>
        <w:tc>
          <w:tcPr>
            <w:tcW w:w="12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Delta</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-45.96</w:t>
            </w:r>
          </w:p>
        </w:tc>
        <w:tc>
          <w:tcPr>
            <w:tcW w:w="16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1.26</w:t>
            </w:r>
          </w:p>
        </w:tc>
      </w:tr>
    </w:tbl>
    <w:p>
      <w:pPr>
        <w:spacing w:before="0" w:after="200" w:line="276"/>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ACR, American College of Rheumatology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keepNext w:val="true"/>
        <w:keepLines w:val="true"/>
        <w:spacing w:before="480" w:after="0" w:line="276"/>
        <w:ind w:right="0" w:left="0" w:firstLine="0"/>
        <w:jc w:val="left"/>
        <w:rPr>
          <w:rFonts w:ascii="Cambria" w:hAnsi="Cambria" w:cs="Cambria" w:eastAsia="Cambria"/>
          <w:b/>
          <w:color w:val="365F91"/>
          <w:spacing w:val="0"/>
          <w:position w:val="0"/>
          <w:sz w:val="28"/>
          <w:shd w:fill="auto" w:val="clear"/>
        </w:rPr>
      </w:pPr>
      <w:r>
        <w:rPr>
          <w:rFonts w:ascii="Cambria" w:hAnsi="Cambria" w:cs="Cambria" w:eastAsia="Cambria"/>
          <w:b/>
          <w:color w:val="365F91"/>
          <w:spacing w:val="0"/>
          <w:position w:val="0"/>
          <w:sz w:val="28"/>
          <w:shd w:fill="auto" w:val="clear"/>
        </w:rPr>
        <w:t xml:space="preserve">References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Fleischmann RM, Halland AM, Brzosko M, et al. Tocilizumab inhibits structural joint damage and improves physical function in patients with rheumatoid arthritis and inadequate responses to methotrexate: LITHE study 2-year results. J Rheumatol. 2013 Feb;40(2):113-26.</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Genovese MC, McKay JD, Nasonov EL, et al. Interleukin-6 receptor inhibition with tocilizumab reduces disease activity in rheumatoid arthritis with inadequate response to disease-modifying antirheumatic drugs: the tocilizumab in combination with traditional disease-modifying antirheumatic drug therapy study. Arthritis Rheum. 2008 Oct;58(10):2968-80.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Smolen JS, Beaulieu A, Rubbert-Roth A, et al. Effect of interleukin-6 receptor inhibition with tocilizumab in patients with rheumatoid arthritis (OPTION study): a double-blind, placebo-controlled, randomised trial. Lancet. 2008 Mar 22;371(9617):987-97.</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