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7A" w:rsidRDefault="00DC480D" w:rsidP="00542D3D">
      <w:pPr>
        <w:pStyle w:val="Heading1"/>
      </w:pPr>
      <w:r>
        <w:t>Appendix</w:t>
      </w:r>
      <w:r w:rsidR="00542D3D">
        <w:t xml:space="preserve"> C: </w:t>
      </w:r>
      <w:r w:rsidR="00EE4FA4" w:rsidRPr="00FF10D6">
        <w:t xml:space="preserve">Use of pharmacological treatment </w:t>
      </w:r>
      <w:r w:rsidR="00EE4FA4">
        <w:t xml:space="preserve">in </w:t>
      </w:r>
      <w:r w:rsidR="00542D3D">
        <w:t>palliative care</w:t>
      </w:r>
    </w:p>
    <w:p w:rsidR="00542D3D" w:rsidRPr="00542D3D" w:rsidRDefault="00542D3D" w:rsidP="00664F81">
      <w:pPr>
        <w:jc w:val="both"/>
        <w:rPr>
          <w:rFonts w:ascii="Calibri" w:eastAsia="Calibri" w:hAnsi="Calibri" w:cs="Times New Roman"/>
        </w:rPr>
      </w:pPr>
      <w:r>
        <w:t>A survey of six practicing rheumatologists was conducted to understand the toxicity of treatments administered during palliative care. The clinicians were selected from different countries in Europe</w:t>
      </w:r>
      <w:r w:rsidR="002C02A7">
        <w:t xml:space="preserve"> (Belgium, England, Scotland, Spain, Switzerland and Netherlands). </w:t>
      </w:r>
    </w:p>
    <w:p w:rsidR="00542D3D" w:rsidRDefault="00542D3D" w:rsidP="00664F81">
      <w:pPr>
        <w:jc w:val="both"/>
      </w:pPr>
      <w:r>
        <w:t xml:space="preserve">During a structured interview, conducted by telephone and email, clinicians were invited to determine the type of treatment available to patients after loss of response of the last available </w:t>
      </w:r>
      <w:r w:rsidR="00664F81">
        <w:t>biologic disease-modifying anti-rheumatic drug (</w:t>
      </w:r>
      <w:proofErr w:type="spellStart"/>
      <w:r>
        <w:t>bDMARD</w:t>
      </w:r>
      <w:proofErr w:type="spellEnd"/>
      <w:r w:rsidR="00664F81">
        <w:t>)</w:t>
      </w:r>
      <w:r>
        <w:t xml:space="preserve">, and the respective proportions of patients using these treatments. The identified treatments were separated to disease management, symptom control, and pain relief. </w:t>
      </w:r>
    </w:p>
    <w:p w:rsidR="00542D3D" w:rsidRDefault="00542D3D" w:rsidP="00664F81">
      <w:pPr>
        <w:jc w:val="both"/>
      </w:pPr>
      <w:r w:rsidRPr="00542D3D">
        <w:t>The responses to the survey regarding the use of a pharmacological treatment or combinations with symptom-relief drugs varied considerably</w:t>
      </w:r>
      <w:r>
        <w:t>.</w:t>
      </w:r>
      <w:r w:rsidRPr="00542D3D">
        <w:t xml:space="preserve"> Furthermore, given the wide range of the clinician responses and that the survey included only six experts any inference based on statistical averages would be misleading.</w:t>
      </w:r>
      <w:r>
        <w:t xml:space="preserve"> </w:t>
      </w:r>
      <w:r w:rsidRPr="00FF10D6">
        <w:t xml:space="preserve">For </w:t>
      </w:r>
      <w:r w:rsidR="002C02A7">
        <w:t xml:space="preserve">this </w:t>
      </w:r>
      <w:r w:rsidRPr="00FF10D6">
        <w:t>reason we attempted to detect patterns across all responses coming to a general statement that could be supported by all clinical experts</w:t>
      </w:r>
      <w:r w:rsidR="002C02A7">
        <w:t xml:space="preserve"> included in the survey</w:t>
      </w:r>
      <w:r w:rsidRPr="00FF10D6">
        <w:t>. We then proceeded to assign a numeric value to those general statements.</w:t>
      </w:r>
      <w:r w:rsidR="00EC42C6">
        <w:t xml:space="preserve"> The resulting proportions of treatment use are presented in the tables below.</w:t>
      </w:r>
    </w:p>
    <w:p w:rsidR="00EC42C6" w:rsidRPr="00FF10D6" w:rsidRDefault="00EC42C6" w:rsidP="00EC42C6">
      <w:pPr>
        <w:pStyle w:val="Caption"/>
      </w:pPr>
      <w:bookmarkStart w:id="0" w:name="_Ref341357449"/>
      <w:r w:rsidRPr="00FF10D6">
        <w:t xml:space="preserve">Table </w:t>
      </w:r>
      <w:r w:rsidR="00E2708D" w:rsidRPr="00FF10D6">
        <w:fldChar w:fldCharType="begin"/>
      </w:r>
      <w:r w:rsidRPr="00FF10D6">
        <w:instrText xml:space="preserve"> SEQ Table \* ARABIC </w:instrText>
      </w:r>
      <w:r w:rsidR="00E2708D" w:rsidRPr="00FF10D6">
        <w:fldChar w:fldCharType="separate"/>
      </w:r>
      <w:r w:rsidR="00533F1C">
        <w:rPr>
          <w:noProof/>
        </w:rPr>
        <w:t>1</w:t>
      </w:r>
      <w:r w:rsidR="00E2708D" w:rsidRPr="00FF10D6">
        <w:fldChar w:fldCharType="end"/>
      </w:r>
      <w:bookmarkEnd w:id="0"/>
      <w:r w:rsidRPr="00FF10D6">
        <w:t xml:space="preserve"> Use of pharmacological treatment in MTX-tolerant patients in palliative care</w:t>
      </w:r>
    </w:p>
    <w:tbl>
      <w:tblPr>
        <w:tblStyle w:val="TableGrid"/>
        <w:tblW w:w="9512" w:type="dxa"/>
        <w:tblLook w:val="04A0"/>
      </w:tblPr>
      <w:tblGrid>
        <w:gridCol w:w="2380"/>
        <w:gridCol w:w="1463"/>
        <w:gridCol w:w="283"/>
        <w:gridCol w:w="1134"/>
        <w:gridCol w:w="1985"/>
        <w:gridCol w:w="1559"/>
        <w:gridCol w:w="708"/>
      </w:tblGrid>
      <w:tr w:rsidR="00533F1C" w:rsidRPr="002C02A7" w:rsidTr="00533F1C">
        <w:trPr>
          <w:trHeight w:val="300"/>
        </w:trPr>
        <w:tc>
          <w:tcPr>
            <w:tcW w:w="2380" w:type="dxa"/>
            <w:vMerge w:val="restart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63" w:type="dxa"/>
            <w:vMerge w:val="restart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Primary treatment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highlight w:val="lightGray"/>
                <w:lang w:eastAsia="en-GB"/>
              </w:rPr>
            </w:pPr>
          </w:p>
        </w:tc>
        <w:tc>
          <w:tcPr>
            <w:tcW w:w="5386" w:type="dxa"/>
            <w:gridSpan w:val="4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Concomitant symptom-relief treatment</w:t>
            </w:r>
          </w:p>
        </w:tc>
      </w:tr>
      <w:tr w:rsidR="00533F1C" w:rsidRPr="002C02A7" w:rsidTr="00533F1C">
        <w:trPr>
          <w:trHeight w:val="300"/>
        </w:trPr>
        <w:tc>
          <w:tcPr>
            <w:tcW w:w="2380" w:type="dxa"/>
            <w:vMerge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63" w:type="dxa"/>
            <w:vMerge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highlight w:val="lightGray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:rsidR="00533F1C" w:rsidRPr="00664F81" w:rsidRDefault="00533F1C" w:rsidP="003C23F3">
            <w:pPr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+ NSAIDs</w:t>
            </w:r>
          </w:p>
        </w:tc>
        <w:tc>
          <w:tcPr>
            <w:tcW w:w="1985" w:type="dxa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+ COX-2 inhibitors</w:t>
            </w:r>
          </w:p>
        </w:tc>
        <w:tc>
          <w:tcPr>
            <w:tcW w:w="1559" w:type="dxa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+ no additional treatments</w:t>
            </w:r>
          </w:p>
        </w:tc>
        <w:tc>
          <w:tcPr>
            <w:tcW w:w="708" w:type="dxa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2C02A7" w:rsidP="003C23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MTX only</w:t>
            </w: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25%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50%</w:t>
            </w:r>
          </w:p>
        </w:tc>
        <w:tc>
          <w:tcPr>
            <w:tcW w:w="1985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708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Glucocorticoids only</w:t>
            </w: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highlight w:val="lightGray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10%</w:t>
            </w:r>
          </w:p>
        </w:tc>
        <w:tc>
          <w:tcPr>
            <w:tcW w:w="1985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60%</w:t>
            </w:r>
          </w:p>
        </w:tc>
        <w:tc>
          <w:tcPr>
            <w:tcW w:w="708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664F81" w:rsidP="003C23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MTX </w:t>
            </w:r>
            <w:r w:rsidR="002C02A7"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and glucocorticoids</w:t>
            </w: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35%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highlight w:val="lightGray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10%</w:t>
            </w:r>
          </w:p>
        </w:tc>
        <w:tc>
          <w:tcPr>
            <w:tcW w:w="1985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60%</w:t>
            </w:r>
          </w:p>
        </w:tc>
        <w:tc>
          <w:tcPr>
            <w:tcW w:w="708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664F81" w:rsidRDefault="00664F81" w:rsidP="003C23F3">
            <w:pPr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  <w:r w:rsidR="002C02A7"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DMARD</w:t>
            </w:r>
            <w:proofErr w:type="spellEnd"/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20%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highlight w:val="lightGray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50%</w:t>
            </w:r>
          </w:p>
        </w:tc>
        <w:tc>
          <w:tcPr>
            <w:tcW w:w="1985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708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No treatment</w:t>
            </w: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highlight w:val="lightGray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50%</w:t>
            </w:r>
          </w:p>
        </w:tc>
        <w:tc>
          <w:tcPr>
            <w:tcW w:w="1985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708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highlight w:val="lightGray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985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8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3C23F3" w:rsidRPr="003C23F3" w:rsidRDefault="00D64803" w:rsidP="003C23F3">
      <w:pPr>
        <w:spacing w:after="0" w:line="240" w:lineRule="auto"/>
        <w:jc w:val="both"/>
        <w:rPr>
          <w:sz w:val="18"/>
        </w:rPr>
      </w:pPr>
      <w:r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 xml:space="preserve">MTX, methotrexate; </w:t>
      </w:r>
      <w:r w:rsidR="003C23F3"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 xml:space="preserve">NSAIDs, non-steroidal anti-inflammatory drug; </w:t>
      </w:r>
      <w:proofErr w:type="spellStart"/>
      <w:r w:rsidR="003C23F3"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>sDMARD</w:t>
      </w:r>
      <w:proofErr w:type="spellEnd"/>
      <w:r w:rsidR="003C23F3"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 xml:space="preserve">, </w:t>
      </w:r>
      <w:r w:rsidR="003C23F3" w:rsidRPr="003C23F3">
        <w:rPr>
          <w:sz w:val="18"/>
        </w:rPr>
        <w:t>synthetic disease-modifying anti-rheumatic drug</w:t>
      </w:r>
    </w:p>
    <w:p w:rsidR="00EC42C6" w:rsidRPr="00542D3D" w:rsidRDefault="00EC42C6" w:rsidP="00542D3D"/>
    <w:p w:rsidR="00EC42C6" w:rsidRPr="00FF10D6" w:rsidRDefault="00EC42C6" w:rsidP="00EC42C6">
      <w:pPr>
        <w:pStyle w:val="Caption"/>
        <w:keepNext/>
      </w:pPr>
      <w:bookmarkStart w:id="1" w:name="_Ref341357456"/>
      <w:r w:rsidRPr="00FF10D6">
        <w:t xml:space="preserve">Table </w:t>
      </w:r>
      <w:r w:rsidR="00E2708D" w:rsidRPr="00FF10D6">
        <w:fldChar w:fldCharType="begin"/>
      </w:r>
      <w:r w:rsidRPr="00FF10D6">
        <w:instrText xml:space="preserve"> SEQ Table \* ARABIC </w:instrText>
      </w:r>
      <w:r w:rsidR="00E2708D" w:rsidRPr="00FF10D6">
        <w:fldChar w:fldCharType="separate"/>
      </w:r>
      <w:r w:rsidR="00533F1C">
        <w:rPr>
          <w:noProof/>
        </w:rPr>
        <w:t>2</w:t>
      </w:r>
      <w:r w:rsidR="00E2708D" w:rsidRPr="00FF10D6">
        <w:fldChar w:fldCharType="end"/>
      </w:r>
      <w:bookmarkEnd w:id="1"/>
      <w:r w:rsidRPr="00FF10D6">
        <w:t xml:space="preserve"> Use of pharmacological treatment in MTX-contraindicated patients in palliative care</w:t>
      </w:r>
    </w:p>
    <w:tbl>
      <w:tblPr>
        <w:tblStyle w:val="TableGrid"/>
        <w:tblW w:w="9513" w:type="dxa"/>
        <w:tblLook w:val="04A0"/>
      </w:tblPr>
      <w:tblGrid>
        <w:gridCol w:w="2380"/>
        <w:gridCol w:w="1463"/>
        <w:gridCol w:w="283"/>
        <w:gridCol w:w="1369"/>
        <w:gridCol w:w="1750"/>
        <w:gridCol w:w="1559"/>
        <w:gridCol w:w="709"/>
      </w:tblGrid>
      <w:tr w:rsidR="00533F1C" w:rsidRPr="002C02A7" w:rsidTr="00533F1C">
        <w:trPr>
          <w:trHeight w:val="300"/>
        </w:trPr>
        <w:tc>
          <w:tcPr>
            <w:tcW w:w="2380" w:type="dxa"/>
            <w:vMerge w:val="restart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63" w:type="dxa"/>
            <w:vMerge w:val="restart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Primary treatment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387" w:type="dxa"/>
            <w:gridSpan w:val="4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Concomitant symptom-relief treatment</w:t>
            </w:r>
          </w:p>
        </w:tc>
      </w:tr>
      <w:tr w:rsidR="00533F1C" w:rsidRPr="002C02A7" w:rsidTr="00533F1C">
        <w:trPr>
          <w:trHeight w:val="300"/>
        </w:trPr>
        <w:tc>
          <w:tcPr>
            <w:tcW w:w="2380" w:type="dxa"/>
            <w:vMerge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63" w:type="dxa"/>
            <w:vMerge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69" w:type="dxa"/>
            <w:noWrap/>
            <w:hideMark/>
          </w:tcPr>
          <w:p w:rsidR="00533F1C" w:rsidRPr="002C02A7" w:rsidRDefault="00533F1C" w:rsidP="003C23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+ </w:t>
            </w:r>
            <w:r w:rsidR="00664F81"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NSAIDs</w:t>
            </w:r>
          </w:p>
        </w:tc>
        <w:tc>
          <w:tcPr>
            <w:tcW w:w="1750" w:type="dxa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+ COX-2 inhibitors</w:t>
            </w:r>
          </w:p>
        </w:tc>
        <w:tc>
          <w:tcPr>
            <w:tcW w:w="1559" w:type="dxa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+ no additional treatments</w:t>
            </w:r>
          </w:p>
        </w:tc>
        <w:tc>
          <w:tcPr>
            <w:tcW w:w="709" w:type="dxa"/>
            <w:noWrap/>
            <w:hideMark/>
          </w:tcPr>
          <w:p w:rsidR="00533F1C" w:rsidRPr="002C02A7" w:rsidRDefault="00533F1C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Glucocorticoids only</w:t>
            </w: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35%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6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20%</w:t>
            </w:r>
          </w:p>
        </w:tc>
        <w:tc>
          <w:tcPr>
            <w:tcW w:w="1750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50%</w:t>
            </w:r>
          </w:p>
        </w:tc>
        <w:tc>
          <w:tcPr>
            <w:tcW w:w="70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664F81" w:rsidP="003C23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</w:t>
            </w: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DMARD</w:t>
            </w:r>
            <w:proofErr w:type="spellEnd"/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50%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6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50%</w:t>
            </w:r>
          </w:p>
        </w:tc>
        <w:tc>
          <w:tcPr>
            <w:tcW w:w="1750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70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No treatment</w:t>
            </w: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15%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6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30%</w:t>
            </w:r>
          </w:p>
        </w:tc>
        <w:tc>
          <w:tcPr>
            <w:tcW w:w="1750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20%</w:t>
            </w: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50%</w:t>
            </w:r>
          </w:p>
        </w:tc>
        <w:tc>
          <w:tcPr>
            <w:tcW w:w="709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</w:tr>
      <w:tr w:rsidR="002C02A7" w:rsidRPr="002C02A7" w:rsidTr="00533F1C">
        <w:trPr>
          <w:trHeight w:val="300"/>
        </w:trPr>
        <w:tc>
          <w:tcPr>
            <w:tcW w:w="2380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63" w:type="dxa"/>
            <w:noWrap/>
            <w:hideMark/>
          </w:tcPr>
          <w:p w:rsidR="002C02A7" w:rsidRPr="002C02A7" w:rsidRDefault="002C02A7" w:rsidP="002C02A7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2C02A7">
              <w:rPr>
                <w:rFonts w:ascii="Calibri" w:eastAsia="Times New Roman" w:hAnsi="Calibri" w:cs="Times New Roman"/>
                <w:color w:val="000000"/>
                <w:lang w:eastAsia="en-GB"/>
              </w:rPr>
              <w:t>100%</w:t>
            </w:r>
          </w:p>
        </w:tc>
        <w:tc>
          <w:tcPr>
            <w:tcW w:w="283" w:type="dxa"/>
            <w:shd w:val="clear" w:color="auto" w:fill="D9D9D9" w:themeFill="background1" w:themeFillShade="D9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69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50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:rsidR="002C02A7" w:rsidRPr="002C02A7" w:rsidRDefault="002C02A7" w:rsidP="002C02A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664F81" w:rsidRPr="003C23F3" w:rsidRDefault="003C23F3" w:rsidP="00664F81">
      <w:pPr>
        <w:spacing w:after="0" w:line="240" w:lineRule="auto"/>
        <w:jc w:val="both"/>
        <w:rPr>
          <w:sz w:val="18"/>
        </w:rPr>
      </w:pPr>
      <w:r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>NSAIDs, n</w:t>
      </w:r>
      <w:r w:rsidR="00664F81"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>on-steroidal anti-inflammatory drug</w:t>
      </w:r>
      <w:r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 xml:space="preserve">; </w:t>
      </w:r>
      <w:proofErr w:type="spellStart"/>
      <w:r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>sDMARD</w:t>
      </w:r>
      <w:proofErr w:type="spellEnd"/>
      <w:r w:rsidRPr="003C23F3">
        <w:rPr>
          <w:rFonts w:ascii="Calibri" w:eastAsia="Times New Roman" w:hAnsi="Calibri" w:cs="Times New Roman"/>
          <w:color w:val="000000"/>
          <w:sz w:val="18"/>
          <w:lang w:eastAsia="en-GB"/>
        </w:rPr>
        <w:t xml:space="preserve">, </w:t>
      </w:r>
      <w:r w:rsidR="00664F81" w:rsidRPr="003C23F3">
        <w:rPr>
          <w:sz w:val="18"/>
        </w:rPr>
        <w:t>synthetic disease-modifying anti-rheumatic drug</w:t>
      </w:r>
    </w:p>
    <w:p w:rsidR="005C726C" w:rsidRPr="00FF10D6" w:rsidRDefault="005C726C" w:rsidP="005C726C">
      <w:pPr>
        <w:pStyle w:val="Heading3"/>
      </w:pPr>
      <w:bookmarkStart w:id="2" w:name="_Toc341716971"/>
      <w:proofErr w:type="spellStart"/>
      <w:r w:rsidRPr="00FF10D6">
        <w:lastRenderedPageBreak/>
        <w:t>Generalisability</w:t>
      </w:r>
      <w:proofErr w:type="spellEnd"/>
      <w:r w:rsidRPr="00FF10D6">
        <w:t xml:space="preserve"> of survey findings</w:t>
      </w:r>
      <w:bookmarkEnd w:id="2"/>
    </w:p>
    <w:p w:rsidR="005C726C" w:rsidRPr="00FF10D6" w:rsidRDefault="005C726C" w:rsidP="00DA3836">
      <w:pPr>
        <w:jc w:val="both"/>
      </w:pPr>
      <w:r w:rsidRPr="00FF10D6">
        <w:t xml:space="preserve">Note that during the survey some of the clinical experts indicated that there </w:t>
      </w:r>
      <w:r w:rsidR="00664F81" w:rsidRPr="00FF10D6">
        <w:t>are</w:t>
      </w:r>
      <w:r w:rsidRPr="00FF10D6">
        <w:t xml:space="preserve"> a proportion of patients who continue on biologics despite having lost the expected efficacy from the treatment. </w:t>
      </w:r>
      <w:r w:rsidR="00533F1C">
        <w:t>S</w:t>
      </w:r>
      <w:r w:rsidRPr="00FF10D6">
        <w:t xml:space="preserve">ince the economic analysis considers </w:t>
      </w:r>
      <w:r w:rsidR="00533F1C">
        <w:t xml:space="preserve">palliative care is used after </w:t>
      </w:r>
      <w:r w:rsidRPr="00FF10D6">
        <w:t>all available biologics in a treatment sequence, the addition of bDMARDs in palliative care would not be appropriate for the model. However, it should be noted that local practice m</w:t>
      </w:r>
      <w:r>
        <w:t>ight differ a lot across Europe.</w:t>
      </w:r>
    </w:p>
    <w:p w:rsidR="00920284" w:rsidRDefault="005C726C" w:rsidP="00DA3836">
      <w:pPr>
        <w:jc w:val="both"/>
      </w:pPr>
      <w:r w:rsidRPr="00FF10D6">
        <w:t xml:space="preserve">Furthermore, with regards to </w:t>
      </w:r>
      <w:proofErr w:type="spellStart"/>
      <w:r w:rsidRPr="00FF10D6">
        <w:t>generalisability</w:t>
      </w:r>
      <w:proofErr w:type="spellEnd"/>
      <w:r w:rsidRPr="00FF10D6">
        <w:t xml:space="preserve"> of the survey results, note that availability of treatment in each country is a driver of clinical practice and could, therefore, affect clinician responses. For example, if patients tried only a few</w:t>
      </w:r>
      <w:r w:rsidR="00664F81">
        <w:t xml:space="preserve"> synthetic disease-modifying anti-rheumatic drugs</w:t>
      </w:r>
      <w:r w:rsidRPr="00FF10D6">
        <w:t xml:space="preserve"> </w:t>
      </w:r>
      <w:r w:rsidR="00664F81">
        <w:t>(</w:t>
      </w:r>
      <w:proofErr w:type="spellStart"/>
      <w:r w:rsidR="00664F81">
        <w:t>sDMARD</w:t>
      </w:r>
      <w:r w:rsidRPr="00FF10D6">
        <w:t>s</w:t>
      </w:r>
      <w:proofErr w:type="spellEnd"/>
      <w:r w:rsidR="00664F81">
        <w:t>)</w:t>
      </w:r>
      <w:r w:rsidRPr="00FF10D6">
        <w:t xml:space="preserve"> before moving to bDMARDs they are most likely to be offered other </w:t>
      </w:r>
      <w:proofErr w:type="spellStart"/>
      <w:r w:rsidR="00664F81">
        <w:t>sDMARD</w:t>
      </w:r>
      <w:r w:rsidRPr="00FF10D6">
        <w:t>s</w:t>
      </w:r>
      <w:proofErr w:type="spellEnd"/>
      <w:r w:rsidRPr="00FF10D6">
        <w:t xml:space="preserve"> </w:t>
      </w:r>
      <w:r w:rsidR="00533F1C">
        <w:t xml:space="preserve">in palliative </w:t>
      </w:r>
      <w:proofErr w:type="gramStart"/>
      <w:r w:rsidR="00533F1C">
        <w:t>care</w:t>
      </w:r>
      <w:r w:rsidRPr="00FF10D6">
        <w:t>.</w:t>
      </w:r>
      <w:proofErr w:type="gramEnd"/>
      <w:r w:rsidRPr="00FF10D6">
        <w:t xml:space="preserve"> This could be different from other countries were </w:t>
      </w:r>
      <w:r w:rsidR="00533F1C">
        <w:t xml:space="preserve">many </w:t>
      </w:r>
      <w:proofErr w:type="spellStart"/>
      <w:r w:rsidR="00664F81">
        <w:t>sDMARD</w:t>
      </w:r>
      <w:r w:rsidR="00533F1C">
        <w:t>s</w:t>
      </w:r>
      <w:proofErr w:type="spellEnd"/>
      <w:r w:rsidRPr="00FF10D6">
        <w:t xml:space="preserve"> </w:t>
      </w:r>
      <w:r w:rsidR="00533F1C">
        <w:t xml:space="preserve">are prescribed </w:t>
      </w:r>
      <w:r w:rsidRPr="00FF10D6">
        <w:t>befor</w:t>
      </w:r>
      <w:r w:rsidR="00AA3AEA">
        <w:t>e switching to bDMARDs.</w:t>
      </w:r>
      <w:bookmarkStart w:id="3" w:name="_GoBack"/>
      <w:bookmarkEnd w:id="3"/>
    </w:p>
    <w:sectPr w:rsidR="00920284" w:rsidSect="000E2B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E66B2"/>
    <w:multiLevelType w:val="hybridMultilevel"/>
    <w:tmpl w:val="639C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2D3D"/>
    <w:rsid w:val="000E2B2D"/>
    <w:rsid w:val="002B7C54"/>
    <w:rsid w:val="002C02A7"/>
    <w:rsid w:val="003C23F3"/>
    <w:rsid w:val="00533F1C"/>
    <w:rsid w:val="00542D3D"/>
    <w:rsid w:val="005C726C"/>
    <w:rsid w:val="00664F81"/>
    <w:rsid w:val="00680321"/>
    <w:rsid w:val="00920284"/>
    <w:rsid w:val="00A22E7A"/>
    <w:rsid w:val="00AA3AEA"/>
    <w:rsid w:val="00C30303"/>
    <w:rsid w:val="00D64803"/>
    <w:rsid w:val="00DA3836"/>
    <w:rsid w:val="00DC480D"/>
    <w:rsid w:val="00E2708D"/>
    <w:rsid w:val="00EC42C6"/>
    <w:rsid w:val="00EE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B2D"/>
  </w:style>
  <w:style w:type="paragraph" w:styleId="Heading1">
    <w:name w:val="heading 1"/>
    <w:basedOn w:val="Normal"/>
    <w:next w:val="Normal"/>
    <w:link w:val="Heading1Char"/>
    <w:uiPriority w:val="9"/>
    <w:qFormat/>
    <w:rsid w:val="00542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8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2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C4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C42C6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2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DA38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8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2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C4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C42C6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2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DA38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6F37B-1A47-4163-941A-12367FDF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Diamantopoulos</dc:creator>
  <cp:lastModifiedBy>dilpreets</cp:lastModifiedBy>
  <cp:revision>4</cp:revision>
  <dcterms:created xsi:type="dcterms:W3CDTF">2014-03-31T13:40:00Z</dcterms:created>
  <dcterms:modified xsi:type="dcterms:W3CDTF">2014-04-01T09:35:00Z</dcterms:modified>
</cp:coreProperties>
</file>