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Appendix D: Costs and utility values for individual events associated with treatments used in palliative care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4F81BD"/>
          <w:spacing w:val="0"/>
          <w:position w:val="0"/>
          <w:sz w:val="18"/>
          <w:shd w:fill="auto" w:val="clear"/>
        </w:rPr>
        <w:t xml:space="preserve">Table 1</w:t>
        <w:tab/>
      </w:r>
      <w:r>
        <w:rPr>
          <w:rFonts w:ascii="Calibri" w:hAnsi="Calibri" w:cs="Calibri" w:eastAsia="Calibri"/>
          <w:color w:val="4F81BD"/>
          <w:spacing w:val="0"/>
          <w:position w:val="0"/>
          <w:sz w:val="18"/>
          <w:shd w:fill="auto" w:val="clear"/>
        </w:rPr>
        <w:t xml:space="preserve">Costs and utility values for adverse events</w:t>
      </w:r>
    </w:p>
    <w:tbl>
      <w:tblPr/>
      <w:tblGrid>
        <w:gridCol w:w="1633"/>
        <w:gridCol w:w="2166"/>
        <w:gridCol w:w="2970"/>
        <w:gridCol w:w="2473"/>
      </w:tblGrid>
      <w:tr>
        <w:trPr>
          <w:trHeight w:val="300" w:hRule="auto"/>
          <w:jc w:val="left"/>
        </w:trPr>
        <w:tc>
          <w:tcPr>
            <w:tcW w:w="16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Adverse event</w:t>
            </w:r>
          </w:p>
        </w:tc>
        <w:tc>
          <w:tcPr>
            <w:tcW w:w="2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Utility</w:t>
            </w:r>
          </w:p>
        </w:tc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Cost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Source</w:t>
            </w:r>
          </w:p>
        </w:tc>
      </w:tr>
      <w:tr>
        <w:trPr>
          <w:trHeight w:val="600" w:hRule="auto"/>
          <w:jc w:val="left"/>
        </w:trPr>
        <w:tc>
          <w:tcPr>
            <w:tcW w:w="16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Dyspepsia</w:t>
            </w:r>
          </w:p>
        </w:tc>
        <w:tc>
          <w:tcPr>
            <w:tcW w:w="2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first 3 months: 0.73</w:t>
              <w:br/>
              <w:t xml:space="preserve">after 3 months:  1.00</w:t>
            </w:r>
          </w:p>
        </w:tc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first 3 months:  £40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after 3 months:  £0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Latimer 2009; NICE Osteoarthritis guideline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6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Nausea</w:t>
            </w:r>
          </w:p>
        </w:tc>
        <w:tc>
          <w:tcPr>
            <w:tcW w:w="2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decrement:  0.23</w:t>
            </w:r>
          </w:p>
        </w:tc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Vera-Llonch 2008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900" w:hRule="auto"/>
          <w:jc w:val="left"/>
        </w:trPr>
        <w:tc>
          <w:tcPr>
            <w:tcW w:w="16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Constipation</w:t>
            </w:r>
          </w:p>
        </w:tc>
        <w:tc>
          <w:tcPr>
            <w:tcW w:w="2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decrement:  0.072</w:t>
            </w:r>
          </w:p>
        </w:tc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event cost: £4.68 per week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prevention cost: £2.10 per week  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NICE opioids in palliative care guideline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6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Hypertension</w:t>
            </w:r>
          </w:p>
        </w:tc>
        <w:tc>
          <w:tcPr>
            <w:tcW w:w="2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0.98</w:t>
            </w:r>
          </w:p>
        </w:tc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Stein 2002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6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Infection</w:t>
            </w:r>
          </w:p>
        </w:tc>
        <w:tc>
          <w:tcPr>
            <w:tcW w:w="2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0.79</w:t>
            </w:r>
          </w:p>
        </w:tc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£2,046.68</w:t>
            </w: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Assumes pneumonia (utility = 0.21) lasts for 7 days (based on length of stay reported by NHS reference costs 2011)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6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Headaches</w:t>
            </w:r>
          </w:p>
        </w:tc>
        <w:tc>
          <w:tcPr>
            <w:tcW w:w="2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decrement:  0.23</w:t>
            </w:r>
          </w:p>
        </w:tc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Vera-Llonch 2008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6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Dizziness</w:t>
            </w:r>
          </w:p>
        </w:tc>
        <w:tc>
          <w:tcPr>
            <w:tcW w:w="2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decrement:  0.22</w:t>
            </w:r>
          </w:p>
        </w:tc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Vera-Llonch 2008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6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Alopecia</w:t>
            </w:r>
          </w:p>
        </w:tc>
        <w:tc>
          <w:tcPr>
            <w:tcW w:w="2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0.837</w:t>
            </w:r>
          </w:p>
        </w:tc>
        <w:tc>
          <w:tcPr>
            <w:tcW w:w="29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Remak 2003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</w:tbl>
    <w:p>
      <w:pPr>
        <w:spacing w:before="0" w:after="20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4F81BD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4F81BD"/>
          <w:spacing w:val="0"/>
          <w:position w:val="0"/>
          <w:sz w:val="18"/>
          <w:shd w:fill="auto" w:val="clear"/>
        </w:rPr>
        <w:t xml:space="preserve">Table 2</w:t>
        <w:tab/>
        <w:t xml:space="preserve">Unit costs of treatments comprising palliative care</w:t>
      </w:r>
    </w:p>
    <w:tbl>
      <w:tblPr/>
      <w:tblGrid>
        <w:gridCol w:w="1895"/>
        <w:gridCol w:w="1172"/>
        <w:gridCol w:w="1123"/>
        <w:gridCol w:w="984"/>
        <w:gridCol w:w="1684"/>
        <w:gridCol w:w="2384"/>
      </w:tblGrid>
      <w:tr>
        <w:trPr>
          <w:trHeight w:val="33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Drug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Daily cost (£)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Dose (mg/day)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Cost £/mg</w:t>
            </w: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Source for dose</w:t>
            </w: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Source for cost per mg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Sulfasalazine 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0.2079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2000.00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0.0001</w:t>
            </w:r>
          </w:p>
        </w:tc>
        <w:tc>
          <w:tcPr>
            <w:tcW w:w="16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NICE CG 79 Rheumatoid Arthritis: National Clinical Guideline for Management and Treatment in Adults, Appendix C, Table C.10</w:t>
            </w: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Sulfasalazine (Non-proprietary) 500 mg, net price 112 = £5.82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Methotrexate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0.18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1.15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0.0467</w:t>
            </w:r>
          </w:p>
        </w:tc>
        <w:tc>
          <w:tcPr>
            <w:tcW w:w="16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Methotrexate (Non-proprietary) 2.5 mg, net price 28-tab pack = £3.27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Hydroxy-chloroquine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0.1288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300.00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0.0004</w:t>
            </w:r>
          </w:p>
        </w:tc>
        <w:tc>
          <w:tcPr>
            <w:tcW w:w="16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Hydroxychloroquine (Non-proprietary) hydroxychloroquine sulfate 200 mg, net price 60-tab pack = £5.15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Prednisolone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0.0864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0.0086</w:t>
            </w:r>
          </w:p>
        </w:tc>
        <w:tc>
          <w:tcPr>
            <w:tcW w:w="16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Prednisolone (Non-proprietary) 5 mg, 28-tab pack = £1.21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Leflunomide 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1.53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0.1023</w:t>
            </w:r>
          </w:p>
        </w:tc>
        <w:tc>
          <w:tcPr>
            <w:tcW w:w="16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Leflunomide (Non-proprietary) 20 mg, 30-tab pack = £61.36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Ciclosporin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5.18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225.00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0.0230</w:t>
            </w:r>
          </w:p>
        </w:tc>
        <w:tc>
          <w:tcPr>
            <w:tcW w:w="16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Capsorin® (Morningside) 100 mg, net price 30-cap pack = £69.11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Azathioprine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0.3276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182.00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0.0018</w:t>
            </w: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72.82 kg for 2.5 mg/kg/day</w:t>
            </w: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Azathioprine (Non-proprietary) 25 mg, net price 28-tab pack = £6.02; 50 mg, 56-tab pack = £5.04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Penicillamine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1.3291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750.00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0.0018</w:t>
            </w: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max of usual maintenance dose 500-750 mg/day)</w:t>
            </w: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Penicillamine (Non-proprietary) 125 mg, net price 56-tab pack = £15.26; 250 mg, 56-tab pack = £24.81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Gold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0.4011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1.79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0.2246</w:t>
            </w: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--&gt; 50 mg/4 weeks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Myocrisin® (Sanofi-Aventis) Injection, sodium aurothiomalate 20 mg/mL, net price 0.5-mL (10-mg) amp = £3.80; 100 mg/mL, 0.5-mL (50-mg) amp = £11.23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Etoricoxib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0.8200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90.00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0.0091</w:t>
            </w: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</w:t>
            </w: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Arcoxia® (MSD) f/c, etoricoxib 90 mg, 28-tab pack = £22.96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Celecoxib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1.4367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400.00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0.0036</w:t>
            </w: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max of usual maintenance dose</w:t>
            </w: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Celebrex® (Pharmacia) Capsules; 200 mg (white/gold), 30-cap pack = £21.55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Diclofenac Sodium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0.0507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150.00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0.0003</w:t>
            </w: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max of usual maintenance dose</w:t>
            </w: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Diclofenac Sodium (Non-proprietary) Tablets, e/c, 50 mg, 84-tab pack = £1.42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Ibuprofen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0.0618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1200.00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0.0001</w:t>
            </w: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max of usual maintenance dose</w:t>
            </w: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Ibuprofen (Non-proprietary) Tablets, 400 mg, 84-tab pack = £1.73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Naproxen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0.1179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1000.00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0.0001</w:t>
            </w: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max of usual maintenance dose</w:t>
            </w: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Naproxen (Non-proprietary) Tablets, 500 mg, 28-tab pack = £1.65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Omeprazole (PPI)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0.0579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0.0029</w:t>
            </w: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max of 10-20 mg/day</w:t>
            </w: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Arcoxia® (MSD) f/c, etoricoxib 90 mg, 28-tab pack = £22.96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  <w:tr>
        <w:trPr>
          <w:trHeight w:val="300" w:hRule="auto"/>
          <w:jc w:val="left"/>
        </w:trPr>
        <w:tc>
          <w:tcPr>
            <w:tcW w:w="1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Opioids</w:t>
            </w:r>
          </w:p>
        </w:tc>
        <w:tc>
          <w:tcPr>
            <w:tcW w:w="1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0.0796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200.00</w:t>
            </w:r>
          </w:p>
        </w:tc>
        <w:tc>
          <w:tcPr>
            <w:tcW w:w="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0.0004</w:t>
            </w:r>
          </w:p>
        </w:tc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assumed mean 100-400 mg/day</w:t>
            </w:r>
          </w:p>
        </w:tc>
        <w:tc>
          <w:tcPr>
            <w:tcW w:w="23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BNF October 2012 Tramadol Hydrochloride (Non-proprietary) Capsules, 50 mg, net price 100-cap pack = £1.99 [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]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BNF, British National Formulary; NICE, National Institute of Health and Care Excellence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4F81BD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4F81BD"/>
          <w:spacing w:val="0"/>
          <w:position w:val="0"/>
          <w:sz w:val="18"/>
          <w:shd w:fill="auto" w:val="clear"/>
        </w:rPr>
        <w:t xml:space="preserve">Table 3</w:t>
        <w:tab/>
        <w:t xml:space="preserve">Results of synthesis of utility multipliers and costs of adverse events and drugs used in palliative care</w:t>
      </w:r>
    </w:p>
    <w:tbl>
      <w:tblPr/>
      <w:tblGrid>
        <w:gridCol w:w="2235"/>
        <w:gridCol w:w="1842"/>
        <w:gridCol w:w="2127"/>
        <w:gridCol w:w="2409"/>
      </w:tblGrid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Drug treatment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Utility multiplier (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φ)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Total 6m cost  of AEs (£)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Total 6m cost of drugs (£)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Glucocorticoids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0.998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284.72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15.77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NSAIDs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0.930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23.57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13.73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COX-2 Inhibitors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0.946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20.51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204.78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Opioids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0.964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61.06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14.53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sDMARDs (average)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0.970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35.04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370.29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Leflunomide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0.994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169.55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279.19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Sulfasalazine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0.967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37.93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Ciclosporin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0.912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10.07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943.35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Azathioprine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0.987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59.79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Penicillamine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0.998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242.56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Antimalarials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0.942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64.02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23.50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Gold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0.989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1.65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1,005.71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MTX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0.971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35.04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4.55</w:t>
            </w:r>
          </w:p>
        </w:tc>
      </w:tr>
      <w:tr>
        <w:trPr>
          <w:trHeight w:val="300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 Treatment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1.000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NSAIDs, non-steroidal anti-inflammatory drug; sDMARD, synthetic disease-modifying anti-rheumatic drugs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4F81BD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4F81BD"/>
          <w:spacing w:val="0"/>
          <w:position w:val="0"/>
          <w:sz w:val="18"/>
          <w:shd w:fill="auto" w:val="clear"/>
        </w:rPr>
        <w:t xml:space="preserve">Table 4</w:t>
        <w:tab/>
        <w:t xml:space="preserve">Overall utility multiplier, adverse event and drug related costs for palliative care</w:t>
      </w:r>
    </w:p>
    <w:tbl>
      <w:tblPr/>
      <w:tblGrid>
        <w:gridCol w:w="2262"/>
        <w:gridCol w:w="1733"/>
        <w:gridCol w:w="1783"/>
        <w:gridCol w:w="1701"/>
        <w:gridCol w:w="1418"/>
      </w:tblGrid>
      <w:tr>
        <w:trPr>
          <w:trHeight w:val="300" w:hRule="auto"/>
          <w:jc w:val="left"/>
        </w:trPr>
        <w:tc>
          <w:tcPr>
            <w:tcW w:w="2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Population</w:t>
            </w:r>
          </w:p>
        </w:tc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Utility multiplier (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φ)</w:t>
            </w:r>
          </w:p>
        </w:tc>
        <w:tc>
          <w:tcPr>
            <w:tcW w:w="1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Total 6m cost  of AEs (£)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Total 6m cost of drugs (£)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Total 6m cost (£)</w:t>
            </w:r>
          </w:p>
        </w:tc>
      </w:tr>
      <w:tr>
        <w:trPr>
          <w:trHeight w:val="300" w:hRule="auto"/>
          <w:jc w:val="left"/>
        </w:trPr>
        <w:tc>
          <w:tcPr>
            <w:tcW w:w="2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Not contraindicated to MTX</w:t>
            </w:r>
          </w:p>
        </w:tc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0.95452</w:t>
            </w:r>
          </w:p>
        </w:tc>
        <w:tc>
          <w:tcPr>
            <w:tcW w:w="1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169.91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144.26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314.17</w:t>
            </w:r>
          </w:p>
        </w:tc>
      </w:tr>
      <w:tr>
        <w:trPr>
          <w:trHeight w:val="300" w:hRule="auto"/>
          <w:jc w:val="left"/>
        </w:trPr>
        <w:tc>
          <w:tcPr>
            <w:tcW w:w="2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Contraindicated to MTX</w:t>
            </w:r>
          </w:p>
        </w:tc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0.95448</w:t>
            </w:r>
          </w:p>
        </w:tc>
        <w:tc>
          <w:tcPr>
            <w:tcW w:w="1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143.27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249.61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392.88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MTX, methotrexate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References</w:t>
      </w:r>
    </w:p>
    <w:p>
      <w:pPr>
        <w:tabs>
          <w:tab w:val="left" w:pos="0" w:leader="none"/>
        </w:tabs>
        <w:spacing w:before="0" w:after="24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 British National Formulary. (2012, March 1). British National Formulary 63. Retrieved June 1, 2012, from Medicines Complete: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http://www.medicinescomplete.com</w:t>
        </w:r>
      </w:hyperlink>
    </w:p>
    <w:p>
      <w:pPr>
        <w:tabs>
          <w:tab w:val="left" w:pos="0" w:leader="none"/>
        </w:tabs>
        <w:spacing w:before="0" w:after="24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 NHS reference costs 2010/2011. Department of Health. (2011, January 13). Publications policy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and guidance. Retrieved March 1, 2012, from Department of Health: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http://www.dh.gov.uk</w:t>
        </w:r>
      </w:hyperlink>
    </w:p>
    <w:p>
      <w:pPr>
        <w:tabs>
          <w:tab w:val="left" w:pos="0" w:leader="none"/>
        </w:tabs>
        <w:spacing w:before="0" w:after="24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 Latimer, N., Lord, J., Grant, R. L., O'Mahony, R., Dickson, J., &amp; Conaghan, P. G. (2009). Cost effectiveness of COX 2 selective inhibitors and traditional NSAIDs alone or in combination with a proton pump inhibitor for people with osteoarthritis.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BMJ, 339,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b2538.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Vera-Llonch, M., Brandenburg, N. A., &amp; Oster, G. (2008). Cost-effectiveness of add-on therapy with pregabalin in patients with refractory partial epilepsy. Epilepsia, 49, 431-437.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 National Institute for Health and Clinical Excellence (2012). Opioids in palliative care:  safe and effective prescribing of strong opioids for pain in palliative care of adults London: National Institute for Health and Clinical Excellence.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 Stein, J. D., Brown, G. C., Brown, M. M., Sharma, S., Hollands, H., &amp; Stein, H. D. (2002). The quality of life of patients with hypertension. J.Clin.Hypertens.(Greenwich.), 4, 181-188.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Remak, E., Hutton, J., Price, M., Peeters, K., &amp; Adriaenssen, I. (2003). A Markov model of treatment of newly diagnosed epilepsy in the UK. An initial assessment of cost-effectiveness of topiramate. Eur.J.Health Econ., 4, 271-278.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medicinescomplete.com/" Id="docRId0" Type="http://schemas.openxmlformats.org/officeDocument/2006/relationships/hyperlink"/><Relationship TargetMode="External" Target="http://www.dh.gov.uk/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