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keepNext w:val="true"/>
        <w:keepLines w:val="true"/>
        <w:spacing w:before="480" w:after="0" w:line="276"/>
        <w:ind w:right="0" w:left="0" w:firstLine="0"/>
        <w:jc w:val="left"/>
        <w:rPr>
          <w:rFonts w:ascii="Cambria" w:hAnsi="Cambria" w:cs="Cambria" w:eastAsia="Cambria"/>
          <w:b/>
          <w:color w:val="365F91"/>
          <w:spacing w:val="0"/>
          <w:position w:val="0"/>
          <w:sz w:val="28"/>
          <w:shd w:fill="auto" w:val="clear"/>
        </w:rPr>
      </w:pPr>
      <w:r>
        <w:rPr>
          <w:rFonts w:ascii="Cambria" w:hAnsi="Cambria" w:cs="Cambria" w:eastAsia="Cambria"/>
          <w:b/>
          <w:color w:val="365F91"/>
          <w:spacing w:val="0"/>
          <w:position w:val="0"/>
          <w:sz w:val="28"/>
          <w:shd w:fill="auto" w:val="clear"/>
        </w:rPr>
        <w:t xml:space="preserve">Appendix E: PSA Parameters</w:t>
      </w:r>
    </w:p>
    <w:tbl>
      <w:tblPr/>
      <w:tblGrid>
        <w:gridCol w:w="1528"/>
        <w:gridCol w:w="2990"/>
        <w:gridCol w:w="1406"/>
        <w:gridCol w:w="1503"/>
        <w:gridCol w:w="2826"/>
        <w:gridCol w:w="3167"/>
      </w:tblGrid>
      <w:tr>
        <w:trPr>
          <w:trHeight w:val="300" w:hRule="auto"/>
          <w:jc w:val="left"/>
        </w:trPr>
        <w:tc>
          <w:tcPr>
            <w:tcW w:w="4518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20"/>
                <w:shd w:fill="auto" w:val="clear"/>
              </w:rPr>
              <w:t xml:space="preserve">Variable</w:t>
            </w:r>
          </w:p>
        </w:tc>
        <w:tc>
          <w:tcPr>
            <w:tcW w:w="14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20"/>
                <w:shd w:fill="auto" w:val="clear"/>
              </w:rPr>
              <w:t xml:space="preserve">Mean Value</w:t>
            </w:r>
          </w:p>
        </w:tc>
        <w:tc>
          <w:tcPr>
            <w:tcW w:w="150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20"/>
                <w:shd w:fill="auto" w:val="clear"/>
              </w:rPr>
              <w:t xml:space="preserve">SE</w:t>
            </w:r>
          </w:p>
        </w:tc>
        <w:tc>
          <w:tcPr>
            <w:tcW w:w="28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20"/>
                <w:shd w:fill="auto" w:val="clear"/>
              </w:rPr>
              <w:t xml:space="preserve">Parameterisation</w:t>
            </w:r>
          </w:p>
        </w:tc>
        <w:tc>
          <w:tcPr>
            <w:tcW w:w="31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20"/>
                <w:shd w:fill="auto" w:val="clear"/>
              </w:rPr>
              <w:t xml:space="preserve">Distribution used</w:t>
            </w:r>
          </w:p>
        </w:tc>
      </w:tr>
      <w:tr>
        <w:trPr>
          <w:trHeight w:val="300" w:hRule="auto"/>
          <w:jc w:val="left"/>
        </w:trPr>
        <w:tc>
          <w:tcPr>
            <w:tcW w:w="4518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ACR response rates</w:t>
            </w:r>
          </w:p>
        </w:tc>
        <w:tc>
          <w:tcPr>
            <w:tcW w:w="14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Individual treatment response rate</w:t>
            </w:r>
          </w:p>
        </w:tc>
        <w:tc>
          <w:tcPr>
            <w:tcW w:w="150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n/a</w:t>
            </w:r>
          </w:p>
        </w:tc>
        <w:tc>
          <w:tcPr>
            <w:tcW w:w="28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Use N*100=alpha of the one parameter Gamma distribution for each ACR category</w:t>
            </w:r>
          </w:p>
        </w:tc>
        <w:tc>
          <w:tcPr>
            <w:tcW w:w="31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Dirichlet</w:t>
            </w:r>
          </w:p>
        </w:tc>
      </w:tr>
      <w:tr>
        <w:trPr>
          <w:trHeight w:val="300" w:hRule="auto"/>
          <w:jc w:val="left"/>
        </w:trPr>
        <w:tc>
          <w:tcPr>
            <w:tcW w:w="1528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HAQ score adjustments (initial improvement)</w:t>
            </w:r>
          </w:p>
        </w:tc>
        <w:tc>
          <w:tcPr>
            <w:tcW w:w="299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Non-responder</w:t>
            </w:r>
          </w:p>
        </w:tc>
        <w:tc>
          <w:tcPr>
            <w:tcW w:w="14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0.14</w:t>
            </w:r>
          </w:p>
        </w:tc>
        <w:tc>
          <w:tcPr>
            <w:tcW w:w="150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0.02</w:t>
            </w:r>
          </w:p>
        </w:tc>
        <w:tc>
          <w:tcPr>
            <w:tcW w:w="2826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Taken from post-hoc analysis of OPTION, LITHE and TOWARD [</w:t>
            </w:r>
            <w:r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20"/>
                <w:shd w:fill="auto" w:val="clear"/>
              </w:rPr>
              <w:t xml:space="preserve">3-5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] (see Appendix A)</w:t>
            </w:r>
          </w:p>
        </w:tc>
        <w:tc>
          <w:tcPr>
            <w:tcW w:w="3167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Normal</w:t>
            </w:r>
          </w:p>
        </w:tc>
      </w:tr>
      <w:tr>
        <w:trPr>
          <w:trHeight w:val="300" w:hRule="auto"/>
          <w:jc w:val="left"/>
        </w:trPr>
        <w:tc>
          <w:tcPr>
            <w:tcW w:w="1528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99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ACR20 responder</w:t>
            </w:r>
          </w:p>
        </w:tc>
        <w:tc>
          <w:tcPr>
            <w:tcW w:w="14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0.46</w:t>
            </w:r>
          </w:p>
        </w:tc>
        <w:tc>
          <w:tcPr>
            <w:tcW w:w="150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0.02</w:t>
            </w:r>
          </w:p>
        </w:tc>
        <w:tc>
          <w:tcPr>
            <w:tcW w:w="2826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167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00" w:hRule="auto"/>
          <w:jc w:val="left"/>
        </w:trPr>
        <w:tc>
          <w:tcPr>
            <w:tcW w:w="1528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99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ACR50 responder</w:t>
            </w:r>
          </w:p>
        </w:tc>
        <w:tc>
          <w:tcPr>
            <w:tcW w:w="14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0.68</w:t>
            </w:r>
          </w:p>
        </w:tc>
        <w:tc>
          <w:tcPr>
            <w:tcW w:w="150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0.03</w:t>
            </w:r>
          </w:p>
        </w:tc>
        <w:tc>
          <w:tcPr>
            <w:tcW w:w="2826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167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00" w:hRule="auto"/>
          <w:jc w:val="left"/>
        </w:trPr>
        <w:tc>
          <w:tcPr>
            <w:tcW w:w="1528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99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ACR70 responder</w:t>
            </w:r>
          </w:p>
        </w:tc>
        <w:tc>
          <w:tcPr>
            <w:tcW w:w="14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0.9</w:t>
            </w:r>
          </w:p>
        </w:tc>
        <w:tc>
          <w:tcPr>
            <w:tcW w:w="150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0.03</w:t>
            </w:r>
          </w:p>
        </w:tc>
        <w:tc>
          <w:tcPr>
            <w:tcW w:w="2826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167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00" w:hRule="auto"/>
          <w:jc w:val="left"/>
        </w:trPr>
        <w:tc>
          <w:tcPr>
            <w:tcW w:w="1528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Long term changes: HAQ progression</w:t>
            </w:r>
          </w:p>
        </w:tc>
        <w:tc>
          <w:tcPr>
            <w:tcW w:w="299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bDMARD</w:t>
            </w:r>
          </w:p>
        </w:tc>
        <w:tc>
          <w:tcPr>
            <w:tcW w:w="14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0</w:t>
            </w:r>
          </w:p>
        </w:tc>
        <w:tc>
          <w:tcPr>
            <w:tcW w:w="150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0.0057</w:t>
            </w:r>
          </w:p>
        </w:tc>
        <w:tc>
          <w:tcPr>
            <w:tcW w:w="28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Assume 0.0225 (sDMARD value) is the upper limit of CI and 0 is the mean value in the acceptable range</w:t>
            </w:r>
          </w:p>
        </w:tc>
        <w:tc>
          <w:tcPr>
            <w:tcW w:w="3167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Normal</w:t>
            </w:r>
          </w:p>
        </w:tc>
      </w:tr>
      <w:tr>
        <w:trPr>
          <w:trHeight w:val="300" w:hRule="auto"/>
          <w:jc w:val="left"/>
        </w:trPr>
        <w:tc>
          <w:tcPr>
            <w:tcW w:w="1528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99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sDMARD</w:t>
            </w:r>
          </w:p>
        </w:tc>
        <w:tc>
          <w:tcPr>
            <w:tcW w:w="14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0.0225</w:t>
            </w:r>
          </w:p>
        </w:tc>
        <w:tc>
          <w:tcPr>
            <w:tcW w:w="150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0.0019</w:t>
            </w:r>
          </w:p>
        </w:tc>
        <w:tc>
          <w:tcPr>
            <w:tcW w:w="28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Assume 0.03 (palliative care) is the upper limit of CI and 0.0225 is the mean value in the acceptable range</w:t>
            </w:r>
          </w:p>
        </w:tc>
        <w:tc>
          <w:tcPr>
            <w:tcW w:w="3167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00" w:hRule="auto"/>
          <w:jc w:val="left"/>
        </w:trPr>
        <w:tc>
          <w:tcPr>
            <w:tcW w:w="1528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99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Palliative care</w:t>
            </w:r>
          </w:p>
        </w:tc>
        <w:tc>
          <w:tcPr>
            <w:tcW w:w="14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0.03</w:t>
            </w:r>
          </w:p>
        </w:tc>
        <w:tc>
          <w:tcPr>
            <w:tcW w:w="150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n/a</w:t>
            </w:r>
          </w:p>
        </w:tc>
        <w:tc>
          <w:tcPr>
            <w:tcW w:w="28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Linked to sDMARD value</w:t>
            </w:r>
          </w:p>
        </w:tc>
        <w:tc>
          <w:tcPr>
            <w:tcW w:w="31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Use lognormal on the difference with sDMARD HAQ progression: 1.33</w:t>
            </w:r>
          </w:p>
        </w:tc>
      </w:tr>
      <w:tr>
        <w:trPr>
          <w:trHeight w:val="300" w:hRule="auto"/>
          <w:jc w:val="left"/>
        </w:trPr>
        <w:tc>
          <w:tcPr>
            <w:tcW w:w="4518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Rebound effect</w:t>
            </w:r>
          </w:p>
        </w:tc>
        <w:tc>
          <w:tcPr>
            <w:tcW w:w="14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1</w:t>
            </w:r>
          </w:p>
        </w:tc>
        <w:tc>
          <w:tcPr>
            <w:tcW w:w="150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n/a</w:t>
            </w:r>
          </w:p>
        </w:tc>
        <w:tc>
          <w:tcPr>
            <w:tcW w:w="28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Assumption +/-20%</w:t>
            </w:r>
          </w:p>
        </w:tc>
        <w:tc>
          <w:tcPr>
            <w:tcW w:w="31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Uniform [0.8, 1.2]</w:t>
            </w:r>
          </w:p>
        </w:tc>
      </w:tr>
      <w:tr>
        <w:trPr>
          <w:trHeight w:val="300" w:hRule="auto"/>
          <w:jc w:val="left"/>
        </w:trPr>
        <w:tc>
          <w:tcPr>
            <w:tcW w:w="1528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VAS pain score</w:t>
            </w:r>
          </w:p>
        </w:tc>
        <w:tc>
          <w:tcPr>
            <w:tcW w:w="299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Baseline</w:t>
            </w:r>
          </w:p>
        </w:tc>
        <w:tc>
          <w:tcPr>
            <w:tcW w:w="14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75.00</w:t>
            </w:r>
          </w:p>
        </w:tc>
        <w:tc>
          <w:tcPr>
            <w:tcW w:w="150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1.26</w:t>
            </w:r>
          </w:p>
        </w:tc>
        <w:tc>
          <w:tcPr>
            <w:tcW w:w="28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Alpha and beta parameters calculated using mean value and SE reported in Hyrich 2009 [</w:t>
            </w:r>
            <w:r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20"/>
                <w:shd w:fill="auto" w:val="clear"/>
              </w:rPr>
              <w:t xml:space="preserve">1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]</w:t>
            </w:r>
          </w:p>
        </w:tc>
        <w:tc>
          <w:tcPr>
            <w:tcW w:w="3167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Beta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(Generated probabilistic value is multiplied by 100)</w:t>
            </w:r>
          </w:p>
        </w:tc>
      </w:tr>
      <w:tr>
        <w:trPr>
          <w:trHeight w:val="300" w:hRule="auto"/>
          <w:jc w:val="left"/>
        </w:trPr>
        <w:tc>
          <w:tcPr>
            <w:tcW w:w="1528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99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Non-responder</w:t>
            </w:r>
          </w:p>
        </w:tc>
        <w:tc>
          <w:tcPr>
            <w:tcW w:w="14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4.02</w:t>
            </w:r>
          </w:p>
        </w:tc>
        <w:tc>
          <w:tcPr>
            <w:tcW w:w="150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0.79</w:t>
            </w:r>
          </w:p>
        </w:tc>
        <w:tc>
          <w:tcPr>
            <w:tcW w:w="2826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Alpha and beta parameters calculated using mean value and SE taken from OPTION, LITHE and TOWARD [</w:t>
            </w:r>
            <w:r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20"/>
                <w:shd w:fill="auto" w:val="clear"/>
              </w:rPr>
              <w:t xml:space="preserve">3-5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] (see Appendix A)</w:t>
            </w:r>
          </w:p>
        </w:tc>
        <w:tc>
          <w:tcPr>
            <w:tcW w:w="3167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00" w:hRule="auto"/>
          <w:jc w:val="left"/>
        </w:trPr>
        <w:tc>
          <w:tcPr>
            <w:tcW w:w="1528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99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ACR20 responder</w:t>
            </w:r>
          </w:p>
        </w:tc>
        <w:tc>
          <w:tcPr>
            <w:tcW w:w="14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23.97</w:t>
            </w:r>
          </w:p>
        </w:tc>
        <w:tc>
          <w:tcPr>
            <w:tcW w:w="150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0.86</w:t>
            </w:r>
          </w:p>
        </w:tc>
        <w:tc>
          <w:tcPr>
            <w:tcW w:w="2826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167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00" w:hRule="auto"/>
          <w:jc w:val="left"/>
        </w:trPr>
        <w:tc>
          <w:tcPr>
            <w:tcW w:w="1528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99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ACR50 responder</w:t>
            </w:r>
          </w:p>
        </w:tc>
        <w:tc>
          <w:tcPr>
            <w:tcW w:w="14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36</w:t>
            </w:r>
          </w:p>
        </w:tc>
        <w:tc>
          <w:tcPr>
            <w:tcW w:w="150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0.95</w:t>
            </w:r>
          </w:p>
        </w:tc>
        <w:tc>
          <w:tcPr>
            <w:tcW w:w="2826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167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00" w:hRule="auto"/>
          <w:jc w:val="left"/>
        </w:trPr>
        <w:tc>
          <w:tcPr>
            <w:tcW w:w="1528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99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ACR70 responder</w:t>
            </w:r>
          </w:p>
        </w:tc>
        <w:tc>
          <w:tcPr>
            <w:tcW w:w="14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45.96</w:t>
            </w:r>
          </w:p>
        </w:tc>
        <w:tc>
          <w:tcPr>
            <w:tcW w:w="150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1.26</w:t>
            </w:r>
          </w:p>
        </w:tc>
        <w:tc>
          <w:tcPr>
            <w:tcW w:w="2826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167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00" w:hRule="auto"/>
          <w:jc w:val="left"/>
        </w:trPr>
        <w:tc>
          <w:tcPr>
            <w:tcW w:w="1528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99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Palliative care</w:t>
            </w:r>
          </w:p>
        </w:tc>
        <w:tc>
          <w:tcPr>
            <w:tcW w:w="14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55</w:t>
            </w:r>
          </w:p>
        </w:tc>
        <w:tc>
          <w:tcPr>
            <w:tcW w:w="150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1.2755</w:t>
            </w:r>
          </w:p>
        </w:tc>
        <w:tc>
          <w:tcPr>
            <w:tcW w:w="28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Results of clinician survey Assume the CI is between 50-60</w:t>
            </w:r>
          </w:p>
        </w:tc>
        <w:tc>
          <w:tcPr>
            <w:tcW w:w="3167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00" w:hRule="auto"/>
          <w:jc w:val="left"/>
        </w:trPr>
        <w:tc>
          <w:tcPr>
            <w:tcW w:w="152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Mortality</w:t>
            </w:r>
          </w:p>
        </w:tc>
        <w:tc>
          <w:tcPr>
            <w:tcW w:w="299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Mortality risk</w:t>
            </w:r>
          </w:p>
        </w:tc>
        <w:tc>
          <w:tcPr>
            <w:tcW w:w="14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1.33</w:t>
            </w:r>
          </w:p>
        </w:tc>
        <w:tc>
          <w:tcPr>
            <w:tcW w:w="150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0.1304</w:t>
            </w:r>
          </w:p>
        </w:tc>
        <w:tc>
          <w:tcPr>
            <w:tcW w:w="28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Wolfe et al. 1994 [</w:t>
            </w:r>
            <w:r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20"/>
                <w:shd w:fill="auto" w:val="clear"/>
              </w:rPr>
              <w:t xml:space="preserve">2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]</w:t>
            </w:r>
          </w:p>
        </w:tc>
        <w:tc>
          <w:tcPr>
            <w:tcW w:w="31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Lognormal</w:t>
            </w:r>
          </w:p>
        </w:tc>
      </w:tr>
      <w:tr>
        <w:trPr>
          <w:trHeight w:val="300" w:hRule="auto"/>
          <w:jc w:val="left"/>
        </w:trPr>
        <w:tc>
          <w:tcPr>
            <w:tcW w:w="1528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Cost</w:t>
            </w:r>
          </w:p>
        </w:tc>
        <w:tc>
          <w:tcPr>
            <w:tcW w:w="299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Outpatient visit (first attendance)</w:t>
            </w:r>
          </w:p>
        </w:tc>
        <w:tc>
          <w:tcPr>
            <w:tcW w:w="14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214</w:t>
            </w:r>
          </w:p>
        </w:tc>
        <w:tc>
          <w:tcPr>
            <w:tcW w:w="150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5.91</w:t>
            </w:r>
          </w:p>
        </w:tc>
        <w:tc>
          <w:tcPr>
            <w:tcW w:w="28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Based on NHS reference costs [</w:t>
            </w:r>
            <w:r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20"/>
                <w:shd w:fill="auto" w:val="clear"/>
              </w:rPr>
              <w:t xml:space="preserve">7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]</w:t>
            </w:r>
          </w:p>
        </w:tc>
        <w:tc>
          <w:tcPr>
            <w:tcW w:w="31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Normal</w:t>
            </w:r>
          </w:p>
        </w:tc>
      </w:tr>
      <w:tr>
        <w:trPr>
          <w:trHeight w:val="300" w:hRule="auto"/>
          <w:jc w:val="left"/>
        </w:trPr>
        <w:tc>
          <w:tcPr>
            <w:tcW w:w="1528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99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Outpatient visit (subsequent), GP visit, Full blood count, ESR, LFT, U&amp;E , Chest X-ray tests</w:t>
            </w:r>
          </w:p>
        </w:tc>
        <w:tc>
          <w:tcPr>
            <w:tcW w:w="14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n/a</w:t>
            </w:r>
          </w:p>
        </w:tc>
        <w:tc>
          <w:tcPr>
            <w:tcW w:w="150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n/a</w:t>
            </w:r>
          </w:p>
        </w:tc>
        <w:tc>
          <w:tcPr>
            <w:tcW w:w="28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Values not sampled independently but linked to outpatient visit sample</w:t>
            </w:r>
          </w:p>
        </w:tc>
        <w:tc>
          <w:tcPr>
            <w:tcW w:w="31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n/a</w:t>
            </w:r>
          </w:p>
        </w:tc>
      </w:tr>
      <w:tr>
        <w:trPr>
          <w:trHeight w:val="300" w:hRule="auto"/>
          <w:jc w:val="left"/>
        </w:trPr>
        <w:tc>
          <w:tcPr>
            <w:tcW w:w="1528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99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Inpatient cost</w:t>
            </w:r>
          </w:p>
        </w:tc>
        <w:tc>
          <w:tcPr>
            <w:tcW w:w="14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240</w:t>
            </w:r>
          </w:p>
        </w:tc>
        <w:tc>
          <w:tcPr>
            <w:tcW w:w="150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48.00</w:t>
            </w:r>
          </w:p>
        </w:tc>
        <w:tc>
          <w:tcPr>
            <w:tcW w:w="2826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CIs are derived by assuming lower and upper limits are ±20% of the mean value</w:t>
            </w:r>
          </w:p>
        </w:tc>
        <w:tc>
          <w:tcPr>
            <w:tcW w:w="3167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Lognormal</w:t>
            </w:r>
          </w:p>
        </w:tc>
      </w:tr>
      <w:tr>
        <w:trPr>
          <w:trHeight w:val="300" w:hRule="auto"/>
          <w:jc w:val="left"/>
        </w:trPr>
        <w:tc>
          <w:tcPr>
            <w:tcW w:w="1528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99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Infusion administration</w:t>
            </w:r>
          </w:p>
        </w:tc>
        <w:tc>
          <w:tcPr>
            <w:tcW w:w="14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171</w:t>
            </w:r>
          </w:p>
        </w:tc>
        <w:tc>
          <w:tcPr>
            <w:tcW w:w="150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34.27</w:t>
            </w:r>
          </w:p>
        </w:tc>
        <w:tc>
          <w:tcPr>
            <w:tcW w:w="2826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167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00" w:hRule="auto"/>
          <w:jc w:val="left"/>
        </w:trPr>
        <w:tc>
          <w:tcPr>
            <w:tcW w:w="1528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99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Home visit</w:t>
            </w:r>
          </w:p>
        </w:tc>
        <w:tc>
          <w:tcPr>
            <w:tcW w:w="14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27</w:t>
            </w:r>
          </w:p>
        </w:tc>
        <w:tc>
          <w:tcPr>
            <w:tcW w:w="150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5.40</w:t>
            </w:r>
          </w:p>
        </w:tc>
        <w:tc>
          <w:tcPr>
            <w:tcW w:w="2826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167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00" w:hRule="auto"/>
          <w:jc w:val="left"/>
        </w:trPr>
        <w:tc>
          <w:tcPr>
            <w:tcW w:w="1528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99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Proportion of patients that require a nurse visit for subcutaneous injection</w:t>
            </w:r>
          </w:p>
        </w:tc>
        <w:tc>
          <w:tcPr>
            <w:tcW w:w="14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0.1</w:t>
            </w:r>
          </w:p>
        </w:tc>
        <w:tc>
          <w:tcPr>
            <w:tcW w:w="150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0.02</w:t>
            </w:r>
          </w:p>
        </w:tc>
        <w:tc>
          <w:tcPr>
            <w:tcW w:w="2826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1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Beta</w:t>
            </w:r>
          </w:p>
        </w:tc>
      </w:tr>
      <w:tr>
        <w:trPr>
          <w:trHeight w:val="300" w:hRule="auto"/>
          <w:jc w:val="left"/>
        </w:trPr>
        <w:tc>
          <w:tcPr>
            <w:tcW w:w="1528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99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Average annual income of the population (indirect cost)</w:t>
            </w:r>
          </w:p>
        </w:tc>
        <w:tc>
          <w:tcPr>
            <w:tcW w:w="14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26989</w:t>
            </w:r>
          </w:p>
        </w:tc>
        <w:tc>
          <w:tcPr>
            <w:tcW w:w="150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2698.90</w:t>
            </w:r>
          </w:p>
        </w:tc>
        <w:tc>
          <w:tcPr>
            <w:tcW w:w="28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CIs are derived by assuming lower and upper limits are ±10% of the mean value</w:t>
            </w:r>
          </w:p>
        </w:tc>
        <w:tc>
          <w:tcPr>
            <w:tcW w:w="31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Lognormal</w:t>
            </w:r>
          </w:p>
        </w:tc>
      </w:tr>
      <w:tr>
        <w:trPr>
          <w:trHeight w:val="300" w:hRule="auto"/>
          <w:jc w:val="left"/>
        </w:trPr>
        <w:tc>
          <w:tcPr>
            <w:tcW w:w="1528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99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AE (pneumonia)</w:t>
            </w:r>
          </w:p>
        </w:tc>
        <w:tc>
          <w:tcPr>
            <w:tcW w:w="14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2047</w:t>
            </w:r>
          </w:p>
        </w:tc>
        <w:tc>
          <w:tcPr>
            <w:tcW w:w="150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37.26</w:t>
            </w:r>
          </w:p>
        </w:tc>
        <w:tc>
          <w:tcPr>
            <w:tcW w:w="28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Based on NHS reference costs [</w:t>
            </w:r>
            <w:r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20"/>
                <w:shd w:fill="auto" w:val="clear"/>
              </w:rPr>
              <w:t xml:space="preserve">7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]</w:t>
            </w:r>
          </w:p>
        </w:tc>
        <w:tc>
          <w:tcPr>
            <w:tcW w:w="31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Normal</w:t>
            </w:r>
          </w:p>
        </w:tc>
      </w:tr>
      <w:tr>
        <w:trPr>
          <w:trHeight w:val="300" w:hRule="auto"/>
          <w:jc w:val="left"/>
        </w:trPr>
        <w:tc>
          <w:tcPr>
            <w:tcW w:w="1528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99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AE (palliative care)</w:t>
            </w:r>
          </w:p>
        </w:tc>
        <w:tc>
          <w:tcPr>
            <w:tcW w:w="14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314.17</w:t>
            </w:r>
          </w:p>
        </w:tc>
        <w:tc>
          <w:tcPr>
            <w:tcW w:w="150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62.83</w:t>
            </w:r>
          </w:p>
        </w:tc>
        <w:tc>
          <w:tcPr>
            <w:tcW w:w="28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CIs are derived by assuming lower and upper limits are ±20% of the mean value</w:t>
            </w:r>
          </w:p>
        </w:tc>
        <w:tc>
          <w:tcPr>
            <w:tcW w:w="31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Lognormal</w:t>
            </w:r>
          </w:p>
        </w:tc>
      </w:tr>
      <w:tr>
        <w:trPr>
          <w:trHeight w:val="300" w:hRule="auto"/>
          <w:jc w:val="left"/>
        </w:trPr>
        <w:tc>
          <w:tcPr>
            <w:tcW w:w="1528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AE disutility</w:t>
            </w:r>
          </w:p>
        </w:tc>
        <w:tc>
          <w:tcPr>
            <w:tcW w:w="299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bDMARDs</w:t>
            </w:r>
          </w:p>
        </w:tc>
        <w:tc>
          <w:tcPr>
            <w:tcW w:w="14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0.986</w:t>
            </w:r>
          </w:p>
        </w:tc>
        <w:tc>
          <w:tcPr>
            <w:tcW w:w="150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0.0036</w:t>
            </w:r>
          </w:p>
        </w:tc>
        <w:tc>
          <w:tcPr>
            <w:tcW w:w="2826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Assumes upper limit of CI=1 (no disutility), and the respective mean is used to create an acceptable range.</w:t>
            </w:r>
          </w:p>
        </w:tc>
        <w:tc>
          <w:tcPr>
            <w:tcW w:w="3167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Beta</w:t>
            </w:r>
          </w:p>
        </w:tc>
      </w:tr>
      <w:tr>
        <w:trPr>
          <w:trHeight w:val="300" w:hRule="auto"/>
          <w:jc w:val="left"/>
        </w:trPr>
        <w:tc>
          <w:tcPr>
            <w:tcW w:w="1528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99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sDMARDs</w:t>
            </w:r>
          </w:p>
        </w:tc>
        <w:tc>
          <w:tcPr>
            <w:tcW w:w="14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0.970032841</w:t>
            </w:r>
          </w:p>
        </w:tc>
        <w:tc>
          <w:tcPr>
            <w:tcW w:w="150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0.0076</w:t>
            </w:r>
          </w:p>
        </w:tc>
        <w:tc>
          <w:tcPr>
            <w:tcW w:w="2826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167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00" w:hRule="auto"/>
          <w:jc w:val="left"/>
        </w:trPr>
        <w:tc>
          <w:tcPr>
            <w:tcW w:w="1528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99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Palliative care</w:t>
            </w:r>
          </w:p>
        </w:tc>
        <w:tc>
          <w:tcPr>
            <w:tcW w:w="14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0.970032841</w:t>
            </w:r>
          </w:p>
        </w:tc>
        <w:tc>
          <w:tcPr>
            <w:tcW w:w="150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0.0076</w:t>
            </w:r>
          </w:p>
        </w:tc>
        <w:tc>
          <w:tcPr>
            <w:tcW w:w="2826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167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00" w:hRule="auto"/>
          <w:jc w:val="left"/>
        </w:trPr>
        <w:tc>
          <w:tcPr>
            <w:tcW w:w="1528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AE event probabilities</w:t>
            </w:r>
          </w:p>
        </w:tc>
        <w:tc>
          <w:tcPr>
            <w:tcW w:w="299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Certolizumab pegol</w:t>
            </w:r>
          </w:p>
        </w:tc>
        <w:tc>
          <w:tcPr>
            <w:tcW w:w="14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0.113</w:t>
            </w:r>
          </w:p>
        </w:tc>
        <w:tc>
          <w:tcPr>
            <w:tcW w:w="150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0.0742</w:t>
            </w:r>
          </w:p>
        </w:tc>
        <w:tc>
          <w:tcPr>
            <w:tcW w:w="2826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Singh et al. 2012 [</w:t>
            </w:r>
            <w:r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20"/>
                <w:shd w:fill="auto" w:val="clear"/>
              </w:rPr>
              <w:t xml:space="preserve">6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]</w:t>
            </w:r>
          </w:p>
        </w:tc>
        <w:tc>
          <w:tcPr>
            <w:tcW w:w="3167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Beta</w:t>
            </w:r>
          </w:p>
        </w:tc>
      </w:tr>
      <w:tr>
        <w:trPr>
          <w:trHeight w:val="300" w:hRule="auto"/>
          <w:jc w:val="left"/>
        </w:trPr>
        <w:tc>
          <w:tcPr>
            <w:tcW w:w="1528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99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bDMARD (excluding certolizumab pegol)</w:t>
            </w:r>
          </w:p>
        </w:tc>
        <w:tc>
          <w:tcPr>
            <w:tcW w:w="14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0.035</w:t>
            </w:r>
          </w:p>
        </w:tc>
        <w:tc>
          <w:tcPr>
            <w:tcW w:w="150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0.0048</w:t>
            </w:r>
          </w:p>
        </w:tc>
        <w:tc>
          <w:tcPr>
            <w:tcW w:w="2826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167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00" w:hRule="auto"/>
          <w:jc w:val="left"/>
        </w:trPr>
        <w:tc>
          <w:tcPr>
            <w:tcW w:w="152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Treatment Discontinuation</w:t>
            </w:r>
          </w:p>
        </w:tc>
        <w:tc>
          <w:tcPr>
            <w:tcW w:w="299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Discontinuation (Loglogistic model)</w:t>
            </w:r>
          </w:p>
        </w:tc>
        <w:tc>
          <w:tcPr>
            <w:tcW w:w="14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0</w:t>
            </w:r>
          </w:p>
        </w:tc>
        <w:tc>
          <w:tcPr>
            <w:tcW w:w="150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1</w:t>
            </w:r>
          </w:p>
        </w:tc>
        <w:tc>
          <w:tcPr>
            <w:tcW w:w="28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Based on the variance covariance derived from treatment discontinuation analysis (Appendix B)</w:t>
            </w:r>
          </w:p>
        </w:tc>
        <w:tc>
          <w:tcPr>
            <w:tcW w:w="31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Multinomial Normal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ACR, American College of Rheumatology; AE, adverse event; American College of Rheumatology, ACR; bDMARDs, biologic disease modifying anti-rheumatic drug; CI, confidence interval; ESR, erythrocyte sedimentation rate; GP, general practitioner; HAQ, Health Assessment Questionnaire; LFT, liver function test; N, sample size; n/a, not applicable; sDMARD, synthetic disease modifying anti-rheumatic drug; U&amp;E , urea and electrolytes; VAS, visual analogue scale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keepLines w:val="true"/>
        <w:spacing w:before="480" w:after="0" w:line="276"/>
        <w:ind w:right="0" w:left="0" w:firstLine="0"/>
        <w:jc w:val="left"/>
        <w:rPr>
          <w:rFonts w:ascii="Cambria" w:hAnsi="Cambria" w:cs="Cambria" w:eastAsia="Cambria"/>
          <w:b/>
          <w:color w:val="365F91"/>
          <w:spacing w:val="0"/>
          <w:position w:val="0"/>
          <w:sz w:val="28"/>
          <w:shd w:fill="auto" w:val="clear"/>
        </w:rPr>
      </w:pPr>
    </w:p>
    <w:p>
      <w:pPr>
        <w:keepNext w:val="true"/>
        <w:keepLines w:val="true"/>
        <w:spacing w:before="480" w:after="0" w:line="276"/>
        <w:ind w:right="0" w:left="0" w:firstLine="0"/>
        <w:jc w:val="left"/>
        <w:rPr>
          <w:rFonts w:ascii="Cambria" w:hAnsi="Cambria" w:cs="Cambria" w:eastAsia="Cambria"/>
          <w:b/>
          <w:color w:val="365F91"/>
          <w:spacing w:val="0"/>
          <w:position w:val="0"/>
          <w:sz w:val="28"/>
          <w:shd w:fill="auto" w:val="clear"/>
        </w:rPr>
      </w:pPr>
      <w:r>
        <w:rPr>
          <w:rFonts w:ascii="Cambria" w:hAnsi="Cambria" w:cs="Cambria" w:eastAsia="Cambria"/>
          <w:b/>
          <w:color w:val="365F91"/>
          <w:spacing w:val="0"/>
          <w:position w:val="0"/>
          <w:sz w:val="28"/>
          <w:shd w:fill="auto" w:val="clear"/>
        </w:rPr>
        <w:t xml:space="preserve">References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1 Hyrich KL, Deighton C, Watson, KD, et al. Benefit of anti-TNF therapy in rheumatoid arthritis patients with moderate disease activity. Rheumatology (Oxford). 2009 October; 48(10): 1323–1327.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2 Wolfe F. The mortality of rheumatoid arthritis. Arthritis Rheum. 1994;37(4):481-94.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3 Fleischmann RM, Halland AM, Brzosko M, et al. Tocilizumab inhibits structural joint damage and improves physical function in patients with rheumatoid arthritis and inadequate responses to methotrexate: LITHE study 2-year results. J Rheumatol. 2013 Feb;40(2):113-26.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4 Genovese MC, McKay JD, Nasonov EL et al. Interleukin-6 receptor inhibition with tocilizumab reduces disease activity in rheumatoid arthritis with inadequate response to disease-modifying antirheumatic drugs: the tocilizumab in combination with traditional disease-modifying antirheumatic drug therapy study. Arthritis Rheum. 2008 Oct;58(10):2968-80.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5 Smolen JS, Beaulieu A, Rubbert-Roth A et al. Effect of interleukin-6 receptor inhibition with tocilizumab in patients with rheumatoid arthritis (OPTION study): a double-blind, placebo-controlled, randomised trial. Lancet. 2008 Mar 22;371(9617):987-97.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6 Singh JA, Wells GA, Christensen R, et al. Adverse effects of biologics: a network meta-analysis and Cochrane overview. Cochrane Database Syst Rev. 2011 Feb 16;(2):CD008794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7 NHS reference costs 2010/2011. Department of Health. (2011, January 13). Publications policy and guidance. Retrieved March 1, 2012, from Department of Health: </w:t>
      </w:r>
      <w:hyperlink xmlns:r="http://schemas.openxmlformats.org/officeDocument/2006/relationships" r:id="docRId0"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http://www.dh.gov.uk</w:t>
        </w:r>
      </w:hyperlink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Mode="External" Target="http://www.dh.gov.uk/" Id="docRId0" Type="http://schemas.openxmlformats.org/officeDocument/2006/relationships/hyperlink"/><Relationship Target="numbering.xml" Id="docRId1" Type="http://schemas.openxmlformats.org/officeDocument/2006/relationships/numbering"/><Relationship Target="styles.xml" Id="docRId2" Type="http://schemas.openxmlformats.org/officeDocument/2006/relationships/styles"/></Relationships>
</file>