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56B" w:rsidRPr="001C3CB9" w:rsidRDefault="008749DD" w:rsidP="000D256B">
      <w:pPr>
        <w:pStyle w:val="Bijschrift"/>
        <w:spacing w:line="360" w:lineRule="auto"/>
        <w:rPr>
          <w:rFonts w:ascii="Times New Roman" w:hAnsi="Times New Roman"/>
          <w:sz w:val="24"/>
          <w:szCs w:val="24"/>
          <w:lang w:val="en-GB"/>
        </w:rPr>
      </w:pPr>
      <w:bookmarkStart w:id="0" w:name="_GoBack"/>
      <w:bookmarkEnd w:id="0"/>
      <w:r w:rsidRPr="001C3CB9">
        <w:rPr>
          <w:rFonts w:ascii="Times New Roman" w:hAnsi="Times New Roman"/>
          <w:sz w:val="24"/>
          <w:szCs w:val="24"/>
          <w:lang w:val="en-GB"/>
        </w:rPr>
        <w:t>Appendix</w:t>
      </w:r>
      <w:r w:rsidR="000D256B" w:rsidRPr="001C3CB9">
        <w:rPr>
          <w:rFonts w:ascii="Times New Roman" w:hAnsi="Times New Roman"/>
          <w:sz w:val="24"/>
          <w:szCs w:val="24"/>
          <w:lang w:val="en-GB"/>
        </w:rPr>
        <w:t xml:space="preserve"> 1</w:t>
      </w:r>
    </w:p>
    <w:p w:rsidR="000D256B" w:rsidRPr="001C3CB9" w:rsidRDefault="000D256B" w:rsidP="000D256B">
      <w:pPr>
        <w:outlineLvl w:val="0"/>
        <w:rPr>
          <w:rFonts w:ascii="Times New Roman" w:hAnsi="Times New Roman"/>
          <w:b/>
          <w:bCs/>
          <w:sz w:val="22"/>
          <w:lang w:val="en-GB"/>
        </w:rPr>
      </w:pPr>
      <w:r w:rsidRPr="001C3CB9">
        <w:rPr>
          <w:rFonts w:ascii="Times New Roman" w:hAnsi="Times New Roman"/>
          <w:b/>
          <w:bCs/>
          <w:sz w:val="22"/>
          <w:lang w:val="en-GB"/>
        </w:rPr>
        <w:t>Data-extraction form (DEF)</w:t>
      </w:r>
    </w:p>
    <w:p w:rsidR="000D256B" w:rsidRPr="001C3CB9" w:rsidRDefault="000D256B" w:rsidP="000D256B">
      <w:pPr>
        <w:outlineLvl w:val="0"/>
        <w:rPr>
          <w:rFonts w:ascii="Times New Roman" w:hAnsi="Times New Roman"/>
          <w:sz w:val="21"/>
        </w:rPr>
      </w:pPr>
      <w:r w:rsidRPr="001C3CB9">
        <w:rPr>
          <w:rFonts w:ascii="Times New Roman" w:hAnsi="Times New Roman"/>
          <w:sz w:val="21"/>
        </w:rPr>
        <w:t>General information</w:t>
      </w:r>
    </w:p>
    <w:p w:rsidR="000D256B" w:rsidRPr="001C3CB9" w:rsidRDefault="000D256B" w:rsidP="000D256B">
      <w:pPr>
        <w:numPr>
          <w:ilvl w:val="0"/>
          <w:numId w:val="14"/>
        </w:numPr>
        <w:spacing w:line="360" w:lineRule="auto"/>
        <w:rPr>
          <w:rFonts w:ascii="Times New Roman" w:hAnsi="Times New Roman"/>
          <w:sz w:val="21"/>
        </w:rPr>
      </w:pPr>
      <w:r w:rsidRPr="001C3CB9">
        <w:rPr>
          <w:rFonts w:ascii="Times New Roman" w:hAnsi="Times New Roman"/>
          <w:sz w:val="21"/>
        </w:rPr>
        <w:t>Topic (drugs)</w:t>
      </w:r>
    </w:p>
    <w:p w:rsidR="000D256B" w:rsidRPr="001C3CB9" w:rsidRDefault="000D256B" w:rsidP="000D256B">
      <w:pPr>
        <w:numPr>
          <w:ilvl w:val="0"/>
          <w:numId w:val="14"/>
        </w:numPr>
        <w:spacing w:line="360" w:lineRule="auto"/>
        <w:rPr>
          <w:rFonts w:ascii="Times New Roman" w:hAnsi="Times New Roman"/>
          <w:sz w:val="21"/>
        </w:rPr>
      </w:pPr>
      <w:r w:rsidRPr="001C3CB9">
        <w:rPr>
          <w:rFonts w:ascii="Times New Roman" w:hAnsi="Times New Roman"/>
          <w:sz w:val="21"/>
        </w:rPr>
        <w:t>Country</w:t>
      </w:r>
    </w:p>
    <w:p w:rsidR="000D256B" w:rsidRPr="001C3CB9" w:rsidRDefault="000D256B" w:rsidP="000D256B">
      <w:pPr>
        <w:numPr>
          <w:ilvl w:val="0"/>
          <w:numId w:val="14"/>
        </w:numPr>
        <w:spacing w:line="360" w:lineRule="auto"/>
        <w:rPr>
          <w:rFonts w:ascii="Times New Roman" w:hAnsi="Times New Roman"/>
          <w:sz w:val="21"/>
        </w:rPr>
      </w:pPr>
      <w:r w:rsidRPr="001C3CB9">
        <w:rPr>
          <w:rFonts w:ascii="Times New Roman" w:hAnsi="Times New Roman"/>
          <w:sz w:val="21"/>
        </w:rPr>
        <w:t>URL of report (?)</w:t>
      </w:r>
    </w:p>
    <w:p w:rsidR="000D256B" w:rsidRPr="001C3CB9" w:rsidRDefault="000D256B" w:rsidP="000D256B">
      <w:pPr>
        <w:numPr>
          <w:ilvl w:val="0"/>
          <w:numId w:val="14"/>
        </w:numPr>
        <w:spacing w:line="360" w:lineRule="auto"/>
        <w:rPr>
          <w:rFonts w:ascii="Times New Roman" w:hAnsi="Times New Roman"/>
          <w:sz w:val="21"/>
        </w:rPr>
      </w:pPr>
      <w:r w:rsidRPr="001C3CB9">
        <w:rPr>
          <w:rFonts w:ascii="Times New Roman" w:hAnsi="Times New Roman"/>
          <w:sz w:val="21"/>
        </w:rPr>
        <w:t xml:space="preserve">Date/data of </w:t>
      </w:r>
      <w:proofErr w:type="spellStart"/>
      <w:r w:rsidRPr="001C3CB9">
        <w:rPr>
          <w:rFonts w:ascii="Times New Roman" w:hAnsi="Times New Roman"/>
          <w:sz w:val="21"/>
        </w:rPr>
        <w:t>extraction</w:t>
      </w:r>
      <w:proofErr w:type="spellEnd"/>
    </w:p>
    <w:p w:rsidR="000D256B" w:rsidRPr="001C3CB9" w:rsidRDefault="000D256B" w:rsidP="000D256B">
      <w:pPr>
        <w:numPr>
          <w:ilvl w:val="0"/>
          <w:numId w:val="14"/>
        </w:numPr>
        <w:spacing w:line="360" w:lineRule="auto"/>
        <w:rPr>
          <w:rFonts w:ascii="Times New Roman" w:hAnsi="Times New Roman"/>
          <w:sz w:val="21"/>
        </w:rPr>
      </w:pPr>
      <w:r w:rsidRPr="001C3CB9">
        <w:rPr>
          <w:rFonts w:ascii="Times New Roman" w:hAnsi="Times New Roman"/>
          <w:sz w:val="21"/>
        </w:rPr>
        <w:t xml:space="preserve">Date of HTA </w:t>
      </w:r>
      <w:proofErr w:type="spellStart"/>
      <w:r w:rsidRPr="001C3CB9">
        <w:rPr>
          <w:rFonts w:ascii="Times New Roman" w:hAnsi="Times New Roman"/>
          <w:sz w:val="21"/>
        </w:rPr>
        <w:t>recommendation</w:t>
      </w:r>
      <w:proofErr w:type="spellEnd"/>
    </w:p>
    <w:p w:rsidR="000D256B" w:rsidRPr="001C3CB9" w:rsidRDefault="000D256B" w:rsidP="000D256B">
      <w:pPr>
        <w:numPr>
          <w:ilvl w:val="0"/>
          <w:numId w:val="14"/>
        </w:numPr>
        <w:spacing w:line="360" w:lineRule="auto"/>
        <w:rPr>
          <w:rFonts w:ascii="Times New Roman" w:hAnsi="Times New Roman"/>
          <w:sz w:val="21"/>
          <w:lang w:val="en-US"/>
        </w:rPr>
      </w:pPr>
      <w:r w:rsidRPr="001C3CB9">
        <w:rPr>
          <w:rFonts w:ascii="Times New Roman" w:hAnsi="Times New Roman"/>
          <w:sz w:val="21"/>
          <w:lang w:val="en-US"/>
        </w:rPr>
        <w:t xml:space="preserve">Which indication was used under assessment? </w:t>
      </w:r>
    </w:p>
    <w:p w:rsidR="000D256B" w:rsidRPr="001C3CB9" w:rsidRDefault="000D256B" w:rsidP="000D256B">
      <w:pPr>
        <w:numPr>
          <w:ilvl w:val="0"/>
          <w:numId w:val="14"/>
        </w:numPr>
        <w:spacing w:line="360" w:lineRule="auto"/>
        <w:rPr>
          <w:rFonts w:ascii="Times New Roman" w:hAnsi="Times New Roman"/>
          <w:sz w:val="21"/>
        </w:rPr>
      </w:pPr>
      <w:r w:rsidRPr="001C3CB9">
        <w:rPr>
          <w:rFonts w:ascii="Times New Roman" w:hAnsi="Times New Roman"/>
          <w:sz w:val="21"/>
        </w:rPr>
        <w:t xml:space="preserve">Goal of treatment: </w:t>
      </w:r>
    </w:p>
    <w:p w:rsidR="000D256B" w:rsidRPr="001C3CB9" w:rsidRDefault="000D256B" w:rsidP="000D256B">
      <w:pPr>
        <w:numPr>
          <w:ilvl w:val="1"/>
          <w:numId w:val="14"/>
        </w:numPr>
        <w:spacing w:line="360" w:lineRule="auto"/>
        <w:rPr>
          <w:rFonts w:ascii="Times New Roman" w:hAnsi="Times New Roman"/>
          <w:sz w:val="21"/>
          <w:lang w:val="en-US"/>
        </w:rPr>
      </w:pPr>
      <w:r w:rsidRPr="001C3CB9">
        <w:rPr>
          <w:rFonts w:ascii="Times New Roman" w:hAnsi="Times New Roman"/>
          <w:sz w:val="21"/>
          <w:lang w:val="en-US"/>
        </w:rPr>
        <w:t>Extend life (improves morbidity or mortality)</w:t>
      </w:r>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Improve</w:t>
      </w:r>
      <w:proofErr w:type="spellEnd"/>
      <w:r w:rsidRPr="001C3CB9">
        <w:rPr>
          <w:rFonts w:ascii="Times New Roman" w:hAnsi="Times New Roman"/>
          <w:sz w:val="21"/>
        </w:rPr>
        <w:t xml:space="preserve"> </w:t>
      </w:r>
      <w:proofErr w:type="spellStart"/>
      <w:r w:rsidRPr="001C3CB9">
        <w:rPr>
          <w:rFonts w:ascii="Times New Roman" w:hAnsi="Times New Roman"/>
          <w:sz w:val="21"/>
        </w:rPr>
        <w:t>symptoms</w:t>
      </w:r>
      <w:proofErr w:type="spellEnd"/>
      <w:r w:rsidRPr="001C3CB9">
        <w:rPr>
          <w:rFonts w:ascii="Times New Roman" w:hAnsi="Times New Roman"/>
          <w:sz w:val="21"/>
        </w:rPr>
        <w:t xml:space="preserve"> or </w:t>
      </w:r>
      <w:proofErr w:type="spellStart"/>
      <w:r w:rsidRPr="001C3CB9">
        <w:rPr>
          <w:rFonts w:ascii="Times New Roman" w:hAnsi="Times New Roman"/>
          <w:sz w:val="21"/>
        </w:rPr>
        <w:t>QoL</w:t>
      </w:r>
      <w:proofErr w:type="spellEnd"/>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Other</w:t>
      </w:r>
      <w:proofErr w:type="spellEnd"/>
      <w:r w:rsidRPr="001C3CB9">
        <w:rPr>
          <w:rFonts w:ascii="Times New Roman" w:hAnsi="Times New Roman"/>
          <w:sz w:val="21"/>
        </w:rPr>
        <w:t xml:space="preserve"> (</w:t>
      </w:r>
      <w:proofErr w:type="spellStart"/>
      <w:r w:rsidRPr="001C3CB9">
        <w:rPr>
          <w:rFonts w:ascii="Times New Roman" w:hAnsi="Times New Roman"/>
          <w:sz w:val="21"/>
        </w:rPr>
        <w:t>prophylaxis</w:t>
      </w:r>
      <w:proofErr w:type="spellEnd"/>
      <w:r w:rsidRPr="001C3CB9">
        <w:rPr>
          <w:rFonts w:ascii="Times New Roman" w:hAnsi="Times New Roman"/>
          <w:sz w:val="21"/>
        </w:rPr>
        <w:t>)</w:t>
      </w:r>
    </w:p>
    <w:p w:rsidR="000D256B" w:rsidRPr="001C3CB9" w:rsidRDefault="000D256B" w:rsidP="000D256B">
      <w:pPr>
        <w:spacing w:line="360" w:lineRule="auto"/>
        <w:rPr>
          <w:rFonts w:ascii="Times New Roman" w:hAnsi="Times New Roman"/>
          <w:sz w:val="21"/>
        </w:rPr>
      </w:pPr>
    </w:p>
    <w:p w:rsidR="000D256B" w:rsidRPr="001C3CB9" w:rsidRDefault="000D256B" w:rsidP="000D256B">
      <w:pPr>
        <w:spacing w:line="360" w:lineRule="auto"/>
        <w:outlineLvl w:val="0"/>
        <w:rPr>
          <w:rFonts w:ascii="Times New Roman" w:hAnsi="Times New Roman"/>
          <w:b/>
          <w:sz w:val="22"/>
        </w:rPr>
      </w:pPr>
      <w:r w:rsidRPr="001C3CB9">
        <w:rPr>
          <w:rFonts w:ascii="Times New Roman" w:hAnsi="Times New Roman"/>
          <w:b/>
          <w:sz w:val="22"/>
        </w:rPr>
        <w:t>Assessment</w:t>
      </w:r>
    </w:p>
    <w:p w:rsidR="000D256B" w:rsidRPr="001C3CB9" w:rsidRDefault="000D256B" w:rsidP="000D256B">
      <w:pPr>
        <w:spacing w:line="360" w:lineRule="auto"/>
        <w:outlineLvl w:val="0"/>
        <w:rPr>
          <w:rFonts w:ascii="Times New Roman" w:hAnsi="Times New Roman"/>
          <w:i/>
          <w:sz w:val="21"/>
        </w:rPr>
      </w:pPr>
      <w:proofErr w:type="spellStart"/>
      <w:r w:rsidRPr="001C3CB9">
        <w:rPr>
          <w:rFonts w:ascii="Times New Roman" w:hAnsi="Times New Roman"/>
          <w:i/>
          <w:sz w:val="21"/>
        </w:rPr>
        <w:t>Effectiveness</w:t>
      </w:r>
      <w:proofErr w:type="spellEnd"/>
    </w:p>
    <w:p w:rsidR="000D256B" w:rsidRPr="001C3CB9" w:rsidRDefault="000D256B" w:rsidP="000D256B">
      <w:pPr>
        <w:numPr>
          <w:ilvl w:val="0"/>
          <w:numId w:val="15"/>
        </w:numPr>
        <w:spacing w:line="360" w:lineRule="auto"/>
        <w:rPr>
          <w:rFonts w:ascii="Times New Roman" w:hAnsi="Times New Roman"/>
          <w:i/>
          <w:sz w:val="21"/>
          <w:lang w:val="en-US"/>
        </w:rPr>
      </w:pPr>
      <w:r w:rsidRPr="001C3CB9">
        <w:rPr>
          <w:rFonts w:ascii="Times New Roman" w:hAnsi="Times New Roman"/>
          <w:sz w:val="21"/>
          <w:lang w:val="en-US"/>
        </w:rPr>
        <w:t xml:space="preserve">Are real-world data (RWD) included in the effectiveness-assessment? </w:t>
      </w:r>
    </w:p>
    <w:p w:rsidR="000D256B" w:rsidRPr="001C3CB9" w:rsidRDefault="000D256B" w:rsidP="000D256B">
      <w:pPr>
        <w:numPr>
          <w:ilvl w:val="0"/>
          <w:numId w:val="15"/>
        </w:numPr>
        <w:spacing w:line="360" w:lineRule="auto"/>
        <w:rPr>
          <w:rFonts w:ascii="Times New Roman" w:hAnsi="Times New Roman"/>
          <w:sz w:val="21"/>
          <w:lang w:val="en-US"/>
        </w:rPr>
      </w:pPr>
      <w:r w:rsidRPr="001C3CB9">
        <w:rPr>
          <w:rFonts w:ascii="Times New Roman" w:hAnsi="Times New Roman"/>
          <w:i/>
          <w:sz w:val="21"/>
          <w:lang w:val="en-US"/>
        </w:rPr>
        <w:t xml:space="preserve">If so, what was the reason for inclusion? </w:t>
      </w:r>
    </w:p>
    <w:p w:rsidR="000D256B" w:rsidRPr="001C3CB9" w:rsidRDefault="000D256B" w:rsidP="000D256B">
      <w:pPr>
        <w:numPr>
          <w:ilvl w:val="0"/>
          <w:numId w:val="15"/>
        </w:numPr>
        <w:spacing w:line="360" w:lineRule="auto"/>
        <w:rPr>
          <w:rFonts w:ascii="Times New Roman" w:hAnsi="Times New Roman"/>
          <w:sz w:val="21"/>
        </w:rPr>
      </w:pPr>
      <w:r w:rsidRPr="001C3CB9">
        <w:rPr>
          <w:rFonts w:ascii="Times New Roman" w:hAnsi="Times New Roman"/>
          <w:sz w:val="21"/>
          <w:lang w:val="en-US"/>
        </w:rPr>
        <w:t xml:space="preserve">What are the characteristics of the real-world data? </w:t>
      </w:r>
      <w:r w:rsidRPr="001C3CB9">
        <w:rPr>
          <w:rFonts w:ascii="Times New Roman" w:hAnsi="Times New Roman"/>
          <w:sz w:val="21"/>
        </w:rPr>
        <w:t>(</w:t>
      </w:r>
      <w:proofErr w:type="spellStart"/>
      <w:r w:rsidRPr="001C3CB9">
        <w:rPr>
          <w:rFonts w:ascii="Times New Roman" w:hAnsi="Times New Roman"/>
          <w:sz w:val="21"/>
        </w:rPr>
        <w:t>please</w:t>
      </w:r>
      <w:proofErr w:type="spellEnd"/>
      <w:r w:rsidRPr="001C3CB9">
        <w:rPr>
          <w:rFonts w:ascii="Times New Roman" w:hAnsi="Times New Roman"/>
          <w:sz w:val="21"/>
        </w:rPr>
        <w:t xml:space="preserve"> </w:t>
      </w:r>
      <w:proofErr w:type="spellStart"/>
      <w:r w:rsidRPr="001C3CB9">
        <w:rPr>
          <w:rFonts w:ascii="Times New Roman" w:hAnsi="Times New Roman"/>
          <w:sz w:val="21"/>
        </w:rPr>
        <w:t>describe</w:t>
      </w:r>
      <w:proofErr w:type="spellEnd"/>
      <w:r w:rsidRPr="001C3CB9">
        <w:rPr>
          <w:rFonts w:ascii="Times New Roman" w:hAnsi="Times New Roman"/>
          <w:sz w:val="21"/>
        </w:rPr>
        <w:t xml:space="preserve"> per </w:t>
      </w:r>
      <w:proofErr w:type="spellStart"/>
      <w:r w:rsidRPr="001C3CB9">
        <w:rPr>
          <w:rFonts w:ascii="Times New Roman" w:hAnsi="Times New Roman"/>
          <w:sz w:val="21"/>
        </w:rPr>
        <w:t>study</w:t>
      </w:r>
      <w:proofErr w:type="spellEnd"/>
      <w:r w:rsidRPr="001C3CB9">
        <w:rPr>
          <w:rFonts w:ascii="Times New Roman" w:hAnsi="Times New Roman"/>
          <w:sz w:val="21"/>
        </w:rPr>
        <w:t>)</w:t>
      </w:r>
    </w:p>
    <w:p w:rsidR="000D256B" w:rsidRPr="001C3CB9" w:rsidRDefault="000D256B" w:rsidP="000D256B">
      <w:pPr>
        <w:numPr>
          <w:ilvl w:val="1"/>
          <w:numId w:val="13"/>
        </w:numPr>
        <w:spacing w:line="360" w:lineRule="auto"/>
        <w:rPr>
          <w:rFonts w:ascii="Times New Roman" w:hAnsi="Times New Roman"/>
          <w:sz w:val="21"/>
          <w:lang w:val="en-US"/>
        </w:rPr>
      </w:pPr>
      <w:r w:rsidRPr="001C3CB9">
        <w:rPr>
          <w:rFonts w:ascii="Times New Roman" w:hAnsi="Times New Roman"/>
          <w:sz w:val="21"/>
          <w:lang w:val="en-US"/>
        </w:rPr>
        <w:t xml:space="preserve">Study-design (prospective/retrospective, controlled, </w:t>
      </w:r>
      <w:proofErr w:type="spellStart"/>
      <w:r w:rsidRPr="001C3CB9">
        <w:rPr>
          <w:rFonts w:ascii="Times New Roman" w:hAnsi="Times New Roman"/>
          <w:sz w:val="21"/>
          <w:lang w:val="en-US"/>
        </w:rPr>
        <w:t>randomised</w:t>
      </w:r>
      <w:proofErr w:type="spellEnd"/>
      <w:r w:rsidRPr="001C3CB9">
        <w:rPr>
          <w:rFonts w:ascii="Times New Roman" w:hAnsi="Times New Roman"/>
          <w:sz w:val="21"/>
          <w:lang w:val="en-US"/>
        </w:rPr>
        <w:t>, blinded, etc.)</w:t>
      </w:r>
    </w:p>
    <w:p w:rsidR="000D256B" w:rsidRPr="001C3CB9" w:rsidRDefault="000D256B" w:rsidP="000D256B">
      <w:pPr>
        <w:numPr>
          <w:ilvl w:val="1"/>
          <w:numId w:val="13"/>
        </w:numPr>
        <w:spacing w:line="360" w:lineRule="auto"/>
        <w:rPr>
          <w:rFonts w:ascii="Times New Roman" w:hAnsi="Times New Roman"/>
          <w:sz w:val="21"/>
          <w:lang w:val="en-US"/>
        </w:rPr>
      </w:pPr>
      <w:r w:rsidRPr="001C3CB9">
        <w:rPr>
          <w:rFonts w:ascii="Times New Roman" w:hAnsi="Times New Roman"/>
          <w:sz w:val="21"/>
          <w:lang w:val="en-US"/>
        </w:rPr>
        <w:t>PICO (patient, intervention, comparison and outcome)</w:t>
      </w:r>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Number</w:t>
      </w:r>
      <w:proofErr w:type="spellEnd"/>
      <w:r w:rsidRPr="001C3CB9">
        <w:rPr>
          <w:rFonts w:ascii="Times New Roman" w:hAnsi="Times New Roman"/>
          <w:sz w:val="21"/>
        </w:rPr>
        <w:t xml:space="preserve"> of </w:t>
      </w:r>
      <w:proofErr w:type="spellStart"/>
      <w:r w:rsidRPr="001C3CB9">
        <w:rPr>
          <w:rFonts w:ascii="Times New Roman" w:hAnsi="Times New Roman"/>
          <w:sz w:val="21"/>
        </w:rPr>
        <w:t>patients</w:t>
      </w:r>
      <w:proofErr w:type="spellEnd"/>
    </w:p>
    <w:p w:rsidR="000D256B" w:rsidRPr="001C3CB9" w:rsidRDefault="000D256B" w:rsidP="000D256B">
      <w:pPr>
        <w:spacing w:line="360" w:lineRule="auto"/>
        <w:rPr>
          <w:rFonts w:ascii="Times New Roman" w:hAnsi="Times New Roman"/>
          <w:sz w:val="21"/>
        </w:rPr>
      </w:pPr>
    </w:p>
    <w:p w:rsidR="000D256B" w:rsidRPr="001C3CB9" w:rsidRDefault="000D256B" w:rsidP="000D256B">
      <w:pPr>
        <w:spacing w:line="360" w:lineRule="auto"/>
        <w:outlineLvl w:val="0"/>
        <w:rPr>
          <w:rFonts w:ascii="Times New Roman" w:hAnsi="Times New Roman"/>
          <w:i/>
          <w:sz w:val="21"/>
        </w:rPr>
      </w:pPr>
      <w:proofErr w:type="spellStart"/>
      <w:r w:rsidRPr="001C3CB9">
        <w:rPr>
          <w:rFonts w:ascii="Times New Roman" w:hAnsi="Times New Roman"/>
          <w:i/>
          <w:sz w:val="21"/>
        </w:rPr>
        <w:t>Cost-effectiveness</w:t>
      </w:r>
      <w:proofErr w:type="spellEnd"/>
    </w:p>
    <w:p w:rsidR="000D256B" w:rsidRPr="001C3CB9" w:rsidRDefault="000D256B" w:rsidP="000D256B">
      <w:pPr>
        <w:numPr>
          <w:ilvl w:val="0"/>
          <w:numId w:val="16"/>
        </w:numPr>
        <w:spacing w:line="360" w:lineRule="auto"/>
        <w:rPr>
          <w:rFonts w:ascii="Times New Roman" w:hAnsi="Times New Roman"/>
          <w:i/>
          <w:sz w:val="21"/>
          <w:lang w:val="en-US"/>
        </w:rPr>
      </w:pPr>
      <w:r w:rsidRPr="001C3CB9">
        <w:rPr>
          <w:rFonts w:ascii="Times New Roman" w:hAnsi="Times New Roman"/>
          <w:sz w:val="21"/>
          <w:lang w:val="en-US"/>
        </w:rPr>
        <w:t xml:space="preserve">Are real-world data (RWD) included in the cost-effectiveness-assessment? </w:t>
      </w:r>
    </w:p>
    <w:p w:rsidR="000D256B" w:rsidRPr="001C3CB9" w:rsidRDefault="000D256B" w:rsidP="000D256B">
      <w:pPr>
        <w:numPr>
          <w:ilvl w:val="0"/>
          <w:numId w:val="16"/>
        </w:numPr>
        <w:spacing w:line="360" w:lineRule="auto"/>
        <w:rPr>
          <w:rFonts w:ascii="Times New Roman" w:hAnsi="Times New Roman"/>
          <w:sz w:val="21"/>
          <w:lang w:val="en-US"/>
        </w:rPr>
      </w:pPr>
      <w:r w:rsidRPr="001C3CB9">
        <w:rPr>
          <w:rFonts w:ascii="Times New Roman" w:hAnsi="Times New Roman"/>
          <w:i/>
          <w:sz w:val="21"/>
          <w:lang w:val="en-US"/>
        </w:rPr>
        <w:t xml:space="preserve">If so, what was the reason for inclusion? </w:t>
      </w:r>
    </w:p>
    <w:p w:rsidR="000D256B" w:rsidRPr="001C3CB9" w:rsidRDefault="000D256B" w:rsidP="000D256B">
      <w:pPr>
        <w:numPr>
          <w:ilvl w:val="0"/>
          <w:numId w:val="16"/>
        </w:numPr>
        <w:spacing w:line="360" w:lineRule="auto"/>
        <w:rPr>
          <w:rFonts w:ascii="Times New Roman" w:hAnsi="Times New Roman"/>
          <w:sz w:val="21"/>
          <w:lang w:val="en-US"/>
        </w:rPr>
      </w:pPr>
      <w:r w:rsidRPr="001C3CB9">
        <w:rPr>
          <w:rFonts w:ascii="Times New Roman" w:hAnsi="Times New Roman"/>
          <w:sz w:val="21"/>
          <w:lang w:val="en-US"/>
        </w:rPr>
        <w:t xml:space="preserve">Is a model used to estimate the ICER? </w:t>
      </w:r>
    </w:p>
    <w:p w:rsidR="000D256B" w:rsidRPr="001C3CB9" w:rsidRDefault="000D256B" w:rsidP="000D256B">
      <w:pPr>
        <w:numPr>
          <w:ilvl w:val="0"/>
          <w:numId w:val="16"/>
        </w:numPr>
        <w:spacing w:line="360" w:lineRule="auto"/>
        <w:rPr>
          <w:rFonts w:ascii="Times New Roman" w:hAnsi="Times New Roman"/>
          <w:i/>
          <w:sz w:val="21"/>
          <w:lang w:val="en-US"/>
        </w:rPr>
      </w:pPr>
      <w:r w:rsidRPr="001C3CB9">
        <w:rPr>
          <w:rFonts w:ascii="Times New Roman" w:hAnsi="Times New Roman"/>
          <w:i/>
          <w:sz w:val="21"/>
          <w:lang w:val="en-US"/>
        </w:rPr>
        <w:t>If so, for which parameters was RWD used? (e.g. prevalence, effectiveness, cost-effectiveness and/or costs)</w:t>
      </w:r>
    </w:p>
    <w:p w:rsidR="000D256B" w:rsidRPr="001C3CB9" w:rsidRDefault="000D256B" w:rsidP="000D256B">
      <w:pPr>
        <w:numPr>
          <w:ilvl w:val="0"/>
          <w:numId w:val="16"/>
        </w:numPr>
        <w:spacing w:line="360" w:lineRule="auto"/>
        <w:rPr>
          <w:rFonts w:ascii="Times New Roman" w:hAnsi="Times New Roman"/>
          <w:i/>
          <w:sz w:val="21"/>
          <w:lang w:val="en-US"/>
        </w:rPr>
      </w:pPr>
      <w:r w:rsidRPr="001C3CB9">
        <w:rPr>
          <w:rFonts w:ascii="Times New Roman" w:hAnsi="Times New Roman"/>
          <w:i/>
          <w:sz w:val="21"/>
          <w:lang w:val="en-US"/>
        </w:rPr>
        <w:t>Which type of sources were used for the different parameters (observational, registries, PCTs, etc.)?</w:t>
      </w:r>
      <w:r w:rsidRPr="001C3CB9">
        <w:rPr>
          <w:rFonts w:ascii="Times New Roman" w:hAnsi="Times New Roman"/>
          <w:i/>
          <w:sz w:val="21"/>
          <w:lang w:val="en-US"/>
        </w:rPr>
        <w:br/>
      </w:r>
    </w:p>
    <w:p w:rsidR="000D256B" w:rsidRPr="001C3CB9" w:rsidRDefault="000D256B" w:rsidP="000D256B">
      <w:pPr>
        <w:spacing w:line="360" w:lineRule="auto"/>
        <w:outlineLvl w:val="0"/>
        <w:rPr>
          <w:rFonts w:ascii="Times New Roman" w:hAnsi="Times New Roman"/>
          <w:b/>
          <w:sz w:val="22"/>
        </w:rPr>
      </w:pPr>
      <w:r w:rsidRPr="001C3CB9">
        <w:rPr>
          <w:rFonts w:ascii="Times New Roman" w:hAnsi="Times New Roman"/>
          <w:b/>
          <w:sz w:val="22"/>
          <w:lang w:val="en-US"/>
        </w:rPr>
        <w:br w:type="page"/>
      </w:r>
      <w:proofErr w:type="spellStart"/>
      <w:r w:rsidRPr="001C3CB9">
        <w:rPr>
          <w:rFonts w:ascii="Times New Roman" w:hAnsi="Times New Roman"/>
          <w:b/>
          <w:sz w:val="22"/>
        </w:rPr>
        <w:lastRenderedPageBreak/>
        <w:t>Appraisal</w:t>
      </w:r>
      <w:proofErr w:type="spellEnd"/>
    </w:p>
    <w:p w:rsidR="000D256B" w:rsidRPr="001C3CB9" w:rsidRDefault="000D256B" w:rsidP="000D256B">
      <w:pPr>
        <w:spacing w:line="360" w:lineRule="auto"/>
        <w:outlineLvl w:val="0"/>
        <w:rPr>
          <w:rFonts w:ascii="Times New Roman" w:hAnsi="Times New Roman"/>
          <w:i/>
          <w:sz w:val="21"/>
        </w:rPr>
      </w:pPr>
      <w:proofErr w:type="spellStart"/>
      <w:r w:rsidRPr="001C3CB9">
        <w:rPr>
          <w:rFonts w:ascii="Times New Roman" w:hAnsi="Times New Roman"/>
          <w:i/>
          <w:sz w:val="21"/>
        </w:rPr>
        <w:t>Effectiveness</w:t>
      </w:r>
      <w:proofErr w:type="spellEnd"/>
    </w:p>
    <w:p w:rsidR="000D256B" w:rsidRPr="001C3CB9" w:rsidRDefault="000D256B" w:rsidP="000D256B">
      <w:pPr>
        <w:numPr>
          <w:ilvl w:val="0"/>
          <w:numId w:val="17"/>
        </w:numPr>
        <w:spacing w:line="360" w:lineRule="auto"/>
        <w:rPr>
          <w:rFonts w:ascii="Times New Roman" w:hAnsi="Times New Roman"/>
          <w:sz w:val="21"/>
          <w:lang w:val="en-US"/>
        </w:rPr>
      </w:pPr>
      <w:r w:rsidRPr="001C3CB9">
        <w:rPr>
          <w:rFonts w:ascii="Times New Roman" w:hAnsi="Times New Roman"/>
          <w:sz w:val="21"/>
          <w:lang w:val="en-US"/>
        </w:rPr>
        <w:t xml:space="preserve">Is information originating from RWD mentioned in the appraisal? </w:t>
      </w:r>
    </w:p>
    <w:p w:rsidR="000D256B" w:rsidRPr="001C3CB9" w:rsidRDefault="000D256B" w:rsidP="000D256B">
      <w:pPr>
        <w:numPr>
          <w:ilvl w:val="0"/>
          <w:numId w:val="17"/>
        </w:numPr>
        <w:spacing w:line="360" w:lineRule="auto"/>
        <w:rPr>
          <w:rFonts w:ascii="Times New Roman" w:hAnsi="Times New Roman"/>
          <w:sz w:val="21"/>
          <w:lang w:val="en-US"/>
        </w:rPr>
      </w:pPr>
      <w:r w:rsidRPr="001C3CB9">
        <w:rPr>
          <w:rFonts w:ascii="Times New Roman" w:hAnsi="Times New Roman"/>
          <w:sz w:val="21"/>
          <w:lang w:val="en-US"/>
        </w:rPr>
        <w:t xml:space="preserve"> What was the impact of the RWD for decision-making? </w:t>
      </w:r>
    </w:p>
    <w:p w:rsidR="000D256B" w:rsidRPr="001C3CB9" w:rsidRDefault="000D256B" w:rsidP="000D256B">
      <w:pPr>
        <w:numPr>
          <w:ilvl w:val="1"/>
          <w:numId w:val="17"/>
        </w:numPr>
        <w:spacing w:line="360" w:lineRule="auto"/>
        <w:rPr>
          <w:rFonts w:ascii="Times New Roman" w:hAnsi="Times New Roman"/>
          <w:sz w:val="21"/>
          <w:lang w:val="en-US"/>
        </w:rPr>
      </w:pPr>
      <w:r w:rsidRPr="001C3CB9">
        <w:rPr>
          <w:rFonts w:ascii="Times New Roman" w:hAnsi="Times New Roman"/>
          <w:sz w:val="21"/>
          <w:lang w:val="en-US"/>
        </w:rPr>
        <w:t>Positive impact, statement in the recommendations section identifying a positive opinion regarding the role of data derived from RWD.</w:t>
      </w:r>
    </w:p>
    <w:p w:rsidR="000D256B" w:rsidRPr="001C3CB9" w:rsidRDefault="000D256B" w:rsidP="000D256B">
      <w:pPr>
        <w:numPr>
          <w:ilvl w:val="1"/>
          <w:numId w:val="17"/>
        </w:numPr>
        <w:spacing w:line="360" w:lineRule="auto"/>
        <w:rPr>
          <w:rFonts w:ascii="Times New Roman" w:hAnsi="Times New Roman"/>
          <w:sz w:val="21"/>
          <w:lang w:val="en-US"/>
        </w:rPr>
      </w:pPr>
      <w:r w:rsidRPr="001C3CB9">
        <w:rPr>
          <w:rFonts w:ascii="Times New Roman" w:hAnsi="Times New Roman"/>
          <w:sz w:val="21"/>
          <w:lang w:val="en-US"/>
        </w:rPr>
        <w:t>Negative impact, statement in the recommendations section identifying a negative opinion regarding the role of data derived from RWD.</w:t>
      </w:r>
    </w:p>
    <w:p w:rsidR="000D256B" w:rsidRPr="001C3CB9" w:rsidRDefault="000D256B" w:rsidP="000D256B">
      <w:pPr>
        <w:numPr>
          <w:ilvl w:val="1"/>
          <w:numId w:val="17"/>
        </w:numPr>
        <w:spacing w:line="360" w:lineRule="auto"/>
        <w:rPr>
          <w:rFonts w:ascii="Times New Roman" w:hAnsi="Times New Roman"/>
          <w:sz w:val="21"/>
          <w:lang w:val="en-US"/>
        </w:rPr>
      </w:pPr>
      <w:r w:rsidRPr="001C3CB9">
        <w:rPr>
          <w:rFonts w:ascii="Times New Roman" w:hAnsi="Times New Roman"/>
          <w:sz w:val="21"/>
          <w:lang w:val="en-US"/>
        </w:rPr>
        <w:t>Neutral impact, statement in the recommendations section identifying a neutral opinion regarding the role of data derived from RWD.</w:t>
      </w:r>
    </w:p>
    <w:p w:rsidR="000D256B" w:rsidRPr="001C3CB9" w:rsidRDefault="000D256B" w:rsidP="000D256B">
      <w:pPr>
        <w:numPr>
          <w:ilvl w:val="1"/>
          <w:numId w:val="17"/>
        </w:numPr>
        <w:spacing w:line="360" w:lineRule="auto"/>
        <w:rPr>
          <w:rFonts w:ascii="Times New Roman" w:hAnsi="Times New Roman"/>
          <w:sz w:val="21"/>
          <w:lang w:val="en-US"/>
        </w:rPr>
      </w:pPr>
      <w:r w:rsidRPr="001C3CB9">
        <w:rPr>
          <w:rFonts w:ascii="Times New Roman" w:hAnsi="Times New Roman"/>
          <w:sz w:val="21"/>
          <w:lang w:val="en-US"/>
        </w:rPr>
        <w:t>Impact unknown, statement in the recommendations section that cannot clearly be identified as positive, negative or neutral.</w:t>
      </w:r>
    </w:p>
    <w:p w:rsidR="000D256B" w:rsidRPr="001C3CB9" w:rsidRDefault="000D256B" w:rsidP="000D256B">
      <w:pPr>
        <w:numPr>
          <w:ilvl w:val="1"/>
          <w:numId w:val="17"/>
        </w:numPr>
        <w:spacing w:line="360" w:lineRule="auto"/>
        <w:rPr>
          <w:rFonts w:ascii="Times New Roman" w:hAnsi="Times New Roman"/>
          <w:sz w:val="21"/>
          <w:lang w:val="en-US"/>
        </w:rPr>
      </w:pPr>
      <w:r w:rsidRPr="001C3CB9">
        <w:rPr>
          <w:rFonts w:ascii="Times New Roman" w:hAnsi="Times New Roman"/>
          <w:sz w:val="21"/>
          <w:lang w:val="en-US"/>
        </w:rPr>
        <w:t xml:space="preserve">Not identified, no statement in the recommendations section, regarding the RWD. </w:t>
      </w:r>
    </w:p>
    <w:p w:rsidR="000D256B" w:rsidRPr="001C3CB9" w:rsidRDefault="000D256B" w:rsidP="000D256B">
      <w:pPr>
        <w:numPr>
          <w:ilvl w:val="1"/>
          <w:numId w:val="17"/>
        </w:numPr>
        <w:spacing w:line="360" w:lineRule="auto"/>
        <w:rPr>
          <w:rFonts w:ascii="Times New Roman" w:hAnsi="Times New Roman"/>
          <w:sz w:val="21"/>
          <w:lang w:val="en-US"/>
        </w:rPr>
      </w:pPr>
      <w:r w:rsidRPr="001C3CB9">
        <w:rPr>
          <w:rFonts w:ascii="Times New Roman" w:hAnsi="Times New Roman"/>
          <w:sz w:val="21"/>
          <w:lang w:val="en-US"/>
        </w:rPr>
        <w:t>Not included, RWD was not included in the assessment.</w:t>
      </w:r>
    </w:p>
    <w:p w:rsidR="000D256B" w:rsidRPr="001C3CB9" w:rsidRDefault="000D256B" w:rsidP="000D256B">
      <w:pPr>
        <w:spacing w:line="360" w:lineRule="auto"/>
        <w:rPr>
          <w:rFonts w:ascii="Times New Roman" w:hAnsi="Times New Roman"/>
          <w:sz w:val="21"/>
          <w:lang w:val="en-US"/>
        </w:rPr>
      </w:pPr>
    </w:p>
    <w:p w:rsidR="000D256B" w:rsidRPr="001C3CB9" w:rsidRDefault="000D256B" w:rsidP="000D256B">
      <w:pPr>
        <w:spacing w:line="360" w:lineRule="auto"/>
        <w:outlineLvl w:val="0"/>
        <w:rPr>
          <w:rFonts w:ascii="Times New Roman" w:hAnsi="Times New Roman"/>
          <w:sz w:val="21"/>
        </w:rPr>
      </w:pPr>
      <w:proofErr w:type="spellStart"/>
      <w:r w:rsidRPr="001C3CB9">
        <w:rPr>
          <w:rFonts w:ascii="Times New Roman" w:hAnsi="Times New Roman"/>
          <w:sz w:val="21"/>
        </w:rPr>
        <w:t>Cost-effectiveness</w:t>
      </w:r>
      <w:proofErr w:type="spellEnd"/>
    </w:p>
    <w:p w:rsidR="000D256B" w:rsidRPr="001C3CB9" w:rsidRDefault="000D256B" w:rsidP="000D256B">
      <w:pPr>
        <w:numPr>
          <w:ilvl w:val="0"/>
          <w:numId w:val="18"/>
        </w:numPr>
        <w:spacing w:line="360" w:lineRule="auto"/>
        <w:rPr>
          <w:rFonts w:ascii="Times New Roman" w:hAnsi="Times New Roman"/>
          <w:sz w:val="21"/>
          <w:lang w:val="en-US"/>
        </w:rPr>
      </w:pPr>
      <w:r w:rsidRPr="001C3CB9">
        <w:rPr>
          <w:rFonts w:ascii="Times New Roman" w:hAnsi="Times New Roman"/>
          <w:sz w:val="21"/>
          <w:lang w:val="en-US"/>
        </w:rPr>
        <w:t xml:space="preserve">Is information originating from RWD mentioned in the appraisal? </w:t>
      </w:r>
    </w:p>
    <w:p w:rsidR="000D256B" w:rsidRPr="001C3CB9" w:rsidRDefault="000D256B" w:rsidP="000D256B">
      <w:pPr>
        <w:numPr>
          <w:ilvl w:val="0"/>
          <w:numId w:val="18"/>
        </w:numPr>
        <w:spacing w:line="360" w:lineRule="auto"/>
        <w:rPr>
          <w:rFonts w:ascii="Times New Roman" w:hAnsi="Times New Roman"/>
          <w:sz w:val="21"/>
          <w:lang w:val="en-US"/>
        </w:rPr>
      </w:pPr>
      <w:r w:rsidRPr="001C3CB9">
        <w:rPr>
          <w:rFonts w:ascii="Times New Roman" w:hAnsi="Times New Roman"/>
          <w:sz w:val="21"/>
          <w:lang w:val="en-US"/>
        </w:rPr>
        <w:t xml:space="preserve"> What was the appraisal of the RWD for decision-making? </w:t>
      </w:r>
    </w:p>
    <w:p w:rsidR="000D256B" w:rsidRPr="001C3CB9" w:rsidRDefault="000D256B" w:rsidP="000D256B">
      <w:pPr>
        <w:numPr>
          <w:ilvl w:val="1"/>
          <w:numId w:val="18"/>
        </w:numPr>
        <w:spacing w:line="360" w:lineRule="auto"/>
        <w:rPr>
          <w:rFonts w:ascii="Times New Roman" w:hAnsi="Times New Roman"/>
          <w:sz w:val="21"/>
          <w:lang w:val="en-US"/>
        </w:rPr>
      </w:pPr>
      <w:r w:rsidRPr="001C3CB9">
        <w:rPr>
          <w:rFonts w:ascii="Times New Roman" w:hAnsi="Times New Roman"/>
          <w:sz w:val="21"/>
          <w:lang w:val="en-US"/>
        </w:rPr>
        <w:t>Positive, statement in the recommendations section identifying a positive opinion regarding the role of data derived from RWD.</w:t>
      </w:r>
    </w:p>
    <w:p w:rsidR="000D256B" w:rsidRPr="001C3CB9" w:rsidRDefault="000D256B" w:rsidP="000D256B">
      <w:pPr>
        <w:numPr>
          <w:ilvl w:val="1"/>
          <w:numId w:val="18"/>
        </w:numPr>
        <w:spacing w:line="360" w:lineRule="auto"/>
        <w:rPr>
          <w:rFonts w:ascii="Times New Roman" w:hAnsi="Times New Roman"/>
          <w:sz w:val="21"/>
          <w:lang w:val="en-US"/>
        </w:rPr>
      </w:pPr>
      <w:r w:rsidRPr="001C3CB9">
        <w:rPr>
          <w:rFonts w:ascii="Times New Roman" w:hAnsi="Times New Roman"/>
          <w:sz w:val="21"/>
          <w:lang w:val="en-US"/>
        </w:rPr>
        <w:t>Negative, statement in the recommendations section identifying a negative opinion regarding the role of data derived from RWD.</w:t>
      </w:r>
    </w:p>
    <w:p w:rsidR="000D256B" w:rsidRPr="001C3CB9" w:rsidRDefault="000D256B" w:rsidP="000D256B">
      <w:pPr>
        <w:numPr>
          <w:ilvl w:val="1"/>
          <w:numId w:val="18"/>
        </w:numPr>
        <w:spacing w:line="360" w:lineRule="auto"/>
        <w:rPr>
          <w:rFonts w:ascii="Times New Roman" w:hAnsi="Times New Roman"/>
          <w:sz w:val="21"/>
          <w:lang w:val="en-US"/>
        </w:rPr>
      </w:pPr>
      <w:r w:rsidRPr="001C3CB9">
        <w:rPr>
          <w:rFonts w:ascii="Times New Roman" w:hAnsi="Times New Roman"/>
          <w:sz w:val="21"/>
          <w:lang w:val="en-US"/>
        </w:rPr>
        <w:t>Neutral, statement in the recommendations section identifying a neutral opinion regarding the role of data derived from RWD.</w:t>
      </w:r>
    </w:p>
    <w:p w:rsidR="000D256B" w:rsidRPr="001C3CB9" w:rsidRDefault="000D256B" w:rsidP="000D256B">
      <w:pPr>
        <w:numPr>
          <w:ilvl w:val="1"/>
          <w:numId w:val="18"/>
        </w:numPr>
        <w:spacing w:line="360" w:lineRule="auto"/>
        <w:rPr>
          <w:rFonts w:ascii="Times New Roman" w:hAnsi="Times New Roman"/>
          <w:sz w:val="21"/>
          <w:lang w:val="en-US"/>
        </w:rPr>
      </w:pPr>
      <w:r w:rsidRPr="001C3CB9">
        <w:rPr>
          <w:rFonts w:ascii="Times New Roman" w:hAnsi="Times New Roman"/>
          <w:sz w:val="21"/>
          <w:lang w:val="en-US"/>
        </w:rPr>
        <w:t>Impact, statement in the recommendations section that cannot clearly be identified as positive, negative or neutral.</w:t>
      </w:r>
    </w:p>
    <w:p w:rsidR="000D256B" w:rsidRPr="001C3CB9" w:rsidRDefault="000D256B" w:rsidP="000D256B">
      <w:pPr>
        <w:numPr>
          <w:ilvl w:val="1"/>
          <w:numId w:val="18"/>
        </w:numPr>
        <w:spacing w:line="360" w:lineRule="auto"/>
        <w:rPr>
          <w:rFonts w:ascii="Times New Roman" w:hAnsi="Times New Roman"/>
          <w:sz w:val="21"/>
          <w:lang w:val="en-US"/>
        </w:rPr>
      </w:pPr>
      <w:r w:rsidRPr="001C3CB9">
        <w:rPr>
          <w:rFonts w:ascii="Times New Roman" w:hAnsi="Times New Roman"/>
          <w:sz w:val="21"/>
          <w:lang w:val="en-US"/>
        </w:rPr>
        <w:t xml:space="preserve">Not identified, no statement in the recommendations section, regarding the RWD. </w:t>
      </w:r>
    </w:p>
    <w:p w:rsidR="000D256B" w:rsidRPr="001C3CB9" w:rsidRDefault="000D256B" w:rsidP="000D256B">
      <w:pPr>
        <w:numPr>
          <w:ilvl w:val="1"/>
          <w:numId w:val="18"/>
        </w:numPr>
        <w:spacing w:line="360" w:lineRule="auto"/>
        <w:rPr>
          <w:rFonts w:ascii="Times New Roman" w:hAnsi="Times New Roman"/>
          <w:sz w:val="21"/>
          <w:lang w:val="en-US"/>
        </w:rPr>
      </w:pPr>
      <w:r w:rsidRPr="001C3CB9">
        <w:rPr>
          <w:rFonts w:ascii="Times New Roman" w:hAnsi="Times New Roman"/>
          <w:sz w:val="21"/>
          <w:lang w:val="en-US"/>
        </w:rPr>
        <w:t>Not included, RWD was not included in the assessment.</w:t>
      </w:r>
      <w:r w:rsidRPr="001C3CB9">
        <w:rPr>
          <w:rFonts w:ascii="Times New Roman" w:hAnsi="Times New Roman"/>
          <w:sz w:val="21"/>
          <w:lang w:val="en-US"/>
        </w:rPr>
        <w:br/>
      </w:r>
    </w:p>
    <w:p w:rsidR="000D256B" w:rsidRPr="001C3CB9" w:rsidRDefault="000D256B" w:rsidP="000D256B">
      <w:pPr>
        <w:spacing w:line="360" w:lineRule="auto"/>
        <w:outlineLvl w:val="0"/>
        <w:rPr>
          <w:rFonts w:ascii="Times New Roman" w:hAnsi="Times New Roman"/>
          <w:b/>
          <w:sz w:val="22"/>
        </w:rPr>
      </w:pPr>
      <w:r w:rsidRPr="001C3CB9">
        <w:rPr>
          <w:rFonts w:ascii="Times New Roman" w:hAnsi="Times New Roman"/>
          <w:sz w:val="21"/>
          <w:lang w:val="en-US"/>
        </w:rPr>
        <w:br w:type="page"/>
      </w:r>
      <w:proofErr w:type="spellStart"/>
      <w:r w:rsidRPr="001C3CB9">
        <w:rPr>
          <w:rFonts w:ascii="Times New Roman" w:hAnsi="Times New Roman"/>
          <w:b/>
          <w:sz w:val="22"/>
        </w:rPr>
        <w:lastRenderedPageBreak/>
        <w:t>Final</w:t>
      </w:r>
      <w:proofErr w:type="spellEnd"/>
    </w:p>
    <w:p w:rsidR="000D256B" w:rsidRPr="001C3CB9" w:rsidRDefault="000D256B" w:rsidP="000D256B">
      <w:pPr>
        <w:numPr>
          <w:ilvl w:val="0"/>
          <w:numId w:val="19"/>
        </w:numPr>
        <w:spacing w:line="360" w:lineRule="auto"/>
        <w:rPr>
          <w:rFonts w:ascii="Times New Roman" w:hAnsi="Times New Roman"/>
          <w:sz w:val="21"/>
          <w:lang w:val="en-US"/>
        </w:rPr>
      </w:pPr>
      <w:r w:rsidRPr="001C3CB9">
        <w:rPr>
          <w:rFonts w:ascii="Times New Roman" w:hAnsi="Times New Roman"/>
          <w:sz w:val="21"/>
          <w:lang w:val="en-US"/>
        </w:rPr>
        <w:t xml:space="preserve">What was the final recommendation of the dossier for effectiveness? </w:t>
      </w:r>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Positive</w:t>
      </w:r>
      <w:proofErr w:type="spellEnd"/>
      <w:r w:rsidRPr="001C3CB9">
        <w:rPr>
          <w:rFonts w:ascii="Times New Roman" w:hAnsi="Times New Roman"/>
          <w:sz w:val="21"/>
        </w:rPr>
        <w:t xml:space="preserve"> or </w:t>
      </w:r>
      <w:proofErr w:type="spellStart"/>
      <w:r w:rsidRPr="001C3CB9">
        <w:rPr>
          <w:rFonts w:ascii="Times New Roman" w:hAnsi="Times New Roman"/>
          <w:sz w:val="21"/>
        </w:rPr>
        <w:t>added</w:t>
      </w:r>
      <w:proofErr w:type="spellEnd"/>
      <w:r w:rsidRPr="001C3CB9">
        <w:rPr>
          <w:rFonts w:ascii="Times New Roman" w:hAnsi="Times New Roman"/>
          <w:sz w:val="21"/>
        </w:rPr>
        <w:t xml:space="preserve"> benefit</w:t>
      </w:r>
    </w:p>
    <w:p w:rsidR="000D256B" w:rsidRPr="001C3CB9" w:rsidRDefault="000D256B" w:rsidP="000D256B">
      <w:pPr>
        <w:numPr>
          <w:ilvl w:val="1"/>
          <w:numId w:val="13"/>
        </w:numPr>
        <w:spacing w:line="360" w:lineRule="auto"/>
        <w:rPr>
          <w:rFonts w:ascii="Times New Roman" w:hAnsi="Times New Roman"/>
          <w:sz w:val="21"/>
          <w:lang w:val="en-US"/>
        </w:rPr>
      </w:pPr>
      <w:r w:rsidRPr="001C3CB9">
        <w:rPr>
          <w:rFonts w:ascii="Times New Roman" w:hAnsi="Times New Roman"/>
          <w:sz w:val="21"/>
          <w:lang w:val="en-US"/>
        </w:rPr>
        <w:t>Equal benefit or added benefit not proven</w:t>
      </w:r>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Negative</w:t>
      </w:r>
      <w:proofErr w:type="spellEnd"/>
      <w:r w:rsidRPr="001C3CB9">
        <w:rPr>
          <w:rFonts w:ascii="Times New Roman" w:hAnsi="Times New Roman"/>
          <w:sz w:val="21"/>
        </w:rPr>
        <w:t xml:space="preserve"> or </w:t>
      </w:r>
      <w:proofErr w:type="spellStart"/>
      <w:r w:rsidRPr="001C3CB9">
        <w:rPr>
          <w:rFonts w:ascii="Times New Roman" w:hAnsi="Times New Roman"/>
          <w:sz w:val="21"/>
        </w:rPr>
        <w:t>lesser</w:t>
      </w:r>
      <w:proofErr w:type="spellEnd"/>
      <w:r w:rsidRPr="001C3CB9">
        <w:rPr>
          <w:rFonts w:ascii="Times New Roman" w:hAnsi="Times New Roman"/>
          <w:sz w:val="21"/>
        </w:rPr>
        <w:t xml:space="preserve"> benefit</w:t>
      </w:r>
    </w:p>
    <w:p w:rsidR="000D256B" w:rsidRPr="001C3CB9" w:rsidRDefault="000D256B" w:rsidP="000D256B">
      <w:pPr>
        <w:numPr>
          <w:ilvl w:val="0"/>
          <w:numId w:val="19"/>
        </w:numPr>
        <w:spacing w:line="360" w:lineRule="auto"/>
        <w:rPr>
          <w:rFonts w:ascii="Times New Roman" w:hAnsi="Times New Roman"/>
          <w:sz w:val="21"/>
          <w:lang w:val="en-US"/>
        </w:rPr>
      </w:pPr>
      <w:r w:rsidRPr="001C3CB9">
        <w:rPr>
          <w:rFonts w:ascii="Times New Roman" w:hAnsi="Times New Roman"/>
          <w:sz w:val="21"/>
          <w:lang w:val="en-US"/>
        </w:rPr>
        <w:t xml:space="preserve">What was the final recommendation of the dossier for cost-effectiveness? </w:t>
      </w:r>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Positive</w:t>
      </w:r>
      <w:proofErr w:type="spellEnd"/>
      <w:r w:rsidRPr="001C3CB9">
        <w:rPr>
          <w:rFonts w:ascii="Times New Roman" w:hAnsi="Times New Roman"/>
          <w:sz w:val="21"/>
        </w:rPr>
        <w:t xml:space="preserve"> </w:t>
      </w:r>
      <w:proofErr w:type="spellStart"/>
      <w:r w:rsidRPr="001C3CB9">
        <w:rPr>
          <w:rFonts w:ascii="Times New Roman" w:hAnsi="Times New Roman"/>
          <w:sz w:val="21"/>
        </w:rPr>
        <w:t>cost-effectiveness</w:t>
      </w:r>
      <w:proofErr w:type="spellEnd"/>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Negative</w:t>
      </w:r>
      <w:proofErr w:type="spellEnd"/>
      <w:r w:rsidRPr="001C3CB9">
        <w:rPr>
          <w:rFonts w:ascii="Times New Roman" w:hAnsi="Times New Roman"/>
          <w:sz w:val="21"/>
        </w:rPr>
        <w:t xml:space="preserve"> </w:t>
      </w:r>
      <w:proofErr w:type="spellStart"/>
      <w:r w:rsidRPr="001C3CB9">
        <w:rPr>
          <w:rFonts w:ascii="Times New Roman" w:hAnsi="Times New Roman"/>
          <w:sz w:val="21"/>
        </w:rPr>
        <w:t>cost-effectiveness</w:t>
      </w:r>
      <w:proofErr w:type="spellEnd"/>
    </w:p>
    <w:p w:rsidR="000D256B" w:rsidRPr="001C3CB9" w:rsidRDefault="000D256B" w:rsidP="000D256B">
      <w:pPr>
        <w:numPr>
          <w:ilvl w:val="0"/>
          <w:numId w:val="19"/>
        </w:numPr>
        <w:spacing w:line="360" w:lineRule="auto"/>
        <w:rPr>
          <w:rFonts w:ascii="Times New Roman" w:hAnsi="Times New Roman"/>
          <w:sz w:val="21"/>
          <w:lang w:val="en-US"/>
        </w:rPr>
      </w:pPr>
      <w:r w:rsidRPr="001C3CB9">
        <w:rPr>
          <w:rFonts w:ascii="Times New Roman" w:hAnsi="Times New Roman"/>
          <w:sz w:val="21"/>
          <w:lang w:val="en-US"/>
        </w:rPr>
        <w:t xml:space="preserve">In case of a negative recommendation, what was the primary reason for the negative recommendation? </w:t>
      </w:r>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Clinical</w:t>
      </w:r>
      <w:proofErr w:type="spellEnd"/>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Cost</w:t>
      </w:r>
      <w:proofErr w:type="spellEnd"/>
      <w:r w:rsidRPr="001C3CB9">
        <w:rPr>
          <w:rFonts w:ascii="Times New Roman" w:hAnsi="Times New Roman"/>
          <w:sz w:val="21"/>
        </w:rPr>
        <w:t>/</w:t>
      </w:r>
      <w:proofErr w:type="spellStart"/>
      <w:r w:rsidRPr="001C3CB9">
        <w:rPr>
          <w:rFonts w:ascii="Times New Roman" w:hAnsi="Times New Roman"/>
          <w:sz w:val="21"/>
        </w:rPr>
        <w:t>cost-effectiveness</w:t>
      </w:r>
      <w:proofErr w:type="spellEnd"/>
    </w:p>
    <w:p w:rsidR="000D256B" w:rsidRPr="001C3CB9" w:rsidRDefault="000D256B" w:rsidP="000D256B">
      <w:pPr>
        <w:numPr>
          <w:ilvl w:val="1"/>
          <w:numId w:val="13"/>
        </w:numPr>
        <w:spacing w:line="360" w:lineRule="auto"/>
        <w:rPr>
          <w:rFonts w:ascii="Times New Roman" w:hAnsi="Times New Roman"/>
          <w:sz w:val="21"/>
        </w:rPr>
      </w:pPr>
      <w:r w:rsidRPr="001C3CB9">
        <w:rPr>
          <w:rFonts w:ascii="Times New Roman" w:hAnsi="Times New Roman"/>
          <w:sz w:val="21"/>
        </w:rPr>
        <w:t>Both</w:t>
      </w:r>
    </w:p>
    <w:p w:rsidR="000D256B" w:rsidRPr="001C3CB9" w:rsidRDefault="000D256B" w:rsidP="000D256B">
      <w:pPr>
        <w:numPr>
          <w:ilvl w:val="1"/>
          <w:numId w:val="13"/>
        </w:numPr>
        <w:spacing w:line="360" w:lineRule="auto"/>
        <w:rPr>
          <w:rFonts w:ascii="Times New Roman" w:hAnsi="Times New Roman"/>
          <w:sz w:val="21"/>
        </w:rPr>
      </w:pPr>
      <w:proofErr w:type="spellStart"/>
      <w:r w:rsidRPr="001C3CB9">
        <w:rPr>
          <w:rFonts w:ascii="Times New Roman" w:hAnsi="Times New Roman"/>
          <w:sz w:val="21"/>
        </w:rPr>
        <w:t>Other</w:t>
      </w:r>
      <w:proofErr w:type="spellEnd"/>
    </w:p>
    <w:p w:rsidR="000D256B" w:rsidRPr="001C3CB9" w:rsidRDefault="000D256B" w:rsidP="000D256B">
      <w:pPr>
        <w:rPr>
          <w:rFonts w:ascii="Times New Roman" w:hAnsi="Times New Roman"/>
        </w:rPr>
      </w:pPr>
    </w:p>
    <w:p w:rsidR="000D256B" w:rsidRPr="001C3CB9" w:rsidRDefault="000D256B" w:rsidP="000D256B">
      <w:pPr>
        <w:rPr>
          <w:rFonts w:ascii="Times New Roman" w:hAnsi="Times New Roman"/>
        </w:rPr>
      </w:pPr>
    </w:p>
    <w:p w:rsidR="000D256B" w:rsidRPr="001C3CB9" w:rsidRDefault="000D256B" w:rsidP="000D256B">
      <w:pPr>
        <w:spacing w:line="360" w:lineRule="auto"/>
        <w:outlineLvl w:val="0"/>
        <w:rPr>
          <w:rFonts w:ascii="Times New Roman" w:hAnsi="Times New Roman"/>
          <w:b/>
          <w:bCs/>
          <w:szCs w:val="21"/>
          <w:lang w:val="en-GB"/>
        </w:rPr>
      </w:pPr>
      <w:r w:rsidRPr="001C3CB9">
        <w:rPr>
          <w:rFonts w:ascii="Times New Roman" w:hAnsi="Times New Roman"/>
          <w:sz w:val="22"/>
        </w:rPr>
        <w:br w:type="page"/>
      </w:r>
      <w:r w:rsidR="008749DD" w:rsidRPr="001C3CB9">
        <w:rPr>
          <w:rFonts w:ascii="Times New Roman" w:hAnsi="Times New Roman"/>
          <w:b/>
          <w:bCs/>
          <w:szCs w:val="21"/>
          <w:lang w:val="en-GB"/>
        </w:rPr>
        <w:lastRenderedPageBreak/>
        <w:t>Appendix</w:t>
      </w:r>
      <w:r w:rsidRPr="001C3CB9">
        <w:rPr>
          <w:rFonts w:ascii="Times New Roman" w:hAnsi="Times New Roman"/>
          <w:b/>
          <w:bCs/>
          <w:szCs w:val="21"/>
          <w:lang w:val="en-GB"/>
        </w:rPr>
        <w:t xml:space="preserve"> 2</w:t>
      </w:r>
    </w:p>
    <w:p w:rsidR="000D256B" w:rsidRPr="001C3CB9" w:rsidRDefault="000D256B" w:rsidP="000D256B">
      <w:pPr>
        <w:spacing w:line="360" w:lineRule="auto"/>
        <w:outlineLvl w:val="0"/>
        <w:rPr>
          <w:rFonts w:ascii="Times New Roman" w:hAnsi="Times New Roman"/>
          <w:sz w:val="21"/>
          <w:lang w:val="en-GB"/>
        </w:rPr>
      </w:pPr>
      <w:r w:rsidRPr="001C3CB9">
        <w:rPr>
          <w:rFonts w:ascii="Times New Roman" w:hAnsi="Times New Roman"/>
          <w:sz w:val="21"/>
          <w:lang w:val="en-GB"/>
        </w:rPr>
        <w:t>The inter-rater reliability (IRR) was calculated twice in 2 different rounds. In each round, authors independently extracted data from 4 randomly-selected reports (see list below for reports per round). Authors’ extraction for closed questions were compared using the Fleiss’ kappa method, whereby a score of 0 indicates poor agreement and a score of 1 indicates perfect agreement</w:t>
      </w:r>
      <w:r w:rsidRPr="001C3CB9">
        <w:rPr>
          <w:rFonts w:ascii="Times New Roman" w:hAnsi="Times New Roman"/>
          <w:sz w:val="21"/>
          <w:lang w:val="en-GB"/>
        </w:rPr>
        <w:fldChar w:fldCharType="begin"/>
      </w:r>
      <w:r w:rsidRPr="001C3CB9">
        <w:rPr>
          <w:rFonts w:ascii="Times New Roman" w:hAnsi="Times New Roman"/>
          <w:sz w:val="21"/>
          <w:lang w:val="en-GB"/>
        </w:rPr>
        <w:instrText xml:space="preserve"> ADDIN EN.CITE &lt;EndNote&gt;&lt;Cite&gt;&lt;Author&gt;Landis&lt;/Author&gt;&lt;Year&gt;1977&lt;/Year&gt;&lt;RecNum&gt;207&lt;/RecNum&gt;&lt;DisplayText&gt;[11]&lt;/DisplayText&gt;&lt;record&gt;&lt;rec-number&gt;207&lt;/rec-number&gt;&lt;foreign-keys&gt;&lt;key app="EN" db-id="a9passswxevx2zet9paprx0p0v9aftfpdp9t" timestamp="1491484476"&gt;207&lt;/key&gt;&lt;/foreign-keys&gt;&lt;ref-type name="Journal Article"&gt;17&lt;/ref-type&gt;&lt;contributors&gt;&lt;authors&gt;&lt;author&gt;Landis, J.Richard&lt;/author&gt;&lt;author&gt;Koch, Gary G.&lt;/author&gt;&lt;/authors&gt;&lt;/contributors&gt;&lt;titles&gt;&lt;title&gt;The measurement of observer agreement for categorical data&lt;/title&gt;&lt;secondary-title&gt;Biometrics&lt;/secondary-title&gt;&lt;/titles&gt;&lt;periodical&gt;&lt;full-title&gt;Biometrics&lt;/full-title&gt;&lt;/periodical&gt;&lt;pages&gt;159-174&lt;/pages&gt;&lt;reprint-edition&gt;Not in File&lt;/reprint-edition&gt;&lt;dates&gt;&lt;year&gt;1977&lt;/year&gt;&lt;pub-dates&gt;&lt;date&gt;1977&lt;/date&gt;&lt;/pub-dates&gt;&lt;/dates&gt;&lt;isbn&gt;0006-341X&lt;/isbn&gt;&lt;label&gt;215&lt;/label&gt;&lt;urls&gt;&lt;/urls&gt;&lt;/record&gt;&lt;/Cite&gt;&lt;/EndNote&gt;</w:instrText>
      </w:r>
      <w:r w:rsidRPr="001C3CB9">
        <w:rPr>
          <w:rFonts w:ascii="Times New Roman" w:hAnsi="Times New Roman"/>
          <w:sz w:val="21"/>
          <w:lang w:val="en-GB"/>
        </w:rPr>
        <w:fldChar w:fldCharType="separate"/>
      </w:r>
      <w:r w:rsidRPr="001C3CB9">
        <w:rPr>
          <w:rFonts w:ascii="Times New Roman" w:hAnsi="Times New Roman"/>
          <w:noProof/>
          <w:sz w:val="21"/>
          <w:lang w:val="en-GB"/>
        </w:rPr>
        <w:t>[11]</w:t>
      </w:r>
      <w:r w:rsidRPr="001C3CB9">
        <w:rPr>
          <w:rFonts w:ascii="Times New Roman" w:hAnsi="Times New Roman"/>
          <w:sz w:val="21"/>
          <w:lang w:val="en-GB"/>
        </w:rPr>
        <w:fldChar w:fldCharType="end"/>
      </w:r>
      <w:r w:rsidRPr="001C3CB9">
        <w:rPr>
          <w:rFonts w:ascii="Times New Roman" w:hAnsi="Times New Roman"/>
          <w:sz w:val="21"/>
          <w:lang w:val="en-GB"/>
        </w:rPr>
        <w:t>. Authors’ extraction for open-ended questions was compared by a third, independent researcher. Once IRR was established, the remaining 44 reports were equally divided amongst both authors.</w:t>
      </w:r>
    </w:p>
    <w:p w:rsidR="000D256B" w:rsidRPr="001C3CB9" w:rsidRDefault="000D256B" w:rsidP="000D256B">
      <w:pPr>
        <w:spacing w:line="360" w:lineRule="auto"/>
        <w:outlineLvl w:val="0"/>
        <w:rPr>
          <w:rFonts w:ascii="Times New Roman" w:hAnsi="Times New Roman"/>
          <w:sz w:val="21"/>
          <w:szCs w:val="21"/>
          <w:lang w:val="en-GB"/>
        </w:rPr>
      </w:pPr>
    </w:p>
    <w:p w:rsidR="000D256B" w:rsidRPr="001C3CB9" w:rsidRDefault="000D256B" w:rsidP="000D256B">
      <w:pPr>
        <w:spacing w:line="360" w:lineRule="auto"/>
        <w:outlineLvl w:val="0"/>
        <w:rPr>
          <w:rFonts w:ascii="Times New Roman" w:hAnsi="Times New Roman"/>
          <w:sz w:val="21"/>
          <w:szCs w:val="21"/>
          <w:lang w:val="en-GB"/>
        </w:rPr>
      </w:pPr>
      <w:r w:rsidRPr="001C3CB9">
        <w:rPr>
          <w:rFonts w:ascii="Times New Roman" w:hAnsi="Times New Roman"/>
          <w:sz w:val="21"/>
          <w:szCs w:val="21"/>
          <w:lang w:val="en-GB"/>
        </w:rPr>
        <w:t>List of reports used to calculate IRR</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1</w:t>
      </w:r>
      <w:r w:rsidRPr="001C3CB9">
        <w:rPr>
          <w:rFonts w:ascii="Times New Roman" w:hAnsi="Times New Roman"/>
          <w:sz w:val="21"/>
          <w:szCs w:val="21"/>
          <w:vertAlign w:val="superscript"/>
          <w:lang w:val="en-GB"/>
        </w:rPr>
        <w:t>st</w:t>
      </w:r>
      <w:r w:rsidRPr="001C3CB9">
        <w:rPr>
          <w:rFonts w:ascii="Times New Roman" w:hAnsi="Times New Roman"/>
          <w:sz w:val="21"/>
          <w:szCs w:val="21"/>
          <w:lang w:val="en-GB"/>
        </w:rPr>
        <w:t xml:space="preserve"> round </w:t>
      </w:r>
    </w:p>
    <w:p w:rsidR="000D256B" w:rsidRPr="001C3CB9" w:rsidRDefault="000D256B" w:rsidP="000D256B">
      <w:pPr>
        <w:spacing w:line="360" w:lineRule="auto"/>
        <w:rPr>
          <w:rFonts w:ascii="Times New Roman" w:hAnsi="Times New Roman"/>
          <w:i/>
          <w:iCs/>
          <w:sz w:val="21"/>
          <w:szCs w:val="21"/>
          <w:lang w:val="en-GB"/>
        </w:rPr>
      </w:pPr>
      <w:r w:rsidRPr="001C3CB9">
        <w:rPr>
          <w:rFonts w:ascii="Times New Roman" w:hAnsi="Times New Roman"/>
          <w:i/>
          <w:iCs/>
          <w:sz w:val="21"/>
          <w:szCs w:val="21"/>
          <w:lang w:val="en-GB"/>
        </w:rPr>
        <w:t>Agency</w:t>
      </w:r>
      <w:r w:rsidRPr="001C3CB9">
        <w:rPr>
          <w:rFonts w:ascii="Times New Roman" w:hAnsi="Times New Roman"/>
          <w:i/>
          <w:iCs/>
          <w:sz w:val="21"/>
          <w:szCs w:val="21"/>
          <w:lang w:val="en-GB"/>
        </w:rPr>
        <w:tab/>
      </w:r>
      <w:r w:rsidRPr="001C3CB9">
        <w:rPr>
          <w:rFonts w:ascii="Times New Roman" w:hAnsi="Times New Roman"/>
          <w:i/>
          <w:iCs/>
          <w:sz w:val="21"/>
          <w:szCs w:val="21"/>
          <w:lang w:val="en-GB"/>
        </w:rPr>
        <w:tab/>
        <w:t>Drug</w:t>
      </w:r>
      <w:r w:rsidRPr="001C3CB9">
        <w:rPr>
          <w:rFonts w:ascii="Times New Roman" w:hAnsi="Times New Roman"/>
          <w:i/>
          <w:iCs/>
          <w:sz w:val="21"/>
          <w:szCs w:val="21"/>
          <w:lang w:val="en-GB"/>
        </w:rPr>
        <w:tab/>
      </w:r>
      <w:r w:rsidRPr="001C3CB9">
        <w:rPr>
          <w:rFonts w:ascii="Times New Roman" w:hAnsi="Times New Roman"/>
          <w:i/>
          <w:iCs/>
          <w:sz w:val="21"/>
          <w:szCs w:val="21"/>
          <w:lang w:val="en-GB"/>
        </w:rPr>
        <w:tab/>
      </w:r>
      <w:r w:rsidRPr="001C3CB9">
        <w:rPr>
          <w:rFonts w:ascii="Times New Roman" w:hAnsi="Times New Roman"/>
          <w:i/>
          <w:iCs/>
          <w:sz w:val="21"/>
          <w:szCs w:val="21"/>
          <w:lang w:val="en-GB"/>
        </w:rPr>
        <w:tab/>
        <w:t>Date of publication</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NICE</w:t>
      </w:r>
      <w:r w:rsidRPr="001C3CB9">
        <w:rPr>
          <w:rFonts w:ascii="Times New Roman" w:hAnsi="Times New Roman"/>
          <w:sz w:val="21"/>
          <w:szCs w:val="21"/>
          <w:lang w:val="en-GB"/>
        </w:rPr>
        <w:tab/>
      </w:r>
      <w:r w:rsidRPr="001C3CB9">
        <w:rPr>
          <w:rFonts w:ascii="Times New Roman" w:hAnsi="Times New Roman"/>
          <w:sz w:val="21"/>
          <w:szCs w:val="21"/>
          <w:lang w:val="en-GB"/>
        </w:rPr>
        <w:tab/>
      </w:r>
      <w:proofErr w:type="spellStart"/>
      <w:r w:rsidRPr="001C3CB9">
        <w:rPr>
          <w:rFonts w:ascii="Times New Roman" w:hAnsi="Times New Roman"/>
          <w:sz w:val="21"/>
          <w:szCs w:val="21"/>
          <w:lang w:val="en-GB"/>
        </w:rPr>
        <w:t>Vemurafenib</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12-12-2012</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SMC</w:t>
      </w:r>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proofErr w:type="spellStart"/>
      <w:r w:rsidRPr="001C3CB9">
        <w:rPr>
          <w:rFonts w:ascii="Times New Roman" w:hAnsi="Times New Roman"/>
          <w:sz w:val="21"/>
          <w:szCs w:val="21"/>
          <w:lang w:val="en-GB"/>
        </w:rPr>
        <w:t>Dabrafenib</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09-03-2015</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IQWiG</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r>
      <w:proofErr w:type="spellStart"/>
      <w:r w:rsidRPr="001C3CB9">
        <w:rPr>
          <w:rFonts w:ascii="Times New Roman" w:hAnsi="Times New Roman"/>
          <w:sz w:val="21"/>
          <w:szCs w:val="21"/>
          <w:lang w:val="en-GB"/>
        </w:rPr>
        <w:t>Pembrolizumab</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t>12-11-2015</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HAS</w:t>
      </w:r>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Ipilimumab</w:t>
      </w:r>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14-12-2011</w:t>
      </w:r>
    </w:p>
    <w:p w:rsidR="000D256B" w:rsidRPr="001C3CB9" w:rsidRDefault="000D256B" w:rsidP="000D256B">
      <w:pPr>
        <w:spacing w:line="360" w:lineRule="auto"/>
        <w:rPr>
          <w:rFonts w:ascii="Times New Roman" w:hAnsi="Times New Roman"/>
          <w:sz w:val="21"/>
          <w:szCs w:val="21"/>
          <w:lang w:val="en-GB"/>
        </w:rPr>
      </w:pP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2</w:t>
      </w:r>
      <w:r w:rsidRPr="001C3CB9">
        <w:rPr>
          <w:rFonts w:ascii="Times New Roman" w:hAnsi="Times New Roman"/>
          <w:sz w:val="21"/>
          <w:szCs w:val="21"/>
          <w:vertAlign w:val="superscript"/>
          <w:lang w:val="en-GB"/>
        </w:rPr>
        <w:t>nd</w:t>
      </w:r>
      <w:r w:rsidRPr="001C3CB9">
        <w:rPr>
          <w:rFonts w:ascii="Times New Roman" w:hAnsi="Times New Roman"/>
          <w:sz w:val="21"/>
          <w:szCs w:val="21"/>
          <w:lang w:val="en-GB"/>
        </w:rPr>
        <w:t xml:space="preserve"> round </w:t>
      </w:r>
    </w:p>
    <w:p w:rsidR="000D256B" w:rsidRPr="001C3CB9" w:rsidRDefault="000D256B" w:rsidP="000D256B">
      <w:pPr>
        <w:spacing w:line="360" w:lineRule="auto"/>
        <w:rPr>
          <w:rFonts w:ascii="Times New Roman" w:hAnsi="Times New Roman"/>
          <w:i/>
          <w:iCs/>
          <w:sz w:val="21"/>
          <w:szCs w:val="21"/>
          <w:lang w:val="en-GB"/>
        </w:rPr>
      </w:pPr>
      <w:r w:rsidRPr="001C3CB9">
        <w:rPr>
          <w:rFonts w:ascii="Times New Roman" w:hAnsi="Times New Roman"/>
          <w:i/>
          <w:iCs/>
          <w:sz w:val="21"/>
          <w:szCs w:val="21"/>
          <w:lang w:val="en-GB"/>
        </w:rPr>
        <w:t>Agency</w:t>
      </w:r>
      <w:r w:rsidRPr="001C3CB9">
        <w:rPr>
          <w:rFonts w:ascii="Times New Roman" w:hAnsi="Times New Roman"/>
          <w:i/>
          <w:iCs/>
          <w:sz w:val="21"/>
          <w:szCs w:val="21"/>
          <w:lang w:val="en-GB"/>
        </w:rPr>
        <w:tab/>
      </w:r>
      <w:r w:rsidRPr="001C3CB9">
        <w:rPr>
          <w:rFonts w:ascii="Times New Roman" w:hAnsi="Times New Roman"/>
          <w:i/>
          <w:iCs/>
          <w:sz w:val="21"/>
          <w:szCs w:val="21"/>
          <w:lang w:val="en-GB"/>
        </w:rPr>
        <w:tab/>
        <w:t>Drug</w:t>
      </w:r>
      <w:r w:rsidRPr="001C3CB9">
        <w:rPr>
          <w:rFonts w:ascii="Times New Roman" w:hAnsi="Times New Roman"/>
          <w:i/>
          <w:iCs/>
          <w:sz w:val="21"/>
          <w:szCs w:val="21"/>
          <w:lang w:val="en-GB"/>
        </w:rPr>
        <w:tab/>
      </w:r>
      <w:r w:rsidRPr="001C3CB9">
        <w:rPr>
          <w:rFonts w:ascii="Times New Roman" w:hAnsi="Times New Roman"/>
          <w:i/>
          <w:iCs/>
          <w:sz w:val="21"/>
          <w:szCs w:val="21"/>
          <w:lang w:val="en-GB"/>
        </w:rPr>
        <w:tab/>
      </w:r>
      <w:r w:rsidRPr="001C3CB9">
        <w:rPr>
          <w:rFonts w:ascii="Times New Roman" w:hAnsi="Times New Roman"/>
          <w:i/>
          <w:iCs/>
          <w:sz w:val="21"/>
          <w:szCs w:val="21"/>
          <w:lang w:val="en-GB"/>
        </w:rPr>
        <w:tab/>
        <w:t>Date of publication</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NICE</w:t>
      </w:r>
      <w:r w:rsidRPr="001C3CB9">
        <w:rPr>
          <w:rFonts w:ascii="Times New Roman" w:hAnsi="Times New Roman"/>
          <w:sz w:val="21"/>
          <w:szCs w:val="21"/>
          <w:lang w:val="en-GB"/>
        </w:rPr>
        <w:tab/>
      </w:r>
      <w:r w:rsidRPr="001C3CB9">
        <w:rPr>
          <w:rFonts w:ascii="Times New Roman" w:hAnsi="Times New Roman"/>
          <w:sz w:val="21"/>
          <w:szCs w:val="21"/>
          <w:lang w:val="en-GB"/>
        </w:rPr>
        <w:tab/>
        <w:t>Ipilimumab</w:t>
      </w:r>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23-07-2014</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SMC</w:t>
      </w:r>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proofErr w:type="spellStart"/>
      <w:r w:rsidRPr="001C3CB9">
        <w:rPr>
          <w:rFonts w:ascii="Times New Roman" w:hAnsi="Times New Roman"/>
          <w:sz w:val="21"/>
          <w:szCs w:val="21"/>
          <w:lang w:val="en-GB"/>
        </w:rPr>
        <w:t>Pembrolizumab</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t>12-12-2016</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IQWiG</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r>
      <w:proofErr w:type="spellStart"/>
      <w:r w:rsidRPr="001C3CB9">
        <w:rPr>
          <w:rFonts w:ascii="Times New Roman" w:hAnsi="Times New Roman"/>
          <w:sz w:val="21"/>
          <w:szCs w:val="21"/>
          <w:lang w:val="en-GB"/>
        </w:rPr>
        <w:t>Nivolumab</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11-12-2015</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HAS</w:t>
      </w:r>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proofErr w:type="spellStart"/>
      <w:r w:rsidRPr="001C3CB9">
        <w:rPr>
          <w:rFonts w:ascii="Times New Roman" w:hAnsi="Times New Roman"/>
          <w:sz w:val="21"/>
          <w:szCs w:val="21"/>
          <w:lang w:val="en-GB"/>
        </w:rPr>
        <w:t>Vemurafenib</w:t>
      </w:r>
      <w:proofErr w:type="spellEnd"/>
      <w:r w:rsidRPr="001C3CB9">
        <w:rPr>
          <w:rFonts w:ascii="Times New Roman" w:hAnsi="Times New Roman"/>
          <w:sz w:val="21"/>
          <w:szCs w:val="21"/>
          <w:lang w:val="en-GB"/>
        </w:rPr>
        <w:tab/>
      </w:r>
      <w:r w:rsidRPr="001C3CB9">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03-10-2012</w:t>
      </w:r>
    </w:p>
    <w:p w:rsidR="000D256B" w:rsidRPr="001C3CB9" w:rsidRDefault="000D256B" w:rsidP="000D256B">
      <w:pPr>
        <w:spacing w:line="360" w:lineRule="auto"/>
        <w:rPr>
          <w:rFonts w:ascii="Times New Roman" w:hAnsi="Times New Roman"/>
          <w:sz w:val="22"/>
          <w:lang w:val="en-US"/>
        </w:rPr>
      </w:pPr>
    </w:p>
    <w:p w:rsidR="000D256B" w:rsidRPr="00D4440D" w:rsidRDefault="008749DD" w:rsidP="000D256B">
      <w:pPr>
        <w:spacing w:line="360" w:lineRule="auto"/>
        <w:outlineLvl w:val="0"/>
        <w:rPr>
          <w:rFonts w:ascii="Times New Roman" w:hAnsi="Times New Roman"/>
          <w:b/>
          <w:sz w:val="22"/>
          <w:lang w:val="en-GB"/>
        </w:rPr>
      </w:pPr>
      <w:r w:rsidRPr="00D4440D">
        <w:rPr>
          <w:rFonts w:ascii="Times New Roman" w:hAnsi="Times New Roman"/>
          <w:b/>
          <w:lang w:val="en-GB"/>
        </w:rPr>
        <w:t>Appendix</w:t>
      </w:r>
      <w:r w:rsidR="00CD1D5E" w:rsidRPr="00D4440D">
        <w:rPr>
          <w:rFonts w:ascii="Times New Roman" w:hAnsi="Times New Roman"/>
          <w:b/>
          <w:lang w:val="en-GB"/>
        </w:rPr>
        <w:t xml:space="preserve"> </w:t>
      </w:r>
      <w:r w:rsidR="000D256B" w:rsidRPr="00D4440D">
        <w:rPr>
          <w:rFonts w:ascii="Times New Roman" w:hAnsi="Times New Roman"/>
          <w:b/>
          <w:lang w:val="en-GB"/>
        </w:rPr>
        <w:t>3</w:t>
      </w:r>
    </w:p>
    <w:p w:rsidR="000D256B" w:rsidRPr="00D4440D" w:rsidRDefault="000D256B" w:rsidP="000D256B">
      <w:pPr>
        <w:spacing w:line="360" w:lineRule="auto"/>
        <w:outlineLvl w:val="0"/>
        <w:rPr>
          <w:rFonts w:ascii="Times New Roman" w:hAnsi="Times New Roman"/>
          <w:sz w:val="22"/>
          <w:lang w:val="en-GB"/>
        </w:rPr>
      </w:pPr>
      <w:r w:rsidRPr="00D4440D">
        <w:rPr>
          <w:rFonts w:ascii="Times New Roman" w:hAnsi="Times New Roman"/>
          <w:sz w:val="22"/>
          <w:lang w:val="en-GB"/>
        </w:rPr>
        <w:t>List of panel-members</w:t>
      </w:r>
    </w:p>
    <w:p w:rsidR="000D256B" w:rsidRPr="00D4440D" w:rsidRDefault="000D256B" w:rsidP="000D256B">
      <w:pPr>
        <w:spacing w:line="360" w:lineRule="auto"/>
        <w:rPr>
          <w:rFonts w:ascii="Times New Roman" w:hAnsi="Times New Roman"/>
          <w:lang w:val="en-GB"/>
        </w:rPr>
      </w:pPr>
    </w:p>
    <w:p w:rsidR="000D256B" w:rsidRPr="00D4440D" w:rsidRDefault="000D256B" w:rsidP="000D256B">
      <w:pPr>
        <w:spacing w:line="360" w:lineRule="auto"/>
        <w:rPr>
          <w:rFonts w:ascii="Times New Roman" w:hAnsi="Times New Roman"/>
          <w:sz w:val="21"/>
          <w:lang w:val="en-GB"/>
        </w:rPr>
      </w:pPr>
      <w:proofErr w:type="spellStart"/>
      <w:r w:rsidRPr="00D4440D">
        <w:rPr>
          <w:rFonts w:ascii="Times New Roman" w:hAnsi="Times New Roman"/>
          <w:sz w:val="21"/>
          <w:lang w:val="en-GB"/>
        </w:rPr>
        <w:t>Hedi</w:t>
      </w:r>
      <w:proofErr w:type="spellEnd"/>
      <w:r w:rsidRPr="00D4440D">
        <w:rPr>
          <w:rFonts w:ascii="Times New Roman" w:hAnsi="Times New Roman"/>
          <w:sz w:val="21"/>
          <w:lang w:val="en-GB"/>
        </w:rPr>
        <w:t xml:space="preserve"> Schelleman</w:t>
      </w:r>
      <w:r w:rsidRPr="00D4440D">
        <w:rPr>
          <w:rFonts w:ascii="Times New Roman" w:hAnsi="Times New Roman"/>
          <w:sz w:val="21"/>
          <w:lang w:val="en-GB"/>
        </w:rPr>
        <w:tab/>
      </w:r>
      <w:proofErr w:type="spellStart"/>
      <w:r w:rsidRPr="00D4440D">
        <w:rPr>
          <w:rFonts w:ascii="Times New Roman" w:hAnsi="Times New Roman"/>
          <w:sz w:val="21"/>
          <w:lang w:val="en-GB"/>
        </w:rPr>
        <w:t>Zorginstituut</w:t>
      </w:r>
      <w:proofErr w:type="spellEnd"/>
      <w:r w:rsidRPr="00D4440D">
        <w:rPr>
          <w:rFonts w:ascii="Times New Roman" w:hAnsi="Times New Roman"/>
          <w:sz w:val="21"/>
          <w:lang w:val="en-GB"/>
        </w:rPr>
        <w:t xml:space="preserve"> Nederland (ZIN) </w:t>
      </w:r>
      <w:r w:rsidRPr="00D4440D">
        <w:rPr>
          <w:rFonts w:ascii="Times New Roman" w:hAnsi="Times New Roman"/>
          <w:sz w:val="21"/>
          <w:lang w:val="en-GB"/>
        </w:rPr>
        <w:tab/>
      </w:r>
      <w:r w:rsidRPr="00D4440D">
        <w:rPr>
          <w:rFonts w:ascii="Times New Roman" w:hAnsi="Times New Roman"/>
          <w:sz w:val="21"/>
          <w:lang w:val="en-GB"/>
        </w:rPr>
        <w:tab/>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Pall Jonsson</w:t>
      </w:r>
      <w:r w:rsidRPr="001C3CB9">
        <w:rPr>
          <w:rFonts w:ascii="Times New Roman" w:hAnsi="Times New Roman"/>
          <w:sz w:val="21"/>
          <w:szCs w:val="21"/>
          <w:lang w:val="en-GB"/>
        </w:rPr>
        <w:tab/>
      </w:r>
      <w:r w:rsidRPr="001C3CB9">
        <w:rPr>
          <w:rFonts w:ascii="Times New Roman" w:hAnsi="Times New Roman"/>
          <w:sz w:val="21"/>
          <w:szCs w:val="21"/>
          <w:lang w:val="en-GB"/>
        </w:rPr>
        <w:tab/>
        <w:t>National Institute for Health and Care Excellence (NICE)</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Owen Moseley</w:t>
      </w:r>
      <w:r>
        <w:rPr>
          <w:rFonts w:ascii="Times New Roman" w:hAnsi="Times New Roman"/>
          <w:sz w:val="21"/>
          <w:szCs w:val="21"/>
          <w:lang w:val="en-GB"/>
        </w:rPr>
        <w:tab/>
      </w:r>
      <w:r w:rsidR="000D256B" w:rsidRPr="001C3CB9">
        <w:rPr>
          <w:rFonts w:ascii="Times New Roman" w:hAnsi="Times New Roman"/>
          <w:sz w:val="21"/>
          <w:szCs w:val="21"/>
          <w:lang w:val="en-GB"/>
        </w:rPr>
        <w:t>Scottish Medicines Consortium(SMC), Healthcare Improvement Scotland (HIS)</w:t>
      </w:r>
    </w:p>
    <w:p w:rsidR="000D256B" w:rsidRPr="001C3CB9" w:rsidRDefault="00D4440D" w:rsidP="000D256B">
      <w:pPr>
        <w:spacing w:line="360" w:lineRule="auto"/>
        <w:rPr>
          <w:rFonts w:ascii="Times New Roman" w:hAnsi="Times New Roman"/>
          <w:sz w:val="21"/>
          <w:szCs w:val="21"/>
          <w:lang w:val="de-DE"/>
        </w:rPr>
      </w:pPr>
      <w:r>
        <w:rPr>
          <w:rFonts w:ascii="Times New Roman" w:hAnsi="Times New Roman"/>
          <w:sz w:val="21"/>
          <w:szCs w:val="21"/>
          <w:lang w:val="de-DE"/>
        </w:rPr>
        <w:t>Beate Wieseler</w:t>
      </w:r>
      <w:r>
        <w:rPr>
          <w:rFonts w:ascii="Times New Roman" w:hAnsi="Times New Roman"/>
          <w:sz w:val="21"/>
          <w:szCs w:val="21"/>
          <w:lang w:val="de-DE"/>
        </w:rPr>
        <w:tab/>
      </w:r>
      <w:r w:rsidR="000D256B" w:rsidRPr="001C3CB9">
        <w:rPr>
          <w:rFonts w:ascii="Times New Roman" w:hAnsi="Times New Roman"/>
          <w:sz w:val="21"/>
          <w:szCs w:val="21"/>
          <w:lang w:val="de-DE"/>
        </w:rPr>
        <w:t xml:space="preserve">Institut für Qualität und </w:t>
      </w:r>
      <w:proofErr w:type="spellStart"/>
      <w:r w:rsidR="000D256B" w:rsidRPr="001C3CB9">
        <w:rPr>
          <w:rFonts w:ascii="Times New Roman" w:hAnsi="Times New Roman"/>
          <w:sz w:val="21"/>
          <w:szCs w:val="21"/>
          <w:lang w:val="de-DE"/>
        </w:rPr>
        <w:t>Wirtschaflichkeit</w:t>
      </w:r>
      <w:proofErr w:type="spellEnd"/>
      <w:r w:rsidR="000D256B" w:rsidRPr="001C3CB9">
        <w:rPr>
          <w:rFonts w:ascii="Times New Roman" w:hAnsi="Times New Roman"/>
          <w:sz w:val="21"/>
          <w:szCs w:val="21"/>
          <w:lang w:val="de-DE"/>
        </w:rPr>
        <w:t xml:space="preserve"> im Gesundheitswesen (</w:t>
      </w:r>
      <w:proofErr w:type="spellStart"/>
      <w:r w:rsidR="000D256B" w:rsidRPr="001C3CB9">
        <w:rPr>
          <w:rFonts w:ascii="Times New Roman" w:hAnsi="Times New Roman"/>
          <w:sz w:val="21"/>
          <w:szCs w:val="21"/>
          <w:lang w:val="de-DE"/>
        </w:rPr>
        <w:t>IQWiG</w:t>
      </w:r>
      <w:proofErr w:type="spellEnd"/>
      <w:r w:rsidR="000D256B" w:rsidRPr="001C3CB9">
        <w:rPr>
          <w:rFonts w:ascii="Times New Roman" w:hAnsi="Times New Roman"/>
          <w:sz w:val="21"/>
          <w:szCs w:val="21"/>
          <w:lang w:val="de-DE"/>
        </w:rPr>
        <w:t>)</w:t>
      </w:r>
    </w:p>
    <w:p w:rsidR="000D256B" w:rsidRPr="001C3CB9" w:rsidRDefault="00D4440D" w:rsidP="000D256B">
      <w:pPr>
        <w:spacing w:line="360" w:lineRule="auto"/>
        <w:rPr>
          <w:rFonts w:ascii="Times New Roman" w:hAnsi="Times New Roman"/>
          <w:sz w:val="21"/>
          <w:szCs w:val="21"/>
          <w:lang w:val="fr-FR"/>
        </w:rPr>
      </w:pPr>
      <w:r>
        <w:rPr>
          <w:rFonts w:ascii="Times New Roman" w:hAnsi="Times New Roman"/>
          <w:sz w:val="21"/>
          <w:szCs w:val="21"/>
          <w:lang w:val="fr-FR"/>
        </w:rPr>
        <w:t>Anne d’</w:t>
      </w:r>
      <w:proofErr w:type="spellStart"/>
      <w:r>
        <w:rPr>
          <w:rFonts w:ascii="Times New Roman" w:hAnsi="Times New Roman"/>
          <w:sz w:val="21"/>
          <w:szCs w:val="21"/>
          <w:lang w:val="fr-FR"/>
        </w:rPr>
        <w:t>Andon</w:t>
      </w:r>
      <w:proofErr w:type="spellEnd"/>
      <w:r>
        <w:rPr>
          <w:rFonts w:ascii="Times New Roman" w:hAnsi="Times New Roman"/>
          <w:sz w:val="21"/>
          <w:szCs w:val="21"/>
          <w:lang w:val="fr-FR"/>
        </w:rPr>
        <w:tab/>
      </w:r>
      <w:r w:rsidR="000D256B" w:rsidRPr="001C3CB9">
        <w:rPr>
          <w:rFonts w:ascii="Times New Roman" w:hAnsi="Times New Roman"/>
          <w:sz w:val="21"/>
          <w:szCs w:val="21"/>
          <w:lang w:val="fr-FR"/>
        </w:rPr>
        <w:t>Haute Autorité de Santé (HAS)</w:t>
      </w:r>
    </w:p>
    <w:p w:rsidR="000D256B" w:rsidRPr="001C3CB9" w:rsidRDefault="000D256B" w:rsidP="000D256B">
      <w:pPr>
        <w:spacing w:line="360" w:lineRule="auto"/>
        <w:rPr>
          <w:rFonts w:ascii="Times New Roman" w:hAnsi="Times New Roman"/>
          <w:sz w:val="21"/>
          <w:szCs w:val="21"/>
          <w:lang w:val="fr-FR"/>
        </w:rPr>
      </w:pPr>
    </w:p>
    <w:p w:rsidR="000D256B" w:rsidRPr="001C3CB9" w:rsidRDefault="000D256B" w:rsidP="000D256B">
      <w:pPr>
        <w:autoSpaceDE w:val="0"/>
        <w:autoSpaceDN w:val="0"/>
        <w:adjustRightInd w:val="0"/>
        <w:spacing w:line="360" w:lineRule="auto"/>
        <w:ind w:left="640" w:hanging="640"/>
        <w:rPr>
          <w:rFonts w:ascii="Times New Roman" w:hAnsi="Times New Roman"/>
          <w:lang w:val="fr-FR"/>
        </w:rPr>
      </w:pPr>
    </w:p>
    <w:p w:rsidR="000D256B" w:rsidRPr="001C3CB9" w:rsidRDefault="000D256B" w:rsidP="000D256B">
      <w:pPr>
        <w:outlineLvl w:val="0"/>
        <w:rPr>
          <w:rFonts w:ascii="Times New Roman" w:hAnsi="Times New Roman"/>
          <w:b/>
          <w:bCs/>
          <w:szCs w:val="22"/>
          <w:lang w:val="en-GB"/>
        </w:rPr>
      </w:pPr>
      <w:r w:rsidRPr="001C3CB9">
        <w:rPr>
          <w:rFonts w:ascii="Times New Roman" w:hAnsi="Times New Roman"/>
          <w:b/>
          <w:bCs/>
          <w:szCs w:val="22"/>
          <w:lang w:val="en-GB"/>
        </w:rPr>
        <w:br w:type="page"/>
      </w:r>
      <w:r w:rsidR="008749DD" w:rsidRPr="001C3CB9">
        <w:rPr>
          <w:rFonts w:ascii="Times New Roman" w:hAnsi="Times New Roman"/>
          <w:b/>
          <w:bCs/>
          <w:szCs w:val="22"/>
          <w:lang w:val="en-GB"/>
        </w:rPr>
        <w:lastRenderedPageBreak/>
        <w:t>Appendix</w:t>
      </w:r>
      <w:r w:rsidR="00CD1D5E" w:rsidRPr="001C3CB9">
        <w:rPr>
          <w:rFonts w:ascii="Times New Roman" w:hAnsi="Times New Roman"/>
          <w:b/>
          <w:bCs/>
          <w:szCs w:val="22"/>
          <w:lang w:val="en-GB"/>
        </w:rPr>
        <w:t xml:space="preserve"> </w:t>
      </w:r>
      <w:r w:rsidRPr="001C3CB9">
        <w:rPr>
          <w:rFonts w:ascii="Times New Roman" w:hAnsi="Times New Roman"/>
          <w:b/>
          <w:bCs/>
          <w:szCs w:val="22"/>
          <w:lang w:val="en-GB"/>
        </w:rPr>
        <w:t>4</w:t>
      </w:r>
    </w:p>
    <w:p w:rsidR="00D4440D" w:rsidRDefault="00D4440D" w:rsidP="000D256B">
      <w:pPr>
        <w:rPr>
          <w:rFonts w:ascii="Times New Roman" w:hAnsi="Times New Roman"/>
          <w:sz w:val="22"/>
          <w:szCs w:val="22"/>
          <w:lang w:val="en-GB"/>
        </w:rPr>
      </w:pPr>
    </w:p>
    <w:p w:rsidR="000D256B" w:rsidRPr="00D4440D" w:rsidRDefault="00D4440D" w:rsidP="000D256B">
      <w:pPr>
        <w:rPr>
          <w:rFonts w:ascii="Times New Roman" w:hAnsi="Times New Roman"/>
          <w:b/>
          <w:sz w:val="22"/>
          <w:szCs w:val="22"/>
          <w:lang w:val="en-GB"/>
        </w:rPr>
      </w:pPr>
      <w:r w:rsidRPr="00D4440D">
        <w:rPr>
          <w:rFonts w:ascii="Times New Roman" w:hAnsi="Times New Roman"/>
          <w:b/>
          <w:sz w:val="22"/>
          <w:szCs w:val="22"/>
          <w:lang w:val="en-GB"/>
        </w:rPr>
        <w:t>List of included reports</w:t>
      </w:r>
      <w:r w:rsidRPr="00D4440D">
        <w:rPr>
          <w:rFonts w:ascii="Times New Roman" w:hAnsi="Times New Roman"/>
          <w:b/>
          <w:sz w:val="22"/>
          <w:szCs w:val="22"/>
          <w:lang w:val="en-GB"/>
        </w:rPr>
        <w:tab/>
      </w:r>
      <w:r w:rsidRPr="00D4440D">
        <w:rPr>
          <w:rFonts w:ascii="Times New Roman" w:hAnsi="Times New Roman"/>
          <w:b/>
          <w:sz w:val="22"/>
          <w:szCs w:val="22"/>
          <w:lang w:val="en-GB"/>
        </w:rPr>
        <w:tab/>
      </w:r>
      <w:r w:rsidRPr="00D4440D">
        <w:rPr>
          <w:rFonts w:ascii="Times New Roman" w:hAnsi="Times New Roman"/>
          <w:b/>
          <w:sz w:val="22"/>
          <w:szCs w:val="22"/>
          <w:lang w:val="en-GB"/>
        </w:rPr>
        <w:tab/>
      </w:r>
      <w:r w:rsidR="000D256B" w:rsidRPr="00D4440D">
        <w:rPr>
          <w:rFonts w:ascii="Times New Roman" w:hAnsi="Times New Roman"/>
          <w:b/>
          <w:sz w:val="22"/>
          <w:szCs w:val="22"/>
          <w:lang w:val="en-GB"/>
        </w:rPr>
        <w:t>Date of publication</w:t>
      </w:r>
    </w:p>
    <w:p w:rsidR="000D256B" w:rsidRPr="001C3CB9" w:rsidRDefault="000D256B" w:rsidP="000D256B">
      <w:pPr>
        <w:rPr>
          <w:rFonts w:ascii="Times New Roman" w:hAnsi="Times New Roman"/>
          <w:sz w:val="21"/>
          <w:szCs w:val="21"/>
          <w:lang w:val="en-GB"/>
        </w:rPr>
      </w:pPr>
    </w:p>
    <w:p w:rsidR="000D256B" w:rsidRPr="00D4440D" w:rsidRDefault="000D256B" w:rsidP="000D256B">
      <w:pPr>
        <w:spacing w:line="360" w:lineRule="auto"/>
        <w:outlineLvl w:val="0"/>
        <w:rPr>
          <w:rFonts w:ascii="Times New Roman" w:hAnsi="Times New Roman"/>
          <w:b/>
          <w:lang w:val="en-GB"/>
        </w:rPr>
      </w:pPr>
      <w:r w:rsidRPr="00D4440D">
        <w:rPr>
          <w:rFonts w:ascii="Times New Roman" w:hAnsi="Times New Roman"/>
          <w:b/>
          <w:lang w:val="en-GB"/>
        </w:rPr>
        <w:t>ZIN</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10-02-2012</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Vemurafenib</w:t>
      </w:r>
      <w:proofErr w:type="spellEnd"/>
      <w:r>
        <w:rPr>
          <w:rFonts w:ascii="Times New Roman" w:hAnsi="Times New Roman"/>
          <w:sz w:val="21"/>
          <w:szCs w:val="21"/>
          <w:lang w:val="en-GB"/>
        </w:rPr>
        <w:tab/>
      </w:r>
      <w:r w:rsidR="000D256B" w:rsidRPr="001C3CB9">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24-02-2014</w:t>
      </w:r>
    </w:p>
    <w:p w:rsidR="000D256B" w:rsidRPr="001C3CB9" w:rsidRDefault="000D256B" w:rsidP="000D256B">
      <w:pPr>
        <w:spacing w:line="360" w:lineRule="auto"/>
        <w:rPr>
          <w:rFonts w:ascii="Times New Roman" w:hAnsi="Times New Roman"/>
          <w:sz w:val="21"/>
          <w:szCs w:val="21"/>
          <w:lang w:val="en-GB"/>
        </w:rPr>
      </w:pPr>
    </w:p>
    <w:p w:rsidR="000D256B" w:rsidRPr="00D4440D" w:rsidRDefault="000D256B" w:rsidP="000D256B">
      <w:pPr>
        <w:spacing w:line="360" w:lineRule="auto"/>
        <w:outlineLvl w:val="0"/>
        <w:rPr>
          <w:rFonts w:ascii="Times New Roman" w:hAnsi="Times New Roman"/>
          <w:b/>
          <w:lang w:val="en-GB"/>
        </w:rPr>
      </w:pPr>
      <w:r w:rsidRPr="00D4440D">
        <w:rPr>
          <w:rFonts w:ascii="Times New Roman" w:hAnsi="Times New Roman"/>
          <w:b/>
          <w:lang w:val="en-GB"/>
        </w:rPr>
        <w:t>NICE</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sidR="000D256B" w:rsidRPr="001C3CB9">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12-12-2012</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sidR="000D256B" w:rsidRPr="001C3CB9">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23-07-2014</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Vemurafenib</w:t>
      </w:r>
      <w:proofErr w:type="spellEnd"/>
      <w:r>
        <w:rPr>
          <w:rFonts w:ascii="Times New Roman" w:hAnsi="Times New Roman"/>
          <w:sz w:val="21"/>
          <w:szCs w:val="21"/>
          <w:lang w:val="en-GB"/>
        </w:rPr>
        <w:tab/>
      </w:r>
      <w:r w:rsidR="000D256B" w:rsidRPr="001C3CB9">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12-12-2012</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Dabrafenib</w:t>
      </w:r>
      <w:proofErr w:type="spellEnd"/>
      <w:r>
        <w:rPr>
          <w:rFonts w:ascii="Times New Roman" w:hAnsi="Times New Roman"/>
          <w:sz w:val="21"/>
          <w:szCs w:val="21"/>
          <w:lang w:val="en-GB"/>
        </w:rPr>
        <w:tab/>
      </w:r>
      <w:r w:rsidR="000D256B" w:rsidRPr="001C3CB9">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22-10-2014</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Trametinib</w:t>
      </w:r>
      <w:proofErr w:type="spellEnd"/>
      <w:r w:rsidR="00D4440D">
        <w:rPr>
          <w:rFonts w:ascii="Times New Roman" w:hAnsi="Times New Roman"/>
          <w:sz w:val="21"/>
          <w:szCs w:val="21"/>
          <w:lang w:val="en-GB"/>
        </w:rPr>
        <w:t xml:space="preserve"> (combined with </w:t>
      </w:r>
      <w:proofErr w:type="spellStart"/>
      <w:r w:rsidR="00D4440D">
        <w:rPr>
          <w:rFonts w:ascii="Times New Roman" w:hAnsi="Times New Roman"/>
          <w:sz w:val="21"/>
          <w:szCs w:val="21"/>
          <w:lang w:val="en-GB"/>
        </w:rPr>
        <w:t>dabrafenib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22-06-2016</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Cobimetinib</w:t>
      </w:r>
      <w:proofErr w:type="spellEnd"/>
      <w:r w:rsidR="00D4440D">
        <w:rPr>
          <w:rFonts w:ascii="Times New Roman" w:hAnsi="Times New Roman"/>
          <w:sz w:val="21"/>
          <w:szCs w:val="21"/>
          <w:lang w:val="en-GB"/>
        </w:rPr>
        <w:t xml:space="preserve"> (combined with </w:t>
      </w:r>
      <w:proofErr w:type="spellStart"/>
      <w:r w:rsidR="00D4440D">
        <w:rPr>
          <w:rFonts w:ascii="Times New Roman" w:hAnsi="Times New Roman"/>
          <w:sz w:val="21"/>
          <w:szCs w:val="21"/>
          <w:lang w:val="en-GB"/>
        </w:rPr>
        <w:t>vemurafenib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26-10-2016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18-02-2016</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Nivolumab</w:t>
      </w:r>
      <w:proofErr w:type="spellEnd"/>
      <w:r w:rsidRPr="001C3CB9">
        <w:rPr>
          <w:rFonts w:ascii="Times New Roman" w:hAnsi="Times New Roman"/>
          <w:sz w:val="21"/>
          <w:szCs w:val="21"/>
          <w:lang w:val="en-GB"/>
        </w:rPr>
        <w:t xml:space="preserve"> </w:t>
      </w:r>
      <w:r w:rsidR="00D4440D">
        <w:rPr>
          <w:rFonts w:ascii="Times New Roman" w:hAnsi="Times New Roman"/>
          <w:sz w:val="21"/>
          <w:szCs w:val="21"/>
          <w:lang w:val="en-GB"/>
        </w:rPr>
        <w:t xml:space="preserve">(combined with </w:t>
      </w:r>
      <w:proofErr w:type="spellStart"/>
      <w:r w:rsidR="00D4440D">
        <w:rPr>
          <w:rFonts w:ascii="Times New Roman" w:hAnsi="Times New Roman"/>
          <w:sz w:val="21"/>
          <w:szCs w:val="21"/>
          <w:lang w:val="en-GB"/>
        </w:rPr>
        <w:t>ipilimumab</w:t>
      </w:r>
      <w:proofErr w:type="spellEnd"/>
      <w:r w:rsidR="00D4440D">
        <w:rPr>
          <w:rFonts w:ascii="Times New Roman" w:hAnsi="Times New Roman"/>
          <w:sz w:val="21"/>
          <w:szCs w:val="21"/>
          <w:lang w:val="en-GB"/>
        </w:rPr>
        <w:t>)</w:t>
      </w:r>
      <w:r w:rsidR="00D4440D">
        <w:rPr>
          <w:rFonts w:ascii="Times New Roman" w:hAnsi="Times New Roman"/>
          <w:sz w:val="21"/>
          <w:szCs w:val="21"/>
          <w:lang w:val="en-GB"/>
        </w:rPr>
        <w:tab/>
      </w:r>
      <w:r w:rsidRPr="001C3CB9">
        <w:rPr>
          <w:rFonts w:ascii="Times New Roman" w:hAnsi="Times New Roman"/>
          <w:sz w:val="21"/>
          <w:szCs w:val="21"/>
          <w:lang w:val="en-GB"/>
        </w:rPr>
        <w:t>27-07-2016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Pembrolizumab</w:t>
      </w:r>
      <w:proofErr w:type="spellEnd"/>
      <w:r>
        <w:rPr>
          <w:rFonts w:ascii="Times New Roman" w:hAnsi="Times New Roman"/>
          <w:sz w:val="21"/>
          <w:szCs w:val="21"/>
          <w:lang w:val="en-GB"/>
        </w:rPr>
        <w:t xml:space="preserve"> (treated)</w:t>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01-10-2015</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Pembrolizumab</w:t>
      </w:r>
      <w:proofErr w:type="spellEnd"/>
      <w:r w:rsidRPr="001C3CB9">
        <w:rPr>
          <w:rFonts w:ascii="Times New Roman" w:hAnsi="Times New Roman"/>
          <w:sz w:val="21"/>
          <w:szCs w:val="21"/>
          <w:lang w:val="en-GB"/>
        </w:rPr>
        <w:t xml:space="preserve"> (untreated</w:t>
      </w:r>
      <w:r w:rsidR="00D4440D">
        <w:rPr>
          <w:rFonts w:ascii="Times New Roman" w:hAnsi="Times New Roman"/>
          <w:sz w:val="21"/>
          <w:szCs w:val="21"/>
          <w:lang w:val="en-GB"/>
        </w:rPr>
        <w:t>)</w:t>
      </w:r>
      <w:r w:rsidR="00D4440D">
        <w:rPr>
          <w:rFonts w:ascii="Times New Roman" w:hAnsi="Times New Roman"/>
          <w:sz w:val="21"/>
          <w:szCs w:val="21"/>
          <w:lang w:val="en-GB"/>
        </w:rPr>
        <w:tab/>
      </w:r>
      <w:r w:rsidRPr="001C3CB9">
        <w:rPr>
          <w:rFonts w:ascii="Times New Roman" w:hAnsi="Times New Roman"/>
          <w:sz w:val="21"/>
          <w:szCs w:val="21"/>
          <w:lang w:val="en-GB"/>
        </w:rPr>
        <w:tab/>
        <w:t>25-11-2015</w:t>
      </w:r>
    </w:p>
    <w:p w:rsidR="000D256B" w:rsidRPr="001C3CB9" w:rsidRDefault="000D256B" w:rsidP="000D256B">
      <w:pPr>
        <w:spacing w:line="360" w:lineRule="auto"/>
        <w:rPr>
          <w:rFonts w:ascii="Times New Roman" w:hAnsi="Times New Roman"/>
          <w:sz w:val="21"/>
          <w:szCs w:val="21"/>
          <w:lang w:val="en-GB"/>
        </w:rPr>
      </w:pPr>
    </w:p>
    <w:p w:rsidR="000D256B" w:rsidRPr="00D4440D" w:rsidRDefault="000D256B" w:rsidP="000D256B">
      <w:pPr>
        <w:spacing w:line="360" w:lineRule="auto"/>
        <w:outlineLvl w:val="0"/>
        <w:rPr>
          <w:rFonts w:ascii="Times New Roman" w:hAnsi="Times New Roman"/>
          <w:b/>
          <w:sz w:val="21"/>
          <w:szCs w:val="21"/>
          <w:lang w:val="en-GB"/>
        </w:rPr>
      </w:pPr>
      <w:r w:rsidRPr="00D4440D">
        <w:rPr>
          <w:rFonts w:ascii="Times New Roman" w:hAnsi="Times New Roman"/>
          <w:b/>
          <w:sz w:val="21"/>
          <w:szCs w:val="21"/>
          <w:lang w:val="en-GB"/>
        </w:rPr>
        <w:t>SMC</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14-05-2012</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08-04-2013</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10-11-2014</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Vemurafenib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10-09-2012</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Vemurafenib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09-12-2013</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Dabrafenib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09-03-2015</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Trametinib</w:t>
      </w:r>
      <w:proofErr w:type="spellEnd"/>
      <w:r w:rsidR="00D4440D">
        <w:rPr>
          <w:rFonts w:ascii="Times New Roman" w:hAnsi="Times New Roman"/>
          <w:sz w:val="21"/>
          <w:szCs w:val="21"/>
          <w:lang w:val="en-GB"/>
        </w:rPr>
        <w:t xml:space="preserve"> (combined with </w:t>
      </w:r>
      <w:proofErr w:type="spellStart"/>
      <w:r w:rsidR="00D4440D">
        <w:rPr>
          <w:rFonts w:ascii="Times New Roman" w:hAnsi="Times New Roman"/>
          <w:sz w:val="21"/>
          <w:szCs w:val="21"/>
          <w:lang w:val="en-GB"/>
        </w:rPr>
        <w:t>dabrafenib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12-09-2016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07-03-2016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08-08-2016</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Nivolumab</w:t>
      </w:r>
      <w:proofErr w:type="spellEnd"/>
      <w:r w:rsidR="00D4440D">
        <w:rPr>
          <w:rFonts w:ascii="Times New Roman" w:hAnsi="Times New Roman"/>
          <w:sz w:val="21"/>
          <w:szCs w:val="21"/>
          <w:lang w:val="en-GB"/>
        </w:rPr>
        <w:t xml:space="preserve"> (combined with </w:t>
      </w:r>
      <w:proofErr w:type="spellStart"/>
      <w:r w:rsidR="00D4440D">
        <w:rPr>
          <w:rFonts w:ascii="Times New Roman" w:hAnsi="Times New Roman"/>
          <w:sz w:val="21"/>
          <w:szCs w:val="21"/>
          <w:lang w:val="en-GB"/>
        </w:rPr>
        <w:t>ipilimumab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07-11-2016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Pembrolizumab</w:t>
      </w:r>
      <w:proofErr w:type="spellEnd"/>
      <w:r>
        <w:rPr>
          <w:rFonts w:ascii="Times New Roman" w:hAnsi="Times New Roman"/>
          <w:sz w:val="21"/>
          <w:szCs w:val="21"/>
          <w:lang w:val="en-GB"/>
        </w:rPr>
        <w:t xml:space="preserve"> (treated)</w:t>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09-11-2015</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Pembrolizumab</w:t>
      </w:r>
      <w:proofErr w:type="spellEnd"/>
      <w:r>
        <w:rPr>
          <w:rFonts w:ascii="Times New Roman" w:hAnsi="Times New Roman"/>
          <w:sz w:val="21"/>
          <w:szCs w:val="21"/>
          <w:lang w:val="en-GB"/>
        </w:rPr>
        <w:t xml:space="preserve"> (untreated)</w:t>
      </w:r>
      <w:r>
        <w:rPr>
          <w:rFonts w:ascii="Times New Roman" w:hAnsi="Times New Roman"/>
          <w:sz w:val="21"/>
          <w:szCs w:val="21"/>
          <w:lang w:val="en-GB"/>
        </w:rPr>
        <w:tab/>
      </w:r>
      <w:r w:rsidR="000D256B" w:rsidRPr="001C3CB9">
        <w:rPr>
          <w:rFonts w:ascii="Times New Roman" w:hAnsi="Times New Roman"/>
          <w:sz w:val="21"/>
          <w:szCs w:val="21"/>
          <w:lang w:val="en-GB"/>
        </w:rPr>
        <w:tab/>
        <w:t>09-11-2015</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Pembrolizumab</w:t>
      </w:r>
      <w:proofErr w:type="spellEnd"/>
      <w:r>
        <w:rPr>
          <w:rFonts w:ascii="Times New Roman" w:hAnsi="Times New Roman"/>
          <w:sz w:val="21"/>
          <w:szCs w:val="21"/>
          <w:lang w:val="en-GB"/>
        </w:rPr>
        <w:t xml:space="preserve"> (treated)</w:t>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12-12-2016</w:t>
      </w:r>
    </w:p>
    <w:p w:rsidR="000D256B" w:rsidRPr="001C3CB9" w:rsidRDefault="000D256B" w:rsidP="000D256B">
      <w:pPr>
        <w:spacing w:line="360" w:lineRule="auto"/>
        <w:rPr>
          <w:rFonts w:ascii="Times New Roman" w:hAnsi="Times New Roman"/>
          <w:sz w:val="21"/>
          <w:szCs w:val="21"/>
          <w:lang w:val="en-GB"/>
        </w:rPr>
      </w:pPr>
    </w:p>
    <w:p w:rsidR="000D256B" w:rsidRPr="00D4440D" w:rsidRDefault="000D256B" w:rsidP="000D256B">
      <w:pPr>
        <w:spacing w:line="360" w:lineRule="auto"/>
        <w:outlineLvl w:val="0"/>
        <w:rPr>
          <w:rFonts w:ascii="Times New Roman" w:hAnsi="Times New Roman"/>
          <w:b/>
          <w:sz w:val="21"/>
          <w:szCs w:val="21"/>
          <w:lang w:val="en-GB"/>
        </w:rPr>
      </w:pPr>
      <w:proofErr w:type="spellStart"/>
      <w:r w:rsidRPr="00D4440D">
        <w:rPr>
          <w:rFonts w:ascii="Times New Roman" w:hAnsi="Times New Roman"/>
          <w:b/>
          <w:sz w:val="21"/>
          <w:szCs w:val="21"/>
          <w:lang w:val="en-GB"/>
        </w:rPr>
        <w:t>IQWiG</w:t>
      </w:r>
      <w:proofErr w:type="spellEnd"/>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Ip</w:t>
      </w:r>
      <w:r w:rsidR="00D4440D">
        <w:rPr>
          <w:rFonts w:ascii="Times New Roman" w:hAnsi="Times New Roman"/>
          <w:sz w:val="21"/>
          <w:szCs w:val="21"/>
          <w:lang w:val="en-GB"/>
        </w:rPr>
        <w:t>ilimumab</w:t>
      </w:r>
      <w:r w:rsidR="00D4440D">
        <w:rPr>
          <w:rFonts w:ascii="Times New Roman" w:hAnsi="Times New Roman"/>
          <w:sz w:val="21"/>
          <w:szCs w:val="21"/>
          <w:lang w:val="en-GB"/>
        </w:rPr>
        <w:tab/>
      </w:r>
      <w:r w:rsidR="00D4440D">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ab/>
        <w:t>27-04-2012</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13-03-2014</w:t>
      </w:r>
    </w:p>
    <w:p w:rsidR="000D256B" w:rsidRPr="001C3CB9" w:rsidRDefault="000D256B" w:rsidP="000D256B">
      <w:pPr>
        <w:spacing w:line="360" w:lineRule="auto"/>
        <w:rPr>
          <w:rFonts w:ascii="Times New Roman" w:hAnsi="Times New Roman"/>
          <w:sz w:val="21"/>
          <w:szCs w:val="21"/>
          <w:lang w:val="en-GB"/>
        </w:rPr>
      </w:pPr>
      <w:r w:rsidRPr="001C3CB9">
        <w:rPr>
          <w:rFonts w:ascii="Times New Roman" w:hAnsi="Times New Roman"/>
          <w:sz w:val="21"/>
          <w:szCs w:val="21"/>
          <w:lang w:val="en-GB"/>
        </w:rPr>
        <w:t>I</w:t>
      </w:r>
      <w:r w:rsidR="00D4440D">
        <w:rPr>
          <w:rFonts w:ascii="Times New Roman" w:hAnsi="Times New Roman"/>
          <w:sz w:val="21"/>
          <w:szCs w:val="21"/>
          <w:lang w:val="en-GB"/>
        </w:rPr>
        <w:t>pilimumab (First Addendum)</w:t>
      </w:r>
      <w:r w:rsidR="00D4440D">
        <w:rPr>
          <w:rFonts w:ascii="Times New Roman" w:hAnsi="Times New Roman"/>
          <w:sz w:val="21"/>
          <w:szCs w:val="21"/>
          <w:lang w:val="en-GB"/>
        </w:rPr>
        <w:tab/>
      </w:r>
      <w:r w:rsidRPr="001C3CB9">
        <w:rPr>
          <w:rFonts w:ascii="Times New Roman" w:hAnsi="Times New Roman"/>
          <w:sz w:val="21"/>
          <w:szCs w:val="21"/>
          <w:lang w:val="en-GB"/>
        </w:rPr>
        <w:tab/>
        <w:t>26-03-2014</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 (Second Addendum)</w:t>
      </w:r>
      <w:r>
        <w:rPr>
          <w:rFonts w:ascii="Times New Roman" w:hAnsi="Times New Roman"/>
          <w:sz w:val="21"/>
          <w:szCs w:val="21"/>
          <w:lang w:val="en-GB"/>
        </w:rPr>
        <w:tab/>
      </w:r>
      <w:r w:rsidR="000D256B" w:rsidRPr="001C3CB9">
        <w:rPr>
          <w:rFonts w:ascii="Times New Roman" w:hAnsi="Times New Roman"/>
          <w:sz w:val="21"/>
          <w:szCs w:val="21"/>
          <w:lang w:val="en-GB"/>
        </w:rPr>
        <w:tab/>
        <w:t>16-05-2014</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lastRenderedPageBreak/>
        <w:t>Vemurafenib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13-06-2012</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Vemurafenib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11-12-2013</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Dabrafenib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23-12-2013</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Dabrafenib</w:t>
      </w:r>
      <w:proofErr w:type="spellEnd"/>
      <w:r w:rsidRPr="001C3CB9">
        <w:rPr>
          <w:rFonts w:ascii="Times New Roman" w:hAnsi="Times New Roman"/>
          <w:sz w:val="21"/>
          <w:szCs w:val="21"/>
          <w:lang w:val="en-GB"/>
        </w:rPr>
        <w:t xml:space="preserve"> (Add</w:t>
      </w:r>
      <w:r w:rsidR="00D4440D">
        <w:rPr>
          <w:rFonts w:ascii="Times New Roman" w:hAnsi="Times New Roman"/>
          <w:sz w:val="21"/>
          <w:szCs w:val="21"/>
          <w:lang w:val="en-GB"/>
        </w:rPr>
        <w:t>endum)</w:t>
      </w:r>
      <w:r w:rsidR="00D4440D">
        <w:rPr>
          <w:rFonts w:ascii="Times New Roman" w:hAnsi="Times New Roman"/>
          <w:sz w:val="21"/>
          <w:szCs w:val="21"/>
          <w:lang w:val="en-GB"/>
        </w:rPr>
        <w:tab/>
      </w:r>
      <w:r w:rsidR="00D4440D">
        <w:rPr>
          <w:rFonts w:ascii="Times New Roman" w:hAnsi="Times New Roman"/>
          <w:sz w:val="21"/>
          <w:szCs w:val="21"/>
          <w:lang w:val="en-GB"/>
        </w:rPr>
        <w:tab/>
      </w:r>
      <w:r w:rsidRPr="001C3CB9">
        <w:rPr>
          <w:rFonts w:ascii="Times New Roman" w:hAnsi="Times New Roman"/>
          <w:sz w:val="21"/>
          <w:szCs w:val="21"/>
          <w:lang w:val="en-GB"/>
        </w:rPr>
        <w:tab/>
        <w:t>14-03-2014</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Dabrafenib</w:t>
      </w:r>
      <w:proofErr w:type="spellEnd"/>
      <w:r w:rsidR="00D4440D">
        <w:rPr>
          <w:rFonts w:ascii="Times New Roman" w:hAnsi="Times New Roman"/>
          <w:sz w:val="21"/>
          <w:szCs w:val="21"/>
          <w:lang w:val="en-GB"/>
        </w:rPr>
        <w:t xml:space="preserve"> (Combined with </w:t>
      </w:r>
      <w:proofErr w:type="spellStart"/>
      <w:r w:rsidR="00D4440D">
        <w:rPr>
          <w:rFonts w:ascii="Times New Roman" w:hAnsi="Times New Roman"/>
          <w:sz w:val="21"/>
          <w:szCs w:val="21"/>
          <w:lang w:val="en-GB"/>
        </w:rPr>
        <w:t>trametinib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28-12-2015</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Dabrafenib</w:t>
      </w:r>
      <w:proofErr w:type="spellEnd"/>
      <w:r w:rsidRPr="001C3CB9">
        <w:rPr>
          <w:rFonts w:ascii="Times New Roman" w:hAnsi="Times New Roman"/>
          <w:sz w:val="21"/>
          <w:szCs w:val="21"/>
          <w:lang w:val="en-GB"/>
        </w:rPr>
        <w:t xml:space="preserve"> (Combine</w:t>
      </w:r>
      <w:r w:rsidR="00D4440D">
        <w:rPr>
          <w:rFonts w:ascii="Times New Roman" w:hAnsi="Times New Roman"/>
          <w:sz w:val="21"/>
          <w:szCs w:val="21"/>
          <w:lang w:val="en-GB"/>
        </w:rPr>
        <w:t xml:space="preserve">d with </w:t>
      </w:r>
      <w:proofErr w:type="spellStart"/>
      <w:r w:rsidR="00D4440D">
        <w:rPr>
          <w:rFonts w:ascii="Times New Roman" w:hAnsi="Times New Roman"/>
          <w:sz w:val="21"/>
          <w:szCs w:val="21"/>
          <w:lang w:val="en-GB"/>
        </w:rPr>
        <w:t>trametinib</w:t>
      </w:r>
      <w:proofErr w:type="spellEnd"/>
      <w:r w:rsidR="00D4440D">
        <w:rPr>
          <w:rFonts w:ascii="Times New Roman" w:hAnsi="Times New Roman"/>
          <w:sz w:val="21"/>
          <w:szCs w:val="21"/>
          <w:lang w:val="en-GB"/>
        </w:rPr>
        <w:t xml:space="preserve"> – Addendum)</w:t>
      </w:r>
      <w:r w:rsidRPr="001C3CB9">
        <w:rPr>
          <w:rFonts w:ascii="Times New Roman" w:hAnsi="Times New Roman"/>
          <w:sz w:val="21"/>
          <w:szCs w:val="21"/>
          <w:lang w:val="en-GB"/>
        </w:rPr>
        <w:tab/>
        <w:t>24-02-2016</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Trametinib</w:t>
      </w:r>
      <w:proofErr w:type="spellEnd"/>
      <w:r w:rsidRPr="001C3CB9">
        <w:rPr>
          <w:rFonts w:ascii="Times New Roman" w:hAnsi="Times New Roman"/>
          <w:sz w:val="21"/>
          <w:szCs w:val="21"/>
          <w:lang w:val="en-GB"/>
        </w:rPr>
        <w:t xml:space="preserve"> (Alone </w:t>
      </w:r>
      <w:r w:rsidR="00D4440D">
        <w:rPr>
          <w:rFonts w:ascii="Times New Roman" w:hAnsi="Times New Roman"/>
          <w:sz w:val="21"/>
          <w:szCs w:val="21"/>
          <w:lang w:val="en-GB"/>
        </w:rPr>
        <w:t xml:space="preserve">or combined with </w:t>
      </w:r>
      <w:proofErr w:type="spellStart"/>
      <w:r w:rsidR="00D4440D">
        <w:rPr>
          <w:rFonts w:ascii="Times New Roman" w:hAnsi="Times New Roman"/>
          <w:sz w:val="21"/>
          <w:szCs w:val="21"/>
          <w:lang w:val="en-GB"/>
        </w:rPr>
        <w:t>dabrafenib</w:t>
      </w:r>
      <w:proofErr w:type="spellEnd"/>
      <w:r w:rsidR="00D4440D">
        <w:rPr>
          <w:rFonts w:ascii="Times New Roman" w:hAnsi="Times New Roman"/>
          <w:sz w:val="21"/>
          <w:szCs w:val="21"/>
          <w:lang w:val="en-GB"/>
        </w:rPr>
        <w:t>)</w:t>
      </w:r>
      <w:r w:rsidR="00D4440D">
        <w:rPr>
          <w:rFonts w:ascii="Times New Roman" w:hAnsi="Times New Roman"/>
          <w:sz w:val="21"/>
          <w:szCs w:val="21"/>
          <w:lang w:val="en-GB"/>
        </w:rPr>
        <w:tab/>
      </w:r>
      <w:r w:rsidRPr="001C3CB9">
        <w:rPr>
          <w:rFonts w:ascii="Times New Roman" w:hAnsi="Times New Roman"/>
          <w:sz w:val="21"/>
          <w:szCs w:val="21"/>
          <w:lang w:val="en-GB"/>
        </w:rPr>
        <w:tab/>
        <w:t>28-12-2015</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Cobimetinib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11-03-2016</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Cobimetinib</w:t>
      </w:r>
      <w:proofErr w:type="spellEnd"/>
      <w:r w:rsidRPr="001C3CB9">
        <w:rPr>
          <w:rFonts w:ascii="Times New Roman" w:hAnsi="Times New Roman"/>
          <w:sz w:val="21"/>
          <w:szCs w:val="21"/>
          <w:lang w:val="en-GB"/>
        </w:rPr>
        <w:t xml:space="preserve"> (combined</w:t>
      </w:r>
      <w:r w:rsidR="00D4440D">
        <w:rPr>
          <w:rFonts w:ascii="Times New Roman" w:hAnsi="Times New Roman"/>
          <w:sz w:val="21"/>
          <w:szCs w:val="21"/>
          <w:lang w:val="en-GB"/>
        </w:rPr>
        <w:t xml:space="preserve"> with </w:t>
      </w:r>
      <w:proofErr w:type="spellStart"/>
      <w:r w:rsidR="00D4440D">
        <w:rPr>
          <w:rFonts w:ascii="Times New Roman" w:hAnsi="Times New Roman"/>
          <w:sz w:val="21"/>
          <w:szCs w:val="21"/>
          <w:lang w:val="en-GB"/>
        </w:rPr>
        <w:t>vemurafenib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12-05-2016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13-10-2015</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 xml:space="preserve"> (Addendum)</w:t>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11-12-2016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12-09-2016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 xml:space="preserve"> (Addendum)</w:t>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21-11-2016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Pembrolizumab</w:t>
      </w:r>
      <w:proofErr w:type="spellEnd"/>
      <w:r>
        <w:rPr>
          <w:rFonts w:ascii="Times New Roman" w:hAnsi="Times New Roman"/>
          <w:sz w:val="21"/>
          <w:szCs w:val="21"/>
          <w:lang w:val="en-GB"/>
        </w:rPr>
        <w:tab/>
      </w:r>
      <w:r w:rsidR="000D256B" w:rsidRPr="001C3CB9">
        <w:rPr>
          <w:rFonts w:ascii="Times New Roman" w:hAnsi="Times New Roman"/>
          <w:sz w:val="21"/>
          <w:szCs w:val="21"/>
          <w:lang w:val="en-GB"/>
        </w:rPr>
        <w:tab/>
      </w:r>
      <w:r w:rsidR="000D256B" w:rsidRPr="001C3CB9">
        <w:rPr>
          <w:rFonts w:ascii="Times New Roman" w:hAnsi="Times New Roman"/>
          <w:sz w:val="21"/>
          <w:szCs w:val="21"/>
          <w:lang w:val="en-GB"/>
        </w:rPr>
        <w:tab/>
        <w:t>12-11-2015</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Pembrolizumab</w:t>
      </w:r>
      <w:proofErr w:type="spellEnd"/>
      <w:r>
        <w:rPr>
          <w:rFonts w:ascii="Times New Roman" w:hAnsi="Times New Roman"/>
          <w:sz w:val="21"/>
          <w:szCs w:val="21"/>
          <w:lang w:val="en-GB"/>
        </w:rPr>
        <w:t xml:space="preserve"> (Addendum)</w:t>
      </w:r>
      <w:r>
        <w:rPr>
          <w:rFonts w:ascii="Times New Roman" w:hAnsi="Times New Roman"/>
          <w:sz w:val="21"/>
          <w:szCs w:val="21"/>
          <w:lang w:val="en-GB"/>
        </w:rPr>
        <w:tab/>
      </w:r>
      <w:r w:rsidR="000D256B" w:rsidRPr="001C3CB9">
        <w:rPr>
          <w:rFonts w:ascii="Times New Roman" w:hAnsi="Times New Roman"/>
          <w:sz w:val="21"/>
          <w:szCs w:val="21"/>
          <w:lang w:val="en-GB"/>
        </w:rPr>
        <w:tab/>
        <w:t>14-01-2016</w:t>
      </w:r>
    </w:p>
    <w:p w:rsidR="000D256B" w:rsidRPr="001C3CB9" w:rsidRDefault="000D256B" w:rsidP="000D256B">
      <w:pPr>
        <w:spacing w:line="360" w:lineRule="auto"/>
        <w:rPr>
          <w:rFonts w:ascii="Times New Roman" w:hAnsi="Times New Roman"/>
          <w:sz w:val="21"/>
          <w:szCs w:val="21"/>
          <w:lang w:val="en-GB"/>
        </w:rPr>
      </w:pPr>
    </w:p>
    <w:p w:rsidR="000D256B" w:rsidRPr="00D4440D" w:rsidRDefault="000D256B" w:rsidP="000D256B">
      <w:pPr>
        <w:spacing w:line="360" w:lineRule="auto"/>
        <w:outlineLvl w:val="0"/>
        <w:rPr>
          <w:rFonts w:ascii="Times New Roman" w:hAnsi="Times New Roman"/>
          <w:b/>
          <w:sz w:val="21"/>
          <w:szCs w:val="21"/>
          <w:lang w:val="en-GB"/>
        </w:rPr>
      </w:pPr>
      <w:r w:rsidRPr="00D4440D">
        <w:rPr>
          <w:rFonts w:ascii="Times New Roman" w:hAnsi="Times New Roman"/>
          <w:b/>
          <w:sz w:val="21"/>
          <w:szCs w:val="21"/>
          <w:lang w:val="en-GB"/>
        </w:rPr>
        <w:t>HAS</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14-12-2011</w:t>
      </w:r>
    </w:p>
    <w:p w:rsidR="000D256B" w:rsidRPr="001C3CB9" w:rsidRDefault="00D4440D" w:rsidP="000D256B">
      <w:pPr>
        <w:spacing w:line="360" w:lineRule="auto"/>
        <w:rPr>
          <w:rFonts w:ascii="Times New Roman" w:hAnsi="Times New Roman"/>
          <w:sz w:val="21"/>
          <w:szCs w:val="21"/>
          <w:lang w:val="en-GB"/>
        </w:rPr>
      </w:pPr>
      <w:r>
        <w:rPr>
          <w:rFonts w:ascii="Times New Roman" w:hAnsi="Times New Roman"/>
          <w:sz w:val="21"/>
          <w:szCs w:val="21"/>
          <w:lang w:val="en-GB"/>
        </w:rPr>
        <w:t>Ipilimumab</w:t>
      </w:r>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19-11-2014</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Vemurafenib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03-10-2012</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Dabrafenib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07-05-2014</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Trametinib</w:t>
      </w:r>
      <w:proofErr w:type="spellEnd"/>
      <w:r w:rsidRPr="001C3CB9">
        <w:rPr>
          <w:rFonts w:ascii="Times New Roman" w:hAnsi="Times New Roman"/>
          <w:sz w:val="21"/>
          <w:szCs w:val="21"/>
          <w:lang w:val="en-GB"/>
        </w:rPr>
        <w:t xml:space="preserve"> (Alone </w:t>
      </w:r>
      <w:r w:rsidR="00D4440D">
        <w:rPr>
          <w:rFonts w:ascii="Times New Roman" w:hAnsi="Times New Roman"/>
          <w:sz w:val="21"/>
          <w:szCs w:val="21"/>
          <w:lang w:val="en-GB"/>
        </w:rPr>
        <w:t xml:space="preserve">or combined with </w:t>
      </w:r>
      <w:proofErr w:type="spellStart"/>
      <w:r w:rsidR="00D4440D">
        <w:rPr>
          <w:rFonts w:ascii="Times New Roman" w:hAnsi="Times New Roman"/>
          <w:sz w:val="21"/>
          <w:szCs w:val="21"/>
          <w:lang w:val="en-GB"/>
        </w:rPr>
        <w:t>dabrafenib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20-01-2016</w:t>
      </w:r>
    </w:p>
    <w:p w:rsidR="000D256B" w:rsidRPr="001C3CB9" w:rsidRDefault="000D256B" w:rsidP="000D256B">
      <w:pPr>
        <w:spacing w:line="360" w:lineRule="auto"/>
        <w:rPr>
          <w:rFonts w:ascii="Times New Roman" w:hAnsi="Times New Roman"/>
          <w:sz w:val="21"/>
          <w:szCs w:val="21"/>
          <w:lang w:val="en-GB"/>
        </w:rPr>
      </w:pPr>
      <w:proofErr w:type="spellStart"/>
      <w:r w:rsidRPr="001C3CB9">
        <w:rPr>
          <w:rFonts w:ascii="Times New Roman" w:hAnsi="Times New Roman"/>
          <w:sz w:val="21"/>
          <w:szCs w:val="21"/>
          <w:lang w:val="en-GB"/>
        </w:rPr>
        <w:t>Cobimetinib</w:t>
      </w:r>
      <w:proofErr w:type="spellEnd"/>
      <w:r w:rsidR="00D4440D">
        <w:rPr>
          <w:rFonts w:ascii="Times New Roman" w:hAnsi="Times New Roman"/>
          <w:sz w:val="21"/>
          <w:szCs w:val="21"/>
          <w:lang w:val="en-GB"/>
        </w:rPr>
        <w:t xml:space="preserve"> (Combined with </w:t>
      </w:r>
      <w:proofErr w:type="spellStart"/>
      <w:r w:rsidR="00D4440D">
        <w:rPr>
          <w:rFonts w:ascii="Times New Roman" w:hAnsi="Times New Roman"/>
          <w:sz w:val="21"/>
          <w:szCs w:val="21"/>
          <w:lang w:val="en-GB"/>
        </w:rPr>
        <w:t>vemurafenib</w:t>
      </w:r>
      <w:proofErr w:type="spellEnd"/>
      <w:r w:rsidR="00D4440D">
        <w:rPr>
          <w:rFonts w:ascii="Times New Roman" w:hAnsi="Times New Roman"/>
          <w:sz w:val="21"/>
          <w:szCs w:val="21"/>
          <w:lang w:val="en-GB"/>
        </w:rPr>
        <w:t>)</w:t>
      </w:r>
      <w:r w:rsidRPr="001C3CB9">
        <w:rPr>
          <w:rFonts w:ascii="Times New Roman" w:hAnsi="Times New Roman"/>
          <w:sz w:val="21"/>
          <w:szCs w:val="21"/>
          <w:lang w:val="en-GB"/>
        </w:rPr>
        <w:tab/>
        <w:t>16-03-2016</w:t>
      </w:r>
    </w:p>
    <w:p w:rsidR="000D256B" w:rsidRPr="001C3CB9" w:rsidRDefault="00D4440D" w:rsidP="000D256B">
      <w:pPr>
        <w:spacing w:line="360" w:lineRule="auto"/>
        <w:rPr>
          <w:rFonts w:ascii="Times New Roman" w:hAnsi="Times New Roman"/>
          <w:sz w:val="21"/>
          <w:szCs w:val="21"/>
          <w:lang w:val="en-GB"/>
        </w:rPr>
      </w:pPr>
      <w:proofErr w:type="spellStart"/>
      <w:r>
        <w:rPr>
          <w:rFonts w:ascii="Times New Roman" w:hAnsi="Times New Roman"/>
          <w:sz w:val="21"/>
          <w:szCs w:val="21"/>
          <w:lang w:val="en-GB"/>
        </w:rPr>
        <w:t>Nivolumab</w:t>
      </w:r>
      <w:proofErr w:type="spellEnd"/>
      <w:r>
        <w:rPr>
          <w:rFonts w:ascii="Times New Roman" w:hAnsi="Times New Roman"/>
          <w:sz w:val="21"/>
          <w:szCs w:val="21"/>
          <w:lang w:val="en-GB"/>
        </w:rPr>
        <w:tab/>
      </w:r>
      <w:r>
        <w:rPr>
          <w:rFonts w:ascii="Times New Roman" w:hAnsi="Times New Roman"/>
          <w:sz w:val="21"/>
          <w:szCs w:val="21"/>
          <w:lang w:val="en-GB"/>
        </w:rPr>
        <w:tab/>
      </w:r>
      <w:r>
        <w:rPr>
          <w:rFonts w:ascii="Times New Roman" w:hAnsi="Times New Roman"/>
          <w:sz w:val="21"/>
          <w:szCs w:val="21"/>
          <w:lang w:val="en-GB"/>
        </w:rPr>
        <w:tab/>
      </w:r>
      <w:r w:rsidR="000D256B" w:rsidRPr="001C3CB9">
        <w:rPr>
          <w:rFonts w:ascii="Times New Roman" w:hAnsi="Times New Roman"/>
          <w:sz w:val="21"/>
          <w:szCs w:val="21"/>
          <w:lang w:val="en-GB"/>
        </w:rPr>
        <w:tab/>
        <w:t>13-01-2016</w:t>
      </w:r>
    </w:p>
    <w:p w:rsidR="00CD1D5E" w:rsidRPr="001C3CB9" w:rsidRDefault="00D4440D" w:rsidP="000D256B">
      <w:pPr>
        <w:autoSpaceDE w:val="0"/>
        <w:autoSpaceDN w:val="0"/>
        <w:adjustRightInd w:val="0"/>
        <w:spacing w:line="360" w:lineRule="auto"/>
        <w:ind w:left="640" w:hanging="640"/>
        <w:rPr>
          <w:rFonts w:ascii="Times New Roman" w:hAnsi="Times New Roman"/>
          <w:sz w:val="21"/>
          <w:szCs w:val="21"/>
          <w:lang w:val="en-GB"/>
        </w:rPr>
      </w:pPr>
      <w:proofErr w:type="spellStart"/>
      <w:r>
        <w:rPr>
          <w:rFonts w:ascii="Times New Roman" w:hAnsi="Times New Roman"/>
          <w:sz w:val="21"/>
          <w:szCs w:val="21"/>
          <w:lang w:val="en-GB"/>
        </w:rPr>
        <w:t>Pembrolizumab</w:t>
      </w:r>
      <w:proofErr w:type="spellEnd"/>
      <w:r>
        <w:rPr>
          <w:rFonts w:ascii="Times New Roman" w:hAnsi="Times New Roman"/>
          <w:sz w:val="21"/>
          <w:szCs w:val="21"/>
          <w:lang w:val="en-GB"/>
        </w:rPr>
        <w:tab/>
      </w:r>
      <w:r w:rsidR="000D256B" w:rsidRPr="001C3CB9">
        <w:rPr>
          <w:rFonts w:ascii="Times New Roman" w:hAnsi="Times New Roman"/>
          <w:sz w:val="21"/>
          <w:szCs w:val="21"/>
          <w:lang w:val="en-GB"/>
        </w:rPr>
        <w:tab/>
      </w:r>
      <w:r w:rsidR="000D256B" w:rsidRPr="001C3CB9">
        <w:rPr>
          <w:rFonts w:ascii="Times New Roman" w:hAnsi="Times New Roman"/>
          <w:sz w:val="21"/>
          <w:szCs w:val="21"/>
          <w:lang w:val="en-GB"/>
        </w:rPr>
        <w:tab/>
        <w:t>16-03-2016</w:t>
      </w:r>
    </w:p>
    <w:p w:rsidR="00CD1D5E" w:rsidRPr="001C3CB9" w:rsidRDefault="00CD1D5E" w:rsidP="00CD1D5E">
      <w:pPr>
        <w:rPr>
          <w:rFonts w:ascii="Times New Roman" w:hAnsi="Times New Roman"/>
          <w:lang w:val="en-GB"/>
        </w:rPr>
      </w:pPr>
      <w:r w:rsidRPr="001C3CB9">
        <w:rPr>
          <w:rFonts w:ascii="Times New Roman" w:hAnsi="Times New Roman"/>
          <w:lang w:val="en-GB"/>
        </w:rPr>
        <w:br w:type="page"/>
      </w:r>
    </w:p>
    <w:p w:rsidR="000D256B" w:rsidRPr="001C3CB9" w:rsidRDefault="008749DD" w:rsidP="000D256B">
      <w:pPr>
        <w:autoSpaceDE w:val="0"/>
        <w:autoSpaceDN w:val="0"/>
        <w:adjustRightInd w:val="0"/>
        <w:spacing w:line="360" w:lineRule="auto"/>
        <w:ind w:left="640" w:hanging="640"/>
        <w:rPr>
          <w:rFonts w:ascii="Times New Roman" w:hAnsi="Times New Roman"/>
          <w:b/>
          <w:sz w:val="21"/>
          <w:szCs w:val="21"/>
          <w:lang w:val="en-GB"/>
        </w:rPr>
      </w:pPr>
      <w:r w:rsidRPr="001C3CB9">
        <w:rPr>
          <w:rFonts w:ascii="Times New Roman" w:hAnsi="Times New Roman"/>
          <w:b/>
          <w:sz w:val="21"/>
          <w:szCs w:val="21"/>
          <w:lang w:val="en-GB"/>
        </w:rPr>
        <w:t>Appendix</w:t>
      </w:r>
      <w:r w:rsidR="00CD1D5E" w:rsidRPr="001C3CB9">
        <w:rPr>
          <w:rFonts w:ascii="Times New Roman" w:hAnsi="Times New Roman"/>
          <w:b/>
          <w:sz w:val="21"/>
          <w:szCs w:val="21"/>
          <w:lang w:val="en-GB"/>
        </w:rPr>
        <w:t xml:space="preserve"> 5</w:t>
      </w:r>
    </w:p>
    <w:p w:rsidR="00CD1D5E" w:rsidRPr="001C3CB9" w:rsidRDefault="00CD1D5E" w:rsidP="000D256B">
      <w:pPr>
        <w:autoSpaceDE w:val="0"/>
        <w:autoSpaceDN w:val="0"/>
        <w:adjustRightInd w:val="0"/>
        <w:spacing w:line="360" w:lineRule="auto"/>
        <w:ind w:left="640" w:hanging="640"/>
        <w:rPr>
          <w:rFonts w:ascii="Times New Roman" w:hAnsi="Times New Roman"/>
          <w:sz w:val="21"/>
          <w:szCs w:val="21"/>
          <w:lang w:val="en-GB"/>
        </w:rPr>
      </w:pPr>
    </w:p>
    <w:p w:rsidR="00CD1D5E" w:rsidRPr="001C3CB9" w:rsidRDefault="00CD1D5E" w:rsidP="00CD1D5E">
      <w:pPr>
        <w:pStyle w:val="Bijschrift"/>
        <w:spacing w:line="360" w:lineRule="auto"/>
        <w:rPr>
          <w:rFonts w:ascii="Times New Roman" w:hAnsi="Times New Roman"/>
          <w:b w:val="0"/>
          <w:lang w:val="en-GB"/>
        </w:rPr>
      </w:pPr>
      <w:r w:rsidRPr="001C3CB9">
        <w:rPr>
          <w:rFonts w:ascii="Times New Roman" w:hAnsi="Times New Roman"/>
          <w:b w:val="0"/>
          <w:lang w:val="en-GB"/>
        </w:rPr>
        <w:t>Figure S1 - Inclusion of RWD in REAs over time.</w:t>
      </w:r>
    </w:p>
    <w:p w:rsidR="00CD1D5E" w:rsidRPr="001C3CB9" w:rsidRDefault="00CD1D5E" w:rsidP="00CD1D5E">
      <w:pPr>
        <w:pStyle w:val="Bijschrift"/>
        <w:spacing w:line="360" w:lineRule="auto"/>
        <w:rPr>
          <w:rFonts w:ascii="Times New Roman" w:hAnsi="Times New Roman"/>
          <w:lang w:val="en-GB"/>
        </w:rPr>
      </w:pPr>
      <w:r w:rsidRPr="001C3CB9">
        <w:rPr>
          <w:rFonts w:ascii="Times New Roman" w:hAnsi="Times New Roman"/>
          <w:noProof/>
        </w:rPr>
        <w:drawing>
          <wp:inline distT="0" distB="0" distL="0" distR="0" wp14:anchorId="44591C83" wp14:editId="29A794A0">
            <wp:extent cx="4876800" cy="2905125"/>
            <wp:effectExtent l="19050" t="0" r="19050" b="0"/>
            <wp:docPr id="2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D1D5E" w:rsidRPr="001C3CB9" w:rsidRDefault="00CD1D5E" w:rsidP="00CD1D5E">
      <w:pPr>
        <w:pStyle w:val="Bijschrift"/>
        <w:spacing w:line="360" w:lineRule="auto"/>
        <w:rPr>
          <w:rFonts w:ascii="Times New Roman" w:hAnsi="Times New Roman"/>
          <w:b w:val="0"/>
          <w:lang w:val="en-GB"/>
        </w:rPr>
      </w:pPr>
    </w:p>
    <w:p w:rsidR="00CD1D5E" w:rsidRPr="001C3CB9" w:rsidRDefault="00CD1D5E" w:rsidP="00CD1D5E">
      <w:pPr>
        <w:pStyle w:val="Bijschrift"/>
        <w:spacing w:line="360" w:lineRule="auto"/>
        <w:rPr>
          <w:rFonts w:ascii="Times New Roman" w:hAnsi="Times New Roman"/>
          <w:b w:val="0"/>
          <w:lang w:val="en-GB"/>
        </w:rPr>
      </w:pPr>
      <w:r w:rsidRPr="001C3CB9">
        <w:rPr>
          <w:rFonts w:ascii="Times New Roman" w:hAnsi="Times New Roman"/>
          <w:b w:val="0"/>
          <w:lang w:val="en-GB"/>
        </w:rPr>
        <w:t>Figure S2 – Inclusion of RWD in CEAs over time.</w:t>
      </w:r>
    </w:p>
    <w:p w:rsidR="00CD1D5E" w:rsidRPr="001C3CB9" w:rsidRDefault="00CD1D5E" w:rsidP="00CD1D5E">
      <w:pPr>
        <w:pStyle w:val="Bijschrift"/>
        <w:spacing w:line="360" w:lineRule="auto"/>
        <w:rPr>
          <w:rFonts w:ascii="Times New Roman" w:hAnsi="Times New Roman"/>
          <w:lang w:val="en-GB"/>
        </w:rPr>
      </w:pPr>
      <w:r w:rsidRPr="001C3CB9">
        <w:rPr>
          <w:rFonts w:ascii="Times New Roman" w:hAnsi="Times New Roman"/>
          <w:noProof/>
          <w:lang w:val="en-US"/>
        </w:rPr>
        <w:t xml:space="preserve"> </w:t>
      </w:r>
      <w:r w:rsidRPr="001C3CB9">
        <w:rPr>
          <w:rFonts w:ascii="Times New Roman" w:hAnsi="Times New Roman"/>
          <w:noProof/>
        </w:rPr>
        <w:drawing>
          <wp:inline distT="0" distB="0" distL="0" distR="0" wp14:anchorId="1CFD7919" wp14:editId="431B65AF">
            <wp:extent cx="4895850" cy="2933700"/>
            <wp:effectExtent l="0" t="0" r="0" b="0"/>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D1D5E" w:rsidRPr="001C3CB9" w:rsidRDefault="00CD1D5E" w:rsidP="00CD1D5E">
      <w:pPr>
        <w:rPr>
          <w:rFonts w:ascii="Times New Roman" w:hAnsi="Times New Roman"/>
          <w:lang w:val="en-GB"/>
        </w:rPr>
      </w:pPr>
    </w:p>
    <w:p w:rsidR="00CD1D5E" w:rsidRPr="001C3CB9" w:rsidRDefault="00CD1D5E" w:rsidP="00CD1D5E">
      <w:pPr>
        <w:pStyle w:val="Bijschrift"/>
        <w:spacing w:line="360" w:lineRule="auto"/>
        <w:rPr>
          <w:rFonts w:ascii="Times New Roman" w:hAnsi="Times New Roman"/>
          <w:lang w:val="en-GB"/>
        </w:rPr>
      </w:pPr>
    </w:p>
    <w:p w:rsidR="00CD1D5E" w:rsidRPr="001C3CB9" w:rsidRDefault="00CD1D5E" w:rsidP="00CD1D5E">
      <w:pPr>
        <w:pStyle w:val="Bijschrift"/>
        <w:spacing w:line="360" w:lineRule="auto"/>
        <w:rPr>
          <w:rFonts w:ascii="Times New Roman" w:hAnsi="Times New Roman"/>
          <w:lang w:val="en-GB"/>
        </w:rPr>
        <w:sectPr w:rsidR="00CD1D5E" w:rsidRPr="001C3CB9" w:rsidSect="00BA18B9">
          <w:pgSz w:w="11900" w:h="16840"/>
          <w:pgMar w:top="1417" w:right="1417" w:bottom="1417" w:left="1417" w:header="708" w:footer="708" w:gutter="0"/>
          <w:cols w:space="708"/>
          <w:docGrid w:linePitch="360"/>
        </w:sectPr>
      </w:pPr>
    </w:p>
    <w:p w:rsidR="00CD1D5E" w:rsidRPr="001C3CB9" w:rsidRDefault="00CD1D5E" w:rsidP="00CD1D5E">
      <w:pPr>
        <w:pStyle w:val="Bijschrift"/>
        <w:spacing w:line="360" w:lineRule="auto"/>
        <w:rPr>
          <w:rFonts w:ascii="Times New Roman" w:hAnsi="Times New Roman"/>
          <w:lang w:val="en-GB"/>
        </w:rPr>
      </w:pPr>
      <w:r w:rsidRPr="001C3CB9">
        <w:rPr>
          <w:rFonts w:ascii="Times New Roman" w:hAnsi="Times New Roman"/>
          <w:lang w:val="en-GB"/>
        </w:rPr>
        <w:t>Table S1 – Studies used to provide RWD on effectiveness and safety of new drugs in REAs.</w:t>
      </w:r>
    </w:p>
    <w:p w:rsidR="00CD1D5E" w:rsidRPr="001C3CB9" w:rsidRDefault="00CD1D5E" w:rsidP="00CD1D5E">
      <w:pPr>
        <w:rPr>
          <w:rFonts w:ascii="Times New Roman" w:hAnsi="Times New Roman"/>
          <w:lang w:val="en-GB"/>
        </w:rPr>
      </w:pPr>
    </w:p>
    <w:tbl>
      <w:tblPr>
        <w:tblW w:w="5000" w:type="pct"/>
        <w:tblLayout w:type="fixed"/>
        <w:tblLook w:val="00A0" w:firstRow="1" w:lastRow="0" w:firstColumn="1" w:lastColumn="0" w:noHBand="0" w:noVBand="0"/>
      </w:tblPr>
      <w:tblGrid>
        <w:gridCol w:w="1033"/>
        <w:gridCol w:w="1552"/>
        <w:gridCol w:w="2479"/>
        <w:gridCol w:w="1950"/>
        <w:gridCol w:w="1418"/>
        <w:gridCol w:w="2743"/>
        <w:gridCol w:w="1334"/>
        <w:gridCol w:w="1499"/>
      </w:tblGrid>
      <w:tr w:rsidR="00CD1D5E" w:rsidRPr="001C3CB9" w:rsidTr="007D3503">
        <w:trPr>
          <w:trHeight w:val="255"/>
        </w:trPr>
        <w:tc>
          <w:tcPr>
            <w:tcW w:w="369" w:type="pct"/>
            <w:tcBorders>
              <w:top w:val="single" w:sz="4" w:space="0" w:color="auto"/>
              <w:left w:val="single" w:sz="4" w:space="0" w:color="auto"/>
              <w:bottom w:val="nil"/>
              <w:right w:val="single" w:sz="4" w:space="0" w:color="auto"/>
            </w:tcBorders>
            <w:noWrap/>
          </w:tcPr>
          <w:p w:rsidR="00CD1D5E" w:rsidRPr="001C3CB9" w:rsidRDefault="00CD1D5E" w:rsidP="007D3503">
            <w:pPr>
              <w:rPr>
                <w:rFonts w:ascii="Times New Roman" w:hAnsi="Times New Roman"/>
                <w:b/>
                <w:sz w:val="20"/>
                <w:lang w:val="en-US"/>
              </w:rPr>
            </w:pPr>
            <w:r w:rsidRPr="001C3CB9">
              <w:rPr>
                <w:rFonts w:ascii="Times New Roman" w:hAnsi="Times New Roman"/>
                <w:b/>
                <w:sz w:val="20"/>
                <w:lang w:val="en-US"/>
              </w:rPr>
              <w:t> </w:t>
            </w:r>
          </w:p>
        </w:tc>
        <w:tc>
          <w:tcPr>
            <w:tcW w:w="4096" w:type="pct"/>
            <w:gridSpan w:val="6"/>
            <w:tcBorders>
              <w:top w:val="single" w:sz="4" w:space="0" w:color="auto"/>
              <w:left w:val="nil"/>
              <w:bottom w:val="single" w:sz="4" w:space="0" w:color="auto"/>
              <w:right w:val="single" w:sz="4" w:space="0" w:color="000000"/>
            </w:tcBorders>
            <w:noWrap/>
          </w:tcPr>
          <w:p w:rsidR="00CD1D5E" w:rsidRPr="001C3CB9" w:rsidRDefault="00CD1D5E" w:rsidP="007D3503">
            <w:pPr>
              <w:rPr>
                <w:rFonts w:ascii="Times New Roman" w:hAnsi="Times New Roman"/>
                <w:b/>
                <w:sz w:val="20"/>
                <w:lang w:val="en-US"/>
              </w:rPr>
            </w:pPr>
            <w:r w:rsidRPr="001C3CB9">
              <w:rPr>
                <w:rFonts w:ascii="Times New Roman" w:hAnsi="Times New Roman"/>
                <w:b/>
                <w:sz w:val="20"/>
                <w:lang w:val="en-US"/>
              </w:rPr>
              <w:t>Summary of RWD study characteristics</w:t>
            </w:r>
          </w:p>
        </w:tc>
        <w:tc>
          <w:tcPr>
            <w:tcW w:w="535" w:type="pct"/>
            <w:vMerge w:val="restart"/>
            <w:tcBorders>
              <w:top w:val="single" w:sz="4" w:space="0" w:color="auto"/>
              <w:left w:val="single" w:sz="4" w:space="0" w:color="auto"/>
              <w:bottom w:val="single" w:sz="4" w:space="0" w:color="000000"/>
              <w:right w:val="single" w:sz="4" w:space="0" w:color="auto"/>
            </w:tcBorders>
          </w:tcPr>
          <w:p w:rsidR="00CD1D5E" w:rsidRPr="001C3CB9" w:rsidRDefault="00CD1D5E" w:rsidP="007D3503">
            <w:pPr>
              <w:rPr>
                <w:rFonts w:ascii="Times New Roman" w:hAnsi="Times New Roman"/>
                <w:b/>
                <w:sz w:val="20"/>
              </w:rPr>
            </w:pPr>
            <w:r w:rsidRPr="001C3CB9">
              <w:rPr>
                <w:rFonts w:ascii="Times New Roman" w:hAnsi="Times New Roman"/>
                <w:b/>
                <w:sz w:val="20"/>
              </w:rPr>
              <w:t>Reference</w:t>
            </w:r>
          </w:p>
        </w:tc>
      </w:tr>
      <w:tr w:rsidR="00CD1D5E" w:rsidRPr="001C3CB9" w:rsidTr="007D3503">
        <w:trPr>
          <w:trHeight w:val="255"/>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b/>
                <w:sz w:val="20"/>
              </w:rPr>
            </w:pPr>
            <w:proofErr w:type="spellStart"/>
            <w:r w:rsidRPr="001C3CB9">
              <w:rPr>
                <w:rFonts w:ascii="Times New Roman" w:hAnsi="Times New Roman"/>
                <w:b/>
                <w:sz w:val="20"/>
              </w:rPr>
              <w:t>Study</w:t>
            </w:r>
            <w:proofErr w:type="spellEnd"/>
            <w:r w:rsidRPr="001C3CB9">
              <w:rPr>
                <w:rFonts w:ascii="Times New Roman" w:hAnsi="Times New Roman"/>
                <w:b/>
                <w:sz w:val="20"/>
              </w:rPr>
              <w:t xml:space="preserve"> Name</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b/>
                <w:sz w:val="20"/>
              </w:rPr>
            </w:pPr>
            <w:proofErr w:type="spellStart"/>
            <w:r w:rsidRPr="001C3CB9">
              <w:rPr>
                <w:rFonts w:ascii="Times New Roman" w:hAnsi="Times New Roman"/>
                <w:b/>
                <w:sz w:val="20"/>
              </w:rPr>
              <w:t>Aim</w:t>
            </w:r>
            <w:proofErr w:type="spellEnd"/>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b/>
                <w:sz w:val="20"/>
              </w:rPr>
            </w:pPr>
            <w:proofErr w:type="spellStart"/>
            <w:r w:rsidRPr="001C3CB9">
              <w:rPr>
                <w:rFonts w:ascii="Times New Roman" w:hAnsi="Times New Roman"/>
                <w:b/>
                <w:sz w:val="20"/>
              </w:rPr>
              <w:t>Patient</w:t>
            </w:r>
            <w:proofErr w:type="spellEnd"/>
            <w:r w:rsidRPr="001C3CB9">
              <w:rPr>
                <w:rFonts w:ascii="Times New Roman" w:hAnsi="Times New Roman"/>
                <w:b/>
                <w:sz w:val="20"/>
              </w:rPr>
              <w:t xml:space="preserve"> </w:t>
            </w:r>
            <w:proofErr w:type="spellStart"/>
            <w:r w:rsidRPr="001C3CB9">
              <w:rPr>
                <w:rFonts w:ascii="Times New Roman" w:hAnsi="Times New Roman"/>
                <w:b/>
                <w:sz w:val="20"/>
              </w:rPr>
              <w:t>Population</w:t>
            </w:r>
            <w:proofErr w:type="spellEnd"/>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b/>
                <w:sz w:val="20"/>
              </w:rPr>
            </w:pPr>
            <w:proofErr w:type="spellStart"/>
            <w:r w:rsidRPr="001C3CB9">
              <w:rPr>
                <w:rFonts w:ascii="Times New Roman" w:hAnsi="Times New Roman"/>
                <w:b/>
                <w:sz w:val="20"/>
              </w:rPr>
              <w:t>Intervention</w:t>
            </w:r>
            <w:proofErr w:type="spellEnd"/>
            <w:r w:rsidRPr="001C3CB9">
              <w:rPr>
                <w:rFonts w:ascii="Times New Roman" w:hAnsi="Times New Roman"/>
                <w:b/>
                <w:sz w:val="20"/>
              </w:rPr>
              <w:t>(s)</w:t>
            </w:r>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b/>
                <w:sz w:val="20"/>
              </w:rPr>
            </w:pPr>
            <w:r w:rsidRPr="001C3CB9">
              <w:rPr>
                <w:rFonts w:ascii="Times New Roman" w:hAnsi="Times New Roman"/>
                <w:b/>
                <w:sz w:val="20"/>
              </w:rPr>
              <w:t>Comparator(s)</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b/>
                <w:sz w:val="20"/>
              </w:rPr>
            </w:pPr>
            <w:proofErr w:type="spellStart"/>
            <w:r w:rsidRPr="001C3CB9">
              <w:rPr>
                <w:rFonts w:ascii="Times New Roman" w:hAnsi="Times New Roman"/>
                <w:b/>
                <w:sz w:val="20"/>
              </w:rPr>
              <w:t>Outcome</w:t>
            </w:r>
            <w:proofErr w:type="spellEnd"/>
            <w:r w:rsidRPr="001C3CB9">
              <w:rPr>
                <w:rFonts w:ascii="Times New Roman" w:hAnsi="Times New Roman"/>
                <w:b/>
                <w:sz w:val="20"/>
              </w:rPr>
              <w:t xml:space="preserve">(s) </w:t>
            </w:r>
            <w:proofErr w:type="spellStart"/>
            <w:r w:rsidRPr="001C3CB9">
              <w:rPr>
                <w:rFonts w:ascii="Times New Roman" w:hAnsi="Times New Roman"/>
                <w:b/>
                <w:sz w:val="20"/>
              </w:rPr>
              <w:t>measured</w:t>
            </w:r>
            <w:proofErr w:type="spellEnd"/>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b/>
                <w:sz w:val="20"/>
              </w:rPr>
            </w:pPr>
            <w:proofErr w:type="spellStart"/>
            <w:r w:rsidRPr="001C3CB9">
              <w:rPr>
                <w:rFonts w:ascii="Times New Roman" w:hAnsi="Times New Roman"/>
                <w:b/>
                <w:sz w:val="20"/>
              </w:rPr>
              <w:t>Study</w:t>
            </w:r>
            <w:proofErr w:type="spellEnd"/>
            <w:r w:rsidRPr="001C3CB9">
              <w:rPr>
                <w:rFonts w:ascii="Times New Roman" w:hAnsi="Times New Roman"/>
                <w:b/>
                <w:sz w:val="20"/>
              </w:rPr>
              <w:t xml:space="preserve"> Design</w:t>
            </w:r>
          </w:p>
        </w:tc>
        <w:tc>
          <w:tcPr>
            <w:tcW w:w="535" w:type="pct"/>
            <w:vMerge/>
            <w:tcBorders>
              <w:top w:val="single" w:sz="4" w:space="0" w:color="auto"/>
              <w:left w:val="single" w:sz="4" w:space="0" w:color="auto"/>
              <w:bottom w:val="single" w:sz="4" w:space="0" w:color="000000"/>
              <w:right w:val="single" w:sz="4" w:space="0" w:color="auto"/>
            </w:tcBorders>
            <w:vAlign w:val="center"/>
          </w:tcPr>
          <w:p w:rsidR="00CD1D5E" w:rsidRPr="001C3CB9" w:rsidRDefault="00CD1D5E" w:rsidP="007D3503">
            <w:pPr>
              <w:rPr>
                <w:rFonts w:ascii="Times New Roman" w:hAnsi="Times New Roman"/>
                <w:b/>
                <w:sz w:val="20"/>
              </w:rPr>
            </w:pPr>
          </w:p>
        </w:tc>
      </w:tr>
      <w:tr w:rsidR="00CD1D5E" w:rsidRPr="00D4440D" w:rsidTr="007D3503">
        <w:trPr>
          <w:trHeight w:val="930"/>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CA184-089</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Early Access </w:t>
            </w:r>
            <w:proofErr w:type="spellStart"/>
            <w:r w:rsidRPr="001C3CB9">
              <w:rPr>
                <w:rFonts w:ascii="Times New Roman" w:hAnsi="Times New Roman"/>
                <w:sz w:val="20"/>
                <w:lang w:val="en-US"/>
              </w:rPr>
              <w:t>Programme</w:t>
            </w:r>
            <w:proofErr w:type="spellEnd"/>
            <w:r w:rsidRPr="001C3CB9">
              <w:rPr>
                <w:rFonts w:ascii="Times New Roman" w:hAnsi="Times New Roman"/>
                <w:sz w:val="20"/>
                <w:lang w:val="en-US"/>
              </w:rPr>
              <w:t xml:space="preserve"> (Italian subset) to find optimal dosing</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Italian subset of European patient population from routine care setting.</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(1)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10mg/kg every 3 weeks for 4 doses (induction), followed by additional doses of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every 12 weeks (maintenance)</w:t>
            </w:r>
            <w:r w:rsidRPr="001C3CB9">
              <w:rPr>
                <w:rFonts w:ascii="Times New Roman" w:hAnsi="Times New Roman"/>
                <w:sz w:val="20"/>
                <w:lang w:val="en-US"/>
              </w:rPr>
              <w:br/>
              <w:t xml:space="preserve">(2)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3mg/kg every 3 weeks for 4 doses (induction), followed by re-induction if necessary.</w:t>
            </w:r>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 xml:space="preserve">2 different doses of </w:t>
            </w:r>
            <w:proofErr w:type="spellStart"/>
            <w:r w:rsidRPr="001C3CB9">
              <w:rPr>
                <w:rFonts w:ascii="Times New Roman" w:hAnsi="Times New Roman"/>
                <w:sz w:val="20"/>
              </w:rPr>
              <w:t>ipilimumab</w:t>
            </w:r>
            <w:proofErr w:type="spellEnd"/>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Overall survival</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Prospective observational cohort; non-</w:t>
            </w:r>
            <w:proofErr w:type="spellStart"/>
            <w:r w:rsidRPr="001C3CB9">
              <w:rPr>
                <w:rFonts w:ascii="Times New Roman" w:hAnsi="Times New Roman"/>
                <w:sz w:val="20"/>
                <w:lang w:val="en-US"/>
              </w:rPr>
              <w:t>randomised</w:t>
            </w:r>
            <w:proofErr w:type="spellEnd"/>
            <w:r w:rsidRPr="001C3CB9">
              <w:rPr>
                <w:rFonts w:ascii="Times New Roman" w:hAnsi="Times New Roman"/>
                <w:sz w:val="20"/>
                <w:lang w:val="en-US"/>
              </w:rPr>
              <w:t xml:space="preserve"> study.</w:t>
            </w:r>
          </w:p>
        </w:tc>
        <w:tc>
          <w:tcPr>
            <w:tcW w:w="535" w:type="pct"/>
            <w:tcBorders>
              <w:top w:val="nil"/>
              <w:left w:val="nil"/>
              <w:bottom w:val="single" w:sz="4" w:space="0" w:color="auto"/>
              <w:right w:val="single" w:sz="4" w:space="0" w:color="auto"/>
            </w:tcBorders>
          </w:tcPr>
          <w:p w:rsidR="00CD1D5E" w:rsidRPr="001C3CB9" w:rsidRDefault="00D4440D" w:rsidP="007D3503">
            <w:pPr>
              <w:rPr>
                <w:rFonts w:ascii="Times New Roman" w:hAnsi="Times New Roman"/>
                <w:color w:val="0000FF"/>
                <w:sz w:val="20"/>
                <w:u w:val="single"/>
                <w:lang w:val="en-US"/>
              </w:rPr>
            </w:pPr>
            <w:hyperlink r:id="rId9" w:history="1">
              <w:r w:rsidR="00CD1D5E" w:rsidRPr="001C3CB9">
                <w:rPr>
                  <w:rFonts w:ascii="Times New Roman" w:hAnsi="Times New Roman"/>
                  <w:color w:val="0000FF"/>
                  <w:sz w:val="20"/>
                  <w:u w:val="single"/>
                  <w:lang w:val="en-US"/>
                </w:rPr>
                <w:t>https://www.nice.org.uk/guidance/ta268/documents/melanoma-stage-iii-or-iv-ipilimumab-updated-analysis-with-revised-patient-access-scheme-from-bristol-myerssquibb2</w:t>
              </w:r>
            </w:hyperlink>
          </w:p>
        </w:tc>
      </w:tr>
      <w:tr w:rsidR="00CD1D5E" w:rsidRPr="00D4440D" w:rsidTr="007D3503">
        <w:trPr>
          <w:trHeight w:val="840"/>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CA184-332</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The primary objectives were to describe </w:t>
            </w:r>
            <w:r w:rsidRPr="001C3CB9">
              <w:rPr>
                <w:rFonts w:ascii="Times New Roman" w:hAnsi="Times New Roman"/>
                <w:sz w:val="20"/>
                <w:lang w:val="en-US"/>
              </w:rPr>
              <w:br/>
              <w:t>1) patient demographic and disease characteristics</w:t>
            </w:r>
            <w:r w:rsidRPr="001C3CB9">
              <w:rPr>
                <w:rFonts w:ascii="Times New Roman" w:hAnsi="Times New Roman"/>
                <w:sz w:val="20"/>
                <w:lang w:val="en-US"/>
              </w:rPr>
              <w:br/>
              <w:t>2) patterns of care</w:t>
            </w:r>
            <w:r w:rsidRPr="001C3CB9">
              <w:rPr>
                <w:rFonts w:ascii="Times New Roman" w:hAnsi="Times New Roman"/>
                <w:sz w:val="20"/>
                <w:lang w:val="en-US"/>
              </w:rPr>
              <w:br/>
              <w:t>3) survival outcomes</w:t>
            </w:r>
            <w:r w:rsidRPr="001C3CB9">
              <w:rPr>
                <w:rFonts w:ascii="Times New Roman" w:hAnsi="Times New Roman"/>
                <w:sz w:val="20"/>
                <w:lang w:val="en-US"/>
              </w:rPr>
              <w:br/>
              <w:t xml:space="preserve">4) AEs of patients with treatment-naïve AM who were treated with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3 mg/kg monotherapy in a community practice setting</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Eligible patients were required to have AM, be ≥18 years old, have started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monotherapy at 3 mg/kg in  the  first-line setting during April 1, 2011 to September 30, 2012 and received care at an MSH/USON Comprehensive Strategic Alliance Network site that used full </w:t>
            </w:r>
            <w:proofErr w:type="spellStart"/>
            <w:r w:rsidRPr="001C3CB9">
              <w:rPr>
                <w:rFonts w:ascii="Times New Roman" w:hAnsi="Times New Roman"/>
                <w:sz w:val="20"/>
                <w:lang w:val="en-US"/>
              </w:rPr>
              <w:t>iKM</w:t>
            </w:r>
            <w:proofErr w:type="spellEnd"/>
            <w:r w:rsidRPr="001C3CB9">
              <w:rPr>
                <w:rFonts w:ascii="Times New Roman" w:hAnsi="Times New Roman"/>
                <w:sz w:val="20"/>
                <w:lang w:val="en-US"/>
              </w:rPr>
              <w:t xml:space="preserve"> EHR capabilities over the entire study period. Ex-</w:t>
            </w:r>
            <w:proofErr w:type="spellStart"/>
            <w:r w:rsidRPr="001C3CB9">
              <w:rPr>
                <w:rFonts w:ascii="Times New Roman" w:hAnsi="Times New Roman"/>
                <w:sz w:val="20"/>
                <w:lang w:val="en-US"/>
              </w:rPr>
              <w:t>clusion</w:t>
            </w:r>
            <w:proofErr w:type="spellEnd"/>
            <w:r w:rsidRPr="001C3CB9">
              <w:rPr>
                <w:rFonts w:ascii="Times New Roman" w:hAnsi="Times New Roman"/>
                <w:sz w:val="20"/>
                <w:lang w:val="en-US"/>
              </w:rPr>
              <w:t xml:space="preserve"> criteria included prior systemic treatment for AM, current or pending enrollment in a clinical trial, and treatment for other cancers. </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ipilimumab</w:t>
            </w:r>
            <w:proofErr w:type="spellEnd"/>
            <w:r w:rsidRPr="001C3CB9">
              <w:rPr>
                <w:rFonts w:ascii="Times New Roman" w:hAnsi="Times New Roman"/>
                <w:sz w:val="20"/>
              </w:rPr>
              <w:t xml:space="preserve"> </w:t>
            </w:r>
            <w:proofErr w:type="spellStart"/>
            <w:r w:rsidRPr="001C3CB9">
              <w:rPr>
                <w:rFonts w:ascii="Times New Roman" w:hAnsi="Times New Roman"/>
                <w:sz w:val="20"/>
              </w:rPr>
              <w:t>monotherapy</w:t>
            </w:r>
            <w:proofErr w:type="spellEnd"/>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1) Variables to describe patient demographic and disease characteristics included gender, age, race, primary site at diagnosis, time since initial melanoma diagnosis, disease stage at start of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treatment, location of metastases, ECOG performance status (PS), presence of brain metastases, serum lactate dehydrogenase (LDH) level, and BRAF mutation status. </w:t>
            </w:r>
            <w:r w:rsidRPr="001C3CB9">
              <w:rPr>
                <w:rFonts w:ascii="Times New Roman" w:hAnsi="Times New Roman"/>
                <w:sz w:val="20"/>
                <w:lang w:val="en-US"/>
              </w:rPr>
              <w:br/>
              <w:t xml:space="preserve">2) Variables to evaluate patterns of care included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dosing, treatment delays and discontinuations, reasons for treatment termination, and concomitant and subsequent supportive and anticancer therapy. </w:t>
            </w:r>
            <w:r w:rsidRPr="001C3CB9">
              <w:rPr>
                <w:rFonts w:ascii="Times New Roman" w:hAnsi="Times New Roman"/>
                <w:sz w:val="20"/>
                <w:lang w:val="en-US"/>
              </w:rPr>
              <w:br/>
              <w:t xml:space="preserve">3) OS was the primary measure of treatment effectiveness and was defined as the time from start of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until death from any cause. Safety was assessed by reported AEs. </w:t>
            </w:r>
            <w:r w:rsidRPr="001C3CB9">
              <w:rPr>
                <w:rFonts w:ascii="Times New Roman" w:hAnsi="Times New Roman"/>
                <w:sz w:val="20"/>
                <w:lang w:val="en-US"/>
              </w:rPr>
              <w:br/>
              <w:t xml:space="preserve">4) Because AE grade/intensity information, causality (e.g. treatment-related or not), and date of occurrence were not available in the </w:t>
            </w:r>
            <w:proofErr w:type="spellStart"/>
            <w:r w:rsidRPr="001C3CB9">
              <w:rPr>
                <w:rFonts w:ascii="Times New Roman" w:hAnsi="Times New Roman"/>
                <w:sz w:val="20"/>
                <w:lang w:val="en-US"/>
              </w:rPr>
              <w:t>iKM</w:t>
            </w:r>
            <w:proofErr w:type="spellEnd"/>
            <w:r w:rsidRPr="001C3CB9">
              <w:rPr>
                <w:rFonts w:ascii="Times New Roman" w:hAnsi="Times New Roman"/>
                <w:sz w:val="20"/>
                <w:lang w:val="en-US"/>
              </w:rPr>
              <w:t xml:space="preserve">  source data, AE data are reported irrespective of grade or causality. However, any AE reported that occurred  during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treatment was captured. Any AEs documented as serious AEs (SAEs) in patients’ charts or leading to a hospital/emergency room visit or death were defined as SAEs.</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Retrospective electronic health record (EHR) observational cohort study of patients treated with first-line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monotherapy in the clinical practices of the McKesson Specialty Health/US Oncology Network  (MSH/USON). </w:t>
            </w:r>
          </w:p>
        </w:tc>
        <w:tc>
          <w:tcPr>
            <w:tcW w:w="535" w:type="pct"/>
            <w:tcBorders>
              <w:top w:val="nil"/>
              <w:left w:val="nil"/>
              <w:bottom w:val="single" w:sz="4" w:space="0" w:color="auto"/>
              <w:right w:val="single" w:sz="4" w:space="0" w:color="auto"/>
            </w:tcBorders>
          </w:tcPr>
          <w:p w:rsidR="00CD1D5E" w:rsidRPr="001C3CB9" w:rsidRDefault="00D4440D" w:rsidP="007D3503">
            <w:pPr>
              <w:rPr>
                <w:rFonts w:ascii="Times New Roman" w:hAnsi="Times New Roman"/>
                <w:color w:val="0000FF"/>
                <w:sz w:val="20"/>
                <w:u w:val="single"/>
                <w:lang w:val="en-US"/>
              </w:rPr>
            </w:pPr>
            <w:hyperlink r:id="rId10" w:history="1">
              <w:r w:rsidR="00CD1D5E" w:rsidRPr="001C3CB9">
                <w:rPr>
                  <w:rFonts w:ascii="Times New Roman" w:hAnsi="Times New Roman"/>
                  <w:color w:val="0000FF"/>
                  <w:sz w:val="20"/>
                  <w:u w:val="single"/>
                  <w:lang w:val="en-US"/>
                </w:rPr>
                <w:t>http://file.scirp.org/pdf/JCT_2014102311333330.pdf</w:t>
              </w:r>
            </w:hyperlink>
          </w:p>
        </w:tc>
      </w:tr>
      <w:tr w:rsidR="00CD1D5E" w:rsidRPr="001C3CB9" w:rsidTr="007D3503">
        <w:trPr>
          <w:trHeight w:val="795"/>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CA184-338</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The primary objectives were to describe </w:t>
            </w:r>
            <w:r w:rsidRPr="001C3CB9">
              <w:rPr>
                <w:rFonts w:ascii="Times New Roman" w:hAnsi="Times New Roman"/>
                <w:sz w:val="20"/>
                <w:lang w:val="en-US"/>
              </w:rPr>
              <w:br/>
              <w:t>1) patient demographic and disease characteristics</w:t>
            </w:r>
            <w:r w:rsidRPr="001C3CB9">
              <w:rPr>
                <w:rFonts w:ascii="Times New Roman" w:hAnsi="Times New Roman"/>
                <w:sz w:val="20"/>
                <w:lang w:val="en-US"/>
              </w:rPr>
              <w:br/>
              <w:t>2) patterns of care</w:t>
            </w:r>
            <w:r w:rsidRPr="001C3CB9">
              <w:rPr>
                <w:rFonts w:ascii="Times New Roman" w:hAnsi="Times New Roman"/>
                <w:sz w:val="20"/>
                <w:lang w:val="en-US"/>
              </w:rPr>
              <w:br/>
              <w:t>3) survival outcomes</w:t>
            </w:r>
            <w:r w:rsidRPr="001C3CB9">
              <w:rPr>
                <w:rFonts w:ascii="Times New Roman" w:hAnsi="Times New Roman"/>
                <w:sz w:val="20"/>
                <w:lang w:val="en-US"/>
              </w:rPr>
              <w:br/>
              <w:t xml:space="preserve">4) AEs of patients with treatment-naïve AM who were treated with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3 mg/kg monotherapy in a community practice setting</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Eligible patients were required to have AM, be ≥18 years old, have started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monotherapy at 3 mg/kg in  the  first-line setting during April 1, 2011 to September 30, 2012 and received care at an MSH/USON Comprehensive Strategic Alliance Network site that used full </w:t>
            </w:r>
            <w:proofErr w:type="spellStart"/>
            <w:r w:rsidRPr="001C3CB9">
              <w:rPr>
                <w:rFonts w:ascii="Times New Roman" w:hAnsi="Times New Roman"/>
                <w:sz w:val="20"/>
                <w:lang w:val="en-US"/>
              </w:rPr>
              <w:t>iKM</w:t>
            </w:r>
            <w:proofErr w:type="spellEnd"/>
            <w:r w:rsidRPr="001C3CB9">
              <w:rPr>
                <w:rFonts w:ascii="Times New Roman" w:hAnsi="Times New Roman"/>
                <w:sz w:val="20"/>
                <w:lang w:val="en-US"/>
              </w:rPr>
              <w:t xml:space="preserve"> EHR capabilities over the entire study period. Ex-</w:t>
            </w:r>
            <w:proofErr w:type="spellStart"/>
            <w:r w:rsidRPr="001C3CB9">
              <w:rPr>
                <w:rFonts w:ascii="Times New Roman" w:hAnsi="Times New Roman"/>
                <w:sz w:val="20"/>
                <w:lang w:val="en-US"/>
              </w:rPr>
              <w:t>clusion</w:t>
            </w:r>
            <w:proofErr w:type="spellEnd"/>
            <w:r w:rsidRPr="001C3CB9">
              <w:rPr>
                <w:rFonts w:ascii="Times New Roman" w:hAnsi="Times New Roman"/>
                <w:sz w:val="20"/>
                <w:lang w:val="en-US"/>
              </w:rPr>
              <w:t xml:space="preserve"> criteria included prior systemic treatment for AM, current or pending enrollment in a clinical trial, and treatment for other cancers. </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ipilimumab</w:t>
            </w:r>
            <w:proofErr w:type="spellEnd"/>
            <w:r w:rsidRPr="001C3CB9">
              <w:rPr>
                <w:rFonts w:ascii="Times New Roman" w:hAnsi="Times New Roman"/>
                <w:sz w:val="20"/>
              </w:rPr>
              <w:t xml:space="preserve"> </w:t>
            </w:r>
            <w:proofErr w:type="spellStart"/>
            <w:r w:rsidRPr="001C3CB9">
              <w:rPr>
                <w:rFonts w:ascii="Times New Roman" w:hAnsi="Times New Roman"/>
                <w:sz w:val="20"/>
              </w:rPr>
              <w:t>monotherapy</w:t>
            </w:r>
            <w:proofErr w:type="spellEnd"/>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1) Variables to describe patient demographic and disease characteristics included gender, age, race, primary site at diagnosis, time since initial melanoma diagnosis, disease stage at start of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treatment, location of metastases, ECOG performance status (PS), presence of brain metastases, serum lactate dehydrogenase (LDH) level, and BRAF mutation status. </w:t>
            </w:r>
            <w:r w:rsidRPr="001C3CB9">
              <w:rPr>
                <w:rFonts w:ascii="Times New Roman" w:hAnsi="Times New Roman"/>
                <w:sz w:val="20"/>
                <w:lang w:val="en-US"/>
              </w:rPr>
              <w:br/>
              <w:t xml:space="preserve">2) Variables to evaluate patterns of care included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dosing, treatment delays and discontinuations, reasons for treatment termination, and concomitant and subsequent supportive and anticancer therapy. </w:t>
            </w:r>
            <w:r w:rsidRPr="001C3CB9">
              <w:rPr>
                <w:rFonts w:ascii="Times New Roman" w:hAnsi="Times New Roman"/>
                <w:sz w:val="20"/>
                <w:lang w:val="en-US"/>
              </w:rPr>
              <w:br/>
              <w:t xml:space="preserve">3) OS was the primary measure of treatment effectiveness and was defined as the time from start of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until death from any cause. Safety was assessed by reported AEs. </w:t>
            </w:r>
            <w:r w:rsidRPr="001C3CB9">
              <w:rPr>
                <w:rFonts w:ascii="Times New Roman" w:hAnsi="Times New Roman"/>
                <w:sz w:val="20"/>
                <w:lang w:val="en-US"/>
              </w:rPr>
              <w:br/>
              <w:t xml:space="preserve">4) Because AE grade/intensity information, causality (e.g. treatment-related or not), and date of occurrence were not available in the </w:t>
            </w:r>
            <w:proofErr w:type="spellStart"/>
            <w:r w:rsidRPr="001C3CB9">
              <w:rPr>
                <w:rFonts w:ascii="Times New Roman" w:hAnsi="Times New Roman"/>
                <w:sz w:val="20"/>
                <w:lang w:val="en-US"/>
              </w:rPr>
              <w:t>iKM</w:t>
            </w:r>
            <w:proofErr w:type="spellEnd"/>
            <w:r w:rsidRPr="001C3CB9">
              <w:rPr>
                <w:rFonts w:ascii="Times New Roman" w:hAnsi="Times New Roman"/>
                <w:sz w:val="20"/>
                <w:lang w:val="en-US"/>
              </w:rPr>
              <w:t xml:space="preserve">  source data, AE data are reported irrespective of grade or causality. However, any AE reported that occurred  during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treatment was captured. Any AEs documented as serious AEs (SAEs) in patients’ charts or leading to a hospital/emergency room visit or death were defined as SAEs.</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Retrospective electronic health record (EHR) observational cohort study of patients treated with first-line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monotherapy in the clinical practices of specialized centers (Cytokine </w:t>
            </w:r>
            <w:r w:rsidRPr="001C3CB9">
              <w:rPr>
                <w:rFonts w:ascii="Times New Roman" w:hAnsi="Times New Roman"/>
                <w:sz w:val="20"/>
                <w:lang w:val="en-US"/>
              </w:rPr>
              <w:br/>
              <w:t xml:space="preserve">Working  Group  </w:t>
            </w:r>
            <w:r w:rsidRPr="001C3CB9">
              <w:rPr>
                <w:rFonts w:ascii="Times New Roman" w:hAnsi="Times New Roman"/>
                <w:sz w:val="20"/>
                <w:lang w:val="en-US"/>
              </w:rPr>
              <w:br/>
              <w:t>[CWG]  or  CWG</w:t>
            </w:r>
            <w:r w:rsidRPr="001C3CB9">
              <w:rPr>
                <w:rFonts w:ascii="Times New Roman" w:hAnsi="Times New Roman"/>
                <w:sz w:val="20"/>
                <w:lang w:val="en-US"/>
              </w:rPr>
              <w:br/>
              <w:t xml:space="preserve">-affiliated) </w:t>
            </w:r>
          </w:p>
        </w:tc>
        <w:tc>
          <w:tcPr>
            <w:tcW w:w="53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lang w:val="en-US"/>
              </w:rPr>
              <w:t>Margolin</w:t>
            </w:r>
            <w:proofErr w:type="spellEnd"/>
            <w:r w:rsidRPr="001C3CB9">
              <w:rPr>
                <w:rFonts w:ascii="Times New Roman" w:hAnsi="Times New Roman"/>
                <w:sz w:val="20"/>
                <w:lang w:val="en-US"/>
              </w:rPr>
              <w:t xml:space="preserve">, K., Wong, S. L., Penrod, J. R., Song, J., Chang, I. F., Johnson, D. B., ... &amp; </w:t>
            </w:r>
            <w:proofErr w:type="spellStart"/>
            <w:r w:rsidRPr="001C3CB9">
              <w:rPr>
                <w:rFonts w:ascii="Times New Roman" w:hAnsi="Times New Roman"/>
                <w:sz w:val="20"/>
                <w:lang w:val="en-US"/>
              </w:rPr>
              <w:t>Mcdermott</w:t>
            </w:r>
            <w:proofErr w:type="spellEnd"/>
            <w:r w:rsidRPr="001C3CB9">
              <w:rPr>
                <w:rFonts w:ascii="Times New Roman" w:hAnsi="Times New Roman"/>
                <w:sz w:val="20"/>
                <w:lang w:val="en-US"/>
              </w:rPr>
              <w:t xml:space="preserve">, D. (2013). Effectiveness and safety of first-line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for advanced melanoma-A Us multisite retrospective study. </w:t>
            </w:r>
            <w:r w:rsidRPr="001C3CB9">
              <w:rPr>
                <w:rFonts w:ascii="Times New Roman" w:hAnsi="Times New Roman"/>
                <w:sz w:val="20"/>
              </w:rPr>
              <w:t xml:space="preserve">Pigment </w:t>
            </w:r>
            <w:proofErr w:type="spellStart"/>
            <w:r w:rsidRPr="001C3CB9">
              <w:rPr>
                <w:rFonts w:ascii="Times New Roman" w:hAnsi="Times New Roman"/>
                <w:sz w:val="20"/>
              </w:rPr>
              <w:t>Cell</w:t>
            </w:r>
            <w:proofErr w:type="spellEnd"/>
            <w:r w:rsidRPr="001C3CB9">
              <w:rPr>
                <w:rFonts w:ascii="Times New Roman" w:hAnsi="Times New Roman"/>
                <w:sz w:val="20"/>
              </w:rPr>
              <w:t xml:space="preserve"> &amp; </w:t>
            </w:r>
            <w:proofErr w:type="spellStart"/>
            <w:r w:rsidRPr="001C3CB9">
              <w:rPr>
                <w:rFonts w:ascii="Times New Roman" w:hAnsi="Times New Roman"/>
                <w:sz w:val="20"/>
              </w:rPr>
              <w:t>Melanoma</w:t>
            </w:r>
            <w:proofErr w:type="spellEnd"/>
            <w:r w:rsidRPr="001C3CB9">
              <w:rPr>
                <w:rFonts w:ascii="Times New Roman" w:hAnsi="Times New Roman"/>
                <w:sz w:val="20"/>
              </w:rPr>
              <w:t xml:space="preserve"> Research, 26(6), 986-987.</w:t>
            </w:r>
          </w:p>
        </w:tc>
      </w:tr>
      <w:tr w:rsidR="00CD1D5E" w:rsidRPr="00D4440D" w:rsidTr="007D3503">
        <w:trPr>
          <w:trHeight w:val="870"/>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Periodic Safety Update Report (PSUR data)</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Periodic update of the safety of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use in </w:t>
            </w:r>
            <w:proofErr w:type="spellStart"/>
            <w:r w:rsidRPr="001C3CB9">
              <w:rPr>
                <w:rFonts w:ascii="Times New Roman" w:hAnsi="Times New Roman"/>
                <w:sz w:val="20"/>
                <w:lang w:val="en-US"/>
              </w:rPr>
              <w:t>clincal</w:t>
            </w:r>
            <w:proofErr w:type="spellEnd"/>
            <w:r w:rsidRPr="001C3CB9">
              <w:rPr>
                <w:rFonts w:ascii="Times New Roman" w:hAnsi="Times New Roman"/>
                <w:sz w:val="20"/>
                <w:lang w:val="en-US"/>
              </w:rPr>
              <w:t xml:space="preserve"> practice</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As present in clinical practice across Europe</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ipilimumab</w:t>
            </w:r>
            <w:proofErr w:type="spellEnd"/>
            <w:r w:rsidRPr="001C3CB9">
              <w:rPr>
                <w:rFonts w:ascii="Times New Roman" w:hAnsi="Times New Roman"/>
                <w:sz w:val="20"/>
              </w:rPr>
              <w:t xml:space="preserve"> </w:t>
            </w:r>
            <w:proofErr w:type="spellStart"/>
            <w:r w:rsidRPr="001C3CB9">
              <w:rPr>
                <w:rFonts w:ascii="Times New Roman" w:hAnsi="Times New Roman"/>
                <w:sz w:val="20"/>
              </w:rPr>
              <w:t>monotherapy</w:t>
            </w:r>
            <w:proofErr w:type="spellEnd"/>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Drug-</w:t>
            </w:r>
            <w:proofErr w:type="spellStart"/>
            <w:r w:rsidRPr="001C3CB9">
              <w:rPr>
                <w:rFonts w:ascii="Times New Roman" w:hAnsi="Times New Roman"/>
                <w:sz w:val="20"/>
              </w:rPr>
              <w:t>relatd</w:t>
            </w:r>
            <w:proofErr w:type="spellEnd"/>
            <w:r w:rsidRPr="001C3CB9">
              <w:rPr>
                <w:rFonts w:ascii="Times New Roman" w:hAnsi="Times New Roman"/>
                <w:sz w:val="20"/>
              </w:rPr>
              <w:t xml:space="preserve"> adverse </w:t>
            </w:r>
            <w:proofErr w:type="spellStart"/>
            <w:r w:rsidRPr="001C3CB9">
              <w:rPr>
                <w:rFonts w:ascii="Times New Roman" w:hAnsi="Times New Roman"/>
                <w:sz w:val="20"/>
              </w:rPr>
              <w:t>effects</w:t>
            </w:r>
            <w:proofErr w:type="spellEnd"/>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N/A; non-</w:t>
            </w:r>
            <w:proofErr w:type="spellStart"/>
            <w:r w:rsidRPr="001C3CB9">
              <w:rPr>
                <w:rFonts w:ascii="Times New Roman" w:hAnsi="Times New Roman"/>
                <w:sz w:val="20"/>
                <w:lang w:val="en-US"/>
              </w:rPr>
              <w:t>randomised</w:t>
            </w:r>
            <w:proofErr w:type="spellEnd"/>
            <w:r w:rsidRPr="001C3CB9">
              <w:rPr>
                <w:rFonts w:ascii="Times New Roman" w:hAnsi="Times New Roman"/>
                <w:sz w:val="20"/>
                <w:lang w:val="en-US"/>
              </w:rPr>
              <w:t xml:space="preserve"> study</w:t>
            </w:r>
          </w:p>
        </w:tc>
        <w:tc>
          <w:tcPr>
            <w:tcW w:w="535" w:type="pct"/>
            <w:tcBorders>
              <w:top w:val="nil"/>
              <w:left w:val="nil"/>
              <w:bottom w:val="single" w:sz="4" w:space="0" w:color="auto"/>
              <w:right w:val="single" w:sz="4" w:space="0" w:color="auto"/>
            </w:tcBorders>
          </w:tcPr>
          <w:p w:rsidR="00CD1D5E" w:rsidRPr="001C3CB9" w:rsidRDefault="00D4440D" w:rsidP="007D3503">
            <w:pPr>
              <w:rPr>
                <w:rFonts w:ascii="Times New Roman" w:hAnsi="Times New Roman"/>
                <w:color w:val="0000FF"/>
                <w:sz w:val="20"/>
                <w:u w:val="single"/>
                <w:lang w:val="en-US"/>
              </w:rPr>
            </w:pPr>
            <w:hyperlink r:id="rId11" w:history="1">
              <w:r w:rsidR="00CD1D5E" w:rsidRPr="001C3CB9">
                <w:rPr>
                  <w:rFonts w:ascii="Times New Roman" w:hAnsi="Times New Roman"/>
                  <w:color w:val="0000FF"/>
                  <w:sz w:val="20"/>
                  <w:u w:val="single"/>
                  <w:lang w:val="en-US"/>
                </w:rPr>
                <w:t>http://www.has-sante.fr/portail/upload/docs/evamed/CT-12741_YERVOY_PIC_REEV_Avis3_CT12741.pdf</w:t>
              </w:r>
            </w:hyperlink>
          </w:p>
        </w:tc>
      </w:tr>
      <w:tr w:rsidR="00CD1D5E" w:rsidRPr="001C3CB9" w:rsidTr="007D3503">
        <w:trPr>
          <w:trHeight w:val="945"/>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BRIM1</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Phase</w:t>
            </w:r>
            <w:proofErr w:type="spellEnd"/>
            <w:r w:rsidRPr="001C3CB9">
              <w:rPr>
                <w:rFonts w:ascii="Times New Roman" w:hAnsi="Times New Roman"/>
                <w:sz w:val="20"/>
              </w:rPr>
              <w:t xml:space="preserve"> 1 </w:t>
            </w:r>
            <w:proofErr w:type="spellStart"/>
            <w:r w:rsidRPr="001C3CB9">
              <w:rPr>
                <w:rFonts w:ascii="Times New Roman" w:hAnsi="Times New Roman"/>
                <w:sz w:val="20"/>
              </w:rPr>
              <w:t>dose</w:t>
            </w:r>
            <w:proofErr w:type="spellEnd"/>
            <w:r w:rsidRPr="001C3CB9">
              <w:rPr>
                <w:rFonts w:ascii="Times New Roman" w:hAnsi="Times New Roman"/>
                <w:sz w:val="20"/>
              </w:rPr>
              <w:t xml:space="preserve"> </w:t>
            </w:r>
            <w:proofErr w:type="spellStart"/>
            <w:r w:rsidRPr="001C3CB9">
              <w:rPr>
                <w:rFonts w:ascii="Times New Roman" w:hAnsi="Times New Roman"/>
                <w:sz w:val="20"/>
              </w:rPr>
              <w:t>ranging</w:t>
            </w:r>
            <w:proofErr w:type="spellEnd"/>
            <w:r w:rsidRPr="001C3CB9">
              <w:rPr>
                <w:rFonts w:ascii="Times New Roman" w:hAnsi="Times New Roman"/>
                <w:sz w:val="20"/>
              </w:rPr>
              <w:t xml:space="preserve"> </w:t>
            </w:r>
            <w:proofErr w:type="spellStart"/>
            <w:r w:rsidRPr="001C3CB9">
              <w:rPr>
                <w:rFonts w:ascii="Times New Roman" w:hAnsi="Times New Roman"/>
                <w:sz w:val="20"/>
              </w:rPr>
              <w:t>study</w:t>
            </w:r>
            <w:proofErr w:type="spellEnd"/>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Previously treated BRAF mutation positive patients with solid </w:t>
            </w:r>
            <w:proofErr w:type="spellStart"/>
            <w:r w:rsidRPr="001C3CB9">
              <w:rPr>
                <w:rFonts w:ascii="Times New Roman" w:hAnsi="Times New Roman"/>
                <w:sz w:val="20"/>
                <w:lang w:val="en-US"/>
              </w:rPr>
              <w:t>tumours</w:t>
            </w:r>
            <w:proofErr w:type="spellEnd"/>
            <w:r w:rsidRPr="001C3CB9">
              <w:rPr>
                <w:rFonts w:ascii="Times New Roman" w:hAnsi="Times New Roman"/>
                <w:sz w:val="20"/>
                <w:lang w:val="en-US"/>
              </w:rPr>
              <w:t xml:space="preserve"> (advanced melanoma and metastatic colorectal). Inclusion criteria were:</w:t>
            </w:r>
            <w:r w:rsidRPr="001C3CB9">
              <w:rPr>
                <w:rFonts w:ascii="Times New Roman" w:hAnsi="Times New Roman"/>
                <w:sz w:val="20"/>
                <w:lang w:val="en-US"/>
              </w:rPr>
              <w:br/>
              <w:t>Male or female &gt; 18</w:t>
            </w:r>
            <w:r w:rsidRPr="001C3CB9">
              <w:rPr>
                <w:rFonts w:ascii="Times New Roman" w:hAnsi="Times New Roman"/>
                <w:sz w:val="20"/>
                <w:lang w:val="en-US"/>
              </w:rPr>
              <w:br/>
              <w:t xml:space="preserve">Solid </w:t>
            </w:r>
            <w:proofErr w:type="spellStart"/>
            <w:r w:rsidRPr="001C3CB9">
              <w:rPr>
                <w:rFonts w:ascii="Times New Roman" w:hAnsi="Times New Roman"/>
                <w:sz w:val="20"/>
                <w:lang w:val="en-US"/>
              </w:rPr>
              <w:t>tumours</w:t>
            </w:r>
            <w:proofErr w:type="spellEnd"/>
            <w:r w:rsidRPr="001C3CB9">
              <w:rPr>
                <w:rFonts w:ascii="Times New Roman" w:hAnsi="Times New Roman"/>
                <w:sz w:val="20"/>
                <w:lang w:val="en-US"/>
              </w:rPr>
              <w:t xml:space="preserve"> </w:t>
            </w:r>
            <w:r w:rsidRPr="001C3CB9">
              <w:rPr>
                <w:rFonts w:ascii="Times New Roman" w:hAnsi="Times New Roman"/>
                <w:sz w:val="20"/>
                <w:lang w:val="en-US"/>
              </w:rPr>
              <w:br/>
              <w:t>Histologically refractory to standard care or no care available</w:t>
            </w:r>
            <w:r w:rsidRPr="001C3CB9">
              <w:rPr>
                <w:rFonts w:ascii="Times New Roman" w:hAnsi="Times New Roman"/>
                <w:sz w:val="20"/>
                <w:lang w:val="en-US"/>
              </w:rPr>
              <w:br/>
              <w:t>ECOG status 0-1</w:t>
            </w:r>
            <w:r w:rsidRPr="001C3CB9">
              <w:rPr>
                <w:rFonts w:ascii="Times New Roman" w:hAnsi="Times New Roman"/>
                <w:sz w:val="20"/>
                <w:lang w:val="en-US"/>
              </w:rPr>
              <w:br/>
              <w:t>Life expectancy of &gt; 3 months</w:t>
            </w:r>
            <w:r w:rsidRPr="001C3CB9">
              <w:rPr>
                <w:rFonts w:ascii="Times New Roman" w:hAnsi="Times New Roman"/>
                <w:sz w:val="20"/>
                <w:lang w:val="en-US"/>
              </w:rPr>
              <w:br/>
              <w:t>Absence of known progressing or unstable brain metastases</w:t>
            </w:r>
            <w:r w:rsidRPr="001C3CB9">
              <w:rPr>
                <w:rFonts w:ascii="Times New Roman" w:hAnsi="Times New Roman"/>
                <w:sz w:val="20"/>
                <w:lang w:val="en-US"/>
              </w:rPr>
              <w:br/>
              <w:t xml:space="preserve">Adequate </w:t>
            </w:r>
            <w:proofErr w:type="spellStart"/>
            <w:r w:rsidRPr="001C3CB9">
              <w:rPr>
                <w:rFonts w:ascii="Times New Roman" w:hAnsi="Times New Roman"/>
                <w:sz w:val="20"/>
                <w:lang w:val="en-US"/>
              </w:rPr>
              <w:t>haematological</w:t>
            </w:r>
            <w:proofErr w:type="spellEnd"/>
            <w:r w:rsidRPr="001C3CB9">
              <w:rPr>
                <w:rFonts w:ascii="Times New Roman" w:hAnsi="Times New Roman"/>
                <w:sz w:val="20"/>
                <w:lang w:val="en-US"/>
              </w:rPr>
              <w:t>, renal and hepatic function</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vemurafenib</w:t>
            </w:r>
            <w:proofErr w:type="spellEnd"/>
            <w:r w:rsidRPr="001C3CB9">
              <w:rPr>
                <w:rFonts w:ascii="Times New Roman" w:hAnsi="Times New Roman"/>
                <w:sz w:val="20"/>
              </w:rPr>
              <w:t xml:space="preserve"> 960 mg </w:t>
            </w:r>
            <w:proofErr w:type="spellStart"/>
            <w:r w:rsidRPr="001C3CB9">
              <w:rPr>
                <w:rFonts w:ascii="Times New Roman" w:hAnsi="Times New Roman"/>
                <w:sz w:val="20"/>
              </w:rPr>
              <w:t>twice</w:t>
            </w:r>
            <w:proofErr w:type="spellEnd"/>
            <w:r w:rsidRPr="001C3CB9">
              <w:rPr>
                <w:rFonts w:ascii="Times New Roman" w:hAnsi="Times New Roman"/>
                <w:sz w:val="20"/>
              </w:rPr>
              <w:t xml:space="preserve"> </w:t>
            </w:r>
            <w:proofErr w:type="spellStart"/>
            <w:r w:rsidRPr="001C3CB9">
              <w:rPr>
                <w:rFonts w:ascii="Times New Roman" w:hAnsi="Times New Roman"/>
                <w:sz w:val="20"/>
              </w:rPr>
              <w:t>daily</w:t>
            </w:r>
            <w:proofErr w:type="spellEnd"/>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1) Safety/Adverse events</w:t>
            </w:r>
            <w:r w:rsidRPr="001C3CB9">
              <w:rPr>
                <w:rFonts w:ascii="Times New Roman" w:hAnsi="Times New Roman"/>
                <w:sz w:val="20"/>
                <w:lang w:val="en-US"/>
              </w:rPr>
              <w:br/>
              <w:t xml:space="preserve">2) </w:t>
            </w:r>
            <w:proofErr w:type="spellStart"/>
            <w:r w:rsidRPr="001C3CB9">
              <w:rPr>
                <w:rFonts w:ascii="Times New Roman" w:hAnsi="Times New Roman"/>
                <w:sz w:val="20"/>
                <w:lang w:val="en-US"/>
              </w:rPr>
              <w:t>Pharmacodynamic</w:t>
            </w:r>
            <w:proofErr w:type="spellEnd"/>
            <w:r w:rsidRPr="001C3CB9">
              <w:rPr>
                <w:rFonts w:ascii="Times New Roman" w:hAnsi="Times New Roman"/>
                <w:sz w:val="20"/>
                <w:lang w:val="en-US"/>
              </w:rPr>
              <w:t xml:space="preserve"> activity in </w:t>
            </w:r>
            <w:proofErr w:type="spellStart"/>
            <w:r w:rsidRPr="001C3CB9">
              <w:rPr>
                <w:rFonts w:ascii="Times New Roman" w:hAnsi="Times New Roman"/>
                <w:sz w:val="20"/>
                <w:lang w:val="en-US"/>
              </w:rPr>
              <w:t>tumour</w:t>
            </w:r>
            <w:proofErr w:type="spellEnd"/>
            <w:r w:rsidRPr="001C3CB9">
              <w:rPr>
                <w:rFonts w:ascii="Times New Roman" w:hAnsi="Times New Roman"/>
                <w:sz w:val="20"/>
                <w:lang w:val="en-US"/>
              </w:rPr>
              <w:t xml:space="preserve"> tissue</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Phase 1 dose-ranging; non-</w:t>
            </w:r>
            <w:proofErr w:type="spellStart"/>
            <w:r w:rsidRPr="001C3CB9">
              <w:rPr>
                <w:rFonts w:ascii="Times New Roman" w:hAnsi="Times New Roman"/>
                <w:sz w:val="20"/>
                <w:lang w:val="en-US"/>
              </w:rPr>
              <w:t>randomised</w:t>
            </w:r>
            <w:proofErr w:type="spellEnd"/>
            <w:r w:rsidRPr="001C3CB9">
              <w:rPr>
                <w:rFonts w:ascii="Times New Roman" w:hAnsi="Times New Roman"/>
                <w:sz w:val="20"/>
                <w:lang w:val="en-US"/>
              </w:rPr>
              <w:t xml:space="preserve"> study</w:t>
            </w:r>
          </w:p>
        </w:tc>
        <w:tc>
          <w:tcPr>
            <w:tcW w:w="535" w:type="pct"/>
            <w:tcBorders>
              <w:top w:val="nil"/>
              <w:left w:val="nil"/>
              <w:bottom w:val="single" w:sz="4" w:space="0" w:color="auto"/>
              <w:right w:val="single" w:sz="4" w:space="0" w:color="auto"/>
            </w:tcBorders>
          </w:tcPr>
          <w:p w:rsidR="00CD1D5E" w:rsidRPr="001C3CB9" w:rsidRDefault="00CD1D5E" w:rsidP="007D3503">
            <w:pPr>
              <w:spacing w:after="240"/>
              <w:rPr>
                <w:rFonts w:ascii="Times New Roman" w:hAnsi="Times New Roman"/>
                <w:sz w:val="20"/>
              </w:rPr>
            </w:pPr>
            <w:r w:rsidRPr="001C3CB9">
              <w:rPr>
                <w:rFonts w:ascii="Times New Roman" w:hAnsi="Times New Roman"/>
                <w:sz w:val="20"/>
                <w:lang w:val="en-US"/>
              </w:rPr>
              <w:t xml:space="preserve">Flaherty KT, </w:t>
            </w:r>
            <w:proofErr w:type="spellStart"/>
            <w:r w:rsidRPr="001C3CB9">
              <w:rPr>
                <w:rFonts w:ascii="Times New Roman" w:hAnsi="Times New Roman"/>
                <w:sz w:val="20"/>
                <w:lang w:val="en-US"/>
              </w:rPr>
              <w:t>Puzanov</w:t>
            </w:r>
            <w:proofErr w:type="spellEnd"/>
            <w:r w:rsidRPr="001C3CB9">
              <w:rPr>
                <w:rFonts w:ascii="Times New Roman" w:hAnsi="Times New Roman"/>
                <w:sz w:val="20"/>
                <w:lang w:val="en-US"/>
              </w:rPr>
              <w:t xml:space="preserve"> I, Kim KB, </w:t>
            </w:r>
            <w:proofErr w:type="spellStart"/>
            <w:r w:rsidRPr="001C3CB9">
              <w:rPr>
                <w:rFonts w:ascii="Times New Roman" w:hAnsi="Times New Roman"/>
                <w:sz w:val="20"/>
                <w:lang w:val="en-US"/>
              </w:rPr>
              <w:t>Ribas</w:t>
            </w:r>
            <w:proofErr w:type="spellEnd"/>
            <w:r w:rsidRPr="001C3CB9">
              <w:rPr>
                <w:rFonts w:ascii="Times New Roman" w:hAnsi="Times New Roman"/>
                <w:sz w:val="20"/>
                <w:lang w:val="en-US"/>
              </w:rPr>
              <w:t xml:space="preserve"> A, McArthur GA, </w:t>
            </w:r>
            <w:proofErr w:type="spellStart"/>
            <w:r w:rsidRPr="001C3CB9">
              <w:rPr>
                <w:rFonts w:ascii="Times New Roman" w:hAnsi="Times New Roman"/>
                <w:sz w:val="20"/>
                <w:lang w:val="en-US"/>
              </w:rPr>
              <w:t>Sosman</w:t>
            </w:r>
            <w:proofErr w:type="spellEnd"/>
            <w:r w:rsidRPr="001C3CB9">
              <w:rPr>
                <w:rFonts w:ascii="Times New Roman" w:hAnsi="Times New Roman"/>
                <w:sz w:val="20"/>
                <w:lang w:val="en-US"/>
              </w:rPr>
              <w:t xml:space="preserve"> JA, et al. Inhibition of mutated, activated BRAF in metastatic melanoma. </w:t>
            </w:r>
            <w:r w:rsidRPr="001C3CB9">
              <w:rPr>
                <w:rFonts w:ascii="Times New Roman" w:hAnsi="Times New Roman"/>
                <w:sz w:val="20"/>
              </w:rPr>
              <w:t>New England Journal of Medicine. 2010; 363:809-19.</w:t>
            </w:r>
          </w:p>
        </w:tc>
      </w:tr>
      <w:tr w:rsidR="00CD1D5E" w:rsidRPr="001C3CB9" w:rsidTr="007D3503">
        <w:trPr>
          <w:trHeight w:val="780"/>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BRIM2</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Long-term follow-up of </w:t>
            </w:r>
            <w:proofErr w:type="spellStart"/>
            <w:r w:rsidRPr="001C3CB9">
              <w:rPr>
                <w:rFonts w:ascii="Times New Roman" w:hAnsi="Times New Roman"/>
                <w:sz w:val="20"/>
                <w:lang w:val="en-US"/>
              </w:rPr>
              <w:t>vemurafenib</w:t>
            </w:r>
            <w:proofErr w:type="spellEnd"/>
            <w:r w:rsidRPr="001C3CB9">
              <w:rPr>
                <w:rFonts w:ascii="Times New Roman" w:hAnsi="Times New Roman"/>
                <w:sz w:val="20"/>
                <w:lang w:val="en-US"/>
              </w:rPr>
              <w:t>-treated patients with BRAF-V600 positive mutation</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Previously treated BRAF mutation-positive melanoma patients. Inclusion criteria were:</w:t>
            </w:r>
            <w:r w:rsidRPr="001C3CB9">
              <w:rPr>
                <w:rFonts w:ascii="Times New Roman" w:hAnsi="Times New Roman"/>
                <w:sz w:val="20"/>
                <w:lang w:val="en-US"/>
              </w:rPr>
              <w:br/>
              <w:t>Male or female &gt; 18</w:t>
            </w:r>
            <w:r w:rsidRPr="001C3CB9">
              <w:rPr>
                <w:rFonts w:ascii="Times New Roman" w:hAnsi="Times New Roman"/>
                <w:sz w:val="20"/>
                <w:lang w:val="en-US"/>
              </w:rPr>
              <w:br/>
              <w:t>Histologically proven stage IV melanoma</w:t>
            </w:r>
            <w:r w:rsidRPr="001C3CB9">
              <w:rPr>
                <w:rFonts w:ascii="Times New Roman" w:hAnsi="Times New Roman"/>
                <w:sz w:val="20"/>
                <w:lang w:val="en-US"/>
              </w:rPr>
              <w:br/>
              <w:t>BRAF V600-positive mutation</w:t>
            </w:r>
            <w:r w:rsidRPr="001C3CB9">
              <w:rPr>
                <w:rFonts w:ascii="Times New Roman" w:hAnsi="Times New Roman"/>
                <w:sz w:val="20"/>
                <w:lang w:val="en-US"/>
              </w:rPr>
              <w:br/>
              <w:t>Progressive disease following at least one prior systemic treatment</w:t>
            </w:r>
            <w:r w:rsidRPr="001C3CB9">
              <w:rPr>
                <w:rFonts w:ascii="Times New Roman" w:hAnsi="Times New Roman"/>
                <w:sz w:val="20"/>
                <w:lang w:val="en-US"/>
              </w:rPr>
              <w:br/>
              <w:t>ECOG status 0-1</w:t>
            </w:r>
            <w:r w:rsidRPr="001C3CB9">
              <w:rPr>
                <w:rFonts w:ascii="Times New Roman" w:hAnsi="Times New Roman"/>
                <w:sz w:val="20"/>
                <w:lang w:val="en-US"/>
              </w:rPr>
              <w:br/>
              <w:t>Brain metastasis controlled for at least 3 months</w:t>
            </w:r>
            <w:r w:rsidRPr="001C3CB9">
              <w:rPr>
                <w:rFonts w:ascii="Times New Roman" w:hAnsi="Times New Roman"/>
                <w:sz w:val="20"/>
                <w:lang w:val="en-US"/>
              </w:rPr>
              <w:br/>
              <w:t xml:space="preserve">No other invasive cancer in last 5 years </w:t>
            </w:r>
            <w:r w:rsidRPr="001C3CB9">
              <w:rPr>
                <w:rFonts w:ascii="Times New Roman" w:hAnsi="Times New Roman"/>
                <w:sz w:val="20"/>
                <w:lang w:val="en-US"/>
              </w:rPr>
              <w:br/>
              <w:t xml:space="preserve">Adequate </w:t>
            </w:r>
            <w:proofErr w:type="spellStart"/>
            <w:r w:rsidRPr="001C3CB9">
              <w:rPr>
                <w:rFonts w:ascii="Times New Roman" w:hAnsi="Times New Roman"/>
                <w:sz w:val="20"/>
                <w:lang w:val="en-US"/>
              </w:rPr>
              <w:t>haematological</w:t>
            </w:r>
            <w:proofErr w:type="spellEnd"/>
            <w:r w:rsidRPr="001C3CB9">
              <w:rPr>
                <w:rFonts w:ascii="Times New Roman" w:hAnsi="Times New Roman"/>
                <w:sz w:val="20"/>
                <w:lang w:val="en-US"/>
              </w:rPr>
              <w:t>, renal and  hepatic function</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proofErr w:type="spellStart"/>
            <w:r w:rsidRPr="001C3CB9">
              <w:rPr>
                <w:rFonts w:ascii="Times New Roman" w:hAnsi="Times New Roman"/>
                <w:sz w:val="20"/>
                <w:lang w:val="en-US"/>
              </w:rPr>
              <w:t>vemurafenib</w:t>
            </w:r>
            <w:proofErr w:type="spellEnd"/>
            <w:r w:rsidRPr="001C3CB9">
              <w:rPr>
                <w:rFonts w:ascii="Times New Roman" w:hAnsi="Times New Roman"/>
                <w:sz w:val="20"/>
                <w:lang w:val="en-US"/>
              </w:rPr>
              <w:t xml:space="preserve">  960 mg orally twice daily</w:t>
            </w:r>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Primary: Overall response rate (ORR)</w:t>
            </w:r>
            <w:r w:rsidRPr="001C3CB9">
              <w:rPr>
                <w:rFonts w:ascii="Times New Roman" w:hAnsi="Times New Roman"/>
                <w:sz w:val="20"/>
                <w:lang w:val="en-US"/>
              </w:rPr>
              <w:br/>
              <w:t>Secondary: Overall survival (OS)</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Phase II open label – single arm</w:t>
            </w:r>
          </w:p>
        </w:tc>
        <w:tc>
          <w:tcPr>
            <w:tcW w:w="53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Sosman</w:t>
            </w:r>
            <w:proofErr w:type="spellEnd"/>
            <w:r w:rsidRPr="001C3CB9">
              <w:rPr>
                <w:rFonts w:ascii="Times New Roman" w:hAnsi="Times New Roman"/>
                <w:sz w:val="20"/>
              </w:rPr>
              <w:t xml:space="preserve"> J, Kim K, Schuchter L, </w:t>
            </w:r>
            <w:proofErr w:type="spellStart"/>
            <w:r w:rsidRPr="001C3CB9">
              <w:rPr>
                <w:rFonts w:ascii="Times New Roman" w:hAnsi="Times New Roman"/>
                <w:sz w:val="20"/>
              </w:rPr>
              <w:t>Gonzalez</w:t>
            </w:r>
            <w:proofErr w:type="spellEnd"/>
            <w:r w:rsidRPr="001C3CB9">
              <w:rPr>
                <w:rFonts w:ascii="Times New Roman" w:hAnsi="Times New Roman"/>
                <w:sz w:val="20"/>
              </w:rPr>
              <w:t xml:space="preserve"> R, </w:t>
            </w:r>
            <w:proofErr w:type="spellStart"/>
            <w:r w:rsidRPr="001C3CB9">
              <w:rPr>
                <w:rFonts w:ascii="Times New Roman" w:hAnsi="Times New Roman"/>
                <w:sz w:val="20"/>
              </w:rPr>
              <w:t>Pavlick</w:t>
            </w:r>
            <w:proofErr w:type="spellEnd"/>
            <w:r w:rsidRPr="001C3CB9">
              <w:rPr>
                <w:rFonts w:ascii="Times New Roman" w:hAnsi="Times New Roman"/>
                <w:sz w:val="20"/>
              </w:rPr>
              <w:t xml:space="preserve"> A, Weber J, et al. </w:t>
            </w:r>
            <w:r w:rsidRPr="001C3CB9">
              <w:rPr>
                <w:rFonts w:ascii="Times New Roman" w:hAnsi="Times New Roman"/>
                <w:sz w:val="20"/>
                <w:lang w:val="en-US"/>
              </w:rPr>
              <w:t xml:space="preserve">Long-term follow-up of BRAF V600 mutated metastatic melanoma patients treated with </w:t>
            </w:r>
            <w:proofErr w:type="spellStart"/>
            <w:r w:rsidRPr="001C3CB9">
              <w:rPr>
                <w:rFonts w:ascii="Times New Roman" w:hAnsi="Times New Roman"/>
                <w:sz w:val="20"/>
                <w:lang w:val="en-US"/>
              </w:rPr>
              <w:t>vermrafenib</w:t>
            </w:r>
            <w:proofErr w:type="spellEnd"/>
            <w:r w:rsidRPr="001C3CB9">
              <w:rPr>
                <w:rFonts w:ascii="Times New Roman" w:hAnsi="Times New Roman"/>
                <w:sz w:val="20"/>
                <w:lang w:val="en-US"/>
              </w:rPr>
              <w:t xml:space="preserve"> reveals prolonged survival. </w:t>
            </w:r>
            <w:r w:rsidRPr="001C3CB9">
              <w:rPr>
                <w:rFonts w:ascii="Times New Roman" w:hAnsi="Times New Roman"/>
                <w:sz w:val="20"/>
              </w:rPr>
              <w:t>New England Journal of Medicine.  2012; 366:707-14.</w:t>
            </w:r>
          </w:p>
        </w:tc>
      </w:tr>
      <w:tr w:rsidR="00CD1D5E" w:rsidRPr="001C3CB9" w:rsidTr="007D3503">
        <w:trPr>
          <w:trHeight w:val="795"/>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BREAK-2</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Assess the safety and clinical activity of </w:t>
            </w:r>
            <w:proofErr w:type="spellStart"/>
            <w:r w:rsidRPr="001C3CB9">
              <w:rPr>
                <w:rFonts w:ascii="Times New Roman" w:hAnsi="Times New Roman"/>
                <w:sz w:val="20"/>
                <w:lang w:val="en-US"/>
              </w:rPr>
              <w:t>dabrafenib</w:t>
            </w:r>
            <w:proofErr w:type="spellEnd"/>
            <w:r w:rsidRPr="001C3CB9">
              <w:rPr>
                <w:rFonts w:ascii="Times New Roman" w:hAnsi="Times New Roman"/>
                <w:sz w:val="20"/>
                <w:lang w:val="en-US"/>
              </w:rPr>
              <w:t xml:space="preserve"> in BRAF(V600E/K) mutation-positive metastatic melanoma</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Patients with histologically confirmed BRAFV600E/K metastatic melanoma (stage IV) were enrolled. Additional eligibility criteria included measurable disease according to Response Evaluation Criteria in Solid Tumors version 1.1 and an Eastern Cooperative Oncology Group performance status of 0 or 1. Patients were eligible whether or not they had received prior systemic therapy for metastatic disease, exclusive of other BRAF/MEK inhibitors. History or evidence of brain metastases was exclusionary. Adequate bone marrow, liver, renal, and cardiac function and normal clotting parameters were also required.</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dabrafenib</w:t>
            </w:r>
            <w:proofErr w:type="spellEnd"/>
            <w:r w:rsidRPr="001C3CB9">
              <w:rPr>
                <w:rFonts w:ascii="Times New Roman" w:hAnsi="Times New Roman"/>
                <w:sz w:val="20"/>
              </w:rPr>
              <w:t xml:space="preserve"> 150 mg </w:t>
            </w:r>
            <w:proofErr w:type="spellStart"/>
            <w:r w:rsidRPr="001C3CB9">
              <w:rPr>
                <w:rFonts w:ascii="Times New Roman" w:hAnsi="Times New Roman"/>
                <w:sz w:val="20"/>
              </w:rPr>
              <w:t>twice</w:t>
            </w:r>
            <w:proofErr w:type="spellEnd"/>
            <w:r w:rsidRPr="001C3CB9">
              <w:rPr>
                <w:rFonts w:ascii="Times New Roman" w:hAnsi="Times New Roman"/>
                <w:sz w:val="20"/>
              </w:rPr>
              <w:t xml:space="preserve"> </w:t>
            </w:r>
            <w:proofErr w:type="spellStart"/>
            <w:r w:rsidRPr="001C3CB9">
              <w:rPr>
                <w:rFonts w:ascii="Times New Roman" w:hAnsi="Times New Roman"/>
                <w:sz w:val="20"/>
              </w:rPr>
              <w:t>daily</w:t>
            </w:r>
            <w:proofErr w:type="spellEnd"/>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Primary: investigator-assessed overall response rate </w:t>
            </w:r>
            <w:r w:rsidRPr="001C3CB9">
              <w:rPr>
                <w:rFonts w:ascii="Times New Roman" w:hAnsi="Times New Roman"/>
                <w:sz w:val="20"/>
                <w:lang w:val="en-US"/>
              </w:rPr>
              <w:br/>
              <w:t>Secondary: progression-free survival (PFS) and overall survival (OS)</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Phase II, single-arm, </w:t>
            </w:r>
            <w:proofErr w:type="spellStart"/>
            <w:r w:rsidRPr="001C3CB9">
              <w:rPr>
                <w:rFonts w:ascii="Times New Roman" w:hAnsi="Times New Roman"/>
                <w:sz w:val="20"/>
                <w:lang w:val="en-US"/>
              </w:rPr>
              <w:t>multicentre</w:t>
            </w:r>
            <w:proofErr w:type="spellEnd"/>
            <w:r w:rsidRPr="001C3CB9">
              <w:rPr>
                <w:rFonts w:ascii="Times New Roman" w:hAnsi="Times New Roman"/>
                <w:sz w:val="20"/>
                <w:lang w:val="en-US"/>
              </w:rPr>
              <w:t xml:space="preserve"> study</w:t>
            </w:r>
          </w:p>
        </w:tc>
        <w:tc>
          <w:tcPr>
            <w:tcW w:w="53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lang w:val="en-US"/>
              </w:rPr>
              <w:t xml:space="preserve">Ascierto, P. A., Minor, D., </w:t>
            </w:r>
            <w:proofErr w:type="spellStart"/>
            <w:r w:rsidRPr="001C3CB9">
              <w:rPr>
                <w:rFonts w:ascii="Times New Roman" w:hAnsi="Times New Roman"/>
                <w:sz w:val="20"/>
                <w:lang w:val="en-US"/>
              </w:rPr>
              <w:t>Ribas</w:t>
            </w:r>
            <w:proofErr w:type="spellEnd"/>
            <w:r w:rsidRPr="001C3CB9">
              <w:rPr>
                <w:rFonts w:ascii="Times New Roman" w:hAnsi="Times New Roman"/>
                <w:sz w:val="20"/>
                <w:lang w:val="en-US"/>
              </w:rPr>
              <w:t xml:space="preserve">, A., </w:t>
            </w:r>
            <w:proofErr w:type="spellStart"/>
            <w:r w:rsidRPr="001C3CB9">
              <w:rPr>
                <w:rFonts w:ascii="Times New Roman" w:hAnsi="Times New Roman"/>
                <w:sz w:val="20"/>
                <w:lang w:val="en-US"/>
              </w:rPr>
              <w:t>Lebbe</w:t>
            </w:r>
            <w:proofErr w:type="spellEnd"/>
            <w:r w:rsidRPr="001C3CB9">
              <w:rPr>
                <w:rFonts w:ascii="Times New Roman" w:hAnsi="Times New Roman"/>
                <w:sz w:val="20"/>
                <w:lang w:val="en-US"/>
              </w:rPr>
              <w:t xml:space="preserve">, C., O'Hagan, A., Arya, N., ... &amp; Hamid, O. (2013). Phase II trial (BREAK-2) of the BRAF inhibitor </w:t>
            </w:r>
            <w:proofErr w:type="spellStart"/>
            <w:r w:rsidRPr="001C3CB9">
              <w:rPr>
                <w:rFonts w:ascii="Times New Roman" w:hAnsi="Times New Roman"/>
                <w:sz w:val="20"/>
                <w:lang w:val="en-US"/>
              </w:rPr>
              <w:t>dabrafenib</w:t>
            </w:r>
            <w:proofErr w:type="spellEnd"/>
            <w:r w:rsidRPr="001C3CB9">
              <w:rPr>
                <w:rFonts w:ascii="Times New Roman" w:hAnsi="Times New Roman"/>
                <w:sz w:val="20"/>
                <w:lang w:val="en-US"/>
              </w:rPr>
              <w:t xml:space="preserve"> (GSK2118436) in patients with metastatic melanoma. </w:t>
            </w:r>
            <w:r w:rsidRPr="001C3CB9">
              <w:rPr>
                <w:rFonts w:ascii="Times New Roman" w:hAnsi="Times New Roman"/>
                <w:sz w:val="20"/>
              </w:rPr>
              <w:t xml:space="preserve">Journal of </w:t>
            </w:r>
            <w:proofErr w:type="spellStart"/>
            <w:r w:rsidRPr="001C3CB9">
              <w:rPr>
                <w:rFonts w:ascii="Times New Roman" w:hAnsi="Times New Roman"/>
                <w:sz w:val="20"/>
              </w:rPr>
              <w:t>clinical</w:t>
            </w:r>
            <w:proofErr w:type="spellEnd"/>
            <w:r w:rsidRPr="001C3CB9">
              <w:rPr>
                <w:rFonts w:ascii="Times New Roman" w:hAnsi="Times New Roman"/>
                <w:sz w:val="20"/>
              </w:rPr>
              <w:t xml:space="preserve"> </w:t>
            </w:r>
            <w:proofErr w:type="spellStart"/>
            <w:r w:rsidRPr="001C3CB9">
              <w:rPr>
                <w:rFonts w:ascii="Times New Roman" w:hAnsi="Times New Roman"/>
                <w:sz w:val="20"/>
              </w:rPr>
              <w:t>oncology</w:t>
            </w:r>
            <w:proofErr w:type="spellEnd"/>
            <w:r w:rsidRPr="001C3CB9">
              <w:rPr>
                <w:rFonts w:ascii="Times New Roman" w:hAnsi="Times New Roman"/>
                <w:sz w:val="20"/>
              </w:rPr>
              <w:t>, 31(26), 3205-3211.</w:t>
            </w:r>
          </w:p>
        </w:tc>
      </w:tr>
      <w:tr w:rsidR="00CD1D5E" w:rsidRPr="00D4440D" w:rsidTr="007D3503">
        <w:trPr>
          <w:trHeight w:val="840"/>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BREAK-MB</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Assess overall intracranial response rate (OIRR) to </w:t>
            </w:r>
            <w:proofErr w:type="spellStart"/>
            <w:r w:rsidRPr="001C3CB9">
              <w:rPr>
                <w:rFonts w:ascii="Times New Roman" w:hAnsi="Times New Roman"/>
                <w:sz w:val="20"/>
                <w:lang w:val="en-US"/>
              </w:rPr>
              <w:t>dabrafenib</w:t>
            </w:r>
            <w:proofErr w:type="spellEnd"/>
            <w:r w:rsidRPr="001C3CB9">
              <w:rPr>
                <w:rFonts w:ascii="Times New Roman" w:hAnsi="Times New Roman"/>
                <w:sz w:val="20"/>
                <w:lang w:val="en-US"/>
              </w:rPr>
              <w:t xml:space="preserve"> in patients with BRAF V600E/k mutation-positive melanoma with brain metastases.</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Stage IV pts with ≥ 1 intracranial met (0.5 cm–4 cm assessed by MRI) without prior brain therapy (Cohort A) or with progression following prior brain therapy (Cohort B) were eligible with V600E/K mutation.</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dabrafenib</w:t>
            </w:r>
            <w:proofErr w:type="spellEnd"/>
            <w:r w:rsidRPr="001C3CB9">
              <w:rPr>
                <w:rFonts w:ascii="Times New Roman" w:hAnsi="Times New Roman"/>
                <w:sz w:val="20"/>
              </w:rPr>
              <w:t xml:space="preserve"> 150 mg </w:t>
            </w:r>
            <w:proofErr w:type="spellStart"/>
            <w:r w:rsidRPr="001C3CB9">
              <w:rPr>
                <w:rFonts w:ascii="Times New Roman" w:hAnsi="Times New Roman"/>
                <w:sz w:val="20"/>
              </w:rPr>
              <w:t>twice</w:t>
            </w:r>
            <w:proofErr w:type="spellEnd"/>
            <w:r w:rsidRPr="001C3CB9">
              <w:rPr>
                <w:rFonts w:ascii="Times New Roman" w:hAnsi="Times New Roman"/>
                <w:sz w:val="20"/>
              </w:rPr>
              <w:t xml:space="preserve"> </w:t>
            </w:r>
            <w:proofErr w:type="spellStart"/>
            <w:r w:rsidRPr="001C3CB9">
              <w:rPr>
                <w:rFonts w:ascii="Times New Roman" w:hAnsi="Times New Roman"/>
                <w:sz w:val="20"/>
              </w:rPr>
              <w:t>daily</w:t>
            </w:r>
            <w:proofErr w:type="spellEnd"/>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Primary: investigator-assessed overall intracranial response rate (OIRR)</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Phase II, single-arm study</w:t>
            </w:r>
          </w:p>
        </w:tc>
        <w:tc>
          <w:tcPr>
            <w:tcW w:w="53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Kirkwood, J. M., Long, G. V., </w:t>
            </w:r>
            <w:proofErr w:type="spellStart"/>
            <w:r w:rsidRPr="001C3CB9">
              <w:rPr>
                <w:rFonts w:ascii="Times New Roman" w:hAnsi="Times New Roman"/>
                <w:sz w:val="20"/>
                <w:lang w:val="en-US"/>
              </w:rPr>
              <w:t>Trefzer</w:t>
            </w:r>
            <w:proofErr w:type="spellEnd"/>
            <w:r w:rsidRPr="001C3CB9">
              <w:rPr>
                <w:rFonts w:ascii="Times New Roman" w:hAnsi="Times New Roman"/>
                <w:sz w:val="20"/>
                <w:lang w:val="en-US"/>
              </w:rPr>
              <w:t xml:space="preserve">, U., Davies, M. A., Ascierto, P. A., Chapman, P. B., ... &amp; Goodman, V. L. (2012). BREAK-MB: A phase II study assessing overall intracranial response rate (OIRR) to </w:t>
            </w:r>
            <w:proofErr w:type="spellStart"/>
            <w:r w:rsidRPr="001C3CB9">
              <w:rPr>
                <w:rFonts w:ascii="Times New Roman" w:hAnsi="Times New Roman"/>
                <w:sz w:val="20"/>
                <w:lang w:val="en-US"/>
              </w:rPr>
              <w:t>dabrafenib</w:t>
            </w:r>
            <w:proofErr w:type="spellEnd"/>
            <w:r w:rsidRPr="001C3CB9">
              <w:rPr>
                <w:rFonts w:ascii="Times New Roman" w:hAnsi="Times New Roman"/>
                <w:sz w:val="20"/>
                <w:lang w:val="en-US"/>
              </w:rPr>
              <w:t xml:space="preserve"> (GSK2118436) in patients (pts) with BRAF V600E/k mutation-positive melanoma with brain metastases (</w:t>
            </w:r>
            <w:proofErr w:type="spellStart"/>
            <w:r w:rsidRPr="001C3CB9">
              <w:rPr>
                <w:rFonts w:ascii="Times New Roman" w:hAnsi="Times New Roman"/>
                <w:sz w:val="20"/>
                <w:lang w:val="en-US"/>
              </w:rPr>
              <w:t>mets</w:t>
            </w:r>
            <w:proofErr w:type="spellEnd"/>
            <w:r w:rsidRPr="001C3CB9">
              <w:rPr>
                <w:rFonts w:ascii="Times New Roman" w:hAnsi="Times New Roman"/>
                <w:sz w:val="20"/>
                <w:lang w:val="en-US"/>
              </w:rPr>
              <w:t>).</w:t>
            </w:r>
          </w:p>
        </w:tc>
      </w:tr>
      <w:tr w:rsidR="00CD1D5E" w:rsidRPr="001C3CB9" w:rsidTr="007D3503">
        <w:trPr>
          <w:trHeight w:val="930"/>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Checkmate-003</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Phase I dose-escalation cohort expansion trial evaluating safety and clinical activity of </w:t>
            </w:r>
            <w:proofErr w:type="spellStart"/>
            <w:r w:rsidRPr="001C3CB9">
              <w:rPr>
                <w:rFonts w:ascii="Times New Roman" w:hAnsi="Times New Roman"/>
                <w:sz w:val="20"/>
                <w:lang w:val="en-US"/>
              </w:rPr>
              <w:t>nivolumab</w:t>
            </w:r>
            <w:proofErr w:type="spellEnd"/>
            <w:r w:rsidRPr="001C3CB9">
              <w:rPr>
                <w:rFonts w:ascii="Times New Roman" w:hAnsi="Times New Roman"/>
                <w:sz w:val="20"/>
                <w:lang w:val="en-US"/>
              </w:rPr>
              <w:t xml:space="preserve"> in patients with advanced NSCLC, melanoma, and kidney, colorectal, and castration-resistant prostate cancer.</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Patients eligibility criteria were as follows: pathologically confirmed advanced NSCLC, age ≥ 18 years, Eastern Cooperative Oncology Group (ECOG) performance status of 0 or 1 (before implementation of amendment 4 in October 2010, ECOG performance status of 0 to 2 was allowed), adequate organ function, and one to five prior systemic treatment regimens for advanced NSCLC. Patients also had to have experienced progression through at least one platinum- or </w:t>
            </w:r>
            <w:proofErr w:type="spellStart"/>
            <w:r w:rsidRPr="001C3CB9">
              <w:rPr>
                <w:rFonts w:ascii="Times New Roman" w:hAnsi="Times New Roman"/>
                <w:sz w:val="20"/>
                <w:lang w:val="en-US"/>
              </w:rPr>
              <w:t>taxane</w:t>
            </w:r>
            <w:proofErr w:type="spellEnd"/>
            <w:r w:rsidRPr="001C3CB9">
              <w:rPr>
                <w:rFonts w:ascii="Times New Roman" w:hAnsi="Times New Roman"/>
                <w:sz w:val="20"/>
                <w:lang w:val="en-US"/>
              </w:rPr>
              <w:t>-based regimen and have at least one measurable lesion by RECIST (version 1.0).14 Patients with treated brain metastases stable for at least 8 weeks were eligible. Exclusion criteria included autoimmune disease, prior therapy with T cell–modulating antibodies (</w:t>
            </w:r>
            <w:proofErr w:type="spellStart"/>
            <w:r w:rsidRPr="001C3CB9">
              <w:rPr>
                <w:rFonts w:ascii="Times New Roman" w:hAnsi="Times New Roman"/>
                <w:sz w:val="20"/>
                <w:lang w:val="en-US"/>
              </w:rPr>
              <w:t>eg</w:t>
            </w:r>
            <w:proofErr w:type="spellEnd"/>
            <w:r w:rsidRPr="001C3CB9">
              <w:rPr>
                <w:rFonts w:ascii="Times New Roman" w:hAnsi="Times New Roman"/>
                <w:sz w:val="20"/>
                <w:lang w:val="en-US"/>
              </w:rPr>
              <w:t>, anti–CTLA-4, anti–PD-1, and anti–PD-L1), conditions requiring immunosuppressive medications, history of infection by HIV, and active infection by hepatitis B or C viruses.</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rPr>
              <w:t>nivolumab</w:t>
            </w:r>
            <w:proofErr w:type="spellEnd"/>
            <w:r w:rsidRPr="001C3CB9">
              <w:rPr>
                <w:rFonts w:ascii="Times New Roman" w:hAnsi="Times New Roman"/>
                <w:sz w:val="20"/>
              </w:rPr>
              <w:t xml:space="preserve"> 1-, 3-, or 10-mg/kg</w:t>
            </w:r>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N/A</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Primary: drug-related adverse events (AEs), objective response rate (ORR; percentage of patients with confirmed complete or partial responses among all treated patients)</w:t>
            </w:r>
            <w:r w:rsidRPr="001C3CB9">
              <w:rPr>
                <w:rFonts w:ascii="Times New Roman" w:hAnsi="Times New Roman"/>
                <w:sz w:val="20"/>
                <w:lang w:val="en-US"/>
              </w:rPr>
              <w:br/>
              <w:t>Secondary: Overall survival</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Phase I dose-escalation cohort; non-</w:t>
            </w:r>
            <w:proofErr w:type="spellStart"/>
            <w:r w:rsidRPr="001C3CB9">
              <w:rPr>
                <w:rFonts w:ascii="Times New Roman" w:hAnsi="Times New Roman"/>
                <w:sz w:val="20"/>
                <w:lang w:val="en-US"/>
              </w:rPr>
              <w:t>randomised</w:t>
            </w:r>
            <w:proofErr w:type="spellEnd"/>
            <w:r w:rsidRPr="001C3CB9">
              <w:rPr>
                <w:rFonts w:ascii="Times New Roman" w:hAnsi="Times New Roman"/>
                <w:sz w:val="20"/>
                <w:lang w:val="en-US"/>
              </w:rPr>
              <w:t xml:space="preserve"> study</w:t>
            </w:r>
          </w:p>
        </w:tc>
        <w:tc>
          <w:tcPr>
            <w:tcW w:w="53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rPr>
            </w:pPr>
            <w:proofErr w:type="spellStart"/>
            <w:r w:rsidRPr="001C3CB9">
              <w:rPr>
                <w:rFonts w:ascii="Times New Roman" w:hAnsi="Times New Roman"/>
                <w:sz w:val="20"/>
                <w:lang w:val="en-US"/>
              </w:rPr>
              <w:t>Gettinger</w:t>
            </w:r>
            <w:proofErr w:type="spellEnd"/>
            <w:r w:rsidRPr="001C3CB9">
              <w:rPr>
                <w:rFonts w:ascii="Times New Roman" w:hAnsi="Times New Roman"/>
                <w:sz w:val="20"/>
                <w:lang w:val="en-US"/>
              </w:rPr>
              <w:t xml:space="preserve">, S. N., Horn, L., Gandhi, L., </w:t>
            </w:r>
            <w:proofErr w:type="spellStart"/>
            <w:r w:rsidRPr="001C3CB9">
              <w:rPr>
                <w:rFonts w:ascii="Times New Roman" w:hAnsi="Times New Roman"/>
                <w:sz w:val="20"/>
                <w:lang w:val="en-US"/>
              </w:rPr>
              <w:t>Spigel</w:t>
            </w:r>
            <w:proofErr w:type="spellEnd"/>
            <w:r w:rsidRPr="001C3CB9">
              <w:rPr>
                <w:rFonts w:ascii="Times New Roman" w:hAnsi="Times New Roman"/>
                <w:sz w:val="20"/>
                <w:lang w:val="en-US"/>
              </w:rPr>
              <w:t xml:space="preserve">, D. R., Antonia, S. J., Rizvi, N. A., ... &amp; </w:t>
            </w:r>
            <w:proofErr w:type="spellStart"/>
            <w:r w:rsidRPr="001C3CB9">
              <w:rPr>
                <w:rFonts w:ascii="Times New Roman" w:hAnsi="Times New Roman"/>
                <w:sz w:val="20"/>
                <w:lang w:val="en-US"/>
              </w:rPr>
              <w:t>Sequist</w:t>
            </w:r>
            <w:proofErr w:type="spellEnd"/>
            <w:r w:rsidRPr="001C3CB9">
              <w:rPr>
                <w:rFonts w:ascii="Times New Roman" w:hAnsi="Times New Roman"/>
                <w:sz w:val="20"/>
                <w:lang w:val="en-US"/>
              </w:rPr>
              <w:t xml:space="preserve">, L. V. (2015). Overall survival and long-term safety of </w:t>
            </w:r>
            <w:proofErr w:type="spellStart"/>
            <w:r w:rsidRPr="001C3CB9">
              <w:rPr>
                <w:rFonts w:ascii="Times New Roman" w:hAnsi="Times New Roman"/>
                <w:sz w:val="20"/>
                <w:lang w:val="en-US"/>
              </w:rPr>
              <w:t>nivolumab</w:t>
            </w:r>
            <w:proofErr w:type="spellEnd"/>
            <w:r w:rsidRPr="001C3CB9">
              <w:rPr>
                <w:rFonts w:ascii="Times New Roman" w:hAnsi="Times New Roman"/>
                <w:sz w:val="20"/>
                <w:lang w:val="en-US"/>
              </w:rPr>
              <w:t xml:space="preserve"> (anti–programmed death 1 antibody, BMS-936558, ONO-4538) in patients with previously treated advanced non–small-cell lung cancer. </w:t>
            </w:r>
            <w:r w:rsidRPr="001C3CB9">
              <w:rPr>
                <w:rFonts w:ascii="Times New Roman" w:hAnsi="Times New Roman"/>
                <w:sz w:val="20"/>
              </w:rPr>
              <w:t xml:space="preserve">Journal of </w:t>
            </w:r>
            <w:proofErr w:type="spellStart"/>
            <w:r w:rsidRPr="001C3CB9">
              <w:rPr>
                <w:rFonts w:ascii="Times New Roman" w:hAnsi="Times New Roman"/>
                <w:sz w:val="20"/>
              </w:rPr>
              <w:t>clinical</w:t>
            </w:r>
            <w:proofErr w:type="spellEnd"/>
            <w:r w:rsidRPr="001C3CB9">
              <w:rPr>
                <w:rFonts w:ascii="Times New Roman" w:hAnsi="Times New Roman"/>
                <w:sz w:val="20"/>
              </w:rPr>
              <w:t xml:space="preserve"> </w:t>
            </w:r>
            <w:proofErr w:type="spellStart"/>
            <w:r w:rsidRPr="001C3CB9">
              <w:rPr>
                <w:rFonts w:ascii="Times New Roman" w:hAnsi="Times New Roman"/>
                <w:sz w:val="20"/>
              </w:rPr>
              <w:t>oncology</w:t>
            </w:r>
            <w:proofErr w:type="spellEnd"/>
            <w:r w:rsidRPr="001C3CB9">
              <w:rPr>
                <w:rFonts w:ascii="Times New Roman" w:hAnsi="Times New Roman"/>
                <w:sz w:val="20"/>
              </w:rPr>
              <w:t>, 33(18), 2004-2012.</w:t>
            </w:r>
          </w:p>
        </w:tc>
      </w:tr>
      <w:tr w:rsidR="00CD1D5E" w:rsidRPr="00D4440D" w:rsidTr="007D3503">
        <w:trPr>
          <w:trHeight w:val="900"/>
        </w:trPr>
        <w:tc>
          <w:tcPr>
            <w:tcW w:w="369" w:type="pct"/>
            <w:tcBorders>
              <w:top w:val="nil"/>
              <w:left w:val="single" w:sz="4" w:space="0" w:color="auto"/>
              <w:bottom w:val="single" w:sz="4" w:space="0" w:color="auto"/>
              <w:right w:val="single" w:sz="4" w:space="0" w:color="auto"/>
            </w:tcBorders>
          </w:tcPr>
          <w:p w:rsidR="00CD1D5E" w:rsidRPr="001C3CB9" w:rsidRDefault="00CD1D5E" w:rsidP="007D3503">
            <w:pPr>
              <w:rPr>
                <w:rFonts w:ascii="Times New Roman" w:hAnsi="Times New Roman"/>
                <w:sz w:val="20"/>
              </w:rPr>
            </w:pPr>
            <w:r w:rsidRPr="001C3CB9">
              <w:rPr>
                <w:rFonts w:ascii="Times New Roman" w:hAnsi="Times New Roman"/>
                <w:sz w:val="20"/>
              </w:rPr>
              <w:t>Keynote-001 (Part B1)</w:t>
            </w:r>
          </w:p>
        </w:tc>
        <w:tc>
          <w:tcPr>
            <w:tcW w:w="554"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To evaluate the safety profile of </w:t>
            </w:r>
            <w:proofErr w:type="spellStart"/>
            <w:r w:rsidRPr="001C3CB9">
              <w:rPr>
                <w:rFonts w:ascii="Times New Roman" w:hAnsi="Times New Roman"/>
                <w:sz w:val="20"/>
                <w:lang w:val="en-US"/>
              </w:rPr>
              <w:t>pembrolizumab</w:t>
            </w:r>
            <w:proofErr w:type="spellEnd"/>
            <w:r w:rsidRPr="001C3CB9">
              <w:rPr>
                <w:rFonts w:ascii="Times New Roman" w:hAnsi="Times New Roman"/>
                <w:sz w:val="20"/>
                <w:lang w:val="en-US"/>
              </w:rPr>
              <w:t xml:space="preserve"> (formerly called </w:t>
            </w:r>
            <w:proofErr w:type="spellStart"/>
            <w:r w:rsidRPr="001C3CB9">
              <w:rPr>
                <w:rFonts w:ascii="Times New Roman" w:hAnsi="Times New Roman"/>
                <w:sz w:val="20"/>
                <w:lang w:val="en-US"/>
              </w:rPr>
              <w:t>lambrolizumab</w:t>
            </w:r>
            <w:proofErr w:type="spellEnd"/>
            <w:r w:rsidRPr="001C3CB9">
              <w:rPr>
                <w:rFonts w:ascii="Times New Roman" w:hAnsi="Times New Roman"/>
                <w:sz w:val="20"/>
                <w:lang w:val="en-US"/>
              </w:rPr>
              <w:t xml:space="preserve">) assess </w:t>
            </w:r>
            <w:proofErr w:type="spellStart"/>
            <w:r w:rsidRPr="001C3CB9">
              <w:rPr>
                <w:rFonts w:ascii="Times New Roman" w:hAnsi="Times New Roman"/>
                <w:sz w:val="20"/>
                <w:lang w:val="en-US"/>
              </w:rPr>
              <w:t>tumour</w:t>
            </w:r>
            <w:proofErr w:type="spellEnd"/>
            <w:r w:rsidRPr="001C3CB9">
              <w:rPr>
                <w:rFonts w:ascii="Times New Roman" w:hAnsi="Times New Roman"/>
                <w:sz w:val="20"/>
                <w:lang w:val="en-US"/>
              </w:rPr>
              <w:t xml:space="preserve"> response every 12 weeks</w:t>
            </w:r>
          </w:p>
        </w:tc>
        <w:tc>
          <w:tcPr>
            <w:tcW w:w="88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Patients with measurable metastatic or locally advanced </w:t>
            </w:r>
            <w:proofErr w:type="spellStart"/>
            <w:r w:rsidRPr="001C3CB9">
              <w:rPr>
                <w:rFonts w:ascii="Times New Roman" w:hAnsi="Times New Roman"/>
                <w:sz w:val="20"/>
                <w:lang w:val="en-US"/>
              </w:rPr>
              <w:t>unresectable</w:t>
            </w:r>
            <w:proofErr w:type="spellEnd"/>
            <w:r w:rsidRPr="001C3CB9">
              <w:rPr>
                <w:rFonts w:ascii="Times New Roman" w:hAnsi="Times New Roman"/>
                <w:sz w:val="20"/>
                <w:lang w:val="en-US"/>
              </w:rPr>
              <w:t xml:space="preserve"> melanoma, both those who had received prior therapy with </w:t>
            </w:r>
            <w:proofErr w:type="spellStart"/>
            <w:r w:rsidRPr="001C3CB9">
              <w:rPr>
                <w:rFonts w:ascii="Times New Roman" w:hAnsi="Times New Roman"/>
                <w:sz w:val="20"/>
                <w:lang w:val="en-US"/>
              </w:rPr>
              <w:t>ipilimumab</w:t>
            </w:r>
            <w:proofErr w:type="spellEnd"/>
            <w:r w:rsidRPr="001C3CB9">
              <w:rPr>
                <w:rFonts w:ascii="Times New Roman" w:hAnsi="Times New Roman"/>
                <w:sz w:val="20"/>
                <w:lang w:val="en-US"/>
              </w:rPr>
              <w:t xml:space="preserve"> and those who had not.</w:t>
            </w:r>
          </w:p>
        </w:tc>
        <w:tc>
          <w:tcPr>
            <w:tcW w:w="69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proofErr w:type="spellStart"/>
            <w:r w:rsidRPr="001C3CB9">
              <w:rPr>
                <w:rFonts w:ascii="Times New Roman" w:hAnsi="Times New Roman"/>
                <w:sz w:val="20"/>
                <w:lang w:val="en-US"/>
              </w:rPr>
              <w:t>Pembrolizumab</w:t>
            </w:r>
            <w:proofErr w:type="spellEnd"/>
            <w:r w:rsidRPr="001C3CB9">
              <w:rPr>
                <w:rFonts w:ascii="Times New Roman" w:hAnsi="Times New Roman"/>
                <w:sz w:val="20"/>
                <w:lang w:val="en-US"/>
              </w:rPr>
              <w:t xml:space="preserve"> 2 mg/kg every 3 weeks</w:t>
            </w:r>
          </w:p>
        </w:tc>
        <w:tc>
          <w:tcPr>
            <w:tcW w:w="50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w:t>
            </w:r>
            <w:proofErr w:type="spellStart"/>
            <w:r w:rsidRPr="001C3CB9">
              <w:rPr>
                <w:rFonts w:ascii="Times New Roman" w:hAnsi="Times New Roman"/>
                <w:sz w:val="20"/>
                <w:lang w:val="en-US"/>
              </w:rPr>
              <w:t>Pembrolizumab</w:t>
            </w:r>
            <w:proofErr w:type="spellEnd"/>
            <w:r w:rsidRPr="001C3CB9">
              <w:rPr>
                <w:rFonts w:ascii="Times New Roman" w:hAnsi="Times New Roman"/>
                <w:sz w:val="20"/>
                <w:lang w:val="en-US"/>
              </w:rPr>
              <w:t xml:space="preserve"> 10 mg/kg every 2 weeks</w:t>
            </w:r>
            <w:r w:rsidRPr="001C3CB9">
              <w:rPr>
                <w:rFonts w:ascii="Times New Roman" w:hAnsi="Times New Roman"/>
                <w:sz w:val="20"/>
                <w:lang w:val="en-US"/>
              </w:rPr>
              <w:br/>
              <w:t>-</w:t>
            </w:r>
            <w:proofErr w:type="spellStart"/>
            <w:r w:rsidRPr="001C3CB9">
              <w:rPr>
                <w:rFonts w:ascii="Times New Roman" w:hAnsi="Times New Roman"/>
                <w:sz w:val="20"/>
                <w:lang w:val="en-US"/>
              </w:rPr>
              <w:t>Pembrolizumab</w:t>
            </w:r>
            <w:proofErr w:type="spellEnd"/>
            <w:r w:rsidRPr="001C3CB9">
              <w:rPr>
                <w:rFonts w:ascii="Times New Roman" w:hAnsi="Times New Roman"/>
                <w:sz w:val="20"/>
                <w:lang w:val="en-US"/>
              </w:rPr>
              <w:t xml:space="preserve"> 10 mg/kg every 3 weeks</w:t>
            </w:r>
          </w:p>
        </w:tc>
        <w:tc>
          <w:tcPr>
            <w:tcW w:w="979"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Efficacy end-points: overall responses derived from investigator-reported data, with assessment according to immune-related response criteria; and overall responses derived from independent, central, blinded radiologic review, with assessment according to the Response Evaluation Criteria in Solid Tumors (RECIST), version 1.1</w:t>
            </w:r>
            <w:r w:rsidRPr="001C3CB9">
              <w:rPr>
                <w:rFonts w:ascii="Times New Roman" w:hAnsi="Times New Roman"/>
                <w:sz w:val="20"/>
                <w:lang w:val="en-US"/>
              </w:rPr>
              <w:br/>
              <w:t>Toxic effects: graded with the use of the National Cancer Institute Common Terminology Criteria for Adverse Events, version 4.0.</w:t>
            </w:r>
          </w:p>
        </w:tc>
        <w:tc>
          <w:tcPr>
            <w:tcW w:w="476"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Expansion cohort of phase 1 dose-escalation study; non-</w:t>
            </w:r>
            <w:proofErr w:type="spellStart"/>
            <w:r w:rsidRPr="001C3CB9">
              <w:rPr>
                <w:rFonts w:ascii="Times New Roman" w:hAnsi="Times New Roman"/>
                <w:sz w:val="20"/>
                <w:lang w:val="en-US"/>
              </w:rPr>
              <w:t>randomised</w:t>
            </w:r>
            <w:proofErr w:type="spellEnd"/>
            <w:r w:rsidRPr="001C3CB9">
              <w:rPr>
                <w:rFonts w:ascii="Times New Roman" w:hAnsi="Times New Roman"/>
                <w:sz w:val="20"/>
                <w:lang w:val="en-US"/>
              </w:rPr>
              <w:t xml:space="preserve"> study.</w:t>
            </w:r>
          </w:p>
        </w:tc>
        <w:tc>
          <w:tcPr>
            <w:tcW w:w="535" w:type="pct"/>
            <w:tcBorders>
              <w:top w:val="nil"/>
              <w:left w:val="nil"/>
              <w:bottom w:val="single" w:sz="4" w:space="0" w:color="auto"/>
              <w:right w:val="single" w:sz="4" w:space="0" w:color="auto"/>
            </w:tcBorders>
          </w:tcPr>
          <w:p w:rsidR="00CD1D5E" w:rsidRPr="001C3CB9" w:rsidRDefault="00CD1D5E" w:rsidP="007D3503">
            <w:pPr>
              <w:rPr>
                <w:rFonts w:ascii="Times New Roman" w:hAnsi="Times New Roman"/>
                <w:sz w:val="20"/>
                <w:lang w:val="en-US"/>
              </w:rPr>
            </w:pPr>
            <w:r w:rsidRPr="001C3CB9">
              <w:rPr>
                <w:rFonts w:ascii="Times New Roman" w:hAnsi="Times New Roman"/>
                <w:sz w:val="20"/>
                <w:lang w:val="en-US"/>
              </w:rPr>
              <w:t xml:space="preserve">Hamid O et al (2013) Safety and tumor responses with </w:t>
            </w:r>
            <w:proofErr w:type="spellStart"/>
            <w:r w:rsidRPr="001C3CB9">
              <w:rPr>
                <w:rFonts w:ascii="Times New Roman" w:hAnsi="Times New Roman"/>
                <w:sz w:val="20"/>
                <w:lang w:val="en-US"/>
              </w:rPr>
              <w:t>lambrolizumab</w:t>
            </w:r>
            <w:proofErr w:type="spellEnd"/>
            <w:r w:rsidRPr="001C3CB9">
              <w:rPr>
                <w:rFonts w:ascii="Times New Roman" w:hAnsi="Times New Roman"/>
                <w:sz w:val="20"/>
                <w:lang w:val="en-US"/>
              </w:rPr>
              <w:t xml:space="preserve"> (Anti-PD-1) in melanoma NEJM 369:2 134-144.</w:t>
            </w:r>
          </w:p>
        </w:tc>
      </w:tr>
    </w:tbl>
    <w:p w:rsidR="00CD1D5E" w:rsidRPr="001C3CB9" w:rsidRDefault="00CD1D5E" w:rsidP="00CD1D5E">
      <w:pPr>
        <w:rPr>
          <w:rFonts w:ascii="Times New Roman" w:hAnsi="Times New Roman"/>
          <w:lang w:val="en-US"/>
        </w:rPr>
      </w:pPr>
    </w:p>
    <w:p w:rsidR="00CD1D5E" w:rsidRPr="001C3CB9" w:rsidRDefault="00CD1D5E" w:rsidP="00CD1D5E">
      <w:pPr>
        <w:pStyle w:val="Bijschrift"/>
        <w:spacing w:line="360" w:lineRule="auto"/>
        <w:rPr>
          <w:rFonts w:ascii="Times New Roman" w:hAnsi="Times New Roman"/>
          <w:lang w:val="en-GB"/>
        </w:rPr>
        <w:sectPr w:rsidR="00CD1D5E" w:rsidRPr="001C3CB9" w:rsidSect="004B0F3C">
          <w:pgSz w:w="16840" w:h="11900" w:orient="landscape"/>
          <w:pgMar w:top="1411" w:right="1411" w:bottom="1411" w:left="1411" w:header="706" w:footer="706" w:gutter="0"/>
          <w:cols w:space="708"/>
          <w:docGrid w:linePitch="360"/>
        </w:sectPr>
      </w:pPr>
    </w:p>
    <w:p w:rsidR="00CD1D5E" w:rsidRPr="001C3CB9" w:rsidRDefault="00CD1D5E" w:rsidP="00CD1D5E">
      <w:pPr>
        <w:autoSpaceDE w:val="0"/>
        <w:autoSpaceDN w:val="0"/>
        <w:adjustRightInd w:val="0"/>
        <w:spacing w:line="360" w:lineRule="auto"/>
        <w:rPr>
          <w:rFonts w:ascii="Times New Roman" w:hAnsi="Times New Roman"/>
          <w:sz w:val="21"/>
          <w:szCs w:val="21"/>
          <w:lang w:val="en-GB"/>
        </w:rPr>
      </w:pPr>
    </w:p>
    <w:p w:rsidR="00D20D78" w:rsidRPr="001C3CB9" w:rsidRDefault="00D20D78" w:rsidP="004E2F45">
      <w:pPr>
        <w:rPr>
          <w:rFonts w:ascii="Times New Roman" w:hAnsi="Times New Roman"/>
          <w:lang w:val="en-US"/>
        </w:rPr>
      </w:pPr>
    </w:p>
    <w:sectPr w:rsidR="00D20D78" w:rsidRPr="001C3CB9" w:rsidSect="004E2F45">
      <w:headerReference w:type="even" r:id="rId12"/>
      <w:headerReference w:type="default" r:id="rId13"/>
      <w:footerReference w:type="even" r:id="rId14"/>
      <w:footerReference w:type="default" r:id="rId15"/>
      <w:headerReference w:type="first" r:id="rId16"/>
      <w:footerReference w:type="first" r:id="rId17"/>
      <w:pgSz w:w="11906" w:h="16838" w:code="9"/>
      <w:pgMar w:top="2268" w:right="1673" w:bottom="1077" w:left="1588" w:header="1219" w:footer="5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56B" w:rsidRDefault="000D256B" w:rsidP="007A27DC">
      <w:r>
        <w:separator/>
      </w:r>
    </w:p>
  </w:endnote>
  <w:endnote w:type="continuationSeparator" w:id="0">
    <w:p w:rsidR="000D256B" w:rsidRDefault="000D256B" w:rsidP="007A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4A5" w:rsidRDefault="00D954A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4A5" w:rsidRDefault="00D954A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4A5" w:rsidRDefault="00D954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56B" w:rsidRDefault="000D256B" w:rsidP="007A27DC">
      <w:r>
        <w:separator/>
      </w:r>
    </w:p>
  </w:footnote>
  <w:footnote w:type="continuationSeparator" w:id="0">
    <w:p w:rsidR="000D256B" w:rsidRDefault="000D256B" w:rsidP="007A2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4A5" w:rsidRDefault="00D954A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4A5" w:rsidRDefault="00D954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4A5" w:rsidRDefault="00D954A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5717"/>
    <w:multiLevelType w:val="hybridMultilevel"/>
    <w:tmpl w:val="B18608C2"/>
    <w:lvl w:ilvl="0" w:tplc="5E6489D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D2072"/>
    <w:multiLevelType w:val="hybridMultilevel"/>
    <w:tmpl w:val="B422F83A"/>
    <w:lvl w:ilvl="0" w:tplc="42BA570A">
      <w:start w:val="1"/>
      <w:numFmt w:val="decimal"/>
      <w:lvlRestart w:val="0"/>
      <w:pStyle w:val="ROpsomming-cijfers"/>
      <w:lvlText w:val="%1"/>
      <w:lvlJc w:val="left"/>
      <w:pPr>
        <w:tabs>
          <w:tab w:val="num" w:pos="0"/>
        </w:tabs>
        <w:ind w:left="454" w:hanging="454"/>
      </w:pPr>
      <w:rPr>
        <w:rFonts w:ascii="Verdana" w:hAnsi="Verdana" w:hint="default"/>
        <w:b w:val="0"/>
        <w:i w:val="0"/>
        <w:caps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A285F76"/>
    <w:multiLevelType w:val="hybridMultilevel"/>
    <w:tmpl w:val="0736E31A"/>
    <w:lvl w:ilvl="0" w:tplc="A36E65A6">
      <w:start w:val="1"/>
      <w:numFmt w:val="bullet"/>
      <w:lvlRestart w:val="0"/>
      <w:pStyle w:val="ROpsomming-bolletjes-klein"/>
      <w:lvlText w:val="•"/>
      <w:lvlJc w:val="left"/>
      <w:pPr>
        <w:tabs>
          <w:tab w:val="num" w:pos="0"/>
        </w:tabs>
        <w:ind w:left="227" w:hanging="227"/>
      </w:pPr>
      <w:rPr>
        <w:rFonts w:ascii="Verdana" w:hAnsi="Verdana" w:hint="default"/>
        <w:b w:val="0"/>
        <w:i w:val="0"/>
        <w:caps w:val="0"/>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67B51"/>
    <w:multiLevelType w:val="hybridMultilevel"/>
    <w:tmpl w:val="EA3CA742"/>
    <w:lvl w:ilvl="0" w:tplc="CC0C62F0">
      <w:start w:val="1"/>
      <w:numFmt w:val="bullet"/>
      <w:lvlRestart w:val="0"/>
      <w:pStyle w:val="RAankruisvak-vinkje"/>
      <w:lvlText w:val="þ"/>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174F9"/>
    <w:multiLevelType w:val="hybridMultilevel"/>
    <w:tmpl w:val="264C997C"/>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6693FAD"/>
    <w:multiLevelType w:val="multilevel"/>
    <w:tmpl w:val="D9284C00"/>
    <w:lvl w:ilvl="0">
      <w:start w:val="1"/>
      <w:numFmt w:val="decimal"/>
      <w:lvlRestart w:val="0"/>
      <w:pStyle w:val="Kop1"/>
      <w:suff w:val="space"/>
      <w:lvlText w:val="%1"/>
      <w:lvlJc w:val="left"/>
      <w:pPr>
        <w:ind w:left="0" w:firstLine="0"/>
      </w:pPr>
      <w:rPr>
        <w:rFonts w:ascii="Verdana" w:hAnsi="Verdana" w:hint="default"/>
        <w:sz w:val="24"/>
      </w:rPr>
    </w:lvl>
    <w:lvl w:ilvl="1">
      <w:start w:val="1"/>
      <w:numFmt w:val="decimal"/>
      <w:pStyle w:val="Kop2"/>
      <w:suff w:val="space"/>
      <w:lvlText w:val="%1.%2"/>
      <w:lvlJc w:val="left"/>
      <w:pPr>
        <w:ind w:left="0" w:firstLine="0"/>
      </w:pPr>
      <w:rPr>
        <w:rFonts w:ascii="Verdana" w:hAnsi="Verdana" w:hint="default"/>
        <w:b/>
        <w:sz w:val="18"/>
      </w:rPr>
    </w:lvl>
    <w:lvl w:ilvl="2">
      <w:start w:val="1"/>
      <w:numFmt w:val="decimal"/>
      <w:pStyle w:val="Kop3"/>
      <w:suff w:val="space"/>
      <w:lvlText w:val="%1.%2.%3"/>
      <w:lvlJc w:val="left"/>
      <w:pPr>
        <w:ind w:left="0" w:firstLine="0"/>
      </w:pPr>
      <w:rPr>
        <w:rFonts w:ascii="Verdana" w:hAnsi="Verdana" w:hint="default"/>
        <w:i/>
        <w:sz w:val="18"/>
      </w:rPr>
    </w:lvl>
    <w:lvl w:ilvl="3">
      <w:start w:val="1"/>
      <w:numFmt w:val="decimal"/>
      <w:pStyle w:val="Kop4"/>
      <w:suff w:val="space"/>
      <w:lvlText w:val="%1.%2.%3.%4"/>
      <w:lvlJc w:val="left"/>
      <w:pPr>
        <w:ind w:left="0" w:firstLine="0"/>
      </w:pPr>
      <w:rPr>
        <w:rFonts w:ascii="Verdana" w:hAnsi="Verdana" w:hint="default"/>
        <w:b w:val="0"/>
        <w:i w:val="0"/>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8601D0B"/>
    <w:multiLevelType w:val="hybridMultilevel"/>
    <w:tmpl w:val="E024466A"/>
    <w:lvl w:ilvl="0" w:tplc="0413000F">
      <w:start w:val="1"/>
      <w:numFmt w:val="decimal"/>
      <w:lvlText w:val="%1."/>
      <w:lvlJc w:val="left"/>
      <w:pPr>
        <w:tabs>
          <w:tab w:val="num" w:pos="720"/>
        </w:tabs>
        <w:ind w:left="720" w:hanging="360"/>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666694"/>
    <w:multiLevelType w:val="multilevel"/>
    <w:tmpl w:val="CC14AE4E"/>
    <w:lvl w:ilvl="0">
      <w:start w:val="1"/>
      <w:numFmt w:val="bullet"/>
      <w:lvlRestart w:val="0"/>
      <w:pStyle w:val="ROpsomming-bullets"/>
      <w:lvlText w:val="•"/>
      <w:lvlJc w:val="left"/>
      <w:pPr>
        <w:tabs>
          <w:tab w:val="num" w:pos="454"/>
        </w:tabs>
        <w:ind w:left="454" w:hanging="454"/>
      </w:pPr>
      <w:rPr>
        <w:rFonts w:ascii="Verdana" w:hAnsi="Verdana" w:hint="default"/>
        <w:b w:val="0"/>
        <w:i w:val="0"/>
        <w:sz w:val="18"/>
      </w:rPr>
    </w:lvl>
    <w:lvl w:ilvl="1">
      <w:start w:val="1"/>
      <w:numFmt w:val="bullet"/>
      <w:lvlText w:val="−"/>
      <w:lvlJc w:val="left"/>
      <w:pPr>
        <w:tabs>
          <w:tab w:val="num" w:pos="907"/>
        </w:tabs>
        <w:ind w:left="907" w:hanging="453"/>
      </w:pPr>
      <w:rPr>
        <w:rFonts w:ascii="Verdana" w:hAnsi="Verdana" w:hint="default"/>
        <w:b w:val="0"/>
        <w:i w:val="0"/>
        <w:sz w:val="18"/>
      </w:rPr>
    </w:lvl>
    <w:lvl w:ilvl="2">
      <w:start w:val="1"/>
      <w:numFmt w:val="bullet"/>
      <w:lvlText w:val="•"/>
      <w:lvlJc w:val="left"/>
      <w:pPr>
        <w:tabs>
          <w:tab w:val="num" w:pos="1361"/>
        </w:tabs>
        <w:ind w:left="1361" w:hanging="454"/>
      </w:pPr>
      <w:rPr>
        <w:rFonts w:ascii="Verdana" w:hAnsi="Verdana" w:hint="default"/>
        <w:b w:val="0"/>
        <w:i w:val="0"/>
        <w:sz w:val="18"/>
      </w:rPr>
    </w:lvl>
    <w:lvl w:ilvl="3">
      <w:start w:val="1"/>
      <w:numFmt w:val="bullet"/>
      <w:lvlText w:val="−"/>
      <w:lvlJc w:val="left"/>
      <w:pPr>
        <w:tabs>
          <w:tab w:val="num" w:pos="1814"/>
        </w:tabs>
        <w:ind w:left="1814" w:hanging="453"/>
      </w:pPr>
      <w:rPr>
        <w:rFonts w:ascii="Verdana" w:hAnsi="Verdana" w:hint="default"/>
        <w:b w:val="0"/>
        <w:i w:val="0"/>
        <w:sz w:val="18"/>
      </w:rPr>
    </w:lvl>
    <w:lvl w:ilvl="4">
      <w:start w:val="1"/>
      <w:numFmt w:val="bullet"/>
      <w:lvlText w:val="•"/>
      <w:lvlJc w:val="left"/>
      <w:pPr>
        <w:tabs>
          <w:tab w:val="num" w:pos="2268"/>
        </w:tabs>
        <w:ind w:left="2268" w:hanging="454"/>
      </w:pPr>
      <w:rPr>
        <w:rFonts w:ascii="Verdana" w:hAnsi="Verdana" w:hint="default"/>
        <w:b w:val="0"/>
        <w:i w:val="0"/>
        <w:sz w:val="18"/>
      </w:rPr>
    </w:lvl>
    <w:lvl w:ilvl="5">
      <w:start w:val="1"/>
      <w:numFmt w:val="bullet"/>
      <w:lvlText w:val="−"/>
      <w:lvlJc w:val="left"/>
      <w:pPr>
        <w:tabs>
          <w:tab w:val="num" w:pos="2722"/>
        </w:tabs>
        <w:ind w:left="2722" w:hanging="454"/>
      </w:pPr>
      <w:rPr>
        <w:rFonts w:ascii="Verdana" w:hAnsi="Verdana" w:hint="default"/>
        <w:b w:val="0"/>
        <w:i w:val="0"/>
        <w:sz w:val="18"/>
      </w:rPr>
    </w:lvl>
    <w:lvl w:ilvl="6">
      <w:start w:val="1"/>
      <w:numFmt w:val="bullet"/>
      <w:lvlText w:val="•"/>
      <w:lvlJc w:val="left"/>
      <w:pPr>
        <w:tabs>
          <w:tab w:val="num" w:pos="3175"/>
        </w:tabs>
        <w:ind w:left="3175" w:hanging="453"/>
      </w:pPr>
      <w:rPr>
        <w:rFonts w:ascii="Verdana" w:hAnsi="Verdana" w:hint="default"/>
        <w:b w:val="0"/>
        <w:i w:val="0"/>
        <w:sz w:val="18"/>
      </w:rPr>
    </w:lvl>
    <w:lvl w:ilvl="7">
      <w:start w:val="1"/>
      <w:numFmt w:val="bullet"/>
      <w:lvlText w:val="−"/>
      <w:lvlJc w:val="left"/>
      <w:pPr>
        <w:tabs>
          <w:tab w:val="num" w:pos="3629"/>
        </w:tabs>
        <w:ind w:left="3629" w:hanging="454"/>
      </w:pPr>
      <w:rPr>
        <w:rFonts w:ascii="Verdana" w:hAnsi="Verdana" w:hint="default"/>
        <w:b w:val="0"/>
        <w:i w:val="0"/>
        <w:sz w:val="18"/>
      </w:rPr>
    </w:lvl>
    <w:lvl w:ilvl="8">
      <w:start w:val="1"/>
      <w:numFmt w:val="bullet"/>
      <w:lvlText w:val="•"/>
      <w:lvlJc w:val="left"/>
      <w:pPr>
        <w:tabs>
          <w:tab w:val="num" w:pos="4082"/>
        </w:tabs>
        <w:ind w:left="4082" w:hanging="453"/>
      </w:pPr>
      <w:rPr>
        <w:rFonts w:ascii="Verdana" w:hAnsi="Verdana" w:hint="default"/>
        <w:b w:val="0"/>
        <w:i w:val="0"/>
        <w:sz w:val="18"/>
      </w:rPr>
    </w:lvl>
  </w:abstractNum>
  <w:abstractNum w:abstractNumId="8" w15:restartNumberingAfterBreak="0">
    <w:nsid w:val="396F04A4"/>
    <w:multiLevelType w:val="hybridMultilevel"/>
    <w:tmpl w:val="27DEDE36"/>
    <w:lvl w:ilvl="0" w:tplc="FC8C3B9C">
      <w:start w:val="1"/>
      <w:numFmt w:val="bullet"/>
      <w:lvlRestart w:val="0"/>
      <w:pStyle w:val="ROpsomming-ingesprongen"/>
      <w:lvlText w:val="–"/>
      <w:lvlJc w:val="left"/>
      <w:pPr>
        <w:tabs>
          <w:tab w:val="num" w:pos="0"/>
        </w:tabs>
        <w:ind w:left="227" w:hanging="227"/>
      </w:pPr>
      <w:rPr>
        <w:rFonts w:ascii="Verdana" w:hAnsi="Verdana" w:hint="default"/>
        <w:b w:val="0"/>
        <w:i w:val="0"/>
        <w:caps w:val="0"/>
        <w:sz w:val="18"/>
      </w:rPr>
    </w:lvl>
    <w:lvl w:ilvl="1" w:tplc="04130003" w:tentative="1">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9" w15:restartNumberingAfterBreak="0">
    <w:nsid w:val="47EB3799"/>
    <w:multiLevelType w:val="hybridMultilevel"/>
    <w:tmpl w:val="3C9CB0E2"/>
    <w:lvl w:ilvl="0" w:tplc="F91AFE7C">
      <w:start w:val="1"/>
      <w:numFmt w:val="bullet"/>
      <w:lvlRestart w:val="0"/>
      <w:pStyle w:val="ROpsomming-bolletjes"/>
      <w:lvlText w:val="•"/>
      <w:lvlJc w:val="left"/>
      <w:pPr>
        <w:tabs>
          <w:tab w:val="num" w:pos="0"/>
        </w:tabs>
        <w:ind w:left="227" w:hanging="227"/>
      </w:pPr>
      <w:rPr>
        <w:rFonts w:ascii="Verdana" w:hAnsi="Verdana" w:hint="default"/>
        <w:b w:val="0"/>
        <w:i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457A88"/>
    <w:multiLevelType w:val="multilevel"/>
    <w:tmpl w:val="5A086A9C"/>
    <w:lvl w:ilvl="0">
      <w:start w:val="1"/>
      <w:numFmt w:val="decimal"/>
      <w:pStyle w:val="ROpsomming-genummerd"/>
      <w:lvlText w:val="%1"/>
      <w:lvlJc w:val="left"/>
      <w:pPr>
        <w:tabs>
          <w:tab w:val="num" w:pos="454"/>
        </w:tabs>
        <w:ind w:left="454" w:hanging="454"/>
      </w:pPr>
      <w:rPr>
        <w:rFonts w:ascii="Verdana" w:hAnsi="Verdana" w:hint="default"/>
        <w:sz w:val="18"/>
      </w:rPr>
    </w:lvl>
    <w:lvl w:ilvl="1">
      <w:start w:val="1"/>
      <w:numFmt w:val="lowerLetter"/>
      <w:lvlText w:val="%2"/>
      <w:lvlJc w:val="left"/>
      <w:pPr>
        <w:tabs>
          <w:tab w:val="num" w:pos="907"/>
        </w:tabs>
        <w:ind w:left="907" w:hanging="453"/>
      </w:pPr>
      <w:rPr>
        <w:rFonts w:hint="default"/>
      </w:rPr>
    </w:lvl>
    <w:lvl w:ilvl="2">
      <w:start w:val="1"/>
      <w:numFmt w:val="decimal"/>
      <w:lvlText w:val="%3"/>
      <w:lvlJc w:val="left"/>
      <w:pPr>
        <w:tabs>
          <w:tab w:val="num" w:pos="1361"/>
        </w:tabs>
        <w:ind w:left="1361" w:hanging="454"/>
      </w:pPr>
      <w:rPr>
        <w:rFonts w:ascii="Verdana" w:hAnsi="Verdana" w:hint="default"/>
        <w:sz w:val="18"/>
      </w:rPr>
    </w:lvl>
    <w:lvl w:ilvl="3">
      <w:start w:val="1"/>
      <w:numFmt w:val="lowerLetter"/>
      <w:lvlText w:val="%4"/>
      <w:lvlJc w:val="left"/>
      <w:pPr>
        <w:tabs>
          <w:tab w:val="num" w:pos="1814"/>
        </w:tabs>
        <w:ind w:left="1814" w:hanging="453"/>
      </w:pPr>
      <w:rPr>
        <w:rFonts w:hint="default"/>
      </w:rPr>
    </w:lvl>
    <w:lvl w:ilvl="4">
      <w:start w:val="1"/>
      <w:numFmt w:val="decimal"/>
      <w:lvlText w:val="%5"/>
      <w:lvlJc w:val="left"/>
      <w:pPr>
        <w:tabs>
          <w:tab w:val="num" w:pos="2268"/>
        </w:tabs>
        <w:ind w:left="2268" w:hanging="454"/>
      </w:pPr>
      <w:rPr>
        <w:rFonts w:ascii="Verdana" w:hAnsi="Verdana" w:hint="default"/>
        <w:b w:val="0"/>
        <w:i w:val="0"/>
        <w:sz w:val="18"/>
      </w:rPr>
    </w:lvl>
    <w:lvl w:ilvl="5">
      <w:start w:val="1"/>
      <w:numFmt w:val="lowerLetter"/>
      <w:lvlText w:val="%6"/>
      <w:lvlJc w:val="left"/>
      <w:pPr>
        <w:tabs>
          <w:tab w:val="num" w:pos="2722"/>
        </w:tabs>
        <w:ind w:left="2722" w:hanging="454"/>
      </w:pPr>
      <w:rPr>
        <w:rFonts w:ascii="Verdana" w:hAnsi="Verdana" w:hint="default"/>
        <w:b w:val="0"/>
        <w:i w:val="0"/>
        <w:sz w:val="18"/>
      </w:rPr>
    </w:lvl>
    <w:lvl w:ilvl="6">
      <w:start w:val="1"/>
      <w:numFmt w:val="decimal"/>
      <w:lvlText w:val="%7"/>
      <w:lvlJc w:val="left"/>
      <w:pPr>
        <w:tabs>
          <w:tab w:val="num" w:pos="3175"/>
        </w:tabs>
        <w:ind w:left="3175" w:hanging="453"/>
      </w:pPr>
      <w:rPr>
        <w:rFonts w:ascii="Verdana" w:hAnsi="Verdana" w:hint="default"/>
        <w:b w:val="0"/>
        <w:i w:val="0"/>
        <w:sz w:val="18"/>
      </w:rPr>
    </w:lvl>
    <w:lvl w:ilvl="7">
      <w:start w:val="1"/>
      <w:numFmt w:val="lowerLetter"/>
      <w:lvlText w:val="%8"/>
      <w:lvlJc w:val="left"/>
      <w:pPr>
        <w:tabs>
          <w:tab w:val="num" w:pos="3629"/>
        </w:tabs>
        <w:ind w:left="3629" w:hanging="454"/>
      </w:pPr>
      <w:rPr>
        <w:rFonts w:ascii="Verdana" w:hAnsi="Verdana" w:hint="default"/>
        <w:b w:val="0"/>
        <w:i w:val="0"/>
        <w:sz w:val="18"/>
      </w:rPr>
    </w:lvl>
    <w:lvl w:ilvl="8">
      <w:start w:val="1"/>
      <w:numFmt w:val="decimal"/>
      <w:lvlText w:val="%9"/>
      <w:lvlJc w:val="left"/>
      <w:pPr>
        <w:tabs>
          <w:tab w:val="num" w:pos="4082"/>
        </w:tabs>
        <w:ind w:left="4082" w:hanging="453"/>
      </w:pPr>
      <w:rPr>
        <w:rFonts w:ascii="Verdana" w:hAnsi="Verdana" w:hint="default"/>
        <w:b w:val="0"/>
        <w:i w:val="0"/>
        <w:sz w:val="18"/>
      </w:rPr>
    </w:lvl>
  </w:abstractNum>
  <w:abstractNum w:abstractNumId="11" w15:restartNumberingAfterBreak="0">
    <w:nsid w:val="578F5D3D"/>
    <w:multiLevelType w:val="hybridMultilevel"/>
    <w:tmpl w:val="4A1A44F6"/>
    <w:lvl w:ilvl="0" w:tplc="0413000F">
      <w:start w:val="1"/>
      <w:numFmt w:val="decimal"/>
      <w:lvlText w:val="%1."/>
      <w:lvlJc w:val="left"/>
      <w:pPr>
        <w:tabs>
          <w:tab w:val="num" w:pos="720"/>
        </w:tabs>
        <w:ind w:left="720" w:hanging="360"/>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F965E2"/>
    <w:multiLevelType w:val="hybridMultilevel"/>
    <w:tmpl w:val="945AD87A"/>
    <w:lvl w:ilvl="0" w:tplc="04130011">
      <w:start w:val="1"/>
      <w:numFmt w:val="decimal"/>
      <w:lvlText w:val="%1)"/>
      <w:lvlJc w:val="left"/>
      <w:pPr>
        <w:tabs>
          <w:tab w:val="num" w:pos="720"/>
        </w:tabs>
        <w:ind w:left="720" w:hanging="360"/>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19">
      <w:start w:val="1"/>
      <w:numFmt w:val="lowerLetter"/>
      <w:lvlText w:val="%3."/>
      <w:lvlJc w:val="left"/>
      <w:pPr>
        <w:tabs>
          <w:tab w:val="num" w:pos="2160"/>
        </w:tabs>
        <w:ind w:left="2160" w:hanging="360"/>
      </w:pPr>
      <w:rPr>
        <w:rFonts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EE17C7"/>
    <w:multiLevelType w:val="hybridMultilevel"/>
    <w:tmpl w:val="CB4A55B2"/>
    <w:lvl w:ilvl="0" w:tplc="0413000F">
      <w:start w:val="1"/>
      <w:numFmt w:val="decimal"/>
      <w:lvlText w:val="%1."/>
      <w:lvlJc w:val="left"/>
      <w:pPr>
        <w:tabs>
          <w:tab w:val="num" w:pos="720"/>
        </w:tabs>
        <w:ind w:left="720" w:hanging="360"/>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E958E1"/>
    <w:multiLevelType w:val="hybridMultilevel"/>
    <w:tmpl w:val="03C87B28"/>
    <w:lvl w:ilvl="0" w:tplc="0413000F">
      <w:start w:val="1"/>
      <w:numFmt w:val="decimal"/>
      <w:lvlText w:val="%1."/>
      <w:lvlJc w:val="left"/>
      <w:pPr>
        <w:tabs>
          <w:tab w:val="num" w:pos="720"/>
        </w:tabs>
        <w:ind w:left="720" w:hanging="360"/>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D85237"/>
    <w:multiLevelType w:val="hybridMultilevel"/>
    <w:tmpl w:val="B4209DCA"/>
    <w:lvl w:ilvl="0" w:tplc="0413000F">
      <w:start w:val="1"/>
      <w:numFmt w:val="decimal"/>
      <w:lvlText w:val="%1."/>
      <w:lvlJc w:val="left"/>
      <w:pPr>
        <w:tabs>
          <w:tab w:val="num" w:pos="720"/>
        </w:tabs>
        <w:ind w:left="720" w:hanging="360"/>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0"/>
  </w:num>
  <w:num w:numId="6">
    <w:abstractNumId w:val="3"/>
  </w:num>
  <w:num w:numId="7">
    <w:abstractNumId w:val="9"/>
  </w:num>
  <w:num w:numId="8">
    <w:abstractNumId w:val="2"/>
  </w:num>
  <w:num w:numId="9">
    <w:abstractNumId w:val="7"/>
  </w:num>
  <w:num w:numId="10">
    <w:abstractNumId w:val="1"/>
  </w:num>
  <w:num w:numId="11">
    <w:abstractNumId w:val="10"/>
  </w:num>
  <w:num w:numId="12">
    <w:abstractNumId w:val="8"/>
  </w:num>
  <w:num w:numId="13">
    <w:abstractNumId w:val="12"/>
  </w:num>
  <w:num w:numId="14">
    <w:abstractNumId w:val="13"/>
  </w:num>
  <w:num w:numId="15">
    <w:abstractNumId w:val="6"/>
  </w:num>
  <w:num w:numId="16">
    <w:abstractNumId w:val="11"/>
  </w:num>
  <w:num w:numId="17">
    <w:abstractNumId w:val="15"/>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6B"/>
    <w:rsid w:val="00003CD6"/>
    <w:rsid w:val="00015DE9"/>
    <w:rsid w:val="000B027E"/>
    <w:rsid w:val="000D256B"/>
    <w:rsid w:val="000D6E43"/>
    <w:rsid w:val="001B7E99"/>
    <w:rsid w:val="001C08C7"/>
    <w:rsid w:val="001C3CB9"/>
    <w:rsid w:val="002B3FDC"/>
    <w:rsid w:val="002F4E34"/>
    <w:rsid w:val="00312E69"/>
    <w:rsid w:val="00366332"/>
    <w:rsid w:val="0046346C"/>
    <w:rsid w:val="0046726C"/>
    <w:rsid w:val="004E2F45"/>
    <w:rsid w:val="005022A3"/>
    <w:rsid w:val="0051267D"/>
    <w:rsid w:val="005838C0"/>
    <w:rsid w:val="005A4D44"/>
    <w:rsid w:val="00601624"/>
    <w:rsid w:val="006177C9"/>
    <w:rsid w:val="00625100"/>
    <w:rsid w:val="006330F2"/>
    <w:rsid w:val="006923F2"/>
    <w:rsid w:val="006A3016"/>
    <w:rsid w:val="006F6D9E"/>
    <w:rsid w:val="0073025E"/>
    <w:rsid w:val="00751CDC"/>
    <w:rsid w:val="007947D0"/>
    <w:rsid w:val="007A27DC"/>
    <w:rsid w:val="007F2030"/>
    <w:rsid w:val="008749DD"/>
    <w:rsid w:val="008912D5"/>
    <w:rsid w:val="008D61A4"/>
    <w:rsid w:val="00983038"/>
    <w:rsid w:val="009832A3"/>
    <w:rsid w:val="00A169A9"/>
    <w:rsid w:val="00A934C3"/>
    <w:rsid w:val="00AC5448"/>
    <w:rsid w:val="00B34F04"/>
    <w:rsid w:val="00BE1E9B"/>
    <w:rsid w:val="00BF4F41"/>
    <w:rsid w:val="00C15BD7"/>
    <w:rsid w:val="00C7290E"/>
    <w:rsid w:val="00C737A0"/>
    <w:rsid w:val="00CD1D5E"/>
    <w:rsid w:val="00CD29FF"/>
    <w:rsid w:val="00D20D78"/>
    <w:rsid w:val="00D4440D"/>
    <w:rsid w:val="00D57B2B"/>
    <w:rsid w:val="00D66D80"/>
    <w:rsid w:val="00D91B87"/>
    <w:rsid w:val="00D954A5"/>
    <w:rsid w:val="00EA59B0"/>
    <w:rsid w:val="00EB03B5"/>
    <w:rsid w:val="00F552A4"/>
    <w:rsid w:val="00FB5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A104B0-D79F-4215-8A16-74531396D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99"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3CB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line="240" w:lineRule="atLeast"/>
    </w:pPr>
    <w:rPr>
      <w:rFonts w:ascii="Verdana" w:hAnsi="Verdana"/>
      <w:sz w:val="18"/>
    </w:rPr>
  </w:style>
  <w:style w:type="paragraph" w:styleId="Kop1">
    <w:name w:val="heading 1"/>
    <w:basedOn w:val="Standaard"/>
    <w:next w:val="Standaard"/>
    <w:qFormat/>
    <w:rsid w:val="001C3CB9"/>
    <w:pPr>
      <w:numPr>
        <w:numId w:val="1"/>
      </w:numPr>
      <w:spacing w:line="300" w:lineRule="atLeast"/>
      <w:outlineLvl w:val="0"/>
    </w:pPr>
    <w:rPr>
      <w:sz w:val="24"/>
    </w:rPr>
  </w:style>
  <w:style w:type="paragraph" w:styleId="Kop2">
    <w:name w:val="heading 2"/>
    <w:basedOn w:val="Standaard"/>
    <w:next w:val="Standaard"/>
    <w:qFormat/>
    <w:rsid w:val="001C3CB9"/>
    <w:pPr>
      <w:numPr>
        <w:ilvl w:val="1"/>
        <w:numId w:val="1"/>
      </w:numPr>
      <w:outlineLvl w:val="1"/>
    </w:pPr>
    <w:rPr>
      <w:b/>
    </w:rPr>
  </w:style>
  <w:style w:type="paragraph" w:styleId="Kop3">
    <w:name w:val="heading 3"/>
    <w:basedOn w:val="Standaard"/>
    <w:next w:val="Standaard"/>
    <w:qFormat/>
    <w:rsid w:val="001C3CB9"/>
    <w:pPr>
      <w:numPr>
        <w:ilvl w:val="2"/>
        <w:numId w:val="1"/>
      </w:numPr>
      <w:tabs>
        <w:tab w:val="clear" w:pos="1109"/>
        <w:tab w:val="left" w:pos="1111"/>
      </w:tabs>
      <w:outlineLvl w:val="2"/>
    </w:pPr>
    <w:rPr>
      <w:i/>
    </w:rPr>
  </w:style>
  <w:style w:type="paragraph" w:styleId="Kop4">
    <w:name w:val="heading 4"/>
    <w:basedOn w:val="Standaard"/>
    <w:next w:val="Standaard"/>
    <w:qFormat/>
    <w:rsid w:val="001C3CB9"/>
    <w:pPr>
      <w:numPr>
        <w:ilvl w:val="3"/>
        <w:numId w:val="1"/>
      </w:numPr>
      <w:tabs>
        <w:tab w:val="clear" w:pos="1109"/>
        <w:tab w:val="left" w:pos="1111"/>
      </w:tabs>
      <w:outlineLvl w:val="3"/>
    </w:pPr>
    <w:rPr>
      <w:bCs/>
      <w:szCs w:val="28"/>
    </w:rPr>
  </w:style>
  <w:style w:type="paragraph" w:styleId="Kop5">
    <w:name w:val="heading 5"/>
    <w:basedOn w:val="Standaard"/>
    <w:next w:val="Standaard"/>
    <w:qFormat/>
    <w:rsid w:val="001C3CB9"/>
    <w:pPr>
      <w:outlineLvl w:val="4"/>
    </w:pPr>
    <w:rPr>
      <w:bCs/>
      <w:iCs/>
      <w:szCs w:val="26"/>
    </w:rPr>
  </w:style>
  <w:style w:type="paragraph" w:styleId="Kop6">
    <w:name w:val="heading 6"/>
    <w:basedOn w:val="Standaard"/>
    <w:next w:val="Standaard"/>
    <w:qFormat/>
    <w:rsid w:val="001C3CB9"/>
    <w:pPr>
      <w:outlineLvl w:val="5"/>
    </w:pPr>
    <w:rPr>
      <w:bCs/>
      <w:szCs w:val="22"/>
    </w:rPr>
  </w:style>
  <w:style w:type="paragraph" w:styleId="Kop7">
    <w:name w:val="heading 7"/>
    <w:basedOn w:val="Standaard"/>
    <w:next w:val="Standaard"/>
    <w:qFormat/>
    <w:rsid w:val="001C3CB9"/>
    <w:pPr>
      <w:outlineLvl w:val="6"/>
    </w:pPr>
  </w:style>
  <w:style w:type="paragraph" w:styleId="Kop8">
    <w:name w:val="heading 8"/>
    <w:basedOn w:val="Standaard"/>
    <w:next w:val="Standaard"/>
    <w:qFormat/>
    <w:rsid w:val="001C3CB9"/>
    <w:pPr>
      <w:outlineLvl w:val="7"/>
    </w:pPr>
    <w:rPr>
      <w:iCs/>
    </w:rPr>
  </w:style>
  <w:style w:type="paragraph" w:styleId="Kop9">
    <w:name w:val="heading 9"/>
    <w:basedOn w:val="Standaard"/>
    <w:next w:val="Standaard"/>
    <w:qFormat/>
    <w:rsid w:val="001C3CB9"/>
    <w:pPr>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Aankruisvak-leeg">
    <w:name w:val="R_Aankruisvak-leeg"/>
    <w:basedOn w:val="Standaard"/>
    <w:rsid w:val="001C3CB9"/>
    <w:pPr>
      <w:numPr>
        <w:numId w:val="5"/>
      </w:numPr>
    </w:pPr>
  </w:style>
  <w:style w:type="paragraph" w:customStyle="1" w:styleId="RAankruisvak-vinkje">
    <w:name w:val="R_Aankruisvak-vinkje"/>
    <w:basedOn w:val="Standaard"/>
    <w:rsid w:val="001C3CB9"/>
    <w:pPr>
      <w:numPr>
        <w:numId w:val="6"/>
      </w:numPr>
    </w:pPr>
  </w:style>
  <w:style w:type="paragraph" w:customStyle="1" w:styleId="RAfzend-invulling">
    <w:name w:val="R_Afzend-invulling"/>
    <w:basedOn w:val="Standaard"/>
    <w:next w:val="Standaard"/>
    <w:rsid w:val="001C3CB9"/>
    <w:pPr>
      <w:spacing w:line="180" w:lineRule="atLeast"/>
    </w:pPr>
    <w:rPr>
      <w:sz w:val="13"/>
    </w:rPr>
  </w:style>
  <w:style w:type="paragraph" w:customStyle="1" w:styleId="RAfzend-kopje">
    <w:name w:val="R_Afzend-kopje"/>
    <w:basedOn w:val="Standaard"/>
    <w:next w:val="Standaard"/>
    <w:link w:val="RAfzend-kopjeChar"/>
    <w:rsid w:val="001C3CB9"/>
    <w:pPr>
      <w:spacing w:line="180" w:lineRule="atLeast"/>
    </w:pPr>
    <w:rPr>
      <w:b/>
      <w:sz w:val="13"/>
    </w:rPr>
  </w:style>
  <w:style w:type="character" w:customStyle="1" w:styleId="RAfzend-kopjeChar">
    <w:name w:val="R_Afzend-kopje Char"/>
    <w:basedOn w:val="Standaardalinea-lettertype"/>
    <w:link w:val="RAfzend-kopje"/>
    <w:rsid w:val="001C3CB9"/>
    <w:rPr>
      <w:rFonts w:ascii="Verdana" w:hAnsi="Verdana"/>
      <w:b/>
      <w:sz w:val="13"/>
    </w:rPr>
  </w:style>
  <w:style w:type="paragraph" w:customStyle="1" w:styleId="RAfzend-voorwaarden">
    <w:name w:val="R_Afzend-voorwaarden"/>
    <w:basedOn w:val="Standaard"/>
    <w:next w:val="Standaard"/>
    <w:rsid w:val="001C3CB9"/>
    <w:pPr>
      <w:spacing w:line="180" w:lineRule="atLeast"/>
    </w:pPr>
    <w:rPr>
      <w:i/>
      <w:sz w:val="13"/>
    </w:rPr>
  </w:style>
  <w:style w:type="paragraph" w:customStyle="1" w:styleId="RAfzend-witregel-groot">
    <w:name w:val="R_Afzend-witregel-groot"/>
    <w:basedOn w:val="Standaard"/>
    <w:next w:val="Standaard"/>
    <w:rsid w:val="001C3CB9"/>
    <w:pPr>
      <w:spacing w:line="270" w:lineRule="exact"/>
    </w:pPr>
  </w:style>
  <w:style w:type="paragraph" w:customStyle="1" w:styleId="RAfzend-witregel-klein">
    <w:name w:val="R_Afzend-witregel-klein"/>
    <w:basedOn w:val="Standaard"/>
    <w:next w:val="Standaard"/>
    <w:rsid w:val="001C3CB9"/>
    <w:pPr>
      <w:spacing w:line="90" w:lineRule="exact"/>
    </w:pPr>
    <w:rPr>
      <w:sz w:val="6"/>
    </w:rPr>
  </w:style>
  <w:style w:type="paragraph" w:customStyle="1" w:styleId="RAlineakop">
    <w:name w:val="R_Alineakop"/>
    <w:basedOn w:val="Standaard"/>
    <w:next w:val="Standaard"/>
    <w:rsid w:val="001C3CB9"/>
    <w:pPr>
      <w:keepNext/>
    </w:pPr>
    <w:rPr>
      <w:b/>
    </w:rPr>
  </w:style>
  <w:style w:type="paragraph" w:customStyle="1" w:styleId="RBestelcode">
    <w:name w:val="R_Bestelcode"/>
    <w:basedOn w:val="Standaard"/>
    <w:next w:val="Standaard"/>
    <w:rsid w:val="001C3CB9"/>
    <w:pPr>
      <w:spacing w:line="160" w:lineRule="atLeast"/>
    </w:pPr>
    <w:rPr>
      <w:sz w:val="10"/>
    </w:rPr>
  </w:style>
  <w:style w:type="paragraph" w:customStyle="1" w:styleId="RHoofdstuk-ongenummerd">
    <w:name w:val="R_Hoofdstuk-ongenummerd"/>
    <w:basedOn w:val="Standaard"/>
    <w:next w:val="Standaard"/>
    <w:rsid w:val="001C3CB9"/>
    <w:pPr>
      <w:spacing w:line="300" w:lineRule="atLeast"/>
    </w:pPr>
    <w:rPr>
      <w:sz w:val="24"/>
    </w:rPr>
  </w:style>
  <w:style w:type="paragraph" w:customStyle="1" w:styleId="RLijn-onder">
    <w:name w:val="R_Lijn-onder"/>
    <w:basedOn w:val="Standaard"/>
    <w:rsid w:val="001C3CB9"/>
    <w:pPr>
      <w:pBdr>
        <w:bottom w:val="single" w:sz="6" w:space="1" w:color="auto"/>
      </w:pBdr>
    </w:pPr>
    <w:rPr>
      <w:lang w:val="en-US"/>
    </w:rPr>
  </w:style>
  <w:style w:type="paragraph" w:customStyle="1" w:styleId="ROpsomming-bolletjes">
    <w:name w:val="R_Opsomming-bolletjes"/>
    <w:basedOn w:val="Standaard"/>
    <w:rsid w:val="001C3CB9"/>
    <w:pPr>
      <w:numPr>
        <w:numId w:val="7"/>
      </w:numPr>
    </w:pPr>
  </w:style>
  <w:style w:type="paragraph" w:customStyle="1" w:styleId="ROpsomming-bolletjes-klein">
    <w:name w:val="R_Opsomming-bolletjes-klein"/>
    <w:basedOn w:val="Standaard"/>
    <w:rsid w:val="001C3CB9"/>
    <w:pPr>
      <w:numPr>
        <w:numId w:val="8"/>
      </w:numPr>
      <w:spacing w:line="180" w:lineRule="atLeast"/>
    </w:pPr>
    <w:rPr>
      <w:sz w:val="13"/>
      <w:szCs w:val="18"/>
    </w:rPr>
  </w:style>
  <w:style w:type="paragraph" w:customStyle="1" w:styleId="ROpsomming-bullets">
    <w:name w:val="R_Opsomming-bullets"/>
    <w:basedOn w:val="Standaard"/>
    <w:rsid w:val="001C3CB9"/>
    <w:pPr>
      <w:numPr>
        <w:numId w:val="9"/>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 w:type="paragraph" w:customStyle="1" w:styleId="ROpsomming-cijfers">
    <w:name w:val="R_Opsomming-cijfers"/>
    <w:basedOn w:val="Standaard"/>
    <w:rsid w:val="001C3CB9"/>
    <w:pPr>
      <w:numPr>
        <w:numId w:val="10"/>
      </w:numPr>
    </w:pPr>
  </w:style>
  <w:style w:type="paragraph" w:customStyle="1" w:styleId="ROpsomming-genummerd">
    <w:name w:val="R_Opsomming-genummerd"/>
    <w:basedOn w:val="Standaard"/>
    <w:rsid w:val="001C3CB9"/>
    <w:pPr>
      <w:numPr>
        <w:numId w:val="11"/>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 w:type="paragraph" w:customStyle="1" w:styleId="ROpsomming-ingesprongen">
    <w:name w:val="R_Opsomming-ingesprongen"/>
    <w:basedOn w:val="Standaard"/>
    <w:rsid w:val="001C3CB9"/>
    <w:pPr>
      <w:numPr>
        <w:numId w:val="12"/>
      </w:numPr>
    </w:pPr>
  </w:style>
  <w:style w:type="paragraph" w:customStyle="1" w:styleId="RPaginanummer">
    <w:name w:val="R_Paginanummer"/>
    <w:basedOn w:val="RAfzend-invulling"/>
    <w:next w:val="Standaard"/>
    <w:rsid w:val="001C3CB9"/>
    <w:rPr>
      <w:szCs w:val="18"/>
    </w:rPr>
  </w:style>
  <w:style w:type="paragraph" w:customStyle="1" w:styleId="RReferenties">
    <w:name w:val="R_Referenties"/>
    <w:basedOn w:val="Standaard"/>
    <w:next w:val="Standaard"/>
    <w:rsid w:val="001C3CB9"/>
    <w:rPr>
      <w:szCs w:val="18"/>
    </w:rPr>
  </w:style>
  <w:style w:type="paragraph" w:customStyle="1" w:styleId="RRetouradres">
    <w:name w:val="R_Retouradres"/>
    <w:basedOn w:val="RAfzend-invulling"/>
    <w:next w:val="Standaard"/>
    <w:rsid w:val="001C3CB9"/>
    <w:rPr>
      <w:szCs w:val="18"/>
    </w:rPr>
  </w:style>
  <w:style w:type="paragraph" w:customStyle="1" w:styleId="RRubricering">
    <w:name w:val="R_Rubricering"/>
    <w:basedOn w:val="Standaard"/>
    <w:next w:val="Standaard"/>
    <w:link w:val="RRubriceringChar"/>
    <w:rsid w:val="001C3CB9"/>
    <w:pPr>
      <w:spacing w:line="240" w:lineRule="exact"/>
    </w:pPr>
    <w:rPr>
      <w:b/>
      <w:caps/>
      <w:sz w:val="13"/>
    </w:rPr>
  </w:style>
  <w:style w:type="character" w:customStyle="1" w:styleId="RRubriceringChar">
    <w:name w:val="R_Rubricering Char"/>
    <w:basedOn w:val="Standaardalinea-lettertype"/>
    <w:link w:val="RRubricering"/>
    <w:rsid w:val="001C3CB9"/>
    <w:rPr>
      <w:rFonts w:ascii="Verdana" w:hAnsi="Verdana"/>
      <w:b/>
      <w:caps/>
      <w:sz w:val="13"/>
    </w:rPr>
  </w:style>
  <w:style w:type="paragraph" w:customStyle="1" w:styleId="RTabelkop">
    <w:name w:val="R_Tabelkop"/>
    <w:basedOn w:val="Standaard"/>
    <w:rsid w:val="001C3CB9"/>
    <w:rPr>
      <w:b/>
      <w:sz w:val="14"/>
    </w:rPr>
  </w:style>
  <w:style w:type="paragraph" w:customStyle="1" w:styleId="RTabeltekst">
    <w:name w:val="R_Tabeltekst"/>
    <w:basedOn w:val="Standaard"/>
    <w:rsid w:val="001C3CB9"/>
    <w:rPr>
      <w:sz w:val="14"/>
    </w:rPr>
  </w:style>
  <w:style w:type="paragraph" w:customStyle="1" w:styleId="RTitel">
    <w:name w:val="R_Titel"/>
    <w:basedOn w:val="Standaard"/>
    <w:next w:val="Standaard"/>
    <w:rsid w:val="001C3CB9"/>
    <w:pPr>
      <w:keepNext/>
      <w:spacing w:line="300" w:lineRule="atLeast"/>
    </w:pPr>
    <w:rPr>
      <w:b/>
      <w:sz w:val="24"/>
    </w:rPr>
  </w:style>
  <w:style w:type="paragraph" w:customStyle="1" w:styleId="RToezendgegevens">
    <w:name w:val="R_Toezendgegevens"/>
    <w:basedOn w:val="Standaard"/>
    <w:next w:val="Standaard"/>
    <w:rsid w:val="001C3CB9"/>
    <w:rPr>
      <w:szCs w:val="18"/>
    </w:rPr>
  </w:style>
  <w:style w:type="character" w:customStyle="1" w:styleId="RVoetnootmarkering">
    <w:name w:val="R_Voetnootmarkering"/>
    <w:basedOn w:val="Standaardalinea-lettertype"/>
    <w:rsid w:val="001C3CB9"/>
    <w:rPr>
      <w:rFonts w:ascii="Verdana" w:hAnsi="Verdana"/>
      <w:position w:val="4"/>
      <w:sz w:val="13"/>
    </w:rPr>
  </w:style>
  <w:style w:type="paragraph" w:customStyle="1" w:styleId="RVoetnoottekst">
    <w:name w:val="R_Voetnoottekst"/>
    <w:basedOn w:val="Standaard"/>
    <w:next w:val="Standaard"/>
    <w:rsid w:val="001C3CB9"/>
    <w:pPr>
      <w:spacing w:line="180" w:lineRule="atLeast"/>
      <w:ind w:left="227" w:hanging="227"/>
    </w:pPr>
    <w:rPr>
      <w:sz w:val="13"/>
    </w:rPr>
  </w:style>
  <w:style w:type="paragraph" w:customStyle="1" w:styleId="RHSformuliernaam">
    <w:name w:val="RHS formuliernaam"/>
    <w:basedOn w:val="Standaard"/>
    <w:next w:val="Standaard"/>
    <w:rsid w:val="001C3CB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520" w:lineRule="atLeast"/>
    </w:pPr>
    <w:rPr>
      <w:sz w:val="52"/>
      <w:szCs w:val="52"/>
    </w:rPr>
  </w:style>
  <w:style w:type="paragraph" w:customStyle="1" w:styleId="RHSgroot-bold">
    <w:name w:val="RHS groot - bold"/>
    <w:link w:val="RHSgroot-boldChar"/>
    <w:rsid w:val="001C3CB9"/>
    <w:pPr>
      <w:keepLines/>
      <w:spacing w:line="240" w:lineRule="atLeast"/>
    </w:pPr>
    <w:rPr>
      <w:rFonts w:ascii="Verdana" w:hAnsi="Verdana"/>
      <w:b/>
      <w:sz w:val="18"/>
      <w:szCs w:val="18"/>
    </w:rPr>
  </w:style>
  <w:style w:type="paragraph" w:customStyle="1" w:styleId="RHSgroot-italic">
    <w:name w:val="RHS groot - italic"/>
    <w:link w:val="RHSgroot-italicChar"/>
    <w:rsid w:val="001C3CB9"/>
    <w:pPr>
      <w:keepLines/>
      <w:spacing w:line="240" w:lineRule="atLeast"/>
    </w:pPr>
    <w:rPr>
      <w:rFonts w:ascii="Verdana" w:hAnsi="Verdana"/>
      <w:i/>
      <w:sz w:val="18"/>
      <w:szCs w:val="18"/>
    </w:rPr>
  </w:style>
  <w:style w:type="paragraph" w:customStyle="1" w:styleId="RHSgroot-regular">
    <w:name w:val="RHS groot - regular"/>
    <w:link w:val="RHSgroot-regularChar"/>
    <w:rsid w:val="001C3CB9"/>
    <w:pPr>
      <w:keepLines/>
      <w:tabs>
        <w:tab w:val="right" w:pos="882"/>
        <w:tab w:val="left" w:pos="1109"/>
        <w:tab w:val="right" w:pos="1991"/>
        <w:tab w:val="left" w:pos="2217"/>
        <w:tab w:val="right" w:pos="3099"/>
        <w:tab w:val="left" w:pos="3326"/>
        <w:tab w:val="right" w:pos="4208"/>
        <w:tab w:val="left" w:pos="4435"/>
        <w:tab w:val="right" w:pos="5317"/>
        <w:tab w:val="left" w:pos="5543"/>
        <w:tab w:val="right" w:pos="6425"/>
        <w:tab w:val="left" w:pos="6652"/>
      </w:tabs>
      <w:spacing w:line="240" w:lineRule="atLeast"/>
    </w:pPr>
    <w:rPr>
      <w:rFonts w:ascii="Verdana" w:hAnsi="Verdana"/>
      <w:sz w:val="18"/>
      <w:szCs w:val="18"/>
    </w:rPr>
  </w:style>
  <w:style w:type="paragraph" w:customStyle="1" w:styleId="RHSgroot-W2">
    <w:name w:val="RHS groot - W2"/>
    <w:next w:val="Standaard"/>
    <w:rsid w:val="001C3CB9"/>
    <w:pPr>
      <w:keepLines/>
      <w:spacing w:line="270" w:lineRule="exact"/>
    </w:pPr>
    <w:rPr>
      <w:rFonts w:ascii="Verdana" w:hAnsi="Verdana"/>
      <w:sz w:val="27"/>
      <w:szCs w:val="18"/>
    </w:rPr>
  </w:style>
  <w:style w:type="paragraph" w:customStyle="1" w:styleId="RHSklein-bold">
    <w:name w:val="RHS klein - bold"/>
    <w:link w:val="RHSklein-boldChar"/>
    <w:rsid w:val="001C3CB9"/>
    <w:pPr>
      <w:keepLines/>
      <w:spacing w:line="180" w:lineRule="atLeast"/>
    </w:pPr>
    <w:rPr>
      <w:rFonts w:ascii="Verdana" w:hAnsi="Verdana"/>
      <w:b/>
      <w:sz w:val="13"/>
      <w:szCs w:val="13"/>
    </w:rPr>
  </w:style>
  <w:style w:type="paragraph" w:customStyle="1" w:styleId="RHSklein-italic">
    <w:name w:val="RHS klein - italic"/>
    <w:link w:val="RHSklein-italicChar"/>
    <w:rsid w:val="001C3CB9"/>
    <w:pPr>
      <w:keepLines/>
      <w:spacing w:line="180" w:lineRule="atLeast"/>
    </w:pPr>
    <w:rPr>
      <w:rFonts w:ascii="Verdana" w:hAnsi="Verdana"/>
      <w:i/>
      <w:sz w:val="13"/>
      <w:szCs w:val="13"/>
    </w:rPr>
  </w:style>
  <w:style w:type="paragraph" w:customStyle="1" w:styleId="RHSklein-regular">
    <w:name w:val="RHS klein - regular"/>
    <w:link w:val="RHSklein-regularChar"/>
    <w:rsid w:val="001C3CB9"/>
    <w:pPr>
      <w:keepLines/>
      <w:spacing w:line="180" w:lineRule="atLeast"/>
    </w:pPr>
    <w:rPr>
      <w:rFonts w:ascii="Verdana" w:hAnsi="Verdana"/>
      <w:sz w:val="13"/>
      <w:szCs w:val="13"/>
    </w:rPr>
  </w:style>
  <w:style w:type="paragraph" w:customStyle="1" w:styleId="RHSklein-W1">
    <w:name w:val="RHS klein - W1"/>
    <w:rsid w:val="001C3CB9"/>
    <w:pPr>
      <w:keepLines/>
      <w:spacing w:line="90" w:lineRule="exact"/>
    </w:pPr>
    <w:rPr>
      <w:rFonts w:ascii="Verdana" w:hAnsi="Verdana"/>
      <w:sz w:val="9"/>
      <w:szCs w:val="9"/>
    </w:rPr>
  </w:style>
  <w:style w:type="paragraph" w:styleId="Koptekst">
    <w:name w:val="header"/>
    <w:basedOn w:val="Standaard"/>
    <w:rsid w:val="001C3CB9"/>
    <w:pPr>
      <w:tabs>
        <w:tab w:val="center" w:pos="4536"/>
        <w:tab w:val="right" w:pos="9072"/>
      </w:tabs>
    </w:pPr>
  </w:style>
  <w:style w:type="table" w:styleId="Tabelraster">
    <w:name w:val="Table Grid"/>
    <w:basedOn w:val="Standaardtabel"/>
    <w:rsid w:val="001C3CB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rsid w:val="001C3CB9"/>
    <w:rPr>
      <w:rFonts w:ascii="Verdana" w:hAnsi="Verdana"/>
      <w:position w:val="0"/>
      <w:sz w:val="20"/>
      <w:vertAlign w:val="superscript"/>
    </w:rPr>
  </w:style>
  <w:style w:type="paragraph" w:styleId="Voetnoottekst">
    <w:name w:val="footnote text"/>
    <w:basedOn w:val="Standaard"/>
    <w:next w:val="Standaard"/>
    <w:semiHidden/>
    <w:rsid w:val="001C3CB9"/>
    <w:pPr>
      <w:spacing w:line="180" w:lineRule="atLeast"/>
      <w:ind w:left="227" w:hanging="227"/>
    </w:pPr>
    <w:rPr>
      <w:sz w:val="13"/>
    </w:rPr>
  </w:style>
  <w:style w:type="paragraph" w:styleId="Voettekst">
    <w:name w:val="footer"/>
    <w:basedOn w:val="Standaard"/>
    <w:rsid w:val="001C3CB9"/>
    <w:pPr>
      <w:tabs>
        <w:tab w:val="center" w:pos="4536"/>
        <w:tab w:val="right" w:pos="9072"/>
      </w:tabs>
    </w:pPr>
  </w:style>
  <w:style w:type="paragraph" w:customStyle="1" w:styleId="RHStabel-koppen">
    <w:name w:val="RHS tabel - koppen"/>
    <w:basedOn w:val="Standaard"/>
    <w:link w:val="RHStabel-koppenChar"/>
    <w:rsid w:val="001C3CB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pPr>
    <w:rPr>
      <w:b/>
      <w:sz w:val="14"/>
      <w:szCs w:val="14"/>
    </w:rPr>
  </w:style>
  <w:style w:type="paragraph" w:customStyle="1" w:styleId="RHStabel-tekst">
    <w:name w:val="RHS tabel - tekst"/>
    <w:basedOn w:val="Standaard"/>
    <w:link w:val="RHStabel-tekstChar"/>
    <w:rsid w:val="001C3CB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pPr>
    <w:rPr>
      <w:sz w:val="14"/>
      <w:szCs w:val="14"/>
    </w:rPr>
  </w:style>
  <w:style w:type="character" w:customStyle="1" w:styleId="RHSgroot-boldChar">
    <w:name w:val="RHS groot - bold Char"/>
    <w:basedOn w:val="Standaardalinea-lettertype"/>
    <w:link w:val="RHSgroot-bold"/>
    <w:rsid w:val="001C3CB9"/>
    <w:rPr>
      <w:rFonts w:ascii="Verdana" w:hAnsi="Verdana"/>
      <w:b/>
      <w:sz w:val="18"/>
      <w:szCs w:val="18"/>
    </w:rPr>
  </w:style>
  <w:style w:type="character" w:customStyle="1" w:styleId="RHSgroot-italicChar">
    <w:name w:val="RHS groot - italic Char"/>
    <w:basedOn w:val="Standaardalinea-lettertype"/>
    <w:link w:val="RHSgroot-italic"/>
    <w:rsid w:val="001C3CB9"/>
    <w:rPr>
      <w:rFonts w:ascii="Verdana" w:hAnsi="Verdana"/>
      <w:i/>
      <w:sz w:val="18"/>
      <w:szCs w:val="18"/>
    </w:rPr>
  </w:style>
  <w:style w:type="character" w:customStyle="1" w:styleId="RHSgroot-regularChar">
    <w:name w:val="RHS groot - regular Char"/>
    <w:basedOn w:val="Standaardalinea-lettertype"/>
    <w:link w:val="RHSgroot-regular"/>
    <w:rsid w:val="001C3CB9"/>
    <w:rPr>
      <w:rFonts w:ascii="Verdana" w:hAnsi="Verdana"/>
      <w:sz w:val="18"/>
      <w:szCs w:val="18"/>
    </w:rPr>
  </w:style>
  <w:style w:type="character" w:customStyle="1" w:styleId="RHSklein-boldChar">
    <w:name w:val="RHS klein - bold Char"/>
    <w:basedOn w:val="Standaardalinea-lettertype"/>
    <w:link w:val="RHSklein-bold"/>
    <w:rsid w:val="001C3CB9"/>
    <w:rPr>
      <w:rFonts w:ascii="Verdana" w:hAnsi="Verdana"/>
      <w:b/>
      <w:sz w:val="13"/>
      <w:szCs w:val="13"/>
    </w:rPr>
  </w:style>
  <w:style w:type="character" w:customStyle="1" w:styleId="RHSklein-italicChar">
    <w:name w:val="RHS klein - italic Char"/>
    <w:basedOn w:val="Standaardalinea-lettertype"/>
    <w:link w:val="RHSklein-italic"/>
    <w:rsid w:val="001C3CB9"/>
    <w:rPr>
      <w:rFonts w:ascii="Verdana" w:hAnsi="Verdana"/>
      <w:i/>
      <w:sz w:val="13"/>
      <w:szCs w:val="13"/>
    </w:rPr>
  </w:style>
  <w:style w:type="character" w:customStyle="1" w:styleId="RHSklein-regularChar">
    <w:name w:val="RHS klein - regular Char"/>
    <w:basedOn w:val="Standaardalinea-lettertype"/>
    <w:link w:val="RHSklein-regular"/>
    <w:rsid w:val="001C3CB9"/>
    <w:rPr>
      <w:rFonts w:ascii="Verdana" w:hAnsi="Verdana"/>
      <w:sz w:val="13"/>
      <w:szCs w:val="13"/>
    </w:rPr>
  </w:style>
  <w:style w:type="character" w:customStyle="1" w:styleId="RHStabel-koppenChar">
    <w:name w:val="RHS tabel - koppen Char"/>
    <w:basedOn w:val="Standaardalinea-lettertype"/>
    <w:link w:val="RHStabel-koppen"/>
    <w:rsid w:val="001C3CB9"/>
    <w:rPr>
      <w:rFonts w:ascii="Verdana" w:hAnsi="Verdana"/>
      <w:b/>
      <w:sz w:val="14"/>
      <w:szCs w:val="14"/>
    </w:rPr>
  </w:style>
  <w:style w:type="character" w:customStyle="1" w:styleId="RHStabel-tekstChar">
    <w:name w:val="RHS tabel - tekst Char"/>
    <w:basedOn w:val="Standaardalinea-lettertype"/>
    <w:link w:val="RHStabel-tekst"/>
    <w:rsid w:val="001C3CB9"/>
    <w:rPr>
      <w:rFonts w:ascii="Verdana" w:hAnsi="Verdana"/>
      <w:sz w:val="14"/>
      <w:szCs w:val="14"/>
    </w:rPr>
  </w:style>
  <w:style w:type="paragraph" w:styleId="Bijschrift">
    <w:name w:val="caption"/>
    <w:basedOn w:val="Standaard"/>
    <w:next w:val="Standaard"/>
    <w:uiPriority w:val="99"/>
    <w:qFormat/>
    <w:rsid w:val="000D256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as-sante.fr/portail/upload/docs/evamed/CT-12741_YERVOY_PIC_REEV_Avis3_CT12741.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file.scirp.org/pdf/JCT_2014102311333330.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ice.org.uk/guidance/ta268/documents/melanoma-stage-iii-or-iv-ipilimumab-updated-analysis-with-revised-patient-access-scheme-from-bristol-myerssquibb2"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mr\Desktop\RWD%20Use%20in%20Melanoma\POVOOPEN-%232017013073-v2-WD5_-_Data_analyse_en_grafieken_(incl__zwart_wit)%205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home\AMA\Downloads\POVOOPEN-%232017013073-v2-WD5_-_Data_analyse_en_grafieken_(incl__zwart_wit)%205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'Data II'!$B$31</c:f>
              <c:strCache>
                <c:ptCount val="1"/>
                <c:pt idx="0">
                  <c:v>Yes</c:v>
                </c:pt>
              </c:strCache>
            </c:strRef>
          </c:tx>
          <c:spPr>
            <a:solidFill>
              <a:srgbClr val="92D050"/>
            </a:solidFill>
          </c:spPr>
          <c:invertIfNegative val="0"/>
          <c:cat>
            <c:strRef>
              <c:f>'Data II'!$A$32:$A$37</c:f>
              <c:strCache>
                <c:ptCount val="6"/>
                <c:pt idx="0">
                  <c:v>2011 (n = 1)</c:v>
                </c:pt>
                <c:pt idx="1">
                  <c:v>2012 (n = 8)</c:v>
                </c:pt>
                <c:pt idx="2">
                  <c:v>2013 (n = 4)</c:v>
                </c:pt>
                <c:pt idx="3">
                  <c:v>2014 (n = 10)</c:v>
                </c:pt>
                <c:pt idx="4">
                  <c:v>2015 (n = 10)</c:v>
                </c:pt>
                <c:pt idx="5">
                  <c:v>2016 (n = 19)</c:v>
                </c:pt>
              </c:strCache>
            </c:strRef>
          </c:cat>
          <c:val>
            <c:numRef>
              <c:f>'Data II'!$B$32:$B$37</c:f>
              <c:numCache>
                <c:formatCode>0.0%</c:formatCode>
                <c:ptCount val="6"/>
                <c:pt idx="0">
                  <c:v>1</c:v>
                </c:pt>
                <c:pt idx="1">
                  <c:v>0.625000000000001</c:v>
                </c:pt>
                <c:pt idx="2">
                  <c:v>0.750000000000001</c:v>
                </c:pt>
                <c:pt idx="3">
                  <c:v>0.60000000000000098</c:v>
                </c:pt>
                <c:pt idx="4">
                  <c:v>0.5</c:v>
                </c:pt>
                <c:pt idx="5">
                  <c:v>0.52631578947368396</c:v>
                </c:pt>
              </c:numCache>
            </c:numRef>
          </c:val>
        </c:ser>
        <c:ser>
          <c:idx val="1"/>
          <c:order val="1"/>
          <c:tx>
            <c:strRef>
              <c:f>'Data II'!$C$31</c:f>
              <c:strCache>
                <c:ptCount val="1"/>
                <c:pt idx="0">
                  <c:v>No</c:v>
                </c:pt>
              </c:strCache>
            </c:strRef>
          </c:tx>
          <c:spPr>
            <a:solidFill>
              <a:srgbClr val="FF0000"/>
            </a:solidFill>
          </c:spPr>
          <c:invertIfNegative val="0"/>
          <c:cat>
            <c:strRef>
              <c:f>'Data II'!$A$32:$A$37</c:f>
              <c:strCache>
                <c:ptCount val="6"/>
                <c:pt idx="0">
                  <c:v>2011 (n = 1)</c:v>
                </c:pt>
                <c:pt idx="1">
                  <c:v>2012 (n = 8)</c:v>
                </c:pt>
                <c:pt idx="2">
                  <c:v>2013 (n = 4)</c:v>
                </c:pt>
                <c:pt idx="3">
                  <c:v>2014 (n = 10)</c:v>
                </c:pt>
                <c:pt idx="4">
                  <c:v>2015 (n = 10)</c:v>
                </c:pt>
                <c:pt idx="5">
                  <c:v>2016 (n = 19)</c:v>
                </c:pt>
              </c:strCache>
            </c:strRef>
          </c:cat>
          <c:val>
            <c:numRef>
              <c:f>'Data II'!$C$32:$C$37</c:f>
              <c:numCache>
                <c:formatCode>0.0%</c:formatCode>
                <c:ptCount val="6"/>
                <c:pt idx="0">
                  <c:v>0</c:v>
                </c:pt>
                <c:pt idx="1">
                  <c:v>0.375</c:v>
                </c:pt>
                <c:pt idx="2">
                  <c:v>0.25</c:v>
                </c:pt>
                <c:pt idx="3">
                  <c:v>0.4</c:v>
                </c:pt>
                <c:pt idx="4">
                  <c:v>0.5</c:v>
                </c:pt>
                <c:pt idx="5">
                  <c:v>0.47368421052631599</c:v>
                </c:pt>
              </c:numCache>
            </c:numRef>
          </c:val>
        </c:ser>
        <c:dLbls>
          <c:showLegendKey val="0"/>
          <c:showVal val="0"/>
          <c:showCatName val="0"/>
          <c:showSerName val="0"/>
          <c:showPercent val="0"/>
          <c:showBubbleSize val="0"/>
        </c:dLbls>
        <c:gapWidth val="75"/>
        <c:overlap val="100"/>
        <c:axId val="261365888"/>
        <c:axId val="261366280"/>
      </c:barChart>
      <c:catAx>
        <c:axId val="261365888"/>
        <c:scaling>
          <c:orientation val="minMax"/>
        </c:scaling>
        <c:delete val="0"/>
        <c:axPos val="b"/>
        <c:title>
          <c:tx>
            <c:rich>
              <a:bodyPr/>
              <a:lstStyle/>
              <a:p>
                <a:pPr>
                  <a:defRPr lang="nl-NL"/>
                </a:pPr>
                <a:r>
                  <a:rPr lang="en-US"/>
                  <a:t>Year (n = number of REAs)</a:t>
                </a:r>
              </a:p>
            </c:rich>
          </c:tx>
          <c:layout/>
          <c:overlay val="0"/>
          <c:spPr>
            <a:noFill/>
            <a:ln w="25400">
              <a:noFill/>
            </a:ln>
          </c:spPr>
        </c:title>
        <c:numFmt formatCode="General" sourceLinked="1"/>
        <c:majorTickMark val="none"/>
        <c:minorTickMark val="none"/>
        <c:tickLblPos val="nextTo"/>
        <c:txPr>
          <a:bodyPr/>
          <a:lstStyle/>
          <a:p>
            <a:pPr>
              <a:defRPr lang="nl-NL"/>
            </a:pPr>
            <a:endParaRPr lang="nl-NL"/>
          </a:p>
        </c:txPr>
        <c:crossAx val="261366280"/>
        <c:crosses val="autoZero"/>
        <c:auto val="1"/>
        <c:lblAlgn val="ctr"/>
        <c:lblOffset val="100"/>
        <c:noMultiLvlLbl val="0"/>
      </c:catAx>
      <c:valAx>
        <c:axId val="261366280"/>
        <c:scaling>
          <c:orientation val="minMax"/>
        </c:scaling>
        <c:delete val="0"/>
        <c:axPos val="l"/>
        <c:majorGridlines/>
        <c:minorGridlines/>
        <c:title>
          <c:tx>
            <c:rich>
              <a:bodyPr/>
              <a:lstStyle/>
              <a:p>
                <a:pPr>
                  <a:defRPr lang="nl-NL"/>
                </a:pPr>
                <a:r>
                  <a:rPr lang="en-US"/>
                  <a:t>Percentage</a:t>
                </a:r>
              </a:p>
            </c:rich>
          </c:tx>
          <c:layout/>
          <c:overlay val="0"/>
          <c:spPr>
            <a:noFill/>
            <a:ln w="25400">
              <a:noFill/>
            </a:ln>
          </c:spPr>
        </c:title>
        <c:numFmt formatCode="0%" sourceLinked="1"/>
        <c:majorTickMark val="out"/>
        <c:minorTickMark val="none"/>
        <c:tickLblPos val="nextTo"/>
        <c:txPr>
          <a:bodyPr/>
          <a:lstStyle/>
          <a:p>
            <a:pPr>
              <a:defRPr lang="nl-NL"/>
            </a:pPr>
            <a:endParaRPr lang="nl-NL"/>
          </a:p>
        </c:txPr>
        <c:crossAx val="261365888"/>
        <c:crosses val="autoZero"/>
        <c:crossBetween val="between"/>
      </c:valAx>
    </c:plotArea>
    <c:legend>
      <c:legendPos val="r"/>
      <c:layout/>
      <c:overlay val="0"/>
      <c:txPr>
        <a:bodyPr/>
        <a:lstStyle/>
        <a:p>
          <a:pPr>
            <a:defRPr lang="nl-NL"/>
          </a:pPr>
          <a:endParaRPr lang="nl-NL"/>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'Data II'!$E$31</c:f>
              <c:strCache>
                <c:ptCount val="1"/>
                <c:pt idx="0">
                  <c:v>Yes</c:v>
                </c:pt>
              </c:strCache>
            </c:strRef>
          </c:tx>
          <c:spPr>
            <a:solidFill>
              <a:srgbClr val="92D050"/>
            </a:solidFill>
          </c:spPr>
          <c:invertIfNegative val="0"/>
          <c:cat>
            <c:strRef>
              <c:f>'Data II'!$D$32:$D$37</c:f>
              <c:strCache>
                <c:ptCount val="6"/>
                <c:pt idx="0">
                  <c:v>2011 (n = 0)</c:v>
                </c:pt>
                <c:pt idx="1">
                  <c:v>2012 (n = 5)</c:v>
                </c:pt>
                <c:pt idx="2">
                  <c:v>2013 (n = 2)</c:v>
                </c:pt>
                <c:pt idx="3">
                  <c:v>2014 (n = 4)</c:v>
                </c:pt>
                <c:pt idx="4">
                  <c:v>2015 (n = 5)</c:v>
                </c:pt>
                <c:pt idx="5">
                  <c:v>2016 (n = 9)</c:v>
                </c:pt>
              </c:strCache>
            </c:strRef>
          </c:cat>
          <c:val>
            <c:numRef>
              <c:f>'Data II'!$E$32:$E$37</c:f>
              <c:numCache>
                <c:formatCode>0.0%</c:formatCode>
                <c:ptCount val="6"/>
                <c:pt idx="0">
                  <c:v>0</c:v>
                </c:pt>
                <c:pt idx="1">
                  <c:v>0.8</c:v>
                </c:pt>
                <c:pt idx="2">
                  <c:v>1</c:v>
                </c:pt>
                <c:pt idx="3">
                  <c:v>0.75</c:v>
                </c:pt>
                <c:pt idx="4">
                  <c:v>1</c:v>
                </c:pt>
                <c:pt idx="5">
                  <c:v>0.77777777777777779</c:v>
                </c:pt>
              </c:numCache>
            </c:numRef>
          </c:val>
        </c:ser>
        <c:ser>
          <c:idx val="1"/>
          <c:order val="1"/>
          <c:tx>
            <c:strRef>
              <c:f>'Data II'!$F$31</c:f>
              <c:strCache>
                <c:ptCount val="1"/>
                <c:pt idx="0">
                  <c:v>No</c:v>
                </c:pt>
              </c:strCache>
            </c:strRef>
          </c:tx>
          <c:spPr>
            <a:solidFill>
              <a:srgbClr val="FF0000"/>
            </a:solidFill>
          </c:spPr>
          <c:invertIfNegative val="0"/>
          <c:cat>
            <c:strRef>
              <c:f>'Data II'!$D$32:$D$37</c:f>
              <c:strCache>
                <c:ptCount val="6"/>
                <c:pt idx="0">
                  <c:v>2011 (n = 0)</c:v>
                </c:pt>
                <c:pt idx="1">
                  <c:v>2012 (n = 5)</c:v>
                </c:pt>
                <c:pt idx="2">
                  <c:v>2013 (n = 2)</c:v>
                </c:pt>
                <c:pt idx="3">
                  <c:v>2014 (n = 4)</c:v>
                </c:pt>
                <c:pt idx="4">
                  <c:v>2015 (n = 5)</c:v>
                </c:pt>
                <c:pt idx="5">
                  <c:v>2016 (n = 9)</c:v>
                </c:pt>
              </c:strCache>
            </c:strRef>
          </c:cat>
          <c:val>
            <c:numRef>
              <c:f>'Data II'!$F$32:$F$37</c:f>
              <c:numCache>
                <c:formatCode>0.0%</c:formatCode>
                <c:ptCount val="6"/>
                <c:pt idx="0">
                  <c:v>0</c:v>
                </c:pt>
                <c:pt idx="1">
                  <c:v>0.2</c:v>
                </c:pt>
                <c:pt idx="2">
                  <c:v>0</c:v>
                </c:pt>
                <c:pt idx="3">
                  <c:v>0.25</c:v>
                </c:pt>
                <c:pt idx="4">
                  <c:v>0</c:v>
                </c:pt>
                <c:pt idx="5">
                  <c:v>0.22222222222222221</c:v>
                </c:pt>
              </c:numCache>
            </c:numRef>
          </c:val>
        </c:ser>
        <c:dLbls>
          <c:showLegendKey val="0"/>
          <c:showVal val="0"/>
          <c:showCatName val="0"/>
          <c:showSerName val="0"/>
          <c:showPercent val="0"/>
          <c:showBubbleSize val="0"/>
        </c:dLbls>
        <c:gapWidth val="75"/>
        <c:overlap val="100"/>
        <c:axId val="261367064"/>
        <c:axId val="261367456"/>
      </c:barChart>
      <c:catAx>
        <c:axId val="261367064"/>
        <c:scaling>
          <c:orientation val="minMax"/>
        </c:scaling>
        <c:delete val="0"/>
        <c:axPos val="b"/>
        <c:title>
          <c:tx>
            <c:rich>
              <a:bodyPr/>
              <a:lstStyle/>
              <a:p>
                <a:pPr>
                  <a:defRPr lang="nl-NL"/>
                </a:pPr>
                <a:r>
                  <a:rPr lang="en-US"/>
                  <a:t>Year (n = number of CEAs)</a:t>
                </a:r>
              </a:p>
            </c:rich>
          </c:tx>
          <c:layout/>
          <c:overlay val="0"/>
          <c:spPr>
            <a:noFill/>
            <a:ln w="25400">
              <a:noFill/>
            </a:ln>
          </c:spPr>
        </c:title>
        <c:numFmt formatCode="General" sourceLinked="1"/>
        <c:majorTickMark val="none"/>
        <c:minorTickMark val="none"/>
        <c:tickLblPos val="nextTo"/>
        <c:txPr>
          <a:bodyPr/>
          <a:lstStyle/>
          <a:p>
            <a:pPr>
              <a:defRPr lang="nl-NL"/>
            </a:pPr>
            <a:endParaRPr lang="nl-NL"/>
          </a:p>
        </c:txPr>
        <c:crossAx val="261367456"/>
        <c:crosses val="autoZero"/>
        <c:auto val="1"/>
        <c:lblAlgn val="ctr"/>
        <c:lblOffset val="100"/>
        <c:noMultiLvlLbl val="0"/>
      </c:catAx>
      <c:valAx>
        <c:axId val="261367456"/>
        <c:scaling>
          <c:orientation val="minMax"/>
        </c:scaling>
        <c:delete val="0"/>
        <c:axPos val="l"/>
        <c:majorGridlines/>
        <c:minorGridlines/>
        <c:title>
          <c:tx>
            <c:rich>
              <a:bodyPr/>
              <a:lstStyle/>
              <a:p>
                <a:pPr>
                  <a:defRPr lang="nl-NL"/>
                </a:pPr>
                <a:r>
                  <a:rPr lang="en-US"/>
                  <a:t>Percentage</a:t>
                </a:r>
              </a:p>
            </c:rich>
          </c:tx>
          <c:layout/>
          <c:overlay val="0"/>
          <c:spPr>
            <a:noFill/>
            <a:ln w="25400">
              <a:noFill/>
            </a:ln>
          </c:spPr>
        </c:title>
        <c:numFmt formatCode="0%" sourceLinked="1"/>
        <c:majorTickMark val="out"/>
        <c:minorTickMark val="none"/>
        <c:tickLblPos val="nextTo"/>
        <c:txPr>
          <a:bodyPr/>
          <a:lstStyle/>
          <a:p>
            <a:pPr>
              <a:defRPr lang="nl-NL"/>
            </a:pPr>
            <a:endParaRPr lang="nl-NL"/>
          </a:p>
        </c:txPr>
        <c:crossAx val="261367064"/>
        <c:crosses val="autoZero"/>
        <c:crossBetween val="between"/>
      </c:valAx>
    </c:plotArea>
    <c:legend>
      <c:legendPos val="r"/>
      <c:layout/>
      <c:overlay val="0"/>
      <c:txPr>
        <a:bodyPr/>
        <a:lstStyle/>
        <a:p>
          <a:pPr>
            <a:defRPr lang="nl-NL"/>
          </a:pPr>
          <a:endParaRPr lang="nl-NL"/>
        </a:p>
      </c:txPr>
    </c:legend>
    <c:plotVisOnly val="1"/>
    <c:dispBlanksAs val="gap"/>
    <c:showDLblsOverMax val="0"/>
  </c:chart>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9AB11A33.dotm</Template>
  <TotalTime>12</TotalTime>
  <Pages>16</Pages>
  <Words>2549</Words>
  <Characters>17390</Characters>
  <Application>Microsoft Office Word</Application>
  <DocSecurity>0</DocSecurity>
  <Lines>144</Lines>
  <Paragraphs>39</Paragraphs>
  <ScaleCrop>false</ScaleCrop>
  <HeadingPairs>
    <vt:vector size="2" baseType="variant">
      <vt:variant>
        <vt:lpstr>Titel</vt:lpstr>
      </vt:variant>
      <vt:variant>
        <vt:i4>1</vt:i4>
      </vt:variant>
    </vt:vector>
  </HeadingPairs>
  <TitlesOfParts>
    <vt:vector size="1" baseType="lpstr">
      <vt:lpstr/>
    </vt:vector>
  </TitlesOfParts>
  <Company>cvz</Company>
  <LinksUpToDate>false</LinksUpToDate>
  <CharactersWithSpaces>19900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Makady, A.</dc:creator>
  <cp:keywords/>
  <dc:description/>
  <cp:lastModifiedBy>Makady, A.</cp:lastModifiedBy>
  <cp:revision>5</cp:revision>
  <dcterms:created xsi:type="dcterms:W3CDTF">2017-05-17T08:55:00Z</dcterms:created>
  <dcterms:modified xsi:type="dcterms:W3CDTF">2017-07-10T12:39:00Z</dcterms:modified>
</cp:coreProperties>
</file>