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B5363" w14:textId="77777777" w:rsidR="004A3B5B" w:rsidRPr="00636551" w:rsidRDefault="001B2F7C" w:rsidP="001B2F7C">
      <w:pPr>
        <w:pStyle w:val="NoSpacing"/>
        <w:rPr>
          <w:b/>
        </w:rPr>
      </w:pPr>
      <w:r w:rsidRPr="00636551">
        <w:rPr>
          <w:b/>
        </w:rPr>
        <w:t xml:space="preserve">Appendix 1 </w:t>
      </w:r>
    </w:p>
    <w:p w14:paraId="191ACB7E" w14:textId="77777777" w:rsidR="001B2F7C" w:rsidRPr="00636551" w:rsidRDefault="001B2F7C" w:rsidP="001B2F7C">
      <w:pPr>
        <w:pStyle w:val="NoSpacing"/>
        <w:rPr>
          <w:b/>
        </w:rPr>
      </w:pPr>
      <w:r w:rsidRPr="00636551">
        <w:rPr>
          <w:b/>
        </w:rPr>
        <w:t>Detailed description of the pan Canadian Oncology Drug Review</w:t>
      </w:r>
    </w:p>
    <w:p w14:paraId="33FD6209" w14:textId="77777777" w:rsidR="001B2F7C" w:rsidRPr="00636551" w:rsidRDefault="001B2F7C" w:rsidP="001B2F7C">
      <w:pPr>
        <w:pStyle w:val="NoSpacing"/>
      </w:pPr>
    </w:p>
    <w:p w14:paraId="1AA6D521" w14:textId="77777777" w:rsidR="00BC7D21" w:rsidRPr="00636551" w:rsidRDefault="005E3DFF" w:rsidP="00BC7D21">
      <w:pPr>
        <w:pStyle w:val="NoSpacing"/>
      </w:pPr>
      <w:r w:rsidRPr="00636551">
        <w:t xml:space="preserve">The pan Canadian Oncology Drug Review (pCODR) was established in 2011 as a separate body, and included by the Canadian Agency for Drugs and Technologies in Health (CADTH) as a parallell to the Common Drug Review (CDR) in 2013. The CADTH is an arms length public organization, created in 1989, whose mission is to support the use of appropriate evidence in health policy decisions and service delivery in Canada. </w:t>
      </w:r>
    </w:p>
    <w:p w14:paraId="0D4B0F02" w14:textId="77777777" w:rsidR="00BC7D21" w:rsidRPr="00636551" w:rsidRDefault="00BC7D21" w:rsidP="00BC7D21">
      <w:pPr>
        <w:pStyle w:val="NoSpacing"/>
      </w:pPr>
    </w:p>
    <w:p w14:paraId="138B862A" w14:textId="77777777" w:rsidR="00BC7D21" w:rsidRPr="00636551" w:rsidRDefault="005E3DFF" w:rsidP="00BC7D21">
      <w:pPr>
        <w:pStyle w:val="NoSpacing"/>
      </w:pPr>
      <w:r w:rsidRPr="00636551">
        <w:t>The pCODR focuses on th</w:t>
      </w:r>
      <w:bookmarkStart w:id="0" w:name="_GoBack"/>
      <w:bookmarkEnd w:id="0"/>
      <w:r w:rsidRPr="00636551">
        <w:t>e review of portfolios of new cancer therapies</w:t>
      </w:r>
      <w:r w:rsidR="00BA4A27" w:rsidRPr="00636551">
        <w:t>, initially</w:t>
      </w:r>
      <w:r w:rsidRPr="00636551">
        <w:t xml:space="preserve"> submitted by manufacturers seeking public reimbursement for their product. Submissions typically include clinical evidence alongside an economic report. The pCODR supplements the manufacturers’ submissions with additional evidence, input from patients or patient organizations, and input from Provincial Advisory Committees. </w:t>
      </w:r>
      <w:r w:rsidR="00BC7D21" w:rsidRPr="00636551">
        <w:t xml:space="preserve">Prior to the establishment of pCODR, Canadian jurisdictions conducted separate reviews using a variety of processes, using a variety of information sources, and relying on available local expertise. </w:t>
      </w:r>
    </w:p>
    <w:p w14:paraId="6AA6A2D7" w14:textId="77777777" w:rsidR="00BA4A27" w:rsidRPr="00636551" w:rsidRDefault="00BA4A27" w:rsidP="00BC7D21">
      <w:pPr>
        <w:pStyle w:val="NoSpacing"/>
      </w:pPr>
    </w:p>
    <w:p w14:paraId="15C20B0B" w14:textId="77777777" w:rsidR="00BA4A27" w:rsidRPr="00636551" w:rsidRDefault="00BA4A27" w:rsidP="00BC7D21">
      <w:pPr>
        <w:pStyle w:val="NoSpacing"/>
      </w:pPr>
      <w:r w:rsidRPr="00636551">
        <w:t>A complete portfolio for a new cancer therapy includes information or evidence along four dimensions: (i) clinical benefit; (ii) economic efficiency; (iii) patient-based values; and (iv) feasibility. The clinical and economic evidence is subjected to additional academic review</w:t>
      </w:r>
      <w:r w:rsidR="00300209" w:rsidRPr="00636551">
        <w:t xml:space="preserve"> and assessment</w:t>
      </w:r>
      <w:r w:rsidRPr="00636551">
        <w:t xml:space="preserve"> by the Clinical Guidance Panel </w:t>
      </w:r>
      <w:r w:rsidR="00300209" w:rsidRPr="00636551">
        <w:t xml:space="preserve">(CGP) </w:t>
      </w:r>
      <w:r w:rsidRPr="00636551">
        <w:t xml:space="preserve">and the Economic Guidance Panel </w:t>
      </w:r>
      <w:r w:rsidR="00300209" w:rsidRPr="00636551">
        <w:t xml:space="preserve">(EGP) </w:t>
      </w:r>
      <w:r w:rsidRPr="00636551">
        <w:t>respectively.</w:t>
      </w:r>
      <w:r w:rsidR="00300209" w:rsidRPr="00636551">
        <w:t xml:space="preserve"> The Guidance Panels consist of clinical and economic experts, often with academic appointments.</w:t>
      </w:r>
      <w:r w:rsidRPr="00636551">
        <w:t xml:space="preserve"> The feasibility dimesion is described by Provincial Advisory Groups. The patient-based values submission is typically provided by patient advocacy organizations, although individual patients are able to submit to the process. </w:t>
      </w:r>
    </w:p>
    <w:p w14:paraId="502E5EEA" w14:textId="77777777" w:rsidR="00300209" w:rsidRPr="00636551" w:rsidRDefault="00300209" w:rsidP="00BC7D21">
      <w:pPr>
        <w:pStyle w:val="NoSpacing"/>
      </w:pPr>
    </w:p>
    <w:p w14:paraId="1DFC2082" w14:textId="77777777" w:rsidR="00300209" w:rsidRPr="00636551" w:rsidRDefault="00300209" w:rsidP="00BC7D21">
      <w:pPr>
        <w:pStyle w:val="NoSpacing"/>
      </w:pPr>
      <w:r w:rsidRPr="00636551">
        <w:t xml:space="preserve">For example, the CGP assesses all available clinical evidence uncovered through a systematic search and review led by pCODR staff.  The overall clinical benefit of a new therapy is discussed, including overall survival and other suvival measures, adverse events profiles, and also quality of life considerations. The </w:t>
      </w:r>
      <w:r w:rsidR="0032307A" w:rsidRPr="00636551">
        <w:t>EGP</w:t>
      </w:r>
      <w:r w:rsidRPr="00636551">
        <w:t xml:space="preserve"> assesses the manufacturers’ economic reports with respect to its assumptions in the context of the clinical reality of the disease. The EGP </w:t>
      </w:r>
      <w:r w:rsidR="0032307A" w:rsidRPr="00636551">
        <w:t xml:space="preserve">has access to the original model and is able to re-estimate ICER values with adjusted assumptions. Both CGP and EGP provide an assessment of the quality of available evidence. </w:t>
      </w:r>
    </w:p>
    <w:p w14:paraId="6C77EB79" w14:textId="77777777" w:rsidR="0032307A" w:rsidRPr="00636551" w:rsidRDefault="0032307A" w:rsidP="00BC7D21">
      <w:pPr>
        <w:pStyle w:val="NoSpacing"/>
      </w:pPr>
    </w:p>
    <w:p w14:paraId="4F916F67" w14:textId="77777777" w:rsidR="00BC7D21" w:rsidRPr="00636551" w:rsidRDefault="0032307A" w:rsidP="00BC7D21">
      <w:pPr>
        <w:pStyle w:val="NoSpacing"/>
      </w:pPr>
      <w:r w:rsidRPr="00636551">
        <w:t>The pCODR Expert Review Committee (pERC) is a group of experts who review the complete portfolio and arrive at the final listing recommendation. It is the pERC who delibrates in person the various dimensions of the portfolio, judges whether each dimension is satisfied, and provides the summary report to support its final recomme</w:t>
      </w:r>
      <w:r w:rsidR="000A26B5" w:rsidRPr="00636551">
        <w:t xml:space="preserve">ndation. The pERC consists of 13-17 members including 5 to 7 oncologists, one other physician, two health economists, 1 to 2 pharmacists, one hematologist, and two patient representatives. At least one is to have expertise in health ethics. </w:t>
      </w:r>
    </w:p>
    <w:p w14:paraId="196B925E" w14:textId="77777777" w:rsidR="002A58FE" w:rsidRPr="00636551" w:rsidRDefault="002A58FE" w:rsidP="00BC7D21">
      <w:pPr>
        <w:pStyle w:val="NoSpacing"/>
      </w:pPr>
    </w:p>
    <w:p w14:paraId="4EDAF2B8" w14:textId="77777777" w:rsidR="008C4983" w:rsidRPr="00636551" w:rsidRDefault="00B62100" w:rsidP="008C4983">
      <w:pPr>
        <w:pStyle w:val="NoSpacing"/>
      </w:pPr>
      <w:r w:rsidRPr="00636551">
        <w:t xml:space="preserve">Various aspects of the </w:t>
      </w:r>
      <w:r w:rsidR="002A58FE" w:rsidRPr="00636551">
        <w:t xml:space="preserve">pCODR process and impact have been evaluated in the literature both positively and negatively. </w:t>
      </w:r>
      <w:r w:rsidR="008C4983" w:rsidRPr="00636551">
        <w:t xml:space="preserve">For example, the centralization of the process is found to have addressed many challenges that were faced by fragmented jurisdictional committees (Wranik2017). It is also lauded for having included patient and other stakeholder perspectives (Hoch2013), which was found to have created trust and a perception of relevance among patients and the Canadian public (Rocchi2015). This is supported with findings that the preferences of committee members and the general public appear to co-incide (Skedgel2016). </w:t>
      </w:r>
    </w:p>
    <w:p w14:paraId="409E5D20" w14:textId="77777777" w:rsidR="008C4983" w:rsidRPr="00636551" w:rsidRDefault="008C4983" w:rsidP="008C4983">
      <w:pPr>
        <w:pStyle w:val="NoSpacing"/>
      </w:pPr>
    </w:p>
    <w:p w14:paraId="16677E20" w14:textId="77777777" w:rsidR="008C4983" w:rsidRPr="00636551" w:rsidRDefault="008C4983" w:rsidP="008C4983">
      <w:pPr>
        <w:pStyle w:val="NoSpacing"/>
      </w:pPr>
      <w:r w:rsidRPr="00636551">
        <w:t xml:space="preserve">On the other hand, the process is criticized from several angles. For instance, the economic rationale for having a separate review process cancer therapies is questioned (McDonald2015). There is also evidence that recommendations are inconsistent between pCODR and other agencies (Chabot2014), </w:t>
      </w:r>
      <w:r w:rsidRPr="00636551">
        <w:lastRenderedPageBreak/>
        <w:t xml:space="preserve">which may in part be due to the low quality of available evidence, in particular economic evaluations (Yong2013). There is also some evidence that committee members favour certain patient groups over others (Skedgel2016). </w:t>
      </w:r>
    </w:p>
    <w:p w14:paraId="1B5E61E0" w14:textId="77777777" w:rsidR="008C4983" w:rsidRPr="00636551" w:rsidRDefault="008C4983" w:rsidP="008C4983">
      <w:pPr>
        <w:pStyle w:val="NoSpacing"/>
      </w:pPr>
    </w:p>
    <w:p w14:paraId="0EDD9676" w14:textId="77777777" w:rsidR="002A58FE" w:rsidRPr="00636551" w:rsidRDefault="002A58FE" w:rsidP="00BC7D21">
      <w:pPr>
        <w:pStyle w:val="NoSpacing"/>
      </w:pPr>
    </w:p>
    <w:p w14:paraId="65E1D64D" w14:textId="77777777" w:rsidR="008C4983" w:rsidRPr="00636551" w:rsidRDefault="008C4983" w:rsidP="00BC7D21">
      <w:pPr>
        <w:pStyle w:val="NoSpacing"/>
      </w:pPr>
    </w:p>
    <w:p w14:paraId="23E732F9" w14:textId="77777777" w:rsidR="002A58FE" w:rsidRPr="00636551" w:rsidRDefault="002A58FE" w:rsidP="00BC7D21">
      <w:pPr>
        <w:pStyle w:val="NoSpacing"/>
      </w:pPr>
      <w:r w:rsidRPr="00636551">
        <w:t xml:space="preserve">Rocchi A. Chabot I. Glennie J. 2015. </w:t>
      </w:r>
      <w:r w:rsidRPr="00636551">
        <w:rPr>
          <w:i/>
        </w:rPr>
        <w:t>Evoluation of health technology assessment: Best practices of the pan-Canadian Oncology Drug Review.</w:t>
      </w:r>
      <w:r w:rsidRPr="00636551">
        <w:t xml:space="preserve"> ClinicoEconomics and Outcomes Research. 7(3):287-298</w:t>
      </w:r>
    </w:p>
    <w:p w14:paraId="779B3C9E" w14:textId="77777777" w:rsidR="002A58FE" w:rsidRPr="00636551" w:rsidRDefault="002A58FE" w:rsidP="00BC7D21">
      <w:pPr>
        <w:pStyle w:val="NoSpacing"/>
      </w:pPr>
    </w:p>
    <w:p w14:paraId="19716227" w14:textId="77777777" w:rsidR="002A58FE" w:rsidRPr="00636551" w:rsidRDefault="002A58FE" w:rsidP="00BC7D21">
      <w:pPr>
        <w:pStyle w:val="NoSpacing"/>
      </w:pPr>
      <w:r w:rsidRPr="00636551">
        <w:t xml:space="preserve">McDonald H. Charles C. Elit L. Gafni A. 2015. </w:t>
      </w:r>
      <w:r w:rsidRPr="00636551">
        <w:rPr>
          <w:i/>
        </w:rPr>
        <w:t>Is there an economic rationale for cancer drugs to have a separate reimbursement review process for resource allocation purposes?</w:t>
      </w:r>
      <w:r w:rsidRPr="00636551">
        <w:t xml:space="preserve"> PharmacoEconomics. 33(3):235-241</w:t>
      </w:r>
    </w:p>
    <w:p w14:paraId="2DCF233F" w14:textId="77777777" w:rsidR="005E3DFF" w:rsidRPr="00636551" w:rsidRDefault="005E3DFF" w:rsidP="001B2F7C">
      <w:pPr>
        <w:pStyle w:val="NoSpacing"/>
      </w:pPr>
    </w:p>
    <w:p w14:paraId="7E8800C0" w14:textId="77777777" w:rsidR="00540283" w:rsidRPr="00636551" w:rsidRDefault="00540283" w:rsidP="001B2F7C">
      <w:pPr>
        <w:pStyle w:val="NoSpacing"/>
      </w:pPr>
      <w:r w:rsidRPr="00636551">
        <w:t>Skedgel C. 2016. The prioritization preferences of pan-Canadian Oncology Drug Review members and the Canadian public: A stated preferences comparison. Current Oncology. 23(5):322-328</w:t>
      </w:r>
    </w:p>
    <w:p w14:paraId="4291AFEC" w14:textId="77777777" w:rsidR="00D93E3D" w:rsidRPr="00636551" w:rsidRDefault="00D93E3D" w:rsidP="001B2F7C">
      <w:pPr>
        <w:pStyle w:val="NoSpacing"/>
      </w:pPr>
      <w:r w:rsidRPr="00636551">
        <w:br/>
        <w:t>Chabot I. Rocchi A. 2014. Oncology drug health technology assessment recommendations: Canadian versus UK experiences. ClinicoEconomics and Outcomes Research. 6(1):357-367</w:t>
      </w:r>
    </w:p>
    <w:p w14:paraId="6A16D968" w14:textId="77777777" w:rsidR="00D93E3D" w:rsidRPr="00636551" w:rsidRDefault="00D93E3D" w:rsidP="001B2F7C">
      <w:pPr>
        <w:pStyle w:val="NoSpacing"/>
      </w:pPr>
    </w:p>
    <w:p w14:paraId="099F6179" w14:textId="77777777" w:rsidR="00D93E3D" w:rsidRPr="00636551" w:rsidRDefault="00283116" w:rsidP="001B2F7C">
      <w:pPr>
        <w:pStyle w:val="NoSpacing"/>
      </w:pPr>
      <w:r w:rsidRPr="00636551">
        <w:t>Yong JHE. Beca J. Hoch JS. 2013. The evaluation and use of economic evidence to inform cancer drug reimbursement decisions in Canada. PharmacoEconomics. 33(3):229-236</w:t>
      </w:r>
    </w:p>
    <w:p w14:paraId="426B07A5" w14:textId="77777777" w:rsidR="008C4983" w:rsidRPr="00636551" w:rsidRDefault="008C4983" w:rsidP="001B2F7C">
      <w:pPr>
        <w:pStyle w:val="NoSpacing"/>
      </w:pPr>
    </w:p>
    <w:p w14:paraId="1F11109F" w14:textId="77777777" w:rsidR="008C4983" w:rsidRPr="00636551" w:rsidRDefault="008C4983" w:rsidP="001B2F7C">
      <w:pPr>
        <w:pStyle w:val="NoSpacing"/>
      </w:pPr>
      <w:r w:rsidRPr="00636551">
        <w:t>Hoch JS. Sabharwal M. 2013. Informing Canada’s cancer drug funding decisions with scientific evidence and patient perspectives: the pan-Canadian Oncology Drug Review. Current Oncology. 20(20):121-124</w:t>
      </w:r>
    </w:p>
    <w:p w14:paraId="6CB768C5" w14:textId="77777777" w:rsidR="00B62100" w:rsidRPr="00636551" w:rsidRDefault="00B62100" w:rsidP="001B2F7C">
      <w:pPr>
        <w:pStyle w:val="NoSpacing"/>
      </w:pPr>
    </w:p>
    <w:p w14:paraId="6568FA75" w14:textId="77777777" w:rsidR="00682468" w:rsidRPr="00636551" w:rsidRDefault="00682468">
      <w:pPr>
        <w:rPr>
          <w:b/>
        </w:rPr>
      </w:pPr>
      <w:r w:rsidRPr="00636551">
        <w:rPr>
          <w:b/>
        </w:rPr>
        <w:br w:type="page"/>
      </w:r>
    </w:p>
    <w:p w14:paraId="533B3292" w14:textId="2BFB5E9A" w:rsidR="001B2F7C" w:rsidRPr="00636551" w:rsidRDefault="001B2F7C" w:rsidP="001B2F7C">
      <w:pPr>
        <w:pStyle w:val="NoSpacing"/>
        <w:rPr>
          <w:b/>
        </w:rPr>
      </w:pPr>
      <w:r w:rsidRPr="00636551">
        <w:rPr>
          <w:b/>
        </w:rPr>
        <w:t>Appendix 2</w:t>
      </w:r>
    </w:p>
    <w:p w14:paraId="210FDF30" w14:textId="77777777" w:rsidR="001B2F7C" w:rsidRPr="00636551" w:rsidRDefault="001B2F7C" w:rsidP="001B2F7C">
      <w:pPr>
        <w:pStyle w:val="NoSpacing"/>
        <w:rPr>
          <w:b/>
        </w:rPr>
      </w:pPr>
      <w:r w:rsidRPr="00636551">
        <w:rPr>
          <w:b/>
        </w:rPr>
        <w:t>Detailed description of data extraction from reports of the pan Canadian Oncology Drug Review</w:t>
      </w:r>
    </w:p>
    <w:p w14:paraId="78F1E73C" w14:textId="77777777" w:rsidR="00C76246" w:rsidRPr="00636551" w:rsidRDefault="00C76246" w:rsidP="001B2F7C">
      <w:pPr>
        <w:pStyle w:val="NoSpacing"/>
      </w:pPr>
    </w:p>
    <w:p w14:paraId="7340EED7" w14:textId="77777777" w:rsidR="00B95A5E" w:rsidRPr="00636551" w:rsidRDefault="00B95A5E" w:rsidP="00B95A5E">
      <w:pPr>
        <w:pStyle w:val="NoSpacing"/>
        <w:rPr>
          <w:lang w:val="en-GB"/>
        </w:rPr>
      </w:pPr>
      <w:r w:rsidRPr="00636551">
        <w:rPr>
          <w:lang w:val="en-GB"/>
        </w:rPr>
        <w:t xml:space="preserve">Data for this study were extracted from publicly available reports of all recommendations made by pCODR between 2011 and 2016; three reports did not have complete information, leaving a final sample size of n=91 [41].  The reports are publicly available online through the pan Canadian Oncology Drug Review website under “Find a Drug Review” [https://cadth.ca/node/79219/]. </w:t>
      </w:r>
    </w:p>
    <w:p w14:paraId="1D17ACA9" w14:textId="77777777" w:rsidR="00B95A5E" w:rsidRPr="00636551" w:rsidRDefault="00B95A5E" w:rsidP="00B95A5E">
      <w:pPr>
        <w:pStyle w:val="NoSpacing"/>
        <w:rPr>
          <w:lang w:val="en-GB"/>
        </w:rPr>
      </w:pPr>
    </w:p>
    <w:p w14:paraId="3047A14B" w14:textId="77777777" w:rsidR="00B95A5E" w:rsidRPr="00636551" w:rsidRDefault="00B95A5E" w:rsidP="00B95A5E">
      <w:pPr>
        <w:pStyle w:val="NoSpacing"/>
        <w:rPr>
          <w:lang w:val="en-GB"/>
        </w:rPr>
      </w:pPr>
      <w:r w:rsidRPr="00636551">
        <w:rPr>
          <w:lang w:val="en-GB"/>
        </w:rPr>
        <w:t xml:space="preserve">These reports are prepared by the pCODR Expert Review Committee and provide a summary of the evidence for each of the four dimensions that are used to guide recommendations: clinical benefit, economic evaluation, patient-based values, and adoption feasibility.  Original submissions from the manufacturer (economic model, budget impact analysis), patient groups and provincial advisory groups are not publicly available and often contain confidential information (e.g. drug price).  Each report offers a summary of the evidence to support each of the four dimensions, as well as the committee’s interpretation of the evidence and a judgement. The judgement identifies whether the dimension is satisfied, for example a statement is made “the submission is consistent with patient values”, or “there is evidence of relative clinical advantage”. </w:t>
      </w:r>
    </w:p>
    <w:p w14:paraId="4703822D" w14:textId="77777777" w:rsidR="00B95A5E" w:rsidRPr="00636551" w:rsidRDefault="00B95A5E" w:rsidP="00B95A5E">
      <w:pPr>
        <w:pStyle w:val="NoSpacing"/>
        <w:rPr>
          <w:lang w:val="en-GB"/>
        </w:rPr>
      </w:pPr>
    </w:p>
    <w:p w14:paraId="6CA5E092" w14:textId="77777777" w:rsidR="00B95A5E" w:rsidRPr="00636551" w:rsidRDefault="00B95A5E" w:rsidP="00B95A5E">
      <w:pPr>
        <w:pStyle w:val="NoSpacing"/>
        <w:rPr>
          <w:lang w:val="en-GB"/>
        </w:rPr>
      </w:pPr>
      <w:r w:rsidRPr="00636551">
        <w:rPr>
          <w:lang w:val="en-GB"/>
        </w:rPr>
        <w:t xml:space="preserve">In June of 2015, an initial sample of 10 pCODR summary reports was used to identify variables for extraction and to validate their labels. The coding scheme was developed by all three authors and with further assistance from student researchers. Agreement between all three authors about the meaning and indicators of variables to be extracted was reached via discussion. We identified 11 consistently reported elements, including the recommendation and 10 decision criteria that we categorized according to the four dimensions. </w:t>
      </w:r>
      <w:r w:rsidR="00A01E3A" w:rsidRPr="00636551">
        <w:rPr>
          <w:lang w:val="en-GB"/>
        </w:rPr>
        <w:t xml:space="preserve">The code and labels are described in </w:t>
      </w:r>
      <w:r w:rsidR="00A01E3A" w:rsidRPr="00636551">
        <w:rPr>
          <w:i/>
          <w:lang w:val="en-GB"/>
        </w:rPr>
        <w:t>Table 1</w:t>
      </w:r>
      <w:r w:rsidR="00A01E3A" w:rsidRPr="00636551">
        <w:rPr>
          <w:lang w:val="en-GB"/>
        </w:rPr>
        <w:t xml:space="preserve"> of the main manuscript. </w:t>
      </w:r>
    </w:p>
    <w:p w14:paraId="32A53448" w14:textId="77777777" w:rsidR="00B95A5E" w:rsidRPr="00636551" w:rsidRDefault="00B95A5E" w:rsidP="00B95A5E">
      <w:pPr>
        <w:pStyle w:val="NoSpacing"/>
        <w:rPr>
          <w:lang w:val="en-GB"/>
        </w:rPr>
      </w:pPr>
    </w:p>
    <w:p w14:paraId="06D36FB9" w14:textId="77777777" w:rsidR="00B95A5E" w:rsidRPr="00636551" w:rsidRDefault="00B95A5E" w:rsidP="00B95A5E">
      <w:pPr>
        <w:pStyle w:val="NoSpacing"/>
        <w:rPr>
          <w:lang w:val="en-GB"/>
        </w:rPr>
      </w:pPr>
      <w:r w:rsidRPr="00636551">
        <w:rPr>
          <w:lang w:val="en-GB"/>
        </w:rPr>
        <w:t xml:space="preserve">Subsequently, </w:t>
      </w:r>
      <w:r w:rsidR="00A01E3A" w:rsidRPr="00636551">
        <w:rPr>
          <w:lang w:val="en-GB"/>
        </w:rPr>
        <w:t xml:space="preserve">we applied the coding scheme to each pCODR summary report. Updates to the dataset were made on an ongoing basis, as additional reports were posted on the pCODR website. We created the last update to the dataset in January 2017. Each </w:t>
      </w:r>
      <w:r w:rsidRPr="00636551">
        <w:rPr>
          <w:lang w:val="en-GB"/>
        </w:rPr>
        <w:t xml:space="preserve">report was coded by two independent reviewers. Conflicts were resolved via discussion </w:t>
      </w:r>
      <w:r w:rsidR="00644FF0" w:rsidRPr="00636551">
        <w:rPr>
          <w:lang w:val="en-GB"/>
        </w:rPr>
        <w:t xml:space="preserve">between the two reviewers, </w:t>
      </w:r>
      <w:r w:rsidRPr="00636551">
        <w:rPr>
          <w:lang w:val="en-GB"/>
        </w:rPr>
        <w:t xml:space="preserve">and a deciding vote by a third reviewer where consensus could not be reached. </w:t>
      </w:r>
      <w:r w:rsidR="00644FF0" w:rsidRPr="00636551">
        <w:rPr>
          <w:lang w:val="en-GB"/>
        </w:rPr>
        <w:t xml:space="preserve">One author (MH) acted as one of two reviewers for all submissions. Several student researchers acted as the second reviewer. </w:t>
      </w:r>
      <w:r w:rsidRPr="00636551">
        <w:rPr>
          <w:lang w:val="en-GB"/>
        </w:rPr>
        <w:t>The unit of analysis was submissions rather than drugs, as the same drug could be submitted for more than one indication.  A particular drug-indication combination could also be re-submitted for consideration on the basis of new evidence or a new price following a conditional approval.  Each submission, whether initial or re-submission, was treated as an independent observation.</w:t>
      </w:r>
    </w:p>
    <w:p w14:paraId="7871BD35" w14:textId="77777777" w:rsidR="00B95A5E" w:rsidRPr="00636551" w:rsidRDefault="00B95A5E" w:rsidP="00B95A5E">
      <w:pPr>
        <w:pStyle w:val="NoSpacing"/>
        <w:rPr>
          <w:lang w:val="en-GB"/>
        </w:rPr>
      </w:pPr>
    </w:p>
    <w:p w14:paraId="3E749284" w14:textId="77777777" w:rsidR="00B95A5E" w:rsidRPr="00636551" w:rsidRDefault="00B95A5E" w:rsidP="00B95A5E">
      <w:pPr>
        <w:pStyle w:val="NoSpacing"/>
        <w:rPr>
          <w:lang w:val="en-GB"/>
        </w:rPr>
      </w:pPr>
      <w:r w:rsidRPr="00636551">
        <w:rPr>
          <w:lang w:val="en-GB"/>
        </w:rPr>
        <w:t xml:space="preserve">Absolute and relative survival were recorded for the intervention and control arms of every submission, but some submissions reported median progression-free survival (PFS), others reported median overall survival (OS), while still others reported 12-month, 24-month or 36-month survival.  To accommodate these different measures of clinical benefit, we analysed all reported survival data in terms of relative benefit, taking the ratio of whichever statistic was reported for the intervention and control groups.  When more than one survival statistic was reported, we used the best available measure in this order of priority:  OS, PFS, and finally x-month survival.  If there was no comparator, we set this ratio to 1. We also added a flag indicating whether or not the primary outcome of the clinical evidence was overall survival (OS), and an interaction term between clinical benefit and the OS flag, on the assumption that clinical outcomes reported in terms of overall survival might have more weight in pCODR deliberations than disease-free or progression-free survival.  </w:t>
      </w:r>
    </w:p>
    <w:p w14:paraId="192599F6" w14:textId="77777777" w:rsidR="00B95A5E" w:rsidRPr="00636551" w:rsidRDefault="00B95A5E" w:rsidP="00B95A5E">
      <w:pPr>
        <w:pStyle w:val="NoSpacing"/>
        <w:rPr>
          <w:lang w:val="en-GB"/>
        </w:rPr>
      </w:pPr>
    </w:p>
    <w:p w14:paraId="52903B32" w14:textId="77777777" w:rsidR="00B95A5E" w:rsidRPr="00636551" w:rsidRDefault="00B95A5E" w:rsidP="00B95A5E">
      <w:pPr>
        <w:pStyle w:val="NoSpacing"/>
        <w:rPr>
          <w:lang w:val="en-GB"/>
        </w:rPr>
      </w:pPr>
      <w:r w:rsidRPr="00636551">
        <w:rPr>
          <w:lang w:val="en-GB"/>
        </w:rPr>
        <w:t xml:space="preserve">The quality of clinical evidence was assessed on the basis of whether the submission was based on a phase III, double-blinded randomized controlled trial with an appropriate control arm and was judged as methodologically strong in the pCODR report.  The severity of adverse events was defined relative to existing treatments; a substantial increase in the risk of an adverse event relative to the clinical standard was coded as high, while similar or lesser risks were coded as low.  A submission was considered to address unmet need if no alternative (effective) treatments were available.  </w:t>
      </w:r>
    </w:p>
    <w:p w14:paraId="023BDC49" w14:textId="77777777" w:rsidR="00B95A5E" w:rsidRPr="00636551" w:rsidRDefault="00B95A5E" w:rsidP="00B95A5E">
      <w:pPr>
        <w:pStyle w:val="NoSpacing"/>
        <w:rPr>
          <w:lang w:val="en-GB"/>
        </w:rPr>
      </w:pPr>
    </w:p>
    <w:p w14:paraId="4D7E9E4E" w14:textId="77777777" w:rsidR="00B95A5E" w:rsidRPr="00636551" w:rsidRDefault="00B95A5E" w:rsidP="00B95A5E">
      <w:pPr>
        <w:pStyle w:val="NoSpacing"/>
        <w:rPr>
          <w:lang w:val="en-GB"/>
        </w:rPr>
      </w:pPr>
      <w:r w:rsidRPr="00636551">
        <w:rPr>
          <w:lang w:val="en-GB"/>
        </w:rPr>
        <w:t>Uncertainty of the economic model was judged on the basis of comments in the economic summary as well as whether or not the summary reported a specific cost-effectiveness ratio (ICER). In cases where several ICER values were reported due to re-estimation, we selected the value provided in the final recommendation. ICER was often not reported, usually because the economic model included confidential price information but sometimes because there was simply too much uncertainty in the model to define a point estimate.  When ICER was reported we rescaled it by dividing by 10,000 to facilitate model convergence.</w:t>
      </w:r>
    </w:p>
    <w:p w14:paraId="0D8C029D" w14:textId="77777777" w:rsidR="00B95A5E" w:rsidRPr="00636551" w:rsidRDefault="00B95A5E" w:rsidP="00B95A5E">
      <w:pPr>
        <w:pStyle w:val="NoSpacing"/>
        <w:rPr>
          <w:lang w:val="en-GB"/>
        </w:rPr>
      </w:pPr>
    </w:p>
    <w:p w14:paraId="4F4CF735" w14:textId="77777777" w:rsidR="00B95A5E" w:rsidRPr="00636551" w:rsidRDefault="00B95A5E" w:rsidP="00B95A5E">
      <w:pPr>
        <w:pStyle w:val="NoSpacing"/>
        <w:rPr>
          <w:lang w:val="en-GB"/>
        </w:rPr>
      </w:pPr>
      <w:r w:rsidRPr="00636551">
        <w:rPr>
          <w:lang w:val="en-GB"/>
        </w:rPr>
        <w:t>Patient time and infrastructure requirement both tended to closely correspond with whether the drug was in oral or intravenous (IV) form of the drug.  Oral drugs were associated with lower patient time, both in terms of chemotherapy ‘chair time’ as well as travel time to a chemotherapy clinic.  Likewise, oral drugs tended to reduce the infrastructure requirements associated with therapy, although some oral drugs required additional testing or blood monitoring.  Other expressions of patient value tended to correspond with survival benefit or unmet need, and therefore these attribute can be seen to some degree as measures of patient value as well as clinical benefit.  Finally, specific budget impact was not typically reported as this was dependent on the characteristics and circumstances of each province, but we coded the expected impact as high or low on the basis of the size of relevant patient population, the cost of the drug, and any new infrastructure or testing requirements.</w:t>
      </w:r>
    </w:p>
    <w:p w14:paraId="56B4929B" w14:textId="77777777" w:rsidR="00C76246" w:rsidRPr="00636551" w:rsidRDefault="00C76246" w:rsidP="00B95A5E">
      <w:pPr>
        <w:pStyle w:val="NoSpacing"/>
      </w:pPr>
    </w:p>
    <w:sectPr w:rsidR="00C76246" w:rsidRPr="006365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A3"/>
    <w:rsid w:val="00027A1C"/>
    <w:rsid w:val="000A26B5"/>
    <w:rsid w:val="001B2F7C"/>
    <w:rsid w:val="00283116"/>
    <w:rsid w:val="002A58FE"/>
    <w:rsid w:val="00300209"/>
    <w:rsid w:val="0032307A"/>
    <w:rsid w:val="0044115B"/>
    <w:rsid w:val="00540283"/>
    <w:rsid w:val="005E3DFF"/>
    <w:rsid w:val="00636551"/>
    <w:rsid w:val="00644FF0"/>
    <w:rsid w:val="00682468"/>
    <w:rsid w:val="008C4983"/>
    <w:rsid w:val="00A01E3A"/>
    <w:rsid w:val="00B62100"/>
    <w:rsid w:val="00B95A5E"/>
    <w:rsid w:val="00BA4A27"/>
    <w:rsid w:val="00BC7D21"/>
    <w:rsid w:val="00C76246"/>
    <w:rsid w:val="00D93E3D"/>
    <w:rsid w:val="00E641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B4EF"/>
  <w15:chartTrackingRefBased/>
  <w15:docId w15:val="{4757497A-1835-4D65-BA82-01ADEB06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2F7C"/>
    <w:pPr>
      <w:spacing w:after="0" w:line="240" w:lineRule="auto"/>
    </w:pPr>
  </w:style>
  <w:style w:type="paragraph" w:styleId="CommentText">
    <w:name w:val="annotation text"/>
    <w:basedOn w:val="Normal"/>
    <w:link w:val="CommentTextChar"/>
    <w:uiPriority w:val="99"/>
    <w:semiHidden/>
    <w:unhideWhenUsed/>
    <w:rsid w:val="00B95A5E"/>
    <w:pPr>
      <w:spacing w:line="240" w:lineRule="auto"/>
    </w:pPr>
    <w:rPr>
      <w:sz w:val="20"/>
      <w:szCs w:val="20"/>
    </w:rPr>
  </w:style>
  <w:style w:type="character" w:customStyle="1" w:styleId="CommentTextChar">
    <w:name w:val="Comment Text Char"/>
    <w:basedOn w:val="DefaultParagraphFont"/>
    <w:link w:val="CommentText"/>
    <w:uiPriority w:val="99"/>
    <w:semiHidden/>
    <w:rsid w:val="00B95A5E"/>
    <w:rPr>
      <w:sz w:val="20"/>
      <w:szCs w:val="20"/>
    </w:rPr>
  </w:style>
  <w:style w:type="character" w:styleId="CommentReference">
    <w:name w:val="annotation reference"/>
    <w:basedOn w:val="DefaultParagraphFont"/>
    <w:uiPriority w:val="99"/>
    <w:semiHidden/>
    <w:unhideWhenUsed/>
    <w:rsid w:val="00B95A5E"/>
    <w:rPr>
      <w:sz w:val="16"/>
      <w:szCs w:val="16"/>
    </w:rPr>
  </w:style>
  <w:style w:type="paragraph" w:styleId="BalloonText">
    <w:name w:val="Balloon Text"/>
    <w:basedOn w:val="Normal"/>
    <w:link w:val="BalloonTextChar"/>
    <w:uiPriority w:val="99"/>
    <w:semiHidden/>
    <w:unhideWhenUsed/>
    <w:rsid w:val="00B95A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A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1709</Words>
  <Characters>9742</Characters>
  <Application>Microsoft Office Word</Application>
  <DocSecurity>0</DocSecurity>
  <Lines>81</Lines>
  <Paragraphs>22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Szkola Główna Handlowa w Warszawie</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Wiesława Wranik</dc:creator>
  <cp:keywords/>
  <dc:description/>
  <cp:lastModifiedBy>Christopher Skedgel (MED - Staff)</cp:lastModifiedBy>
  <cp:revision>17</cp:revision>
  <dcterms:created xsi:type="dcterms:W3CDTF">2017-11-08T11:14:00Z</dcterms:created>
  <dcterms:modified xsi:type="dcterms:W3CDTF">2017-11-21T18:58:00Z</dcterms:modified>
</cp:coreProperties>
</file>