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D27" w:rsidRDefault="002B72B4" w:rsidP="002B72B4">
      <w:pPr>
        <w:spacing w:line="360" w:lineRule="auto"/>
        <w:rPr>
          <w:rFonts w:ascii="Tahoma" w:hAnsi="Tahoma" w:cs="Tahoma"/>
          <w:b/>
          <w:bCs/>
          <w:lang w:val="en-US"/>
        </w:rPr>
      </w:pPr>
      <w:r>
        <w:rPr>
          <w:rFonts w:ascii="Tahoma" w:hAnsi="Tahoma" w:cs="Tahoma"/>
          <w:b/>
          <w:bCs/>
          <w:lang w:val="en-US"/>
        </w:rPr>
        <w:t>Cost</w:t>
      </w:r>
      <w:r w:rsidR="00E72818">
        <w:rPr>
          <w:rFonts w:ascii="Tahoma" w:hAnsi="Tahoma" w:cs="Tahoma"/>
          <w:b/>
          <w:bCs/>
          <w:lang w:val="en-US"/>
        </w:rPr>
        <w:t xml:space="preserve"> </w:t>
      </w:r>
      <w:r>
        <w:rPr>
          <w:rFonts w:ascii="Tahoma" w:hAnsi="Tahoma" w:cs="Tahoma"/>
          <w:b/>
          <w:bCs/>
          <w:lang w:val="en-US"/>
        </w:rPr>
        <w:t>effectiveness of secukinumab for the treatment of active psoriatic arthritis in the UK</w:t>
      </w:r>
      <w:r w:rsidR="00C10D27">
        <w:rPr>
          <w:rFonts w:ascii="Tahoma" w:hAnsi="Tahoma" w:cs="Tahoma"/>
          <w:b/>
          <w:bCs/>
          <w:lang w:val="en-US"/>
        </w:rPr>
        <w:t xml:space="preserve"> </w:t>
      </w:r>
    </w:p>
    <w:p w:rsidR="00776918" w:rsidRDefault="00776918" w:rsidP="00C600B1">
      <w:pPr>
        <w:pStyle w:val="Manuscriptfootnote"/>
      </w:pPr>
    </w:p>
    <w:p w:rsidR="002B72B4" w:rsidRDefault="002B72B4" w:rsidP="002B72B4">
      <w:pPr>
        <w:pStyle w:val="Numberedheading"/>
        <w:pageBreakBefore w:val="0"/>
        <w:numPr>
          <w:ilvl w:val="0"/>
          <w:numId w:val="0"/>
        </w:numPr>
      </w:pPr>
      <w:r>
        <w:t>SUPPLEMENTARY INFORMATION</w:t>
      </w:r>
    </w:p>
    <w:p w:rsidR="002B72B4" w:rsidRDefault="002B72B4" w:rsidP="002B72B4">
      <w:pPr>
        <w:pStyle w:val="Manuscriptbody"/>
      </w:pPr>
      <w:r>
        <w:t>Vanessa Buchanan</w:t>
      </w:r>
      <w:r>
        <w:rPr>
          <w:vertAlign w:val="superscript"/>
        </w:rPr>
        <w:t>1*</w:t>
      </w:r>
      <w:r>
        <w:t>; Will Sullivan</w:t>
      </w:r>
      <w:r>
        <w:rPr>
          <w:vertAlign w:val="superscript"/>
        </w:rPr>
        <w:t>1</w:t>
      </w:r>
      <w:r>
        <w:t>; Chris Graham</w:t>
      </w:r>
      <w:r>
        <w:rPr>
          <w:vertAlign w:val="superscript"/>
        </w:rPr>
        <w:t>2</w:t>
      </w:r>
      <w:r>
        <w:t>; LaStella Miles</w:t>
      </w:r>
      <w:r>
        <w:rPr>
          <w:vertAlign w:val="superscript"/>
        </w:rPr>
        <w:t>2</w:t>
      </w:r>
      <w:r>
        <w:t>; Steffen Jugl</w:t>
      </w:r>
      <w:r>
        <w:rPr>
          <w:vertAlign w:val="superscript"/>
        </w:rPr>
        <w:t>3</w:t>
      </w:r>
      <w:r>
        <w:t>; Praveen Gunda</w:t>
      </w:r>
      <w:r>
        <w:rPr>
          <w:vertAlign w:val="superscript"/>
        </w:rPr>
        <w:t>4</w:t>
      </w:r>
      <w:r>
        <w:t>; Anna Halliday</w:t>
      </w:r>
      <w:r>
        <w:rPr>
          <w:vertAlign w:val="superscript"/>
        </w:rPr>
        <w:t>5</w:t>
      </w:r>
      <w:r w:rsidR="00EF1C75">
        <w:t xml:space="preserve">; </w:t>
      </w:r>
      <w:r>
        <w:t>Bruce Kirkham</w:t>
      </w:r>
      <w:r>
        <w:rPr>
          <w:vertAlign w:val="superscript"/>
        </w:rPr>
        <w:t>6</w:t>
      </w:r>
      <w:r w:rsidR="00C8619A">
        <w:rPr>
          <w:vertAlign w:val="superscript"/>
        </w:rPr>
        <w:t>,7</w:t>
      </w:r>
    </w:p>
    <w:p w:rsidR="002B72B4" w:rsidRDefault="002B72B4" w:rsidP="002B72B4">
      <w:pPr>
        <w:pStyle w:val="Manuscriptbody"/>
      </w:pPr>
      <w:r>
        <w:rPr>
          <w:vertAlign w:val="superscript"/>
        </w:rPr>
        <w:t>1</w:t>
      </w:r>
      <w:r>
        <w:t xml:space="preserve">BresMed Health Solutions, Sheffield, UK; </w:t>
      </w:r>
      <w:r>
        <w:rPr>
          <w:vertAlign w:val="superscript"/>
        </w:rPr>
        <w:t>2</w:t>
      </w:r>
      <w:r>
        <w:t xml:space="preserve">RTI Health Solutions, </w:t>
      </w:r>
      <w:r w:rsidRPr="00642074">
        <w:t>Research Triangle Park, NC, USA</w:t>
      </w:r>
      <w:r>
        <w:t xml:space="preserve">; </w:t>
      </w:r>
      <w:r>
        <w:rPr>
          <w:vertAlign w:val="superscript"/>
        </w:rPr>
        <w:t>3</w:t>
      </w:r>
      <w:r>
        <w:t xml:space="preserve">Novartis Pharma AG, </w:t>
      </w:r>
      <w:r w:rsidRPr="00642074">
        <w:t>Basel, Switzerland</w:t>
      </w:r>
      <w:r>
        <w:t xml:space="preserve">; </w:t>
      </w:r>
      <w:r>
        <w:rPr>
          <w:vertAlign w:val="superscript"/>
        </w:rPr>
        <w:t>4</w:t>
      </w:r>
      <w:r w:rsidRPr="00642074">
        <w:t>Novartis Healthcare Private Limited, Hyderabad, India</w:t>
      </w:r>
      <w:r>
        <w:t xml:space="preserve">; </w:t>
      </w:r>
      <w:r>
        <w:rPr>
          <w:vertAlign w:val="superscript"/>
        </w:rPr>
        <w:t>5</w:t>
      </w:r>
      <w:r>
        <w:t>Novartis Pharmaceuticals UK Limited,</w:t>
      </w:r>
      <w:r w:rsidRPr="00642074">
        <w:t xml:space="preserve"> Camberley</w:t>
      </w:r>
      <w:r>
        <w:t xml:space="preserve">, UK; </w:t>
      </w:r>
      <w:r>
        <w:rPr>
          <w:vertAlign w:val="superscript"/>
        </w:rPr>
        <w:t>6</w:t>
      </w:r>
      <w:r w:rsidRPr="004C31AF">
        <w:t>Guy's and St Thomas' NHS Foundation Trust</w:t>
      </w:r>
      <w:r w:rsidR="00C8619A">
        <w:t xml:space="preserve">, London, UK; </w:t>
      </w:r>
      <w:r w:rsidR="00C8619A" w:rsidRPr="00C8619A">
        <w:rPr>
          <w:vertAlign w:val="superscript"/>
        </w:rPr>
        <w:t>7</w:t>
      </w:r>
      <w:r>
        <w:t>King’s College</w:t>
      </w:r>
      <w:r w:rsidR="00556526">
        <w:t xml:space="preserve"> London</w:t>
      </w:r>
      <w:r>
        <w:t>, London, UK</w:t>
      </w:r>
    </w:p>
    <w:p w:rsidR="002B72B4" w:rsidRPr="00642074" w:rsidRDefault="002B72B4" w:rsidP="002B72B4">
      <w:pPr>
        <w:pStyle w:val="Manuscriptbody"/>
      </w:pPr>
      <w:r>
        <w:t>* VB</w:t>
      </w:r>
      <w:r w:rsidRPr="00642074">
        <w:t xml:space="preserve"> is formerly of </w:t>
      </w:r>
      <w:r>
        <w:t>BresMed Health Solutions</w:t>
      </w:r>
      <w:r w:rsidRPr="00642074">
        <w:t xml:space="preserve"> and was affiliated with this organisation at the time of study</w:t>
      </w:r>
    </w:p>
    <w:p w:rsidR="00AC2D11" w:rsidRDefault="002B72B4" w:rsidP="002B72B4">
      <w:pPr>
        <w:pStyle w:val="Manuscriptbody"/>
        <w:rPr>
          <w:rFonts w:cs="Tahoma"/>
          <w:bCs/>
          <w:lang w:val="en-US"/>
        </w:rPr>
      </w:pPr>
      <w:r w:rsidRPr="008A3938">
        <w:rPr>
          <w:b/>
        </w:rPr>
        <w:t>Correspondence to:</w:t>
      </w:r>
      <w:r w:rsidRPr="008A3938">
        <w:t xml:space="preserve"> </w:t>
      </w:r>
      <w:r w:rsidR="00AC2D11" w:rsidRPr="00AF1D24">
        <w:rPr>
          <w:rFonts w:cs="Tahoma"/>
          <w:lang w:val="en-US"/>
        </w:rPr>
        <w:t>anna.halliday@novartis.com</w:t>
      </w:r>
      <w:r>
        <w:rPr>
          <w:rFonts w:cs="Tahoma"/>
          <w:bCs/>
          <w:lang w:val="en-US"/>
        </w:rPr>
        <w:t xml:space="preserve"> </w:t>
      </w:r>
    </w:p>
    <w:p w:rsidR="002B72B4" w:rsidRDefault="002B72B4" w:rsidP="002B72B4">
      <w:pPr>
        <w:pStyle w:val="Manuscriptbody"/>
        <w:rPr>
          <w:rFonts w:cs="Tahoma"/>
          <w:bCs/>
          <w:lang w:val="en-US"/>
        </w:rPr>
      </w:pPr>
      <w:r w:rsidRPr="00E1684E">
        <w:rPr>
          <w:rFonts w:cs="Tahoma"/>
          <w:bCs/>
          <w:lang w:val="en-US"/>
        </w:rPr>
        <w:t>+44 1276 698655</w:t>
      </w:r>
    </w:p>
    <w:p w:rsidR="002B72B4" w:rsidRDefault="002B72B4" w:rsidP="002B72B4">
      <w:pPr>
        <w:pStyle w:val="Manuscriptfootnote"/>
      </w:pPr>
    </w:p>
    <w:p w:rsidR="002B72B4" w:rsidRDefault="002B72B4" w:rsidP="002B72B4">
      <w:pPr>
        <w:pStyle w:val="Caption"/>
        <w:pageBreakBefore/>
      </w:pPr>
      <w:bookmarkStart w:id="0" w:name="_Ref496010034"/>
      <w:bookmarkStart w:id="1" w:name="_Ref486152139"/>
      <w:bookmarkStart w:id="2" w:name="_Ref491851333"/>
      <w:r>
        <w:lastRenderedPageBreak/>
        <w:t xml:space="preserve">Table </w:t>
      </w:r>
      <w:r>
        <w:rPr>
          <w:noProof/>
        </w:rPr>
        <w:t>4</w:t>
      </w:r>
      <w:bookmarkEnd w:id="0"/>
      <w:r w:rsidRPr="003A0D24">
        <w:t xml:space="preserve"> </w:t>
      </w:r>
      <w:r>
        <w:t>Clinical parameter inputs used in the model</w:t>
      </w:r>
    </w:p>
    <w:bookmarkEnd w:id="1"/>
    <w:bookmarkEnd w:id="2"/>
    <w:p w:rsidR="002B72B4" w:rsidRDefault="002B72B4" w:rsidP="002B72B4">
      <w:pPr>
        <w:pStyle w:val="Caption"/>
        <w:numPr>
          <w:ilvl w:val="0"/>
          <w:numId w:val="5"/>
        </w:numPr>
      </w:pPr>
      <w:r>
        <w:t>PsARC response and PASI distribution at three months</w:t>
      </w:r>
    </w:p>
    <w:tbl>
      <w:tblPr>
        <w:tblStyle w:val="TableGrid"/>
        <w:tblW w:w="5000" w:type="pct"/>
        <w:tblLook w:val="04A0" w:firstRow="1" w:lastRow="0" w:firstColumn="1" w:lastColumn="0" w:noHBand="0" w:noVBand="1"/>
      </w:tblPr>
      <w:tblGrid>
        <w:gridCol w:w="680"/>
        <w:gridCol w:w="1360"/>
        <w:gridCol w:w="1165"/>
        <w:gridCol w:w="1165"/>
        <w:gridCol w:w="1165"/>
        <w:gridCol w:w="1285"/>
        <w:gridCol w:w="1470"/>
      </w:tblGrid>
      <w:tr w:rsidR="002B72B4" w:rsidRPr="00481207" w:rsidTr="003E4C4A">
        <w:trPr>
          <w:trHeight w:val="300"/>
        </w:trPr>
        <w:tc>
          <w:tcPr>
            <w:tcW w:w="437" w:type="pct"/>
            <w:vMerge w:val="restart"/>
            <w:shd w:val="clear" w:color="auto" w:fill="BFBFBF" w:themeFill="background1" w:themeFillShade="BF"/>
            <w:noWrap/>
            <w:vAlign w:val="center"/>
          </w:tcPr>
          <w:p w:rsidR="002B72B4" w:rsidRPr="00A6497B" w:rsidRDefault="002B72B4" w:rsidP="001E7CAE">
            <w:pPr>
              <w:pStyle w:val="Manuscripttableheading"/>
            </w:pPr>
          </w:p>
        </w:tc>
        <w:tc>
          <w:tcPr>
            <w:tcW w:w="3650" w:type="pct"/>
            <w:gridSpan w:val="5"/>
            <w:shd w:val="clear" w:color="auto" w:fill="BFBFBF" w:themeFill="background1" w:themeFillShade="BF"/>
            <w:vAlign w:val="center"/>
          </w:tcPr>
          <w:p w:rsidR="002B72B4" w:rsidRPr="00236118" w:rsidRDefault="002B72B4" w:rsidP="001E7CAE">
            <w:pPr>
              <w:pStyle w:val="Manuscripttableheading"/>
              <w:jc w:val="center"/>
            </w:pPr>
            <w:r>
              <w:t>Proportion of responders</w:t>
            </w:r>
          </w:p>
        </w:tc>
        <w:tc>
          <w:tcPr>
            <w:tcW w:w="913" w:type="pct"/>
            <w:vMerge w:val="restart"/>
            <w:shd w:val="clear" w:color="auto" w:fill="BFBFBF" w:themeFill="background1" w:themeFillShade="BF"/>
            <w:vAlign w:val="center"/>
          </w:tcPr>
          <w:p w:rsidR="002B72B4" w:rsidRDefault="002B72B4" w:rsidP="001E7CAE">
            <w:pPr>
              <w:pStyle w:val="Manuscripttableheading"/>
            </w:pPr>
            <w:r>
              <w:t>Source</w:t>
            </w:r>
          </w:p>
        </w:tc>
      </w:tr>
      <w:tr w:rsidR="002B72B4" w:rsidRPr="00481207" w:rsidTr="003E4C4A">
        <w:trPr>
          <w:trHeight w:val="300"/>
        </w:trPr>
        <w:tc>
          <w:tcPr>
            <w:tcW w:w="437" w:type="pct"/>
            <w:vMerge/>
            <w:shd w:val="clear" w:color="auto" w:fill="BFBFBF" w:themeFill="background1" w:themeFillShade="BF"/>
            <w:noWrap/>
            <w:vAlign w:val="center"/>
          </w:tcPr>
          <w:p w:rsidR="002B72B4" w:rsidRPr="00A6497B" w:rsidRDefault="002B72B4" w:rsidP="001E7CAE">
            <w:pPr>
              <w:pStyle w:val="Manuscripttableheading"/>
            </w:pPr>
          </w:p>
        </w:tc>
        <w:tc>
          <w:tcPr>
            <w:tcW w:w="730" w:type="pct"/>
            <w:shd w:val="clear" w:color="auto" w:fill="BFBFBF" w:themeFill="background1" w:themeFillShade="BF"/>
            <w:vAlign w:val="center"/>
          </w:tcPr>
          <w:p w:rsidR="002B72B4" w:rsidRPr="00236118" w:rsidRDefault="002B72B4" w:rsidP="001E7CAE">
            <w:pPr>
              <w:pStyle w:val="Manuscripttableheading"/>
              <w:jc w:val="center"/>
            </w:pPr>
            <w:r w:rsidRPr="00236118">
              <w:t>PsARC</w:t>
            </w:r>
          </w:p>
        </w:tc>
        <w:tc>
          <w:tcPr>
            <w:tcW w:w="730" w:type="pct"/>
            <w:shd w:val="clear" w:color="auto" w:fill="BFBFBF" w:themeFill="background1" w:themeFillShade="BF"/>
            <w:vAlign w:val="center"/>
          </w:tcPr>
          <w:p w:rsidR="002B72B4" w:rsidRPr="00236118" w:rsidRDefault="002B72B4" w:rsidP="001E7CAE">
            <w:pPr>
              <w:pStyle w:val="Manuscripttableheading"/>
              <w:jc w:val="center"/>
            </w:pPr>
            <w:r w:rsidRPr="00236118">
              <w:t>PASI &lt;50</w:t>
            </w:r>
          </w:p>
        </w:tc>
        <w:tc>
          <w:tcPr>
            <w:tcW w:w="730" w:type="pct"/>
            <w:shd w:val="clear" w:color="auto" w:fill="BFBFBF" w:themeFill="background1" w:themeFillShade="BF"/>
            <w:vAlign w:val="center"/>
          </w:tcPr>
          <w:p w:rsidR="002B72B4" w:rsidRPr="00236118" w:rsidRDefault="002B72B4" w:rsidP="001E7CAE">
            <w:pPr>
              <w:pStyle w:val="Manuscripttableheading"/>
              <w:jc w:val="center"/>
            </w:pPr>
            <w:r w:rsidRPr="00236118">
              <w:t>PASI 50–74</w:t>
            </w:r>
          </w:p>
        </w:tc>
        <w:tc>
          <w:tcPr>
            <w:tcW w:w="730" w:type="pct"/>
            <w:shd w:val="clear" w:color="auto" w:fill="BFBFBF" w:themeFill="background1" w:themeFillShade="BF"/>
            <w:vAlign w:val="center"/>
          </w:tcPr>
          <w:p w:rsidR="002B72B4" w:rsidRPr="00236118" w:rsidRDefault="002B72B4" w:rsidP="001E7CAE">
            <w:pPr>
              <w:pStyle w:val="Manuscripttableheading"/>
              <w:jc w:val="center"/>
            </w:pPr>
            <w:r w:rsidRPr="00236118">
              <w:t>PASI 75–89</w:t>
            </w:r>
          </w:p>
        </w:tc>
        <w:tc>
          <w:tcPr>
            <w:tcW w:w="730" w:type="pct"/>
            <w:shd w:val="clear" w:color="auto" w:fill="BFBFBF" w:themeFill="background1" w:themeFillShade="BF"/>
            <w:noWrap/>
            <w:vAlign w:val="center"/>
          </w:tcPr>
          <w:p w:rsidR="002B72B4" w:rsidRPr="00236118" w:rsidRDefault="002B72B4" w:rsidP="001E7CAE">
            <w:pPr>
              <w:pStyle w:val="Manuscripttableheading"/>
              <w:jc w:val="center"/>
            </w:pPr>
            <w:r w:rsidRPr="00236118">
              <w:t>PASI 90–99</w:t>
            </w:r>
          </w:p>
        </w:tc>
        <w:tc>
          <w:tcPr>
            <w:tcW w:w="913" w:type="pct"/>
            <w:vMerge/>
            <w:shd w:val="clear" w:color="auto" w:fill="BFBFBF" w:themeFill="background1" w:themeFillShade="BF"/>
            <w:vAlign w:val="center"/>
          </w:tcPr>
          <w:p w:rsidR="002B72B4" w:rsidRPr="00236118" w:rsidRDefault="002B72B4" w:rsidP="001E7CAE">
            <w:pPr>
              <w:pStyle w:val="Manuscripttableheading"/>
            </w:pPr>
          </w:p>
        </w:tc>
      </w:tr>
      <w:tr w:rsidR="002B72B4" w:rsidRPr="00481207" w:rsidTr="003E4C4A">
        <w:trPr>
          <w:trHeight w:val="300"/>
        </w:trPr>
        <w:tc>
          <w:tcPr>
            <w:tcW w:w="5000" w:type="pct"/>
            <w:gridSpan w:val="7"/>
            <w:shd w:val="clear" w:color="auto" w:fill="D9D9D9" w:themeFill="background1" w:themeFillShade="D9"/>
            <w:noWrap/>
            <w:vAlign w:val="center"/>
          </w:tcPr>
          <w:p w:rsidR="002B72B4" w:rsidRPr="00236118" w:rsidRDefault="002B72B4" w:rsidP="001E7CAE">
            <w:pPr>
              <w:pStyle w:val="Manuscripttableheading"/>
            </w:pPr>
            <w:r>
              <w:t>1 prior csDMARD</w:t>
            </w:r>
          </w:p>
        </w:tc>
      </w:tr>
      <w:tr w:rsidR="002B72B4" w:rsidRPr="00481207" w:rsidTr="003E4C4A">
        <w:trPr>
          <w:trHeight w:val="300"/>
        </w:trPr>
        <w:tc>
          <w:tcPr>
            <w:tcW w:w="437" w:type="pct"/>
            <w:noWrap/>
            <w:vAlign w:val="center"/>
          </w:tcPr>
          <w:p w:rsidR="002B72B4" w:rsidRPr="00A6497B" w:rsidRDefault="002B72B4" w:rsidP="001E7CAE">
            <w:pPr>
              <w:pStyle w:val="Manuscripttableheading"/>
            </w:pPr>
            <w:r>
              <w:t>SEC</w:t>
            </w:r>
          </w:p>
        </w:tc>
        <w:tc>
          <w:tcPr>
            <w:tcW w:w="730" w:type="pct"/>
            <w:vAlign w:val="center"/>
          </w:tcPr>
          <w:p w:rsidR="002B72B4" w:rsidRPr="00733E3A" w:rsidRDefault="002B72B4" w:rsidP="001E7CAE">
            <w:pPr>
              <w:pStyle w:val="Manuscripttabletext"/>
              <w:jc w:val="center"/>
            </w:pPr>
            <w:r w:rsidRPr="00733E3A">
              <w:t>71.40%</w:t>
            </w:r>
          </w:p>
          <w:p w:rsidR="002B72B4" w:rsidRPr="00733E3A" w:rsidRDefault="002B72B4" w:rsidP="001E7CAE">
            <w:pPr>
              <w:pStyle w:val="Manuscripttabletext"/>
              <w:jc w:val="center"/>
            </w:pPr>
            <w:r w:rsidRPr="00733E3A">
              <w:t>(60.40, 80.50)</w:t>
            </w:r>
          </w:p>
        </w:tc>
        <w:tc>
          <w:tcPr>
            <w:tcW w:w="730" w:type="pct"/>
            <w:vAlign w:val="center"/>
          </w:tcPr>
          <w:p w:rsidR="002B72B4" w:rsidRPr="00733E3A" w:rsidRDefault="002B72B4" w:rsidP="001E7CAE">
            <w:pPr>
              <w:pStyle w:val="Manuscripttabletext"/>
              <w:jc w:val="center"/>
            </w:pPr>
            <w:r w:rsidRPr="00733E3A">
              <w:t>28.00%</w:t>
            </w:r>
          </w:p>
        </w:tc>
        <w:tc>
          <w:tcPr>
            <w:tcW w:w="730" w:type="pct"/>
            <w:vAlign w:val="center"/>
          </w:tcPr>
          <w:p w:rsidR="002B72B4" w:rsidRPr="00733E3A" w:rsidRDefault="002B72B4" w:rsidP="001E7CAE">
            <w:pPr>
              <w:pStyle w:val="Manuscripttabletext"/>
              <w:jc w:val="center"/>
            </w:pPr>
            <w:r w:rsidRPr="00733E3A">
              <w:t>28.00%</w:t>
            </w:r>
          </w:p>
        </w:tc>
        <w:tc>
          <w:tcPr>
            <w:tcW w:w="730" w:type="pct"/>
            <w:vAlign w:val="center"/>
          </w:tcPr>
          <w:p w:rsidR="002B72B4" w:rsidRPr="00733E3A" w:rsidRDefault="002B72B4" w:rsidP="001E7CAE">
            <w:pPr>
              <w:pStyle w:val="Manuscripttabletext"/>
              <w:jc w:val="center"/>
            </w:pPr>
            <w:r w:rsidRPr="00733E3A">
              <w:t>16.00%</w:t>
            </w:r>
          </w:p>
        </w:tc>
        <w:tc>
          <w:tcPr>
            <w:tcW w:w="730" w:type="pct"/>
            <w:noWrap/>
            <w:vAlign w:val="center"/>
          </w:tcPr>
          <w:p w:rsidR="002B72B4" w:rsidRPr="00733E3A" w:rsidRDefault="002B72B4" w:rsidP="001E7CAE">
            <w:pPr>
              <w:pStyle w:val="Manuscripttabletext"/>
              <w:jc w:val="center"/>
            </w:pPr>
            <w:r w:rsidRPr="00733E3A">
              <w:t>28.00%</w:t>
            </w:r>
          </w:p>
        </w:tc>
        <w:tc>
          <w:tcPr>
            <w:tcW w:w="913" w:type="pct"/>
            <w:vMerge w:val="restart"/>
            <w:vAlign w:val="center"/>
          </w:tcPr>
          <w:p w:rsidR="002B72B4" w:rsidRPr="00236118" w:rsidRDefault="002B72B4" w:rsidP="001E7CAE">
            <w:pPr>
              <w:pStyle w:val="Manuscripttabletext"/>
              <w:rPr>
                <w:highlight w:val="magenta"/>
              </w:rPr>
            </w:pPr>
            <w:r w:rsidRPr="000F2C0D">
              <w:t>Based on FUTU</w:t>
            </w:r>
            <w:r>
              <w:t xml:space="preserve">RE 2 </w:t>
            </w:r>
            <w:r w:rsidRPr="007D1EAC">
              <w:rPr>
                <w:i/>
              </w:rPr>
              <w:t>post hoc</w:t>
            </w:r>
            <w:r>
              <w:t xml:space="preserve"> subgroup analysis</w:t>
            </w:r>
          </w:p>
        </w:tc>
      </w:tr>
      <w:tr w:rsidR="002B72B4" w:rsidRPr="00481207" w:rsidTr="003E4C4A">
        <w:trPr>
          <w:trHeight w:val="300"/>
        </w:trPr>
        <w:tc>
          <w:tcPr>
            <w:tcW w:w="437" w:type="pct"/>
            <w:noWrap/>
            <w:vAlign w:val="center"/>
          </w:tcPr>
          <w:p w:rsidR="002B72B4" w:rsidRPr="00A6497B" w:rsidRDefault="002B72B4" w:rsidP="001E7CAE">
            <w:pPr>
              <w:pStyle w:val="Manuscripttableheading"/>
              <w:rPr>
                <w:highlight w:val="green"/>
              </w:rPr>
            </w:pPr>
            <w:r w:rsidRPr="00481207">
              <w:t>SoC</w:t>
            </w:r>
          </w:p>
        </w:tc>
        <w:tc>
          <w:tcPr>
            <w:tcW w:w="730" w:type="pct"/>
            <w:noWrap/>
            <w:vAlign w:val="center"/>
          </w:tcPr>
          <w:p w:rsidR="002B72B4" w:rsidRPr="00733E3A" w:rsidRDefault="002B72B4" w:rsidP="001E7CAE">
            <w:pPr>
              <w:pStyle w:val="Manuscripttabletext"/>
              <w:jc w:val="center"/>
            </w:pPr>
            <w:r w:rsidRPr="00733E3A">
              <w:t>44.80%</w:t>
            </w:r>
          </w:p>
          <w:p w:rsidR="002B72B4" w:rsidRPr="00733E3A" w:rsidRDefault="002B72B4" w:rsidP="001E7CAE">
            <w:pPr>
              <w:pStyle w:val="Manuscripttabletext"/>
              <w:jc w:val="center"/>
            </w:pPr>
            <w:r w:rsidRPr="00733E3A">
              <w:t>(34.40, 55.80)</w:t>
            </w:r>
          </w:p>
        </w:tc>
        <w:tc>
          <w:tcPr>
            <w:tcW w:w="730" w:type="pct"/>
            <w:vAlign w:val="center"/>
          </w:tcPr>
          <w:p w:rsidR="002B72B4" w:rsidRPr="00733E3A" w:rsidRDefault="002B72B4" w:rsidP="001E7CAE">
            <w:pPr>
              <w:pStyle w:val="Manuscripttabletext"/>
              <w:jc w:val="center"/>
            </w:pPr>
            <w:r w:rsidRPr="00733E3A">
              <w:t>86.96%</w:t>
            </w:r>
          </w:p>
        </w:tc>
        <w:tc>
          <w:tcPr>
            <w:tcW w:w="730" w:type="pct"/>
            <w:vAlign w:val="center"/>
          </w:tcPr>
          <w:p w:rsidR="002B72B4" w:rsidRPr="00733E3A" w:rsidRDefault="002B72B4" w:rsidP="001E7CAE">
            <w:pPr>
              <w:pStyle w:val="Manuscripttabletext"/>
              <w:jc w:val="center"/>
            </w:pPr>
            <w:r w:rsidRPr="00733E3A">
              <w:t>4.35%</w:t>
            </w:r>
          </w:p>
        </w:tc>
        <w:tc>
          <w:tcPr>
            <w:tcW w:w="730" w:type="pct"/>
            <w:vAlign w:val="center"/>
          </w:tcPr>
          <w:p w:rsidR="002B72B4" w:rsidRPr="00733E3A" w:rsidRDefault="002B72B4" w:rsidP="001E7CAE">
            <w:pPr>
              <w:pStyle w:val="Manuscripttabletext"/>
              <w:jc w:val="center"/>
            </w:pPr>
            <w:r w:rsidRPr="00733E3A">
              <w:t>0.00%</w:t>
            </w:r>
          </w:p>
        </w:tc>
        <w:tc>
          <w:tcPr>
            <w:tcW w:w="730" w:type="pct"/>
            <w:noWrap/>
            <w:vAlign w:val="center"/>
          </w:tcPr>
          <w:p w:rsidR="002B72B4" w:rsidRPr="00733E3A" w:rsidRDefault="002B72B4" w:rsidP="001E7CAE">
            <w:pPr>
              <w:pStyle w:val="Manuscripttabletext"/>
              <w:jc w:val="center"/>
            </w:pPr>
            <w:r w:rsidRPr="00733E3A">
              <w:t>8.70%</w:t>
            </w:r>
          </w:p>
        </w:tc>
        <w:tc>
          <w:tcPr>
            <w:tcW w:w="913" w:type="pct"/>
            <w:vMerge/>
          </w:tcPr>
          <w:p w:rsidR="002B72B4" w:rsidRPr="00236118" w:rsidRDefault="002B72B4" w:rsidP="001E7CAE">
            <w:pPr>
              <w:pStyle w:val="Manuscripttabletext"/>
              <w:rPr>
                <w:highlight w:val="magenta"/>
              </w:rPr>
            </w:pPr>
          </w:p>
        </w:tc>
      </w:tr>
      <w:tr w:rsidR="002B72B4" w:rsidRPr="00481207" w:rsidTr="003E4C4A">
        <w:trPr>
          <w:trHeight w:val="300"/>
        </w:trPr>
        <w:tc>
          <w:tcPr>
            <w:tcW w:w="5000" w:type="pct"/>
            <w:gridSpan w:val="7"/>
            <w:shd w:val="clear" w:color="auto" w:fill="D9D9D9" w:themeFill="background1" w:themeFillShade="D9"/>
            <w:noWrap/>
            <w:vAlign w:val="center"/>
          </w:tcPr>
          <w:p w:rsidR="002B72B4" w:rsidRPr="00733E3A" w:rsidRDefault="002B72B4" w:rsidP="001E7CAE">
            <w:pPr>
              <w:pStyle w:val="Manuscripttableheading"/>
            </w:pPr>
            <w:r w:rsidRPr="00733E3A">
              <w:rPr>
                <w:rFonts w:cs="Tahoma"/>
              </w:rPr>
              <w:t>≥</w:t>
            </w:r>
            <w:r w:rsidRPr="00733E3A">
              <w:t>2 prior csDMARDs</w:t>
            </w:r>
          </w:p>
        </w:tc>
      </w:tr>
      <w:tr w:rsidR="002B72B4" w:rsidRPr="00481207" w:rsidTr="003E4C4A">
        <w:trPr>
          <w:trHeight w:val="300"/>
        </w:trPr>
        <w:tc>
          <w:tcPr>
            <w:tcW w:w="437" w:type="pct"/>
            <w:noWrap/>
            <w:vAlign w:val="center"/>
          </w:tcPr>
          <w:p w:rsidR="002B72B4" w:rsidRPr="00481207" w:rsidRDefault="002B72B4" w:rsidP="001E7CAE">
            <w:pPr>
              <w:pStyle w:val="Manuscripttableheading"/>
            </w:pPr>
            <w:r>
              <w:t>SEC</w:t>
            </w:r>
          </w:p>
        </w:tc>
        <w:tc>
          <w:tcPr>
            <w:tcW w:w="730" w:type="pct"/>
            <w:noWrap/>
            <w:vAlign w:val="center"/>
          </w:tcPr>
          <w:p w:rsidR="002B72B4" w:rsidRPr="00733E3A" w:rsidRDefault="002B72B4" w:rsidP="001E7CAE">
            <w:pPr>
              <w:pStyle w:val="Manuscripttabletext"/>
              <w:jc w:val="center"/>
            </w:pPr>
            <w:r w:rsidRPr="00733E3A">
              <w:t>80.02%</w:t>
            </w:r>
          </w:p>
          <w:p w:rsidR="002B72B4" w:rsidRPr="00733E3A" w:rsidRDefault="002B72B4" w:rsidP="001E7CAE">
            <w:pPr>
              <w:pStyle w:val="Manuscripttabletext"/>
              <w:jc w:val="center"/>
            </w:pPr>
            <w:r w:rsidRPr="00733E3A">
              <w:t>(53.71, 93.26)</w:t>
            </w:r>
          </w:p>
        </w:tc>
        <w:tc>
          <w:tcPr>
            <w:tcW w:w="730" w:type="pct"/>
            <w:vAlign w:val="center"/>
          </w:tcPr>
          <w:p w:rsidR="002B72B4" w:rsidRPr="00733E3A" w:rsidRDefault="002B72B4" w:rsidP="001E7CAE">
            <w:pPr>
              <w:pStyle w:val="Manuscripttabletext"/>
              <w:jc w:val="center"/>
            </w:pPr>
            <w:r w:rsidRPr="00733E3A">
              <w:t>18.57%</w:t>
            </w:r>
          </w:p>
        </w:tc>
        <w:tc>
          <w:tcPr>
            <w:tcW w:w="730" w:type="pct"/>
            <w:vAlign w:val="center"/>
          </w:tcPr>
          <w:p w:rsidR="002B72B4" w:rsidRPr="00733E3A" w:rsidRDefault="002B72B4" w:rsidP="001E7CAE">
            <w:pPr>
              <w:pStyle w:val="Manuscripttabletext"/>
              <w:jc w:val="center"/>
            </w:pPr>
            <w:r w:rsidRPr="00733E3A">
              <w:t>18.89%</w:t>
            </w:r>
          </w:p>
        </w:tc>
        <w:tc>
          <w:tcPr>
            <w:tcW w:w="730" w:type="pct"/>
            <w:vAlign w:val="center"/>
          </w:tcPr>
          <w:p w:rsidR="002B72B4" w:rsidRPr="00733E3A" w:rsidRDefault="002B72B4" w:rsidP="001E7CAE">
            <w:pPr>
              <w:pStyle w:val="Manuscripttabletext"/>
              <w:jc w:val="center"/>
            </w:pPr>
            <w:r w:rsidRPr="00733E3A">
              <w:t>24.97%</w:t>
            </w:r>
          </w:p>
        </w:tc>
        <w:tc>
          <w:tcPr>
            <w:tcW w:w="730" w:type="pct"/>
            <w:noWrap/>
            <w:vAlign w:val="center"/>
          </w:tcPr>
          <w:p w:rsidR="002B72B4" w:rsidRPr="00733E3A" w:rsidRDefault="002B72B4" w:rsidP="001E7CAE">
            <w:pPr>
              <w:pStyle w:val="Manuscripttabletext"/>
              <w:jc w:val="center"/>
            </w:pPr>
            <w:r w:rsidRPr="00733E3A">
              <w:t>37.56%</w:t>
            </w:r>
          </w:p>
        </w:tc>
        <w:tc>
          <w:tcPr>
            <w:tcW w:w="913" w:type="pct"/>
            <w:vMerge w:val="restart"/>
            <w:vAlign w:val="center"/>
          </w:tcPr>
          <w:p w:rsidR="002B72B4" w:rsidRPr="00236118" w:rsidRDefault="002B72B4" w:rsidP="001E7CAE">
            <w:pPr>
              <w:pStyle w:val="Manuscripttabletext"/>
              <w:rPr>
                <w:highlight w:val="magenta"/>
              </w:rPr>
            </w:pPr>
            <w:r w:rsidRPr="000F2C0D">
              <w:t>Based on the results of the network</w:t>
            </w:r>
            <w:r>
              <w:t xml:space="preserve"> </w:t>
            </w:r>
            <w:r w:rsidRPr="000F2C0D">
              <w:t>meta</w:t>
            </w:r>
            <w:r>
              <w:t>-</w:t>
            </w:r>
            <w:r w:rsidRPr="000F2C0D">
              <w:t>analysis</w:t>
            </w:r>
          </w:p>
        </w:tc>
      </w:tr>
      <w:tr w:rsidR="002B72B4" w:rsidRPr="00481207" w:rsidTr="003E4C4A">
        <w:trPr>
          <w:trHeight w:val="300"/>
        </w:trPr>
        <w:tc>
          <w:tcPr>
            <w:tcW w:w="437" w:type="pct"/>
            <w:noWrap/>
            <w:vAlign w:val="center"/>
          </w:tcPr>
          <w:p w:rsidR="002B72B4" w:rsidRPr="00481207" w:rsidRDefault="002B72B4" w:rsidP="001E7CAE">
            <w:pPr>
              <w:pStyle w:val="Manuscripttableheading"/>
            </w:pPr>
            <w:r w:rsidRPr="00481207">
              <w:t>ADA</w:t>
            </w:r>
          </w:p>
        </w:tc>
        <w:tc>
          <w:tcPr>
            <w:tcW w:w="730" w:type="pct"/>
            <w:noWrap/>
            <w:vAlign w:val="center"/>
          </w:tcPr>
          <w:p w:rsidR="002B72B4" w:rsidRPr="00733E3A" w:rsidRDefault="002B72B4" w:rsidP="001E7CAE">
            <w:pPr>
              <w:pStyle w:val="Manuscripttabletext"/>
              <w:jc w:val="center"/>
            </w:pPr>
            <w:r w:rsidRPr="00733E3A">
              <w:t>57.54%</w:t>
            </w:r>
          </w:p>
          <w:p w:rsidR="002B72B4" w:rsidRPr="00733E3A" w:rsidRDefault="002B72B4" w:rsidP="001E7CAE">
            <w:pPr>
              <w:pStyle w:val="Manuscripttabletext"/>
              <w:jc w:val="center"/>
            </w:pPr>
            <w:r w:rsidRPr="00733E3A">
              <w:t>(44.72, 69.42)</w:t>
            </w:r>
          </w:p>
        </w:tc>
        <w:tc>
          <w:tcPr>
            <w:tcW w:w="730" w:type="pct"/>
            <w:vAlign w:val="center"/>
          </w:tcPr>
          <w:p w:rsidR="002B72B4" w:rsidRPr="00733E3A" w:rsidRDefault="002B72B4" w:rsidP="001E7CAE">
            <w:pPr>
              <w:pStyle w:val="Manuscripttabletext"/>
              <w:jc w:val="center"/>
            </w:pPr>
            <w:r w:rsidRPr="00733E3A">
              <w:t>29.47%</w:t>
            </w:r>
          </w:p>
        </w:tc>
        <w:tc>
          <w:tcPr>
            <w:tcW w:w="730" w:type="pct"/>
            <w:vAlign w:val="center"/>
          </w:tcPr>
          <w:p w:rsidR="002B72B4" w:rsidRPr="00733E3A" w:rsidRDefault="002B72B4" w:rsidP="001E7CAE">
            <w:pPr>
              <w:pStyle w:val="Manuscripttabletext"/>
              <w:jc w:val="center"/>
            </w:pPr>
            <w:r w:rsidRPr="00733E3A">
              <w:t>21.91%</w:t>
            </w:r>
          </w:p>
        </w:tc>
        <w:tc>
          <w:tcPr>
            <w:tcW w:w="730" w:type="pct"/>
            <w:vAlign w:val="center"/>
          </w:tcPr>
          <w:p w:rsidR="002B72B4" w:rsidRPr="00733E3A" w:rsidRDefault="002B72B4" w:rsidP="001E7CAE">
            <w:pPr>
              <w:pStyle w:val="Manuscripttabletext"/>
              <w:jc w:val="center"/>
            </w:pPr>
            <w:r w:rsidRPr="00733E3A">
              <w:t>23.51%</w:t>
            </w:r>
          </w:p>
        </w:tc>
        <w:tc>
          <w:tcPr>
            <w:tcW w:w="730" w:type="pct"/>
            <w:noWrap/>
            <w:vAlign w:val="center"/>
          </w:tcPr>
          <w:p w:rsidR="002B72B4" w:rsidRPr="00733E3A" w:rsidRDefault="002B72B4" w:rsidP="001E7CAE">
            <w:pPr>
              <w:pStyle w:val="Manuscripttabletext"/>
              <w:jc w:val="center"/>
            </w:pPr>
            <w:r w:rsidRPr="00733E3A">
              <w:t>25.11%</w:t>
            </w:r>
          </w:p>
        </w:tc>
        <w:tc>
          <w:tcPr>
            <w:tcW w:w="913" w:type="pct"/>
            <w:vMerge/>
          </w:tcPr>
          <w:p w:rsidR="002B72B4" w:rsidRPr="00236118" w:rsidRDefault="002B72B4" w:rsidP="001E7CAE">
            <w:pPr>
              <w:pStyle w:val="Manuscripttabletext"/>
              <w:rPr>
                <w:highlight w:val="magenta"/>
              </w:rPr>
            </w:pPr>
          </w:p>
        </w:tc>
      </w:tr>
      <w:tr w:rsidR="002B72B4" w:rsidRPr="00481207" w:rsidTr="003E4C4A">
        <w:trPr>
          <w:trHeight w:val="300"/>
        </w:trPr>
        <w:tc>
          <w:tcPr>
            <w:tcW w:w="437" w:type="pct"/>
            <w:noWrap/>
            <w:vAlign w:val="center"/>
          </w:tcPr>
          <w:p w:rsidR="002B72B4" w:rsidRPr="00481207" w:rsidRDefault="002B72B4" w:rsidP="001E7CAE">
            <w:pPr>
              <w:pStyle w:val="Manuscripttableheading"/>
            </w:pPr>
            <w:r>
              <w:t>CZP</w:t>
            </w:r>
          </w:p>
        </w:tc>
        <w:tc>
          <w:tcPr>
            <w:tcW w:w="730" w:type="pct"/>
            <w:noWrap/>
            <w:vAlign w:val="center"/>
          </w:tcPr>
          <w:p w:rsidR="002B72B4" w:rsidRPr="00733E3A" w:rsidRDefault="002B72B4" w:rsidP="001E7CAE">
            <w:pPr>
              <w:pStyle w:val="Manuscripttabletext"/>
              <w:jc w:val="center"/>
            </w:pPr>
            <w:r w:rsidRPr="00733E3A">
              <w:t>75.53%</w:t>
            </w:r>
          </w:p>
          <w:p w:rsidR="002B72B4" w:rsidRPr="00733E3A" w:rsidRDefault="002B72B4" w:rsidP="001E7CAE">
            <w:pPr>
              <w:pStyle w:val="Manuscripttabletext"/>
              <w:jc w:val="center"/>
            </w:pPr>
            <w:r w:rsidRPr="00733E3A">
              <w:t>(57.05. 87.77)</w:t>
            </w:r>
          </w:p>
        </w:tc>
        <w:tc>
          <w:tcPr>
            <w:tcW w:w="730" w:type="pct"/>
            <w:vAlign w:val="center"/>
          </w:tcPr>
          <w:p w:rsidR="002B72B4" w:rsidRPr="00733E3A" w:rsidRDefault="002B72B4" w:rsidP="001E7CAE">
            <w:pPr>
              <w:pStyle w:val="Manuscripttabletext"/>
              <w:jc w:val="center"/>
            </w:pPr>
            <w:r w:rsidRPr="00733E3A">
              <w:t>55.33%</w:t>
            </w:r>
          </w:p>
        </w:tc>
        <w:tc>
          <w:tcPr>
            <w:tcW w:w="730" w:type="pct"/>
            <w:vAlign w:val="center"/>
          </w:tcPr>
          <w:p w:rsidR="002B72B4" w:rsidRPr="00733E3A" w:rsidRDefault="002B72B4" w:rsidP="001E7CAE">
            <w:pPr>
              <w:pStyle w:val="Manuscripttabletext"/>
              <w:jc w:val="center"/>
            </w:pPr>
            <w:r w:rsidRPr="00733E3A">
              <w:t>20.73%</w:t>
            </w:r>
          </w:p>
        </w:tc>
        <w:tc>
          <w:tcPr>
            <w:tcW w:w="730" w:type="pct"/>
            <w:vAlign w:val="center"/>
          </w:tcPr>
          <w:p w:rsidR="002B72B4" w:rsidRPr="00733E3A" w:rsidRDefault="002B72B4" w:rsidP="001E7CAE">
            <w:pPr>
              <w:pStyle w:val="Manuscripttabletext"/>
              <w:jc w:val="center"/>
            </w:pPr>
            <w:r w:rsidRPr="00733E3A">
              <w:t>15.00%</w:t>
            </w:r>
          </w:p>
        </w:tc>
        <w:tc>
          <w:tcPr>
            <w:tcW w:w="730" w:type="pct"/>
            <w:noWrap/>
            <w:vAlign w:val="center"/>
          </w:tcPr>
          <w:p w:rsidR="002B72B4" w:rsidRPr="00733E3A" w:rsidRDefault="002B72B4" w:rsidP="001E7CAE">
            <w:pPr>
              <w:pStyle w:val="Manuscripttabletext"/>
              <w:jc w:val="center"/>
            </w:pPr>
            <w:r w:rsidRPr="00733E3A">
              <w:t>8.94%</w:t>
            </w:r>
          </w:p>
        </w:tc>
        <w:tc>
          <w:tcPr>
            <w:tcW w:w="913" w:type="pct"/>
            <w:vMerge/>
          </w:tcPr>
          <w:p w:rsidR="002B72B4" w:rsidRPr="00236118" w:rsidRDefault="002B72B4" w:rsidP="001E7CAE">
            <w:pPr>
              <w:pStyle w:val="Manuscripttabletext"/>
              <w:rPr>
                <w:highlight w:val="magenta"/>
              </w:rPr>
            </w:pPr>
          </w:p>
        </w:tc>
      </w:tr>
      <w:tr w:rsidR="002B72B4" w:rsidRPr="00481207" w:rsidTr="003E4C4A">
        <w:trPr>
          <w:trHeight w:val="300"/>
        </w:trPr>
        <w:tc>
          <w:tcPr>
            <w:tcW w:w="437" w:type="pct"/>
            <w:noWrap/>
            <w:vAlign w:val="center"/>
          </w:tcPr>
          <w:p w:rsidR="002B72B4" w:rsidRPr="00481207" w:rsidRDefault="002B72B4" w:rsidP="001E7CAE">
            <w:pPr>
              <w:pStyle w:val="Manuscripttableheading"/>
            </w:pPr>
            <w:r w:rsidRPr="00481207">
              <w:t>ETN</w:t>
            </w:r>
          </w:p>
        </w:tc>
        <w:tc>
          <w:tcPr>
            <w:tcW w:w="730" w:type="pct"/>
            <w:noWrap/>
            <w:vAlign w:val="center"/>
          </w:tcPr>
          <w:p w:rsidR="002B72B4" w:rsidRPr="00733E3A" w:rsidRDefault="002B72B4" w:rsidP="001E7CAE">
            <w:pPr>
              <w:pStyle w:val="Manuscripttabletext"/>
              <w:jc w:val="center"/>
            </w:pPr>
            <w:r w:rsidRPr="00733E3A">
              <w:t>76.07%</w:t>
            </w:r>
          </w:p>
          <w:p w:rsidR="002B72B4" w:rsidRPr="00733E3A" w:rsidRDefault="002B72B4" w:rsidP="001E7CAE">
            <w:pPr>
              <w:pStyle w:val="Manuscripttabletext"/>
              <w:jc w:val="center"/>
            </w:pPr>
            <w:r w:rsidRPr="00733E3A">
              <w:t>(63.44, 85.35)</w:t>
            </w:r>
          </w:p>
        </w:tc>
        <w:tc>
          <w:tcPr>
            <w:tcW w:w="730" w:type="pct"/>
            <w:vAlign w:val="center"/>
          </w:tcPr>
          <w:p w:rsidR="002B72B4" w:rsidRPr="00733E3A" w:rsidRDefault="002B72B4" w:rsidP="001E7CAE">
            <w:pPr>
              <w:pStyle w:val="Manuscripttabletext"/>
              <w:jc w:val="center"/>
            </w:pPr>
            <w:r w:rsidRPr="00733E3A">
              <w:t>55.98%</w:t>
            </w:r>
          </w:p>
        </w:tc>
        <w:tc>
          <w:tcPr>
            <w:tcW w:w="730" w:type="pct"/>
            <w:vAlign w:val="center"/>
          </w:tcPr>
          <w:p w:rsidR="002B72B4" w:rsidRPr="00733E3A" w:rsidRDefault="002B72B4" w:rsidP="001E7CAE">
            <w:pPr>
              <w:pStyle w:val="Manuscripttabletext"/>
              <w:jc w:val="center"/>
            </w:pPr>
            <w:r w:rsidRPr="00733E3A">
              <w:t>20.59%</w:t>
            </w:r>
          </w:p>
        </w:tc>
        <w:tc>
          <w:tcPr>
            <w:tcW w:w="730" w:type="pct"/>
            <w:vAlign w:val="center"/>
          </w:tcPr>
          <w:p w:rsidR="002B72B4" w:rsidRPr="00733E3A" w:rsidRDefault="002B72B4" w:rsidP="001E7CAE">
            <w:pPr>
              <w:pStyle w:val="Manuscripttabletext"/>
              <w:jc w:val="center"/>
            </w:pPr>
            <w:r w:rsidRPr="00733E3A">
              <w:t>14.76%</w:t>
            </w:r>
          </w:p>
        </w:tc>
        <w:tc>
          <w:tcPr>
            <w:tcW w:w="730" w:type="pct"/>
            <w:noWrap/>
            <w:vAlign w:val="center"/>
          </w:tcPr>
          <w:p w:rsidR="002B72B4" w:rsidRPr="00733E3A" w:rsidRDefault="002B72B4" w:rsidP="001E7CAE">
            <w:pPr>
              <w:pStyle w:val="Manuscripttabletext"/>
              <w:jc w:val="center"/>
            </w:pPr>
            <w:r w:rsidRPr="00733E3A">
              <w:t>8.67%</w:t>
            </w:r>
          </w:p>
        </w:tc>
        <w:tc>
          <w:tcPr>
            <w:tcW w:w="913" w:type="pct"/>
            <w:vMerge/>
          </w:tcPr>
          <w:p w:rsidR="002B72B4" w:rsidRPr="00236118" w:rsidRDefault="002B72B4" w:rsidP="001E7CAE">
            <w:pPr>
              <w:pStyle w:val="Manuscripttabletext"/>
              <w:rPr>
                <w:highlight w:val="magenta"/>
              </w:rPr>
            </w:pPr>
          </w:p>
        </w:tc>
      </w:tr>
      <w:tr w:rsidR="002B72B4" w:rsidRPr="00481207" w:rsidTr="003E4C4A">
        <w:trPr>
          <w:trHeight w:val="300"/>
        </w:trPr>
        <w:tc>
          <w:tcPr>
            <w:tcW w:w="437" w:type="pct"/>
            <w:noWrap/>
            <w:vAlign w:val="center"/>
          </w:tcPr>
          <w:p w:rsidR="002B72B4" w:rsidRPr="00481207" w:rsidRDefault="002B72B4" w:rsidP="001E7CAE">
            <w:pPr>
              <w:pStyle w:val="Manuscripttableheading"/>
            </w:pPr>
            <w:r w:rsidRPr="00481207">
              <w:t>GOL</w:t>
            </w:r>
          </w:p>
        </w:tc>
        <w:tc>
          <w:tcPr>
            <w:tcW w:w="730" w:type="pct"/>
            <w:noWrap/>
            <w:vAlign w:val="center"/>
          </w:tcPr>
          <w:p w:rsidR="002B72B4" w:rsidRPr="00733E3A" w:rsidRDefault="002B72B4" w:rsidP="001E7CAE">
            <w:pPr>
              <w:pStyle w:val="Manuscripttabletext"/>
              <w:jc w:val="center"/>
            </w:pPr>
            <w:r w:rsidRPr="00733E3A">
              <w:t>66.64%</w:t>
            </w:r>
          </w:p>
          <w:p w:rsidR="002B72B4" w:rsidRPr="00733E3A" w:rsidRDefault="002B72B4" w:rsidP="001E7CAE">
            <w:pPr>
              <w:pStyle w:val="Manuscripttabletext"/>
              <w:jc w:val="center"/>
            </w:pPr>
            <w:r w:rsidRPr="00733E3A">
              <w:t>(39.08, 86.15)</w:t>
            </w:r>
          </w:p>
        </w:tc>
        <w:tc>
          <w:tcPr>
            <w:tcW w:w="730" w:type="pct"/>
            <w:vAlign w:val="center"/>
          </w:tcPr>
          <w:p w:rsidR="002B72B4" w:rsidRPr="00733E3A" w:rsidRDefault="002B72B4" w:rsidP="001E7CAE">
            <w:pPr>
              <w:pStyle w:val="Manuscripttabletext"/>
              <w:jc w:val="center"/>
            </w:pPr>
            <w:r w:rsidRPr="00733E3A">
              <w:t>37.52%</w:t>
            </w:r>
          </w:p>
        </w:tc>
        <w:tc>
          <w:tcPr>
            <w:tcW w:w="730" w:type="pct"/>
            <w:vAlign w:val="center"/>
          </w:tcPr>
          <w:p w:rsidR="002B72B4" w:rsidRPr="00733E3A" w:rsidRDefault="002B72B4" w:rsidP="001E7CAE">
            <w:pPr>
              <w:pStyle w:val="Manuscripttabletext"/>
              <w:jc w:val="center"/>
            </w:pPr>
            <w:r w:rsidRPr="00733E3A">
              <w:t>22.59%</w:t>
            </w:r>
          </w:p>
        </w:tc>
        <w:tc>
          <w:tcPr>
            <w:tcW w:w="730" w:type="pct"/>
            <w:vAlign w:val="center"/>
          </w:tcPr>
          <w:p w:rsidR="002B72B4" w:rsidRPr="00733E3A" w:rsidRDefault="002B72B4" w:rsidP="001E7CAE">
            <w:pPr>
              <w:pStyle w:val="Manuscripttabletext"/>
              <w:jc w:val="center"/>
            </w:pPr>
            <w:r w:rsidRPr="00733E3A">
              <w:t>21.29%</w:t>
            </w:r>
          </w:p>
        </w:tc>
        <w:tc>
          <w:tcPr>
            <w:tcW w:w="730" w:type="pct"/>
            <w:noWrap/>
            <w:vAlign w:val="center"/>
          </w:tcPr>
          <w:p w:rsidR="002B72B4" w:rsidRPr="00733E3A" w:rsidRDefault="002B72B4" w:rsidP="001E7CAE">
            <w:pPr>
              <w:pStyle w:val="Manuscripttabletext"/>
              <w:jc w:val="center"/>
            </w:pPr>
            <w:r w:rsidRPr="00733E3A">
              <w:t>18.61%</w:t>
            </w:r>
          </w:p>
        </w:tc>
        <w:tc>
          <w:tcPr>
            <w:tcW w:w="913" w:type="pct"/>
            <w:vMerge/>
          </w:tcPr>
          <w:p w:rsidR="002B72B4" w:rsidRPr="00236118" w:rsidRDefault="002B72B4" w:rsidP="001E7CAE">
            <w:pPr>
              <w:pStyle w:val="Manuscripttabletext"/>
              <w:rPr>
                <w:highlight w:val="magenta"/>
              </w:rPr>
            </w:pPr>
          </w:p>
        </w:tc>
      </w:tr>
      <w:tr w:rsidR="002B72B4" w:rsidRPr="00481207" w:rsidTr="003E4C4A">
        <w:trPr>
          <w:trHeight w:val="300"/>
        </w:trPr>
        <w:tc>
          <w:tcPr>
            <w:tcW w:w="437" w:type="pct"/>
            <w:noWrap/>
            <w:vAlign w:val="center"/>
          </w:tcPr>
          <w:p w:rsidR="002B72B4" w:rsidRPr="00481207" w:rsidRDefault="002B72B4" w:rsidP="001E7CAE">
            <w:pPr>
              <w:pStyle w:val="Manuscripttableheading"/>
            </w:pPr>
            <w:r w:rsidRPr="00481207">
              <w:t>INF</w:t>
            </w:r>
          </w:p>
        </w:tc>
        <w:tc>
          <w:tcPr>
            <w:tcW w:w="730" w:type="pct"/>
            <w:noWrap/>
            <w:vAlign w:val="center"/>
          </w:tcPr>
          <w:p w:rsidR="002B72B4" w:rsidRPr="00733E3A" w:rsidRDefault="002B72B4" w:rsidP="001E7CAE">
            <w:pPr>
              <w:pStyle w:val="Manuscripttabletext"/>
              <w:jc w:val="center"/>
            </w:pPr>
            <w:r w:rsidRPr="00733E3A">
              <w:t>75.34%</w:t>
            </w:r>
          </w:p>
          <w:p w:rsidR="002B72B4" w:rsidRPr="00733E3A" w:rsidRDefault="002B72B4" w:rsidP="001E7CAE">
            <w:pPr>
              <w:pStyle w:val="Manuscripttabletext"/>
              <w:jc w:val="center"/>
            </w:pPr>
            <w:r w:rsidRPr="00733E3A">
              <w:t>(62.62, 84.79)</w:t>
            </w:r>
          </w:p>
        </w:tc>
        <w:tc>
          <w:tcPr>
            <w:tcW w:w="730" w:type="pct"/>
            <w:vAlign w:val="center"/>
          </w:tcPr>
          <w:p w:rsidR="002B72B4" w:rsidRPr="00733E3A" w:rsidRDefault="002B72B4" w:rsidP="001E7CAE">
            <w:pPr>
              <w:pStyle w:val="Manuscripttabletext"/>
              <w:jc w:val="center"/>
            </w:pPr>
            <w:r w:rsidRPr="00733E3A">
              <w:t>12.19%</w:t>
            </w:r>
          </w:p>
        </w:tc>
        <w:tc>
          <w:tcPr>
            <w:tcW w:w="730" w:type="pct"/>
            <w:vAlign w:val="center"/>
          </w:tcPr>
          <w:p w:rsidR="002B72B4" w:rsidRPr="00733E3A" w:rsidRDefault="002B72B4" w:rsidP="001E7CAE">
            <w:pPr>
              <w:pStyle w:val="Manuscripttabletext"/>
              <w:jc w:val="center"/>
            </w:pPr>
            <w:r w:rsidRPr="00733E3A">
              <w:t>15.52%</w:t>
            </w:r>
          </w:p>
        </w:tc>
        <w:tc>
          <w:tcPr>
            <w:tcW w:w="730" w:type="pct"/>
            <w:vAlign w:val="center"/>
          </w:tcPr>
          <w:p w:rsidR="002B72B4" w:rsidRPr="00733E3A" w:rsidRDefault="002B72B4" w:rsidP="001E7CAE">
            <w:pPr>
              <w:pStyle w:val="Manuscripttabletext"/>
              <w:jc w:val="center"/>
            </w:pPr>
            <w:r w:rsidRPr="00733E3A">
              <w:t>24.09%</w:t>
            </w:r>
          </w:p>
        </w:tc>
        <w:tc>
          <w:tcPr>
            <w:tcW w:w="730" w:type="pct"/>
            <w:noWrap/>
            <w:vAlign w:val="center"/>
          </w:tcPr>
          <w:p w:rsidR="002B72B4" w:rsidRPr="00733E3A" w:rsidRDefault="002B72B4" w:rsidP="001E7CAE">
            <w:pPr>
              <w:pStyle w:val="Manuscripttabletext"/>
              <w:jc w:val="center"/>
            </w:pPr>
            <w:r w:rsidRPr="00733E3A">
              <w:t>48.21%</w:t>
            </w:r>
          </w:p>
        </w:tc>
        <w:tc>
          <w:tcPr>
            <w:tcW w:w="913" w:type="pct"/>
            <w:vMerge/>
          </w:tcPr>
          <w:p w:rsidR="002B72B4" w:rsidRPr="00236118" w:rsidRDefault="002B72B4" w:rsidP="001E7CAE">
            <w:pPr>
              <w:pStyle w:val="Manuscripttabletext"/>
              <w:rPr>
                <w:highlight w:val="magenta"/>
              </w:rPr>
            </w:pPr>
          </w:p>
        </w:tc>
      </w:tr>
    </w:tbl>
    <w:p w:rsidR="002B72B4" w:rsidRDefault="005533E1" w:rsidP="002B72B4">
      <w:pPr>
        <w:pStyle w:val="Manuscriptfootnote"/>
        <w:rPr>
          <w:lang w:val="en-US"/>
        </w:rPr>
      </w:pPr>
      <w:r>
        <w:rPr>
          <w:lang w:val="en-US"/>
        </w:rPr>
        <w:t xml:space="preserve">PASI </w:t>
      </w:r>
      <w:r w:rsidR="00A53996">
        <w:rPr>
          <w:lang w:val="en-US"/>
        </w:rPr>
        <w:t xml:space="preserve">values do not include the placebo adjustment. </w:t>
      </w:r>
      <w:r>
        <w:rPr>
          <w:lang w:val="en-US"/>
        </w:rPr>
        <w:t xml:space="preserve">The placebo adjustment consisted of a reduction in PASI scores for </w:t>
      </w:r>
      <w:r w:rsidR="00AE28A4">
        <w:rPr>
          <w:lang w:val="en-US"/>
        </w:rPr>
        <w:t xml:space="preserve">secukinumab in the 1 prior csDMARD subpopulation and for </w:t>
      </w:r>
      <w:r>
        <w:rPr>
          <w:lang w:val="en-US"/>
        </w:rPr>
        <w:t xml:space="preserve">each biologic in the </w:t>
      </w:r>
      <w:r>
        <w:rPr>
          <w:rFonts w:cs="Tahoma"/>
          <w:lang w:val="en-US"/>
        </w:rPr>
        <w:t>≥</w:t>
      </w:r>
      <w:r>
        <w:rPr>
          <w:lang w:val="en-US"/>
        </w:rPr>
        <w:t xml:space="preserve">2 prior csDMARDs subpopulation based on the PASI distribution amongst placebo patients in the </w:t>
      </w:r>
      <w:r w:rsidR="00AE28A4">
        <w:rPr>
          <w:lang w:val="en-US"/>
        </w:rPr>
        <w:t>FUTURE 2</w:t>
      </w:r>
      <w:r>
        <w:rPr>
          <w:lang w:val="en-US"/>
        </w:rPr>
        <w:t xml:space="preserve"> </w:t>
      </w:r>
      <w:r>
        <w:rPr>
          <w:i/>
          <w:lang w:val="en-US"/>
        </w:rPr>
        <w:t xml:space="preserve">post hoc </w:t>
      </w:r>
      <w:r>
        <w:rPr>
          <w:lang w:val="en-US"/>
        </w:rPr>
        <w:t xml:space="preserve">subgroup analysis </w:t>
      </w:r>
      <w:r w:rsidR="00AE28A4">
        <w:rPr>
          <w:lang w:val="en-US"/>
        </w:rPr>
        <w:t xml:space="preserve">and network-meta analysis </w:t>
      </w:r>
      <w:r>
        <w:rPr>
          <w:lang w:val="en-US"/>
        </w:rPr>
        <w:t>(</w:t>
      </w:r>
      <w:r w:rsidR="00AE28A4">
        <w:rPr>
          <w:lang w:val="en-US"/>
        </w:rPr>
        <w:t>1 prior csDMARD = PASI &lt;50: 86.96%; PASI 50</w:t>
      </w:r>
      <w:r w:rsidR="00AE28A4">
        <w:rPr>
          <w:rFonts w:cs="Tahoma"/>
          <w:lang w:val="en-US"/>
        </w:rPr>
        <w:t>–</w:t>
      </w:r>
      <w:r w:rsidR="00AE28A4">
        <w:rPr>
          <w:lang w:val="en-US"/>
        </w:rPr>
        <w:t>74: 4.35%; PASI 75</w:t>
      </w:r>
      <w:r w:rsidR="00AE28A4">
        <w:rPr>
          <w:rFonts w:cs="Tahoma"/>
          <w:lang w:val="en-US"/>
        </w:rPr>
        <w:t>–</w:t>
      </w:r>
      <w:r w:rsidR="00AE28A4">
        <w:rPr>
          <w:lang w:val="en-US"/>
        </w:rPr>
        <w:t>89: 0%; PASI 90</w:t>
      </w:r>
      <w:r w:rsidR="00AE28A4">
        <w:rPr>
          <w:rFonts w:cs="Tahoma"/>
          <w:lang w:val="en-US"/>
        </w:rPr>
        <w:t>–</w:t>
      </w:r>
      <w:r w:rsidR="00AE28A4">
        <w:rPr>
          <w:lang w:val="en-US"/>
        </w:rPr>
        <w:t xml:space="preserve">99: 8.70%; PASI 100: 0%; </w:t>
      </w:r>
      <w:r w:rsidR="00AE28A4">
        <w:rPr>
          <w:rFonts w:cs="Tahoma"/>
          <w:lang w:val="en-US"/>
        </w:rPr>
        <w:t>≥</w:t>
      </w:r>
      <w:r w:rsidR="00AE28A4">
        <w:rPr>
          <w:lang w:val="en-US"/>
        </w:rPr>
        <w:t xml:space="preserve">2 prior csDMARDs = </w:t>
      </w:r>
      <w:r>
        <w:rPr>
          <w:lang w:val="en-US"/>
        </w:rPr>
        <w:t>PASI &lt;50: 88.29%; PASI 50</w:t>
      </w:r>
      <w:r>
        <w:rPr>
          <w:rFonts w:cs="Tahoma"/>
          <w:lang w:val="en-US"/>
        </w:rPr>
        <w:t>–</w:t>
      </w:r>
      <w:r>
        <w:rPr>
          <w:lang w:val="en-US"/>
        </w:rPr>
        <w:t>74: 7.82%; PASI 75</w:t>
      </w:r>
      <w:r>
        <w:rPr>
          <w:rFonts w:cs="Tahoma"/>
          <w:lang w:val="en-US"/>
        </w:rPr>
        <w:t>–</w:t>
      </w:r>
      <w:r>
        <w:rPr>
          <w:lang w:val="en-US"/>
        </w:rPr>
        <w:t>89: 3.07%; PASI 90</w:t>
      </w:r>
      <w:r>
        <w:rPr>
          <w:rFonts w:cs="Tahoma"/>
          <w:lang w:val="en-US"/>
        </w:rPr>
        <w:t>–</w:t>
      </w:r>
      <w:r>
        <w:rPr>
          <w:lang w:val="en-US"/>
        </w:rPr>
        <w:t xml:space="preserve">99: 0.82%; PASI 100: 0%). </w:t>
      </w:r>
      <w:r w:rsidR="002B72B4">
        <w:rPr>
          <w:lang w:val="en-US"/>
        </w:rPr>
        <w:t>Values in brackets represent 95% confidence intervals (or credible intervals if derived from the network meta-analysis).</w:t>
      </w:r>
    </w:p>
    <w:p w:rsidR="002B72B4" w:rsidRDefault="002B72B4" w:rsidP="002B72B4">
      <w:pPr>
        <w:pStyle w:val="Manuscriptfootnote"/>
      </w:pPr>
    </w:p>
    <w:p w:rsidR="002B72B4" w:rsidRDefault="002B72B4" w:rsidP="002B72B4">
      <w:pPr>
        <w:pStyle w:val="Manuscriptfootnote"/>
      </w:pPr>
      <w:r w:rsidRPr="00481207">
        <w:t xml:space="preserve">ADA: adalimumab; </w:t>
      </w:r>
      <w:r>
        <w:t>CZP</w:t>
      </w:r>
      <w:r w:rsidRPr="00481207">
        <w:t xml:space="preserve">: certolizumab pegol; </w:t>
      </w:r>
      <w:r>
        <w:t xml:space="preserve">csDMARD: conventional systemic disease-modifying anti-rheumatic drug; </w:t>
      </w:r>
      <w:r w:rsidRPr="00481207">
        <w:t>ETN: etanercept; GOL: golimumab;</w:t>
      </w:r>
      <w:r>
        <w:t xml:space="preserve"> </w:t>
      </w:r>
      <w:r w:rsidRPr="00481207">
        <w:t>INF: infliximab</w:t>
      </w:r>
      <w:r>
        <w:t>;</w:t>
      </w:r>
      <w:r w:rsidRPr="00481207">
        <w:t xml:space="preserve"> </w:t>
      </w:r>
      <w:r>
        <w:t xml:space="preserve">PASI: Psoriasis Area Severity Index; PsARC: Psoriatic Arthritis Response Criteria; </w:t>
      </w:r>
      <w:r w:rsidRPr="00481207">
        <w:t>SEC: secukinumab</w:t>
      </w:r>
      <w:r>
        <w:t>; SoC: Standard of Care.</w:t>
      </w:r>
      <w:r>
        <w:br w:type="page"/>
      </w:r>
    </w:p>
    <w:p w:rsidR="002B72B4" w:rsidRDefault="002B72B4" w:rsidP="002B72B4">
      <w:pPr>
        <w:pStyle w:val="Caption"/>
        <w:numPr>
          <w:ilvl w:val="0"/>
          <w:numId w:val="5"/>
        </w:numPr>
      </w:pPr>
      <w:r>
        <w:lastRenderedPageBreak/>
        <w:t>Changes in HAQ over time conditional on PsARC response</w:t>
      </w:r>
    </w:p>
    <w:tbl>
      <w:tblPr>
        <w:tblStyle w:val="TableGrid"/>
        <w:tblW w:w="5000" w:type="pct"/>
        <w:tblLook w:val="04A0" w:firstRow="1" w:lastRow="0" w:firstColumn="1" w:lastColumn="0" w:noHBand="0" w:noVBand="1"/>
      </w:tblPr>
      <w:tblGrid>
        <w:gridCol w:w="1986"/>
        <w:gridCol w:w="3346"/>
        <w:gridCol w:w="2958"/>
      </w:tblGrid>
      <w:tr w:rsidR="00B351DE" w:rsidRPr="00733E3A" w:rsidTr="003E4C4A">
        <w:trPr>
          <w:trHeight w:val="300"/>
        </w:trPr>
        <w:tc>
          <w:tcPr>
            <w:tcW w:w="1198" w:type="pct"/>
            <w:shd w:val="clear" w:color="auto" w:fill="BFBFBF" w:themeFill="background1" w:themeFillShade="BF"/>
            <w:noWrap/>
            <w:vAlign w:val="center"/>
          </w:tcPr>
          <w:p w:rsidR="00B351DE" w:rsidRDefault="00B351DE" w:rsidP="001E7CAE">
            <w:pPr>
              <w:pStyle w:val="Manuscripttableheading"/>
            </w:pPr>
            <w:r>
              <w:t>Intervention</w:t>
            </w:r>
          </w:p>
        </w:tc>
        <w:tc>
          <w:tcPr>
            <w:tcW w:w="2018" w:type="pct"/>
            <w:shd w:val="clear" w:color="auto" w:fill="BFBFBF" w:themeFill="background1" w:themeFillShade="BF"/>
            <w:vAlign w:val="center"/>
          </w:tcPr>
          <w:p w:rsidR="00B351DE" w:rsidRPr="00733E3A" w:rsidRDefault="00B351DE" w:rsidP="00B351DE">
            <w:pPr>
              <w:pStyle w:val="Manuscripttableheading"/>
              <w:jc w:val="center"/>
            </w:pPr>
            <w:r>
              <w:t>Change in HAQ given PsARC response</w:t>
            </w:r>
          </w:p>
        </w:tc>
        <w:tc>
          <w:tcPr>
            <w:tcW w:w="1784" w:type="pct"/>
            <w:shd w:val="clear" w:color="auto" w:fill="BFBFBF" w:themeFill="background1" w:themeFillShade="BF"/>
            <w:vAlign w:val="center"/>
          </w:tcPr>
          <w:p w:rsidR="00B351DE" w:rsidRPr="00733E3A" w:rsidRDefault="00B351DE" w:rsidP="00B351DE">
            <w:pPr>
              <w:pStyle w:val="Manuscripttableheading"/>
            </w:pPr>
            <w:r>
              <w:t>Source</w:t>
            </w:r>
          </w:p>
        </w:tc>
      </w:tr>
      <w:tr w:rsidR="00B351DE" w:rsidRPr="00733E3A" w:rsidTr="003E4C4A">
        <w:trPr>
          <w:trHeight w:val="300"/>
        </w:trPr>
        <w:tc>
          <w:tcPr>
            <w:tcW w:w="5000" w:type="pct"/>
            <w:gridSpan w:val="3"/>
            <w:shd w:val="clear" w:color="auto" w:fill="D9D9D9" w:themeFill="background1" w:themeFillShade="D9"/>
            <w:noWrap/>
            <w:vAlign w:val="center"/>
          </w:tcPr>
          <w:p w:rsidR="00B351DE" w:rsidRPr="00733E3A" w:rsidRDefault="00B351DE" w:rsidP="00B351DE">
            <w:pPr>
              <w:pStyle w:val="Manuscripttableheading"/>
            </w:pPr>
            <w:r>
              <w:t>1 prior csDMARD</w:t>
            </w:r>
          </w:p>
        </w:tc>
      </w:tr>
      <w:tr w:rsidR="00B351DE" w:rsidRPr="00733E3A" w:rsidTr="003E4C4A">
        <w:trPr>
          <w:trHeight w:val="300"/>
        </w:trPr>
        <w:tc>
          <w:tcPr>
            <w:tcW w:w="1198" w:type="pct"/>
            <w:noWrap/>
            <w:vAlign w:val="center"/>
          </w:tcPr>
          <w:p w:rsidR="00B351DE" w:rsidRPr="00733E3A" w:rsidRDefault="00B351DE" w:rsidP="001E7CAE">
            <w:pPr>
              <w:pStyle w:val="Manuscripttableheading"/>
            </w:pPr>
            <w:r w:rsidRPr="00733E3A">
              <w:t>SEC</w:t>
            </w:r>
          </w:p>
        </w:tc>
        <w:tc>
          <w:tcPr>
            <w:tcW w:w="2018" w:type="pct"/>
            <w:vAlign w:val="center"/>
          </w:tcPr>
          <w:p w:rsidR="00B351DE" w:rsidRPr="00733E3A" w:rsidRDefault="00B351DE" w:rsidP="001E7CAE">
            <w:pPr>
              <w:pStyle w:val="Manuscripttabletext"/>
              <w:jc w:val="center"/>
            </w:pPr>
            <w:r w:rsidRPr="00733E3A">
              <w:t>-0.600</w:t>
            </w:r>
          </w:p>
          <w:p w:rsidR="00B351DE" w:rsidRPr="00733E3A" w:rsidRDefault="00B351DE" w:rsidP="001E7CAE">
            <w:pPr>
              <w:pStyle w:val="Manuscripttabletext"/>
              <w:jc w:val="center"/>
            </w:pPr>
            <w:r w:rsidRPr="00733E3A">
              <w:t>(-0.704, -0.496)</w:t>
            </w:r>
          </w:p>
        </w:tc>
        <w:tc>
          <w:tcPr>
            <w:tcW w:w="1784" w:type="pct"/>
            <w:vMerge w:val="restart"/>
            <w:vAlign w:val="center"/>
          </w:tcPr>
          <w:p w:rsidR="00B351DE" w:rsidRPr="00733E3A" w:rsidRDefault="00B351DE" w:rsidP="001E7CAE">
            <w:pPr>
              <w:pStyle w:val="Manuscripttabletext"/>
            </w:pPr>
            <w:r w:rsidRPr="00733E3A">
              <w:t xml:space="preserve">FUTURE 2 </w:t>
            </w:r>
            <w:r w:rsidRPr="00733E3A">
              <w:rPr>
                <w:i/>
              </w:rPr>
              <w:t xml:space="preserve">post hoc </w:t>
            </w:r>
            <w:r w:rsidRPr="00733E3A">
              <w:t>subgroup analysis</w:t>
            </w:r>
          </w:p>
        </w:tc>
      </w:tr>
      <w:tr w:rsidR="00B351DE" w:rsidRPr="00733E3A" w:rsidTr="003E4C4A">
        <w:trPr>
          <w:trHeight w:val="300"/>
        </w:trPr>
        <w:tc>
          <w:tcPr>
            <w:tcW w:w="1198" w:type="pct"/>
            <w:noWrap/>
            <w:vAlign w:val="center"/>
          </w:tcPr>
          <w:p w:rsidR="00B351DE" w:rsidRPr="00733E3A" w:rsidRDefault="00B351DE" w:rsidP="001E7CAE">
            <w:pPr>
              <w:pStyle w:val="Manuscripttableheading"/>
            </w:pPr>
            <w:r w:rsidRPr="00733E3A">
              <w:t>SoC</w:t>
            </w:r>
          </w:p>
        </w:tc>
        <w:tc>
          <w:tcPr>
            <w:tcW w:w="2018" w:type="pct"/>
            <w:noWrap/>
            <w:vAlign w:val="center"/>
          </w:tcPr>
          <w:p w:rsidR="00B351DE" w:rsidRPr="00733E3A" w:rsidRDefault="00B351DE" w:rsidP="001E7CAE">
            <w:pPr>
              <w:pStyle w:val="Manuscripttabletext"/>
              <w:jc w:val="center"/>
            </w:pPr>
            <w:r w:rsidRPr="00733E3A">
              <w:t>-0.420</w:t>
            </w:r>
          </w:p>
          <w:p w:rsidR="00B351DE" w:rsidRPr="00733E3A" w:rsidRDefault="00B351DE" w:rsidP="001E7CAE">
            <w:pPr>
              <w:pStyle w:val="Manuscripttabletext"/>
              <w:jc w:val="center"/>
            </w:pPr>
            <w:r w:rsidRPr="00733E3A">
              <w:t>(-0.753, -0.087)</w:t>
            </w:r>
          </w:p>
        </w:tc>
        <w:tc>
          <w:tcPr>
            <w:tcW w:w="1784" w:type="pct"/>
            <w:vMerge/>
          </w:tcPr>
          <w:p w:rsidR="00B351DE" w:rsidRPr="00733E3A" w:rsidRDefault="00B351DE" w:rsidP="001E7CAE">
            <w:pPr>
              <w:pStyle w:val="Manuscripttabletext"/>
            </w:pPr>
          </w:p>
        </w:tc>
      </w:tr>
      <w:tr w:rsidR="00B351DE" w:rsidRPr="00733E3A" w:rsidTr="003E4C4A">
        <w:trPr>
          <w:trHeight w:val="300"/>
        </w:trPr>
        <w:tc>
          <w:tcPr>
            <w:tcW w:w="5000" w:type="pct"/>
            <w:gridSpan w:val="3"/>
            <w:shd w:val="clear" w:color="auto" w:fill="D9D9D9" w:themeFill="background1" w:themeFillShade="D9"/>
            <w:noWrap/>
            <w:vAlign w:val="center"/>
          </w:tcPr>
          <w:p w:rsidR="00B351DE" w:rsidRPr="00733E3A" w:rsidRDefault="00B351DE" w:rsidP="00B351DE">
            <w:pPr>
              <w:pStyle w:val="Manuscripttableheading"/>
            </w:pPr>
            <w:bookmarkStart w:id="3" w:name="_GoBack"/>
            <w:bookmarkEnd w:id="3"/>
            <w:r w:rsidRPr="00733E3A">
              <w:t>≥2 prior csDMARDs</w:t>
            </w:r>
          </w:p>
        </w:tc>
      </w:tr>
      <w:tr w:rsidR="00B351DE" w:rsidRPr="00733E3A" w:rsidTr="003E4C4A">
        <w:trPr>
          <w:trHeight w:val="300"/>
        </w:trPr>
        <w:tc>
          <w:tcPr>
            <w:tcW w:w="1198" w:type="pct"/>
            <w:noWrap/>
            <w:vAlign w:val="center"/>
          </w:tcPr>
          <w:p w:rsidR="00B351DE" w:rsidRPr="00733E3A" w:rsidRDefault="00B351DE" w:rsidP="001E7CAE">
            <w:pPr>
              <w:pStyle w:val="Manuscripttableheading"/>
            </w:pPr>
            <w:r w:rsidRPr="00733E3A">
              <w:t>SEC</w:t>
            </w:r>
          </w:p>
        </w:tc>
        <w:tc>
          <w:tcPr>
            <w:tcW w:w="2018" w:type="pct"/>
            <w:noWrap/>
            <w:vAlign w:val="center"/>
          </w:tcPr>
          <w:p w:rsidR="00B351DE" w:rsidRPr="00733E3A" w:rsidRDefault="00B351DE" w:rsidP="001E7CAE">
            <w:pPr>
              <w:pStyle w:val="Manuscripttabletext"/>
              <w:jc w:val="center"/>
            </w:pPr>
            <w:r w:rsidRPr="00733E3A">
              <w:t>-0.539</w:t>
            </w:r>
          </w:p>
          <w:p w:rsidR="00B351DE" w:rsidRPr="00733E3A" w:rsidRDefault="00B351DE" w:rsidP="001E7CAE">
            <w:pPr>
              <w:pStyle w:val="Manuscripttabletext"/>
              <w:jc w:val="center"/>
            </w:pPr>
            <w:r w:rsidRPr="00733E3A">
              <w:t>(-0.635, -0.443)</w:t>
            </w:r>
          </w:p>
        </w:tc>
        <w:tc>
          <w:tcPr>
            <w:tcW w:w="1784" w:type="pct"/>
            <w:vAlign w:val="center"/>
          </w:tcPr>
          <w:p w:rsidR="00B351DE" w:rsidRPr="00733E3A" w:rsidRDefault="00B351DE" w:rsidP="001E7CAE">
            <w:pPr>
              <w:pStyle w:val="Manuscripttabletext"/>
            </w:pPr>
            <w:r w:rsidRPr="00733E3A">
              <w:t>FUTURE 2</w:t>
            </w:r>
          </w:p>
        </w:tc>
      </w:tr>
      <w:tr w:rsidR="00B351DE" w:rsidRPr="00733E3A" w:rsidTr="003E4C4A">
        <w:trPr>
          <w:trHeight w:val="300"/>
        </w:trPr>
        <w:tc>
          <w:tcPr>
            <w:tcW w:w="1198" w:type="pct"/>
            <w:noWrap/>
            <w:vAlign w:val="center"/>
          </w:tcPr>
          <w:p w:rsidR="00B351DE" w:rsidRPr="00733E3A" w:rsidRDefault="00B351DE" w:rsidP="001E7CAE">
            <w:pPr>
              <w:pStyle w:val="Manuscripttableheading"/>
            </w:pPr>
            <w:r w:rsidRPr="00733E3A">
              <w:t>ADA</w:t>
            </w:r>
          </w:p>
        </w:tc>
        <w:tc>
          <w:tcPr>
            <w:tcW w:w="2018" w:type="pct"/>
            <w:noWrap/>
            <w:vAlign w:val="center"/>
          </w:tcPr>
          <w:p w:rsidR="00B351DE" w:rsidRPr="00733E3A" w:rsidRDefault="00B351DE" w:rsidP="001E7CAE">
            <w:pPr>
              <w:pStyle w:val="Manuscripttabletext"/>
              <w:jc w:val="center"/>
            </w:pPr>
            <w:r w:rsidRPr="00733E3A">
              <w:t>-0.490</w:t>
            </w:r>
          </w:p>
          <w:p w:rsidR="00B351DE" w:rsidRPr="00733E3A" w:rsidRDefault="00B351DE" w:rsidP="001E7CAE">
            <w:pPr>
              <w:pStyle w:val="Manuscripttabletext"/>
              <w:jc w:val="center"/>
            </w:pPr>
            <w:r w:rsidRPr="00733E3A">
              <w:t>(-0.580, -0.400)</w:t>
            </w:r>
          </w:p>
        </w:tc>
        <w:tc>
          <w:tcPr>
            <w:tcW w:w="1784" w:type="pct"/>
            <w:vAlign w:val="center"/>
          </w:tcPr>
          <w:p w:rsidR="00B351DE" w:rsidRPr="00733E3A" w:rsidRDefault="00B351DE" w:rsidP="001E7CAE">
            <w:pPr>
              <w:pStyle w:val="Manuscripttabletext"/>
            </w:pPr>
            <w:r w:rsidRPr="00733E3A">
              <w:t xml:space="preserve">Cawson (2014) </w:t>
            </w:r>
            <w:r>
              <w:rPr>
                <w:noProof/>
              </w:rPr>
              <w:t>[1]</w:t>
            </w:r>
            <w:r w:rsidRPr="00733E3A">
              <w:t xml:space="preserve"> </w:t>
            </w:r>
          </w:p>
        </w:tc>
      </w:tr>
      <w:tr w:rsidR="00B351DE" w:rsidRPr="00733E3A" w:rsidTr="003E4C4A">
        <w:trPr>
          <w:trHeight w:val="300"/>
        </w:trPr>
        <w:tc>
          <w:tcPr>
            <w:tcW w:w="1198" w:type="pct"/>
            <w:noWrap/>
            <w:vAlign w:val="center"/>
          </w:tcPr>
          <w:p w:rsidR="00B351DE" w:rsidRPr="00733E3A" w:rsidRDefault="00B351DE" w:rsidP="001E7CAE">
            <w:pPr>
              <w:pStyle w:val="Manuscripttableheading"/>
            </w:pPr>
            <w:r w:rsidRPr="00733E3A">
              <w:t>CZP</w:t>
            </w:r>
          </w:p>
        </w:tc>
        <w:tc>
          <w:tcPr>
            <w:tcW w:w="2018" w:type="pct"/>
            <w:noWrap/>
            <w:vAlign w:val="center"/>
          </w:tcPr>
          <w:p w:rsidR="00B351DE" w:rsidRPr="00733E3A" w:rsidRDefault="00B351DE" w:rsidP="001E7CAE">
            <w:pPr>
              <w:pStyle w:val="Manuscripttabletext"/>
              <w:jc w:val="center"/>
            </w:pPr>
            <w:r w:rsidRPr="00733E3A">
              <w:t>-0.558</w:t>
            </w:r>
          </w:p>
          <w:p w:rsidR="00B351DE" w:rsidRPr="00733E3A" w:rsidRDefault="00B351DE" w:rsidP="001E7CAE">
            <w:pPr>
              <w:pStyle w:val="Manuscripttabletext"/>
              <w:jc w:val="center"/>
            </w:pPr>
            <w:r w:rsidRPr="00733E3A">
              <w:t>(-0.677, -0.438)</w:t>
            </w:r>
          </w:p>
        </w:tc>
        <w:tc>
          <w:tcPr>
            <w:tcW w:w="1784" w:type="pct"/>
            <w:vAlign w:val="center"/>
          </w:tcPr>
          <w:p w:rsidR="00B351DE" w:rsidRPr="00733E3A" w:rsidRDefault="00B351DE" w:rsidP="001E7CAE">
            <w:pPr>
              <w:pStyle w:val="Manuscripttabletext"/>
            </w:pPr>
            <w:r w:rsidRPr="00733E3A">
              <w:t>Average of TNFis</w:t>
            </w:r>
          </w:p>
        </w:tc>
      </w:tr>
      <w:tr w:rsidR="00B351DE" w:rsidRPr="00733E3A" w:rsidTr="003E4C4A">
        <w:trPr>
          <w:trHeight w:val="300"/>
        </w:trPr>
        <w:tc>
          <w:tcPr>
            <w:tcW w:w="1198" w:type="pct"/>
            <w:noWrap/>
            <w:vAlign w:val="center"/>
          </w:tcPr>
          <w:p w:rsidR="00B351DE" w:rsidRPr="00733E3A" w:rsidRDefault="00B351DE" w:rsidP="001E7CAE">
            <w:pPr>
              <w:pStyle w:val="Manuscripttableheading"/>
            </w:pPr>
            <w:r w:rsidRPr="00733E3A">
              <w:t>ETN</w:t>
            </w:r>
          </w:p>
        </w:tc>
        <w:tc>
          <w:tcPr>
            <w:tcW w:w="2018" w:type="pct"/>
            <w:noWrap/>
            <w:vAlign w:val="center"/>
          </w:tcPr>
          <w:p w:rsidR="00B351DE" w:rsidRPr="00733E3A" w:rsidRDefault="00B351DE" w:rsidP="001E7CAE">
            <w:pPr>
              <w:pStyle w:val="Manuscripttabletext"/>
              <w:jc w:val="center"/>
            </w:pPr>
            <w:r w:rsidRPr="00733E3A">
              <w:t>-0.640</w:t>
            </w:r>
          </w:p>
          <w:p w:rsidR="00B351DE" w:rsidRPr="00733E3A" w:rsidRDefault="00B351DE" w:rsidP="001E7CAE">
            <w:pPr>
              <w:pStyle w:val="Manuscripttabletext"/>
              <w:jc w:val="center"/>
            </w:pPr>
            <w:r w:rsidRPr="00733E3A">
              <w:t>(-0.770, -0.510)</w:t>
            </w:r>
          </w:p>
        </w:tc>
        <w:tc>
          <w:tcPr>
            <w:tcW w:w="1784" w:type="pct"/>
            <w:vAlign w:val="center"/>
          </w:tcPr>
          <w:p w:rsidR="00B351DE" w:rsidRPr="00733E3A" w:rsidRDefault="00B351DE" w:rsidP="001E7CAE">
            <w:pPr>
              <w:pStyle w:val="Manuscripttabletext"/>
            </w:pPr>
            <w:r w:rsidRPr="00733E3A">
              <w:t xml:space="preserve">Cawson (2014) </w:t>
            </w:r>
            <w:r>
              <w:rPr>
                <w:noProof/>
              </w:rPr>
              <w:t>[1]</w:t>
            </w:r>
            <w:r w:rsidRPr="00733E3A">
              <w:t xml:space="preserve"> </w:t>
            </w:r>
          </w:p>
        </w:tc>
      </w:tr>
      <w:tr w:rsidR="00B351DE" w:rsidRPr="00733E3A" w:rsidTr="003E4C4A">
        <w:trPr>
          <w:trHeight w:val="300"/>
        </w:trPr>
        <w:tc>
          <w:tcPr>
            <w:tcW w:w="1198" w:type="pct"/>
            <w:noWrap/>
            <w:vAlign w:val="center"/>
          </w:tcPr>
          <w:p w:rsidR="00B351DE" w:rsidRPr="00733E3A" w:rsidRDefault="00B351DE" w:rsidP="001E7CAE">
            <w:pPr>
              <w:pStyle w:val="Manuscripttableheading"/>
            </w:pPr>
            <w:r w:rsidRPr="00733E3A">
              <w:t>GOL</w:t>
            </w:r>
          </w:p>
        </w:tc>
        <w:tc>
          <w:tcPr>
            <w:tcW w:w="2018" w:type="pct"/>
            <w:noWrap/>
            <w:vAlign w:val="center"/>
          </w:tcPr>
          <w:p w:rsidR="00B351DE" w:rsidRPr="00733E3A" w:rsidRDefault="00B351DE" w:rsidP="001E7CAE">
            <w:pPr>
              <w:pStyle w:val="Manuscripttabletext"/>
              <w:jc w:val="center"/>
            </w:pPr>
            <w:r w:rsidRPr="00733E3A">
              <w:t>-0.440</w:t>
            </w:r>
          </w:p>
          <w:p w:rsidR="00B351DE" w:rsidRPr="00733E3A" w:rsidRDefault="00B351DE" w:rsidP="001E7CAE">
            <w:pPr>
              <w:pStyle w:val="Manuscripttabletext"/>
              <w:jc w:val="center"/>
            </w:pPr>
            <w:r w:rsidRPr="00733E3A">
              <w:t>(-0.590, -0.290)</w:t>
            </w:r>
          </w:p>
        </w:tc>
        <w:tc>
          <w:tcPr>
            <w:tcW w:w="1784" w:type="pct"/>
            <w:vAlign w:val="center"/>
          </w:tcPr>
          <w:p w:rsidR="00B351DE" w:rsidRPr="00733E3A" w:rsidRDefault="00B351DE" w:rsidP="001E7CAE">
            <w:pPr>
              <w:pStyle w:val="Manuscripttabletext"/>
            </w:pPr>
            <w:r w:rsidRPr="00733E3A">
              <w:t xml:space="preserve">Cawson (2014) </w:t>
            </w:r>
            <w:r>
              <w:rPr>
                <w:noProof/>
              </w:rPr>
              <w:t>[1]</w:t>
            </w:r>
            <w:r w:rsidRPr="00733E3A">
              <w:t xml:space="preserve"> </w:t>
            </w:r>
          </w:p>
        </w:tc>
      </w:tr>
      <w:tr w:rsidR="00B351DE" w:rsidRPr="00733E3A" w:rsidTr="003E4C4A">
        <w:trPr>
          <w:trHeight w:val="300"/>
        </w:trPr>
        <w:tc>
          <w:tcPr>
            <w:tcW w:w="1198" w:type="pct"/>
            <w:noWrap/>
            <w:vAlign w:val="center"/>
          </w:tcPr>
          <w:p w:rsidR="00B351DE" w:rsidRPr="00733E3A" w:rsidRDefault="00B351DE" w:rsidP="001E7CAE">
            <w:pPr>
              <w:pStyle w:val="Manuscripttableheading"/>
            </w:pPr>
            <w:r w:rsidRPr="00733E3A">
              <w:t>INF</w:t>
            </w:r>
          </w:p>
        </w:tc>
        <w:tc>
          <w:tcPr>
            <w:tcW w:w="2018" w:type="pct"/>
            <w:noWrap/>
            <w:vAlign w:val="center"/>
          </w:tcPr>
          <w:p w:rsidR="00B351DE" w:rsidRPr="00733E3A" w:rsidRDefault="00B351DE" w:rsidP="001E7CAE">
            <w:pPr>
              <w:pStyle w:val="Manuscripttabletext"/>
              <w:jc w:val="center"/>
            </w:pPr>
            <w:r w:rsidRPr="00733E3A">
              <w:t>-0.660</w:t>
            </w:r>
          </w:p>
          <w:p w:rsidR="00B351DE" w:rsidRPr="00733E3A" w:rsidRDefault="00B351DE" w:rsidP="001E7CAE">
            <w:pPr>
              <w:pStyle w:val="Manuscripttabletext"/>
              <w:jc w:val="center"/>
            </w:pPr>
            <w:r w:rsidRPr="00733E3A">
              <w:t>(-0.770, -0.550)</w:t>
            </w:r>
          </w:p>
        </w:tc>
        <w:tc>
          <w:tcPr>
            <w:tcW w:w="1784" w:type="pct"/>
            <w:vAlign w:val="center"/>
          </w:tcPr>
          <w:p w:rsidR="00B351DE" w:rsidRPr="00733E3A" w:rsidRDefault="00B351DE" w:rsidP="001E7CAE">
            <w:pPr>
              <w:pStyle w:val="Manuscripttabletext"/>
            </w:pPr>
            <w:r w:rsidRPr="00733E3A">
              <w:t xml:space="preserve">Cawson (2014) </w:t>
            </w:r>
            <w:r>
              <w:rPr>
                <w:noProof/>
              </w:rPr>
              <w:t>[1]</w:t>
            </w:r>
            <w:r w:rsidRPr="00733E3A">
              <w:t xml:space="preserve"> </w:t>
            </w:r>
          </w:p>
        </w:tc>
      </w:tr>
    </w:tbl>
    <w:p w:rsidR="002B72B4" w:rsidRDefault="00C65A47" w:rsidP="002B72B4">
      <w:pPr>
        <w:pStyle w:val="Manuscriptfootnote"/>
        <w:rPr>
          <w:lang w:val="en-US"/>
        </w:rPr>
      </w:pPr>
      <w:r>
        <w:rPr>
          <w:lang w:val="en-US"/>
        </w:rPr>
        <w:t xml:space="preserve">Values </w:t>
      </w:r>
      <w:r w:rsidR="00A53996">
        <w:rPr>
          <w:lang w:val="en-US"/>
        </w:rPr>
        <w:t xml:space="preserve">do not include the placebo adjustment. </w:t>
      </w:r>
      <w:r w:rsidR="00B351DE">
        <w:rPr>
          <w:lang w:val="en-US"/>
        </w:rPr>
        <w:t xml:space="preserve">The </w:t>
      </w:r>
      <w:r w:rsidR="00201EA6">
        <w:rPr>
          <w:lang w:val="en-US"/>
        </w:rPr>
        <w:t xml:space="preserve">placebo adjustment </w:t>
      </w:r>
      <w:r w:rsidR="00351499">
        <w:rPr>
          <w:lang w:val="en-US"/>
        </w:rPr>
        <w:t>c</w:t>
      </w:r>
      <w:r w:rsidR="00B351DE">
        <w:rPr>
          <w:lang w:val="en-US"/>
        </w:rPr>
        <w:t xml:space="preserve">onsisted of a reduction </w:t>
      </w:r>
      <w:r w:rsidR="00201EA6">
        <w:rPr>
          <w:lang w:val="en-US"/>
        </w:rPr>
        <w:t xml:space="preserve">of </w:t>
      </w:r>
      <w:r w:rsidR="00AE28A4">
        <w:rPr>
          <w:lang w:val="en-US"/>
        </w:rPr>
        <w:t xml:space="preserve">0.188 </w:t>
      </w:r>
      <w:r w:rsidR="00B351DE">
        <w:rPr>
          <w:lang w:val="en-US"/>
        </w:rPr>
        <w:t xml:space="preserve">in the change in HAQ given a PsARC response for </w:t>
      </w:r>
      <w:r w:rsidR="00AE28A4">
        <w:rPr>
          <w:lang w:val="en-US"/>
        </w:rPr>
        <w:t xml:space="preserve">secukinumab in the 1 prior csDMARD subpopulation and 0.110 for </w:t>
      </w:r>
      <w:r w:rsidR="00B351DE">
        <w:rPr>
          <w:lang w:val="en-US"/>
        </w:rPr>
        <w:t xml:space="preserve">each biologic in the </w:t>
      </w:r>
      <w:r w:rsidR="00B351DE">
        <w:rPr>
          <w:rFonts w:cs="Tahoma"/>
          <w:lang w:val="en-US"/>
        </w:rPr>
        <w:t>≥</w:t>
      </w:r>
      <w:r w:rsidR="00B351DE">
        <w:rPr>
          <w:lang w:val="en-US"/>
        </w:rPr>
        <w:t>2 prior csDMARDs subpopulation.</w:t>
      </w:r>
      <w:r w:rsidR="00201EA6">
        <w:rPr>
          <w:lang w:val="en-US"/>
        </w:rPr>
        <w:t xml:space="preserve"> The</w:t>
      </w:r>
      <w:r w:rsidR="00AE28A4">
        <w:rPr>
          <w:lang w:val="en-US"/>
        </w:rPr>
        <w:t>se values</w:t>
      </w:r>
      <w:r w:rsidR="00201EA6">
        <w:rPr>
          <w:lang w:val="en-US"/>
        </w:rPr>
        <w:t xml:space="preserve"> w</w:t>
      </w:r>
      <w:r w:rsidR="00AE28A4">
        <w:rPr>
          <w:lang w:val="en-US"/>
        </w:rPr>
        <w:t>ere</w:t>
      </w:r>
      <w:r w:rsidR="00201EA6">
        <w:rPr>
          <w:lang w:val="en-US"/>
        </w:rPr>
        <w:t xml:space="preserve"> based on the proportion of patients achieving a PsARC response </w:t>
      </w:r>
      <w:r w:rsidR="005533E1">
        <w:rPr>
          <w:lang w:val="en-US"/>
        </w:rPr>
        <w:t xml:space="preserve">at three months </w:t>
      </w:r>
      <w:r w:rsidR="00201EA6">
        <w:rPr>
          <w:lang w:val="en-US"/>
        </w:rPr>
        <w:t>and the change in HAQ given a PsARC response amongst placebo patients in the FUTURE 2</w:t>
      </w:r>
      <w:r w:rsidR="00AE28A4">
        <w:rPr>
          <w:lang w:val="en-US"/>
        </w:rPr>
        <w:t xml:space="preserve"> trial and</w:t>
      </w:r>
      <w:r w:rsidR="00201EA6">
        <w:rPr>
          <w:lang w:val="en-US"/>
        </w:rPr>
        <w:t xml:space="preserve"> </w:t>
      </w:r>
      <w:r w:rsidR="00201EA6">
        <w:rPr>
          <w:i/>
          <w:lang w:val="en-US"/>
        </w:rPr>
        <w:t xml:space="preserve">post hoc </w:t>
      </w:r>
      <w:r w:rsidR="00201EA6">
        <w:rPr>
          <w:lang w:val="en-US"/>
        </w:rPr>
        <w:t>subgroup analys</w:t>
      </w:r>
      <w:r w:rsidR="00AE28A4">
        <w:rPr>
          <w:lang w:val="en-US"/>
        </w:rPr>
        <w:t>e</w:t>
      </w:r>
      <w:r w:rsidR="00201EA6">
        <w:rPr>
          <w:lang w:val="en-US"/>
        </w:rPr>
        <w:t>s.</w:t>
      </w:r>
      <w:r w:rsidR="00B351DE">
        <w:rPr>
          <w:lang w:val="en-US"/>
        </w:rPr>
        <w:t xml:space="preserve"> </w:t>
      </w:r>
      <w:r w:rsidR="002B72B4" w:rsidRPr="00733E3A">
        <w:rPr>
          <w:lang w:val="en-US"/>
        </w:rPr>
        <w:t>Values in brackets represent 95% confidence intervals.</w:t>
      </w:r>
      <w:r w:rsidR="00B351DE">
        <w:rPr>
          <w:lang w:val="en-US"/>
        </w:rPr>
        <w:t xml:space="preserve"> Patients that did not achieve a PsARC response were </w:t>
      </w:r>
      <w:r w:rsidR="00201EA6" w:rsidRPr="00201EA6">
        <w:rPr>
          <w:lang w:val="en-US"/>
        </w:rPr>
        <w:t xml:space="preserve">modelled to experience a steady, linear increase in their HAQ score (0.018 per cycle) </w:t>
      </w:r>
      <w:r w:rsidR="00201EA6">
        <w:rPr>
          <w:lang w:val="en-US"/>
        </w:rPr>
        <w:t xml:space="preserve">from baseline HAQ </w:t>
      </w:r>
      <w:r w:rsidR="00201EA6" w:rsidRPr="00201EA6">
        <w:rPr>
          <w:lang w:val="en-US"/>
        </w:rPr>
        <w:t xml:space="preserve">until </w:t>
      </w:r>
      <w:r w:rsidR="005533E1">
        <w:rPr>
          <w:lang w:val="en-US"/>
        </w:rPr>
        <w:t xml:space="preserve">either </w:t>
      </w:r>
      <w:r w:rsidR="00201EA6" w:rsidRPr="00201EA6">
        <w:rPr>
          <w:lang w:val="en-US"/>
        </w:rPr>
        <w:t xml:space="preserve">death or </w:t>
      </w:r>
      <w:r w:rsidR="005533E1">
        <w:rPr>
          <w:lang w:val="en-US"/>
        </w:rPr>
        <w:t>a HAQ score of three</w:t>
      </w:r>
      <w:r w:rsidR="00201EA6">
        <w:rPr>
          <w:lang w:val="en-US"/>
        </w:rPr>
        <w:t>.</w:t>
      </w:r>
    </w:p>
    <w:p w:rsidR="002B72B4" w:rsidRPr="00774371" w:rsidRDefault="002B72B4" w:rsidP="002B72B4">
      <w:pPr>
        <w:pStyle w:val="Manuscriptfootnote"/>
        <w:rPr>
          <w:lang w:val="en-US"/>
        </w:rPr>
      </w:pPr>
    </w:p>
    <w:p w:rsidR="002B72B4" w:rsidRPr="00BA5A6C" w:rsidRDefault="002B72B4" w:rsidP="002B72B4">
      <w:pPr>
        <w:pStyle w:val="Manuscriptfootnote"/>
      </w:pPr>
      <w:r w:rsidRPr="00CC59CD">
        <w:t>ADA: adalim</w:t>
      </w:r>
      <w:r>
        <w:t xml:space="preserve">umab; CZP: certolizumab pegol; </w:t>
      </w:r>
      <w:r w:rsidRPr="00CC59CD">
        <w:t>c</w:t>
      </w:r>
      <w:r>
        <w:t>s</w:t>
      </w:r>
      <w:r w:rsidRPr="00CC59CD">
        <w:t xml:space="preserve">DMARD: conventional </w:t>
      </w:r>
      <w:r>
        <w:t xml:space="preserve">systemic </w:t>
      </w:r>
      <w:r w:rsidRPr="00CC59CD">
        <w:t>diseas</w:t>
      </w:r>
      <w:r>
        <w:t>e-modifying anti-rheumatic drug</w:t>
      </w:r>
      <w:r w:rsidRPr="00CC59CD">
        <w:t>; ETN: etanercept; GOL: golimumab; HAQ: Health Assessment</w:t>
      </w:r>
      <w:r>
        <w:t xml:space="preserve"> Questionnaire; INF: infliximab;</w:t>
      </w:r>
      <w:r w:rsidRPr="00CC59CD">
        <w:t xml:space="preserve"> PsARC: Psoriatic Arthritis Response Criteria; SEC: secukinumab</w:t>
      </w:r>
      <w:r>
        <w:t xml:space="preserve">; </w:t>
      </w:r>
      <w:r w:rsidRPr="00CC59CD">
        <w:t>SoC: Standard of Care</w:t>
      </w:r>
      <w:r>
        <w:t>; TNFis: tumour necrosis factor inhibitors</w:t>
      </w:r>
      <w:r w:rsidRPr="00CC59CD">
        <w:t>.</w:t>
      </w:r>
    </w:p>
    <w:p w:rsidR="002B72B4" w:rsidRDefault="002B72B4" w:rsidP="002B72B4">
      <w:pPr>
        <w:pStyle w:val="Caption"/>
        <w:numPr>
          <w:ilvl w:val="0"/>
          <w:numId w:val="5"/>
        </w:numPr>
      </w:pPr>
      <w:r>
        <w:t>Probability of serious infection with biologics (every three months)</w:t>
      </w:r>
    </w:p>
    <w:tbl>
      <w:tblPr>
        <w:tblStyle w:val="TableGrid"/>
        <w:tblW w:w="5306" w:type="pct"/>
        <w:tblLayout w:type="fixed"/>
        <w:tblLook w:val="04A0" w:firstRow="1" w:lastRow="0" w:firstColumn="1" w:lastColumn="0" w:noHBand="0" w:noVBand="1"/>
      </w:tblPr>
      <w:tblGrid>
        <w:gridCol w:w="1588"/>
        <w:gridCol w:w="1202"/>
        <w:gridCol w:w="1203"/>
        <w:gridCol w:w="1203"/>
        <w:gridCol w:w="1203"/>
        <w:gridCol w:w="1203"/>
        <w:gridCol w:w="1195"/>
      </w:tblGrid>
      <w:tr w:rsidR="002B72B4" w:rsidRPr="00481207" w:rsidTr="001E7CAE">
        <w:trPr>
          <w:trHeight w:val="300"/>
        </w:trPr>
        <w:tc>
          <w:tcPr>
            <w:tcW w:w="902" w:type="pct"/>
            <w:shd w:val="clear" w:color="auto" w:fill="BFBFBF" w:themeFill="background1" w:themeFillShade="BF"/>
            <w:noWrap/>
            <w:vAlign w:val="center"/>
            <w:hideMark/>
          </w:tcPr>
          <w:p w:rsidR="002B72B4" w:rsidRPr="00A6497B" w:rsidRDefault="007E6620" w:rsidP="001E7CAE">
            <w:pPr>
              <w:pStyle w:val="Manuscripttableheading"/>
            </w:pPr>
            <w:r>
              <w:t xml:space="preserve">Probability of event </w:t>
            </w:r>
            <w:r w:rsidR="002B72B4">
              <w:t>(every three months)</w:t>
            </w:r>
          </w:p>
        </w:tc>
        <w:tc>
          <w:tcPr>
            <w:tcW w:w="683" w:type="pct"/>
            <w:shd w:val="clear" w:color="auto" w:fill="BFBFBF" w:themeFill="background1" w:themeFillShade="BF"/>
            <w:vAlign w:val="center"/>
          </w:tcPr>
          <w:p w:rsidR="002B72B4" w:rsidRPr="00481207" w:rsidRDefault="002B72B4" w:rsidP="001E7CAE">
            <w:pPr>
              <w:pStyle w:val="Manuscripttableheading"/>
              <w:jc w:val="center"/>
            </w:pPr>
            <w:r>
              <w:t>SEC</w:t>
            </w:r>
          </w:p>
        </w:tc>
        <w:tc>
          <w:tcPr>
            <w:tcW w:w="684" w:type="pct"/>
            <w:shd w:val="clear" w:color="auto" w:fill="BFBFBF" w:themeFill="background1" w:themeFillShade="BF"/>
            <w:vAlign w:val="center"/>
          </w:tcPr>
          <w:p w:rsidR="002B72B4" w:rsidRDefault="002B72B4" w:rsidP="001E7CAE">
            <w:pPr>
              <w:pStyle w:val="Manuscripttableheading"/>
              <w:jc w:val="center"/>
            </w:pPr>
            <w:r w:rsidRPr="00481207">
              <w:t>ADA</w:t>
            </w:r>
          </w:p>
        </w:tc>
        <w:tc>
          <w:tcPr>
            <w:tcW w:w="684" w:type="pct"/>
            <w:shd w:val="clear" w:color="auto" w:fill="BFBFBF" w:themeFill="background1" w:themeFillShade="BF"/>
            <w:vAlign w:val="center"/>
          </w:tcPr>
          <w:p w:rsidR="002B72B4" w:rsidRDefault="002B72B4" w:rsidP="001E7CAE">
            <w:pPr>
              <w:pStyle w:val="Manuscripttableheading"/>
              <w:jc w:val="center"/>
            </w:pPr>
            <w:r>
              <w:t>CZP</w:t>
            </w:r>
          </w:p>
        </w:tc>
        <w:tc>
          <w:tcPr>
            <w:tcW w:w="684" w:type="pct"/>
            <w:shd w:val="clear" w:color="auto" w:fill="BFBFBF" w:themeFill="background1" w:themeFillShade="BF"/>
            <w:vAlign w:val="center"/>
          </w:tcPr>
          <w:p w:rsidR="002B72B4" w:rsidRDefault="002B72B4" w:rsidP="001E7CAE">
            <w:pPr>
              <w:pStyle w:val="Manuscripttableheading"/>
              <w:jc w:val="center"/>
            </w:pPr>
            <w:r w:rsidRPr="00481207">
              <w:t>ETN</w:t>
            </w:r>
          </w:p>
        </w:tc>
        <w:tc>
          <w:tcPr>
            <w:tcW w:w="684" w:type="pct"/>
            <w:shd w:val="clear" w:color="auto" w:fill="BFBFBF" w:themeFill="background1" w:themeFillShade="BF"/>
            <w:vAlign w:val="center"/>
          </w:tcPr>
          <w:p w:rsidR="002B72B4" w:rsidRPr="00481207" w:rsidRDefault="002B72B4" w:rsidP="001E7CAE">
            <w:pPr>
              <w:pStyle w:val="Manuscripttableheading"/>
              <w:jc w:val="center"/>
            </w:pPr>
            <w:r w:rsidRPr="00481207">
              <w:t>GOL</w:t>
            </w:r>
          </w:p>
        </w:tc>
        <w:tc>
          <w:tcPr>
            <w:tcW w:w="679" w:type="pct"/>
            <w:shd w:val="clear" w:color="auto" w:fill="BFBFBF" w:themeFill="background1" w:themeFillShade="BF"/>
            <w:noWrap/>
            <w:vAlign w:val="center"/>
            <w:hideMark/>
          </w:tcPr>
          <w:p w:rsidR="002B72B4" w:rsidRPr="00481207" w:rsidRDefault="002B72B4" w:rsidP="001E7CAE">
            <w:pPr>
              <w:pStyle w:val="Manuscripttableheading"/>
              <w:jc w:val="center"/>
            </w:pPr>
            <w:r w:rsidRPr="00481207">
              <w:t>INF</w:t>
            </w:r>
          </w:p>
        </w:tc>
      </w:tr>
      <w:tr w:rsidR="002B72B4" w:rsidRPr="00481207" w:rsidTr="001E7CAE">
        <w:trPr>
          <w:trHeight w:val="300"/>
        </w:trPr>
        <w:tc>
          <w:tcPr>
            <w:tcW w:w="902" w:type="pct"/>
            <w:noWrap/>
            <w:vAlign w:val="center"/>
            <w:hideMark/>
          </w:tcPr>
          <w:p w:rsidR="002B72B4" w:rsidRPr="009F04D0" w:rsidRDefault="002B72B4" w:rsidP="001E7CAE">
            <w:pPr>
              <w:pStyle w:val="Manuscripttableheading"/>
            </w:pPr>
            <w:r w:rsidRPr="009F04D0">
              <w:t>Serious infection</w:t>
            </w:r>
          </w:p>
        </w:tc>
        <w:tc>
          <w:tcPr>
            <w:tcW w:w="683" w:type="pct"/>
            <w:vAlign w:val="center"/>
          </w:tcPr>
          <w:p w:rsidR="002B72B4" w:rsidRPr="00DA407D" w:rsidRDefault="002B72B4" w:rsidP="001E7CAE">
            <w:pPr>
              <w:pStyle w:val="Manuscripttabletext"/>
              <w:jc w:val="center"/>
            </w:pPr>
            <w:r w:rsidRPr="00DA407D">
              <w:t>0.35%</w:t>
            </w:r>
          </w:p>
        </w:tc>
        <w:tc>
          <w:tcPr>
            <w:tcW w:w="684" w:type="pct"/>
            <w:vAlign w:val="center"/>
          </w:tcPr>
          <w:p w:rsidR="002B72B4" w:rsidRPr="00A6497B" w:rsidRDefault="002B72B4" w:rsidP="001E7CAE">
            <w:pPr>
              <w:pStyle w:val="Manuscripttabletext"/>
              <w:jc w:val="center"/>
            </w:pPr>
            <w:r>
              <w:t>0.70%</w:t>
            </w:r>
          </w:p>
        </w:tc>
        <w:tc>
          <w:tcPr>
            <w:tcW w:w="684" w:type="pct"/>
            <w:vAlign w:val="center"/>
          </w:tcPr>
          <w:p w:rsidR="002B72B4" w:rsidRPr="00A6497B" w:rsidRDefault="002B72B4" w:rsidP="001E7CAE">
            <w:pPr>
              <w:pStyle w:val="Manuscripttabletext"/>
              <w:jc w:val="center"/>
            </w:pPr>
            <w:r>
              <w:t>0.79%</w:t>
            </w:r>
          </w:p>
        </w:tc>
        <w:tc>
          <w:tcPr>
            <w:tcW w:w="684" w:type="pct"/>
            <w:vAlign w:val="center"/>
          </w:tcPr>
          <w:p w:rsidR="002B72B4" w:rsidRPr="00A6497B" w:rsidRDefault="002B72B4" w:rsidP="001E7CAE">
            <w:pPr>
              <w:pStyle w:val="Manuscripttabletext"/>
              <w:jc w:val="center"/>
            </w:pPr>
            <w:r>
              <w:t>0.44%</w:t>
            </w:r>
          </w:p>
        </w:tc>
        <w:tc>
          <w:tcPr>
            <w:tcW w:w="684" w:type="pct"/>
            <w:vAlign w:val="center"/>
          </w:tcPr>
          <w:p w:rsidR="002B72B4" w:rsidRDefault="002B72B4" w:rsidP="001E7CAE">
            <w:pPr>
              <w:pStyle w:val="Manuscripttabletext"/>
              <w:jc w:val="center"/>
            </w:pPr>
            <w:r>
              <w:t>0.34%</w:t>
            </w:r>
          </w:p>
        </w:tc>
        <w:tc>
          <w:tcPr>
            <w:tcW w:w="679" w:type="pct"/>
            <w:noWrap/>
            <w:vAlign w:val="center"/>
            <w:hideMark/>
          </w:tcPr>
          <w:p w:rsidR="002B72B4" w:rsidRPr="00A6497B" w:rsidRDefault="002B72B4" w:rsidP="001E7CAE">
            <w:pPr>
              <w:pStyle w:val="Manuscripttabletext"/>
              <w:jc w:val="center"/>
            </w:pPr>
            <w:r>
              <w:t>0.48%</w:t>
            </w:r>
          </w:p>
        </w:tc>
      </w:tr>
      <w:tr w:rsidR="002B72B4" w:rsidRPr="00481207" w:rsidTr="001E7CAE">
        <w:trPr>
          <w:trHeight w:val="300"/>
        </w:trPr>
        <w:tc>
          <w:tcPr>
            <w:tcW w:w="902" w:type="pct"/>
            <w:noWrap/>
            <w:vAlign w:val="center"/>
          </w:tcPr>
          <w:p w:rsidR="002B72B4" w:rsidRPr="009F04D0" w:rsidRDefault="002B72B4" w:rsidP="001E7CAE">
            <w:pPr>
              <w:pStyle w:val="Manuscripttableheading"/>
              <w:rPr>
                <w:highlight w:val="green"/>
              </w:rPr>
            </w:pPr>
            <w:r w:rsidRPr="009F04D0">
              <w:t>Source</w:t>
            </w:r>
          </w:p>
        </w:tc>
        <w:tc>
          <w:tcPr>
            <w:tcW w:w="683" w:type="pct"/>
            <w:noWrap/>
            <w:vAlign w:val="center"/>
          </w:tcPr>
          <w:p w:rsidR="002B72B4" w:rsidRPr="00A6497B" w:rsidRDefault="002B72B4" w:rsidP="001E7CAE">
            <w:pPr>
              <w:pStyle w:val="Manuscripttabletext"/>
              <w:jc w:val="center"/>
            </w:pPr>
            <w:r>
              <w:t xml:space="preserve">McInnes (2015) </w:t>
            </w:r>
            <w:r w:rsidR="005079DC">
              <w:rPr>
                <w:noProof/>
              </w:rPr>
              <w:t>[2</w:t>
            </w:r>
            <w:r>
              <w:rPr>
                <w:noProof/>
              </w:rPr>
              <w:t>]</w:t>
            </w:r>
          </w:p>
        </w:tc>
        <w:tc>
          <w:tcPr>
            <w:tcW w:w="684" w:type="pct"/>
            <w:vAlign w:val="center"/>
          </w:tcPr>
          <w:p w:rsidR="002B72B4" w:rsidRPr="00A6497B" w:rsidRDefault="002B72B4" w:rsidP="001E7CAE">
            <w:pPr>
              <w:pStyle w:val="Manuscripttabletext"/>
              <w:jc w:val="center"/>
            </w:pPr>
            <w:r>
              <w:t xml:space="preserve">Burmester (2013)  </w:t>
            </w:r>
            <w:r w:rsidR="005079DC">
              <w:rPr>
                <w:noProof/>
              </w:rPr>
              <w:t>[3</w:t>
            </w:r>
            <w:r>
              <w:rPr>
                <w:noProof/>
              </w:rPr>
              <w:t>]</w:t>
            </w:r>
          </w:p>
        </w:tc>
        <w:tc>
          <w:tcPr>
            <w:tcW w:w="684" w:type="pct"/>
            <w:vAlign w:val="center"/>
          </w:tcPr>
          <w:p w:rsidR="002B72B4" w:rsidRPr="00A6497B" w:rsidRDefault="002B72B4" w:rsidP="001E7CAE">
            <w:pPr>
              <w:pStyle w:val="Manuscripttabletext"/>
              <w:jc w:val="center"/>
            </w:pPr>
            <w:r w:rsidRPr="00A6497B">
              <w:t xml:space="preserve">Mease </w:t>
            </w:r>
            <w:r>
              <w:t>(</w:t>
            </w:r>
            <w:r w:rsidRPr="00A6497B">
              <w:t>2014</w:t>
            </w:r>
            <w:r>
              <w:t xml:space="preserve">) </w:t>
            </w:r>
            <w:r w:rsidR="005079DC">
              <w:rPr>
                <w:noProof/>
              </w:rPr>
              <w:t>[4</w:t>
            </w:r>
            <w:r>
              <w:rPr>
                <w:noProof/>
              </w:rPr>
              <w:t>]</w:t>
            </w:r>
          </w:p>
        </w:tc>
        <w:tc>
          <w:tcPr>
            <w:tcW w:w="684" w:type="pct"/>
            <w:vAlign w:val="center"/>
          </w:tcPr>
          <w:p w:rsidR="002B72B4" w:rsidRPr="00A6497B" w:rsidRDefault="002B72B4" w:rsidP="001E7CAE">
            <w:pPr>
              <w:pStyle w:val="Manuscripttabletext"/>
              <w:jc w:val="center"/>
            </w:pPr>
            <w:r w:rsidRPr="00A6497B">
              <w:t xml:space="preserve">Sterry </w:t>
            </w:r>
            <w:r>
              <w:t>(</w:t>
            </w:r>
            <w:r w:rsidRPr="00A6497B">
              <w:t>2010</w:t>
            </w:r>
            <w:r>
              <w:t xml:space="preserve">) </w:t>
            </w:r>
            <w:r w:rsidR="005079DC">
              <w:rPr>
                <w:noProof/>
              </w:rPr>
              <w:t>[5</w:t>
            </w:r>
            <w:r>
              <w:rPr>
                <w:noProof/>
              </w:rPr>
              <w:t>]</w:t>
            </w:r>
          </w:p>
        </w:tc>
        <w:tc>
          <w:tcPr>
            <w:tcW w:w="684" w:type="pct"/>
            <w:vAlign w:val="center"/>
          </w:tcPr>
          <w:p w:rsidR="002B72B4" w:rsidRPr="00A6497B" w:rsidRDefault="002B72B4" w:rsidP="001E7CAE">
            <w:pPr>
              <w:pStyle w:val="Manuscripttabletext"/>
              <w:jc w:val="center"/>
              <w:rPr>
                <w:szCs w:val="20"/>
              </w:rPr>
            </w:pPr>
            <w:r w:rsidRPr="00A6497B">
              <w:t xml:space="preserve">Kavanaugh </w:t>
            </w:r>
            <w:r>
              <w:t>(</w:t>
            </w:r>
            <w:r w:rsidRPr="00A6497B">
              <w:t>2012</w:t>
            </w:r>
            <w:r>
              <w:t xml:space="preserve">) </w:t>
            </w:r>
            <w:r w:rsidR="005079DC">
              <w:rPr>
                <w:noProof/>
              </w:rPr>
              <w:t>[6</w:t>
            </w:r>
            <w:r>
              <w:rPr>
                <w:noProof/>
              </w:rPr>
              <w:t>]</w:t>
            </w:r>
          </w:p>
        </w:tc>
        <w:tc>
          <w:tcPr>
            <w:tcW w:w="679" w:type="pct"/>
            <w:noWrap/>
            <w:vAlign w:val="center"/>
          </w:tcPr>
          <w:p w:rsidR="002B72B4" w:rsidRPr="00EF2FF2" w:rsidRDefault="002B72B4" w:rsidP="001E7CAE">
            <w:pPr>
              <w:pStyle w:val="Manuscripttabletext"/>
              <w:jc w:val="center"/>
              <w:rPr>
                <w:szCs w:val="20"/>
              </w:rPr>
            </w:pPr>
            <w:r w:rsidRPr="00A6497B">
              <w:rPr>
                <w:szCs w:val="20"/>
              </w:rPr>
              <w:t xml:space="preserve">Torii </w:t>
            </w:r>
            <w:r>
              <w:rPr>
                <w:szCs w:val="20"/>
              </w:rPr>
              <w:t>(</w:t>
            </w:r>
            <w:r w:rsidRPr="00A6497B">
              <w:rPr>
                <w:szCs w:val="20"/>
              </w:rPr>
              <w:t>2010</w:t>
            </w:r>
            <w:r>
              <w:t xml:space="preserve">) </w:t>
            </w:r>
            <w:r w:rsidR="005079DC">
              <w:rPr>
                <w:noProof/>
              </w:rPr>
              <w:t>[7</w:t>
            </w:r>
            <w:r>
              <w:rPr>
                <w:noProof/>
              </w:rPr>
              <w:t>]</w:t>
            </w:r>
          </w:p>
        </w:tc>
      </w:tr>
    </w:tbl>
    <w:p w:rsidR="002B72B4" w:rsidRDefault="002B72B4" w:rsidP="002B72B4">
      <w:pPr>
        <w:pStyle w:val="Manuscriptfootnote"/>
      </w:pPr>
      <w:r>
        <w:t xml:space="preserve">The probability of serious infection was assumed to </w:t>
      </w:r>
      <w:r w:rsidR="00C10D27">
        <w:t xml:space="preserve">be </w:t>
      </w:r>
      <w:r>
        <w:t>0.00% for SoC.</w:t>
      </w:r>
    </w:p>
    <w:p w:rsidR="002B72B4" w:rsidRDefault="002B72B4" w:rsidP="002B72B4">
      <w:pPr>
        <w:pStyle w:val="Manuscriptfootnote"/>
      </w:pPr>
      <w:r>
        <w:t xml:space="preserve">Five percent of all serious infections were assumed to be tuberculosis, with the remaining 95% being comprised of other serious infections </w:t>
      </w:r>
      <w:r w:rsidR="005079DC">
        <w:rPr>
          <w:noProof/>
        </w:rPr>
        <w:t>[8</w:t>
      </w:r>
      <w:r>
        <w:rPr>
          <w:noProof/>
        </w:rPr>
        <w:t>]</w:t>
      </w:r>
      <w:r>
        <w:t>.</w:t>
      </w:r>
    </w:p>
    <w:p w:rsidR="007E6620" w:rsidRDefault="007E6620" w:rsidP="002B72B4">
      <w:pPr>
        <w:pStyle w:val="Manuscriptfootnote"/>
      </w:pPr>
    </w:p>
    <w:p w:rsidR="002B72B4" w:rsidRDefault="002B72B4" w:rsidP="002B72B4">
      <w:pPr>
        <w:pStyle w:val="Manuscriptfootnote"/>
      </w:pPr>
      <w:r w:rsidRPr="00481207">
        <w:t xml:space="preserve">ADA: adalimumab; </w:t>
      </w:r>
      <w:r>
        <w:t>CZP</w:t>
      </w:r>
      <w:r w:rsidRPr="00481207">
        <w:t xml:space="preserve">: certolizumab pegol; ETN: etanercept; GOL: golimumab; </w:t>
      </w:r>
      <w:r>
        <w:t>INF: infliximab;</w:t>
      </w:r>
      <w:r w:rsidRPr="00481207">
        <w:t xml:space="preserve"> SEC: secukinumab</w:t>
      </w:r>
      <w:r>
        <w:t>;</w:t>
      </w:r>
      <w:r w:rsidRPr="00CC59CD">
        <w:t xml:space="preserve"> SoC: Standard of Care.</w:t>
      </w:r>
    </w:p>
    <w:p w:rsidR="002B72B4" w:rsidRPr="000F2C0D" w:rsidRDefault="002B72B4" w:rsidP="002B72B4">
      <w:pPr>
        <w:pStyle w:val="Manuscriptfootnote"/>
        <w:sectPr w:rsidR="002B72B4" w:rsidRPr="000F2C0D" w:rsidSect="00863A1E">
          <w:footerReference w:type="default" r:id="rId8"/>
          <w:type w:val="continuous"/>
          <w:pgSz w:w="11900" w:h="16840"/>
          <w:pgMar w:top="1440" w:right="1800" w:bottom="1440" w:left="1800" w:header="708" w:footer="708" w:gutter="0"/>
          <w:cols w:space="708"/>
          <w:titlePg/>
          <w:docGrid w:linePitch="326"/>
        </w:sectPr>
      </w:pPr>
    </w:p>
    <w:p w:rsidR="000A3B25" w:rsidRDefault="000A3B25" w:rsidP="002B72B4">
      <w:pPr>
        <w:pStyle w:val="Caption"/>
      </w:pPr>
      <w:bookmarkStart w:id="4" w:name="_Ref496010133"/>
      <w:r>
        <w:lastRenderedPageBreak/>
        <w:t>Table 5 Network meta-analysis</w:t>
      </w:r>
    </w:p>
    <w:p w:rsidR="000A3B25" w:rsidRDefault="000A3B25" w:rsidP="000A3B25">
      <w:pPr>
        <w:pStyle w:val="Manuscriptbody"/>
        <w:rPr>
          <w:lang w:val="en-US"/>
        </w:rPr>
      </w:pPr>
      <w:r>
        <w:rPr>
          <w:lang w:val="en-US"/>
        </w:rPr>
        <w:t>A systematic review of relevant clinical evidence used to inform the NMA was originally conducted in 2014 and was updated in November 2015. Searches were conducted using the electronic databases, MEDLINE and MEDLINE In-Process (using PubMed platform), Embase (using Elsevier Platform), Biosciences Information Services (using Dialog platform) and the Cochrane Library, including the Cochrane Central Register of Controlled Trials, the Cochrane Database of Systematic Reviews, and Database of Abstracts of Reviews of Effectiveness. In addition, internet searches were conducted to identify relevant evidence presented at selected conferences (ACR annual meeting; EULAR annual meeting; World Psoriasis and Psoriatic Arthritis Conference). ClinicalTrials.gov and the International Clinical Trials Registry Platform were also searched to identify any ongoing, discontinued or completed clinical trials of relevance. Reference lists of any relevant systematic reviews and/or meta-analyses identified in the search were also hand-searched for further studies of interest.</w:t>
      </w:r>
    </w:p>
    <w:p w:rsidR="000A3B25" w:rsidRDefault="000A3B25" w:rsidP="000A3B25">
      <w:pPr>
        <w:pStyle w:val="Manuscriptbody"/>
        <w:rPr>
          <w:lang w:val="en-US"/>
        </w:rPr>
      </w:pPr>
      <w:r>
        <w:rPr>
          <w:lang w:val="en-US"/>
        </w:rPr>
        <w:t>Articles were screened in a two-stage process. Firstly, the title/abstract of all identified</w:t>
      </w:r>
      <w:r w:rsidR="004B21D9">
        <w:rPr>
          <w:lang w:val="en-US"/>
        </w:rPr>
        <w:t xml:space="preserve"> articles were screened using </w:t>
      </w:r>
      <w:r>
        <w:rPr>
          <w:lang w:val="en-US"/>
        </w:rPr>
        <w:t>eligibility criteria which defined relevance in terms of the population, intervention, comparators, outcomes and study design. For those articles that were considered to be of potential relevance, the full-text article was acquired and subjected to a second review, again using the same eligibility criteria. Both review stages were completed by two researchers in parallel, with any discrepancies resolved by consensus. In the combined review (2014 original and 2015 update), of the 1,782 articles that were included in the review (once duplicates had been removed), 1,447 were excluded during the title/abstract review and 207 were excluded during the full-text review. In total, 128 articles were included in the combined systematic review, representing 29 unique randomised controlled trials. Of these, 19 unique studies were identified that reported outcomes that could be used to inform the NMA (see table below). Notably, FUTURE 1 was excluded from the analysis in order to assess the relative efficacy of secukinumab according to the licensed dosing regimen.</w:t>
      </w:r>
      <w:r w:rsidR="00AE28A4">
        <w:rPr>
          <w:lang w:val="en-US"/>
        </w:rPr>
        <w:t xml:space="preserve"> Other trials </w:t>
      </w:r>
      <w:r w:rsidR="00AE28A4">
        <w:rPr>
          <w:lang w:val="en-US"/>
        </w:rPr>
        <w:lastRenderedPageBreak/>
        <w:t>excluded from the network meta-analysis are presented below along with the reasons for exclusion.</w:t>
      </w:r>
    </w:p>
    <w:p w:rsidR="000A3B25" w:rsidRDefault="000A3B25" w:rsidP="006E5331">
      <w:pPr>
        <w:pStyle w:val="Caption"/>
        <w:numPr>
          <w:ilvl w:val="0"/>
          <w:numId w:val="27"/>
        </w:numPr>
      </w:pPr>
      <w:r>
        <w:t>Included studies in the network meta-analysis</w:t>
      </w:r>
    </w:p>
    <w:tbl>
      <w:tblPr>
        <w:tblStyle w:val="TableGrid"/>
        <w:tblW w:w="9638" w:type="dxa"/>
        <w:tblLook w:val="04A0" w:firstRow="1" w:lastRow="0" w:firstColumn="1" w:lastColumn="0" w:noHBand="0" w:noVBand="1"/>
      </w:tblPr>
      <w:tblGrid>
        <w:gridCol w:w="1701"/>
        <w:gridCol w:w="1984"/>
        <w:gridCol w:w="1417"/>
        <w:gridCol w:w="1134"/>
        <w:gridCol w:w="1134"/>
        <w:gridCol w:w="1134"/>
        <w:gridCol w:w="1134"/>
      </w:tblGrid>
      <w:tr w:rsidR="000A3B25" w:rsidTr="000A3B25">
        <w:trPr>
          <w:trHeight w:val="340"/>
          <w:tblHeader/>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A3B25" w:rsidRDefault="000A3B25">
            <w:pPr>
              <w:pStyle w:val="Manuscripttableheading"/>
            </w:pPr>
            <w:r>
              <w:t>Trial</w:t>
            </w:r>
          </w:p>
        </w:tc>
        <w:tc>
          <w:tcPr>
            <w:tcW w:w="19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A3B25" w:rsidRDefault="000A3B25">
            <w:pPr>
              <w:pStyle w:val="Manuscripttableheading"/>
            </w:pPr>
            <w:r>
              <w:t>Primary reference</w:t>
            </w:r>
          </w:p>
        </w:tc>
        <w:tc>
          <w:tcPr>
            <w:tcW w:w="1417" w:type="dxa"/>
            <w:tcBorders>
              <w:top w:val="single" w:sz="4" w:space="0" w:color="auto"/>
              <w:left w:val="single" w:sz="4" w:space="0" w:color="auto"/>
              <w:bottom w:val="single" w:sz="4" w:space="0" w:color="auto"/>
              <w:right w:val="single" w:sz="18" w:space="0" w:color="auto"/>
            </w:tcBorders>
            <w:shd w:val="clear" w:color="auto" w:fill="BFBFBF" w:themeFill="background1" w:themeFillShade="BF"/>
            <w:vAlign w:val="center"/>
            <w:hideMark/>
          </w:tcPr>
          <w:p w:rsidR="000A3B25" w:rsidRDefault="000A3B25">
            <w:pPr>
              <w:pStyle w:val="Manuscripttableheading"/>
            </w:pPr>
            <w:r>
              <w:t>Intervention</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A3B25" w:rsidRDefault="000A3B25">
            <w:pPr>
              <w:pStyle w:val="Manuscripttableheading"/>
              <w:jc w:val="center"/>
            </w:pPr>
            <w:r>
              <w:t>PASI 50</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A3B25" w:rsidRDefault="000A3B25">
            <w:pPr>
              <w:pStyle w:val="Manuscripttableheading"/>
              <w:jc w:val="center"/>
            </w:pPr>
            <w:r>
              <w:t>PASI 75</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A3B25" w:rsidRDefault="000A3B25">
            <w:pPr>
              <w:pStyle w:val="Manuscripttableheading"/>
              <w:jc w:val="center"/>
            </w:pPr>
            <w:r>
              <w:t>PASI 90</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A3B25" w:rsidRDefault="000A3B25">
            <w:pPr>
              <w:pStyle w:val="Manuscripttableheading"/>
              <w:jc w:val="center"/>
            </w:pPr>
            <w:r>
              <w:t>PsARC</w:t>
            </w:r>
          </w:p>
        </w:tc>
      </w:tr>
      <w:tr w:rsidR="000A3B25" w:rsidTr="000A3B25">
        <w:trPr>
          <w:trHeight w:val="340"/>
        </w:trPr>
        <w:tc>
          <w:tcPr>
            <w:tcW w:w="1701"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heading"/>
            </w:pPr>
            <w:r>
              <w:rPr>
                <w:lang w:eastAsia="en-CA"/>
              </w:rPr>
              <w:t>ADEPT</w:t>
            </w:r>
          </w:p>
        </w:tc>
        <w:tc>
          <w:tcPr>
            <w:tcW w:w="1984" w:type="dxa"/>
            <w:tcBorders>
              <w:top w:val="single" w:sz="4" w:space="0" w:color="auto"/>
              <w:left w:val="single" w:sz="4" w:space="0" w:color="auto"/>
              <w:bottom w:val="single" w:sz="4" w:space="0" w:color="auto"/>
              <w:right w:val="single" w:sz="4" w:space="0" w:color="auto"/>
            </w:tcBorders>
            <w:vAlign w:val="center"/>
            <w:hideMark/>
          </w:tcPr>
          <w:p w:rsidR="000A3B25" w:rsidRPr="005F07A5" w:rsidRDefault="000A3B25">
            <w:pPr>
              <w:pStyle w:val="Manuscripttabletext"/>
              <w:rPr>
                <w:rFonts w:cs="Tahoma"/>
              </w:rPr>
            </w:pPr>
            <w:r w:rsidRPr="005F07A5">
              <w:rPr>
                <w:rFonts w:cs="Tahoma"/>
              </w:rPr>
              <w:t xml:space="preserve">Mease 2005 </w:t>
            </w:r>
            <w:r w:rsidR="005F07A5" w:rsidRPr="005F07A5">
              <w:rPr>
                <w:rFonts w:cs="Tahoma"/>
              </w:rPr>
              <w:t>[9]</w:t>
            </w:r>
          </w:p>
        </w:tc>
        <w:tc>
          <w:tcPr>
            <w:tcW w:w="1417" w:type="dxa"/>
            <w:tcBorders>
              <w:top w:val="single" w:sz="4" w:space="0" w:color="auto"/>
              <w:left w:val="single" w:sz="4" w:space="0" w:color="auto"/>
              <w:bottom w:val="single" w:sz="4" w:space="0" w:color="auto"/>
              <w:right w:val="single" w:sz="18" w:space="0" w:color="auto"/>
            </w:tcBorders>
            <w:vAlign w:val="center"/>
            <w:hideMark/>
          </w:tcPr>
          <w:p w:rsidR="000A3B25" w:rsidRDefault="000A3B25">
            <w:pPr>
              <w:pStyle w:val="Manuscripttabletext"/>
            </w:pPr>
            <w:r>
              <w:t>ADA40</w:t>
            </w:r>
          </w:p>
          <w:p w:rsidR="000A3B25" w:rsidRDefault="000A3B25">
            <w:pPr>
              <w:pStyle w:val="Manuscripttabletext"/>
            </w:pPr>
            <w:r>
              <w:t>Placebo</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12</w:t>
            </w:r>
          </w:p>
        </w:tc>
      </w:tr>
      <w:tr w:rsidR="000A3B25" w:rsidTr="000A3B25">
        <w:trPr>
          <w:trHeight w:val="340"/>
        </w:trPr>
        <w:tc>
          <w:tcPr>
            <w:tcW w:w="1701"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heading"/>
              <w:rPr>
                <w:lang w:eastAsia="en-CA"/>
              </w:rPr>
            </w:pPr>
            <w:r>
              <w:rPr>
                <w:lang w:eastAsia="en-CA"/>
              </w:rPr>
              <w:t>CLEAR</w:t>
            </w:r>
          </w:p>
          <w:p w:rsidR="000A3B25" w:rsidRDefault="000A3B25">
            <w:pPr>
              <w:pStyle w:val="Manuscripttableheading"/>
            </w:pPr>
            <w:r>
              <w:rPr>
                <w:lang w:eastAsia="en-CA"/>
              </w:rPr>
              <w:t>(sub-analysis)*</w:t>
            </w:r>
          </w:p>
        </w:tc>
        <w:tc>
          <w:tcPr>
            <w:tcW w:w="1984" w:type="dxa"/>
            <w:tcBorders>
              <w:top w:val="single" w:sz="4" w:space="0" w:color="auto"/>
              <w:left w:val="single" w:sz="4" w:space="0" w:color="auto"/>
              <w:bottom w:val="single" w:sz="4" w:space="0" w:color="auto"/>
              <w:right w:val="single" w:sz="4" w:space="0" w:color="auto"/>
            </w:tcBorders>
            <w:vAlign w:val="center"/>
            <w:hideMark/>
          </w:tcPr>
          <w:p w:rsidR="000A3B25" w:rsidRPr="00C10D27" w:rsidRDefault="000A3B25">
            <w:pPr>
              <w:pStyle w:val="Manuscripttabletext"/>
              <w:rPr>
                <w:rFonts w:cs="Tahoma"/>
              </w:rPr>
            </w:pPr>
            <w:r w:rsidRPr="00C10D27">
              <w:rPr>
                <w:rFonts w:cs="Tahoma"/>
              </w:rPr>
              <w:t>G</w:t>
            </w:r>
            <w:r w:rsidRPr="001B4226">
              <w:rPr>
                <w:rStyle w:val="Tablecontent-smallChar"/>
                <w:rFonts w:ascii="Tahoma" w:hAnsi="Tahoma" w:cs="Tahoma"/>
                <w:color w:val="auto"/>
                <w:sz w:val="18"/>
                <w:szCs w:val="18"/>
              </w:rPr>
              <w:t xml:space="preserve">ottlieb 2015 </w:t>
            </w:r>
            <w:r w:rsidR="005F07A5" w:rsidRPr="001B4226">
              <w:rPr>
                <w:rStyle w:val="Tablecontent-smallChar"/>
                <w:rFonts w:ascii="Tahoma" w:hAnsi="Tahoma" w:cs="Tahoma"/>
                <w:bCs w:val="0"/>
                <w:color w:val="auto"/>
                <w:sz w:val="18"/>
                <w:szCs w:val="18"/>
              </w:rPr>
              <w:t>[10]</w:t>
            </w:r>
          </w:p>
        </w:tc>
        <w:tc>
          <w:tcPr>
            <w:tcW w:w="1417" w:type="dxa"/>
            <w:tcBorders>
              <w:top w:val="single" w:sz="4" w:space="0" w:color="auto"/>
              <w:left w:val="single" w:sz="4" w:space="0" w:color="auto"/>
              <w:bottom w:val="single" w:sz="4" w:space="0" w:color="auto"/>
              <w:right w:val="single" w:sz="18" w:space="0" w:color="auto"/>
            </w:tcBorders>
            <w:vAlign w:val="center"/>
            <w:hideMark/>
          </w:tcPr>
          <w:p w:rsidR="000A3B25" w:rsidRDefault="000A3B25">
            <w:pPr>
              <w:pStyle w:val="Manuscripttabletext"/>
            </w:pPr>
            <w:r>
              <w:t>SEC300</w:t>
            </w:r>
          </w:p>
          <w:p w:rsidR="000A3B25" w:rsidRDefault="000A3B25">
            <w:pPr>
              <w:pStyle w:val="Manuscripttabletext"/>
            </w:pPr>
            <w:r>
              <w:t>UST45_90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r>
      <w:tr w:rsidR="000A3B25" w:rsidTr="000A3B25">
        <w:trPr>
          <w:trHeight w:val="340"/>
        </w:trPr>
        <w:tc>
          <w:tcPr>
            <w:tcW w:w="1701"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heading"/>
            </w:pPr>
            <w:r>
              <w:t>ERASURE</w:t>
            </w:r>
          </w:p>
          <w:p w:rsidR="000A3B25" w:rsidRDefault="000A3B25">
            <w:pPr>
              <w:pStyle w:val="Manuscripttableheading"/>
            </w:pPr>
            <w:r>
              <w:rPr>
                <w:lang w:eastAsia="en-CA"/>
              </w:rPr>
              <w:t>(sub-analysis)*</w:t>
            </w:r>
          </w:p>
        </w:tc>
        <w:tc>
          <w:tcPr>
            <w:tcW w:w="198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pPr>
            <w:r>
              <w:t xml:space="preserve">Gottlieb 2013 </w:t>
            </w:r>
            <w:r w:rsidR="005F07A5">
              <w:t>[11]</w:t>
            </w:r>
          </w:p>
          <w:p w:rsidR="000A3B25" w:rsidRDefault="000A3B25">
            <w:pPr>
              <w:pStyle w:val="Manuscripttabletext"/>
            </w:pPr>
            <w:r>
              <w:t xml:space="preserve">Gottlieb 2015 </w:t>
            </w:r>
            <w:r w:rsidR="005F07A5">
              <w:t>[12]</w:t>
            </w:r>
          </w:p>
        </w:tc>
        <w:tc>
          <w:tcPr>
            <w:tcW w:w="1417" w:type="dxa"/>
            <w:tcBorders>
              <w:top w:val="single" w:sz="4" w:space="0" w:color="auto"/>
              <w:left w:val="single" w:sz="4" w:space="0" w:color="auto"/>
              <w:bottom w:val="single" w:sz="4" w:space="0" w:color="auto"/>
              <w:right w:val="single" w:sz="18" w:space="0" w:color="auto"/>
            </w:tcBorders>
            <w:vAlign w:val="center"/>
            <w:hideMark/>
          </w:tcPr>
          <w:p w:rsidR="000A3B25" w:rsidRDefault="000A3B25">
            <w:pPr>
              <w:pStyle w:val="Manuscripttabletext"/>
            </w:pPr>
            <w:r>
              <w:t>SEC150</w:t>
            </w:r>
          </w:p>
          <w:p w:rsidR="000A3B25" w:rsidRDefault="000A3B25">
            <w:pPr>
              <w:pStyle w:val="Manuscripttabletext"/>
            </w:pPr>
            <w:r>
              <w:t>SEC300</w:t>
            </w:r>
          </w:p>
          <w:p w:rsidR="000A3B25" w:rsidRDefault="000A3B25">
            <w:pPr>
              <w:pStyle w:val="Manuscripttabletext"/>
            </w:pPr>
            <w:r>
              <w:t>Placebo</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r>
      <w:tr w:rsidR="000A3B25" w:rsidTr="000A3B25">
        <w:trPr>
          <w:trHeight w:val="340"/>
        </w:trPr>
        <w:tc>
          <w:tcPr>
            <w:tcW w:w="1701"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heading"/>
            </w:pPr>
            <w:r>
              <w:t>FIXTURE</w:t>
            </w:r>
          </w:p>
          <w:p w:rsidR="000A3B25" w:rsidRDefault="000A3B25">
            <w:pPr>
              <w:pStyle w:val="Manuscripttableheading"/>
            </w:pPr>
            <w:r>
              <w:rPr>
                <w:lang w:eastAsia="en-CA"/>
              </w:rPr>
              <w:t>(sub-analysis)*</w:t>
            </w:r>
          </w:p>
        </w:tc>
        <w:tc>
          <w:tcPr>
            <w:tcW w:w="198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pPr>
            <w:r>
              <w:t xml:space="preserve">Gottlieb 2015 </w:t>
            </w:r>
            <w:r w:rsidR="005F07A5">
              <w:t>[13]</w:t>
            </w:r>
          </w:p>
        </w:tc>
        <w:tc>
          <w:tcPr>
            <w:tcW w:w="1417" w:type="dxa"/>
            <w:tcBorders>
              <w:top w:val="single" w:sz="4" w:space="0" w:color="auto"/>
              <w:left w:val="single" w:sz="4" w:space="0" w:color="auto"/>
              <w:bottom w:val="single" w:sz="4" w:space="0" w:color="auto"/>
              <w:right w:val="single" w:sz="18" w:space="0" w:color="auto"/>
            </w:tcBorders>
            <w:vAlign w:val="center"/>
            <w:hideMark/>
          </w:tcPr>
          <w:p w:rsidR="000A3B25" w:rsidRDefault="000A3B25">
            <w:pPr>
              <w:pStyle w:val="Manuscripttabletext"/>
            </w:pPr>
            <w:r>
              <w:t>ETN50BIW</w:t>
            </w:r>
          </w:p>
          <w:p w:rsidR="000A3B25" w:rsidRDefault="000A3B25">
            <w:pPr>
              <w:pStyle w:val="Manuscripttabletext"/>
            </w:pPr>
            <w:r>
              <w:t>SEC150</w:t>
            </w:r>
          </w:p>
          <w:p w:rsidR="000A3B25" w:rsidRDefault="000A3B25">
            <w:pPr>
              <w:pStyle w:val="Manuscripttabletext"/>
            </w:pPr>
            <w:r>
              <w:t>SEC300</w:t>
            </w:r>
          </w:p>
          <w:p w:rsidR="000A3B25" w:rsidRDefault="000A3B25">
            <w:pPr>
              <w:pStyle w:val="Manuscripttabletext"/>
            </w:pPr>
            <w:r>
              <w:t>Placebo</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r>
      <w:tr w:rsidR="000A3B25" w:rsidTr="000A3B25">
        <w:trPr>
          <w:trHeight w:val="340"/>
        </w:trPr>
        <w:tc>
          <w:tcPr>
            <w:tcW w:w="1701"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heading"/>
            </w:pPr>
            <w:r>
              <w:rPr>
                <w:lang w:eastAsia="en-CA"/>
              </w:rPr>
              <w:t>FUTURE 2</w:t>
            </w:r>
          </w:p>
        </w:tc>
        <w:tc>
          <w:tcPr>
            <w:tcW w:w="198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pPr>
            <w:r>
              <w:t xml:space="preserve">McInnes 2015 </w:t>
            </w:r>
            <w:r w:rsidR="005F07A5">
              <w:t>[2]</w:t>
            </w:r>
          </w:p>
        </w:tc>
        <w:tc>
          <w:tcPr>
            <w:tcW w:w="1417" w:type="dxa"/>
            <w:tcBorders>
              <w:top w:val="single" w:sz="4" w:space="0" w:color="auto"/>
              <w:left w:val="single" w:sz="4" w:space="0" w:color="auto"/>
              <w:bottom w:val="single" w:sz="4" w:space="0" w:color="auto"/>
              <w:right w:val="single" w:sz="18" w:space="0" w:color="auto"/>
            </w:tcBorders>
            <w:vAlign w:val="center"/>
            <w:hideMark/>
          </w:tcPr>
          <w:p w:rsidR="000A3B25" w:rsidRDefault="000A3B25">
            <w:pPr>
              <w:pStyle w:val="Manuscripttabletext"/>
            </w:pPr>
            <w:r>
              <w:t>SEC150</w:t>
            </w:r>
          </w:p>
          <w:p w:rsidR="000A3B25" w:rsidRDefault="000A3B25">
            <w:pPr>
              <w:pStyle w:val="Manuscripttabletext"/>
            </w:pPr>
            <w:r>
              <w:t>SEC300</w:t>
            </w:r>
          </w:p>
          <w:p w:rsidR="000A3B25" w:rsidRDefault="000A3B25">
            <w:pPr>
              <w:pStyle w:val="Manuscripttabletext"/>
            </w:pPr>
            <w:r>
              <w:t>Placebo</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12;</w:t>
            </w:r>
          </w:p>
          <w:p w:rsidR="000A3B25" w:rsidRDefault="000A3B25">
            <w:pPr>
              <w:pStyle w:val="Manuscripttabletext"/>
              <w:jc w:val="center"/>
            </w:pPr>
            <w:r>
              <w:t>Week 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12;</w:t>
            </w:r>
          </w:p>
          <w:p w:rsidR="000A3B25" w:rsidRDefault="000A3B25">
            <w:pPr>
              <w:pStyle w:val="Manuscripttabletext"/>
              <w:jc w:val="center"/>
            </w:pPr>
            <w:r>
              <w:t>Week 16</w:t>
            </w:r>
          </w:p>
        </w:tc>
      </w:tr>
      <w:tr w:rsidR="000A3B25" w:rsidTr="000A3B25">
        <w:trPr>
          <w:trHeight w:val="340"/>
        </w:trPr>
        <w:tc>
          <w:tcPr>
            <w:tcW w:w="1701"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heading"/>
            </w:pPr>
            <w:r>
              <w:rPr>
                <w:lang w:eastAsia="en-CA"/>
              </w:rPr>
              <w:t>Genovese (2007)</w:t>
            </w:r>
          </w:p>
        </w:tc>
        <w:tc>
          <w:tcPr>
            <w:tcW w:w="198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pPr>
            <w:r>
              <w:t xml:space="preserve">Genovese 2007 </w:t>
            </w:r>
            <w:r w:rsidR="005F07A5">
              <w:t>[14]</w:t>
            </w:r>
          </w:p>
        </w:tc>
        <w:tc>
          <w:tcPr>
            <w:tcW w:w="1417" w:type="dxa"/>
            <w:tcBorders>
              <w:top w:val="single" w:sz="4" w:space="0" w:color="auto"/>
              <w:left w:val="single" w:sz="4" w:space="0" w:color="auto"/>
              <w:bottom w:val="single" w:sz="4" w:space="0" w:color="auto"/>
              <w:right w:val="single" w:sz="18" w:space="0" w:color="auto"/>
            </w:tcBorders>
            <w:vAlign w:val="center"/>
            <w:hideMark/>
          </w:tcPr>
          <w:p w:rsidR="000A3B25" w:rsidRDefault="000A3B25">
            <w:pPr>
              <w:pStyle w:val="Manuscripttabletext"/>
            </w:pPr>
            <w:r>
              <w:t>ADA40</w:t>
            </w:r>
          </w:p>
          <w:p w:rsidR="000A3B25" w:rsidRDefault="000A3B25">
            <w:pPr>
              <w:pStyle w:val="Manuscripttabletext"/>
            </w:pPr>
            <w:r>
              <w:t>Placebo</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12</w:t>
            </w:r>
          </w:p>
        </w:tc>
      </w:tr>
      <w:tr w:rsidR="000A3B25" w:rsidTr="000A3B25">
        <w:trPr>
          <w:trHeight w:val="340"/>
        </w:trPr>
        <w:tc>
          <w:tcPr>
            <w:tcW w:w="1701"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heading"/>
            </w:pPr>
            <w:r>
              <w:rPr>
                <w:lang w:eastAsia="en-CA"/>
              </w:rPr>
              <w:t>GO-REVEAL</w:t>
            </w:r>
          </w:p>
        </w:tc>
        <w:tc>
          <w:tcPr>
            <w:tcW w:w="198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pPr>
            <w:r>
              <w:t xml:space="preserve">Kavanaugh 2009 </w:t>
            </w:r>
            <w:r w:rsidR="005F07A5">
              <w:t>[15]</w:t>
            </w:r>
          </w:p>
        </w:tc>
        <w:tc>
          <w:tcPr>
            <w:tcW w:w="1417" w:type="dxa"/>
            <w:tcBorders>
              <w:top w:val="single" w:sz="4" w:space="0" w:color="auto"/>
              <w:left w:val="single" w:sz="4" w:space="0" w:color="auto"/>
              <w:bottom w:val="single" w:sz="4" w:space="0" w:color="auto"/>
              <w:right w:val="single" w:sz="18" w:space="0" w:color="auto"/>
            </w:tcBorders>
            <w:vAlign w:val="center"/>
            <w:hideMark/>
          </w:tcPr>
          <w:p w:rsidR="000A3B25" w:rsidRDefault="000A3B25">
            <w:pPr>
              <w:pStyle w:val="Manuscripttabletext"/>
            </w:pPr>
            <w:r>
              <w:t>GOL50</w:t>
            </w:r>
          </w:p>
          <w:p w:rsidR="000A3B25" w:rsidRDefault="000A3B25">
            <w:pPr>
              <w:pStyle w:val="Manuscripttabletext"/>
            </w:pPr>
            <w:r>
              <w:t>GOL100</w:t>
            </w:r>
          </w:p>
          <w:p w:rsidR="000A3B25" w:rsidRDefault="000A3B25">
            <w:pPr>
              <w:pStyle w:val="Manuscripttabletext"/>
            </w:pPr>
            <w:r>
              <w:t>Placebo</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12;</w:t>
            </w:r>
          </w:p>
          <w:p w:rsidR="000A3B25" w:rsidRDefault="000A3B25">
            <w:pPr>
              <w:pStyle w:val="Manuscripttabletext"/>
              <w:jc w:val="center"/>
            </w:pPr>
            <w:r>
              <w:t>Week 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12;</w:t>
            </w:r>
          </w:p>
          <w:p w:rsidR="000A3B25" w:rsidRDefault="000A3B25">
            <w:pPr>
              <w:pStyle w:val="Manuscripttabletext"/>
              <w:jc w:val="center"/>
            </w:pPr>
            <w:r>
              <w:t>Week 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12;</w:t>
            </w:r>
          </w:p>
          <w:p w:rsidR="000A3B25" w:rsidRDefault="000A3B25">
            <w:pPr>
              <w:pStyle w:val="Manuscripttabletext"/>
              <w:jc w:val="center"/>
            </w:pPr>
            <w:r>
              <w:t>Week 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14</w:t>
            </w:r>
          </w:p>
        </w:tc>
      </w:tr>
      <w:tr w:rsidR="000A3B25" w:rsidTr="000A3B25">
        <w:trPr>
          <w:trHeight w:val="340"/>
        </w:trPr>
        <w:tc>
          <w:tcPr>
            <w:tcW w:w="1701"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heading"/>
            </w:pPr>
            <w:r>
              <w:rPr>
                <w:lang w:eastAsia="en-CA"/>
              </w:rPr>
              <w:t>IMPACT</w:t>
            </w:r>
          </w:p>
        </w:tc>
        <w:tc>
          <w:tcPr>
            <w:tcW w:w="198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pPr>
            <w:r>
              <w:t xml:space="preserve">Antoni 2005 </w:t>
            </w:r>
            <w:r w:rsidR="005F07A5">
              <w:t>[16]</w:t>
            </w:r>
          </w:p>
        </w:tc>
        <w:tc>
          <w:tcPr>
            <w:tcW w:w="1417" w:type="dxa"/>
            <w:tcBorders>
              <w:top w:val="single" w:sz="4" w:space="0" w:color="auto"/>
              <w:left w:val="single" w:sz="4" w:space="0" w:color="auto"/>
              <w:bottom w:val="single" w:sz="4" w:space="0" w:color="auto"/>
              <w:right w:val="single" w:sz="18" w:space="0" w:color="auto"/>
            </w:tcBorders>
            <w:vAlign w:val="center"/>
            <w:hideMark/>
          </w:tcPr>
          <w:p w:rsidR="000A3B25" w:rsidRDefault="000A3B25">
            <w:pPr>
              <w:pStyle w:val="Manuscripttabletext"/>
            </w:pPr>
            <w:r>
              <w:t>INF5</w:t>
            </w:r>
          </w:p>
          <w:p w:rsidR="000A3B25" w:rsidRDefault="000A3B25">
            <w:pPr>
              <w:pStyle w:val="Manuscripttabletext"/>
            </w:pPr>
            <w:r>
              <w:t>Placebo</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16</w:t>
            </w:r>
          </w:p>
        </w:tc>
      </w:tr>
      <w:tr w:rsidR="000A3B25" w:rsidTr="000A3B25">
        <w:trPr>
          <w:trHeight w:val="340"/>
        </w:trPr>
        <w:tc>
          <w:tcPr>
            <w:tcW w:w="1701"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heading"/>
            </w:pPr>
            <w:r>
              <w:rPr>
                <w:lang w:eastAsia="en-CA"/>
              </w:rPr>
              <w:t>IMPACT2</w:t>
            </w:r>
          </w:p>
        </w:tc>
        <w:tc>
          <w:tcPr>
            <w:tcW w:w="198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pPr>
            <w:r>
              <w:t xml:space="preserve">Antoni 2005 </w:t>
            </w:r>
            <w:r w:rsidR="005F07A5">
              <w:t>[16]</w:t>
            </w:r>
          </w:p>
        </w:tc>
        <w:tc>
          <w:tcPr>
            <w:tcW w:w="1417" w:type="dxa"/>
            <w:tcBorders>
              <w:top w:val="single" w:sz="4" w:space="0" w:color="auto"/>
              <w:left w:val="single" w:sz="4" w:space="0" w:color="auto"/>
              <w:bottom w:val="single" w:sz="4" w:space="0" w:color="auto"/>
              <w:right w:val="single" w:sz="18" w:space="0" w:color="auto"/>
            </w:tcBorders>
            <w:vAlign w:val="center"/>
            <w:hideMark/>
          </w:tcPr>
          <w:p w:rsidR="000A3B25" w:rsidRDefault="000A3B25">
            <w:pPr>
              <w:pStyle w:val="Manuscripttabletext"/>
            </w:pPr>
            <w:r>
              <w:t>INF5</w:t>
            </w:r>
          </w:p>
          <w:p w:rsidR="000A3B25" w:rsidRDefault="000A3B25">
            <w:pPr>
              <w:pStyle w:val="Manuscripttabletext"/>
            </w:pPr>
            <w:r>
              <w:t>Placebo</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14</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14</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14</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14</w:t>
            </w:r>
          </w:p>
        </w:tc>
      </w:tr>
      <w:tr w:rsidR="000A3B25" w:rsidTr="000A3B25">
        <w:trPr>
          <w:trHeight w:val="340"/>
        </w:trPr>
        <w:tc>
          <w:tcPr>
            <w:tcW w:w="1701"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heading"/>
            </w:pPr>
            <w:r>
              <w:rPr>
                <w:lang w:eastAsia="en-CA"/>
              </w:rPr>
              <w:t>Mease (2000)</w:t>
            </w:r>
          </w:p>
        </w:tc>
        <w:tc>
          <w:tcPr>
            <w:tcW w:w="198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pPr>
            <w:r>
              <w:t xml:space="preserve">Mease 2000 </w:t>
            </w:r>
            <w:r w:rsidR="005F07A5">
              <w:t>[17]</w:t>
            </w:r>
          </w:p>
        </w:tc>
        <w:tc>
          <w:tcPr>
            <w:tcW w:w="1417" w:type="dxa"/>
            <w:tcBorders>
              <w:top w:val="single" w:sz="4" w:space="0" w:color="auto"/>
              <w:left w:val="single" w:sz="4" w:space="0" w:color="auto"/>
              <w:bottom w:val="single" w:sz="4" w:space="0" w:color="auto"/>
              <w:right w:val="single" w:sz="18" w:space="0" w:color="auto"/>
            </w:tcBorders>
            <w:vAlign w:val="center"/>
            <w:hideMark/>
          </w:tcPr>
          <w:p w:rsidR="000A3B25" w:rsidRDefault="000A3B25">
            <w:pPr>
              <w:pStyle w:val="Manuscripttabletext"/>
            </w:pPr>
            <w:r>
              <w:t>ETN25BIW</w:t>
            </w:r>
          </w:p>
          <w:p w:rsidR="000A3B25" w:rsidRDefault="000A3B25">
            <w:pPr>
              <w:pStyle w:val="Manuscripttabletext"/>
            </w:pPr>
            <w:r>
              <w:t>Placebo</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12</w:t>
            </w:r>
          </w:p>
        </w:tc>
      </w:tr>
      <w:tr w:rsidR="000A3B25" w:rsidTr="000A3B25">
        <w:trPr>
          <w:trHeight w:val="340"/>
        </w:trPr>
        <w:tc>
          <w:tcPr>
            <w:tcW w:w="1701"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heading"/>
            </w:pPr>
            <w:r>
              <w:rPr>
                <w:lang w:eastAsia="en-CA"/>
              </w:rPr>
              <w:t>Mease (2004)</w:t>
            </w:r>
          </w:p>
        </w:tc>
        <w:tc>
          <w:tcPr>
            <w:tcW w:w="198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pPr>
            <w:r>
              <w:t xml:space="preserve">Mease 2004 </w:t>
            </w:r>
            <w:r w:rsidR="005F07A5">
              <w:t>[18]</w:t>
            </w:r>
          </w:p>
        </w:tc>
        <w:tc>
          <w:tcPr>
            <w:tcW w:w="1417" w:type="dxa"/>
            <w:tcBorders>
              <w:top w:val="single" w:sz="4" w:space="0" w:color="auto"/>
              <w:left w:val="single" w:sz="4" w:space="0" w:color="auto"/>
              <w:bottom w:val="single" w:sz="4" w:space="0" w:color="auto"/>
              <w:right w:val="single" w:sz="18" w:space="0" w:color="auto"/>
            </w:tcBorders>
            <w:vAlign w:val="center"/>
            <w:hideMark/>
          </w:tcPr>
          <w:p w:rsidR="000A3B25" w:rsidRDefault="000A3B25">
            <w:pPr>
              <w:pStyle w:val="Manuscripttabletext"/>
            </w:pPr>
            <w:r>
              <w:t xml:space="preserve">ETN25BIW </w:t>
            </w:r>
          </w:p>
          <w:p w:rsidR="000A3B25" w:rsidRDefault="000A3B25">
            <w:pPr>
              <w:pStyle w:val="Manuscripttabletext"/>
            </w:pPr>
            <w:r>
              <w:t>Placebo</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12</w:t>
            </w:r>
          </w:p>
        </w:tc>
      </w:tr>
      <w:tr w:rsidR="000A3B25" w:rsidTr="000A3B25">
        <w:trPr>
          <w:cantSplit/>
          <w:trHeight w:val="340"/>
        </w:trPr>
        <w:tc>
          <w:tcPr>
            <w:tcW w:w="1701"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heading"/>
            </w:pPr>
            <w:r>
              <w:rPr>
                <w:lang w:eastAsia="en-CA"/>
              </w:rPr>
              <w:t>PALACE1</w:t>
            </w:r>
          </w:p>
        </w:tc>
        <w:tc>
          <w:tcPr>
            <w:tcW w:w="198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pPr>
            <w:r>
              <w:t xml:space="preserve">Kavanaugh 2014 </w:t>
            </w:r>
            <w:r w:rsidR="005F07A5">
              <w:t>[19]</w:t>
            </w:r>
          </w:p>
        </w:tc>
        <w:tc>
          <w:tcPr>
            <w:tcW w:w="1417" w:type="dxa"/>
            <w:tcBorders>
              <w:top w:val="single" w:sz="4" w:space="0" w:color="auto"/>
              <w:left w:val="single" w:sz="4" w:space="0" w:color="auto"/>
              <w:bottom w:val="single" w:sz="4" w:space="0" w:color="auto"/>
              <w:right w:val="single" w:sz="18" w:space="0" w:color="auto"/>
            </w:tcBorders>
            <w:vAlign w:val="center"/>
            <w:hideMark/>
          </w:tcPr>
          <w:p w:rsidR="000A3B25" w:rsidRDefault="000A3B25">
            <w:pPr>
              <w:pStyle w:val="Manuscripttabletext"/>
            </w:pPr>
            <w:r>
              <w:t>APR20</w:t>
            </w:r>
          </w:p>
          <w:p w:rsidR="000A3B25" w:rsidRDefault="000A3B25">
            <w:pPr>
              <w:pStyle w:val="Manuscripttabletext"/>
            </w:pPr>
            <w:r>
              <w:t>APR30</w:t>
            </w:r>
          </w:p>
          <w:p w:rsidR="000A3B25" w:rsidRDefault="000A3B25">
            <w:pPr>
              <w:pStyle w:val="Manuscripttabletext"/>
            </w:pPr>
            <w:r>
              <w:t>Placebo</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16</w:t>
            </w:r>
          </w:p>
        </w:tc>
      </w:tr>
      <w:tr w:rsidR="000A3B25" w:rsidTr="000A3B25">
        <w:trPr>
          <w:trHeight w:val="340"/>
        </w:trPr>
        <w:tc>
          <w:tcPr>
            <w:tcW w:w="1701"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heading"/>
            </w:pPr>
            <w:r>
              <w:rPr>
                <w:lang w:eastAsia="en-CA"/>
              </w:rPr>
              <w:t>PALACE2</w:t>
            </w:r>
          </w:p>
        </w:tc>
        <w:tc>
          <w:tcPr>
            <w:tcW w:w="198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pPr>
            <w:r>
              <w:t xml:space="preserve">Kavanaugh 2014 </w:t>
            </w:r>
            <w:r w:rsidR="005F07A5">
              <w:t>[20]</w:t>
            </w:r>
          </w:p>
        </w:tc>
        <w:tc>
          <w:tcPr>
            <w:tcW w:w="1417" w:type="dxa"/>
            <w:tcBorders>
              <w:top w:val="single" w:sz="4" w:space="0" w:color="auto"/>
              <w:left w:val="single" w:sz="4" w:space="0" w:color="auto"/>
              <w:bottom w:val="single" w:sz="4" w:space="0" w:color="auto"/>
              <w:right w:val="single" w:sz="18" w:space="0" w:color="auto"/>
            </w:tcBorders>
            <w:vAlign w:val="center"/>
            <w:hideMark/>
          </w:tcPr>
          <w:p w:rsidR="000A3B25" w:rsidRDefault="000A3B25">
            <w:pPr>
              <w:pStyle w:val="Manuscripttabletext"/>
            </w:pPr>
            <w:r>
              <w:t>APR20</w:t>
            </w:r>
          </w:p>
          <w:p w:rsidR="000A3B25" w:rsidRDefault="000A3B25">
            <w:pPr>
              <w:pStyle w:val="Manuscripttabletext"/>
            </w:pPr>
            <w:r>
              <w:t>APR30</w:t>
            </w:r>
          </w:p>
          <w:p w:rsidR="000A3B25" w:rsidRDefault="000A3B25">
            <w:pPr>
              <w:pStyle w:val="Manuscripttabletext"/>
            </w:pPr>
            <w:r>
              <w:t>Placebo</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16</w:t>
            </w:r>
          </w:p>
        </w:tc>
      </w:tr>
      <w:tr w:rsidR="000A3B25" w:rsidTr="000A3B25">
        <w:trPr>
          <w:trHeight w:val="340"/>
        </w:trPr>
        <w:tc>
          <w:tcPr>
            <w:tcW w:w="1701"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heading"/>
            </w:pPr>
            <w:r>
              <w:rPr>
                <w:lang w:eastAsia="en-CA"/>
              </w:rPr>
              <w:t>PALACE3</w:t>
            </w:r>
          </w:p>
        </w:tc>
        <w:tc>
          <w:tcPr>
            <w:tcW w:w="198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pPr>
            <w:r>
              <w:t xml:space="preserve">Birbara 2013 </w:t>
            </w:r>
            <w:r w:rsidR="005F07A5">
              <w:t>[21]</w:t>
            </w:r>
          </w:p>
        </w:tc>
        <w:tc>
          <w:tcPr>
            <w:tcW w:w="1417" w:type="dxa"/>
            <w:tcBorders>
              <w:top w:val="single" w:sz="4" w:space="0" w:color="auto"/>
              <w:left w:val="single" w:sz="4" w:space="0" w:color="auto"/>
              <w:bottom w:val="single" w:sz="4" w:space="0" w:color="auto"/>
              <w:right w:val="single" w:sz="18" w:space="0" w:color="auto"/>
            </w:tcBorders>
            <w:vAlign w:val="center"/>
            <w:hideMark/>
          </w:tcPr>
          <w:p w:rsidR="000A3B25" w:rsidRDefault="000A3B25">
            <w:pPr>
              <w:pStyle w:val="Manuscripttabletext"/>
            </w:pPr>
            <w:r>
              <w:t>APR20</w:t>
            </w:r>
          </w:p>
          <w:p w:rsidR="000A3B25" w:rsidRDefault="000A3B25">
            <w:pPr>
              <w:pStyle w:val="Manuscripttabletext"/>
            </w:pPr>
            <w:r>
              <w:t>APR30</w:t>
            </w:r>
          </w:p>
          <w:p w:rsidR="000A3B25" w:rsidRDefault="000A3B25">
            <w:pPr>
              <w:pStyle w:val="Manuscripttabletext"/>
            </w:pPr>
            <w:r>
              <w:lastRenderedPageBreak/>
              <w:t>Placebo</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lastRenderedPageBreak/>
              <w:t>Week 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16</w:t>
            </w:r>
          </w:p>
        </w:tc>
      </w:tr>
      <w:tr w:rsidR="000A3B25" w:rsidTr="000A3B25">
        <w:trPr>
          <w:trHeight w:val="340"/>
        </w:trPr>
        <w:tc>
          <w:tcPr>
            <w:tcW w:w="1701"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heading"/>
            </w:pPr>
            <w:r>
              <w:rPr>
                <w:lang w:eastAsia="en-CA"/>
              </w:rPr>
              <w:t>PRESTA</w:t>
            </w:r>
          </w:p>
        </w:tc>
        <w:tc>
          <w:tcPr>
            <w:tcW w:w="198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pPr>
            <w:r>
              <w:t xml:space="preserve">Sterry 2010 </w:t>
            </w:r>
            <w:r w:rsidR="005F07A5">
              <w:t>[5]</w:t>
            </w:r>
          </w:p>
        </w:tc>
        <w:tc>
          <w:tcPr>
            <w:tcW w:w="1417" w:type="dxa"/>
            <w:tcBorders>
              <w:top w:val="single" w:sz="4" w:space="0" w:color="auto"/>
              <w:left w:val="single" w:sz="4" w:space="0" w:color="auto"/>
              <w:bottom w:val="single" w:sz="4" w:space="0" w:color="auto"/>
              <w:right w:val="single" w:sz="18" w:space="0" w:color="auto"/>
            </w:tcBorders>
            <w:vAlign w:val="center"/>
            <w:hideMark/>
          </w:tcPr>
          <w:p w:rsidR="000A3B25" w:rsidRDefault="000A3B25">
            <w:pPr>
              <w:pStyle w:val="Manuscripttabletext"/>
            </w:pPr>
            <w:r>
              <w:t>ETN50BIW</w:t>
            </w:r>
          </w:p>
          <w:p w:rsidR="000A3B25" w:rsidRDefault="000A3B25">
            <w:pPr>
              <w:pStyle w:val="Manuscripttabletext"/>
            </w:pPr>
            <w:r>
              <w:t>ETN50QW</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12</w:t>
            </w:r>
          </w:p>
        </w:tc>
      </w:tr>
      <w:tr w:rsidR="000A3B25" w:rsidTr="000A3B25">
        <w:trPr>
          <w:trHeight w:val="340"/>
        </w:trPr>
        <w:tc>
          <w:tcPr>
            <w:tcW w:w="1701"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heading"/>
            </w:pPr>
            <w:r>
              <w:rPr>
                <w:lang w:eastAsia="en-CA"/>
              </w:rPr>
              <w:t>PSUMMIT1</w:t>
            </w:r>
          </w:p>
        </w:tc>
        <w:tc>
          <w:tcPr>
            <w:tcW w:w="198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pPr>
            <w:r>
              <w:t xml:space="preserve">McInnes 2013 </w:t>
            </w:r>
            <w:r w:rsidR="005F07A5">
              <w:t>[22]</w:t>
            </w:r>
          </w:p>
        </w:tc>
        <w:tc>
          <w:tcPr>
            <w:tcW w:w="1417" w:type="dxa"/>
            <w:tcBorders>
              <w:top w:val="single" w:sz="4" w:space="0" w:color="auto"/>
              <w:left w:val="single" w:sz="4" w:space="0" w:color="auto"/>
              <w:bottom w:val="single" w:sz="4" w:space="0" w:color="auto"/>
              <w:right w:val="single" w:sz="18" w:space="0" w:color="auto"/>
            </w:tcBorders>
            <w:vAlign w:val="center"/>
            <w:hideMark/>
          </w:tcPr>
          <w:p w:rsidR="000A3B25" w:rsidRDefault="000A3B25">
            <w:pPr>
              <w:pStyle w:val="Manuscripttabletext"/>
            </w:pPr>
            <w:r>
              <w:t>UST45</w:t>
            </w:r>
          </w:p>
          <w:p w:rsidR="000A3B25" w:rsidRDefault="000A3B25">
            <w:pPr>
              <w:pStyle w:val="Manuscripttabletext"/>
            </w:pPr>
            <w:r>
              <w:t>UST90</w:t>
            </w:r>
          </w:p>
          <w:p w:rsidR="000A3B25" w:rsidRDefault="000A3B25">
            <w:pPr>
              <w:pStyle w:val="Manuscripttabletext"/>
            </w:pPr>
            <w:r>
              <w:t>Placebo</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r>
      <w:tr w:rsidR="000A3B25" w:rsidTr="000A3B25">
        <w:trPr>
          <w:trHeight w:val="340"/>
        </w:trPr>
        <w:tc>
          <w:tcPr>
            <w:tcW w:w="1701"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heading"/>
            </w:pPr>
            <w:r>
              <w:rPr>
                <w:lang w:eastAsia="en-CA"/>
              </w:rPr>
              <w:t>PSUMMIT2</w:t>
            </w:r>
          </w:p>
        </w:tc>
        <w:tc>
          <w:tcPr>
            <w:tcW w:w="198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pPr>
            <w:r>
              <w:t xml:space="preserve">Ritchlin 2014 </w:t>
            </w:r>
            <w:r w:rsidR="005F07A5">
              <w:t>[23]</w:t>
            </w:r>
          </w:p>
        </w:tc>
        <w:tc>
          <w:tcPr>
            <w:tcW w:w="1417" w:type="dxa"/>
            <w:tcBorders>
              <w:top w:val="single" w:sz="4" w:space="0" w:color="auto"/>
              <w:left w:val="single" w:sz="4" w:space="0" w:color="auto"/>
              <w:bottom w:val="single" w:sz="4" w:space="0" w:color="auto"/>
              <w:right w:val="single" w:sz="18" w:space="0" w:color="auto"/>
            </w:tcBorders>
            <w:vAlign w:val="center"/>
            <w:hideMark/>
          </w:tcPr>
          <w:p w:rsidR="000A3B25" w:rsidRDefault="000A3B25">
            <w:pPr>
              <w:pStyle w:val="Manuscripttabletext"/>
            </w:pPr>
            <w:r>
              <w:t>UST45</w:t>
            </w:r>
          </w:p>
          <w:p w:rsidR="000A3B25" w:rsidRDefault="000A3B25">
            <w:pPr>
              <w:pStyle w:val="Manuscripttabletext"/>
            </w:pPr>
            <w:r>
              <w:t>UST90</w:t>
            </w:r>
          </w:p>
          <w:p w:rsidR="000A3B25" w:rsidRDefault="000A3B25">
            <w:pPr>
              <w:pStyle w:val="Manuscripttabletext"/>
            </w:pPr>
            <w:r>
              <w:t>Placebo</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r>
      <w:tr w:rsidR="000A3B25" w:rsidTr="000A3B25">
        <w:trPr>
          <w:trHeight w:val="340"/>
        </w:trPr>
        <w:tc>
          <w:tcPr>
            <w:tcW w:w="1701"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heading"/>
            </w:pPr>
            <w:r>
              <w:rPr>
                <w:lang w:eastAsia="en-CA"/>
              </w:rPr>
              <w:t>RAPID-PSA</w:t>
            </w:r>
          </w:p>
        </w:tc>
        <w:tc>
          <w:tcPr>
            <w:tcW w:w="198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pPr>
            <w:r>
              <w:t xml:space="preserve">Mease 2014 </w:t>
            </w:r>
            <w:r w:rsidR="005F07A5">
              <w:t>[4]</w:t>
            </w:r>
          </w:p>
        </w:tc>
        <w:tc>
          <w:tcPr>
            <w:tcW w:w="1417" w:type="dxa"/>
            <w:tcBorders>
              <w:top w:val="single" w:sz="4" w:space="0" w:color="auto"/>
              <w:left w:val="single" w:sz="4" w:space="0" w:color="auto"/>
              <w:bottom w:val="single" w:sz="4" w:space="0" w:color="auto"/>
              <w:right w:val="single" w:sz="18" w:space="0" w:color="auto"/>
            </w:tcBorders>
            <w:vAlign w:val="center"/>
            <w:hideMark/>
          </w:tcPr>
          <w:p w:rsidR="000A3B25" w:rsidRDefault="000A3B25">
            <w:pPr>
              <w:pStyle w:val="Manuscripttabletext"/>
            </w:pPr>
            <w:r>
              <w:t>CZP400_200</w:t>
            </w:r>
          </w:p>
          <w:p w:rsidR="000A3B25" w:rsidRDefault="000A3B25">
            <w:pPr>
              <w:pStyle w:val="Manuscripttabletext"/>
            </w:pPr>
            <w:r>
              <w:t>CZP400_400</w:t>
            </w:r>
          </w:p>
          <w:p w:rsidR="000A3B25" w:rsidRDefault="000A3B25">
            <w:pPr>
              <w:pStyle w:val="Manuscripttabletext"/>
            </w:pPr>
            <w:r>
              <w:t>Placebo</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r>
      <w:tr w:rsidR="000A3B25" w:rsidTr="000A3B25">
        <w:trPr>
          <w:trHeight w:val="340"/>
        </w:trPr>
        <w:tc>
          <w:tcPr>
            <w:tcW w:w="1701"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heading"/>
            </w:pPr>
            <w:r>
              <w:rPr>
                <w:lang w:eastAsia="en-CA"/>
              </w:rPr>
              <w:t>Schett (2012)</w:t>
            </w:r>
          </w:p>
        </w:tc>
        <w:tc>
          <w:tcPr>
            <w:tcW w:w="198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pPr>
            <w:r>
              <w:t xml:space="preserve">Schett 2012 </w:t>
            </w:r>
            <w:r w:rsidR="005F07A5">
              <w:t>[24]</w:t>
            </w:r>
          </w:p>
        </w:tc>
        <w:tc>
          <w:tcPr>
            <w:tcW w:w="1417" w:type="dxa"/>
            <w:tcBorders>
              <w:top w:val="single" w:sz="4" w:space="0" w:color="auto"/>
              <w:left w:val="single" w:sz="4" w:space="0" w:color="auto"/>
              <w:bottom w:val="single" w:sz="4" w:space="0" w:color="auto"/>
              <w:right w:val="single" w:sz="18" w:space="0" w:color="auto"/>
            </w:tcBorders>
            <w:vAlign w:val="center"/>
            <w:hideMark/>
          </w:tcPr>
          <w:p w:rsidR="000A3B25" w:rsidRDefault="000A3B25">
            <w:pPr>
              <w:pStyle w:val="Manuscripttabletext"/>
            </w:pPr>
            <w:r>
              <w:t>APR20</w:t>
            </w:r>
          </w:p>
          <w:p w:rsidR="000A3B25" w:rsidRDefault="000A3B25">
            <w:pPr>
              <w:pStyle w:val="Manuscripttabletext"/>
            </w:pPr>
            <w:r>
              <w:t>APR40</w:t>
            </w:r>
          </w:p>
          <w:p w:rsidR="000A3B25" w:rsidRDefault="000A3B25">
            <w:pPr>
              <w:pStyle w:val="Manuscripttabletext"/>
            </w:pPr>
            <w:r>
              <w:t>Placebo</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A3B25" w:rsidRDefault="000A3B25">
            <w:pPr>
              <w:pStyle w:val="Manuscripttabletext"/>
              <w:jc w:val="center"/>
            </w:pPr>
            <w:r>
              <w:t>Week 12</w:t>
            </w:r>
          </w:p>
        </w:tc>
      </w:tr>
    </w:tbl>
    <w:p w:rsidR="000A3B25" w:rsidRDefault="000A3B25" w:rsidP="000A3B25">
      <w:pPr>
        <w:pStyle w:val="Manuscriptfootnote"/>
      </w:pPr>
      <w:r>
        <w:t>* Sub-analysis of psoriasis trials in which only the sub-population of patients with PsA were included.</w:t>
      </w:r>
    </w:p>
    <w:p w:rsidR="000A3B25" w:rsidRDefault="000A3B25" w:rsidP="000A3B25">
      <w:pPr>
        <w:pStyle w:val="Manuscriptfootnote"/>
      </w:pPr>
    </w:p>
    <w:p w:rsidR="000A3B25" w:rsidRDefault="000A3B25" w:rsidP="000A3B25">
      <w:pPr>
        <w:pStyle w:val="Manuscriptfootnote"/>
      </w:pPr>
      <w:r>
        <w:t>ADA: adalimumab; APR: apremilast; BIW: twice weekly; CZP400_(400 or 200): certolizumab pegol 400 mg loading dose followed by 400 mg or 200 mg maintenance dose; ETN: etanercept; GOL: golimumab; INF: infliximab; PASI: Psoriasis Area Severity Index; PsARC: Psoriatic Arthritis Response Criteria; QW: once weekly; SEC: secukinumab; UST: ustekinumab.</w:t>
      </w:r>
    </w:p>
    <w:p w:rsidR="009A61F9" w:rsidRDefault="009A61F9" w:rsidP="000A3B25">
      <w:pPr>
        <w:pStyle w:val="Manuscriptfootnote"/>
      </w:pPr>
    </w:p>
    <w:p w:rsidR="00D36C5F" w:rsidRPr="009A61F9" w:rsidRDefault="00D36C5F" w:rsidP="006E5331">
      <w:pPr>
        <w:pStyle w:val="Manuscriptfootnote"/>
        <w:numPr>
          <w:ilvl w:val="0"/>
          <w:numId w:val="27"/>
        </w:numPr>
        <w:rPr>
          <w:rFonts w:eastAsia="MS ??" w:cs="Tahoma"/>
          <w:b/>
          <w:sz w:val="22"/>
          <w:szCs w:val="22"/>
          <w:lang w:val="en-US" w:eastAsia="en-US"/>
        </w:rPr>
      </w:pPr>
      <w:r>
        <w:rPr>
          <w:rFonts w:eastAsia="MS ??" w:cs="Tahoma"/>
          <w:b/>
          <w:sz w:val="22"/>
          <w:szCs w:val="22"/>
          <w:lang w:val="en-US" w:eastAsia="en-US"/>
        </w:rPr>
        <w:t>Excluded</w:t>
      </w:r>
      <w:r w:rsidRPr="009A61F9">
        <w:rPr>
          <w:rFonts w:eastAsia="MS ??" w:cs="Tahoma"/>
          <w:b/>
          <w:sz w:val="22"/>
          <w:szCs w:val="22"/>
          <w:lang w:val="en-US" w:eastAsia="en-US"/>
        </w:rPr>
        <w:t xml:space="preserve"> studies </w:t>
      </w:r>
      <w:r>
        <w:rPr>
          <w:rFonts w:eastAsia="MS ??" w:cs="Tahoma"/>
          <w:b/>
          <w:sz w:val="22"/>
          <w:szCs w:val="22"/>
          <w:lang w:val="en-US" w:eastAsia="en-US"/>
        </w:rPr>
        <w:t>from</w:t>
      </w:r>
      <w:r w:rsidRPr="009A61F9">
        <w:rPr>
          <w:rFonts w:eastAsia="MS ??" w:cs="Tahoma"/>
          <w:b/>
          <w:sz w:val="22"/>
          <w:szCs w:val="22"/>
          <w:lang w:val="en-US" w:eastAsia="en-US"/>
        </w:rPr>
        <w:t xml:space="preserve"> the network meta-analysis</w:t>
      </w:r>
    </w:p>
    <w:tbl>
      <w:tblPr>
        <w:tblStyle w:val="TableGrid"/>
        <w:tblW w:w="5000" w:type="pct"/>
        <w:tblLook w:val="04A0" w:firstRow="1" w:lastRow="0" w:firstColumn="1" w:lastColumn="0" w:noHBand="0" w:noVBand="1"/>
      </w:tblPr>
      <w:tblGrid>
        <w:gridCol w:w="2148"/>
        <w:gridCol w:w="2502"/>
        <w:gridCol w:w="4025"/>
      </w:tblGrid>
      <w:tr w:rsidR="00D36C5F" w:rsidTr="003E4C4A">
        <w:tc>
          <w:tcPr>
            <w:tcW w:w="1238" w:type="pct"/>
            <w:shd w:val="clear" w:color="auto" w:fill="BFBFBF" w:themeFill="background1" w:themeFillShade="BF"/>
          </w:tcPr>
          <w:p w:rsidR="00D36C5F" w:rsidRDefault="00D36C5F" w:rsidP="00110FB9">
            <w:pPr>
              <w:pStyle w:val="Manuscripttableheading"/>
            </w:pPr>
            <w:r>
              <w:rPr>
                <w:lang w:eastAsia="en-GB"/>
              </w:rPr>
              <w:t>Study name</w:t>
            </w:r>
          </w:p>
        </w:tc>
        <w:tc>
          <w:tcPr>
            <w:tcW w:w="1442" w:type="pct"/>
            <w:shd w:val="clear" w:color="auto" w:fill="BFBFBF" w:themeFill="background1" w:themeFillShade="BF"/>
          </w:tcPr>
          <w:p w:rsidR="00D36C5F" w:rsidRDefault="00D36C5F" w:rsidP="00110FB9">
            <w:pPr>
              <w:pStyle w:val="Manuscripttableheading"/>
            </w:pPr>
            <w:r>
              <w:rPr>
                <w:lang w:eastAsia="en-GB"/>
              </w:rPr>
              <w:t>Active treatment(s)</w:t>
            </w:r>
          </w:p>
        </w:tc>
        <w:tc>
          <w:tcPr>
            <w:tcW w:w="2320" w:type="pct"/>
            <w:shd w:val="clear" w:color="auto" w:fill="BFBFBF" w:themeFill="background1" w:themeFillShade="BF"/>
          </w:tcPr>
          <w:p w:rsidR="00D36C5F" w:rsidRDefault="00D36C5F" w:rsidP="00110FB9">
            <w:pPr>
              <w:pStyle w:val="Manuscripttableheading"/>
            </w:pPr>
            <w:r>
              <w:rPr>
                <w:lang w:eastAsia="en-GB"/>
              </w:rPr>
              <w:t>Reason for exclusion</w:t>
            </w:r>
          </w:p>
        </w:tc>
      </w:tr>
      <w:tr w:rsidR="00D36C5F" w:rsidTr="003E4C4A">
        <w:tc>
          <w:tcPr>
            <w:tcW w:w="1238" w:type="pct"/>
          </w:tcPr>
          <w:p w:rsidR="00D36C5F" w:rsidRDefault="00D36C5F" w:rsidP="00110FB9">
            <w:pPr>
              <w:pStyle w:val="Manuscripttableheading"/>
            </w:pPr>
            <w:r>
              <w:rPr>
                <w:lang w:eastAsia="en-GB"/>
              </w:rPr>
              <w:t>Behrens 2014 [25]</w:t>
            </w:r>
          </w:p>
        </w:tc>
        <w:tc>
          <w:tcPr>
            <w:tcW w:w="1442" w:type="pct"/>
          </w:tcPr>
          <w:p w:rsidR="00D36C5F" w:rsidRDefault="00D36C5F" w:rsidP="00110FB9">
            <w:pPr>
              <w:pStyle w:val="Manuscripttabletext"/>
            </w:pPr>
            <w:r>
              <w:rPr>
                <w:lang w:eastAsia="en-GB"/>
              </w:rPr>
              <w:t>Adalimumab</w:t>
            </w:r>
          </w:p>
        </w:tc>
        <w:tc>
          <w:tcPr>
            <w:tcW w:w="2320" w:type="pct"/>
          </w:tcPr>
          <w:p w:rsidR="00D36C5F" w:rsidRDefault="00D36C5F" w:rsidP="00110FB9">
            <w:pPr>
              <w:pStyle w:val="Manuscripttabletext"/>
            </w:pPr>
            <w:r>
              <w:rPr>
                <w:lang w:eastAsia="en-GB"/>
              </w:rPr>
              <w:t>Observational study</w:t>
            </w:r>
          </w:p>
        </w:tc>
      </w:tr>
      <w:tr w:rsidR="00D36C5F" w:rsidTr="003E4C4A">
        <w:tc>
          <w:tcPr>
            <w:tcW w:w="1238" w:type="pct"/>
          </w:tcPr>
          <w:p w:rsidR="00D36C5F" w:rsidRDefault="00D36C5F" w:rsidP="00110FB9">
            <w:pPr>
              <w:pStyle w:val="Manuscripttableheading"/>
            </w:pPr>
            <w:r>
              <w:rPr>
                <w:szCs w:val="20"/>
                <w:lang w:eastAsia="en-GB"/>
              </w:rPr>
              <w:t>Gottlieb 2009 [26]</w:t>
            </w:r>
          </w:p>
        </w:tc>
        <w:tc>
          <w:tcPr>
            <w:tcW w:w="1442" w:type="pct"/>
          </w:tcPr>
          <w:p w:rsidR="00D36C5F" w:rsidRDefault="00D36C5F" w:rsidP="00110FB9">
            <w:pPr>
              <w:pStyle w:val="Manuscripttabletext"/>
            </w:pPr>
            <w:r>
              <w:rPr>
                <w:lang w:eastAsia="en-GB"/>
              </w:rPr>
              <w:t>Ustekinumab</w:t>
            </w:r>
          </w:p>
        </w:tc>
        <w:tc>
          <w:tcPr>
            <w:tcW w:w="2320" w:type="pct"/>
          </w:tcPr>
          <w:p w:rsidR="00D36C5F" w:rsidRDefault="00D36C5F" w:rsidP="00110FB9">
            <w:pPr>
              <w:pStyle w:val="Manuscripttabletext"/>
            </w:pPr>
            <w:r>
              <w:rPr>
                <w:lang w:eastAsia="en-GB"/>
              </w:rPr>
              <w:t>Mixture of dosage, including non-standard 63 mg</w:t>
            </w:r>
          </w:p>
        </w:tc>
      </w:tr>
      <w:tr w:rsidR="00D36C5F" w:rsidTr="003E4C4A">
        <w:tc>
          <w:tcPr>
            <w:tcW w:w="1238" w:type="pct"/>
          </w:tcPr>
          <w:p w:rsidR="00D36C5F" w:rsidRDefault="00D36C5F" w:rsidP="00110FB9">
            <w:pPr>
              <w:pStyle w:val="Manuscripttableheading"/>
              <w:rPr>
                <w:szCs w:val="20"/>
                <w:lang w:eastAsia="en-GB"/>
              </w:rPr>
            </w:pPr>
            <w:r>
              <w:rPr>
                <w:szCs w:val="20"/>
                <w:lang w:eastAsia="en-GB"/>
              </w:rPr>
              <w:t>FUTURE 1 [27]</w:t>
            </w:r>
          </w:p>
        </w:tc>
        <w:tc>
          <w:tcPr>
            <w:tcW w:w="1442" w:type="pct"/>
          </w:tcPr>
          <w:p w:rsidR="00D36C5F" w:rsidRDefault="00D36C5F" w:rsidP="00110FB9">
            <w:pPr>
              <w:pStyle w:val="Manuscripttabletext"/>
              <w:rPr>
                <w:lang w:eastAsia="en-GB"/>
              </w:rPr>
            </w:pPr>
            <w:r>
              <w:rPr>
                <w:lang w:eastAsia="en-GB"/>
              </w:rPr>
              <w:t>Secukinumab</w:t>
            </w:r>
          </w:p>
        </w:tc>
        <w:tc>
          <w:tcPr>
            <w:tcW w:w="2320" w:type="pct"/>
          </w:tcPr>
          <w:p w:rsidR="00D36C5F" w:rsidRDefault="00110FB9" w:rsidP="00110FB9">
            <w:pPr>
              <w:pStyle w:val="Manuscripttabletext"/>
              <w:rPr>
                <w:lang w:eastAsia="en-GB"/>
              </w:rPr>
            </w:pPr>
            <w:r>
              <w:rPr>
                <w:lang w:eastAsia="en-GB"/>
              </w:rPr>
              <w:t>U</w:t>
            </w:r>
            <w:r w:rsidR="00D36C5F">
              <w:rPr>
                <w:lang w:eastAsia="en-GB"/>
              </w:rPr>
              <w:t>nlicensed loading dose of secukinumab</w:t>
            </w:r>
          </w:p>
        </w:tc>
      </w:tr>
      <w:tr w:rsidR="00D36C5F" w:rsidTr="003E4C4A">
        <w:tc>
          <w:tcPr>
            <w:tcW w:w="1238" w:type="pct"/>
          </w:tcPr>
          <w:p w:rsidR="00D36C5F" w:rsidRDefault="00D36C5F" w:rsidP="00110FB9">
            <w:pPr>
              <w:pStyle w:val="Manuscripttableheading"/>
            </w:pPr>
            <w:r>
              <w:rPr>
                <w:szCs w:val="20"/>
                <w:lang w:eastAsia="en-GB"/>
              </w:rPr>
              <w:t>Mease 2014 [28]</w:t>
            </w:r>
          </w:p>
        </w:tc>
        <w:tc>
          <w:tcPr>
            <w:tcW w:w="1442" w:type="pct"/>
          </w:tcPr>
          <w:p w:rsidR="00D36C5F" w:rsidRDefault="00D36C5F" w:rsidP="00110FB9">
            <w:pPr>
              <w:pStyle w:val="Manuscripttabletext"/>
            </w:pPr>
            <w:r>
              <w:rPr>
                <w:lang w:eastAsia="en-GB"/>
              </w:rPr>
              <w:t>Secukinumab</w:t>
            </w:r>
          </w:p>
        </w:tc>
        <w:tc>
          <w:tcPr>
            <w:tcW w:w="2320" w:type="pct"/>
          </w:tcPr>
          <w:p w:rsidR="00D36C5F" w:rsidRDefault="00110FB9" w:rsidP="00110FB9">
            <w:pPr>
              <w:pStyle w:val="Manuscripttabletext"/>
            </w:pPr>
            <w:r>
              <w:rPr>
                <w:lang w:eastAsia="en-GB"/>
              </w:rPr>
              <w:t>U</w:t>
            </w:r>
            <w:r w:rsidR="00D36C5F">
              <w:rPr>
                <w:lang w:eastAsia="en-GB"/>
              </w:rPr>
              <w:t>nlicensed dose of secukinumab</w:t>
            </w:r>
          </w:p>
        </w:tc>
      </w:tr>
      <w:tr w:rsidR="00D36C5F" w:rsidTr="003E4C4A">
        <w:tc>
          <w:tcPr>
            <w:tcW w:w="1238" w:type="pct"/>
          </w:tcPr>
          <w:p w:rsidR="00D36C5F" w:rsidRPr="009A61F9" w:rsidRDefault="00D36C5F" w:rsidP="00110FB9">
            <w:pPr>
              <w:pStyle w:val="Manuscripttableheading"/>
              <w:rPr>
                <w:szCs w:val="20"/>
                <w:lang w:eastAsia="en-GB"/>
              </w:rPr>
            </w:pPr>
            <w:r>
              <w:rPr>
                <w:szCs w:val="20"/>
                <w:lang w:eastAsia="en-GB"/>
              </w:rPr>
              <w:t>PALACE4 [29]</w:t>
            </w:r>
          </w:p>
        </w:tc>
        <w:tc>
          <w:tcPr>
            <w:tcW w:w="1442" w:type="pct"/>
          </w:tcPr>
          <w:p w:rsidR="00D36C5F" w:rsidRDefault="00D36C5F" w:rsidP="00110FB9">
            <w:pPr>
              <w:pStyle w:val="Manuscripttabletext"/>
            </w:pPr>
            <w:r>
              <w:rPr>
                <w:lang w:eastAsia="en-GB"/>
              </w:rPr>
              <w:t>Apremilast</w:t>
            </w:r>
          </w:p>
        </w:tc>
        <w:tc>
          <w:tcPr>
            <w:tcW w:w="2320" w:type="pct"/>
          </w:tcPr>
          <w:p w:rsidR="00D36C5F" w:rsidRDefault="00D36C5F" w:rsidP="00110FB9">
            <w:pPr>
              <w:pStyle w:val="Manuscripttabletext"/>
            </w:pPr>
            <w:r>
              <w:rPr>
                <w:lang w:eastAsia="en-GB"/>
              </w:rPr>
              <w:t>Includes patients who have not previously failed csDMARDS</w:t>
            </w:r>
          </w:p>
        </w:tc>
      </w:tr>
      <w:tr w:rsidR="00D36C5F" w:rsidTr="003E4C4A">
        <w:tc>
          <w:tcPr>
            <w:tcW w:w="1238" w:type="pct"/>
          </w:tcPr>
          <w:p w:rsidR="00D36C5F" w:rsidRDefault="00D36C5F" w:rsidP="00110FB9">
            <w:pPr>
              <w:pStyle w:val="Manuscripttableheading"/>
            </w:pPr>
            <w:r>
              <w:rPr>
                <w:szCs w:val="20"/>
                <w:lang w:eastAsia="en-GB"/>
              </w:rPr>
              <w:t>RESPOND [30]</w:t>
            </w:r>
          </w:p>
        </w:tc>
        <w:tc>
          <w:tcPr>
            <w:tcW w:w="1442" w:type="pct"/>
          </w:tcPr>
          <w:p w:rsidR="00D36C5F" w:rsidRDefault="00D36C5F" w:rsidP="00110FB9">
            <w:pPr>
              <w:pStyle w:val="Manuscripttabletext"/>
            </w:pPr>
            <w:r>
              <w:rPr>
                <w:lang w:eastAsia="en-GB"/>
              </w:rPr>
              <w:t>Infliximab</w:t>
            </w:r>
          </w:p>
        </w:tc>
        <w:tc>
          <w:tcPr>
            <w:tcW w:w="2320" w:type="pct"/>
          </w:tcPr>
          <w:p w:rsidR="00D36C5F" w:rsidRDefault="00D36C5F" w:rsidP="00110FB9">
            <w:pPr>
              <w:pStyle w:val="Manuscripttabletext"/>
            </w:pPr>
            <w:r>
              <w:rPr>
                <w:lang w:eastAsia="en-GB"/>
              </w:rPr>
              <w:t>Includes patients who have not previously failed csDMARDS</w:t>
            </w:r>
          </w:p>
        </w:tc>
      </w:tr>
      <w:tr w:rsidR="00D36C5F" w:rsidTr="003E4C4A">
        <w:tc>
          <w:tcPr>
            <w:tcW w:w="1238" w:type="pct"/>
          </w:tcPr>
          <w:p w:rsidR="00D36C5F" w:rsidRDefault="00D36C5F" w:rsidP="00110FB9">
            <w:pPr>
              <w:pStyle w:val="Manuscripttableheading"/>
            </w:pPr>
            <w:r>
              <w:rPr>
                <w:szCs w:val="20"/>
                <w:lang w:eastAsia="en-GB"/>
              </w:rPr>
              <w:t>Saougou 2011 [31]</w:t>
            </w:r>
          </w:p>
        </w:tc>
        <w:tc>
          <w:tcPr>
            <w:tcW w:w="1442" w:type="pct"/>
          </w:tcPr>
          <w:p w:rsidR="00D36C5F" w:rsidRDefault="00D36C5F" w:rsidP="00110FB9">
            <w:pPr>
              <w:pStyle w:val="Manuscripttabletext"/>
            </w:pPr>
            <w:r>
              <w:rPr>
                <w:lang w:eastAsia="en-GB"/>
              </w:rPr>
              <w:t>Adalimumab, etanercept and infliximab</w:t>
            </w:r>
          </w:p>
        </w:tc>
        <w:tc>
          <w:tcPr>
            <w:tcW w:w="2320" w:type="pct"/>
          </w:tcPr>
          <w:p w:rsidR="00D36C5F" w:rsidRDefault="00D36C5F" w:rsidP="00110FB9">
            <w:pPr>
              <w:pStyle w:val="Manuscripttabletext"/>
            </w:pPr>
            <w:r>
              <w:rPr>
                <w:lang w:eastAsia="en-GB"/>
              </w:rPr>
              <w:t>Observational study</w:t>
            </w:r>
          </w:p>
        </w:tc>
      </w:tr>
      <w:tr w:rsidR="00D36C5F" w:rsidTr="003E4C4A">
        <w:tc>
          <w:tcPr>
            <w:tcW w:w="1238" w:type="pct"/>
          </w:tcPr>
          <w:p w:rsidR="00D36C5F" w:rsidRDefault="00D36C5F" w:rsidP="00110FB9">
            <w:pPr>
              <w:pStyle w:val="Manuscripttableheading"/>
            </w:pPr>
            <w:r>
              <w:rPr>
                <w:szCs w:val="20"/>
                <w:lang w:eastAsia="en-GB"/>
              </w:rPr>
              <w:t>SPIRIT-P1 [32]</w:t>
            </w:r>
          </w:p>
        </w:tc>
        <w:tc>
          <w:tcPr>
            <w:tcW w:w="1442" w:type="pct"/>
          </w:tcPr>
          <w:p w:rsidR="00D36C5F" w:rsidRDefault="00D36C5F" w:rsidP="00110FB9">
            <w:pPr>
              <w:pStyle w:val="Manuscripttabletext"/>
            </w:pPr>
            <w:r>
              <w:rPr>
                <w:lang w:eastAsia="en-GB"/>
              </w:rPr>
              <w:t>Ixekizumab, adalimumab</w:t>
            </w:r>
          </w:p>
        </w:tc>
        <w:tc>
          <w:tcPr>
            <w:tcW w:w="2320" w:type="pct"/>
          </w:tcPr>
          <w:p w:rsidR="00D36C5F" w:rsidRDefault="00D36C5F" w:rsidP="00110FB9">
            <w:pPr>
              <w:pStyle w:val="Manuscripttabletext"/>
            </w:pPr>
            <w:r>
              <w:rPr>
                <w:lang w:eastAsia="en-GB"/>
              </w:rPr>
              <w:t xml:space="preserve">Ixekizumab </w:t>
            </w:r>
            <w:r w:rsidR="00110FB9">
              <w:rPr>
                <w:lang w:eastAsia="en-GB"/>
              </w:rPr>
              <w:t>was</w:t>
            </w:r>
            <w:r>
              <w:rPr>
                <w:lang w:eastAsia="en-GB"/>
              </w:rPr>
              <w:t xml:space="preserve"> not approved for treatment</w:t>
            </w:r>
            <w:r w:rsidR="00110FB9">
              <w:rPr>
                <w:lang w:eastAsia="en-GB"/>
              </w:rPr>
              <w:t xml:space="preserve"> at the time of the analysis</w:t>
            </w:r>
          </w:p>
        </w:tc>
      </w:tr>
      <w:tr w:rsidR="00D36C5F" w:rsidTr="003E4C4A">
        <w:tc>
          <w:tcPr>
            <w:tcW w:w="1238" w:type="pct"/>
          </w:tcPr>
          <w:p w:rsidR="00D36C5F" w:rsidRDefault="00D36C5F" w:rsidP="00110FB9">
            <w:pPr>
              <w:pStyle w:val="Manuscripttableheading"/>
            </w:pPr>
            <w:r>
              <w:rPr>
                <w:szCs w:val="20"/>
                <w:lang w:eastAsia="en-GB"/>
              </w:rPr>
              <w:t>Torii 2010 [33]</w:t>
            </w:r>
          </w:p>
        </w:tc>
        <w:tc>
          <w:tcPr>
            <w:tcW w:w="1442" w:type="pct"/>
          </w:tcPr>
          <w:p w:rsidR="00D36C5F" w:rsidRDefault="00D36C5F" w:rsidP="00110FB9">
            <w:pPr>
              <w:pStyle w:val="Manuscripttabletext"/>
            </w:pPr>
            <w:r>
              <w:rPr>
                <w:lang w:eastAsia="en-GB"/>
              </w:rPr>
              <w:t>Infliximab</w:t>
            </w:r>
          </w:p>
        </w:tc>
        <w:tc>
          <w:tcPr>
            <w:tcW w:w="2320" w:type="pct"/>
          </w:tcPr>
          <w:p w:rsidR="00D36C5F" w:rsidRDefault="00D36C5F" w:rsidP="00110FB9">
            <w:pPr>
              <w:pStyle w:val="Manuscripttabletext"/>
            </w:pPr>
            <w:r>
              <w:rPr>
                <w:lang w:eastAsia="en-GB"/>
              </w:rPr>
              <w:t>Study based on only 3 patients per arm</w:t>
            </w:r>
          </w:p>
        </w:tc>
      </w:tr>
      <w:tr w:rsidR="00D36C5F" w:rsidTr="003E4C4A">
        <w:tc>
          <w:tcPr>
            <w:tcW w:w="1238" w:type="pct"/>
          </w:tcPr>
          <w:p w:rsidR="00D36C5F" w:rsidRDefault="00D36C5F" w:rsidP="00110FB9">
            <w:pPr>
              <w:pStyle w:val="Manuscripttableheading"/>
            </w:pPr>
            <w:r>
              <w:rPr>
                <w:szCs w:val="20"/>
                <w:lang w:eastAsia="en-GB"/>
              </w:rPr>
              <w:t xml:space="preserve">van Kuijk 2009 </w:t>
            </w:r>
            <w:r w:rsidRPr="00D36C5F">
              <w:rPr>
                <w:szCs w:val="20"/>
                <w:lang w:eastAsia="en-GB"/>
              </w:rPr>
              <w:t>[34</w:t>
            </w:r>
            <w:r>
              <w:rPr>
                <w:szCs w:val="20"/>
                <w:lang w:eastAsia="en-GB"/>
              </w:rPr>
              <w:t>]</w:t>
            </w:r>
          </w:p>
        </w:tc>
        <w:tc>
          <w:tcPr>
            <w:tcW w:w="1442" w:type="pct"/>
          </w:tcPr>
          <w:p w:rsidR="00D36C5F" w:rsidRDefault="00D36C5F" w:rsidP="00110FB9">
            <w:pPr>
              <w:pStyle w:val="Manuscripttabletext"/>
            </w:pPr>
            <w:r>
              <w:rPr>
                <w:lang w:eastAsia="en-GB"/>
              </w:rPr>
              <w:t>Adalimumab</w:t>
            </w:r>
          </w:p>
        </w:tc>
        <w:tc>
          <w:tcPr>
            <w:tcW w:w="2320" w:type="pct"/>
          </w:tcPr>
          <w:p w:rsidR="00D36C5F" w:rsidRDefault="00D36C5F" w:rsidP="00110FB9">
            <w:pPr>
              <w:pStyle w:val="Manuscripttabletext"/>
            </w:pPr>
            <w:r>
              <w:rPr>
                <w:lang w:eastAsia="en-GB"/>
              </w:rPr>
              <w:t>Does not connect for endpoint due to lack of placebo data</w:t>
            </w:r>
          </w:p>
        </w:tc>
      </w:tr>
    </w:tbl>
    <w:p w:rsidR="00D36C5F" w:rsidRPr="00D36C5F" w:rsidRDefault="00D36C5F" w:rsidP="00D36C5F">
      <w:pPr>
        <w:pStyle w:val="Manuscriptfootnote"/>
      </w:pPr>
      <w:r w:rsidRPr="002A6448">
        <w:rPr>
          <w:lang w:val="en-US"/>
        </w:rPr>
        <w:t>csDMARD: conventional systemic disease-modifying anti-rheumatic drug</w:t>
      </w:r>
      <w:r>
        <w:rPr>
          <w:lang w:val="en-US"/>
        </w:rPr>
        <w:t>.</w:t>
      </w:r>
    </w:p>
    <w:p w:rsidR="000A3B25" w:rsidRDefault="000A3B25" w:rsidP="000A3B25">
      <w:pPr>
        <w:pStyle w:val="Manuscriptbody"/>
      </w:pPr>
      <w:r>
        <w:rPr>
          <w:lang w:val="en-US"/>
        </w:rPr>
        <w:t xml:space="preserve">Based on data reported from the included articles, PsARC and PASI (≥50, 75, or 90) responses included in the NMA were based on outcomes assessed between </w:t>
      </w:r>
      <w:r>
        <w:rPr>
          <w:lang w:val="en-US"/>
        </w:rPr>
        <w:lastRenderedPageBreak/>
        <w:t xml:space="preserve">Weeks 12 to 16, with those reported at 12 weeks favoured over 16-week results, and both 12- and 16-week results favoured over 14-week results. </w:t>
      </w:r>
      <w:r>
        <w:t>This hierarchy was principally based on frequency of reporting so as to minimise the variance in time points used; the preference for 12-week results also aligns with the use of a three-month induction period in the model.</w:t>
      </w:r>
    </w:p>
    <w:p w:rsidR="000A3B25" w:rsidRDefault="000A3B25" w:rsidP="000A3B25">
      <w:pPr>
        <w:pStyle w:val="Manuscriptbody"/>
        <w:rPr>
          <w:lang w:val="en-US"/>
        </w:rPr>
      </w:pPr>
      <w:r>
        <w:rPr>
          <w:lang w:val="en-US"/>
        </w:rPr>
        <w:t>For each outcome (PsARC and PASI), analyses were performed in a Bayesian framework and a random effects model was preferred to a fixed effects model for both outcomes. Competing models tended to be comparable with respect to goodness-of-fit. However, due to between-trial variability in potential effect modifiers (e.g. duration of PsA, the number of tender and swollen joints, gender proportions, and the way in which trial discontinuations were analysed), random effects models were considered more appropriate. For PsARC a random effects model using a baseline adjustment for placebo effects was used in order to account for the large discrepancies between trials in the placebo response rates for this outcome.</w:t>
      </w:r>
    </w:p>
    <w:p w:rsidR="000A3B25" w:rsidRDefault="00931210" w:rsidP="00931210">
      <w:pPr>
        <w:pStyle w:val="Manuscriptbody"/>
      </w:pPr>
      <w:r>
        <w:t>It was not possible to construct networks for populations based on the number of prior csDMARDs due to the lack of published data for these subpopulations and so the overall trial populations were used instead. A</w:t>
      </w:r>
      <w:r w:rsidR="000A3B25" w:rsidRPr="000A3B25">
        <w:t xml:space="preserve"> total of 13 </w:t>
      </w:r>
      <w:r w:rsidR="000A3B25">
        <w:t xml:space="preserve">and 14 </w:t>
      </w:r>
      <w:r w:rsidR="000A3B25" w:rsidRPr="000A3B25">
        <w:t>trials informed the network</w:t>
      </w:r>
      <w:r w:rsidR="000A3B25">
        <w:t>s</w:t>
      </w:r>
      <w:r w:rsidR="000A3B25" w:rsidRPr="000A3B25">
        <w:t xml:space="preserve"> for PsARC</w:t>
      </w:r>
      <w:r w:rsidR="000A3B25">
        <w:t xml:space="preserve"> and PASI</w:t>
      </w:r>
      <w:r w:rsidR="000A3B25" w:rsidRPr="000A3B25">
        <w:t xml:space="preserve"> responses</w:t>
      </w:r>
      <w:r w:rsidR="000A3B25">
        <w:t>, respectively,</w:t>
      </w:r>
      <w:r w:rsidR="000A3B25" w:rsidRPr="000A3B25">
        <w:t xml:space="preserve"> at Weeks 12 to 16</w:t>
      </w:r>
      <w:r w:rsidR="000A3B25">
        <w:t>, using the overall trial populations. Networks were sparser when only considering data from TNFi-naïve subgroups and did not include all relevant comparators, for example certolizumab pegol was omitted from the network for PsARC and both certolizumab pegol and etanercept were omitted from the network for PASI.</w:t>
      </w:r>
    </w:p>
    <w:p w:rsidR="009A61F9" w:rsidRDefault="009933C9" w:rsidP="005F07A5">
      <w:pPr>
        <w:pStyle w:val="Manuscriptbody"/>
      </w:pPr>
      <w:r>
        <w:t>A similar NMA has</w:t>
      </w:r>
      <w:r w:rsidR="00931210">
        <w:t xml:space="preserve"> been published by McInnes </w:t>
      </w:r>
      <w:r w:rsidR="00931210" w:rsidRPr="00426EA3">
        <w:t>et al.</w:t>
      </w:r>
      <w:r w:rsidR="00931210">
        <w:t xml:space="preserve"> [</w:t>
      </w:r>
      <w:r w:rsidR="00D36C5F">
        <w:t>35</w:t>
      </w:r>
      <w:r w:rsidR="00931210">
        <w:t>].</w:t>
      </w:r>
    </w:p>
    <w:p w:rsidR="00F91AB7" w:rsidRDefault="00F91AB7" w:rsidP="009A61F9">
      <w:pPr>
        <w:pStyle w:val="Manuscriptbody"/>
      </w:pPr>
      <w:r>
        <w:br w:type="page"/>
      </w:r>
    </w:p>
    <w:p w:rsidR="002B72B4" w:rsidRDefault="002B72B4" w:rsidP="002B72B4">
      <w:pPr>
        <w:pStyle w:val="Caption"/>
      </w:pPr>
      <w:r>
        <w:lastRenderedPageBreak/>
        <w:t xml:space="preserve">Table </w:t>
      </w:r>
      <w:bookmarkEnd w:id="4"/>
      <w:r w:rsidR="00F91AB7">
        <w:rPr>
          <w:noProof/>
        </w:rPr>
        <w:t>6</w:t>
      </w:r>
      <w:r w:rsidR="00F91AB7" w:rsidRPr="003A0D24">
        <w:t xml:space="preserve"> </w:t>
      </w:r>
      <w:r>
        <w:t>Derivation of utility values</w:t>
      </w:r>
    </w:p>
    <w:p w:rsidR="002C3B7C" w:rsidRDefault="002C3B7C" w:rsidP="002B72B4">
      <w:pPr>
        <w:pStyle w:val="Manuscriptbody"/>
        <w:rPr>
          <w:lang w:val="en-US"/>
        </w:rPr>
      </w:pPr>
      <w:r>
        <w:rPr>
          <w:lang w:val="en-US"/>
        </w:rPr>
        <w:t xml:space="preserve">Baseline utility in the model was 0.479 for all subpopulations and was based on </w:t>
      </w:r>
      <w:r w:rsidRPr="002C3B7C">
        <w:rPr>
          <w:lang w:val="en-US"/>
        </w:rPr>
        <w:t xml:space="preserve">EuroQol 5-Dimensions (3-Level; EQ-5D-3L) data from </w:t>
      </w:r>
      <w:r>
        <w:rPr>
          <w:lang w:val="en-US"/>
        </w:rPr>
        <w:t xml:space="preserve">all patients included in </w:t>
      </w:r>
      <w:r w:rsidRPr="002C3B7C">
        <w:rPr>
          <w:lang w:val="en-US"/>
        </w:rPr>
        <w:t>FUTURE 2</w:t>
      </w:r>
      <w:r>
        <w:rPr>
          <w:lang w:val="en-US"/>
        </w:rPr>
        <w:t>.</w:t>
      </w:r>
    </w:p>
    <w:p w:rsidR="002B72B4" w:rsidRDefault="002B72B4" w:rsidP="002B72B4">
      <w:pPr>
        <w:pStyle w:val="Manuscriptbody"/>
        <w:rPr>
          <w:lang w:val="en-US"/>
        </w:rPr>
      </w:pPr>
      <w:r w:rsidRPr="003C6E80">
        <w:rPr>
          <w:lang w:val="en-US"/>
        </w:rPr>
        <w:t xml:space="preserve">Patient-level data from the Week 24 analysis of FUTURE 2 was </w:t>
      </w:r>
      <w:r w:rsidR="002C3B7C">
        <w:rPr>
          <w:lang w:val="en-US"/>
        </w:rPr>
        <w:t xml:space="preserve">also </w:t>
      </w:r>
      <w:r w:rsidRPr="003C6E80">
        <w:rPr>
          <w:lang w:val="en-US"/>
        </w:rPr>
        <w:t xml:space="preserve">used to fit a linear mixed model in which EQ-5D utility was considered as a response variable and PASI and HAQ as predictor variables. </w:t>
      </w:r>
      <w:r w:rsidR="008B04AE">
        <w:rPr>
          <w:lang w:val="en-US"/>
        </w:rPr>
        <w:t>Linear models were also employed in previous cost-effectiveness analysis in the UK [</w:t>
      </w:r>
      <w:r w:rsidR="00D36C5F">
        <w:rPr>
          <w:lang w:val="en-US"/>
        </w:rPr>
        <w:t>36</w:t>
      </w:r>
      <w:r w:rsidR="008B04AE">
        <w:rPr>
          <w:lang w:val="en-US"/>
        </w:rPr>
        <w:t xml:space="preserve">, </w:t>
      </w:r>
      <w:r w:rsidR="00D36C5F">
        <w:rPr>
          <w:lang w:val="en-US"/>
        </w:rPr>
        <w:t>37</w:t>
      </w:r>
      <w:r w:rsidR="008B04AE">
        <w:rPr>
          <w:lang w:val="en-US"/>
        </w:rPr>
        <w:t xml:space="preserve">]. </w:t>
      </w:r>
      <w:r w:rsidR="002C1A51">
        <w:rPr>
          <w:lang w:val="en-US"/>
        </w:rPr>
        <w:t xml:space="preserve">Due to the inclusion of PASI in the model the analysis was conducted using observed data from the psoriasis subset (n=192; </w:t>
      </w:r>
      <w:r w:rsidR="002C1A51" w:rsidRPr="003C6E80">
        <w:rPr>
          <w:lang w:val="en-US"/>
        </w:rPr>
        <w:t xml:space="preserve">psoriasis ≥3% </w:t>
      </w:r>
      <w:r w:rsidR="002C1A51">
        <w:rPr>
          <w:lang w:val="en-US"/>
        </w:rPr>
        <w:t xml:space="preserve">body surface area at baseline). </w:t>
      </w:r>
      <w:r w:rsidRPr="003C6E80">
        <w:rPr>
          <w:lang w:val="en-US"/>
        </w:rPr>
        <w:t>Treatment was not considered as a predictor in the model. The effect of correlation within the data was explored using subject as a random effect to account for the within-subject correlation between assessments</w:t>
      </w:r>
      <w:r w:rsidR="008B04AE">
        <w:rPr>
          <w:lang w:val="en-US"/>
        </w:rPr>
        <w:t xml:space="preserve"> and convergence was met</w:t>
      </w:r>
      <w:r w:rsidRPr="003C6E80">
        <w:rPr>
          <w:lang w:val="en-US"/>
        </w:rPr>
        <w:t xml:space="preserve">. EQ-5D utility baseline scores, time (post-baseline analysis visits up to </w:t>
      </w:r>
      <w:r>
        <w:rPr>
          <w:lang w:val="en-US"/>
        </w:rPr>
        <w:t>W</w:t>
      </w:r>
      <w:r w:rsidRPr="003C6E80">
        <w:rPr>
          <w:lang w:val="en-US"/>
        </w:rPr>
        <w:t>eek 24), age, sex, disease duration, and stratification factor (previous TNF</w:t>
      </w:r>
      <w:r>
        <w:rPr>
          <w:lang w:val="en-US"/>
        </w:rPr>
        <w:t>i</w:t>
      </w:r>
      <w:r w:rsidRPr="003C6E80">
        <w:rPr>
          <w:lang w:val="en-US"/>
        </w:rPr>
        <w:t xml:space="preserve"> therapy) were used as covariates and were included in the model as fixed effects.</w:t>
      </w:r>
      <w:r w:rsidR="00C27328">
        <w:rPr>
          <w:lang w:val="en-US"/>
        </w:rPr>
        <w:t xml:space="preserve"> The inclusion of baseline characteristics in the linear model in addition to HAQ and PASI was seen to improve the model fit compared to PASI and HAQ only (</w:t>
      </w:r>
      <w:r w:rsidR="00C27328" w:rsidRPr="00C27328">
        <w:rPr>
          <w:lang w:val="en-US"/>
        </w:rPr>
        <w:t>Akaike information criterion</w:t>
      </w:r>
      <w:r w:rsidR="00C27328">
        <w:rPr>
          <w:lang w:val="en-US"/>
        </w:rPr>
        <w:t xml:space="preserve"> [AIC]: </w:t>
      </w:r>
      <w:r w:rsidR="00C27328" w:rsidRPr="00C27328">
        <w:rPr>
          <w:lang w:val="en-US"/>
        </w:rPr>
        <w:t>-782.3</w:t>
      </w:r>
      <w:r w:rsidR="00C27328">
        <w:rPr>
          <w:lang w:val="en-US"/>
        </w:rPr>
        <w:t xml:space="preserve"> on inclusion of baseline characteristics versus -</w:t>
      </w:r>
      <w:r w:rsidR="00C27328" w:rsidRPr="00C27328">
        <w:rPr>
          <w:lang w:val="en-US"/>
        </w:rPr>
        <w:t>710.2</w:t>
      </w:r>
      <w:r w:rsidR="00C27328">
        <w:rPr>
          <w:lang w:val="en-US"/>
        </w:rPr>
        <w:t xml:space="preserve"> PASI and HAQ only).</w:t>
      </w:r>
    </w:p>
    <w:p w:rsidR="002B72B4" w:rsidRDefault="002B72B4" w:rsidP="002B72B4">
      <w:pPr>
        <w:pStyle w:val="Manuscriptbody"/>
        <w:rPr>
          <w:lang w:val="en-US"/>
        </w:rPr>
      </w:pPr>
      <w:r w:rsidRPr="003C6E80">
        <w:rPr>
          <w:lang w:val="en-US"/>
        </w:rPr>
        <w:t xml:space="preserve">For the cost-effectiveness </w:t>
      </w:r>
      <w:r>
        <w:rPr>
          <w:lang w:val="en-US"/>
        </w:rPr>
        <w:t>model</w:t>
      </w:r>
      <w:r w:rsidRPr="003C6E80">
        <w:rPr>
          <w:lang w:val="en-US"/>
        </w:rPr>
        <w:t xml:space="preserve"> the non-significant parameters (time since first PsA diagnosis and analysis week) were not included</w:t>
      </w:r>
      <w:r>
        <w:rPr>
          <w:lang w:val="en-US"/>
        </w:rPr>
        <w:t xml:space="preserve">. </w:t>
      </w:r>
      <w:r w:rsidRPr="003C6E80">
        <w:rPr>
          <w:lang w:val="en-US"/>
        </w:rPr>
        <w:t xml:space="preserve">A linear mixed model was also conducted with an interaction term for HAQ × PASI, however, the interaction between HAQ and PASI was not found to be significant (p=0.2966) and so was not </w:t>
      </w:r>
      <w:r w:rsidR="00A15F17">
        <w:rPr>
          <w:lang w:val="en-US"/>
        </w:rPr>
        <w:t>included</w:t>
      </w:r>
      <w:r w:rsidR="00A15F17" w:rsidRPr="003C6E80">
        <w:rPr>
          <w:lang w:val="en-US"/>
        </w:rPr>
        <w:t xml:space="preserve"> </w:t>
      </w:r>
      <w:r w:rsidRPr="003C6E80">
        <w:rPr>
          <w:lang w:val="en-US"/>
        </w:rPr>
        <w:t>in the model used in the cost-effectiveness analysis</w:t>
      </w:r>
      <w:r w:rsidR="002C3B7C">
        <w:rPr>
          <w:lang w:val="en-US"/>
        </w:rPr>
        <w:t>.</w:t>
      </w:r>
    </w:p>
    <w:p w:rsidR="002B72B4" w:rsidRDefault="002B72B4" w:rsidP="003D2253">
      <w:pPr>
        <w:pStyle w:val="Caption"/>
        <w:pageBreakBefore/>
      </w:pPr>
    </w:p>
    <w:tbl>
      <w:tblPr>
        <w:tblStyle w:val="TableGrid"/>
        <w:tblW w:w="5000" w:type="pct"/>
        <w:tblLook w:val="04A0" w:firstRow="1" w:lastRow="0" w:firstColumn="1" w:lastColumn="0" w:noHBand="0" w:noVBand="1"/>
      </w:tblPr>
      <w:tblGrid>
        <w:gridCol w:w="2892"/>
        <w:gridCol w:w="2891"/>
        <w:gridCol w:w="2892"/>
      </w:tblGrid>
      <w:tr w:rsidR="002B72B4" w:rsidTr="003E4C4A">
        <w:tc>
          <w:tcPr>
            <w:tcW w:w="1666" w:type="pct"/>
            <w:shd w:val="clear" w:color="auto" w:fill="BFBFBF" w:themeFill="background1" w:themeFillShade="BF"/>
          </w:tcPr>
          <w:p w:rsidR="002B72B4" w:rsidRDefault="002B72B4" w:rsidP="001E7CAE">
            <w:pPr>
              <w:pStyle w:val="Manuscripttableheading"/>
              <w:rPr>
                <w:lang w:val="en-US"/>
              </w:rPr>
            </w:pPr>
            <w:r>
              <w:rPr>
                <w:lang w:val="en-US"/>
              </w:rPr>
              <w:t>Parameter</w:t>
            </w:r>
          </w:p>
        </w:tc>
        <w:tc>
          <w:tcPr>
            <w:tcW w:w="1666" w:type="pct"/>
            <w:shd w:val="clear" w:color="auto" w:fill="BFBFBF" w:themeFill="background1" w:themeFillShade="BF"/>
          </w:tcPr>
          <w:p w:rsidR="002B72B4" w:rsidRDefault="002B72B4" w:rsidP="001E7CAE">
            <w:pPr>
              <w:pStyle w:val="Manuscripttableheading"/>
              <w:rPr>
                <w:lang w:val="en-US"/>
              </w:rPr>
            </w:pPr>
            <w:r>
              <w:rPr>
                <w:lang w:val="en-US"/>
              </w:rPr>
              <w:t>Estimate (SE)</w:t>
            </w:r>
          </w:p>
        </w:tc>
        <w:tc>
          <w:tcPr>
            <w:tcW w:w="1667" w:type="pct"/>
            <w:shd w:val="clear" w:color="auto" w:fill="BFBFBF" w:themeFill="background1" w:themeFillShade="BF"/>
          </w:tcPr>
          <w:p w:rsidR="002B72B4" w:rsidRDefault="002B72B4" w:rsidP="001E7CAE">
            <w:pPr>
              <w:pStyle w:val="Manuscripttableheading"/>
              <w:rPr>
                <w:lang w:val="en-US"/>
              </w:rPr>
            </w:pPr>
            <w:r>
              <w:rPr>
                <w:lang w:val="en-US"/>
              </w:rPr>
              <w:t>95% CI</w:t>
            </w:r>
          </w:p>
        </w:tc>
      </w:tr>
      <w:tr w:rsidR="002B72B4" w:rsidTr="003E4C4A">
        <w:tc>
          <w:tcPr>
            <w:tcW w:w="1666" w:type="pct"/>
          </w:tcPr>
          <w:p w:rsidR="002B72B4" w:rsidRDefault="002B72B4" w:rsidP="001E7CAE">
            <w:pPr>
              <w:pStyle w:val="Manuscripttableheading"/>
              <w:rPr>
                <w:lang w:val="en-US"/>
              </w:rPr>
            </w:pPr>
            <w:r>
              <w:rPr>
                <w:lang w:val="en-US"/>
              </w:rPr>
              <w:t>Intercept</w:t>
            </w:r>
          </w:p>
        </w:tc>
        <w:tc>
          <w:tcPr>
            <w:tcW w:w="1666" w:type="pct"/>
          </w:tcPr>
          <w:p w:rsidR="002B72B4" w:rsidRPr="00733E3A" w:rsidRDefault="002B72B4" w:rsidP="001E7CAE">
            <w:pPr>
              <w:pStyle w:val="Manuscripttabletext"/>
              <w:rPr>
                <w:lang w:val="en-US"/>
              </w:rPr>
            </w:pPr>
            <w:r w:rsidRPr="00733E3A">
              <w:rPr>
                <w:lang w:val="en-US"/>
              </w:rPr>
              <w:t>0.839 (0.0466)</w:t>
            </w:r>
          </w:p>
        </w:tc>
        <w:tc>
          <w:tcPr>
            <w:tcW w:w="1667" w:type="pct"/>
          </w:tcPr>
          <w:p w:rsidR="002B72B4" w:rsidRPr="00733E3A" w:rsidRDefault="002B72B4" w:rsidP="001E7CAE">
            <w:pPr>
              <w:pStyle w:val="Manuscripttabletext"/>
              <w:rPr>
                <w:lang w:val="en-US"/>
              </w:rPr>
            </w:pPr>
            <w:r w:rsidRPr="00733E3A">
              <w:rPr>
                <w:lang w:val="en-US"/>
              </w:rPr>
              <w:t>0.747, 0.931</w:t>
            </w:r>
          </w:p>
        </w:tc>
      </w:tr>
      <w:tr w:rsidR="002B72B4" w:rsidTr="003E4C4A">
        <w:tc>
          <w:tcPr>
            <w:tcW w:w="1666" w:type="pct"/>
          </w:tcPr>
          <w:p w:rsidR="002B72B4" w:rsidRDefault="002B72B4" w:rsidP="001E7CAE">
            <w:pPr>
              <w:pStyle w:val="Manuscripttableheading"/>
              <w:rPr>
                <w:lang w:val="en-US"/>
              </w:rPr>
            </w:pPr>
            <w:r>
              <w:rPr>
                <w:lang w:val="en-US"/>
              </w:rPr>
              <w:t>PASI total score</w:t>
            </w:r>
          </w:p>
        </w:tc>
        <w:tc>
          <w:tcPr>
            <w:tcW w:w="1666" w:type="pct"/>
          </w:tcPr>
          <w:p w:rsidR="002B72B4" w:rsidRPr="00733E3A" w:rsidRDefault="002B72B4" w:rsidP="001E7CAE">
            <w:pPr>
              <w:pStyle w:val="Manuscripttabletext"/>
              <w:rPr>
                <w:lang w:val="en-US"/>
              </w:rPr>
            </w:pPr>
            <w:r w:rsidRPr="00733E3A">
              <w:rPr>
                <w:lang w:val="en-US"/>
              </w:rPr>
              <w:t>-0.002 (0.0012)</w:t>
            </w:r>
          </w:p>
        </w:tc>
        <w:tc>
          <w:tcPr>
            <w:tcW w:w="1667" w:type="pct"/>
          </w:tcPr>
          <w:p w:rsidR="002B72B4" w:rsidRPr="00733E3A" w:rsidRDefault="002B72B4" w:rsidP="001E7CAE">
            <w:pPr>
              <w:pStyle w:val="Manuscripttabletext"/>
              <w:rPr>
                <w:lang w:val="en-US"/>
              </w:rPr>
            </w:pPr>
            <w:r w:rsidRPr="00733E3A">
              <w:rPr>
                <w:lang w:val="en-US"/>
              </w:rPr>
              <w:t>-0.004, 0.000</w:t>
            </w:r>
          </w:p>
        </w:tc>
      </w:tr>
      <w:tr w:rsidR="002B72B4" w:rsidTr="003E4C4A">
        <w:tc>
          <w:tcPr>
            <w:tcW w:w="1666" w:type="pct"/>
          </w:tcPr>
          <w:p w:rsidR="002B72B4" w:rsidRDefault="002B72B4" w:rsidP="001E7CAE">
            <w:pPr>
              <w:pStyle w:val="Manuscripttableheading"/>
              <w:rPr>
                <w:lang w:val="en-US"/>
              </w:rPr>
            </w:pPr>
            <w:r>
              <w:rPr>
                <w:lang w:val="en-US"/>
              </w:rPr>
              <w:t>HAQ score</w:t>
            </w:r>
          </w:p>
        </w:tc>
        <w:tc>
          <w:tcPr>
            <w:tcW w:w="1666" w:type="pct"/>
          </w:tcPr>
          <w:p w:rsidR="002B72B4" w:rsidRPr="00733E3A" w:rsidRDefault="002B72B4" w:rsidP="001E7CAE">
            <w:pPr>
              <w:pStyle w:val="Manuscripttabletext"/>
              <w:rPr>
                <w:lang w:val="en-US"/>
              </w:rPr>
            </w:pPr>
            <w:r w:rsidRPr="00733E3A">
              <w:rPr>
                <w:lang w:val="en-US"/>
              </w:rPr>
              <w:t>-0.172 (0.0154)</w:t>
            </w:r>
          </w:p>
        </w:tc>
        <w:tc>
          <w:tcPr>
            <w:tcW w:w="1667" w:type="pct"/>
          </w:tcPr>
          <w:p w:rsidR="002B72B4" w:rsidRPr="00733E3A" w:rsidRDefault="002B72B4" w:rsidP="001E7CAE">
            <w:pPr>
              <w:pStyle w:val="Manuscripttabletext"/>
              <w:rPr>
                <w:lang w:val="en-US"/>
              </w:rPr>
            </w:pPr>
            <w:r w:rsidRPr="00733E3A">
              <w:rPr>
                <w:lang w:val="en-US"/>
              </w:rPr>
              <w:t>-0.202, -0.141</w:t>
            </w:r>
          </w:p>
        </w:tc>
      </w:tr>
      <w:tr w:rsidR="002B72B4" w:rsidTr="003E4C4A">
        <w:tc>
          <w:tcPr>
            <w:tcW w:w="1666" w:type="pct"/>
          </w:tcPr>
          <w:p w:rsidR="002B72B4" w:rsidRDefault="002B72B4" w:rsidP="001E7CAE">
            <w:pPr>
              <w:pStyle w:val="Manuscripttableheading"/>
              <w:rPr>
                <w:lang w:val="en-US"/>
              </w:rPr>
            </w:pPr>
            <w:r>
              <w:rPr>
                <w:lang w:val="en-US"/>
              </w:rPr>
              <w:t>Baseline EQ-5D</w:t>
            </w:r>
          </w:p>
        </w:tc>
        <w:tc>
          <w:tcPr>
            <w:tcW w:w="1666" w:type="pct"/>
          </w:tcPr>
          <w:p w:rsidR="002B72B4" w:rsidRPr="00733E3A" w:rsidRDefault="002B72B4" w:rsidP="001E7CAE">
            <w:pPr>
              <w:pStyle w:val="Manuscripttabletext"/>
              <w:rPr>
                <w:lang w:val="en-US"/>
              </w:rPr>
            </w:pPr>
            <w:r w:rsidRPr="00733E3A">
              <w:rPr>
                <w:lang w:val="en-US"/>
              </w:rPr>
              <w:t>0.210 (0.0360)</w:t>
            </w:r>
          </w:p>
        </w:tc>
        <w:tc>
          <w:tcPr>
            <w:tcW w:w="1667" w:type="pct"/>
          </w:tcPr>
          <w:p w:rsidR="002B72B4" w:rsidRPr="00733E3A" w:rsidRDefault="002B72B4" w:rsidP="001E7CAE">
            <w:pPr>
              <w:pStyle w:val="Manuscripttabletext"/>
              <w:rPr>
                <w:lang w:val="en-US"/>
              </w:rPr>
            </w:pPr>
            <w:r w:rsidRPr="00733E3A">
              <w:rPr>
                <w:lang w:val="en-US"/>
              </w:rPr>
              <w:t>0.140</w:t>
            </w:r>
            <w:r>
              <w:rPr>
                <w:lang w:val="en-US"/>
              </w:rPr>
              <w:t>,</w:t>
            </w:r>
            <w:r w:rsidRPr="00733E3A">
              <w:rPr>
                <w:lang w:val="en-US"/>
              </w:rPr>
              <w:t xml:space="preserve"> 0.281</w:t>
            </w:r>
          </w:p>
        </w:tc>
      </w:tr>
      <w:tr w:rsidR="002B72B4" w:rsidTr="003E4C4A">
        <w:tc>
          <w:tcPr>
            <w:tcW w:w="1666" w:type="pct"/>
          </w:tcPr>
          <w:p w:rsidR="002B72B4" w:rsidRDefault="002B72B4" w:rsidP="001E7CAE">
            <w:pPr>
              <w:pStyle w:val="Manuscripttableheading"/>
              <w:rPr>
                <w:lang w:val="en-US"/>
              </w:rPr>
            </w:pPr>
            <w:r>
              <w:rPr>
                <w:lang w:val="en-US"/>
              </w:rPr>
              <w:t>TNFi status</w:t>
            </w:r>
          </w:p>
        </w:tc>
        <w:tc>
          <w:tcPr>
            <w:tcW w:w="1666" w:type="pct"/>
          </w:tcPr>
          <w:p w:rsidR="002B72B4" w:rsidRPr="00733E3A" w:rsidRDefault="002B72B4" w:rsidP="001E7CAE">
            <w:pPr>
              <w:pStyle w:val="Manuscripttabletext"/>
              <w:rPr>
                <w:lang w:val="en-US"/>
              </w:rPr>
            </w:pPr>
          </w:p>
        </w:tc>
        <w:tc>
          <w:tcPr>
            <w:tcW w:w="1667" w:type="pct"/>
          </w:tcPr>
          <w:p w:rsidR="002B72B4" w:rsidRPr="00733E3A" w:rsidRDefault="002B72B4" w:rsidP="001E7CAE">
            <w:pPr>
              <w:pStyle w:val="Manuscripttabletext"/>
              <w:rPr>
                <w:lang w:val="en-US"/>
              </w:rPr>
            </w:pPr>
          </w:p>
        </w:tc>
      </w:tr>
      <w:tr w:rsidR="002B72B4" w:rsidTr="003E4C4A">
        <w:tc>
          <w:tcPr>
            <w:tcW w:w="1666" w:type="pct"/>
          </w:tcPr>
          <w:p w:rsidR="002B72B4" w:rsidRDefault="002B72B4" w:rsidP="001E7CAE">
            <w:pPr>
              <w:pStyle w:val="Manuscripttabletext"/>
              <w:ind w:left="170"/>
              <w:rPr>
                <w:lang w:val="en-US"/>
              </w:rPr>
            </w:pPr>
            <w:r>
              <w:rPr>
                <w:lang w:val="en-US"/>
              </w:rPr>
              <w:t>Inadequate responder</w:t>
            </w:r>
          </w:p>
        </w:tc>
        <w:tc>
          <w:tcPr>
            <w:tcW w:w="1666" w:type="pct"/>
          </w:tcPr>
          <w:p w:rsidR="002B72B4" w:rsidRPr="00733E3A" w:rsidRDefault="002B72B4" w:rsidP="001E7CAE">
            <w:pPr>
              <w:pStyle w:val="Manuscripttabletext"/>
              <w:rPr>
                <w:lang w:val="en-US"/>
              </w:rPr>
            </w:pPr>
            <w:r w:rsidRPr="00733E3A">
              <w:rPr>
                <w:lang w:val="en-US"/>
              </w:rPr>
              <w:t>-0.008 (0.0208)</w:t>
            </w:r>
          </w:p>
        </w:tc>
        <w:tc>
          <w:tcPr>
            <w:tcW w:w="1667" w:type="pct"/>
          </w:tcPr>
          <w:p w:rsidR="002B72B4" w:rsidRPr="00733E3A" w:rsidRDefault="002B72B4" w:rsidP="001E7CAE">
            <w:pPr>
              <w:pStyle w:val="Manuscripttabletext"/>
              <w:rPr>
                <w:lang w:val="en-US"/>
              </w:rPr>
            </w:pPr>
            <w:r w:rsidRPr="00733E3A">
              <w:rPr>
                <w:lang w:val="en-US"/>
              </w:rPr>
              <w:t>-0.049, 0.033</w:t>
            </w:r>
          </w:p>
        </w:tc>
      </w:tr>
      <w:tr w:rsidR="002B72B4" w:rsidTr="003E4C4A">
        <w:tc>
          <w:tcPr>
            <w:tcW w:w="1666" w:type="pct"/>
          </w:tcPr>
          <w:p w:rsidR="002B72B4" w:rsidRDefault="002B72B4" w:rsidP="001E7CAE">
            <w:pPr>
              <w:pStyle w:val="Manuscripttabletext"/>
              <w:ind w:left="170"/>
              <w:rPr>
                <w:lang w:val="en-US"/>
              </w:rPr>
            </w:pPr>
            <w:r>
              <w:rPr>
                <w:lang w:val="en-US"/>
              </w:rPr>
              <w:t xml:space="preserve">Naïve </w:t>
            </w:r>
          </w:p>
        </w:tc>
        <w:tc>
          <w:tcPr>
            <w:tcW w:w="1666" w:type="pct"/>
          </w:tcPr>
          <w:p w:rsidR="002B72B4" w:rsidRPr="00733E3A" w:rsidRDefault="002B72B4" w:rsidP="001E7CAE">
            <w:pPr>
              <w:pStyle w:val="Manuscripttabletext"/>
              <w:rPr>
                <w:lang w:val="en-US"/>
              </w:rPr>
            </w:pPr>
            <w:r w:rsidRPr="00733E3A">
              <w:rPr>
                <w:lang w:val="en-US"/>
              </w:rPr>
              <w:t>Reference</w:t>
            </w:r>
          </w:p>
        </w:tc>
        <w:tc>
          <w:tcPr>
            <w:tcW w:w="1667" w:type="pct"/>
          </w:tcPr>
          <w:p w:rsidR="002B72B4" w:rsidRPr="00733E3A" w:rsidRDefault="002B72B4" w:rsidP="001E7CAE">
            <w:pPr>
              <w:pStyle w:val="Manuscripttabletext"/>
              <w:rPr>
                <w:lang w:val="en-US"/>
              </w:rPr>
            </w:pPr>
          </w:p>
        </w:tc>
      </w:tr>
      <w:tr w:rsidR="002B72B4" w:rsidTr="003E4C4A">
        <w:tc>
          <w:tcPr>
            <w:tcW w:w="1666" w:type="pct"/>
          </w:tcPr>
          <w:p w:rsidR="002B72B4" w:rsidRDefault="002B72B4" w:rsidP="001E7CAE">
            <w:pPr>
              <w:pStyle w:val="Manuscripttableheading"/>
              <w:rPr>
                <w:lang w:val="en-US"/>
              </w:rPr>
            </w:pPr>
            <w:r>
              <w:rPr>
                <w:lang w:val="en-US"/>
              </w:rPr>
              <w:t>Sex</w:t>
            </w:r>
          </w:p>
        </w:tc>
        <w:tc>
          <w:tcPr>
            <w:tcW w:w="1666" w:type="pct"/>
          </w:tcPr>
          <w:p w:rsidR="002B72B4" w:rsidRPr="00733E3A" w:rsidRDefault="002B72B4" w:rsidP="001E7CAE">
            <w:pPr>
              <w:pStyle w:val="Manuscripttabletext"/>
              <w:rPr>
                <w:lang w:val="en-US"/>
              </w:rPr>
            </w:pPr>
          </w:p>
        </w:tc>
        <w:tc>
          <w:tcPr>
            <w:tcW w:w="1667" w:type="pct"/>
          </w:tcPr>
          <w:p w:rsidR="002B72B4" w:rsidRPr="00733E3A" w:rsidRDefault="002B72B4" w:rsidP="001E7CAE">
            <w:pPr>
              <w:pStyle w:val="Manuscripttabletext"/>
              <w:rPr>
                <w:lang w:val="en-US"/>
              </w:rPr>
            </w:pPr>
          </w:p>
        </w:tc>
      </w:tr>
      <w:tr w:rsidR="002B72B4" w:rsidTr="003E4C4A">
        <w:tc>
          <w:tcPr>
            <w:tcW w:w="1666" w:type="pct"/>
          </w:tcPr>
          <w:p w:rsidR="002B72B4" w:rsidRDefault="002B72B4" w:rsidP="001E7CAE">
            <w:pPr>
              <w:pStyle w:val="Manuscripttabletext"/>
              <w:ind w:left="170"/>
              <w:rPr>
                <w:lang w:val="en-US"/>
              </w:rPr>
            </w:pPr>
            <w:r>
              <w:rPr>
                <w:lang w:val="en-US"/>
              </w:rPr>
              <w:t>Male</w:t>
            </w:r>
          </w:p>
        </w:tc>
        <w:tc>
          <w:tcPr>
            <w:tcW w:w="1666" w:type="pct"/>
          </w:tcPr>
          <w:p w:rsidR="002B72B4" w:rsidRPr="00733E3A" w:rsidRDefault="002B72B4" w:rsidP="001E7CAE">
            <w:pPr>
              <w:pStyle w:val="Manuscripttabletext"/>
              <w:rPr>
                <w:lang w:val="en-US"/>
              </w:rPr>
            </w:pPr>
            <w:r w:rsidRPr="00733E3A">
              <w:rPr>
                <w:lang w:val="en-US"/>
              </w:rPr>
              <w:t>-0.019 (0.0202)</w:t>
            </w:r>
          </w:p>
        </w:tc>
        <w:tc>
          <w:tcPr>
            <w:tcW w:w="1667" w:type="pct"/>
          </w:tcPr>
          <w:p w:rsidR="002B72B4" w:rsidRPr="00733E3A" w:rsidRDefault="002B72B4" w:rsidP="001E7CAE">
            <w:pPr>
              <w:pStyle w:val="Manuscripttabletext"/>
              <w:rPr>
                <w:lang w:val="en-US"/>
              </w:rPr>
            </w:pPr>
            <w:r w:rsidRPr="00733E3A">
              <w:rPr>
                <w:lang w:val="en-US"/>
              </w:rPr>
              <w:t>-0.059, 0.021</w:t>
            </w:r>
          </w:p>
        </w:tc>
      </w:tr>
      <w:tr w:rsidR="002B72B4" w:rsidTr="003E4C4A">
        <w:tc>
          <w:tcPr>
            <w:tcW w:w="1666" w:type="pct"/>
          </w:tcPr>
          <w:p w:rsidR="002B72B4" w:rsidRDefault="002B72B4" w:rsidP="001E7CAE">
            <w:pPr>
              <w:pStyle w:val="Manuscripttabletext"/>
              <w:ind w:left="170"/>
              <w:rPr>
                <w:lang w:val="en-US"/>
              </w:rPr>
            </w:pPr>
            <w:r>
              <w:rPr>
                <w:lang w:val="en-US"/>
              </w:rPr>
              <w:t>Female</w:t>
            </w:r>
          </w:p>
        </w:tc>
        <w:tc>
          <w:tcPr>
            <w:tcW w:w="1666" w:type="pct"/>
          </w:tcPr>
          <w:p w:rsidR="002B72B4" w:rsidRPr="00733E3A" w:rsidRDefault="002B72B4" w:rsidP="001E7CAE">
            <w:pPr>
              <w:pStyle w:val="Manuscripttabletext"/>
              <w:rPr>
                <w:lang w:val="en-US"/>
              </w:rPr>
            </w:pPr>
            <w:r w:rsidRPr="00733E3A">
              <w:rPr>
                <w:lang w:val="en-US"/>
              </w:rPr>
              <w:t>Reference</w:t>
            </w:r>
          </w:p>
        </w:tc>
        <w:tc>
          <w:tcPr>
            <w:tcW w:w="1667" w:type="pct"/>
          </w:tcPr>
          <w:p w:rsidR="002B72B4" w:rsidRPr="00733E3A" w:rsidRDefault="002B72B4" w:rsidP="001E7CAE">
            <w:pPr>
              <w:pStyle w:val="Manuscripttabletext"/>
              <w:rPr>
                <w:lang w:val="en-US"/>
              </w:rPr>
            </w:pPr>
          </w:p>
        </w:tc>
      </w:tr>
      <w:tr w:rsidR="002B72B4" w:rsidTr="003E4C4A">
        <w:tc>
          <w:tcPr>
            <w:tcW w:w="1666" w:type="pct"/>
          </w:tcPr>
          <w:p w:rsidR="002B72B4" w:rsidRDefault="002B72B4" w:rsidP="001E7CAE">
            <w:pPr>
              <w:pStyle w:val="Manuscripttableheading"/>
              <w:rPr>
                <w:lang w:val="en-US"/>
              </w:rPr>
            </w:pPr>
            <w:r>
              <w:rPr>
                <w:lang w:val="en-US"/>
              </w:rPr>
              <w:t>Age (years)</w:t>
            </w:r>
          </w:p>
        </w:tc>
        <w:tc>
          <w:tcPr>
            <w:tcW w:w="1666" w:type="pct"/>
          </w:tcPr>
          <w:p w:rsidR="002B72B4" w:rsidRPr="00733E3A" w:rsidRDefault="002B72B4" w:rsidP="001E7CAE">
            <w:pPr>
              <w:pStyle w:val="Manuscripttabletext"/>
              <w:rPr>
                <w:lang w:val="en-US"/>
              </w:rPr>
            </w:pPr>
            <w:r w:rsidRPr="00733E3A">
              <w:rPr>
                <w:lang w:val="en-US"/>
              </w:rPr>
              <w:t>-0.003 (0.0008)</w:t>
            </w:r>
          </w:p>
        </w:tc>
        <w:tc>
          <w:tcPr>
            <w:tcW w:w="1667" w:type="pct"/>
          </w:tcPr>
          <w:p w:rsidR="002B72B4" w:rsidRPr="00733E3A" w:rsidRDefault="002B72B4" w:rsidP="001E7CAE">
            <w:pPr>
              <w:pStyle w:val="Manuscripttabletext"/>
              <w:rPr>
                <w:lang w:val="en-US"/>
              </w:rPr>
            </w:pPr>
            <w:r w:rsidRPr="00733E3A">
              <w:rPr>
                <w:lang w:val="en-US"/>
              </w:rPr>
              <w:t>-0.004, -0.001</w:t>
            </w:r>
          </w:p>
        </w:tc>
      </w:tr>
      <w:tr w:rsidR="002B72B4" w:rsidTr="003E4C4A">
        <w:tc>
          <w:tcPr>
            <w:tcW w:w="1666" w:type="pct"/>
          </w:tcPr>
          <w:p w:rsidR="002B72B4" w:rsidRDefault="002B72B4" w:rsidP="001E7CAE">
            <w:pPr>
              <w:pStyle w:val="Manuscripttableheading"/>
              <w:rPr>
                <w:lang w:val="en-US"/>
              </w:rPr>
            </w:pPr>
            <w:r>
              <w:rPr>
                <w:lang w:val="en-US"/>
              </w:rPr>
              <w:t>Time since PsA diagnosis (years)</w:t>
            </w:r>
          </w:p>
        </w:tc>
        <w:tc>
          <w:tcPr>
            <w:tcW w:w="1666" w:type="pct"/>
          </w:tcPr>
          <w:p w:rsidR="002B72B4" w:rsidRPr="00733E3A" w:rsidRDefault="002B72B4" w:rsidP="001E7CAE">
            <w:pPr>
              <w:pStyle w:val="Manuscripttabletext"/>
              <w:rPr>
                <w:lang w:val="en-US"/>
              </w:rPr>
            </w:pPr>
            <w:r w:rsidRPr="00733E3A">
              <w:rPr>
                <w:lang w:val="en-US"/>
              </w:rPr>
              <w:t>0.000 (0.0012)</w:t>
            </w:r>
          </w:p>
        </w:tc>
        <w:tc>
          <w:tcPr>
            <w:tcW w:w="1667" w:type="pct"/>
          </w:tcPr>
          <w:p w:rsidR="002B72B4" w:rsidRPr="00733E3A" w:rsidRDefault="002B72B4" w:rsidP="001E7CAE">
            <w:pPr>
              <w:pStyle w:val="Manuscripttabletext"/>
              <w:rPr>
                <w:lang w:val="en-US"/>
              </w:rPr>
            </w:pPr>
            <w:r w:rsidRPr="00733E3A">
              <w:rPr>
                <w:lang w:val="en-US"/>
              </w:rPr>
              <w:t>-0.002</w:t>
            </w:r>
            <w:r>
              <w:rPr>
                <w:lang w:val="en-US"/>
              </w:rPr>
              <w:t>,</w:t>
            </w:r>
            <w:r w:rsidRPr="00733E3A">
              <w:rPr>
                <w:lang w:val="en-US"/>
              </w:rPr>
              <w:t xml:space="preserve"> 0.002</w:t>
            </w:r>
          </w:p>
        </w:tc>
      </w:tr>
      <w:tr w:rsidR="002B72B4" w:rsidTr="003E4C4A">
        <w:tc>
          <w:tcPr>
            <w:tcW w:w="1666" w:type="pct"/>
          </w:tcPr>
          <w:p w:rsidR="002B72B4" w:rsidRDefault="002B72B4" w:rsidP="001E7CAE">
            <w:pPr>
              <w:pStyle w:val="Manuscripttableheading"/>
              <w:rPr>
                <w:lang w:val="en-US"/>
              </w:rPr>
            </w:pPr>
            <w:r>
              <w:rPr>
                <w:lang w:val="en-US"/>
              </w:rPr>
              <w:t>Analysis week</w:t>
            </w:r>
          </w:p>
        </w:tc>
        <w:tc>
          <w:tcPr>
            <w:tcW w:w="1666" w:type="pct"/>
          </w:tcPr>
          <w:p w:rsidR="002B72B4" w:rsidRPr="00733E3A" w:rsidRDefault="002B72B4" w:rsidP="001E7CAE">
            <w:pPr>
              <w:pStyle w:val="Manuscripttabletext"/>
              <w:rPr>
                <w:lang w:val="en-US"/>
              </w:rPr>
            </w:pPr>
          </w:p>
        </w:tc>
        <w:tc>
          <w:tcPr>
            <w:tcW w:w="1667" w:type="pct"/>
          </w:tcPr>
          <w:p w:rsidR="002B72B4" w:rsidRPr="00733E3A" w:rsidRDefault="002B72B4" w:rsidP="001E7CAE">
            <w:pPr>
              <w:pStyle w:val="Manuscripttabletext"/>
              <w:rPr>
                <w:lang w:val="en-US"/>
              </w:rPr>
            </w:pPr>
          </w:p>
        </w:tc>
      </w:tr>
      <w:tr w:rsidR="002B72B4" w:rsidTr="003E4C4A">
        <w:tc>
          <w:tcPr>
            <w:tcW w:w="1666" w:type="pct"/>
          </w:tcPr>
          <w:p w:rsidR="002B72B4" w:rsidRDefault="002B72B4" w:rsidP="001E7CAE">
            <w:pPr>
              <w:pStyle w:val="Manuscripttabletext"/>
              <w:ind w:left="170"/>
              <w:rPr>
                <w:lang w:val="en-US"/>
              </w:rPr>
            </w:pPr>
            <w:r>
              <w:rPr>
                <w:lang w:val="en-US"/>
              </w:rPr>
              <w:t>Week 4</w:t>
            </w:r>
          </w:p>
        </w:tc>
        <w:tc>
          <w:tcPr>
            <w:tcW w:w="1666" w:type="pct"/>
          </w:tcPr>
          <w:p w:rsidR="002B72B4" w:rsidRPr="00733E3A" w:rsidRDefault="002B72B4" w:rsidP="001E7CAE">
            <w:pPr>
              <w:pStyle w:val="Manuscripttabletext"/>
              <w:rPr>
                <w:lang w:val="en-US"/>
              </w:rPr>
            </w:pPr>
            <w:r w:rsidRPr="00733E3A">
              <w:rPr>
                <w:lang w:val="en-US"/>
              </w:rPr>
              <w:t>-0.005 (0.0145)</w:t>
            </w:r>
          </w:p>
        </w:tc>
        <w:tc>
          <w:tcPr>
            <w:tcW w:w="1667" w:type="pct"/>
          </w:tcPr>
          <w:p w:rsidR="002B72B4" w:rsidRPr="00733E3A" w:rsidRDefault="002B72B4" w:rsidP="001E7CAE">
            <w:pPr>
              <w:pStyle w:val="Manuscripttabletext"/>
              <w:rPr>
                <w:lang w:val="en-US"/>
              </w:rPr>
            </w:pPr>
            <w:r w:rsidRPr="00733E3A">
              <w:rPr>
                <w:lang w:val="en-US"/>
              </w:rPr>
              <w:t>-0.034, 0.023</w:t>
            </w:r>
          </w:p>
        </w:tc>
      </w:tr>
      <w:tr w:rsidR="002B72B4" w:rsidTr="003E4C4A">
        <w:tc>
          <w:tcPr>
            <w:tcW w:w="1666" w:type="pct"/>
          </w:tcPr>
          <w:p w:rsidR="002B72B4" w:rsidRDefault="002B72B4" w:rsidP="001E7CAE">
            <w:pPr>
              <w:pStyle w:val="Manuscripttabletext"/>
              <w:ind w:left="170"/>
              <w:rPr>
                <w:lang w:val="en-US"/>
              </w:rPr>
            </w:pPr>
            <w:r>
              <w:rPr>
                <w:lang w:val="en-US"/>
              </w:rPr>
              <w:t>Week 8</w:t>
            </w:r>
          </w:p>
        </w:tc>
        <w:tc>
          <w:tcPr>
            <w:tcW w:w="1666" w:type="pct"/>
          </w:tcPr>
          <w:p w:rsidR="002B72B4" w:rsidRPr="00733E3A" w:rsidRDefault="002B72B4" w:rsidP="001E7CAE">
            <w:pPr>
              <w:pStyle w:val="Manuscripttabletext"/>
              <w:rPr>
                <w:lang w:val="en-US"/>
              </w:rPr>
            </w:pPr>
            <w:r w:rsidRPr="00733E3A">
              <w:rPr>
                <w:lang w:val="en-US"/>
              </w:rPr>
              <w:t>-0.005 (0.0137)</w:t>
            </w:r>
          </w:p>
        </w:tc>
        <w:tc>
          <w:tcPr>
            <w:tcW w:w="1667" w:type="pct"/>
          </w:tcPr>
          <w:p w:rsidR="002B72B4" w:rsidRPr="00733E3A" w:rsidRDefault="002B72B4" w:rsidP="001E7CAE">
            <w:pPr>
              <w:pStyle w:val="Manuscripttabletext"/>
              <w:rPr>
                <w:lang w:val="en-US"/>
              </w:rPr>
            </w:pPr>
            <w:r w:rsidRPr="00733E3A">
              <w:rPr>
                <w:lang w:val="en-US"/>
              </w:rPr>
              <w:t>-0.032, 0.022</w:t>
            </w:r>
          </w:p>
        </w:tc>
      </w:tr>
      <w:tr w:rsidR="002B72B4" w:rsidTr="003E4C4A">
        <w:tc>
          <w:tcPr>
            <w:tcW w:w="1666" w:type="pct"/>
          </w:tcPr>
          <w:p w:rsidR="002B72B4" w:rsidRDefault="002B72B4" w:rsidP="001E7CAE">
            <w:pPr>
              <w:pStyle w:val="Manuscripttabletext"/>
              <w:ind w:left="170"/>
              <w:rPr>
                <w:lang w:val="en-US"/>
              </w:rPr>
            </w:pPr>
            <w:r>
              <w:rPr>
                <w:lang w:val="en-US"/>
              </w:rPr>
              <w:t>Week 12</w:t>
            </w:r>
          </w:p>
        </w:tc>
        <w:tc>
          <w:tcPr>
            <w:tcW w:w="1666" w:type="pct"/>
          </w:tcPr>
          <w:p w:rsidR="002B72B4" w:rsidRPr="00733E3A" w:rsidRDefault="002B72B4" w:rsidP="001E7CAE">
            <w:pPr>
              <w:pStyle w:val="Manuscripttabletext"/>
              <w:rPr>
                <w:lang w:val="en-US"/>
              </w:rPr>
            </w:pPr>
            <w:r w:rsidRPr="00733E3A">
              <w:rPr>
                <w:lang w:val="en-US"/>
              </w:rPr>
              <w:t>-0.009 (0.0135)</w:t>
            </w:r>
          </w:p>
        </w:tc>
        <w:tc>
          <w:tcPr>
            <w:tcW w:w="1667" w:type="pct"/>
          </w:tcPr>
          <w:p w:rsidR="002B72B4" w:rsidRPr="00733E3A" w:rsidRDefault="002B72B4" w:rsidP="001E7CAE">
            <w:pPr>
              <w:pStyle w:val="Manuscripttabletext"/>
              <w:rPr>
                <w:lang w:val="en-US"/>
              </w:rPr>
            </w:pPr>
            <w:r w:rsidRPr="00733E3A">
              <w:rPr>
                <w:lang w:val="en-US"/>
              </w:rPr>
              <w:t>-0.036, 0.017</w:t>
            </w:r>
          </w:p>
        </w:tc>
      </w:tr>
      <w:tr w:rsidR="002B72B4" w:rsidTr="003E4C4A">
        <w:tc>
          <w:tcPr>
            <w:tcW w:w="1666" w:type="pct"/>
          </w:tcPr>
          <w:p w:rsidR="002B72B4" w:rsidRDefault="002B72B4" w:rsidP="001E7CAE">
            <w:pPr>
              <w:pStyle w:val="Manuscripttabletext"/>
              <w:ind w:left="170"/>
              <w:rPr>
                <w:lang w:val="en-US"/>
              </w:rPr>
            </w:pPr>
            <w:r>
              <w:rPr>
                <w:lang w:val="en-US"/>
              </w:rPr>
              <w:t>Week 16</w:t>
            </w:r>
          </w:p>
        </w:tc>
        <w:tc>
          <w:tcPr>
            <w:tcW w:w="1666" w:type="pct"/>
          </w:tcPr>
          <w:p w:rsidR="002B72B4" w:rsidRPr="00733E3A" w:rsidRDefault="002B72B4" w:rsidP="001E7CAE">
            <w:pPr>
              <w:pStyle w:val="Manuscripttabletext"/>
              <w:rPr>
                <w:lang w:val="en-US"/>
              </w:rPr>
            </w:pPr>
            <w:r w:rsidRPr="00733E3A">
              <w:rPr>
                <w:lang w:val="en-US"/>
              </w:rPr>
              <w:t>0.002 (0.0135)</w:t>
            </w:r>
          </w:p>
        </w:tc>
        <w:tc>
          <w:tcPr>
            <w:tcW w:w="1667" w:type="pct"/>
          </w:tcPr>
          <w:p w:rsidR="002B72B4" w:rsidRPr="00733E3A" w:rsidRDefault="002B72B4" w:rsidP="001E7CAE">
            <w:pPr>
              <w:pStyle w:val="Manuscripttabletext"/>
              <w:rPr>
                <w:lang w:val="en-US"/>
              </w:rPr>
            </w:pPr>
            <w:r w:rsidRPr="00733E3A">
              <w:rPr>
                <w:lang w:val="en-US"/>
              </w:rPr>
              <w:t>-0.025, 0.028</w:t>
            </w:r>
          </w:p>
        </w:tc>
      </w:tr>
      <w:tr w:rsidR="002B72B4" w:rsidTr="003E4C4A">
        <w:tc>
          <w:tcPr>
            <w:tcW w:w="1666" w:type="pct"/>
          </w:tcPr>
          <w:p w:rsidR="002B72B4" w:rsidRDefault="002B72B4" w:rsidP="001E7CAE">
            <w:pPr>
              <w:pStyle w:val="Manuscripttabletext"/>
              <w:ind w:left="170"/>
              <w:rPr>
                <w:lang w:val="en-US"/>
              </w:rPr>
            </w:pPr>
            <w:r>
              <w:rPr>
                <w:lang w:val="en-US"/>
              </w:rPr>
              <w:t>Week 24</w:t>
            </w:r>
          </w:p>
        </w:tc>
        <w:tc>
          <w:tcPr>
            <w:tcW w:w="1666" w:type="pct"/>
          </w:tcPr>
          <w:p w:rsidR="002B72B4" w:rsidRPr="00733E3A" w:rsidRDefault="002B72B4" w:rsidP="001E7CAE">
            <w:pPr>
              <w:pStyle w:val="Manuscripttabletext"/>
              <w:rPr>
                <w:lang w:val="en-US"/>
              </w:rPr>
            </w:pPr>
            <w:r w:rsidRPr="00733E3A">
              <w:rPr>
                <w:lang w:val="en-US"/>
              </w:rPr>
              <w:t>Reference</w:t>
            </w:r>
          </w:p>
        </w:tc>
        <w:tc>
          <w:tcPr>
            <w:tcW w:w="1667" w:type="pct"/>
          </w:tcPr>
          <w:p w:rsidR="002B72B4" w:rsidRPr="00733E3A" w:rsidRDefault="002B72B4" w:rsidP="001E7CAE">
            <w:pPr>
              <w:pStyle w:val="Manuscripttabletext"/>
              <w:rPr>
                <w:lang w:val="en-US"/>
              </w:rPr>
            </w:pPr>
          </w:p>
        </w:tc>
      </w:tr>
    </w:tbl>
    <w:p w:rsidR="002B72B4" w:rsidRDefault="002B72B4" w:rsidP="002B72B4">
      <w:pPr>
        <w:pStyle w:val="Manuscriptfootnote"/>
        <w:rPr>
          <w:lang w:val="en-US"/>
        </w:rPr>
      </w:pPr>
    </w:p>
    <w:p w:rsidR="002B72B4" w:rsidRDefault="002B72B4" w:rsidP="002B72B4">
      <w:pPr>
        <w:pStyle w:val="Manuscriptfootnote"/>
        <w:rPr>
          <w:lang w:val="en-US"/>
        </w:rPr>
      </w:pPr>
      <w:r>
        <w:rPr>
          <w:lang w:val="en-US"/>
        </w:rPr>
        <w:t>CI: confidence intervals; EQ-5D: EuroQoL 5-Dimensions; HAQ: Health Assessment Questionnaire; PASI: Psoriasis Area Severity Index; PsA: psoriatic arthritis; SE: standard error; TNFi: tumour necrosis factor inhibitor.</w:t>
      </w:r>
    </w:p>
    <w:p w:rsidR="002B72B4" w:rsidRPr="00511F81" w:rsidRDefault="002B72B4" w:rsidP="002B72B4">
      <w:pPr>
        <w:pStyle w:val="Manuscriptbody"/>
        <w:rPr>
          <w:lang w:val="en-US"/>
        </w:rPr>
      </w:pPr>
      <w:r>
        <w:rPr>
          <w:sz w:val="18"/>
          <w:szCs w:val="18"/>
        </w:rPr>
        <w:br w:type="page"/>
      </w:r>
    </w:p>
    <w:p w:rsidR="002B72B4" w:rsidRPr="003A0D24" w:rsidRDefault="002B72B4" w:rsidP="002B72B4">
      <w:pPr>
        <w:pStyle w:val="Caption"/>
      </w:pPr>
      <w:bookmarkStart w:id="5" w:name="_Ref496010187"/>
      <w:r>
        <w:lastRenderedPageBreak/>
        <w:t xml:space="preserve">Table </w:t>
      </w:r>
      <w:bookmarkEnd w:id="5"/>
      <w:r w:rsidR="00F91AB7">
        <w:rPr>
          <w:noProof/>
        </w:rPr>
        <w:t>7</w:t>
      </w:r>
      <w:r w:rsidR="00F91AB7" w:rsidRPr="003A0D24">
        <w:t xml:space="preserve"> </w:t>
      </w:r>
      <w:r>
        <w:t>Cost and resource use inputs used in the model</w:t>
      </w:r>
    </w:p>
    <w:tbl>
      <w:tblPr>
        <w:tblStyle w:val="TableGrid"/>
        <w:tblW w:w="9328" w:type="dxa"/>
        <w:tblLook w:val="04A0" w:firstRow="1" w:lastRow="0" w:firstColumn="1" w:lastColumn="0" w:noHBand="0" w:noVBand="1"/>
      </w:tblPr>
      <w:tblGrid>
        <w:gridCol w:w="2381"/>
        <w:gridCol w:w="1134"/>
        <w:gridCol w:w="899"/>
        <w:gridCol w:w="898"/>
        <w:gridCol w:w="898"/>
        <w:gridCol w:w="3118"/>
      </w:tblGrid>
      <w:tr w:rsidR="002B72B4" w:rsidTr="001E7CAE">
        <w:trPr>
          <w:tblHeader/>
        </w:trPr>
        <w:tc>
          <w:tcPr>
            <w:tcW w:w="2381" w:type="dxa"/>
            <w:vMerge w:val="restart"/>
            <w:shd w:val="clear" w:color="auto" w:fill="BFBFBF" w:themeFill="background1" w:themeFillShade="BF"/>
            <w:vAlign w:val="center"/>
          </w:tcPr>
          <w:p w:rsidR="002B72B4" w:rsidRDefault="002B72B4" w:rsidP="001E7CAE">
            <w:pPr>
              <w:pStyle w:val="Manuscripttableheading"/>
              <w:rPr>
                <w:lang w:val="en-US"/>
              </w:rPr>
            </w:pPr>
            <w:r>
              <w:rPr>
                <w:lang w:val="en-US"/>
              </w:rPr>
              <w:t>Cost category</w:t>
            </w:r>
          </w:p>
        </w:tc>
        <w:tc>
          <w:tcPr>
            <w:tcW w:w="1134" w:type="dxa"/>
            <w:vMerge w:val="restart"/>
            <w:shd w:val="clear" w:color="auto" w:fill="BFBFBF" w:themeFill="background1" w:themeFillShade="BF"/>
            <w:vAlign w:val="center"/>
          </w:tcPr>
          <w:p w:rsidR="002B72B4" w:rsidRDefault="002B72B4" w:rsidP="001E7CAE">
            <w:pPr>
              <w:pStyle w:val="Manuscripttableheading"/>
              <w:jc w:val="center"/>
              <w:rPr>
                <w:lang w:val="en-US"/>
              </w:rPr>
            </w:pPr>
            <w:r>
              <w:rPr>
                <w:lang w:val="en-US"/>
              </w:rPr>
              <w:t>Unit cost</w:t>
            </w:r>
          </w:p>
        </w:tc>
        <w:tc>
          <w:tcPr>
            <w:tcW w:w="2695" w:type="dxa"/>
            <w:gridSpan w:val="3"/>
            <w:shd w:val="clear" w:color="auto" w:fill="BFBFBF" w:themeFill="background1" w:themeFillShade="BF"/>
            <w:vAlign w:val="center"/>
          </w:tcPr>
          <w:p w:rsidR="002B72B4" w:rsidRDefault="002B72B4" w:rsidP="001E7CAE">
            <w:pPr>
              <w:pStyle w:val="Manuscripttableheading"/>
              <w:jc w:val="center"/>
              <w:rPr>
                <w:lang w:val="en-US"/>
              </w:rPr>
            </w:pPr>
            <w:r>
              <w:rPr>
                <w:lang w:val="en-US"/>
              </w:rPr>
              <w:t>Frequency</w:t>
            </w:r>
          </w:p>
        </w:tc>
        <w:tc>
          <w:tcPr>
            <w:tcW w:w="3118" w:type="dxa"/>
            <w:vMerge w:val="restart"/>
            <w:shd w:val="clear" w:color="auto" w:fill="BFBFBF" w:themeFill="background1" w:themeFillShade="BF"/>
            <w:vAlign w:val="center"/>
          </w:tcPr>
          <w:p w:rsidR="002B72B4" w:rsidRDefault="002B72B4" w:rsidP="001E7CAE">
            <w:pPr>
              <w:pStyle w:val="Manuscripttableheading"/>
              <w:rPr>
                <w:lang w:val="en-US"/>
              </w:rPr>
            </w:pPr>
            <w:r>
              <w:rPr>
                <w:lang w:val="en-US"/>
              </w:rPr>
              <w:t>References</w:t>
            </w:r>
          </w:p>
        </w:tc>
      </w:tr>
      <w:tr w:rsidR="002B72B4" w:rsidTr="001E7CAE">
        <w:trPr>
          <w:tblHeader/>
        </w:trPr>
        <w:tc>
          <w:tcPr>
            <w:tcW w:w="2381" w:type="dxa"/>
            <w:vMerge/>
            <w:tcBorders>
              <w:bottom w:val="single" w:sz="4" w:space="0" w:color="auto"/>
            </w:tcBorders>
          </w:tcPr>
          <w:p w:rsidR="002B72B4" w:rsidRDefault="002B72B4" w:rsidP="001E7CAE">
            <w:pPr>
              <w:pStyle w:val="Manuscripttableheading"/>
              <w:rPr>
                <w:lang w:val="en-US"/>
              </w:rPr>
            </w:pPr>
          </w:p>
        </w:tc>
        <w:tc>
          <w:tcPr>
            <w:tcW w:w="1134" w:type="dxa"/>
            <w:vMerge/>
            <w:tcBorders>
              <w:bottom w:val="single" w:sz="4" w:space="0" w:color="auto"/>
            </w:tcBorders>
            <w:vAlign w:val="center"/>
          </w:tcPr>
          <w:p w:rsidR="002B72B4" w:rsidRDefault="002B72B4" w:rsidP="001E7CAE">
            <w:pPr>
              <w:pStyle w:val="Manuscripttableheading"/>
              <w:jc w:val="center"/>
              <w:rPr>
                <w:lang w:val="en-US"/>
              </w:rPr>
            </w:pPr>
          </w:p>
        </w:tc>
        <w:tc>
          <w:tcPr>
            <w:tcW w:w="899" w:type="dxa"/>
            <w:tcBorders>
              <w:bottom w:val="single" w:sz="4" w:space="0" w:color="auto"/>
            </w:tcBorders>
            <w:shd w:val="clear" w:color="auto" w:fill="BFBFBF" w:themeFill="background1" w:themeFillShade="BF"/>
            <w:vAlign w:val="center"/>
          </w:tcPr>
          <w:p w:rsidR="002B72B4" w:rsidRDefault="002B72B4" w:rsidP="001E7CAE">
            <w:pPr>
              <w:pStyle w:val="Manuscripttableheading"/>
              <w:jc w:val="center"/>
              <w:rPr>
                <w:lang w:val="en-US"/>
              </w:rPr>
            </w:pPr>
            <w:r>
              <w:rPr>
                <w:lang w:val="en-US"/>
              </w:rPr>
              <w:t>First 3 months</w:t>
            </w:r>
          </w:p>
        </w:tc>
        <w:tc>
          <w:tcPr>
            <w:tcW w:w="898" w:type="dxa"/>
            <w:tcBorders>
              <w:bottom w:val="single" w:sz="4" w:space="0" w:color="auto"/>
            </w:tcBorders>
            <w:shd w:val="clear" w:color="auto" w:fill="BFBFBF" w:themeFill="background1" w:themeFillShade="BF"/>
            <w:vAlign w:val="center"/>
          </w:tcPr>
          <w:p w:rsidR="002B72B4" w:rsidRDefault="002B72B4" w:rsidP="001E7CAE">
            <w:pPr>
              <w:pStyle w:val="Manuscripttableheading"/>
              <w:jc w:val="center"/>
              <w:rPr>
                <w:lang w:val="en-US"/>
              </w:rPr>
            </w:pPr>
            <w:r>
              <w:rPr>
                <w:lang w:val="en-US"/>
              </w:rPr>
              <w:t>Months 4</w:t>
            </w:r>
            <w:r>
              <w:rPr>
                <w:rFonts w:cs="Tahoma"/>
                <w:lang w:val="en-US"/>
              </w:rPr>
              <w:t>–</w:t>
            </w:r>
            <w:r>
              <w:rPr>
                <w:lang w:val="en-US"/>
              </w:rPr>
              <w:t>6</w:t>
            </w:r>
          </w:p>
        </w:tc>
        <w:tc>
          <w:tcPr>
            <w:tcW w:w="898" w:type="dxa"/>
            <w:tcBorders>
              <w:bottom w:val="single" w:sz="4" w:space="0" w:color="auto"/>
            </w:tcBorders>
            <w:shd w:val="clear" w:color="auto" w:fill="BFBFBF" w:themeFill="background1" w:themeFillShade="BF"/>
            <w:vAlign w:val="center"/>
          </w:tcPr>
          <w:p w:rsidR="002B72B4" w:rsidRDefault="002B72B4" w:rsidP="001E7CAE">
            <w:pPr>
              <w:pStyle w:val="Manuscripttableheading"/>
              <w:jc w:val="center"/>
              <w:rPr>
                <w:lang w:val="en-US"/>
              </w:rPr>
            </w:pPr>
            <w:r>
              <w:rPr>
                <w:lang w:val="en-US"/>
              </w:rPr>
              <w:t>Subs 3-month periods</w:t>
            </w:r>
          </w:p>
        </w:tc>
        <w:tc>
          <w:tcPr>
            <w:tcW w:w="3118" w:type="dxa"/>
            <w:vMerge/>
          </w:tcPr>
          <w:p w:rsidR="002B72B4" w:rsidRDefault="002B72B4" w:rsidP="001E7CAE">
            <w:pPr>
              <w:pStyle w:val="Manuscripttableheading"/>
              <w:rPr>
                <w:lang w:val="en-US"/>
              </w:rPr>
            </w:pPr>
          </w:p>
        </w:tc>
      </w:tr>
      <w:tr w:rsidR="002B72B4" w:rsidTr="001E7CAE">
        <w:tc>
          <w:tcPr>
            <w:tcW w:w="6210" w:type="dxa"/>
            <w:gridSpan w:val="5"/>
            <w:tcBorders>
              <w:right w:val="single" w:sz="4" w:space="0" w:color="auto"/>
            </w:tcBorders>
            <w:shd w:val="clear" w:color="auto" w:fill="D9D9D9" w:themeFill="background1" w:themeFillShade="D9"/>
          </w:tcPr>
          <w:p w:rsidR="002B72B4" w:rsidRDefault="002B72B4" w:rsidP="001E7CAE">
            <w:pPr>
              <w:pStyle w:val="Manuscripttableheading"/>
              <w:rPr>
                <w:lang w:val="en-US"/>
              </w:rPr>
            </w:pPr>
            <w:r>
              <w:rPr>
                <w:lang w:val="en-US"/>
              </w:rPr>
              <w:t>Drug acquisition (list price)</w:t>
            </w:r>
          </w:p>
        </w:tc>
        <w:tc>
          <w:tcPr>
            <w:tcW w:w="3118" w:type="dxa"/>
            <w:vMerge w:val="restart"/>
            <w:tcBorders>
              <w:left w:val="single" w:sz="4" w:space="0" w:color="auto"/>
            </w:tcBorders>
            <w:shd w:val="clear" w:color="auto" w:fill="auto"/>
            <w:vAlign w:val="center"/>
          </w:tcPr>
          <w:p w:rsidR="002B72B4" w:rsidRDefault="002B72B4" w:rsidP="001E7CAE">
            <w:pPr>
              <w:pStyle w:val="Manuscripttabletext"/>
              <w:rPr>
                <w:lang w:val="en-US"/>
              </w:rPr>
            </w:pPr>
            <w:r>
              <w:rPr>
                <w:lang w:val="en-US"/>
              </w:rPr>
              <w:t xml:space="preserve">Summary of Product Characteristics </w:t>
            </w:r>
            <w:r>
              <w:rPr>
                <w:noProof/>
                <w:lang w:val="en-US"/>
              </w:rPr>
              <w:t>[</w:t>
            </w:r>
            <w:r w:rsidR="00D36C5F">
              <w:rPr>
                <w:noProof/>
                <w:lang w:val="en-US"/>
              </w:rPr>
              <w:t>38</w:t>
            </w:r>
            <w:r w:rsidR="001C561F">
              <w:rPr>
                <w:noProof/>
                <w:lang w:val="en-US"/>
              </w:rPr>
              <w:t>-</w:t>
            </w:r>
            <w:r w:rsidR="00D36C5F">
              <w:rPr>
                <w:noProof/>
                <w:lang w:val="en-US"/>
              </w:rPr>
              <w:t>43</w:t>
            </w:r>
            <w:r>
              <w:rPr>
                <w:noProof/>
                <w:lang w:val="en-US"/>
              </w:rPr>
              <w:t>]</w:t>
            </w:r>
          </w:p>
          <w:p w:rsidR="002B72B4" w:rsidRDefault="002B72B4" w:rsidP="001E7CAE">
            <w:pPr>
              <w:pStyle w:val="Manuscripttabletext"/>
              <w:rPr>
                <w:lang w:val="en-US"/>
              </w:rPr>
            </w:pPr>
            <w:r>
              <w:rPr>
                <w:lang w:val="en-US"/>
              </w:rPr>
              <w:t xml:space="preserve">Monthly Index of Medical Specialties </w:t>
            </w:r>
            <w:r w:rsidRPr="00F56F22">
              <w:rPr>
                <w:lang w:val="en-US"/>
              </w:rPr>
              <w:t>(searched 2017)</w:t>
            </w:r>
          </w:p>
          <w:p w:rsidR="002B72B4" w:rsidRDefault="002B72B4" w:rsidP="001E7CAE">
            <w:pPr>
              <w:pStyle w:val="Manuscripttabletext"/>
              <w:rPr>
                <w:lang w:val="en-US"/>
              </w:rPr>
            </w:pPr>
            <w:r>
              <w:rPr>
                <w:lang w:val="en-US"/>
              </w:rPr>
              <w:t>No vial sharing was assumed for the administration of infliximab</w:t>
            </w:r>
          </w:p>
        </w:tc>
      </w:tr>
      <w:tr w:rsidR="002B72B4" w:rsidTr="001E7CAE">
        <w:tc>
          <w:tcPr>
            <w:tcW w:w="2381" w:type="dxa"/>
          </w:tcPr>
          <w:p w:rsidR="002B72B4" w:rsidRPr="00B6206B" w:rsidRDefault="002B72B4" w:rsidP="001E7CAE">
            <w:pPr>
              <w:pStyle w:val="Manuscripttabletext"/>
              <w:rPr>
                <w:lang w:val="en-US"/>
              </w:rPr>
            </w:pPr>
            <w:r w:rsidRPr="00B6206B">
              <w:t>SEC 150 mg s.c.</w:t>
            </w:r>
          </w:p>
        </w:tc>
        <w:tc>
          <w:tcPr>
            <w:tcW w:w="1134" w:type="dxa"/>
            <w:vAlign w:val="center"/>
          </w:tcPr>
          <w:p w:rsidR="002B72B4" w:rsidRDefault="002B72B4" w:rsidP="001E7CAE">
            <w:pPr>
              <w:pStyle w:val="Manuscripttabletext"/>
              <w:jc w:val="center"/>
              <w:rPr>
                <w:lang w:val="en-US"/>
              </w:rPr>
            </w:pPr>
            <w:r w:rsidRPr="00101C6F">
              <w:t>£609.39</w:t>
            </w:r>
          </w:p>
        </w:tc>
        <w:tc>
          <w:tcPr>
            <w:tcW w:w="899" w:type="dxa"/>
            <w:vAlign w:val="center"/>
          </w:tcPr>
          <w:p w:rsidR="002B72B4" w:rsidRDefault="002B72B4" w:rsidP="001E7CAE">
            <w:pPr>
              <w:pStyle w:val="Manuscripttabletext"/>
              <w:jc w:val="center"/>
              <w:rPr>
                <w:lang w:val="en-US"/>
              </w:rPr>
            </w:pPr>
            <w:r w:rsidRPr="00481207">
              <w:t>7.00</w:t>
            </w:r>
          </w:p>
        </w:tc>
        <w:tc>
          <w:tcPr>
            <w:tcW w:w="898" w:type="dxa"/>
            <w:vAlign w:val="center"/>
          </w:tcPr>
          <w:p w:rsidR="002B72B4" w:rsidRDefault="002B72B4" w:rsidP="001E7CAE">
            <w:pPr>
              <w:pStyle w:val="Manuscripttabletext"/>
              <w:jc w:val="center"/>
              <w:rPr>
                <w:lang w:val="en-US"/>
              </w:rPr>
            </w:pPr>
            <w:r w:rsidRPr="00481207">
              <w:t>3.00</w:t>
            </w:r>
          </w:p>
        </w:tc>
        <w:tc>
          <w:tcPr>
            <w:tcW w:w="898" w:type="dxa"/>
            <w:tcBorders>
              <w:right w:val="single" w:sz="4" w:space="0" w:color="auto"/>
            </w:tcBorders>
            <w:vAlign w:val="center"/>
          </w:tcPr>
          <w:p w:rsidR="002B72B4" w:rsidRDefault="002B72B4" w:rsidP="001E7CAE">
            <w:pPr>
              <w:pStyle w:val="Manuscripttabletext"/>
              <w:jc w:val="center"/>
              <w:rPr>
                <w:lang w:val="en-US"/>
              </w:rPr>
            </w:pPr>
            <w:r w:rsidRPr="00481207">
              <w:t>3.00</w:t>
            </w:r>
          </w:p>
        </w:tc>
        <w:tc>
          <w:tcPr>
            <w:tcW w:w="3118" w:type="dxa"/>
            <w:vMerge/>
            <w:tcBorders>
              <w:left w:val="single" w:sz="4" w:space="0" w:color="auto"/>
            </w:tcBorders>
            <w:shd w:val="clear" w:color="auto" w:fill="auto"/>
          </w:tcPr>
          <w:p w:rsidR="002B72B4" w:rsidRDefault="002B72B4" w:rsidP="001E7CAE">
            <w:pPr>
              <w:pStyle w:val="Manuscripttabletext"/>
              <w:rPr>
                <w:lang w:val="en-US"/>
              </w:rPr>
            </w:pPr>
          </w:p>
        </w:tc>
      </w:tr>
      <w:tr w:rsidR="002B72B4" w:rsidTr="001E7CAE">
        <w:tc>
          <w:tcPr>
            <w:tcW w:w="2381" w:type="dxa"/>
          </w:tcPr>
          <w:p w:rsidR="002B72B4" w:rsidRPr="00B6206B" w:rsidRDefault="002B72B4" w:rsidP="001E7CAE">
            <w:pPr>
              <w:pStyle w:val="Manuscripttabletext"/>
              <w:rPr>
                <w:lang w:val="en-US"/>
              </w:rPr>
            </w:pPr>
            <w:r w:rsidRPr="00B6206B">
              <w:t>ADA 40 mg s.c.</w:t>
            </w:r>
          </w:p>
        </w:tc>
        <w:tc>
          <w:tcPr>
            <w:tcW w:w="1134" w:type="dxa"/>
            <w:vAlign w:val="center"/>
          </w:tcPr>
          <w:p w:rsidR="002B72B4" w:rsidRDefault="002B72B4" w:rsidP="001E7CAE">
            <w:pPr>
              <w:pStyle w:val="Manuscripttabletext"/>
              <w:jc w:val="center"/>
              <w:rPr>
                <w:lang w:val="en-US"/>
              </w:rPr>
            </w:pPr>
            <w:r w:rsidRPr="00481207">
              <w:t>£352.14</w:t>
            </w:r>
          </w:p>
        </w:tc>
        <w:tc>
          <w:tcPr>
            <w:tcW w:w="899" w:type="dxa"/>
            <w:vAlign w:val="center"/>
          </w:tcPr>
          <w:p w:rsidR="002B72B4" w:rsidRDefault="002B72B4" w:rsidP="001E7CAE">
            <w:pPr>
              <w:pStyle w:val="Manuscripttabletext"/>
              <w:jc w:val="center"/>
              <w:rPr>
                <w:lang w:val="en-US"/>
              </w:rPr>
            </w:pPr>
            <w:r w:rsidRPr="00481207">
              <w:t>7.00</w:t>
            </w:r>
          </w:p>
        </w:tc>
        <w:tc>
          <w:tcPr>
            <w:tcW w:w="898" w:type="dxa"/>
            <w:vAlign w:val="center"/>
          </w:tcPr>
          <w:p w:rsidR="002B72B4" w:rsidRDefault="002B72B4" w:rsidP="001E7CAE">
            <w:pPr>
              <w:pStyle w:val="Manuscripttabletext"/>
              <w:jc w:val="center"/>
              <w:rPr>
                <w:lang w:val="en-US"/>
              </w:rPr>
            </w:pPr>
            <w:r w:rsidRPr="00481207">
              <w:t>6.00</w:t>
            </w:r>
          </w:p>
        </w:tc>
        <w:tc>
          <w:tcPr>
            <w:tcW w:w="898" w:type="dxa"/>
            <w:tcBorders>
              <w:right w:val="single" w:sz="4" w:space="0" w:color="auto"/>
            </w:tcBorders>
            <w:vAlign w:val="center"/>
          </w:tcPr>
          <w:p w:rsidR="002B72B4" w:rsidRDefault="002B72B4" w:rsidP="001E7CAE">
            <w:pPr>
              <w:pStyle w:val="Manuscripttabletext"/>
              <w:jc w:val="center"/>
              <w:rPr>
                <w:lang w:val="en-US"/>
              </w:rPr>
            </w:pPr>
            <w:r w:rsidRPr="00481207">
              <w:t>6.52</w:t>
            </w:r>
          </w:p>
        </w:tc>
        <w:tc>
          <w:tcPr>
            <w:tcW w:w="3118" w:type="dxa"/>
            <w:vMerge/>
            <w:tcBorders>
              <w:left w:val="single" w:sz="4" w:space="0" w:color="auto"/>
            </w:tcBorders>
            <w:shd w:val="clear" w:color="auto" w:fill="auto"/>
          </w:tcPr>
          <w:p w:rsidR="002B72B4" w:rsidRDefault="002B72B4" w:rsidP="001E7CAE">
            <w:pPr>
              <w:pStyle w:val="Manuscripttabletext"/>
              <w:rPr>
                <w:lang w:val="en-US"/>
              </w:rPr>
            </w:pPr>
          </w:p>
        </w:tc>
      </w:tr>
      <w:tr w:rsidR="002B72B4" w:rsidTr="001E7CAE">
        <w:tc>
          <w:tcPr>
            <w:tcW w:w="2381" w:type="dxa"/>
          </w:tcPr>
          <w:p w:rsidR="002B72B4" w:rsidRPr="00B6206B" w:rsidRDefault="002B72B4" w:rsidP="001E7CAE">
            <w:pPr>
              <w:pStyle w:val="Manuscripttabletext"/>
              <w:rPr>
                <w:lang w:val="en-US"/>
              </w:rPr>
            </w:pPr>
            <w:r>
              <w:t>CZP</w:t>
            </w:r>
            <w:r w:rsidRPr="00B6206B">
              <w:t xml:space="preserve"> 200 mg s.c</w:t>
            </w:r>
            <w:r>
              <w:t>.</w:t>
            </w:r>
          </w:p>
        </w:tc>
        <w:tc>
          <w:tcPr>
            <w:tcW w:w="1134" w:type="dxa"/>
            <w:vAlign w:val="center"/>
          </w:tcPr>
          <w:p w:rsidR="002B72B4" w:rsidRDefault="002B72B4" w:rsidP="001E7CAE">
            <w:pPr>
              <w:pStyle w:val="Manuscripttabletext"/>
              <w:jc w:val="center"/>
              <w:rPr>
                <w:lang w:val="en-US"/>
              </w:rPr>
            </w:pPr>
            <w:r w:rsidRPr="00481207">
              <w:t>£357.50</w:t>
            </w:r>
          </w:p>
        </w:tc>
        <w:tc>
          <w:tcPr>
            <w:tcW w:w="899" w:type="dxa"/>
            <w:vAlign w:val="center"/>
          </w:tcPr>
          <w:p w:rsidR="002B72B4" w:rsidRDefault="002B72B4" w:rsidP="001E7CAE">
            <w:pPr>
              <w:pStyle w:val="Manuscripttabletext"/>
              <w:jc w:val="center"/>
              <w:rPr>
                <w:lang w:val="en-US"/>
              </w:rPr>
            </w:pPr>
            <w:r w:rsidRPr="00481207">
              <w:t>10.00</w:t>
            </w:r>
          </w:p>
        </w:tc>
        <w:tc>
          <w:tcPr>
            <w:tcW w:w="898" w:type="dxa"/>
            <w:vAlign w:val="center"/>
          </w:tcPr>
          <w:p w:rsidR="002B72B4" w:rsidRDefault="002B72B4" w:rsidP="001E7CAE">
            <w:pPr>
              <w:pStyle w:val="Manuscripttabletext"/>
              <w:jc w:val="center"/>
              <w:rPr>
                <w:lang w:val="en-US"/>
              </w:rPr>
            </w:pPr>
            <w:r w:rsidRPr="00481207">
              <w:t>6.00</w:t>
            </w:r>
          </w:p>
        </w:tc>
        <w:tc>
          <w:tcPr>
            <w:tcW w:w="898" w:type="dxa"/>
            <w:tcBorders>
              <w:right w:val="single" w:sz="4" w:space="0" w:color="auto"/>
            </w:tcBorders>
            <w:vAlign w:val="center"/>
          </w:tcPr>
          <w:p w:rsidR="002B72B4" w:rsidRDefault="002B72B4" w:rsidP="001E7CAE">
            <w:pPr>
              <w:pStyle w:val="Manuscripttabletext"/>
              <w:jc w:val="center"/>
              <w:rPr>
                <w:lang w:val="en-US"/>
              </w:rPr>
            </w:pPr>
            <w:r w:rsidRPr="00481207">
              <w:t>6.52</w:t>
            </w:r>
          </w:p>
        </w:tc>
        <w:tc>
          <w:tcPr>
            <w:tcW w:w="3118" w:type="dxa"/>
            <w:vMerge/>
            <w:tcBorders>
              <w:left w:val="single" w:sz="4" w:space="0" w:color="auto"/>
            </w:tcBorders>
            <w:shd w:val="clear" w:color="auto" w:fill="auto"/>
          </w:tcPr>
          <w:p w:rsidR="002B72B4" w:rsidRDefault="002B72B4" w:rsidP="001E7CAE">
            <w:pPr>
              <w:pStyle w:val="Manuscripttabletext"/>
              <w:rPr>
                <w:lang w:val="en-US"/>
              </w:rPr>
            </w:pPr>
          </w:p>
        </w:tc>
      </w:tr>
      <w:tr w:rsidR="002B72B4" w:rsidTr="001E7CAE">
        <w:tc>
          <w:tcPr>
            <w:tcW w:w="2381" w:type="dxa"/>
            <w:tcBorders>
              <w:bottom w:val="nil"/>
            </w:tcBorders>
          </w:tcPr>
          <w:p w:rsidR="002B72B4" w:rsidRPr="00B6206B" w:rsidRDefault="002B72B4" w:rsidP="001E7CAE">
            <w:pPr>
              <w:pStyle w:val="Manuscripttabletext"/>
              <w:rPr>
                <w:lang w:val="en-US"/>
              </w:rPr>
            </w:pPr>
            <w:r w:rsidRPr="00B6206B">
              <w:t>ETN 50 mg s.c.</w:t>
            </w:r>
          </w:p>
        </w:tc>
        <w:tc>
          <w:tcPr>
            <w:tcW w:w="1134" w:type="dxa"/>
            <w:tcBorders>
              <w:bottom w:val="nil"/>
            </w:tcBorders>
            <w:vAlign w:val="center"/>
          </w:tcPr>
          <w:p w:rsidR="002B72B4" w:rsidRDefault="002B72B4" w:rsidP="001E7CAE">
            <w:pPr>
              <w:pStyle w:val="Manuscripttabletext"/>
              <w:jc w:val="center"/>
              <w:rPr>
                <w:lang w:val="en-US"/>
              </w:rPr>
            </w:pPr>
            <w:r w:rsidRPr="00481207">
              <w:t>£178.75</w:t>
            </w:r>
          </w:p>
        </w:tc>
        <w:tc>
          <w:tcPr>
            <w:tcW w:w="899" w:type="dxa"/>
            <w:tcBorders>
              <w:bottom w:val="nil"/>
            </w:tcBorders>
            <w:vAlign w:val="center"/>
          </w:tcPr>
          <w:p w:rsidR="002B72B4" w:rsidRDefault="002B72B4" w:rsidP="001E7CAE">
            <w:pPr>
              <w:pStyle w:val="Manuscripttabletext"/>
              <w:jc w:val="center"/>
              <w:rPr>
                <w:lang w:val="en-US"/>
              </w:rPr>
            </w:pPr>
            <w:r w:rsidRPr="00481207">
              <w:t>13.00</w:t>
            </w:r>
          </w:p>
        </w:tc>
        <w:tc>
          <w:tcPr>
            <w:tcW w:w="898" w:type="dxa"/>
            <w:tcBorders>
              <w:bottom w:val="nil"/>
            </w:tcBorders>
            <w:vAlign w:val="center"/>
          </w:tcPr>
          <w:p w:rsidR="002B72B4" w:rsidRDefault="002B72B4" w:rsidP="001E7CAE">
            <w:pPr>
              <w:pStyle w:val="Manuscripttabletext"/>
              <w:jc w:val="center"/>
              <w:rPr>
                <w:lang w:val="en-US"/>
              </w:rPr>
            </w:pPr>
            <w:r w:rsidRPr="00481207">
              <w:t>13.00</w:t>
            </w:r>
          </w:p>
        </w:tc>
        <w:tc>
          <w:tcPr>
            <w:tcW w:w="898" w:type="dxa"/>
            <w:tcBorders>
              <w:bottom w:val="nil"/>
              <w:right w:val="single" w:sz="4" w:space="0" w:color="auto"/>
            </w:tcBorders>
            <w:vAlign w:val="center"/>
          </w:tcPr>
          <w:p w:rsidR="002B72B4" w:rsidRDefault="002B72B4" w:rsidP="001E7CAE">
            <w:pPr>
              <w:pStyle w:val="Manuscripttabletext"/>
              <w:jc w:val="center"/>
              <w:rPr>
                <w:lang w:val="en-US"/>
              </w:rPr>
            </w:pPr>
            <w:r w:rsidRPr="00481207">
              <w:t>13.04</w:t>
            </w:r>
          </w:p>
        </w:tc>
        <w:tc>
          <w:tcPr>
            <w:tcW w:w="3118" w:type="dxa"/>
            <w:vMerge/>
            <w:tcBorders>
              <w:left w:val="single" w:sz="4" w:space="0" w:color="auto"/>
            </w:tcBorders>
            <w:shd w:val="clear" w:color="auto" w:fill="auto"/>
          </w:tcPr>
          <w:p w:rsidR="002B72B4" w:rsidRDefault="002B72B4" w:rsidP="001E7CAE">
            <w:pPr>
              <w:pStyle w:val="Manuscripttabletext"/>
              <w:rPr>
                <w:lang w:val="en-US"/>
              </w:rPr>
            </w:pPr>
          </w:p>
        </w:tc>
      </w:tr>
      <w:tr w:rsidR="002B72B4" w:rsidTr="001E7CAE">
        <w:tc>
          <w:tcPr>
            <w:tcW w:w="2381" w:type="dxa"/>
            <w:tcBorders>
              <w:top w:val="nil"/>
            </w:tcBorders>
          </w:tcPr>
          <w:p w:rsidR="002B72B4" w:rsidRPr="00B6206B" w:rsidRDefault="002B72B4" w:rsidP="001E7CAE">
            <w:pPr>
              <w:pStyle w:val="Manuscripttabletext"/>
              <w:rPr>
                <w:lang w:val="en-US"/>
              </w:rPr>
            </w:pPr>
            <w:r w:rsidRPr="00B6206B">
              <w:t>(biosimilar)</w:t>
            </w:r>
          </w:p>
        </w:tc>
        <w:tc>
          <w:tcPr>
            <w:tcW w:w="1134" w:type="dxa"/>
            <w:tcBorders>
              <w:top w:val="nil"/>
            </w:tcBorders>
            <w:vAlign w:val="center"/>
          </w:tcPr>
          <w:p w:rsidR="002B72B4" w:rsidRDefault="002B72B4" w:rsidP="001E7CAE">
            <w:pPr>
              <w:pStyle w:val="Manuscripttabletext"/>
              <w:jc w:val="center"/>
              <w:rPr>
                <w:lang w:val="en-US"/>
              </w:rPr>
            </w:pPr>
            <w:r>
              <w:t>(£164.00)</w:t>
            </w:r>
          </w:p>
        </w:tc>
        <w:tc>
          <w:tcPr>
            <w:tcW w:w="899" w:type="dxa"/>
            <w:tcBorders>
              <w:top w:val="nil"/>
            </w:tcBorders>
            <w:vAlign w:val="center"/>
          </w:tcPr>
          <w:p w:rsidR="002B72B4" w:rsidRDefault="002B72B4" w:rsidP="001E7CAE">
            <w:pPr>
              <w:pStyle w:val="Manuscripttabletext"/>
              <w:jc w:val="center"/>
              <w:rPr>
                <w:lang w:val="en-US"/>
              </w:rPr>
            </w:pPr>
          </w:p>
        </w:tc>
        <w:tc>
          <w:tcPr>
            <w:tcW w:w="898" w:type="dxa"/>
            <w:tcBorders>
              <w:top w:val="nil"/>
            </w:tcBorders>
            <w:vAlign w:val="center"/>
          </w:tcPr>
          <w:p w:rsidR="002B72B4" w:rsidRDefault="002B72B4" w:rsidP="001E7CAE">
            <w:pPr>
              <w:pStyle w:val="Manuscripttabletext"/>
              <w:jc w:val="center"/>
              <w:rPr>
                <w:lang w:val="en-US"/>
              </w:rPr>
            </w:pPr>
          </w:p>
        </w:tc>
        <w:tc>
          <w:tcPr>
            <w:tcW w:w="898" w:type="dxa"/>
            <w:tcBorders>
              <w:top w:val="nil"/>
              <w:right w:val="single" w:sz="4" w:space="0" w:color="auto"/>
            </w:tcBorders>
            <w:vAlign w:val="center"/>
          </w:tcPr>
          <w:p w:rsidR="002B72B4" w:rsidRDefault="002B72B4" w:rsidP="001E7CAE">
            <w:pPr>
              <w:pStyle w:val="Manuscripttabletext"/>
              <w:jc w:val="center"/>
              <w:rPr>
                <w:lang w:val="en-US"/>
              </w:rPr>
            </w:pPr>
          </w:p>
        </w:tc>
        <w:tc>
          <w:tcPr>
            <w:tcW w:w="3118" w:type="dxa"/>
            <w:vMerge/>
            <w:tcBorders>
              <w:left w:val="single" w:sz="4" w:space="0" w:color="auto"/>
            </w:tcBorders>
            <w:shd w:val="clear" w:color="auto" w:fill="auto"/>
          </w:tcPr>
          <w:p w:rsidR="002B72B4" w:rsidRDefault="002B72B4" w:rsidP="001E7CAE">
            <w:pPr>
              <w:pStyle w:val="Manuscripttabletext"/>
              <w:rPr>
                <w:lang w:val="en-US"/>
              </w:rPr>
            </w:pPr>
          </w:p>
        </w:tc>
      </w:tr>
      <w:tr w:rsidR="002B72B4" w:rsidTr="001E7CAE">
        <w:tc>
          <w:tcPr>
            <w:tcW w:w="2381" w:type="dxa"/>
          </w:tcPr>
          <w:p w:rsidR="002B72B4" w:rsidRPr="00542A98" w:rsidRDefault="002B72B4" w:rsidP="001E7CAE">
            <w:pPr>
              <w:pStyle w:val="Manuscripttabletext"/>
            </w:pPr>
            <w:r>
              <w:t>GOL 50/100 mg s.c</w:t>
            </w:r>
            <w:r w:rsidRPr="00B6206B">
              <w:t>.</w:t>
            </w:r>
            <w:r w:rsidRPr="002A6448">
              <w:rPr>
                <w:vertAlign w:val="superscript"/>
              </w:rPr>
              <w:t>a</w:t>
            </w:r>
          </w:p>
        </w:tc>
        <w:tc>
          <w:tcPr>
            <w:tcW w:w="1134" w:type="dxa"/>
            <w:vAlign w:val="center"/>
          </w:tcPr>
          <w:p w:rsidR="002B72B4" w:rsidRDefault="002B72B4" w:rsidP="001E7CAE">
            <w:pPr>
              <w:pStyle w:val="Manuscripttabletext"/>
              <w:jc w:val="center"/>
              <w:rPr>
                <w:lang w:val="en-US"/>
              </w:rPr>
            </w:pPr>
            <w:r>
              <w:t>£958.31</w:t>
            </w:r>
          </w:p>
        </w:tc>
        <w:tc>
          <w:tcPr>
            <w:tcW w:w="899" w:type="dxa"/>
            <w:vAlign w:val="center"/>
          </w:tcPr>
          <w:p w:rsidR="002B72B4" w:rsidRDefault="002B72B4" w:rsidP="001E7CAE">
            <w:pPr>
              <w:pStyle w:val="Manuscripttabletext"/>
              <w:jc w:val="center"/>
              <w:rPr>
                <w:lang w:val="en-US"/>
              </w:rPr>
            </w:pPr>
            <w:r w:rsidRPr="00481207">
              <w:t>3.00</w:t>
            </w:r>
          </w:p>
        </w:tc>
        <w:tc>
          <w:tcPr>
            <w:tcW w:w="898" w:type="dxa"/>
            <w:vAlign w:val="center"/>
          </w:tcPr>
          <w:p w:rsidR="002B72B4" w:rsidRDefault="002B72B4" w:rsidP="001E7CAE">
            <w:pPr>
              <w:pStyle w:val="Manuscripttabletext"/>
              <w:jc w:val="center"/>
              <w:rPr>
                <w:lang w:val="en-US"/>
              </w:rPr>
            </w:pPr>
            <w:r w:rsidRPr="00481207">
              <w:t>3.00</w:t>
            </w:r>
          </w:p>
        </w:tc>
        <w:tc>
          <w:tcPr>
            <w:tcW w:w="898" w:type="dxa"/>
            <w:tcBorders>
              <w:right w:val="single" w:sz="4" w:space="0" w:color="auto"/>
            </w:tcBorders>
            <w:vAlign w:val="center"/>
          </w:tcPr>
          <w:p w:rsidR="002B72B4" w:rsidRDefault="002B72B4" w:rsidP="001E7CAE">
            <w:pPr>
              <w:pStyle w:val="Manuscripttabletext"/>
              <w:jc w:val="center"/>
              <w:rPr>
                <w:lang w:val="en-US"/>
              </w:rPr>
            </w:pPr>
            <w:r w:rsidRPr="00481207">
              <w:t>3.00</w:t>
            </w:r>
          </w:p>
        </w:tc>
        <w:tc>
          <w:tcPr>
            <w:tcW w:w="3118" w:type="dxa"/>
            <w:vMerge/>
            <w:tcBorders>
              <w:left w:val="single" w:sz="4" w:space="0" w:color="auto"/>
            </w:tcBorders>
            <w:shd w:val="clear" w:color="auto" w:fill="auto"/>
          </w:tcPr>
          <w:p w:rsidR="002B72B4" w:rsidRDefault="002B72B4" w:rsidP="001E7CAE">
            <w:pPr>
              <w:pStyle w:val="Manuscripttabletext"/>
              <w:rPr>
                <w:lang w:val="en-US"/>
              </w:rPr>
            </w:pPr>
          </w:p>
        </w:tc>
      </w:tr>
      <w:tr w:rsidR="002B72B4" w:rsidTr="001E7CAE">
        <w:tc>
          <w:tcPr>
            <w:tcW w:w="2381" w:type="dxa"/>
            <w:tcBorders>
              <w:bottom w:val="nil"/>
            </w:tcBorders>
          </w:tcPr>
          <w:p w:rsidR="002B72B4" w:rsidRPr="00B6206B" w:rsidRDefault="002B72B4" w:rsidP="001E7CAE">
            <w:pPr>
              <w:pStyle w:val="Manuscripttabletext"/>
            </w:pPr>
            <w:r w:rsidRPr="00B6206B">
              <w:t>INF 100 mg i.v.</w:t>
            </w:r>
          </w:p>
        </w:tc>
        <w:tc>
          <w:tcPr>
            <w:tcW w:w="1134" w:type="dxa"/>
            <w:tcBorders>
              <w:bottom w:val="nil"/>
            </w:tcBorders>
            <w:vAlign w:val="center"/>
          </w:tcPr>
          <w:p w:rsidR="002B72B4" w:rsidRDefault="002B72B4" w:rsidP="001E7CAE">
            <w:pPr>
              <w:pStyle w:val="Manuscripttabletext"/>
              <w:jc w:val="center"/>
              <w:rPr>
                <w:lang w:val="en-US"/>
              </w:rPr>
            </w:pPr>
            <w:r w:rsidRPr="00481207">
              <w:t>£419.62</w:t>
            </w:r>
          </w:p>
        </w:tc>
        <w:tc>
          <w:tcPr>
            <w:tcW w:w="899" w:type="dxa"/>
            <w:tcBorders>
              <w:bottom w:val="nil"/>
            </w:tcBorders>
            <w:vAlign w:val="center"/>
          </w:tcPr>
          <w:p w:rsidR="002B72B4" w:rsidRDefault="002B72B4" w:rsidP="001E7CAE">
            <w:pPr>
              <w:pStyle w:val="Manuscripttabletext"/>
              <w:jc w:val="center"/>
              <w:rPr>
                <w:lang w:val="en-US"/>
              </w:rPr>
            </w:pPr>
            <w:r w:rsidRPr="00481207">
              <w:t>3.00</w:t>
            </w:r>
          </w:p>
        </w:tc>
        <w:tc>
          <w:tcPr>
            <w:tcW w:w="898" w:type="dxa"/>
            <w:tcBorders>
              <w:bottom w:val="nil"/>
            </w:tcBorders>
            <w:vAlign w:val="center"/>
          </w:tcPr>
          <w:p w:rsidR="002B72B4" w:rsidRDefault="002B72B4" w:rsidP="001E7CAE">
            <w:pPr>
              <w:pStyle w:val="Manuscripttabletext"/>
              <w:jc w:val="center"/>
              <w:rPr>
                <w:lang w:val="en-US"/>
              </w:rPr>
            </w:pPr>
            <w:r w:rsidRPr="00481207">
              <w:t>2.00</w:t>
            </w:r>
          </w:p>
        </w:tc>
        <w:tc>
          <w:tcPr>
            <w:tcW w:w="898" w:type="dxa"/>
            <w:tcBorders>
              <w:bottom w:val="nil"/>
              <w:right w:val="single" w:sz="4" w:space="0" w:color="auto"/>
            </w:tcBorders>
            <w:vAlign w:val="center"/>
          </w:tcPr>
          <w:p w:rsidR="002B72B4" w:rsidRDefault="002B72B4" w:rsidP="001E7CAE">
            <w:pPr>
              <w:pStyle w:val="Manuscripttabletext"/>
              <w:jc w:val="center"/>
              <w:rPr>
                <w:lang w:val="en-US"/>
              </w:rPr>
            </w:pPr>
            <w:r w:rsidRPr="00481207">
              <w:t>1.63</w:t>
            </w:r>
          </w:p>
        </w:tc>
        <w:tc>
          <w:tcPr>
            <w:tcW w:w="3118" w:type="dxa"/>
            <w:vMerge/>
            <w:tcBorders>
              <w:left w:val="single" w:sz="4" w:space="0" w:color="auto"/>
            </w:tcBorders>
            <w:shd w:val="clear" w:color="auto" w:fill="auto"/>
          </w:tcPr>
          <w:p w:rsidR="002B72B4" w:rsidRDefault="002B72B4" w:rsidP="001E7CAE">
            <w:pPr>
              <w:pStyle w:val="Manuscripttabletext"/>
              <w:rPr>
                <w:lang w:val="en-US"/>
              </w:rPr>
            </w:pPr>
          </w:p>
        </w:tc>
      </w:tr>
      <w:tr w:rsidR="002B72B4" w:rsidTr="001E7CAE">
        <w:tc>
          <w:tcPr>
            <w:tcW w:w="2381" w:type="dxa"/>
            <w:tcBorders>
              <w:top w:val="nil"/>
            </w:tcBorders>
          </w:tcPr>
          <w:p w:rsidR="002B72B4" w:rsidRPr="00B6206B" w:rsidRDefault="002B72B4" w:rsidP="001E7CAE">
            <w:pPr>
              <w:pStyle w:val="Manuscripttabletext"/>
            </w:pPr>
            <w:r w:rsidRPr="00B6206B">
              <w:t>(biosimilar)</w:t>
            </w:r>
          </w:p>
        </w:tc>
        <w:tc>
          <w:tcPr>
            <w:tcW w:w="1134" w:type="dxa"/>
            <w:tcBorders>
              <w:top w:val="nil"/>
            </w:tcBorders>
            <w:vAlign w:val="center"/>
          </w:tcPr>
          <w:p w:rsidR="002B72B4" w:rsidRDefault="002B72B4" w:rsidP="001E7CAE">
            <w:pPr>
              <w:pStyle w:val="Manuscripttabletext"/>
              <w:jc w:val="center"/>
              <w:rPr>
                <w:lang w:val="en-US"/>
              </w:rPr>
            </w:pPr>
            <w:r>
              <w:t>(£377.66)</w:t>
            </w:r>
          </w:p>
        </w:tc>
        <w:tc>
          <w:tcPr>
            <w:tcW w:w="899" w:type="dxa"/>
            <w:tcBorders>
              <w:top w:val="nil"/>
            </w:tcBorders>
            <w:vAlign w:val="center"/>
          </w:tcPr>
          <w:p w:rsidR="002B72B4" w:rsidRDefault="002B72B4" w:rsidP="001E7CAE">
            <w:pPr>
              <w:pStyle w:val="Manuscripttabletext"/>
              <w:jc w:val="center"/>
              <w:rPr>
                <w:lang w:val="en-US"/>
              </w:rPr>
            </w:pPr>
          </w:p>
        </w:tc>
        <w:tc>
          <w:tcPr>
            <w:tcW w:w="898" w:type="dxa"/>
            <w:tcBorders>
              <w:top w:val="nil"/>
            </w:tcBorders>
            <w:vAlign w:val="center"/>
          </w:tcPr>
          <w:p w:rsidR="002B72B4" w:rsidRDefault="002B72B4" w:rsidP="001E7CAE">
            <w:pPr>
              <w:pStyle w:val="Manuscripttabletext"/>
              <w:jc w:val="center"/>
              <w:rPr>
                <w:lang w:val="en-US"/>
              </w:rPr>
            </w:pPr>
          </w:p>
        </w:tc>
        <w:tc>
          <w:tcPr>
            <w:tcW w:w="898" w:type="dxa"/>
            <w:tcBorders>
              <w:top w:val="nil"/>
              <w:right w:val="single" w:sz="4" w:space="0" w:color="auto"/>
            </w:tcBorders>
            <w:vAlign w:val="center"/>
          </w:tcPr>
          <w:p w:rsidR="002B72B4" w:rsidRDefault="002B72B4" w:rsidP="001E7CAE">
            <w:pPr>
              <w:pStyle w:val="Manuscripttabletext"/>
              <w:jc w:val="center"/>
              <w:rPr>
                <w:lang w:val="en-US"/>
              </w:rPr>
            </w:pPr>
          </w:p>
        </w:tc>
        <w:tc>
          <w:tcPr>
            <w:tcW w:w="3118" w:type="dxa"/>
            <w:vMerge/>
            <w:tcBorders>
              <w:left w:val="single" w:sz="4" w:space="0" w:color="auto"/>
            </w:tcBorders>
            <w:shd w:val="clear" w:color="auto" w:fill="auto"/>
          </w:tcPr>
          <w:p w:rsidR="002B72B4" w:rsidRDefault="002B72B4" w:rsidP="001E7CAE">
            <w:pPr>
              <w:pStyle w:val="Manuscripttabletext"/>
              <w:rPr>
                <w:lang w:val="en-US"/>
              </w:rPr>
            </w:pPr>
          </w:p>
        </w:tc>
      </w:tr>
      <w:tr w:rsidR="002B72B4" w:rsidTr="001E7CAE">
        <w:tc>
          <w:tcPr>
            <w:tcW w:w="2381" w:type="dxa"/>
            <w:tcBorders>
              <w:bottom w:val="single" w:sz="4" w:space="0" w:color="auto"/>
            </w:tcBorders>
          </w:tcPr>
          <w:p w:rsidR="002B72B4" w:rsidRPr="00B6206B" w:rsidRDefault="002B72B4" w:rsidP="001E7CAE">
            <w:pPr>
              <w:pStyle w:val="Manuscripttabletext"/>
            </w:pPr>
            <w:r w:rsidRPr="00B6206B">
              <w:t>Methotrexate 25 mg</w:t>
            </w:r>
            <w:r>
              <w:t xml:space="preserve"> (SoC)</w:t>
            </w:r>
          </w:p>
        </w:tc>
        <w:tc>
          <w:tcPr>
            <w:tcW w:w="1134" w:type="dxa"/>
            <w:tcBorders>
              <w:bottom w:val="single" w:sz="4" w:space="0" w:color="auto"/>
            </w:tcBorders>
            <w:vAlign w:val="center"/>
          </w:tcPr>
          <w:p w:rsidR="002B72B4" w:rsidRDefault="002B72B4" w:rsidP="001E7CAE">
            <w:pPr>
              <w:pStyle w:val="Manuscripttabletext"/>
              <w:jc w:val="center"/>
              <w:rPr>
                <w:lang w:val="en-US"/>
              </w:rPr>
            </w:pPr>
            <w:r w:rsidRPr="00481207">
              <w:t>£0.</w:t>
            </w:r>
            <w:r>
              <w:t>95</w:t>
            </w:r>
          </w:p>
        </w:tc>
        <w:tc>
          <w:tcPr>
            <w:tcW w:w="899" w:type="dxa"/>
            <w:tcBorders>
              <w:bottom w:val="single" w:sz="4" w:space="0" w:color="auto"/>
            </w:tcBorders>
            <w:vAlign w:val="center"/>
          </w:tcPr>
          <w:p w:rsidR="002B72B4" w:rsidRDefault="002B72B4" w:rsidP="001E7CAE">
            <w:pPr>
              <w:pStyle w:val="Manuscripttabletext"/>
              <w:jc w:val="center"/>
              <w:rPr>
                <w:lang w:val="en-US"/>
              </w:rPr>
            </w:pPr>
            <w:r w:rsidRPr="00481207">
              <w:t>7.00</w:t>
            </w:r>
          </w:p>
        </w:tc>
        <w:tc>
          <w:tcPr>
            <w:tcW w:w="898" w:type="dxa"/>
            <w:tcBorders>
              <w:bottom w:val="single" w:sz="4" w:space="0" w:color="auto"/>
            </w:tcBorders>
            <w:vAlign w:val="center"/>
          </w:tcPr>
          <w:p w:rsidR="002B72B4" w:rsidRDefault="002B72B4" w:rsidP="001E7CAE">
            <w:pPr>
              <w:pStyle w:val="Manuscripttabletext"/>
              <w:jc w:val="center"/>
              <w:rPr>
                <w:lang w:val="en-US"/>
              </w:rPr>
            </w:pPr>
            <w:r w:rsidRPr="00481207">
              <w:t>3.00</w:t>
            </w:r>
          </w:p>
        </w:tc>
        <w:tc>
          <w:tcPr>
            <w:tcW w:w="898" w:type="dxa"/>
            <w:tcBorders>
              <w:bottom w:val="single" w:sz="4" w:space="0" w:color="auto"/>
              <w:right w:val="single" w:sz="4" w:space="0" w:color="auto"/>
            </w:tcBorders>
            <w:vAlign w:val="center"/>
          </w:tcPr>
          <w:p w:rsidR="002B72B4" w:rsidRDefault="002B72B4" w:rsidP="001E7CAE">
            <w:pPr>
              <w:pStyle w:val="Manuscripttabletext"/>
              <w:jc w:val="center"/>
              <w:rPr>
                <w:lang w:val="en-US"/>
              </w:rPr>
            </w:pPr>
            <w:r w:rsidRPr="00481207">
              <w:t>3.00</w:t>
            </w:r>
          </w:p>
        </w:tc>
        <w:tc>
          <w:tcPr>
            <w:tcW w:w="3118" w:type="dxa"/>
            <w:vMerge/>
            <w:tcBorders>
              <w:left w:val="single" w:sz="4" w:space="0" w:color="auto"/>
            </w:tcBorders>
            <w:shd w:val="clear" w:color="auto" w:fill="auto"/>
          </w:tcPr>
          <w:p w:rsidR="002B72B4" w:rsidRDefault="002B72B4" w:rsidP="001E7CAE">
            <w:pPr>
              <w:pStyle w:val="Manuscripttabletext"/>
              <w:rPr>
                <w:lang w:val="en-US"/>
              </w:rPr>
            </w:pPr>
          </w:p>
        </w:tc>
      </w:tr>
      <w:tr w:rsidR="002B72B4" w:rsidTr="001E7CAE">
        <w:tc>
          <w:tcPr>
            <w:tcW w:w="6210" w:type="dxa"/>
            <w:gridSpan w:val="5"/>
            <w:tcBorders>
              <w:right w:val="nil"/>
            </w:tcBorders>
            <w:shd w:val="clear" w:color="auto" w:fill="D9D9D9" w:themeFill="background1" w:themeFillShade="D9"/>
            <w:vAlign w:val="center"/>
          </w:tcPr>
          <w:p w:rsidR="002B72B4" w:rsidRDefault="002B72B4" w:rsidP="001E7CAE">
            <w:pPr>
              <w:pStyle w:val="Manuscripttabletext"/>
              <w:rPr>
                <w:lang w:val="en-US"/>
              </w:rPr>
            </w:pPr>
            <w:r w:rsidRPr="00B6206B">
              <w:rPr>
                <w:b/>
              </w:rPr>
              <w:t>Administration</w:t>
            </w:r>
          </w:p>
        </w:tc>
        <w:tc>
          <w:tcPr>
            <w:tcW w:w="3118" w:type="dxa"/>
            <w:tcBorders>
              <w:left w:val="nil"/>
            </w:tcBorders>
            <w:shd w:val="clear" w:color="auto" w:fill="D9D9D9" w:themeFill="background1" w:themeFillShade="D9"/>
          </w:tcPr>
          <w:p w:rsidR="002B72B4" w:rsidRDefault="002B72B4" w:rsidP="001E7CAE">
            <w:pPr>
              <w:pStyle w:val="Manuscripttabletext"/>
              <w:rPr>
                <w:lang w:val="en-US"/>
              </w:rPr>
            </w:pPr>
          </w:p>
        </w:tc>
      </w:tr>
      <w:tr w:rsidR="002B72B4" w:rsidTr="001E7CAE">
        <w:tc>
          <w:tcPr>
            <w:tcW w:w="2381" w:type="dxa"/>
            <w:vAlign w:val="center"/>
          </w:tcPr>
          <w:p w:rsidR="002B72B4" w:rsidRDefault="002B72B4" w:rsidP="001E7CAE">
            <w:pPr>
              <w:pStyle w:val="Manuscripttabletext"/>
            </w:pPr>
            <w:r>
              <w:t>s.c.</w:t>
            </w:r>
          </w:p>
        </w:tc>
        <w:tc>
          <w:tcPr>
            <w:tcW w:w="1134" w:type="dxa"/>
            <w:vAlign w:val="center"/>
          </w:tcPr>
          <w:p w:rsidR="002B72B4" w:rsidRDefault="002B72B4" w:rsidP="001E7CAE">
            <w:pPr>
              <w:pStyle w:val="Manuscripttabletext"/>
              <w:jc w:val="center"/>
              <w:rPr>
                <w:lang w:val="en-US"/>
              </w:rPr>
            </w:pPr>
            <w:r w:rsidRPr="00481207">
              <w:t>£</w:t>
            </w:r>
            <w:r>
              <w:t>35.00</w:t>
            </w:r>
          </w:p>
        </w:tc>
        <w:tc>
          <w:tcPr>
            <w:tcW w:w="2695" w:type="dxa"/>
            <w:gridSpan w:val="3"/>
            <w:vAlign w:val="center"/>
          </w:tcPr>
          <w:p w:rsidR="002B72B4" w:rsidRDefault="002B72B4" w:rsidP="001E7CAE">
            <w:pPr>
              <w:pStyle w:val="Manuscripttabletext"/>
              <w:rPr>
                <w:lang w:val="en-US"/>
              </w:rPr>
            </w:pPr>
            <w:r>
              <w:rPr>
                <w:lang w:val="en-US"/>
              </w:rPr>
              <w:t>F</w:t>
            </w:r>
            <w:r w:rsidRPr="00C5497B">
              <w:rPr>
                <w:lang w:val="en-US"/>
              </w:rPr>
              <w:t>irst administration only</w:t>
            </w:r>
          </w:p>
        </w:tc>
        <w:tc>
          <w:tcPr>
            <w:tcW w:w="3118" w:type="dxa"/>
            <w:vAlign w:val="center"/>
          </w:tcPr>
          <w:p w:rsidR="002B72B4" w:rsidRPr="00C5497B" w:rsidRDefault="002B72B4" w:rsidP="001E7CAE">
            <w:pPr>
              <w:pStyle w:val="Manuscripttabletext"/>
            </w:pPr>
            <w:r>
              <w:t>C</w:t>
            </w:r>
            <w:r w:rsidRPr="00481207">
              <w:t>ost of ½ hour training with specialist community nurse, incl. qualifications</w:t>
            </w:r>
            <w:r>
              <w:t xml:space="preserve"> </w:t>
            </w:r>
            <w:r w:rsidR="00291645">
              <w:rPr>
                <w:noProof/>
              </w:rPr>
              <w:t>[</w:t>
            </w:r>
            <w:r w:rsidR="00D36C5F">
              <w:rPr>
                <w:noProof/>
              </w:rPr>
              <w:t>44</w:t>
            </w:r>
            <w:r>
              <w:rPr>
                <w:noProof/>
              </w:rPr>
              <w:t>]</w:t>
            </w:r>
          </w:p>
        </w:tc>
      </w:tr>
      <w:tr w:rsidR="002B72B4" w:rsidTr="001E7CAE">
        <w:tc>
          <w:tcPr>
            <w:tcW w:w="2381" w:type="dxa"/>
            <w:tcBorders>
              <w:bottom w:val="single" w:sz="4" w:space="0" w:color="auto"/>
            </w:tcBorders>
            <w:vAlign w:val="center"/>
          </w:tcPr>
          <w:p w:rsidR="002B72B4" w:rsidRDefault="002B72B4" w:rsidP="001E7CAE">
            <w:pPr>
              <w:pStyle w:val="Manuscripttabletext"/>
            </w:pPr>
            <w:r>
              <w:t>i.v.</w:t>
            </w:r>
          </w:p>
        </w:tc>
        <w:tc>
          <w:tcPr>
            <w:tcW w:w="1134" w:type="dxa"/>
            <w:tcBorders>
              <w:bottom w:val="single" w:sz="4" w:space="0" w:color="auto"/>
            </w:tcBorders>
            <w:vAlign w:val="center"/>
          </w:tcPr>
          <w:p w:rsidR="002B72B4" w:rsidRDefault="002B72B4" w:rsidP="001E7CAE">
            <w:pPr>
              <w:pStyle w:val="Manuscripttabletext"/>
              <w:jc w:val="center"/>
              <w:rPr>
                <w:lang w:val="en-US"/>
              </w:rPr>
            </w:pPr>
            <w:r w:rsidRPr="00481207">
              <w:t>£</w:t>
            </w:r>
            <w:r>
              <w:t>328.10</w:t>
            </w:r>
          </w:p>
        </w:tc>
        <w:tc>
          <w:tcPr>
            <w:tcW w:w="2695" w:type="dxa"/>
            <w:gridSpan w:val="3"/>
            <w:tcBorders>
              <w:bottom w:val="single" w:sz="4" w:space="0" w:color="auto"/>
            </w:tcBorders>
            <w:vAlign w:val="center"/>
          </w:tcPr>
          <w:p w:rsidR="002B72B4" w:rsidRDefault="002B72B4" w:rsidP="001E7CAE">
            <w:pPr>
              <w:pStyle w:val="Manuscripttabletext"/>
              <w:rPr>
                <w:lang w:val="en-US"/>
              </w:rPr>
            </w:pPr>
            <w:r>
              <w:rPr>
                <w:lang w:val="en-US"/>
              </w:rPr>
              <w:t>P</w:t>
            </w:r>
            <w:r w:rsidRPr="00C5497B">
              <w:rPr>
                <w:lang w:val="en-US"/>
              </w:rPr>
              <w:t>er administration</w:t>
            </w:r>
          </w:p>
        </w:tc>
        <w:tc>
          <w:tcPr>
            <w:tcW w:w="3118" w:type="dxa"/>
            <w:vAlign w:val="center"/>
          </w:tcPr>
          <w:p w:rsidR="002B72B4" w:rsidRDefault="002B72B4" w:rsidP="001E7CAE">
            <w:pPr>
              <w:pStyle w:val="Manuscripttabletext"/>
              <w:rPr>
                <w:lang w:val="en-US"/>
              </w:rPr>
            </w:pPr>
            <w:r>
              <w:t xml:space="preserve">SB15Z – </w:t>
            </w:r>
            <w:r w:rsidRPr="00481207">
              <w:t>Day case</w:t>
            </w:r>
            <w:r>
              <w:t>;</w:t>
            </w:r>
            <w:r w:rsidRPr="00481207">
              <w:t xml:space="preserve"> deliver subsequent el</w:t>
            </w:r>
            <w:r>
              <w:t xml:space="preserve">ements of a chemotherapy cycle </w:t>
            </w:r>
            <w:r w:rsidR="00291645">
              <w:rPr>
                <w:noProof/>
              </w:rPr>
              <w:t>[</w:t>
            </w:r>
            <w:r w:rsidR="00D36C5F">
              <w:rPr>
                <w:noProof/>
              </w:rPr>
              <w:t>45</w:t>
            </w:r>
            <w:r>
              <w:rPr>
                <w:noProof/>
              </w:rPr>
              <w:t>]</w:t>
            </w:r>
          </w:p>
        </w:tc>
      </w:tr>
      <w:tr w:rsidR="002B72B4" w:rsidTr="001E7CAE">
        <w:tc>
          <w:tcPr>
            <w:tcW w:w="6210" w:type="dxa"/>
            <w:gridSpan w:val="5"/>
            <w:tcBorders>
              <w:right w:val="nil"/>
            </w:tcBorders>
            <w:shd w:val="clear" w:color="auto" w:fill="D9D9D9" w:themeFill="background1" w:themeFillShade="D9"/>
            <w:vAlign w:val="center"/>
          </w:tcPr>
          <w:p w:rsidR="002B72B4" w:rsidRDefault="002B72B4" w:rsidP="001E7CAE">
            <w:pPr>
              <w:pStyle w:val="Manuscripttableheading"/>
              <w:rPr>
                <w:lang w:val="en-US"/>
              </w:rPr>
            </w:pPr>
            <w:r>
              <w:t>Monitoring</w:t>
            </w:r>
          </w:p>
        </w:tc>
        <w:tc>
          <w:tcPr>
            <w:tcW w:w="3118" w:type="dxa"/>
            <w:tcBorders>
              <w:left w:val="nil"/>
            </w:tcBorders>
            <w:shd w:val="clear" w:color="auto" w:fill="D9D9D9" w:themeFill="background1" w:themeFillShade="D9"/>
          </w:tcPr>
          <w:p w:rsidR="002B72B4" w:rsidRDefault="002B72B4" w:rsidP="001E7CAE">
            <w:pPr>
              <w:pStyle w:val="Manuscripttabletext"/>
              <w:rPr>
                <w:lang w:val="en-US"/>
              </w:rPr>
            </w:pPr>
          </w:p>
        </w:tc>
      </w:tr>
      <w:tr w:rsidR="002B72B4" w:rsidTr="001E7CAE">
        <w:tc>
          <w:tcPr>
            <w:tcW w:w="6210" w:type="dxa"/>
            <w:gridSpan w:val="5"/>
            <w:shd w:val="clear" w:color="auto" w:fill="D5DCE4" w:themeFill="text2" w:themeFillTint="33"/>
            <w:vAlign w:val="center"/>
          </w:tcPr>
          <w:p w:rsidR="002B72B4" w:rsidRDefault="002B72B4" w:rsidP="001E7CAE">
            <w:pPr>
              <w:pStyle w:val="Manuscripttableheading"/>
              <w:rPr>
                <w:lang w:val="en-US"/>
              </w:rPr>
            </w:pPr>
            <w:r>
              <w:t>Medical visits (s.c. only)</w:t>
            </w:r>
          </w:p>
        </w:tc>
        <w:tc>
          <w:tcPr>
            <w:tcW w:w="3118" w:type="dxa"/>
            <w:shd w:val="clear" w:color="auto" w:fill="auto"/>
            <w:vAlign w:val="center"/>
          </w:tcPr>
          <w:p w:rsidR="002B72B4" w:rsidRDefault="002B72B4" w:rsidP="001E7CAE">
            <w:pPr>
              <w:pStyle w:val="Manuscripttabletext"/>
              <w:rPr>
                <w:lang w:val="en-US"/>
              </w:rPr>
            </w:pPr>
            <w:r>
              <w:t xml:space="preserve">NHS reference costs 2015/16 </w:t>
            </w:r>
            <w:r w:rsidR="00291645">
              <w:rPr>
                <w:noProof/>
              </w:rPr>
              <w:t>[</w:t>
            </w:r>
            <w:r w:rsidR="00D36C5F">
              <w:rPr>
                <w:noProof/>
              </w:rPr>
              <w:t>45</w:t>
            </w:r>
            <w:r>
              <w:rPr>
                <w:noProof/>
              </w:rPr>
              <w:t>]</w:t>
            </w:r>
          </w:p>
        </w:tc>
      </w:tr>
      <w:tr w:rsidR="002B72B4" w:rsidTr="001E7CAE">
        <w:tc>
          <w:tcPr>
            <w:tcW w:w="2381" w:type="dxa"/>
            <w:vAlign w:val="center"/>
          </w:tcPr>
          <w:p w:rsidR="002B72B4" w:rsidRDefault="002B72B4" w:rsidP="001E7CAE">
            <w:pPr>
              <w:pStyle w:val="Manuscripttabletext"/>
            </w:pPr>
            <w:r w:rsidRPr="00481207">
              <w:t xml:space="preserve">Outpatient </w:t>
            </w:r>
          </w:p>
          <w:p w:rsidR="002B72B4" w:rsidRDefault="002B72B4" w:rsidP="001E7CAE">
            <w:pPr>
              <w:pStyle w:val="Manuscripttabletext"/>
            </w:pPr>
            <w:r w:rsidRPr="00481207">
              <w:t>(rheumatology clinic)</w:t>
            </w:r>
          </w:p>
        </w:tc>
        <w:tc>
          <w:tcPr>
            <w:tcW w:w="1134" w:type="dxa"/>
            <w:vAlign w:val="center"/>
          </w:tcPr>
          <w:p w:rsidR="002B72B4" w:rsidRDefault="002B72B4" w:rsidP="001E7CAE">
            <w:pPr>
              <w:pStyle w:val="Manuscripttabletext"/>
              <w:jc w:val="center"/>
              <w:rPr>
                <w:lang w:val="en-US"/>
              </w:rPr>
            </w:pPr>
            <w:r w:rsidRPr="00481207">
              <w:t>£</w:t>
            </w:r>
            <w:r>
              <w:t>137.04</w:t>
            </w:r>
          </w:p>
        </w:tc>
        <w:tc>
          <w:tcPr>
            <w:tcW w:w="899" w:type="dxa"/>
            <w:vAlign w:val="center"/>
          </w:tcPr>
          <w:p w:rsidR="002B72B4" w:rsidRDefault="002B72B4" w:rsidP="001E7CAE">
            <w:pPr>
              <w:pStyle w:val="Manuscripttabletext"/>
              <w:jc w:val="center"/>
              <w:rPr>
                <w:lang w:val="en-US"/>
              </w:rPr>
            </w:pPr>
            <w:r>
              <w:rPr>
                <w:lang w:val="en-US"/>
              </w:rPr>
              <w:t>1.00</w:t>
            </w:r>
          </w:p>
        </w:tc>
        <w:tc>
          <w:tcPr>
            <w:tcW w:w="898" w:type="dxa"/>
            <w:vAlign w:val="center"/>
          </w:tcPr>
          <w:p w:rsidR="002B72B4" w:rsidRDefault="002B72B4" w:rsidP="001E7CAE">
            <w:pPr>
              <w:pStyle w:val="Manuscripttabletext"/>
              <w:jc w:val="center"/>
              <w:rPr>
                <w:lang w:val="en-US"/>
              </w:rPr>
            </w:pPr>
            <w:r>
              <w:rPr>
                <w:lang w:val="en-US"/>
              </w:rPr>
              <w:t>1.00</w:t>
            </w:r>
          </w:p>
        </w:tc>
        <w:tc>
          <w:tcPr>
            <w:tcW w:w="898" w:type="dxa"/>
            <w:vAlign w:val="center"/>
          </w:tcPr>
          <w:p w:rsidR="002B72B4" w:rsidRDefault="002B72B4" w:rsidP="001E7CAE">
            <w:pPr>
              <w:pStyle w:val="Manuscripttabletext"/>
              <w:jc w:val="center"/>
              <w:rPr>
                <w:lang w:val="en-US"/>
              </w:rPr>
            </w:pPr>
            <w:r>
              <w:rPr>
                <w:lang w:val="en-US"/>
              </w:rPr>
              <w:t>0.5</w:t>
            </w:r>
          </w:p>
        </w:tc>
        <w:tc>
          <w:tcPr>
            <w:tcW w:w="3118" w:type="dxa"/>
            <w:vAlign w:val="center"/>
          </w:tcPr>
          <w:p w:rsidR="002B72B4" w:rsidRDefault="002B72B4" w:rsidP="001E7CAE">
            <w:pPr>
              <w:pStyle w:val="Manuscripttabletext"/>
              <w:rPr>
                <w:lang w:val="en-US"/>
              </w:rPr>
            </w:pPr>
            <w:r w:rsidRPr="00481207">
              <w:t xml:space="preserve">WF01A </w:t>
            </w:r>
            <w:r>
              <w:t>–</w:t>
            </w:r>
            <w:r w:rsidRPr="00481207">
              <w:t xml:space="preserve"> Rheumatology consultant-led non-admitted face</w:t>
            </w:r>
            <w:r>
              <w:t xml:space="preserve"> to face attendance, follow-up</w:t>
            </w:r>
          </w:p>
        </w:tc>
      </w:tr>
      <w:tr w:rsidR="002B72B4" w:rsidTr="001E7CAE">
        <w:tc>
          <w:tcPr>
            <w:tcW w:w="6210" w:type="dxa"/>
            <w:gridSpan w:val="5"/>
            <w:shd w:val="clear" w:color="auto" w:fill="D5DCE4" w:themeFill="text2" w:themeFillTint="33"/>
            <w:vAlign w:val="center"/>
          </w:tcPr>
          <w:p w:rsidR="002B72B4" w:rsidRDefault="002B72B4" w:rsidP="001E7CAE">
            <w:pPr>
              <w:pStyle w:val="Manuscripttableheading"/>
              <w:rPr>
                <w:lang w:val="en-US"/>
              </w:rPr>
            </w:pPr>
            <w:r>
              <w:t>Laboratory tests (all biologics)</w:t>
            </w:r>
            <w:r>
              <w:rPr>
                <w:vertAlign w:val="superscript"/>
              </w:rPr>
              <w:t>b</w:t>
            </w:r>
          </w:p>
        </w:tc>
        <w:tc>
          <w:tcPr>
            <w:tcW w:w="3118" w:type="dxa"/>
            <w:shd w:val="clear" w:color="auto" w:fill="auto"/>
            <w:vAlign w:val="center"/>
          </w:tcPr>
          <w:p w:rsidR="002B72B4" w:rsidRPr="002A6448" w:rsidRDefault="002B72B4" w:rsidP="001E7CAE">
            <w:pPr>
              <w:pStyle w:val="Manuscripttabletext"/>
            </w:pPr>
            <w:r>
              <w:t xml:space="preserve">NHS reference costs 2015/16 </w:t>
            </w:r>
            <w:r>
              <w:rPr>
                <w:noProof/>
              </w:rPr>
              <w:t>[</w:t>
            </w:r>
            <w:r w:rsidR="00D36C5F">
              <w:rPr>
                <w:noProof/>
              </w:rPr>
              <w:t>45</w:t>
            </w:r>
            <w:r>
              <w:rPr>
                <w:noProof/>
              </w:rPr>
              <w:t>]</w:t>
            </w:r>
            <w:r>
              <w:t>; Rodgers</w:t>
            </w:r>
            <w:r w:rsidR="00426EA3">
              <w:t xml:space="preserve"> et al.</w:t>
            </w:r>
            <w:r>
              <w:t xml:space="preserve"> </w:t>
            </w:r>
            <w:r>
              <w:rPr>
                <w:noProof/>
              </w:rPr>
              <w:t>[</w:t>
            </w:r>
            <w:r w:rsidR="00D36C5F">
              <w:rPr>
                <w:noProof/>
              </w:rPr>
              <w:t>36</w:t>
            </w:r>
            <w:r>
              <w:rPr>
                <w:noProof/>
              </w:rPr>
              <w:t>]</w:t>
            </w:r>
          </w:p>
        </w:tc>
      </w:tr>
      <w:tr w:rsidR="002B72B4" w:rsidTr="001E7CAE">
        <w:tc>
          <w:tcPr>
            <w:tcW w:w="2381" w:type="dxa"/>
            <w:vAlign w:val="center"/>
          </w:tcPr>
          <w:p w:rsidR="002B72B4" w:rsidRDefault="002B72B4" w:rsidP="001E7CAE">
            <w:pPr>
              <w:pStyle w:val="Manuscripttabletext"/>
            </w:pPr>
            <w:r w:rsidRPr="00481207">
              <w:t>Full blood count</w:t>
            </w:r>
          </w:p>
        </w:tc>
        <w:tc>
          <w:tcPr>
            <w:tcW w:w="1134" w:type="dxa"/>
            <w:vAlign w:val="center"/>
          </w:tcPr>
          <w:p w:rsidR="002B72B4" w:rsidRDefault="002B72B4" w:rsidP="001E7CAE">
            <w:pPr>
              <w:pStyle w:val="Manuscripttabletext"/>
              <w:jc w:val="center"/>
              <w:rPr>
                <w:lang w:val="en-US"/>
              </w:rPr>
            </w:pPr>
            <w:r w:rsidRPr="00481207">
              <w:t>£</w:t>
            </w:r>
            <w:r>
              <w:t>3.03</w:t>
            </w:r>
          </w:p>
        </w:tc>
        <w:tc>
          <w:tcPr>
            <w:tcW w:w="899" w:type="dxa"/>
            <w:vAlign w:val="center"/>
          </w:tcPr>
          <w:p w:rsidR="002B72B4" w:rsidRDefault="002B72B4" w:rsidP="001E7CAE">
            <w:pPr>
              <w:pStyle w:val="Manuscripttabletext"/>
              <w:jc w:val="center"/>
              <w:rPr>
                <w:lang w:val="en-US"/>
              </w:rPr>
            </w:pPr>
            <w:r w:rsidRPr="00481207">
              <w:t>2.00</w:t>
            </w:r>
          </w:p>
        </w:tc>
        <w:tc>
          <w:tcPr>
            <w:tcW w:w="1796" w:type="dxa"/>
            <w:gridSpan w:val="2"/>
            <w:vAlign w:val="center"/>
          </w:tcPr>
          <w:p w:rsidR="002B72B4" w:rsidRDefault="002B72B4" w:rsidP="001E7CAE">
            <w:pPr>
              <w:pStyle w:val="Manuscripttabletext"/>
              <w:jc w:val="center"/>
              <w:rPr>
                <w:lang w:val="en-US"/>
              </w:rPr>
            </w:pPr>
            <w:r w:rsidRPr="00481207">
              <w:t>0.50</w:t>
            </w:r>
          </w:p>
        </w:tc>
        <w:tc>
          <w:tcPr>
            <w:tcW w:w="3118" w:type="dxa"/>
            <w:vAlign w:val="center"/>
          </w:tcPr>
          <w:p w:rsidR="002B72B4" w:rsidRDefault="002B72B4" w:rsidP="001E7CAE">
            <w:pPr>
              <w:pStyle w:val="Manuscripttabletext"/>
              <w:rPr>
                <w:lang w:val="en-US"/>
              </w:rPr>
            </w:pPr>
            <w:r>
              <w:t>DAPS05 – Haematology</w:t>
            </w:r>
          </w:p>
        </w:tc>
      </w:tr>
      <w:tr w:rsidR="002B72B4" w:rsidTr="001E7CAE">
        <w:tc>
          <w:tcPr>
            <w:tcW w:w="2381" w:type="dxa"/>
            <w:vAlign w:val="center"/>
          </w:tcPr>
          <w:p w:rsidR="002B72B4" w:rsidRDefault="002B72B4" w:rsidP="001E7CAE">
            <w:pPr>
              <w:pStyle w:val="Manuscripttabletext"/>
            </w:pPr>
            <w:r w:rsidRPr="00481207">
              <w:t>ESR</w:t>
            </w:r>
          </w:p>
        </w:tc>
        <w:tc>
          <w:tcPr>
            <w:tcW w:w="1134" w:type="dxa"/>
            <w:vAlign w:val="center"/>
          </w:tcPr>
          <w:p w:rsidR="002B72B4" w:rsidRDefault="002B72B4" w:rsidP="001E7CAE">
            <w:pPr>
              <w:pStyle w:val="Manuscripttabletext"/>
              <w:jc w:val="center"/>
              <w:rPr>
                <w:lang w:val="en-US"/>
              </w:rPr>
            </w:pPr>
            <w:r w:rsidRPr="00481207">
              <w:t>£</w:t>
            </w:r>
            <w:r>
              <w:t>3.00</w:t>
            </w:r>
          </w:p>
        </w:tc>
        <w:tc>
          <w:tcPr>
            <w:tcW w:w="899" w:type="dxa"/>
            <w:vAlign w:val="center"/>
          </w:tcPr>
          <w:p w:rsidR="002B72B4" w:rsidRDefault="002B72B4" w:rsidP="001E7CAE">
            <w:pPr>
              <w:pStyle w:val="Manuscripttabletext"/>
              <w:jc w:val="center"/>
              <w:rPr>
                <w:lang w:val="en-US"/>
              </w:rPr>
            </w:pPr>
            <w:r w:rsidRPr="00481207">
              <w:t>2.00</w:t>
            </w:r>
          </w:p>
        </w:tc>
        <w:tc>
          <w:tcPr>
            <w:tcW w:w="1796" w:type="dxa"/>
            <w:gridSpan w:val="2"/>
            <w:vAlign w:val="center"/>
          </w:tcPr>
          <w:p w:rsidR="002B72B4" w:rsidRDefault="002B72B4" w:rsidP="001E7CAE">
            <w:pPr>
              <w:pStyle w:val="Manuscripttabletext"/>
              <w:jc w:val="center"/>
              <w:rPr>
                <w:lang w:val="en-US"/>
              </w:rPr>
            </w:pPr>
            <w:r w:rsidRPr="00481207">
              <w:t>0.50</w:t>
            </w:r>
          </w:p>
        </w:tc>
        <w:tc>
          <w:tcPr>
            <w:tcW w:w="3118" w:type="dxa"/>
            <w:vAlign w:val="center"/>
          </w:tcPr>
          <w:p w:rsidR="002B72B4" w:rsidRDefault="002B72B4" w:rsidP="001E7CAE">
            <w:pPr>
              <w:pStyle w:val="Manuscripttabletext"/>
              <w:rPr>
                <w:lang w:val="en-US"/>
              </w:rPr>
            </w:pPr>
            <w:r>
              <w:t>DAPS05 – Haematology</w:t>
            </w:r>
          </w:p>
        </w:tc>
      </w:tr>
      <w:tr w:rsidR="002B72B4" w:rsidTr="001E7CAE">
        <w:tc>
          <w:tcPr>
            <w:tcW w:w="2381" w:type="dxa"/>
            <w:vAlign w:val="center"/>
          </w:tcPr>
          <w:p w:rsidR="002B72B4" w:rsidRDefault="002B72B4" w:rsidP="001E7CAE">
            <w:pPr>
              <w:pStyle w:val="Manuscripttabletext"/>
            </w:pPr>
            <w:r w:rsidRPr="00481207">
              <w:t>Liver function test</w:t>
            </w:r>
          </w:p>
        </w:tc>
        <w:tc>
          <w:tcPr>
            <w:tcW w:w="1134" w:type="dxa"/>
            <w:vAlign w:val="center"/>
          </w:tcPr>
          <w:p w:rsidR="002B72B4" w:rsidRDefault="002B72B4" w:rsidP="001E7CAE">
            <w:pPr>
              <w:pStyle w:val="Manuscripttabletext"/>
              <w:jc w:val="center"/>
              <w:rPr>
                <w:lang w:val="en-US"/>
              </w:rPr>
            </w:pPr>
            <w:r w:rsidRPr="00481207">
              <w:t>£</w:t>
            </w:r>
            <w:r>
              <w:t>0.76</w:t>
            </w:r>
          </w:p>
        </w:tc>
        <w:tc>
          <w:tcPr>
            <w:tcW w:w="899" w:type="dxa"/>
            <w:vAlign w:val="center"/>
          </w:tcPr>
          <w:p w:rsidR="002B72B4" w:rsidRDefault="002B72B4" w:rsidP="001E7CAE">
            <w:pPr>
              <w:pStyle w:val="Manuscripttabletext"/>
              <w:jc w:val="center"/>
              <w:rPr>
                <w:lang w:val="en-US"/>
              </w:rPr>
            </w:pPr>
            <w:r w:rsidRPr="00481207">
              <w:t>2.00</w:t>
            </w:r>
          </w:p>
        </w:tc>
        <w:tc>
          <w:tcPr>
            <w:tcW w:w="1796" w:type="dxa"/>
            <w:gridSpan w:val="2"/>
            <w:vAlign w:val="center"/>
          </w:tcPr>
          <w:p w:rsidR="002B72B4" w:rsidRDefault="002B72B4" w:rsidP="001E7CAE">
            <w:pPr>
              <w:pStyle w:val="Manuscripttabletext"/>
              <w:jc w:val="center"/>
              <w:rPr>
                <w:lang w:val="en-US"/>
              </w:rPr>
            </w:pPr>
            <w:r w:rsidRPr="00481207">
              <w:t>0.50</w:t>
            </w:r>
          </w:p>
        </w:tc>
        <w:tc>
          <w:tcPr>
            <w:tcW w:w="3118" w:type="dxa"/>
            <w:vAlign w:val="center"/>
          </w:tcPr>
          <w:p w:rsidR="002B72B4" w:rsidRDefault="002B72B4" w:rsidP="001E7CAE">
            <w:pPr>
              <w:pStyle w:val="Manuscripttabletext"/>
              <w:rPr>
                <w:lang w:val="en-US"/>
              </w:rPr>
            </w:pPr>
            <w:r>
              <w:t>DAPS04 – Clinical biochemistry</w:t>
            </w:r>
          </w:p>
        </w:tc>
      </w:tr>
      <w:tr w:rsidR="002B72B4" w:rsidTr="001E7CAE">
        <w:tc>
          <w:tcPr>
            <w:tcW w:w="2381" w:type="dxa"/>
            <w:vAlign w:val="center"/>
          </w:tcPr>
          <w:p w:rsidR="002B72B4" w:rsidRDefault="002B72B4" w:rsidP="001E7CAE">
            <w:pPr>
              <w:pStyle w:val="Manuscripttabletext"/>
            </w:pPr>
            <w:r w:rsidRPr="00481207">
              <w:t>Urea and electrolytes</w:t>
            </w:r>
          </w:p>
        </w:tc>
        <w:tc>
          <w:tcPr>
            <w:tcW w:w="1134" w:type="dxa"/>
            <w:vAlign w:val="center"/>
          </w:tcPr>
          <w:p w:rsidR="002B72B4" w:rsidRDefault="002B72B4" w:rsidP="001E7CAE">
            <w:pPr>
              <w:pStyle w:val="Manuscripttabletext"/>
              <w:jc w:val="center"/>
              <w:rPr>
                <w:lang w:val="en-US"/>
              </w:rPr>
            </w:pPr>
            <w:r w:rsidRPr="00481207">
              <w:t>£</w:t>
            </w:r>
            <w:r>
              <w:t>1.40</w:t>
            </w:r>
          </w:p>
        </w:tc>
        <w:tc>
          <w:tcPr>
            <w:tcW w:w="899" w:type="dxa"/>
            <w:vAlign w:val="center"/>
          </w:tcPr>
          <w:p w:rsidR="002B72B4" w:rsidRDefault="002B72B4" w:rsidP="001E7CAE">
            <w:pPr>
              <w:pStyle w:val="Manuscripttabletext"/>
              <w:jc w:val="center"/>
              <w:rPr>
                <w:lang w:val="en-US"/>
              </w:rPr>
            </w:pPr>
            <w:r w:rsidRPr="00481207">
              <w:t>2.00</w:t>
            </w:r>
          </w:p>
        </w:tc>
        <w:tc>
          <w:tcPr>
            <w:tcW w:w="1796" w:type="dxa"/>
            <w:gridSpan w:val="2"/>
            <w:vAlign w:val="center"/>
          </w:tcPr>
          <w:p w:rsidR="002B72B4" w:rsidRDefault="002B72B4" w:rsidP="001E7CAE">
            <w:pPr>
              <w:pStyle w:val="Manuscripttabletext"/>
              <w:jc w:val="center"/>
              <w:rPr>
                <w:lang w:val="en-US"/>
              </w:rPr>
            </w:pPr>
            <w:r w:rsidRPr="00481207">
              <w:t>0.50</w:t>
            </w:r>
          </w:p>
        </w:tc>
        <w:tc>
          <w:tcPr>
            <w:tcW w:w="3118" w:type="dxa"/>
            <w:vAlign w:val="center"/>
          </w:tcPr>
          <w:p w:rsidR="002B72B4" w:rsidRDefault="002B72B4" w:rsidP="001E7CAE">
            <w:pPr>
              <w:pStyle w:val="Manuscripttabletext"/>
              <w:rPr>
                <w:lang w:val="en-US"/>
              </w:rPr>
            </w:pPr>
            <w:r>
              <w:t>DAPS04 – Clinical biochemistry</w:t>
            </w:r>
          </w:p>
        </w:tc>
      </w:tr>
      <w:tr w:rsidR="002B72B4" w:rsidTr="001E7CAE">
        <w:tc>
          <w:tcPr>
            <w:tcW w:w="2381" w:type="dxa"/>
            <w:vAlign w:val="center"/>
          </w:tcPr>
          <w:p w:rsidR="002B72B4" w:rsidRDefault="002B72B4" w:rsidP="001E7CAE">
            <w:pPr>
              <w:pStyle w:val="Manuscripttabletext"/>
            </w:pPr>
            <w:r w:rsidRPr="00481207">
              <w:t>Chest radiograph</w:t>
            </w:r>
          </w:p>
        </w:tc>
        <w:tc>
          <w:tcPr>
            <w:tcW w:w="1134" w:type="dxa"/>
            <w:vAlign w:val="center"/>
          </w:tcPr>
          <w:p w:rsidR="002B72B4" w:rsidRDefault="002B72B4" w:rsidP="001E7CAE">
            <w:pPr>
              <w:pStyle w:val="Manuscripttabletext"/>
              <w:jc w:val="center"/>
              <w:rPr>
                <w:lang w:val="en-US"/>
              </w:rPr>
            </w:pPr>
            <w:r w:rsidRPr="00481207">
              <w:t>£</w:t>
            </w:r>
            <w:r>
              <w:t>26.58</w:t>
            </w:r>
          </w:p>
        </w:tc>
        <w:tc>
          <w:tcPr>
            <w:tcW w:w="899" w:type="dxa"/>
            <w:vAlign w:val="center"/>
          </w:tcPr>
          <w:p w:rsidR="002B72B4" w:rsidRDefault="002B72B4" w:rsidP="001E7CAE">
            <w:pPr>
              <w:pStyle w:val="Manuscripttabletext"/>
              <w:jc w:val="center"/>
              <w:rPr>
                <w:lang w:val="en-US"/>
              </w:rPr>
            </w:pPr>
            <w:r w:rsidRPr="00481207">
              <w:t>1.00</w:t>
            </w:r>
          </w:p>
        </w:tc>
        <w:tc>
          <w:tcPr>
            <w:tcW w:w="1796" w:type="dxa"/>
            <w:gridSpan w:val="2"/>
            <w:vAlign w:val="center"/>
          </w:tcPr>
          <w:p w:rsidR="002B72B4" w:rsidRDefault="002B72B4" w:rsidP="001E7CAE">
            <w:pPr>
              <w:pStyle w:val="Manuscripttabletext"/>
              <w:jc w:val="center"/>
              <w:rPr>
                <w:lang w:val="en-US"/>
              </w:rPr>
            </w:pPr>
            <w:r w:rsidRPr="00481207">
              <w:t>0.00</w:t>
            </w:r>
          </w:p>
        </w:tc>
        <w:tc>
          <w:tcPr>
            <w:tcW w:w="3118" w:type="dxa"/>
            <w:vAlign w:val="center"/>
          </w:tcPr>
          <w:p w:rsidR="002B72B4" w:rsidRDefault="002B72B4" w:rsidP="001E7CAE">
            <w:pPr>
              <w:pStyle w:val="Manuscripttabletext"/>
              <w:rPr>
                <w:lang w:val="en-US"/>
              </w:rPr>
            </w:pPr>
            <w:r w:rsidRPr="00481207">
              <w:t xml:space="preserve">WF01B </w:t>
            </w:r>
            <w:r>
              <w:t>–</w:t>
            </w:r>
            <w:r w:rsidRPr="00481207">
              <w:t xml:space="preserve"> Diagn</w:t>
            </w:r>
            <w:r>
              <w:t>ostic imaging, first attendance</w:t>
            </w:r>
          </w:p>
        </w:tc>
      </w:tr>
      <w:tr w:rsidR="002B72B4" w:rsidTr="001E7CAE">
        <w:tc>
          <w:tcPr>
            <w:tcW w:w="2381" w:type="dxa"/>
            <w:vAlign w:val="center"/>
          </w:tcPr>
          <w:p w:rsidR="002B72B4" w:rsidRDefault="002B72B4" w:rsidP="001E7CAE">
            <w:pPr>
              <w:pStyle w:val="Manuscripttabletext"/>
            </w:pPr>
            <w:r w:rsidRPr="00481207">
              <w:t>TB heaf test</w:t>
            </w:r>
          </w:p>
        </w:tc>
        <w:tc>
          <w:tcPr>
            <w:tcW w:w="1134" w:type="dxa"/>
            <w:vAlign w:val="center"/>
          </w:tcPr>
          <w:p w:rsidR="002B72B4" w:rsidRDefault="002B72B4" w:rsidP="001E7CAE">
            <w:pPr>
              <w:pStyle w:val="Manuscripttabletext"/>
              <w:jc w:val="center"/>
              <w:rPr>
                <w:lang w:val="en-US"/>
              </w:rPr>
            </w:pPr>
            <w:r w:rsidRPr="00481207">
              <w:t>£</w:t>
            </w:r>
            <w:r>
              <w:t>8.86</w:t>
            </w:r>
          </w:p>
        </w:tc>
        <w:tc>
          <w:tcPr>
            <w:tcW w:w="899" w:type="dxa"/>
            <w:vAlign w:val="center"/>
          </w:tcPr>
          <w:p w:rsidR="002B72B4" w:rsidRDefault="002B72B4" w:rsidP="001E7CAE">
            <w:pPr>
              <w:pStyle w:val="Manuscripttabletext"/>
              <w:jc w:val="center"/>
              <w:rPr>
                <w:lang w:val="en-US"/>
              </w:rPr>
            </w:pPr>
            <w:r w:rsidRPr="00481207">
              <w:t>1.00</w:t>
            </w:r>
          </w:p>
        </w:tc>
        <w:tc>
          <w:tcPr>
            <w:tcW w:w="1796" w:type="dxa"/>
            <w:gridSpan w:val="2"/>
            <w:vAlign w:val="center"/>
          </w:tcPr>
          <w:p w:rsidR="002B72B4" w:rsidRDefault="002B72B4" w:rsidP="001E7CAE">
            <w:pPr>
              <w:pStyle w:val="Manuscripttabletext"/>
              <w:jc w:val="center"/>
              <w:rPr>
                <w:lang w:val="en-US"/>
              </w:rPr>
            </w:pPr>
            <w:r w:rsidRPr="00481207">
              <w:t>0.00</w:t>
            </w:r>
          </w:p>
        </w:tc>
        <w:tc>
          <w:tcPr>
            <w:tcW w:w="3118" w:type="dxa"/>
            <w:vAlign w:val="center"/>
          </w:tcPr>
          <w:p w:rsidR="002B72B4" w:rsidRDefault="002B72B4" w:rsidP="001E7CAE">
            <w:pPr>
              <w:pStyle w:val="Manuscripttabletext"/>
              <w:rPr>
                <w:lang w:val="en-US"/>
              </w:rPr>
            </w:pPr>
            <w:r>
              <w:t>DZ42Z – TB nurse support</w:t>
            </w:r>
          </w:p>
        </w:tc>
      </w:tr>
      <w:tr w:rsidR="002B72B4" w:rsidTr="001E7CAE">
        <w:tc>
          <w:tcPr>
            <w:tcW w:w="2381" w:type="dxa"/>
            <w:vAlign w:val="center"/>
          </w:tcPr>
          <w:p w:rsidR="002B72B4" w:rsidRDefault="002B72B4" w:rsidP="001E7CAE">
            <w:pPr>
              <w:pStyle w:val="Manuscripttabletext"/>
            </w:pPr>
            <w:r w:rsidRPr="00481207">
              <w:t>Antinuclear antibodies</w:t>
            </w:r>
          </w:p>
        </w:tc>
        <w:tc>
          <w:tcPr>
            <w:tcW w:w="1134" w:type="dxa"/>
            <w:vAlign w:val="center"/>
          </w:tcPr>
          <w:p w:rsidR="002B72B4" w:rsidRDefault="002B72B4" w:rsidP="001E7CAE">
            <w:pPr>
              <w:pStyle w:val="Manuscripttabletext"/>
              <w:jc w:val="center"/>
              <w:rPr>
                <w:lang w:val="en-US"/>
              </w:rPr>
            </w:pPr>
            <w:r w:rsidRPr="00481207">
              <w:t>£</w:t>
            </w:r>
            <w:r>
              <w:t>4.72</w:t>
            </w:r>
          </w:p>
        </w:tc>
        <w:tc>
          <w:tcPr>
            <w:tcW w:w="899" w:type="dxa"/>
            <w:vAlign w:val="center"/>
          </w:tcPr>
          <w:p w:rsidR="002B72B4" w:rsidRDefault="002B72B4" w:rsidP="001E7CAE">
            <w:pPr>
              <w:pStyle w:val="Manuscripttabletext"/>
              <w:jc w:val="center"/>
              <w:rPr>
                <w:lang w:val="en-US"/>
              </w:rPr>
            </w:pPr>
            <w:r w:rsidRPr="00481207">
              <w:t>1.00</w:t>
            </w:r>
          </w:p>
        </w:tc>
        <w:tc>
          <w:tcPr>
            <w:tcW w:w="1796" w:type="dxa"/>
            <w:gridSpan w:val="2"/>
            <w:vAlign w:val="center"/>
          </w:tcPr>
          <w:p w:rsidR="002B72B4" w:rsidRDefault="002B72B4" w:rsidP="001E7CAE">
            <w:pPr>
              <w:pStyle w:val="Manuscripttabletext"/>
              <w:jc w:val="center"/>
              <w:rPr>
                <w:lang w:val="en-US"/>
              </w:rPr>
            </w:pPr>
            <w:r w:rsidRPr="00481207">
              <w:t>0.00</w:t>
            </w:r>
          </w:p>
        </w:tc>
        <w:tc>
          <w:tcPr>
            <w:tcW w:w="3118" w:type="dxa"/>
            <w:vAlign w:val="center"/>
          </w:tcPr>
          <w:p w:rsidR="002B72B4" w:rsidRDefault="002B72B4" w:rsidP="001E7CAE">
            <w:pPr>
              <w:pStyle w:val="Manuscripttabletext"/>
              <w:rPr>
                <w:lang w:val="en-US"/>
              </w:rPr>
            </w:pPr>
            <w:r>
              <w:t>DAPS06 – immunology</w:t>
            </w:r>
          </w:p>
        </w:tc>
      </w:tr>
      <w:tr w:rsidR="002B72B4" w:rsidTr="001E7CAE">
        <w:tc>
          <w:tcPr>
            <w:tcW w:w="2381" w:type="dxa"/>
            <w:tcBorders>
              <w:bottom w:val="single" w:sz="4" w:space="0" w:color="auto"/>
            </w:tcBorders>
            <w:vAlign w:val="center"/>
          </w:tcPr>
          <w:p w:rsidR="002B72B4" w:rsidRDefault="002B72B4" w:rsidP="001E7CAE">
            <w:pPr>
              <w:pStyle w:val="Manuscripttabletext"/>
            </w:pPr>
            <w:r>
              <w:t>DNA</w:t>
            </w:r>
            <w:r w:rsidRPr="00481207">
              <w:t xml:space="preserve"> double-stranded test</w:t>
            </w:r>
          </w:p>
        </w:tc>
        <w:tc>
          <w:tcPr>
            <w:tcW w:w="1134" w:type="dxa"/>
            <w:tcBorders>
              <w:bottom w:val="single" w:sz="4" w:space="0" w:color="auto"/>
            </w:tcBorders>
            <w:vAlign w:val="center"/>
          </w:tcPr>
          <w:p w:rsidR="002B72B4" w:rsidRDefault="002B72B4" w:rsidP="001E7CAE">
            <w:pPr>
              <w:pStyle w:val="Manuscripttabletext"/>
              <w:jc w:val="center"/>
              <w:rPr>
                <w:lang w:val="en-US"/>
              </w:rPr>
            </w:pPr>
            <w:r w:rsidRPr="00481207">
              <w:t>£</w:t>
            </w:r>
            <w:r>
              <w:t>4.72</w:t>
            </w:r>
          </w:p>
        </w:tc>
        <w:tc>
          <w:tcPr>
            <w:tcW w:w="899" w:type="dxa"/>
            <w:tcBorders>
              <w:bottom w:val="single" w:sz="4" w:space="0" w:color="auto"/>
            </w:tcBorders>
            <w:vAlign w:val="center"/>
          </w:tcPr>
          <w:p w:rsidR="002B72B4" w:rsidRDefault="002B72B4" w:rsidP="001E7CAE">
            <w:pPr>
              <w:pStyle w:val="Manuscripttabletext"/>
              <w:jc w:val="center"/>
              <w:rPr>
                <w:lang w:val="en-US"/>
              </w:rPr>
            </w:pPr>
            <w:r w:rsidRPr="00481207">
              <w:t>1.00</w:t>
            </w:r>
          </w:p>
        </w:tc>
        <w:tc>
          <w:tcPr>
            <w:tcW w:w="1796" w:type="dxa"/>
            <w:gridSpan w:val="2"/>
            <w:tcBorders>
              <w:bottom w:val="single" w:sz="4" w:space="0" w:color="auto"/>
            </w:tcBorders>
            <w:vAlign w:val="center"/>
          </w:tcPr>
          <w:p w:rsidR="002B72B4" w:rsidRDefault="002B72B4" w:rsidP="001E7CAE">
            <w:pPr>
              <w:pStyle w:val="Manuscripttabletext"/>
              <w:jc w:val="center"/>
              <w:rPr>
                <w:lang w:val="en-US"/>
              </w:rPr>
            </w:pPr>
            <w:r w:rsidRPr="00481207">
              <w:t>0.00</w:t>
            </w:r>
          </w:p>
        </w:tc>
        <w:tc>
          <w:tcPr>
            <w:tcW w:w="3118" w:type="dxa"/>
            <w:vAlign w:val="center"/>
          </w:tcPr>
          <w:p w:rsidR="002B72B4" w:rsidRDefault="002B72B4" w:rsidP="001E7CAE">
            <w:pPr>
              <w:pStyle w:val="Manuscripttabletext"/>
              <w:rPr>
                <w:lang w:val="en-US"/>
              </w:rPr>
            </w:pPr>
            <w:r>
              <w:t>DAPS06 – immunology</w:t>
            </w:r>
          </w:p>
        </w:tc>
      </w:tr>
      <w:tr w:rsidR="002B72B4" w:rsidTr="001E7CAE">
        <w:tc>
          <w:tcPr>
            <w:tcW w:w="6210" w:type="dxa"/>
            <w:gridSpan w:val="5"/>
            <w:tcBorders>
              <w:right w:val="nil"/>
            </w:tcBorders>
            <w:shd w:val="clear" w:color="auto" w:fill="D9D9D9" w:themeFill="background1" w:themeFillShade="D9"/>
            <w:vAlign w:val="center"/>
          </w:tcPr>
          <w:p w:rsidR="002B72B4" w:rsidRPr="00481207" w:rsidRDefault="002B72B4" w:rsidP="001E7CAE">
            <w:pPr>
              <w:pStyle w:val="Manuscripttableheading"/>
            </w:pPr>
            <w:r>
              <w:t>Disease-related costs</w:t>
            </w:r>
          </w:p>
        </w:tc>
        <w:tc>
          <w:tcPr>
            <w:tcW w:w="3118" w:type="dxa"/>
            <w:tcBorders>
              <w:left w:val="nil"/>
            </w:tcBorders>
            <w:shd w:val="clear" w:color="auto" w:fill="D9D9D9" w:themeFill="background1" w:themeFillShade="D9"/>
            <w:vAlign w:val="center"/>
          </w:tcPr>
          <w:p w:rsidR="002B72B4" w:rsidRDefault="002B72B4" w:rsidP="001E7CAE">
            <w:pPr>
              <w:pStyle w:val="Manuscripttabletext"/>
            </w:pPr>
          </w:p>
        </w:tc>
      </w:tr>
      <w:tr w:rsidR="002B72B4" w:rsidTr="001E7CAE">
        <w:tc>
          <w:tcPr>
            <w:tcW w:w="2381" w:type="dxa"/>
            <w:vAlign w:val="center"/>
          </w:tcPr>
          <w:p w:rsidR="002B72B4" w:rsidRDefault="002B72B4" w:rsidP="001E7CAE">
            <w:pPr>
              <w:pStyle w:val="Manuscripttabletext"/>
            </w:pPr>
            <w:r w:rsidRPr="005566E4">
              <w:t>Intercept</w:t>
            </w:r>
          </w:p>
        </w:tc>
        <w:tc>
          <w:tcPr>
            <w:tcW w:w="1134" w:type="dxa"/>
            <w:vAlign w:val="center"/>
          </w:tcPr>
          <w:p w:rsidR="002B72B4" w:rsidRPr="00481207" w:rsidRDefault="002B72B4" w:rsidP="001E7CAE">
            <w:pPr>
              <w:pStyle w:val="Manuscripttabletext"/>
              <w:jc w:val="center"/>
            </w:pPr>
            <w:r w:rsidRPr="00481207">
              <w:t>£255.78</w:t>
            </w:r>
          </w:p>
        </w:tc>
        <w:tc>
          <w:tcPr>
            <w:tcW w:w="2695" w:type="dxa"/>
            <w:gridSpan w:val="3"/>
            <w:vAlign w:val="center"/>
          </w:tcPr>
          <w:p w:rsidR="002B72B4" w:rsidRPr="00481207" w:rsidRDefault="002B72B4" w:rsidP="001E7CAE">
            <w:pPr>
              <w:pStyle w:val="Manuscripttabletext"/>
            </w:pPr>
            <w:r w:rsidRPr="00481207">
              <w:t>Per 3 months</w:t>
            </w:r>
          </w:p>
        </w:tc>
        <w:tc>
          <w:tcPr>
            <w:tcW w:w="3118" w:type="dxa"/>
            <w:vMerge w:val="restart"/>
            <w:vAlign w:val="center"/>
          </w:tcPr>
          <w:p w:rsidR="002B72B4" w:rsidRDefault="002B72B4" w:rsidP="001E7CAE">
            <w:pPr>
              <w:pStyle w:val="Manuscripttabletext"/>
            </w:pPr>
            <w:r>
              <w:t xml:space="preserve">Based on the costs reported in Rodgers </w:t>
            </w:r>
            <w:r w:rsidR="00426EA3">
              <w:t>et al.</w:t>
            </w:r>
            <w:r>
              <w:t>, with costs</w:t>
            </w:r>
            <w:r w:rsidRPr="00303EAE">
              <w:t xml:space="preserve"> </w:t>
            </w:r>
            <w:r>
              <w:t xml:space="preserve">inflated from 2008/09 </w:t>
            </w:r>
            <w:r w:rsidRPr="00481207">
              <w:t xml:space="preserve">using the </w:t>
            </w:r>
            <w:r>
              <w:t>Hospital and Community Health Services Index</w:t>
            </w:r>
            <w:r w:rsidRPr="00481207">
              <w:t xml:space="preserve"> </w:t>
            </w:r>
            <w:r>
              <w:t>in</w:t>
            </w:r>
            <w:r w:rsidRPr="00481207">
              <w:t xml:space="preserve"> the PSSRU Unit Costs of </w:t>
            </w:r>
            <w:r w:rsidRPr="00481207">
              <w:lastRenderedPageBreak/>
              <w:t>Health and Social Care (2015)</w:t>
            </w:r>
            <w:r>
              <w:t xml:space="preserve"> </w:t>
            </w:r>
            <w:r>
              <w:rPr>
                <w:noProof/>
              </w:rPr>
              <w:t>[</w:t>
            </w:r>
            <w:r w:rsidR="00D36C5F">
              <w:rPr>
                <w:noProof/>
              </w:rPr>
              <w:t>36</w:t>
            </w:r>
            <w:r w:rsidR="00C5433B">
              <w:rPr>
                <w:noProof/>
              </w:rPr>
              <w:t xml:space="preserve">, </w:t>
            </w:r>
            <w:r w:rsidR="00D36C5F">
              <w:rPr>
                <w:noProof/>
              </w:rPr>
              <w:t>44</w:t>
            </w:r>
            <w:r>
              <w:rPr>
                <w:noProof/>
              </w:rPr>
              <w:t>]</w:t>
            </w:r>
          </w:p>
        </w:tc>
      </w:tr>
      <w:tr w:rsidR="002B72B4" w:rsidTr="001E7CAE">
        <w:tc>
          <w:tcPr>
            <w:tcW w:w="2381" w:type="dxa"/>
            <w:vAlign w:val="center"/>
          </w:tcPr>
          <w:p w:rsidR="002B72B4" w:rsidRDefault="002B72B4" w:rsidP="001E7CAE">
            <w:pPr>
              <w:pStyle w:val="Manuscripttabletext"/>
            </w:pPr>
            <w:r w:rsidRPr="005566E4">
              <w:t>Cost per HAQ change</w:t>
            </w:r>
          </w:p>
        </w:tc>
        <w:tc>
          <w:tcPr>
            <w:tcW w:w="1134" w:type="dxa"/>
            <w:vAlign w:val="center"/>
          </w:tcPr>
          <w:p w:rsidR="002B72B4" w:rsidRPr="00481207" w:rsidRDefault="002B72B4" w:rsidP="001E7CAE">
            <w:pPr>
              <w:pStyle w:val="Manuscripttabletext"/>
              <w:jc w:val="center"/>
            </w:pPr>
            <w:r w:rsidRPr="00481207">
              <w:t>£113.07</w:t>
            </w:r>
          </w:p>
        </w:tc>
        <w:tc>
          <w:tcPr>
            <w:tcW w:w="2695" w:type="dxa"/>
            <w:gridSpan w:val="3"/>
            <w:vAlign w:val="center"/>
          </w:tcPr>
          <w:p w:rsidR="002B72B4" w:rsidRPr="00481207" w:rsidRDefault="002B72B4" w:rsidP="001E7CAE">
            <w:pPr>
              <w:pStyle w:val="Manuscripttabletext"/>
            </w:pPr>
            <w:r w:rsidRPr="00481207">
              <w:t>Per 1-unit change per 3 months</w:t>
            </w:r>
          </w:p>
        </w:tc>
        <w:tc>
          <w:tcPr>
            <w:tcW w:w="3118" w:type="dxa"/>
            <w:vMerge/>
            <w:vAlign w:val="bottom"/>
          </w:tcPr>
          <w:p w:rsidR="002B72B4" w:rsidRDefault="002B72B4" w:rsidP="001E7CAE">
            <w:pPr>
              <w:pStyle w:val="Manuscripttabletext"/>
            </w:pPr>
          </w:p>
        </w:tc>
      </w:tr>
      <w:tr w:rsidR="002B72B4" w:rsidTr="001E7CAE">
        <w:tc>
          <w:tcPr>
            <w:tcW w:w="2381" w:type="dxa"/>
            <w:vAlign w:val="center"/>
          </w:tcPr>
          <w:p w:rsidR="002B72B4" w:rsidRDefault="002B72B4" w:rsidP="001E7CAE">
            <w:pPr>
              <w:pStyle w:val="Manuscripttabletext"/>
            </w:pPr>
            <w:r w:rsidRPr="005566E4">
              <w:t>Health states</w:t>
            </w:r>
          </w:p>
        </w:tc>
        <w:tc>
          <w:tcPr>
            <w:tcW w:w="1134" w:type="dxa"/>
            <w:vAlign w:val="center"/>
          </w:tcPr>
          <w:p w:rsidR="002B72B4" w:rsidRPr="00481207" w:rsidRDefault="002B72B4" w:rsidP="001E7CAE">
            <w:pPr>
              <w:pStyle w:val="Manuscripttabletext"/>
              <w:jc w:val="center"/>
            </w:pPr>
          </w:p>
        </w:tc>
        <w:tc>
          <w:tcPr>
            <w:tcW w:w="2695" w:type="dxa"/>
            <w:gridSpan w:val="3"/>
            <w:vAlign w:val="center"/>
          </w:tcPr>
          <w:p w:rsidR="002B72B4" w:rsidRPr="00481207" w:rsidRDefault="002B72B4" w:rsidP="001E7CAE">
            <w:pPr>
              <w:pStyle w:val="Manuscripttabletext"/>
            </w:pPr>
          </w:p>
        </w:tc>
        <w:tc>
          <w:tcPr>
            <w:tcW w:w="3118" w:type="dxa"/>
            <w:vMerge/>
            <w:vAlign w:val="bottom"/>
          </w:tcPr>
          <w:p w:rsidR="002B72B4" w:rsidRDefault="002B72B4" w:rsidP="001E7CAE">
            <w:pPr>
              <w:pStyle w:val="Manuscripttabletext"/>
            </w:pPr>
          </w:p>
        </w:tc>
      </w:tr>
      <w:tr w:rsidR="002B72B4" w:rsidTr="001E7CAE">
        <w:tc>
          <w:tcPr>
            <w:tcW w:w="2381" w:type="dxa"/>
            <w:vAlign w:val="center"/>
          </w:tcPr>
          <w:p w:rsidR="002B72B4" w:rsidRDefault="002B72B4" w:rsidP="001E7CAE">
            <w:pPr>
              <w:pStyle w:val="Manuscripttabletext"/>
              <w:ind w:left="170"/>
            </w:pPr>
            <w:r w:rsidRPr="00481207">
              <w:t xml:space="preserve">Uncontrolled psoriasis </w:t>
            </w:r>
          </w:p>
          <w:p w:rsidR="002B72B4" w:rsidRDefault="002B72B4" w:rsidP="001E7CAE">
            <w:pPr>
              <w:pStyle w:val="Manuscripttabletext"/>
              <w:ind w:left="170"/>
            </w:pPr>
            <w:r w:rsidRPr="00481207">
              <w:lastRenderedPageBreak/>
              <w:t>(PASI &lt;75)</w:t>
            </w:r>
          </w:p>
        </w:tc>
        <w:tc>
          <w:tcPr>
            <w:tcW w:w="1134" w:type="dxa"/>
            <w:vAlign w:val="center"/>
          </w:tcPr>
          <w:p w:rsidR="002B72B4" w:rsidRPr="00481207" w:rsidRDefault="002B72B4" w:rsidP="001E7CAE">
            <w:pPr>
              <w:pStyle w:val="Manuscripttabletext"/>
              <w:jc w:val="center"/>
            </w:pPr>
            <w:r w:rsidRPr="00481207">
              <w:lastRenderedPageBreak/>
              <w:t>£217.36</w:t>
            </w:r>
          </w:p>
        </w:tc>
        <w:tc>
          <w:tcPr>
            <w:tcW w:w="2695" w:type="dxa"/>
            <w:gridSpan w:val="3"/>
            <w:vAlign w:val="center"/>
          </w:tcPr>
          <w:p w:rsidR="002B72B4" w:rsidRPr="00481207" w:rsidRDefault="002B72B4" w:rsidP="001E7CAE">
            <w:pPr>
              <w:pStyle w:val="Manuscripttabletext"/>
            </w:pPr>
            <w:r w:rsidRPr="00481207">
              <w:t>Per 3 months</w:t>
            </w:r>
          </w:p>
        </w:tc>
        <w:tc>
          <w:tcPr>
            <w:tcW w:w="3118" w:type="dxa"/>
            <w:vMerge/>
            <w:vAlign w:val="bottom"/>
          </w:tcPr>
          <w:p w:rsidR="002B72B4" w:rsidRDefault="002B72B4" w:rsidP="001E7CAE">
            <w:pPr>
              <w:pStyle w:val="Manuscripttabletext"/>
            </w:pPr>
          </w:p>
        </w:tc>
      </w:tr>
      <w:tr w:rsidR="002B72B4" w:rsidTr="001E7CAE">
        <w:tc>
          <w:tcPr>
            <w:tcW w:w="2381" w:type="dxa"/>
            <w:vAlign w:val="center"/>
          </w:tcPr>
          <w:p w:rsidR="002B72B4" w:rsidRDefault="002B72B4" w:rsidP="001E7CAE">
            <w:pPr>
              <w:pStyle w:val="Manuscripttabletext"/>
              <w:ind w:left="170"/>
            </w:pPr>
            <w:r w:rsidRPr="00481207">
              <w:t>Controlled psoriasis (PASI &gt;75)</w:t>
            </w:r>
          </w:p>
        </w:tc>
        <w:tc>
          <w:tcPr>
            <w:tcW w:w="1134" w:type="dxa"/>
            <w:vAlign w:val="center"/>
          </w:tcPr>
          <w:p w:rsidR="002B72B4" w:rsidRPr="00481207" w:rsidRDefault="002B72B4" w:rsidP="001E7CAE">
            <w:pPr>
              <w:pStyle w:val="Manuscripttabletext"/>
              <w:jc w:val="center"/>
            </w:pPr>
            <w:r w:rsidRPr="00481207">
              <w:t>£17.56</w:t>
            </w:r>
          </w:p>
        </w:tc>
        <w:tc>
          <w:tcPr>
            <w:tcW w:w="2695" w:type="dxa"/>
            <w:gridSpan w:val="3"/>
            <w:vAlign w:val="center"/>
          </w:tcPr>
          <w:p w:rsidR="002B72B4" w:rsidRPr="00481207" w:rsidRDefault="002B72B4" w:rsidP="001E7CAE">
            <w:pPr>
              <w:pStyle w:val="Manuscripttabletext"/>
            </w:pPr>
            <w:r w:rsidRPr="00481207">
              <w:t>Per 3 months</w:t>
            </w:r>
          </w:p>
        </w:tc>
        <w:tc>
          <w:tcPr>
            <w:tcW w:w="3118" w:type="dxa"/>
            <w:vMerge/>
            <w:vAlign w:val="bottom"/>
          </w:tcPr>
          <w:p w:rsidR="002B72B4" w:rsidRDefault="002B72B4" w:rsidP="001E7CAE">
            <w:pPr>
              <w:pStyle w:val="Manuscripttabletext"/>
            </w:pPr>
          </w:p>
        </w:tc>
      </w:tr>
      <w:tr w:rsidR="002B72B4" w:rsidTr="001E7CAE">
        <w:tc>
          <w:tcPr>
            <w:tcW w:w="6210" w:type="dxa"/>
            <w:gridSpan w:val="5"/>
            <w:shd w:val="clear" w:color="auto" w:fill="D9D9D9" w:themeFill="background1" w:themeFillShade="D9"/>
            <w:vAlign w:val="center"/>
          </w:tcPr>
          <w:p w:rsidR="002B72B4" w:rsidRPr="00481207" w:rsidRDefault="002B72B4" w:rsidP="001E7CAE">
            <w:pPr>
              <w:pStyle w:val="Manuscripttableheading"/>
            </w:pPr>
            <w:r>
              <w:t>Adverse event costs</w:t>
            </w:r>
          </w:p>
        </w:tc>
        <w:tc>
          <w:tcPr>
            <w:tcW w:w="3118" w:type="dxa"/>
            <w:shd w:val="clear" w:color="auto" w:fill="auto"/>
          </w:tcPr>
          <w:p w:rsidR="002B72B4" w:rsidRDefault="002B72B4" w:rsidP="001E7CAE">
            <w:pPr>
              <w:pStyle w:val="Manuscripttabletext"/>
            </w:pPr>
            <w:r>
              <w:t xml:space="preserve">NHS reference costs 2015/16 </w:t>
            </w:r>
            <w:r w:rsidR="00C5433B">
              <w:rPr>
                <w:noProof/>
              </w:rPr>
              <w:t>[</w:t>
            </w:r>
            <w:r w:rsidR="00D36C5F">
              <w:rPr>
                <w:noProof/>
              </w:rPr>
              <w:t>45</w:t>
            </w:r>
            <w:r w:rsidR="001C561F">
              <w:rPr>
                <w:noProof/>
              </w:rPr>
              <w:t>]</w:t>
            </w:r>
          </w:p>
        </w:tc>
      </w:tr>
      <w:tr w:rsidR="002B72B4" w:rsidTr="001E7CAE">
        <w:tc>
          <w:tcPr>
            <w:tcW w:w="2381" w:type="dxa"/>
            <w:vAlign w:val="center"/>
          </w:tcPr>
          <w:p w:rsidR="002B72B4" w:rsidRDefault="002B72B4" w:rsidP="001E7CAE">
            <w:pPr>
              <w:pStyle w:val="Manuscripttabletext"/>
            </w:pPr>
            <w:r>
              <w:t>TB</w:t>
            </w:r>
          </w:p>
        </w:tc>
        <w:tc>
          <w:tcPr>
            <w:tcW w:w="1134" w:type="dxa"/>
            <w:vAlign w:val="center"/>
          </w:tcPr>
          <w:p w:rsidR="002B72B4" w:rsidRPr="00481207" w:rsidRDefault="002B72B4" w:rsidP="001E7CAE">
            <w:pPr>
              <w:pStyle w:val="Manuscripttabletext"/>
              <w:jc w:val="center"/>
            </w:pPr>
            <w:r w:rsidRPr="005566E4">
              <w:t>£2,813.20</w:t>
            </w:r>
          </w:p>
        </w:tc>
        <w:tc>
          <w:tcPr>
            <w:tcW w:w="2695" w:type="dxa"/>
            <w:gridSpan w:val="3"/>
            <w:vAlign w:val="center"/>
          </w:tcPr>
          <w:p w:rsidR="002B72B4" w:rsidRPr="00481207" w:rsidRDefault="002B72B4" w:rsidP="001E7CAE">
            <w:pPr>
              <w:pStyle w:val="Manuscripttabletext"/>
            </w:pPr>
            <w:r>
              <w:t>Per event</w:t>
            </w:r>
          </w:p>
        </w:tc>
        <w:tc>
          <w:tcPr>
            <w:tcW w:w="3118" w:type="dxa"/>
          </w:tcPr>
          <w:p w:rsidR="002B72B4" w:rsidRDefault="002B72B4" w:rsidP="001E7CAE">
            <w:pPr>
              <w:pStyle w:val="Manuscripttabletext"/>
            </w:pPr>
            <w:r w:rsidRPr="00A8002D">
              <w:t>DZ14F, DZ14G, DZ14H and DZ14J</w:t>
            </w:r>
            <w:r>
              <w:rPr>
                <w:vertAlign w:val="superscript"/>
              </w:rPr>
              <w:t>c</w:t>
            </w:r>
          </w:p>
        </w:tc>
      </w:tr>
      <w:tr w:rsidR="002B72B4" w:rsidTr="001E7CAE">
        <w:tc>
          <w:tcPr>
            <w:tcW w:w="2381" w:type="dxa"/>
            <w:vAlign w:val="center"/>
          </w:tcPr>
          <w:p w:rsidR="002B72B4" w:rsidRDefault="002B72B4" w:rsidP="001E7CAE">
            <w:pPr>
              <w:pStyle w:val="Manuscripttabletext"/>
            </w:pPr>
            <w:r>
              <w:t>Other serious infection</w:t>
            </w:r>
          </w:p>
        </w:tc>
        <w:tc>
          <w:tcPr>
            <w:tcW w:w="1134" w:type="dxa"/>
            <w:vAlign w:val="center"/>
          </w:tcPr>
          <w:p w:rsidR="002B72B4" w:rsidRPr="00481207" w:rsidRDefault="002B72B4" w:rsidP="001E7CAE">
            <w:pPr>
              <w:pStyle w:val="Manuscripttabletext"/>
              <w:jc w:val="center"/>
            </w:pPr>
            <w:r w:rsidRPr="005566E4">
              <w:t>£1,259.80</w:t>
            </w:r>
          </w:p>
        </w:tc>
        <w:tc>
          <w:tcPr>
            <w:tcW w:w="2695" w:type="dxa"/>
            <w:gridSpan w:val="3"/>
            <w:vAlign w:val="center"/>
          </w:tcPr>
          <w:p w:rsidR="002B72B4" w:rsidRPr="00481207" w:rsidRDefault="002B72B4" w:rsidP="001E7CAE">
            <w:pPr>
              <w:pStyle w:val="Manuscripttabletext"/>
            </w:pPr>
            <w:r>
              <w:t>Per event</w:t>
            </w:r>
          </w:p>
        </w:tc>
        <w:tc>
          <w:tcPr>
            <w:tcW w:w="3118" w:type="dxa"/>
          </w:tcPr>
          <w:p w:rsidR="002B72B4" w:rsidRDefault="002B72B4" w:rsidP="001E7CAE">
            <w:pPr>
              <w:pStyle w:val="Manuscripttabletext"/>
            </w:pPr>
            <w:r w:rsidRPr="00A8002D">
              <w:t>WJ06J, DZ23N, DZ22Q and DZ65J</w:t>
            </w:r>
            <w:r>
              <w:rPr>
                <w:vertAlign w:val="superscript"/>
              </w:rPr>
              <w:t>c</w:t>
            </w:r>
          </w:p>
        </w:tc>
      </w:tr>
    </w:tbl>
    <w:p w:rsidR="002B72B4" w:rsidRPr="007F3543" w:rsidRDefault="002B72B4" w:rsidP="002B72B4">
      <w:pPr>
        <w:pStyle w:val="Manuscriptfootnote"/>
      </w:pPr>
      <w:r w:rsidRPr="002A6448">
        <w:rPr>
          <w:vertAlign w:val="superscript"/>
          <w:lang w:val="en-US"/>
        </w:rPr>
        <w:t>a</w:t>
      </w:r>
      <w:r>
        <w:rPr>
          <w:lang w:val="en-US"/>
        </w:rPr>
        <w:t xml:space="preserve"> Golimumab 50 mg and 100 mg are recommended for patients with body weight &lt;100 kg and </w:t>
      </w:r>
      <w:r>
        <w:rPr>
          <w:rFonts w:cs="Tahoma"/>
          <w:lang w:val="en-US"/>
        </w:rPr>
        <w:t>≥</w:t>
      </w:r>
      <w:r>
        <w:rPr>
          <w:lang w:val="en-US"/>
        </w:rPr>
        <w:t xml:space="preserve">100 kg, respectively. The unit cost for golimumab was calculated based on the unit cost for golimumab 50 mg (£762.97) and 100 mg (£1,525.94) weighted by the proportion of patients expected to be </w:t>
      </w:r>
      <w:r>
        <w:rPr>
          <w:rFonts w:cs="Tahoma"/>
          <w:lang w:val="en-US"/>
        </w:rPr>
        <w:t>≥</w:t>
      </w:r>
      <w:r>
        <w:rPr>
          <w:lang w:val="en-US"/>
        </w:rPr>
        <w:t>100 kg (25.6%). This proportion was calculated from a normal distribution around the mean body weight used in the model.</w:t>
      </w:r>
    </w:p>
    <w:p w:rsidR="002B72B4" w:rsidRDefault="002B72B4" w:rsidP="002B72B4">
      <w:pPr>
        <w:pStyle w:val="Manuscriptfootnote"/>
        <w:rPr>
          <w:lang w:val="en-US"/>
        </w:rPr>
      </w:pPr>
      <w:r>
        <w:rPr>
          <w:vertAlign w:val="superscript"/>
          <w:lang w:val="en-US"/>
        </w:rPr>
        <w:t>b</w:t>
      </w:r>
      <w:r>
        <w:rPr>
          <w:lang w:val="en-US"/>
        </w:rPr>
        <w:t xml:space="preserve"> </w:t>
      </w:r>
      <w:r w:rsidRPr="002A6448">
        <w:rPr>
          <w:lang w:val="en-US"/>
        </w:rPr>
        <w:t>Only the laboratory tests required in the subsequent three</w:t>
      </w:r>
      <w:r w:rsidR="005C1F5D">
        <w:rPr>
          <w:lang w:val="en-US"/>
        </w:rPr>
        <w:t>-</w:t>
      </w:r>
      <w:r w:rsidRPr="002A6448">
        <w:rPr>
          <w:lang w:val="en-US"/>
        </w:rPr>
        <w:t>month periods are applied for SoC, as these tests will already be standard for treatment with csDMARDs.</w:t>
      </w:r>
    </w:p>
    <w:p w:rsidR="002B72B4" w:rsidRDefault="002B72B4" w:rsidP="002B72B4">
      <w:pPr>
        <w:pStyle w:val="Manuscriptfootnote"/>
        <w:rPr>
          <w:lang w:val="en-US"/>
        </w:rPr>
      </w:pPr>
      <w:r>
        <w:rPr>
          <w:vertAlign w:val="superscript"/>
          <w:lang w:val="en-US"/>
        </w:rPr>
        <w:t>c</w:t>
      </w:r>
      <w:r>
        <w:rPr>
          <w:lang w:val="en-US"/>
        </w:rPr>
        <w:t xml:space="preserve"> </w:t>
      </w:r>
      <w:r w:rsidRPr="00361B8E">
        <w:rPr>
          <w:lang w:val="en-US"/>
        </w:rPr>
        <w:t>Based on weighted average of costs associated with the relevant Healthcare Resource Group codes</w:t>
      </w:r>
      <w:r>
        <w:rPr>
          <w:lang w:val="en-US"/>
        </w:rPr>
        <w:t>.</w:t>
      </w:r>
    </w:p>
    <w:p w:rsidR="002B72B4" w:rsidRDefault="002B72B4" w:rsidP="002B72B4">
      <w:pPr>
        <w:pStyle w:val="Manuscriptfootnote"/>
        <w:rPr>
          <w:lang w:val="en-US"/>
        </w:rPr>
      </w:pPr>
    </w:p>
    <w:p w:rsidR="002B72B4" w:rsidRDefault="002B72B4" w:rsidP="002B72B4">
      <w:pPr>
        <w:pStyle w:val="Manuscriptfootnote"/>
        <w:rPr>
          <w:lang w:val="en-US"/>
        </w:rPr>
      </w:pPr>
      <w:r w:rsidRPr="00303EAE">
        <w:rPr>
          <w:lang w:val="en-US"/>
        </w:rPr>
        <w:t xml:space="preserve">ADA: adalimumab; </w:t>
      </w:r>
      <w:r>
        <w:rPr>
          <w:lang w:val="en-US"/>
        </w:rPr>
        <w:t>CZP</w:t>
      </w:r>
      <w:r w:rsidRPr="00303EAE">
        <w:rPr>
          <w:lang w:val="en-US"/>
        </w:rPr>
        <w:t xml:space="preserve">: certolizumab pegol; </w:t>
      </w:r>
      <w:r w:rsidRPr="002A6448">
        <w:rPr>
          <w:lang w:val="en-US"/>
        </w:rPr>
        <w:t>csDMARD: conventional systemic disease-modifying anti-rheumatic drug;</w:t>
      </w:r>
      <w:r>
        <w:rPr>
          <w:lang w:val="en-US"/>
        </w:rPr>
        <w:t xml:space="preserve"> </w:t>
      </w:r>
      <w:r w:rsidRPr="002A6448">
        <w:rPr>
          <w:lang w:val="en-US"/>
        </w:rPr>
        <w:t>DNA: deoxyribonucleic acid; ESR: erythrocyte sedimentation rate;</w:t>
      </w:r>
      <w:r>
        <w:rPr>
          <w:lang w:val="en-US"/>
        </w:rPr>
        <w:t xml:space="preserve"> </w:t>
      </w:r>
      <w:r w:rsidRPr="00303EAE">
        <w:rPr>
          <w:lang w:val="en-US"/>
        </w:rPr>
        <w:t>E</w:t>
      </w:r>
      <w:r>
        <w:rPr>
          <w:lang w:val="en-US"/>
        </w:rPr>
        <w:t xml:space="preserve">TN: etanercept; </w:t>
      </w:r>
      <w:r w:rsidRPr="00303EAE">
        <w:rPr>
          <w:lang w:val="en-US"/>
        </w:rPr>
        <w:t>GOL: golimumab;</w:t>
      </w:r>
      <w:r>
        <w:rPr>
          <w:lang w:val="en-US"/>
        </w:rPr>
        <w:t xml:space="preserve"> INF: infliximab;</w:t>
      </w:r>
      <w:r w:rsidRPr="00303EAE">
        <w:rPr>
          <w:lang w:val="en-US"/>
        </w:rPr>
        <w:t xml:space="preserve"> </w:t>
      </w:r>
      <w:r w:rsidRPr="00101C6F">
        <w:rPr>
          <w:lang w:val="en-US"/>
        </w:rPr>
        <w:t>i.v.: intravenous;</w:t>
      </w:r>
      <w:r w:rsidRPr="00303EAE">
        <w:rPr>
          <w:lang w:val="en-US"/>
        </w:rPr>
        <w:t xml:space="preserve"> </w:t>
      </w:r>
      <w:r>
        <w:rPr>
          <w:lang w:val="en-US"/>
        </w:rPr>
        <w:t xml:space="preserve">NHS: National Health Service; NMA: network meta-analysis; </w:t>
      </w:r>
      <w:r w:rsidRPr="00101C6F">
        <w:rPr>
          <w:lang w:val="en-US"/>
        </w:rPr>
        <w:t>s.c.: subcutaneous</w:t>
      </w:r>
      <w:r>
        <w:rPr>
          <w:lang w:val="en-US"/>
        </w:rPr>
        <w:t>;</w:t>
      </w:r>
      <w:r w:rsidRPr="00101C6F">
        <w:rPr>
          <w:lang w:val="en-US"/>
        </w:rPr>
        <w:t xml:space="preserve"> </w:t>
      </w:r>
      <w:r w:rsidRPr="00303EAE">
        <w:rPr>
          <w:lang w:val="en-US"/>
        </w:rPr>
        <w:t>SEC: sec</w:t>
      </w:r>
      <w:r>
        <w:rPr>
          <w:lang w:val="en-US"/>
        </w:rPr>
        <w:t xml:space="preserve">ukinumab; SoC: Standard of Care; Subs: subsequent; </w:t>
      </w:r>
      <w:r w:rsidRPr="002A6448">
        <w:rPr>
          <w:lang w:val="en-US"/>
        </w:rPr>
        <w:t>TB: tuberculosis.</w:t>
      </w:r>
    </w:p>
    <w:p w:rsidR="002B72B4" w:rsidRDefault="002B72B4" w:rsidP="002B72B4">
      <w:pPr>
        <w:pStyle w:val="Manuscriptfootnote"/>
        <w:rPr>
          <w:lang w:val="en-US"/>
        </w:rPr>
      </w:pPr>
    </w:p>
    <w:p w:rsidR="00F86FBD" w:rsidRDefault="00F86FBD" w:rsidP="00C6478F">
      <w:pPr>
        <w:pStyle w:val="Manuscriptbody"/>
      </w:pPr>
    </w:p>
    <w:p w:rsidR="00B41FED" w:rsidRDefault="00B41FED" w:rsidP="00C6478F">
      <w:pPr>
        <w:pStyle w:val="Manuscriptbody"/>
        <w:sectPr w:rsidR="00B41FED" w:rsidSect="00863A1E">
          <w:type w:val="continuous"/>
          <w:pgSz w:w="11900" w:h="16840"/>
          <w:pgMar w:top="1440" w:right="1797" w:bottom="1440" w:left="1418" w:header="709" w:footer="709" w:gutter="0"/>
          <w:cols w:space="708"/>
          <w:docGrid w:linePitch="326"/>
        </w:sectPr>
      </w:pPr>
    </w:p>
    <w:p w:rsidR="008C7D2A" w:rsidRDefault="008C7D2A" w:rsidP="008C7D2A">
      <w:pPr>
        <w:pStyle w:val="Caption"/>
      </w:pPr>
      <w:r>
        <w:lastRenderedPageBreak/>
        <w:t xml:space="preserve">Table </w:t>
      </w:r>
      <w:r w:rsidR="00F91AB7">
        <w:t>8</w:t>
      </w:r>
      <w:r>
        <w:t xml:space="preserve"> Sensitivity analysis inputs</w:t>
      </w:r>
    </w:p>
    <w:p w:rsidR="008432ED" w:rsidRPr="008432ED" w:rsidRDefault="008432ED" w:rsidP="008432ED">
      <w:pPr>
        <w:pStyle w:val="Manuscriptbody"/>
        <w:rPr>
          <w:lang w:val="en-US"/>
        </w:rPr>
      </w:pPr>
      <w:r>
        <w:rPr>
          <w:lang w:val="en-US"/>
        </w:rPr>
        <w:t>Model inputs were varied in one-way sensitivity analyses and probabilistic sensitivity analyses based on the following, with full details provided in tables below:</w:t>
      </w:r>
    </w:p>
    <w:p w:rsidR="008432ED" w:rsidRPr="008432ED" w:rsidRDefault="008432ED" w:rsidP="008432ED">
      <w:pPr>
        <w:pStyle w:val="Manuscriptoutline"/>
      </w:pPr>
      <w:r w:rsidRPr="008432ED">
        <w:t>PsARC and PASI responses were varied based on 95% confidence intervals (one-way sensitivity analysis; PsARC only) or using standard errors (Normal distribution; probabilistic sensitivity analysis)</w:t>
      </w:r>
    </w:p>
    <w:p w:rsidR="008432ED" w:rsidRPr="008432ED" w:rsidRDefault="008432ED" w:rsidP="008432ED">
      <w:pPr>
        <w:pStyle w:val="Manuscriptoutline"/>
      </w:pPr>
      <w:r w:rsidRPr="008432ED">
        <w:t>Changes in HAQ with or without a PsARC response were varied based on the 95% confidence intervals (one-way sensitivity analysis) or using standard errors (Gamma distribution; probabilistic sensitivity analysis)</w:t>
      </w:r>
    </w:p>
    <w:p w:rsidR="008432ED" w:rsidRPr="008432ED" w:rsidRDefault="008432ED" w:rsidP="008432ED">
      <w:pPr>
        <w:pStyle w:val="Manuscriptoutline"/>
      </w:pPr>
      <w:r w:rsidRPr="008432ED">
        <w:t>Adverse event rates were varied by ±20% (one-way sensitivity analysis) or using standard errors assumed to be 20% of the model input values (Beta distribution; probabilistic sensitivity analysis)</w:t>
      </w:r>
    </w:p>
    <w:p w:rsidR="008432ED" w:rsidRPr="008432ED" w:rsidRDefault="008432ED" w:rsidP="008432ED">
      <w:pPr>
        <w:pStyle w:val="Manuscriptoutline"/>
      </w:pPr>
      <w:r w:rsidRPr="008432ED">
        <w:t>Utility weights were varied based on the 95% confidence intervals (one-way sensitivity analysis) and were varied using a multivariate normal distribution for the probabilistic sensitivity analysis</w:t>
      </w:r>
      <w:r w:rsidR="0058111F">
        <w:t xml:space="preserve"> to account for correlation between utility weights</w:t>
      </w:r>
    </w:p>
    <w:p w:rsidR="003C7843" w:rsidRDefault="008432ED" w:rsidP="008432ED">
      <w:pPr>
        <w:pStyle w:val="Manuscriptoutline"/>
      </w:pPr>
      <w:r w:rsidRPr="008432ED">
        <w:t>Cost parameters were varied by ±20% (one-way sensitivity analysis) or using standard errors assumed to be 20% of the model input values (Gamma distribution; probabilistic sensitivity analysis)</w:t>
      </w:r>
    </w:p>
    <w:p w:rsidR="00B41FED" w:rsidRDefault="008432ED" w:rsidP="00A52EA5">
      <w:pPr>
        <w:pStyle w:val="Manuscriptoutline"/>
        <w:sectPr w:rsidR="00B41FED" w:rsidSect="00863A1E">
          <w:type w:val="continuous"/>
          <w:pgSz w:w="16840" w:h="11900" w:orient="landscape"/>
          <w:pgMar w:top="1418" w:right="1440" w:bottom="1797" w:left="1440" w:header="709" w:footer="709" w:gutter="0"/>
          <w:cols w:space="708"/>
          <w:docGrid w:linePitch="326"/>
        </w:sectPr>
      </w:pPr>
      <w:r w:rsidRPr="008432ED">
        <w:t>Mortality relative risks were varied by ±20% (one-way sensitivity analysis) or using standard errors assumed to be 20% of the model input values (Lognormal distribution; probabilistic sensitivity analysis)</w:t>
      </w:r>
    </w:p>
    <w:p w:rsidR="008C7D2A" w:rsidRPr="008432ED" w:rsidRDefault="00F91AB7" w:rsidP="008432ED">
      <w:pPr>
        <w:pStyle w:val="Caption"/>
      </w:pPr>
      <w:r>
        <w:lastRenderedPageBreak/>
        <w:t>Table 8 continued</w:t>
      </w:r>
    </w:p>
    <w:tbl>
      <w:tblPr>
        <w:tblStyle w:val="TableGrid"/>
        <w:tblW w:w="10982" w:type="dxa"/>
        <w:tblLook w:val="04A0" w:firstRow="1" w:lastRow="0" w:firstColumn="1" w:lastColumn="0" w:noHBand="0" w:noVBand="1"/>
      </w:tblPr>
      <w:tblGrid>
        <w:gridCol w:w="2948"/>
        <w:gridCol w:w="1417"/>
        <w:gridCol w:w="1300"/>
        <w:gridCol w:w="1300"/>
        <w:gridCol w:w="1417"/>
        <w:gridCol w:w="1300"/>
        <w:gridCol w:w="1300"/>
      </w:tblGrid>
      <w:tr w:rsidR="008C7D2A" w:rsidRPr="00DD6503" w:rsidTr="003A541D">
        <w:tc>
          <w:tcPr>
            <w:tcW w:w="2948" w:type="dxa"/>
            <w:shd w:val="clear" w:color="auto" w:fill="BFBFBF" w:themeFill="background1" w:themeFillShade="BF"/>
            <w:vAlign w:val="bottom"/>
          </w:tcPr>
          <w:p w:rsidR="008C7D2A" w:rsidRPr="00DD6503" w:rsidRDefault="008C7D2A" w:rsidP="008432ED">
            <w:pPr>
              <w:keepNext/>
              <w:rPr>
                <w:rFonts w:ascii="Tahoma" w:eastAsia="Times New Roman" w:hAnsi="Tahoma" w:cs="Tahoma"/>
                <w:sz w:val="18"/>
                <w:szCs w:val="18"/>
              </w:rPr>
            </w:pPr>
          </w:p>
        </w:tc>
        <w:tc>
          <w:tcPr>
            <w:tcW w:w="1417" w:type="dxa"/>
            <w:shd w:val="clear" w:color="auto" w:fill="BFBFBF" w:themeFill="background1" w:themeFillShade="BF"/>
            <w:vAlign w:val="bottom"/>
          </w:tcPr>
          <w:p w:rsidR="008C7D2A" w:rsidRPr="00DD6503" w:rsidRDefault="008C7D2A" w:rsidP="008432ED">
            <w:pPr>
              <w:keepNext/>
              <w:rPr>
                <w:rFonts w:ascii="Tahoma" w:hAnsi="Tahoma" w:cs="Tahoma"/>
                <w:b/>
                <w:bCs/>
                <w:color w:val="000000"/>
                <w:sz w:val="18"/>
                <w:szCs w:val="18"/>
              </w:rPr>
            </w:pPr>
          </w:p>
        </w:tc>
        <w:tc>
          <w:tcPr>
            <w:tcW w:w="2600" w:type="dxa"/>
            <w:gridSpan w:val="2"/>
            <w:shd w:val="clear" w:color="auto" w:fill="BFBFBF" w:themeFill="background1" w:themeFillShade="BF"/>
            <w:vAlign w:val="bottom"/>
          </w:tcPr>
          <w:p w:rsidR="008C7D2A" w:rsidRPr="00DD6503" w:rsidRDefault="008C7D2A" w:rsidP="008432ED">
            <w:pPr>
              <w:keepNext/>
              <w:rPr>
                <w:rFonts w:ascii="Tahoma" w:hAnsi="Tahoma" w:cs="Tahoma"/>
                <w:sz w:val="18"/>
                <w:szCs w:val="18"/>
              </w:rPr>
            </w:pPr>
            <w:r w:rsidRPr="00DD6503">
              <w:rPr>
                <w:rFonts w:ascii="Tahoma" w:hAnsi="Tahoma" w:cs="Tahoma"/>
                <w:b/>
                <w:bCs/>
                <w:color w:val="000000"/>
                <w:sz w:val="18"/>
                <w:szCs w:val="18"/>
              </w:rPr>
              <w:t>One-way SA</w:t>
            </w:r>
          </w:p>
        </w:tc>
        <w:tc>
          <w:tcPr>
            <w:tcW w:w="4017" w:type="dxa"/>
            <w:gridSpan w:val="3"/>
            <w:shd w:val="clear" w:color="auto" w:fill="BFBFBF" w:themeFill="background1" w:themeFillShade="BF"/>
            <w:vAlign w:val="bottom"/>
          </w:tcPr>
          <w:p w:rsidR="008C7D2A" w:rsidRPr="00DD6503" w:rsidRDefault="008C7D2A" w:rsidP="008432ED">
            <w:pPr>
              <w:keepNext/>
              <w:rPr>
                <w:rFonts w:ascii="Tahoma" w:hAnsi="Tahoma" w:cs="Tahoma"/>
                <w:sz w:val="18"/>
                <w:szCs w:val="18"/>
              </w:rPr>
            </w:pPr>
            <w:r w:rsidRPr="00DD6503">
              <w:rPr>
                <w:rFonts w:ascii="Tahoma" w:hAnsi="Tahoma" w:cs="Tahoma"/>
                <w:b/>
                <w:bCs/>
                <w:color w:val="000000"/>
                <w:sz w:val="18"/>
                <w:szCs w:val="18"/>
              </w:rPr>
              <w:t>Probabilistic SA</w:t>
            </w:r>
          </w:p>
        </w:tc>
      </w:tr>
      <w:tr w:rsidR="008C7D2A" w:rsidRPr="00DD6503" w:rsidTr="003A541D">
        <w:tc>
          <w:tcPr>
            <w:tcW w:w="2948" w:type="dxa"/>
            <w:shd w:val="clear" w:color="auto" w:fill="BFBFBF" w:themeFill="background1" w:themeFillShade="BF"/>
            <w:vAlign w:val="bottom"/>
          </w:tcPr>
          <w:p w:rsidR="008C7D2A" w:rsidRPr="00DD6503" w:rsidRDefault="008C7D2A" w:rsidP="008432ED">
            <w:pPr>
              <w:keepNext/>
              <w:rPr>
                <w:rFonts w:ascii="Tahoma" w:hAnsi="Tahoma" w:cs="Tahoma"/>
                <w:b/>
                <w:bCs/>
                <w:color w:val="000000"/>
                <w:sz w:val="18"/>
                <w:szCs w:val="18"/>
              </w:rPr>
            </w:pPr>
            <w:r w:rsidRPr="00DD6503">
              <w:rPr>
                <w:rFonts w:ascii="Tahoma" w:hAnsi="Tahoma" w:cs="Tahoma"/>
                <w:b/>
                <w:bCs/>
                <w:color w:val="000000"/>
                <w:sz w:val="18"/>
                <w:szCs w:val="18"/>
              </w:rPr>
              <w:t>Parameter</w:t>
            </w:r>
          </w:p>
        </w:tc>
        <w:tc>
          <w:tcPr>
            <w:tcW w:w="1417" w:type="dxa"/>
            <w:shd w:val="clear" w:color="auto" w:fill="BFBFBF" w:themeFill="background1" w:themeFillShade="BF"/>
            <w:vAlign w:val="bottom"/>
          </w:tcPr>
          <w:p w:rsidR="008C7D2A" w:rsidRPr="00DD6503" w:rsidRDefault="008C7D2A" w:rsidP="008432ED">
            <w:pPr>
              <w:keepNext/>
              <w:rPr>
                <w:rFonts w:ascii="Tahoma" w:hAnsi="Tahoma" w:cs="Tahoma"/>
                <w:b/>
                <w:bCs/>
                <w:color w:val="000000"/>
                <w:sz w:val="18"/>
                <w:szCs w:val="18"/>
              </w:rPr>
            </w:pPr>
            <w:r w:rsidRPr="00DD6503">
              <w:rPr>
                <w:rFonts w:ascii="Tahoma" w:hAnsi="Tahoma" w:cs="Tahoma"/>
                <w:b/>
                <w:bCs/>
                <w:color w:val="000000"/>
                <w:sz w:val="18"/>
                <w:szCs w:val="18"/>
              </w:rPr>
              <w:t>Model input</w:t>
            </w:r>
          </w:p>
        </w:tc>
        <w:tc>
          <w:tcPr>
            <w:tcW w:w="1300" w:type="dxa"/>
            <w:shd w:val="clear" w:color="auto" w:fill="BFBFBF" w:themeFill="background1" w:themeFillShade="BF"/>
            <w:vAlign w:val="bottom"/>
          </w:tcPr>
          <w:p w:rsidR="008C7D2A" w:rsidRPr="00DD6503" w:rsidRDefault="008C7D2A" w:rsidP="008432ED">
            <w:pPr>
              <w:keepNext/>
              <w:rPr>
                <w:rFonts w:ascii="Tahoma" w:hAnsi="Tahoma" w:cs="Tahoma"/>
                <w:b/>
                <w:bCs/>
                <w:color w:val="000000"/>
                <w:sz w:val="18"/>
                <w:szCs w:val="18"/>
              </w:rPr>
            </w:pPr>
            <w:r w:rsidRPr="00DD6503">
              <w:rPr>
                <w:rFonts w:ascii="Tahoma" w:hAnsi="Tahoma" w:cs="Tahoma"/>
                <w:b/>
                <w:bCs/>
                <w:color w:val="000000"/>
                <w:sz w:val="18"/>
                <w:szCs w:val="18"/>
              </w:rPr>
              <w:t>Lower bound</w:t>
            </w:r>
          </w:p>
        </w:tc>
        <w:tc>
          <w:tcPr>
            <w:tcW w:w="1300" w:type="dxa"/>
            <w:shd w:val="clear" w:color="auto" w:fill="BFBFBF" w:themeFill="background1" w:themeFillShade="BF"/>
            <w:vAlign w:val="bottom"/>
          </w:tcPr>
          <w:p w:rsidR="008C7D2A" w:rsidRPr="00DD6503" w:rsidRDefault="008C7D2A" w:rsidP="008432ED">
            <w:pPr>
              <w:keepNext/>
              <w:rPr>
                <w:rFonts w:ascii="Tahoma" w:hAnsi="Tahoma" w:cs="Tahoma"/>
                <w:b/>
                <w:bCs/>
                <w:color w:val="000000"/>
                <w:sz w:val="18"/>
                <w:szCs w:val="18"/>
              </w:rPr>
            </w:pPr>
            <w:r w:rsidRPr="00DD6503">
              <w:rPr>
                <w:rFonts w:ascii="Tahoma" w:hAnsi="Tahoma" w:cs="Tahoma"/>
                <w:b/>
                <w:bCs/>
                <w:color w:val="000000"/>
                <w:sz w:val="18"/>
                <w:szCs w:val="18"/>
              </w:rPr>
              <w:t>Upper bound</w:t>
            </w:r>
          </w:p>
        </w:tc>
        <w:tc>
          <w:tcPr>
            <w:tcW w:w="1417" w:type="dxa"/>
            <w:shd w:val="clear" w:color="auto" w:fill="BFBFBF" w:themeFill="background1" w:themeFillShade="BF"/>
            <w:vAlign w:val="bottom"/>
          </w:tcPr>
          <w:p w:rsidR="008C7D2A" w:rsidRPr="00DD6503" w:rsidRDefault="008C7D2A" w:rsidP="008432ED">
            <w:pPr>
              <w:keepNext/>
              <w:rPr>
                <w:rFonts w:ascii="Tahoma" w:hAnsi="Tahoma" w:cs="Tahoma"/>
                <w:b/>
                <w:bCs/>
                <w:color w:val="000000"/>
                <w:sz w:val="18"/>
                <w:szCs w:val="18"/>
              </w:rPr>
            </w:pPr>
            <w:r w:rsidRPr="00DD6503">
              <w:rPr>
                <w:rFonts w:ascii="Tahoma" w:hAnsi="Tahoma" w:cs="Tahoma"/>
                <w:b/>
                <w:bCs/>
                <w:color w:val="000000"/>
                <w:sz w:val="18"/>
                <w:szCs w:val="18"/>
              </w:rPr>
              <w:t>Distribution</w:t>
            </w:r>
          </w:p>
        </w:tc>
        <w:tc>
          <w:tcPr>
            <w:tcW w:w="1300" w:type="dxa"/>
            <w:shd w:val="clear" w:color="auto" w:fill="BFBFBF" w:themeFill="background1" w:themeFillShade="BF"/>
            <w:vAlign w:val="bottom"/>
          </w:tcPr>
          <w:p w:rsidR="008C7D2A" w:rsidRPr="00DD6503" w:rsidRDefault="008C7D2A" w:rsidP="008432ED">
            <w:pPr>
              <w:keepNext/>
              <w:rPr>
                <w:rFonts w:ascii="Tahoma" w:hAnsi="Tahoma" w:cs="Tahoma"/>
                <w:b/>
                <w:bCs/>
                <w:color w:val="000000"/>
                <w:sz w:val="18"/>
                <w:szCs w:val="18"/>
              </w:rPr>
            </w:pPr>
            <w:r w:rsidRPr="00DD6503">
              <w:rPr>
                <w:rFonts w:ascii="Tahoma" w:hAnsi="Tahoma" w:cs="Tahoma"/>
                <w:b/>
                <w:bCs/>
                <w:color w:val="000000"/>
                <w:sz w:val="18"/>
                <w:szCs w:val="18"/>
              </w:rPr>
              <w:t>Log Odds</w:t>
            </w:r>
          </w:p>
        </w:tc>
        <w:tc>
          <w:tcPr>
            <w:tcW w:w="1300" w:type="dxa"/>
            <w:shd w:val="clear" w:color="auto" w:fill="BFBFBF" w:themeFill="background1" w:themeFillShade="BF"/>
            <w:vAlign w:val="bottom"/>
          </w:tcPr>
          <w:p w:rsidR="008C7D2A" w:rsidRPr="00DD6503" w:rsidRDefault="008C7D2A" w:rsidP="008432ED">
            <w:pPr>
              <w:keepNext/>
              <w:rPr>
                <w:rFonts w:ascii="Tahoma" w:hAnsi="Tahoma" w:cs="Tahoma"/>
                <w:b/>
                <w:bCs/>
                <w:color w:val="000000"/>
                <w:sz w:val="18"/>
                <w:szCs w:val="18"/>
              </w:rPr>
            </w:pPr>
            <w:r w:rsidRPr="00DD6503">
              <w:rPr>
                <w:rFonts w:ascii="Tahoma" w:hAnsi="Tahoma" w:cs="Tahoma"/>
                <w:b/>
                <w:bCs/>
                <w:color w:val="000000"/>
                <w:sz w:val="18"/>
                <w:szCs w:val="18"/>
              </w:rPr>
              <w:t>Log Odds s.e.</w:t>
            </w:r>
          </w:p>
        </w:tc>
      </w:tr>
      <w:tr w:rsidR="008C7D2A" w:rsidRPr="00DD6503" w:rsidTr="003A541D">
        <w:tc>
          <w:tcPr>
            <w:tcW w:w="2948" w:type="dxa"/>
            <w:vAlign w:val="bottom"/>
          </w:tcPr>
          <w:p w:rsidR="008C7D2A" w:rsidRPr="00DD6503" w:rsidRDefault="008C7D2A" w:rsidP="008432ED">
            <w:pPr>
              <w:keepNext/>
              <w:rPr>
                <w:rFonts w:ascii="Tahoma" w:hAnsi="Tahoma" w:cs="Tahoma"/>
                <w:b/>
                <w:bCs/>
                <w:color w:val="000000"/>
                <w:sz w:val="18"/>
                <w:szCs w:val="18"/>
              </w:rPr>
            </w:pPr>
            <w:r w:rsidRPr="00DD6503">
              <w:rPr>
                <w:rFonts w:ascii="Tahoma" w:hAnsi="Tahoma" w:cs="Tahoma"/>
                <w:b/>
                <w:bCs/>
                <w:color w:val="000000"/>
                <w:sz w:val="18"/>
                <w:szCs w:val="18"/>
              </w:rPr>
              <w:t>PsARC response</w:t>
            </w:r>
          </w:p>
        </w:tc>
        <w:tc>
          <w:tcPr>
            <w:tcW w:w="1417" w:type="dxa"/>
            <w:vAlign w:val="bottom"/>
          </w:tcPr>
          <w:p w:rsidR="008C7D2A" w:rsidRPr="00DD6503" w:rsidRDefault="008C7D2A" w:rsidP="008432ED">
            <w:pPr>
              <w:keepNext/>
              <w:rPr>
                <w:rFonts w:ascii="Tahoma" w:hAnsi="Tahoma" w:cs="Tahoma"/>
                <w:b/>
                <w:bCs/>
                <w:color w:val="000000"/>
                <w:sz w:val="18"/>
                <w:szCs w:val="18"/>
              </w:rPr>
            </w:pPr>
          </w:p>
        </w:tc>
        <w:tc>
          <w:tcPr>
            <w:tcW w:w="1300" w:type="dxa"/>
            <w:vAlign w:val="bottom"/>
          </w:tcPr>
          <w:p w:rsidR="008C7D2A" w:rsidRPr="00DD6503" w:rsidRDefault="008C7D2A" w:rsidP="008432ED">
            <w:pPr>
              <w:keepNext/>
              <w:rPr>
                <w:rFonts w:ascii="Tahoma" w:hAnsi="Tahoma" w:cs="Tahoma"/>
                <w:sz w:val="18"/>
                <w:szCs w:val="18"/>
              </w:rPr>
            </w:pPr>
          </w:p>
        </w:tc>
        <w:tc>
          <w:tcPr>
            <w:tcW w:w="1300" w:type="dxa"/>
            <w:vAlign w:val="bottom"/>
          </w:tcPr>
          <w:p w:rsidR="008C7D2A" w:rsidRPr="00DD6503" w:rsidRDefault="008C7D2A" w:rsidP="008432ED">
            <w:pPr>
              <w:keepNext/>
              <w:rPr>
                <w:rFonts w:ascii="Tahoma" w:hAnsi="Tahoma" w:cs="Tahoma"/>
                <w:sz w:val="18"/>
                <w:szCs w:val="18"/>
              </w:rPr>
            </w:pPr>
          </w:p>
        </w:tc>
        <w:tc>
          <w:tcPr>
            <w:tcW w:w="1417" w:type="dxa"/>
            <w:vAlign w:val="bottom"/>
          </w:tcPr>
          <w:p w:rsidR="008C7D2A" w:rsidRPr="00DD6503" w:rsidRDefault="008C7D2A" w:rsidP="008432ED">
            <w:pPr>
              <w:keepNext/>
              <w:rPr>
                <w:rFonts w:ascii="Tahoma" w:hAnsi="Tahoma" w:cs="Tahoma"/>
                <w:sz w:val="18"/>
                <w:szCs w:val="18"/>
              </w:rPr>
            </w:pPr>
          </w:p>
        </w:tc>
        <w:tc>
          <w:tcPr>
            <w:tcW w:w="1300" w:type="dxa"/>
            <w:vAlign w:val="bottom"/>
          </w:tcPr>
          <w:p w:rsidR="008C7D2A" w:rsidRPr="00DD6503" w:rsidRDefault="008C7D2A" w:rsidP="008432ED">
            <w:pPr>
              <w:keepNext/>
              <w:rPr>
                <w:rFonts w:ascii="Tahoma" w:hAnsi="Tahoma" w:cs="Tahoma"/>
                <w:sz w:val="18"/>
                <w:szCs w:val="18"/>
              </w:rPr>
            </w:pPr>
          </w:p>
        </w:tc>
        <w:tc>
          <w:tcPr>
            <w:tcW w:w="1300" w:type="dxa"/>
            <w:vAlign w:val="bottom"/>
          </w:tcPr>
          <w:p w:rsidR="008C7D2A" w:rsidRPr="00DD6503" w:rsidRDefault="008C7D2A" w:rsidP="008432ED">
            <w:pPr>
              <w:keepNext/>
              <w:rPr>
                <w:rFonts w:ascii="Tahoma" w:hAnsi="Tahoma" w:cs="Tahoma"/>
                <w:sz w:val="18"/>
                <w:szCs w:val="18"/>
              </w:rPr>
            </w:pPr>
          </w:p>
        </w:tc>
      </w:tr>
      <w:tr w:rsidR="008C7D2A" w:rsidRPr="00DD6503" w:rsidTr="003A541D">
        <w:tc>
          <w:tcPr>
            <w:tcW w:w="2948" w:type="dxa"/>
            <w:vAlign w:val="bottom"/>
          </w:tcPr>
          <w:p w:rsidR="008C7D2A" w:rsidRPr="00DD6503" w:rsidRDefault="008C7D2A" w:rsidP="008432ED">
            <w:pPr>
              <w:keepNext/>
              <w:rPr>
                <w:rFonts w:ascii="Tahoma" w:hAnsi="Tahoma" w:cs="Tahoma"/>
                <w:b/>
                <w:bCs/>
                <w:color w:val="000000"/>
                <w:sz w:val="18"/>
                <w:szCs w:val="18"/>
              </w:rPr>
            </w:pPr>
            <w:r w:rsidRPr="00DD6503">
              <w:rPr>
                <w:rFonts w:ascii="Tahoma" w:hAnsi="Tahoma" w:cs="Tahoma"/>
                <w:b/>
                <w:bCs/>
                <w:color w:val="000000"/>
                <w:sz w:val="18"/>
                <w:szCs w:val="18"/>
              </w:rPr>
              <w:t>1 prior csDMARD</w:t>
            </w:r>
          </w:p>
        </w:tc>
        <w:tc>
          <w:tcPr>
            <w:tcW w:w="1417" w:type="dxa"/>
            <w:vAlign w:val="bottom"/>
          </w:tcPr>
          <w:p w:rsidR="008C7D2A" w:rsidRPr="00DD6503" w:rsidRDefault="008C7D2A" w:rsidP="008432ED">
            <w:pPr>
              <w:keepNext/>
              <w:rPr>
                <w:rFonts w:ascii="Tahoma" w:hAnsi="Tahoma" w:cs="Tahoma"/>
                <w:b/>
                <w:bCs/>
                <w:color w:val="000000"/>
                <w:sz w:val="18"/>
                <w:szCs w:val="18"/>
              </w:rPr>
            </w:pPr>
          </w:p>
        </w:tc>
        <w:tc>
          <w:tcPr>
            <w:tcW w:w="1300" w:type="dxa"/>
            <w:vAlign w:val="bottom"/>
          </w:tcPr>
          <w:p w:rsidR="008C7D2A" w:rsidRPr="00DD6503" w:rsidRDefault="008C7D2A" w:rsidP="008432ED">
            <w:pPr>
              <w:keepNext/>
              <w:rPr>
                <w:rFonts w:ascii="Tahoma" w:hAnsi="Tahoma" w:cs="Tahoma"/>
                <w:sz w:val="18"/>
                <w:szCs w:val="18"/>
              </w:rPr>
            </w:pPr>
          </w:p>
        </w:tc>
        <w:tc>
          <w:tcPr>
            <w:tcW w:w="1300" w:type="dxa"/>
            <w:vAlign w:val="bottom"/>
          </w:tcPr>
          <w:p w:rsidR="008C7D2A" w:rsidRPr="00DD6503" w:rsidRDefault="008C7D2A" w:rsidP="008432ED">
            <w:pPr>
              <w:keepNext/>
              <w:rPr>
                <w:rFonts w:ascii="Tahoma" w:hAnsi="Tahoma" w:cs="Tahoma"/>
                <w:sz w:val="18"/>
                <w:szCs w:val="18"/>
              </w:rPr>
            </w:pPr>
          </w:p>
        </w:tc>
        <w:tc>
          <w:tcPr>
            <w:tcW w:w="1417" w:type="dxa"/>
            <w:vAlign w:val="bottom"/>
          </w:tcPr>
          <w:p w:rsidR="008C7D2A" w:rsidRPr="00DD6503" w:rsidRDefault="008C7D2A" w:rsidP="008432ED">
            <w:pPr>
              <w:keepNext/>
              <w:rPr>
                <w:rFonts w:ascii="Tahoma" w:hAnsi="Tahoma" w:cs="Tahoma"/>
                <w:sz w:val="18"/>
                <w:szCs w:val="18"/>
              </w:rPr>
            </w:pPr>
          </w:p>
        </w:tc>
        <w:tc>
          <w:tcPr>
            <w:tcW w:w="1300" w:type="dxa"/>
            <w:vAlign w:val="bottom"/>
          </w:tcPr>
          <w:p w:rsidR="008C7D2A" w:rsidRPr="00DD6503" w:rsidRDefault="008C7D2A" w:rsidP="008432ED">
            <w:pPr>
              <w:keepNext/>
              <w:rPr>
                <w:rFonts w:ascii="Tahoma" w:hAnsi="Tahoma" w:cs="Tahoma"/>
                <w:sz w:val="18"/>
                <w:szCs w:val="18"/>
              </w:rPr>
            </w:pPr>
          </w:p>
        </w:tc>
        <w:tc>
          <w:tcPr>
            <w:tcW w:w="1300" w:type="dxa"/>
            <w:vAlign w:val="bottom"/>
          </w:tcPr>
          <w:p w:rsidR="008C7D2A" w:rsidRPr="00DD6503" w:rsidRDefault="008C7D2A" w:rsidP="008432ED">
            <w:pPr>
              <w:keepNext/>
              <w:rPr>
                <w:rFonts w:ascii="Tahoma" w:hAnsi="Tahoma" w:cs="Tahoma"/>
                <w:sz w:val="18"/>
                <w:szCs w:val="18"/>
              </w:rPr>
            </w:pPr>
          </w:p>
        </w:tc>
      </w:tr>
      <w:tr w:rsidR="008C7D2A" w:rsidRPr="00DD6503" w:rsidTr="003A541D">
        <w:tc>
          <w:tcPr>
            <w:tcW w:w="2948" w:type="dxa"/>
            <w:vAlign w:val="bottom"/>
          </w:tcPr>
          <w:p w:rsidR="008C7D2A" w:rsidRPr="00DD6503" w:rsidRDefault="008C7D2A" w:rsidP="008432ED">
            <w:pPr>
              <w:keepNext/>
              <w:rPr>
                <w:rFonts w:ascii="Tahoma" w:hAnsi="Tahoma" w:cs="Tahoma"/>
                <w:color w:val="000000"/>
                <w:sz w:val="18"/>
                <w:szCs w:val="18"/>
              </w:rPr>
            </w:pPr>
            <w:r w:rsidRPr="00DD6503">
              <w:rPr>
                <w:rFonts w:ascii="Tahoma" w:hAnsi="Tahoma" w:cs="Tahoma"/>
                <w:color w:val="000000"/>
                <w:sz w:val="18"/>
                <w:szCs w:val="18"/>
              </w:rPr>
              <w:t>3-month PsARC response - SEC 150</w:t>
            </w:r>
          </w:p>
        </w:tc>
        <w:tc>
          <w:tcPr>
            <w:tcW w:w="1417" w:type="dxa"/>
            <w:vAlign w:val="bottom"/>
          </w:tcPr>
          <w:p w:rsidR="008C7D2A" w:rsidRPr="00DD6503" w:rsidRDefault="008C7D2A" w:rsidP="008432ED">
            <w:pPr>
              <w:keepNext/>
              <w:jc w:val="right"/>
              <w:rPr>
                <w:rFonts w:ascii="Tahoma" w:hAnsi="Tahoma" w:cs="Tahoma"/>
                <w:color w:val="000000"/>
                <w:sz w:val="18"/>
                <w:szCs w:val="18"/>
              </w:rPr>
            </w:pPr>
            <w:r w:rsidRPr="00DD6503">
              <w:rPr>
                <w:rFonts w:ascii="Tahoma" w:hAnsi="Tahoma" w:cs="Tahoma"/>
                <w:color w:val="000000"/>
                <w:sz w:val="18"/>
                <w:szCs w:val="18"/>
              </w:rPr>
              <w:t>71.40%</w:t>
            </w:r>
          </w:p>
        </w:tc>
        <w:tc>
          <w:tcPr>
            <w:tcW w:w="1300" w:type="dxa"/>
            <w:vAlign w:val="bottom"/>
          </w:tcPr>
          <w:p w:rsidR="008C7D2A" w:rsidRPr="00DD6503" w:rsidRDefault="008C7D2A" w:rsidP="008432ED">
            <w:pPr>
              <w:keepNext/>
              <w:jc w:val="right"/>
              <w:rPr>
                <w:rFonts w:ascii="Tahoma" w:hAnsi="Tahoma" w:cs="Tahoma"/>
                <w:color w:val="000000"/>
                <w:sz w:val="18"/>
                <w:szCs w:val="18"/>
              </w:rPr>
            </w:pPr>
            <w:r w:rsidRPr="00DD6503">
              <w:rPr>
                <w:rFonts w:ascii="Tahoma" w:hAnsi="Tahoma" w:cs="Tahoma"/>
                <w:color w:val="000000"/>
                <w:sz w:val="18"/>
                <w:szCs w:val="18"/>
              </w:rPr>
              <w:t>60.40%</w:t>
            </w:r>
          </w:p>
        </w:tc>
        <w:tc>
          <w:tcPr>
            <w:tcW w:w="1300" w:type="dxa"/>
            <w:vAlign w:val="bottom"/>
          </w:tcPr>
          <w:p w:rsidR="008C7D2A" w:rsidRPr="00DD6503" w:rsidRDefault="008C7D2A" w:rsidP="008432ED">
            <w:pPr>
              <w:keepNext/>
              <w:jc w:val="right"/>
              <w:rPr>
                <w:rFonts w:ascii="Tahoma" w:hAnsi="Tahoma" w:cs="Tahoma"/>
                <w:color w:val="000000"/>
                <w:sz w:val="18"/>
                <w:szCs w:val="18"/>
              </w:rPr>
            </w:pPr>
            <w:r w:rsidRPr="00DD6503">
              <w:rPr>
                <w:rFonts w:ascii="Tahoma" w:hAnsi="Tahoma" w:cs="Tahoma"/>
                <w:color w:val="000000"/>
                <w:sz w:val="18"/>
                <w:szCs w:val="18"/>
              </w:rPr>
              <w:t>80.50%</w:t>
            </w:r>
          </w:p>
        </w:tc>
        <w:tc>
          <w:tcPr>
            <w:tcW w:w="1417" w:type="dxa"/>
            <w:vAlign w:val="bottom"/>
          </w:tcPr>
          <w:p w:rsidR="008C7D2A" w:rsidRPr="00DD6503" w:rsidRDefault="008C7D2A" w:rsidP="008432ED">
            <w:pPr>
              <w:keepNext/>
              <w:rPr>
                <w:rFonts w:ascii="Tahoma" w:hAnsi="Tahoma" w:cs="Tahoma"/>
                <w:color w:val="000000"/>
                <w:sz w:val="18"/>
                <w:szCs w:val="18"/>
              </w:rPr>
            </w:pPr>
            <w:r w:rsidRPr="00DD6503">
              <w:rPr>
                <w:rFonts w:ascii="Tahoma" w:hAnsi="Tahoma" w:cs="Tahoma"/>
                <w:color w:val="000000"/>
                <w:sz w:val="18"/>
                <w:szCs w:val="18"/>
              </w:rPr>
              <w:t>Normal</w:t>
            </w:r>
          </w:p>
        </w:tc>
        <w:tc>
          <w:tcPr>
            <w:tcW w:w="1300" w:type="dxa"/>
            <w:vAlign w:val="bottom"/>
          </w:tcPr>
          <w:p w:rsidR="008C7D2A" w:rsidRPr="00DD6503" w:rsidRDefault="008C7D2A" w:rsidP="008432ED">
            <w:pPr>
              <w:keepNext/>
              <w:jc w:val="right"/>
              <w:rPr>
                <w:rFonts w:ascii="Tahoma" w:hAnsi="Tahoma" w:cs="Tahoma"/>
                <w:color w:val="000000"/>
                <w:sz w:val="18"/>
                <w:szCs w:val="18"/>
              </w:rPr>
            </w:pPr>
            <w:r w:rsidRPr="00DD6503">
              <w:rPr>
                <w:rFonts w:ascii="Tahoma" w:hAnsi="Tahoma" w:cs="Tahoma"/>
                <w:color w:val="000000"/>
                <w:sz w:val="18"/>
                <w:szCs w:val="18"/>
              </w:rPr>
              <w:t>0.9149</w:t>
            </w:r>
          </w:p>
        </w:tc>
        <w:tc>
          <w:tcPr>
            <w:tcW w:w="1300" w:type="dxa"/>
            <w:vAlign w:val="bottom"/>
          </w:tcPr>
          <w:p w:rsidR="008C7D2A" w:rsidRPr="00DD6503" w:rsidRDefault="008C7D2A" w:rsidP="008432ED">
            <w:pPr>
              <w:keepNext/>
              <w:jc w:val="right"/>
              <w:rPr>
                <w:rFonts w:ascii="Tahoma" w:hAnsi="Tahoma" w:cs="Tahoma"/>
                <w:color w:val="000000"/>
                <w:sz w:val="18"/>
                <w:szCs w:val="18"/>
              </w:rPr>
            </w:pPr>
            <w:r w:rsidRPr="00DD6503">
              <w:rPr>
                <w:rFonts w:ascii="Tahoma" w:hAnsi="Tahoma" w:cs="Tahoma"/>
                <w:color w:val="000000"/>
                <w:sz w:val="18"/>
                <w:szCs w:val="18"/>
              </w:rPr>
              <w:t>0.2540</w:t>
            </w:r>
          </w:p>
        </w:tc>
      </w:tr>
      <w:tr w:rsidR="008C7D2A" w:rsidRPr="00DD6503" w:rsidTr="003A541D">
        <w:tc>
          <w:tcPr>
            <w:tcW w:w="2948" w:type="dxa"/>
            <w:vAlign w:val="bottom"/>
          </w:tcPr>
          <w:p w:rsidR="008C7D2A" w:rsidRPr="00DD6503" w:rsidRDefault="008C7D2A" w:rsidP="008432ED">
            <w:pPr>
              <w:keepNext/>
              <w:rPr>
                <w:rFonts w:ascii="Tahoma" w:hAnsi="Tahoma" w:cs="Tahoma"/>
                <w:color w:val="000000"/>
                <w:sz w:val="18"/>
                <w:szCs w:val="18"/>
              </w:rPr>
            </w:pPr>
            <w:r w:rsidRPr="00DD6503">
              <w:rPr>
                <w:rFonts w:ascii="Tahoma" w:hAnsi="Tahoma" w:cs="Tahoma"/>
                <w:color w:val="000000"/>
                <w:sz w:val="18"/>
                <w:szCs w:val="18"/>
              </w:rPr>
              <w:t>3-month PsARC response - SoC</w:t>
            </w:r>
          </w:p>
        </w:tc>
        <w:tc>
          <w:tcPr>
            <w:tcW w:w="1417" w:type="dxa"/>
            <w:vAlign w:val="bottom"/>
          </w:tcPr>
          <w:p w:rsidR="008C7D2A" w:rsidRPr="00DD6503" w:rsidRDefault="008C7D2A" w:rsidP="008432ED">
            <w:pPr>
              <w:keepNext/>
              <w:jc w:val="right"/>
              <w:rPr>
                <w:rFonts w:ascii="Tahoma" w:hAnsi="Tahoma" w:cs="Tahoma"/>
                <w:color w:val="000000"/>
                <w:sz w:val="18"/>
                <w:szCs w:val="18"/>
              </w:rPr>
            </w:pPr>
            <w:r w:rsidRPr="00DD6503">
              <w:rPr>
                <w:rFonts w:ascii="Tahoma" w:hAnsi="Tahoma" w:cs="Tahoma"/>
                <w:color w:val="000000"/>
                <w:sz w:val="18"/>
                <w:szCs w:val="18"/>
              </w:rPr>
              <w:t>44.80%</w:t>
            </w:r>
          </w:p>
        </w:tc>
        <w:tc>
          <w:tcPr>
            <w:tcW w:w="1300" w:type="dxa"/>
            <w:vAlign w:val="bottom"/>
          </w:tcPr>
          <w:p w:rsidR="008C7D2A" w:rsidRPr="00DD6503" w:rsidRDefault="008C7D2A" w:rsidP="008432ED">
            <w:pPr>
              <w:keepNext/>
              <w:jc w:val="right"/>
              <w:rPr>
                <w:rFonts w:ascii="Tahoma" w:hAnsi="Tahoma" w:cs="Tahoma"/>
                <w:color w:val="000000"/>
                <w:sz w:val="18"/>
                <w:szCs w:val="18"/>
              </w:rPr>
            </w:pPr>
            <w:r w:rsidRPr="00DD6503">
              <w:rPr>
                <w:rFonts w:ascii="Tahoma" w:hAnsi="Tahoma" w:cs="Tahoma"/>
                <w:color w:val="000000"/>
                <w:sz w:val="18"/>
                <w:szCs w:val="18"/>
              </w:rPr>
              <w:t>34.30%</w:t>
            </w:r>
          </w:p>
        </w:tc>
        <w:tc>
          <w:tcPr>
            <w:tcW w:w="1300" w:type="dxa"/>
            <w:vAlign w:val="bottom"/>
          </w:tcPr>
          <w:p w:rsidR="008C7D2A" w:rsidRPr="00DD6503" w:rsidRDefault="008C7D2A" w:rsidP="008432ED">
            <w:pPr>
              <w:keepNext/>
              <w:jc w:val="right"/>
              <w:rPr>
                <w:rFonts w:ascii="Tahoma" w:hAnsi="Tahoma" w:cs="Tahoma"/>
                <w:color w:val="000000"/>
                <w:sz w:val="18"/>
                <w:szCs w:val="18"/>
              </w:rPr>
            </w:pPr>
            <w:r w:rsidRPr="00DD6503">
              <w:rPr>
                <w:rFonts w:ascii="Tahoma" w:hAnsi="Tahoma" w:cs="Tahoma"/>
                <w:color w:val="000000"/>
                <w:sz w:val="18"/>
                <w:szCs w:val="18"/>
              </w:rPr>
              <w:t>55.80%</w:t>
            </w:r>
          </w:p>
        </w:tc>
        <w:tc>
          <w:tcPr>
            <w:tcW w:w="1417" w:type="dxa"/>
            <w:vAlign w:val="bottom"/>
          </w:tcPr>
          <w:p w:rsidR="008C7D2A" w:rsidRPr="00DD6503" w:rsidRDefault="008C7D2A" w:rsidP="008432ED">
            <w:pPr>
              <w:keepNext/>
              <w:rPr>
                <w:rFonts w:ascii="Tahoma" w:hAnsi="Tahoma" w:cs="Tahoma"/>
                <w:color w:val="000000"/>
                <w:sz w:val="18"/>
                <w:szCs w:val="18"/>
              </w:rPr>
            </w:pPr>
            <w:r w:rsidRPr="00DD6503">
              <w:rPr>
                <w:rFonts w:ascii="Tahoma" w:hAnsi="Tahoma" w:cs="Tahoma"/>
                <w:color w:val="000000"/>
                <w:sz w:val="18"/>
                <w:szCs w:val="18"/>
              </w:rPr>
              <w:t>Normal</w:t>
            </w:r>
          </w:p>
        </w:tc>
        <w:tc>
          <w:tcPr>
            <w:tcW w:w="1300" w:type="dxa"/>
            <w:vAlign w:val="bottom"/>
          </w:tcPr>
          <w:p w:rsidR="008C7D2A" w:rsidRPr="00DD6503" w:rsidRDefault="008C7D2A" w:rsidP="008432ED">
            <w:pPr>
              <w:keepNext/>
              <w:jc w:val="right"/>
              <w:rPr>
                <w:rFonts w:ascii="Tahoma" w:hAnsi="Tahoma" w:cs="Tahoma"/>
                <w:color w:val="000000"/>
                <w:sz w:val="18"/>
                <w:szCs w:val="18"/>
              </w:rPr>
            </w:pPr>
            <w:r w:rsidRPr="00DD6503">
              <w:rPr>
                <w:rFonts w:ascii="Tahoma" w:hAnsi="Tahoma" w:cs="Tahoma"/>
                <w:color w:val="000000"/>
                <w:sz w:val="18"/>
                <w:szCs w:val="18"/>
              </w:rPr>
              <w:t>-0.2088</w:t>
            </w:r>
          </w:p>
        </w:tc>
        <w:tc>
          <w:tcPr>
            <w:tcW w:w="1300" w:type="dxa"/>
            <w:vAlign w:val="bottom"/>
          </w:tcPr>
          <w:p w:rsidR="008C7D2A" w:rsidRPr="00DD6503" w:rsidRDefault="008C7D2A" w:rsidP="008432ED">
            <w:pPr>
              <w:keepNext/>
              <w:jc w:val="right"/>
              <w:rPr>
                <w:rFonts w:ascii="Tahoma" w:hAnsi="Tahoma" w:cs="Tahoma"/>
                <w:color w:val="000000"/>
                <w:sz w:val="18"/>
                <w:szCs w:val="18"/>
              </w:rPr>
            </w:pPr>
            <w:r w:rsidRPr="00DD6503">
              <w:rPr>
                <w:rFonts w:ascii="Tahoma" w:hAnsi="Tahoma" w:cs="Tahoma"/>
                <w:color w:val="000000"/>
                <w:sz w:val="18"/>
                <w:szCs w:val="18"/>
              </w:rPr>
              <w:t>0.2253</w:t>
            </w:r>
          </w:p>
        </w:tc>
      </w:tr>
      <w:tr w:rsidR="008C7D2A" w:rsidRPr="00DD6503" w:rsidTr="003A541D">
        <w:tc>
          <w:tcPr>
            <w:tcW w:w="2948" w:type="dxa"/>
            <w:vAlign w:val="bottom"/>
          </w:tcPr>
          <w:p w:rsidR="008C7D2A" w:rsidRPr="00DD6503" w:rsidRDefault="008C7D2A" w:rsidP="008432ED">
            <w:pPr>
              <w:keepNext/>
              <w:rPr>
                <w:rFonts w:ascii="Tahoma" w:hAnsi="Tahoma" w:cs="Tahoma"/>
                <w:b/>
                <w:bCs/>
                <w:color w:val="000000"/>
                <w:sz w:val="18"/>
                <w:szCs w:val="18"/>
              </w:rPr>
            </w:pPr>
            <w:r>
              <w:rPr>
                <w:rFonts w:ascii="Tahoma" w:hAnsi="Tahoma" w:cs="Tahoma"/>
                <w:b/>
                <w:bCs/>
                <w:color w:val="000000"/>
                <w:sz w:val="18"/>
                <w:szCs w:val="18"/>
              </w:rPr>
              <w:t>≥</w:t>
            </w:r>
            <w:r w:rsidRPr="00DD6503">
              <w:rPr>
                <w:rFonts w:ascii="Tahoma" w:hAnsi="Tahoma" w:cs="Tahoma"/>
                <w:b/>
                <w:bCs/>
                <w:color w:val="000000"/>
                <w:sz w:val="18"/>
                <w:szCs w:val="18"/>
              </w:rPr>
              <w:t>2 prior csDMARDs</w:t>
            </w:r>
          </w:p>
        </w:tc>
        <w:tc>
          <w:tcPr>
            <w:tcW w:w="1417" w:type="dxa"/>
            <w:vAlign w:val="bottom"/>
          </w:tcPr>
          <w:p w:rsidR="008C7D2A" w:rsidRPr="00DD6503" w:rsidRDefault="008C7D2A" w:rsidP="008432ED">
            <w:pPr>
              <w:keepNext/>
              <w:rPr>
                <w:rFonts w:ascii="Tahoma" w:hAnsi="Tahoma" w:cs="Tahoma"/>
                <w:b/>
                <w:bCs/>
                <w:color w:val="000000"/>
                <w:sz w:val="18"/>
                <w:szCs w:val="18"/>
              </w:rPr>
            </w:pPr>
          </w:p>
        </w:tc>
        <w:tc>
          <w:tcPr>
            <w:tcW w:w="1300" w:type="dxa"/>
            <w:vAlign w:val="bottom"/>
          </w:tcPr>
          <w:p w:rsidR="008C7D2A" w:rsidRPr="00DD6503" w:rsidRDefault="008C7D2A" w:rsidP="008432ED">
            <w:pPr>
              <w:keepNext/>
              <w:rPr>
                <w:rFonts w:ascii="Tahoma" w:hAnsi="Tahoma" w:cs="Tahoma"/>
                <w:sz w:val="18"/>
                <w:szCs w:val="18"/>
              </w:rPr>
            </w:pPr>
          </w:p>
        </w:tc>
        <w:tc>
          <w:tcPr>
            <w:tcW w:w="1300" w:type="dxa"/>
            <w:vAlign w:val="bottom"/>
          </w:tcPr>
          <w:p w:rsidR="008C7D2A" w:rsidRPr="00DD6503" w:rsidRDefault="008C7D2A" w:rsidP="008432ED">
            <w:pPr>
              <w:keepNext/>
              <w:rPr>
                <w:rFonts w:ascii="Tahoma" w:hAnsi="Tahoma" w:cs="Tahoma"/>
                <w:sz w:val="18"/>
                <w:szCs w:val="18"/>
              </w:rPr>
            </w:pPr>
          </w:p>
        </w:tc>
        <w:tc>
          <w:tcPr>
            <w:tcW w:w="1417" w:type="dxa"/>
            <w:vAlign w:val="bottom"/>
          </w:tcPr>
          <w:p w:rsidR="008C7D2A" w:rsidRPr="00DD6503" w:rsidRDefault="008C7D2A" w:rsidP="008432ED">
            <w:pPr>
              <w:keepNext/>
              <w:rPr>
                <w:rFonts w:ascii="Tahoma" w:hAnsi="Tahoma" w:cs="Tahoma"/>
                <w:sz w:val="18"/>
                <w:szCs w:val="18"/>
              </w:rPr>
            </w:pPr>
          </w:p>
        </w:tc>
        <w:tc>
          <w:tcPr>
            <w:tcW w:w="1300" w:type="dxa"/>
            <w:vAlign w:val="bottom"/>
          </w:tcPr>
          <w:p w:rsidR="008C7D2A" w:rsidRPr="00DD6503" w:rsidRDefault="008C7D2A" w:rsidP="008432ED">
            <w:pPr>
              <w:keepNext/>
              <w:rPr>
                <w:rFonts w:ascii="Tahoma" w:hAnsi="Tahoma" w:cs="Tahoma"/>
                <w:sz w:val="18"/>
                <w:szCs w:val="18"/>
              </w:rPr>
            </w:pPr>
          </w:p>
        </w:tc>
        <w:tc>
          <w:tcPr>
            <w:tcW w:w="1300" w:type="dxa"/>
            <w:vAlign w:val="bottom"/>
          </w:tcPr>
          <w:p w:rsidR="008C7D2A" w:rsidRPr="00DD6503" w:rsidRDefault="008C7D2A" w:rsidP="008432ED">
            <w:pPr>
              <w:keepNext/>
              <w:rPr>
                <w:rFonts w:ascii="Tahoma" w:hAnsi="Tahoma" w:cs="Tahoma"/>
                <w:sz w:val="18"/>
                <w:szCs w:val="18"/>
              </w:rPr>
            </w:pPr>
          </w:p>
        </w:tc>
      </w:tr>
      <w:tr w:rsidR="008C7D2A" w:rsidRPr="00DD6503" w:rsidTr="003A541D">
        <w:tc>
          <w:tcPr>
            <w:tcW w:w="2948" w:type="dxa"/>
            <w:vAlign w:val="bottom"/>
          </w:tcPr>
          <w:p w:rsidR="008C7D2A" w:rsidRPr="00DD6503" w:rsidRDefault="008C7D2A" w:rsidP="008432ED">
            <w:pPr>
              <w:keepNext/>
              <w:rPr>
                <w:rFonts w:ascii="Tahoma" w:hAnsi="Tahoma" w:cs="Tahoma"/>
                <w:color w:val="000000"/>
                <w:sz w:val="18"/>
                <w:szCs w:val="18"/>
              </w:rPr>
            </w:pPr>
            <w:r w:rsidRPr="00DD6503">
              <w:rPr>
                <w:rFonts w:ascii="Tahoma" w:hAnsi="Tahoma" w:cs="Tahoma"/>
                <w:color w:val="000000"/>
                <w:sz w:val="18"/>
                <w:szCs w:val="18"/>
              </w:rPr>
              <w:t>3-month PsARC response - SEC 150</w:t>
            </w:r>
          </w:p>
        </w:tc>
        <w:tc>
          <w:tcPr>
            <w:tcW w:w="1417" w:type="dxa"/>
            <w:vAlign w:val="bottom"/>
          </w:tcPr>
          <w:p w:rsidR="008C7D2A" w:rsidRPr="00DD6503" w:rsidRDefault="008C7D2A" w:rsidP="008432ED">
            <w:pPr>
              <w:keepNext/>
              <w:jc w:val="right"/>
              <w:rPr>
                <w:rFonts w:ascii="Tahoma" w:hAnsi="Tahoma" w:cs="Tahoma"/>
                <w:color w:val="000000"/>
                <w:sz w:val="18"/>
                <w:szCs w:val="18"/>
              </w:rPr>
            </w:pPr>
            <w:r w:rsidRPr="00DD6503">
              <w:rPr>
                <w:rFonts w:ascii="Tahoma" w:hAnsi="Tahoma" w:cs="Tahoma"/>
                <w:color w:val="000000"/>
                <w:sz w:val="18"/>
                <w:szCs w:val="18"/>
              </w:rPr>
              <w:t>80.02%</w:t>
            </w:r>
          </w:p>
        </w:tc>
        <w:tc>
          <w:tcPr>
            <w:tcW w:w="1300" w:type="dxa"/>
            <w:vAlign w:val="bottom"/>
          </w:tcPr>
          <w:p w:rsidR="008C7D2A" w:rsidRPr="00DD6503" w:rsidRDefault="008C7D2A" w:rsidP="008432ED">
            <w:pPr>
              <w:keepNext/>
              <w:jc w:val="right"/>
              <w:rPr>
                <w:rFonts w:ascii="Tahoma" w:hAnsi="Tahoma" w:cs="Tahoma"/>
                <w:color w:val="000000"/>
                <w:sz w:val="18"/>
                <w:szCs w:val="18"/>
              </w:rPr>
            </w:pPr>
            <w:r w:rsidRPr="00DD6503">
              <w:rPr>
                <w:rFonts w:ascii="Tahoma" w:hAnsi="Tahoma" w:cs="Tahoma"/>
                <w:color w:val="000000"/>
                <w:sz w:val="18"/>
                <w:szCs w:val="18"/>
              </w:rPr>
              <w:t>53.71%</w:t>
            </w:r>
          </w:p>
        </w:tc>
        <w:tc>
          <w:tcPr>
            <w:tcW w:w="1300" w:type="dxa"/>
            <w:vAlign w:val="bottom"/>
          </w:tcPr>
          <w:p w:rsidR="008C7D2A" w:rsidRPr="00DD6503" w:rsidRDefault="008C7D2A" w:rsidP="008432ED">
            <w:pPr>
              <w:keepNext/>
              <w:jc w:val="right"/>
              <w:rPr>
                <w:rFonts w:ascii="Tahoma" w:hAnsi="Tahoma" w:cs="Tahoma"/>
                <w:color w:val="000000"/>
                <w:sz w:val="18"/>
                <w:szCs w:val="18"/>
              </w:rPr>
            </w:pPr>
            <w:r w:rsidRPr="00DD6503">
              <w:rPr>
                <w:rFonts w:ascii="Tahoma" w:hAnsi="Tahoma" w:cs="Tahoma"/>
                <w:color w:val="000000"/>
                <w:sz w:val="18"/>
                <w:szCs w:val="18"/>
              </w:rPr>
              <w:t>93.26%</w:t>
            </w:r>
          </w:p>
        </w:tc>
        <w:tc>
          <w:tcPr>
            <w:tcW w:w="1417" w:type="dxa"/>
            <w:vAlign w:val="bottom"/>
          </w:tcPr>
          <w:p w:rsidR="008C7D2A" w:rsidRPr="00DD6503" w:rsidRDefault="008C7D2A" w:rsidP="008432ED">
            <w:pPr>
              <w:keepNext/>
              <w:rPr>
                <w:rFonts w:ascii="Tahoma" w:hAnsi="Tahoma" w:cs="Tahoma"/>
                <w:color w:val="000000"/>
                <w:sz w:val="18"/>
                <w:szCs w:val="18"/>
              </w:rPr>
            </w:pPr>
            <w:r w:rsidRPr="00DD6503">
              <w:rPr>
                <w:rFonts w:ascii="Tahoma" w:hAnsi="Tahoma" w:cs="Tahoma"/>
                <w:color w:val="000000"/>
                <w:sz w:val="18"/>
                <w:szCs w:val="18"/>
              </w:rPr>
              <w:t>Normal</w:t>
            </w:r>
          </w:p>
        </w:tc>
        <w:tc>
          <w:tcPr>
            <w:tcW w:w="1300" w:type="dxa"/>
            <w:vAlign w:val="bottom"/>
          </w:tcPr>
          <w:p w:rsidR="008C7D2A" w:rsidRPr="00DD6503" w:rsidRDefault="008C7D2A" w:rsidP="008432ED">
            <w:pPr>
              <w:keepNext/>
              <w:jc w:val="right"/>
              <w:rPr>
                <w:rFonts w:ascii="Tahoma" w:hAnsi="Tahoma" w:cs="Tahoma"/>
                <w:color w:val="000000"/>
                <w:sz w:val="18"/>
                <w:szCs w:val="18"/>
              </w:rPr>
            </w:pPr>
            <w:r w:rsidRPr="00DD6503">
              <w:rPr>
                <w:rFonts w:ascii="Tahoma" w:hAnsi="Tahoma" w:cs="Tahoma"/>
                <w:color w:val="000000"/>
                <w:sz w:val="18"/>
                <w:szCs w:val="18"/>
              </w:rPr>
              <w:t>2.3341</w:t>
            </w:r>
          </w:p>
        </w:tc>
        <w:tc>
          <w:tcPr>
            <w:tcW w:w="1300" w:type="dxa"/>
            <w:vAlign w:val="bottom"/>
          </w:tcPr>
          <w:p w:rsidR="008C7D2A" w:rsidRPr="00DD6503" w:rsidRDefault="008C7D2A" w:rsidP="008432ED">
            <w:pPr>
              <w:keepNext/>
              <w:jc w:val="right"/>
              <w:rPr>
                <w:rFonts w:ascii="Tahoma" w:hAnsi="Tahoma" w:cs="Tahoma"/>
                <w:color w:val="000000"/>
                <w:sz w:val="18"/>
                <w:szCs w:val="18"/>
              </w:rPr>
            </w:pPr>
            <w:r w:rsidRPr="00DD6503">
              <w:rPr>
                <w:rFonts w:ascii="Tahoma" w:hAnsi="Tahoma" w:cs="Tahoma"/>
                <w:color w:val="000000"/>
                <w:sz w:val="18"/>
                <w:szCs w:val="18"/>
              </w:rPr>
              <w:t>0.6321</w:t>
            </w:r>
          </w:p>
        </w:tc>
      </w:tr>
      <w:tr w:rsidR="008C7D2A" w:rsidRPr="00DD6503" w:rsidTr="003A541D">
        <w:tc>
          <w:tcPr>
            <w:tcW w:w="2948" w:type="dxa"/>
            <w:vAlign w:val="bottom"/>
          </w:tcPr>
          <w:p w:rsidR="008C7D2A" w:rsidRPr="00DD6503" w:rsidRDefault="008C7D2A" w:rsidP="008432ED">
            <w:pPr>
              <w:keepNext/>
              <w:rPr>
                <w:rFonts w:ascii="Tahoma" w:hAnsi="Tahoma" w:cs="Tahoma"/>
                <w:color w:val="000000"/>
                <w:sz w:val="18"/>
                <w:szCs w:val="18"/>
              </w:rPr>
            </w:pPr>
            <w:r w:rsidRPr="00DD6503">
              <w:rPr>
                <w:rFonts w:ascii="Tahoma" w:hAnsi="Tahoma" w:cs="Tahoma"/>
                <w:color w:val="000000"/>
                <w:sz w:val="18"/>
                <w:szCs w:val="18"/>
              </w:rPr>
              <w:t>3-month PsARC response - CER P</w:t>
            </w:r>
          </w:p>
        </w:tc>
        <w:tc>
          <w:tcPr>
            <w:tcW w:w="1417" w:type="dxa"/>
            <w:vAlign w:val="bottom"/>
          </w:tcPr>
          <w:p w:rsidR="008C7D2A" w:rsidRPr="00DD6503" w:rsidRDefault="008C7D2A" w:rsidP="008432ED">
            <w:pPr>
              <w:keepNext/>
              <w:jc w:val="right"/>
              <w:rPr>
                <w:rFonts w:ascii="Tahoma" w:hAnsi="Tahoma" w:cs="Tahoma"/>
                <w:color w:val="000000"/>
                <w:sz w:val="18"/>
                <w:szCs w:val="18"/>
              </w:rPr>
            </w:pPr>
            <w:r w:rsidRPr="00DD6503">
              <w:rPr>
                <w:rFonts w:ascii="Tahoma" w:hAnsi="Tahoma" w:cs="Tahoma"/>
                <w:color w:val="000000"/>
                <w:sz w:val="18"/>
                <w:szCs w:val="18"/>
              </w:rPr>
              <w:t>75.53%</w:t>
            </w:r>
          </w:p>
        </w:tc>
        <w:tc>
          <w:tcPr>
            <w:tcW w:w="1300" w:type="dxa"/>
            <w:vAlign w:val="bottom"/>
          </w:tcPr>
          <w:p w:rsidR="008C7D2A" w:rsidRPr="00DD6503" w:rsidRDefault="008C7D2A" w:rsidP="008432ED">
            <w:pPr>
              <w:keepNext/>
              <w:jc w:val="right"/>
              <w:rPr>
                <w:rFonts w:ascii="Tahoma" w:hAnsi="Tahoma" w:cs="Tahoma"/>
                <w:color w:val="000000"/>
                <w:sz w:val="18"/>
                <w:szCs w:val="18"/>
              </w:rPr>
            </w:pPr>
            <w:r w:rsidRPr="00DD6503">
              <w:rPr>
                <w:rFonts w:ascii="Tahoma" w:hAnsi="Tahoma" w:cs="Tahoma"/>
                <w:color w:val="000000"/>
                <w:sz w:val="18"/>
                <w:szCs w:val="18"/>
              </w:rPr>
              <w:t>57.05%</w:t>
            </w:r>
          </w:p>
        </w:tc>
        <w:tc>
          <w:tcPr>
            <w:tcW w:w="1300" w:type="dxa"/>
            <w:vAlign w:val="bottom"/>
          </w:tcPr>
          <w:p w:rsidR="008C7D2A" w:rsidRPr="00DD6503" w:rsidRDefault="008C7D2A" w:rsidP="008432ED">
            <w:pPr>
              <w:keepNext/>
              <w:jc w:val="right"/>
              <w:rPr>
                <w:rFonts w:ascii="Tahoma" w:hAnsi="Tahoma" w:cs="Tahoma"/>
                <w:color w:val="000000"/>
                <w:sz w:val="18"/>
                <w:szCs w:val="18"/>
              </w:rPr>
            </w:pPr>
            <w:r w:rsidRPr="00DD6503">
              <w:rPr>
                <w:rFonts w:ascii="Tahoma" w:hAnsi="Tahoma" w:cs="Tahoma"/>
                <w:color w:val="000000"/>
                <w:sz w:val="18"/>
                <w:szCs w:val="18"/>
              </w:rPr>
              <w:t>87.77%</w:t>
            </w:r>
          </w:p>
        </w:tc>
        <w:tc>
          <w:tcPr>
            <w:tcW w:w="1417" w:type="dxa"/>
            <w:vAlign w:val="bottom"/>
          </w:tcPr>
          <w:p w:rsidR="008C7D2A" w:rsidRPr="00DD6503" w:rsidRDefault="008C7D2A" w:rsidP="008432ED">
            <w:pPr>
              <w:keepNext/>
              <w:rPr>
                <w:rFonts w:ascii="Tahoma" w:hAnsi="Tahoma" w:cs="Tahoma"/>
                <w:color w:val="000000"/>
                <w:sz w:val="18"/>
                <w:szCs w:val="18"/>
              </w:rPr>
            </w:pPr>
            <w:r w:rsidRPr="00DD6503">
              <w:rPr>
                <w:rFonts w:ascii="Tahoma" w:hAnsi="Tahoma" w:cs="Tahoma"/>
                <w:color w:val="000000"/>
                <w:sz w:val="18"/>
                <w:szCs w:val="18"/>
              </w:rPr>
              <w:t>Normal</w:t>
            </w:r>
          </w:p>
        </w:tc>
        <w:tc>
          <w:tcPr>
            <w:tcW w:w="1300" w:type="dxa"/>
            <w:vAlign w:val="bottom"/>
          </w:tcPr>
          <w:p w:rsidR="008C7D2A" w:rsidRPr="00DD6503" w:rsidRDefault="008C7D2A" w:rsidP="008432ED">
            <w:pPr>
              <w:keepNext/>
              <w:jc w:val="right"/>
              <w:rPr>
                <w:rFonts w:ascii="Tahoma" w:hAnsi="Tahoma" w:cs="Tahoma"/>
                <w:color w:val="000000"/>
                <w:sz w:val="18"/>
                <w:szCs w:val="18"/>
              </w:rPr>
            </w:pPr>
            <w:r w:rsidRPr="00DD6503">
              <w:rPr>
                <w:rFonts w:ascii="Tahoma" w:hAnsi="Tahoma" w:cs="Tahoma"/>
                <w:color w:val="000000"/>
                <w:sz w:val="18"/>
                <w:szCs w:val="18"/>
              </w:rPr>
              <w:t>2.0735</w:t>
            </w:r>
          </w:p>
        </w:tc>
        <w:tc>
          <w:tcPr>
            <w:tcW w:w="1300" w:type="dxa"/>
            <w:vAlign w:val="bottom"/>
          </w:tcPr>
          <w:p w:rsidR="008C7D2A" w:rsidRPr="00DD6503" w:rsidRDefault="008C7D2A" w:rsidP="008432ED">
            <w:pPr>
              <w:keepNext/>
              <w:jc w:val="right"/>
              <w:rPr>
                <w:rFonts w:ascii="Tahoma" w:hAnsi="Tahoma" w:cs="Tahoma"/>
                <w:color w:val="000000"/>
                <w:sz w:val="18"/>
                <w:szCs w:val="18"/>
              </w:rPr>
            </w:pPr>
            <w:r w:rsidRPr="00DD6503">
              <w:rPr>
                <w:rFonts w:ascii="Tahoma" w:hAnsi="Tahoma" w:cs="Tahoma"/>
                <w:color w:val="000000"/>
                <w:sz w:val="18"/>
                <w:szCs w:val="18"/>
              </w:rPr>
              <w:t>0.4303</w:t>
            </w:r>
          </w:p>
        </w:tc>
      </w:tr>
      <w:tr w:rsidR="008C7D2A" w:rsidRPr="00DD6503" w:rsidTr="003A541D">
        <w:tc>
          <w:tcPr>
            <w:tcW w:w="2948"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3-month PsARC response - ETN</w:t>
            </w:r>
          </w:p>
        </w:tc>
        <w:tc>
          <w:tcPr>
            <w:tcW w:w="1417"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76.07%</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63.44%</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85.35%</w:t>
            </w:r>
          </w:p>
        </w:tc>
        <w:tc>
          <w:tcPr>
            <w:tcW w:w="1417"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Normal</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2.1030</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0.3090</w:t>
            </w:r>
          </w:p>
        </w:tc>
      </w:tr>
      <w:tr w:rsidR="008C7D2A" w:rsidRPr="00DD6503" w:rsidTr="003A541D">
        <w:tc>
          <w:tcPr>
            <w:tcW w:w="2948"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3-month PsARC response - ADA</w:t>
            </w:r>
          </w:p>
        </w:tc>
        <w:tc>
          <w:tcPr>
            <w:tcW w:w="1417"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57.54%</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44.72%</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69.42%</w:t>
            </w:r>
          </w:p>
        </w:tc>
        <w:tc>
          <w:tcPr>
            <w:tcW w:w="1417"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Normal</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1.2503</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0.2633</w:t>
            </w:r>
          </w:p>
        </w:tc>
      </w:tr>
      <w:tr w:rsidR="008C7D2A" w:rsidRPr="00DD6503" w:rsidTr="003A541D">
        <w:tc>
          <w:tcPr>
            <w:tcW w:w="2948"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3-month PsARC response - INF</w:t>
            </w:r>
          </w:p>
        </w:tc>
        <w:tc>
          <w:tcPr>
            <w:tcW w:w="1417"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75.34%</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62.62%</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84.79%</w:t>
            </w:r>
          </w:p>
        </w:tc>
        <w:tc>
          <w:tcPr>
            <w:tcW w:w="1417"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Normal</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2.0634</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0.3067</w:t>
            </w:r>
          </w:p>
        </w:tc>
      </w:tr>
      <w:tr w:rsidR="008C7D2A" w:rsidRPr="00DD6503" w:rsidTr="003A541D">
        <w:tc>
          <w:tcPr>
            <w:tcW w:w="2948"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3-month PsARC response - GOL</w:t>
            </w:r>
          </w:p>
        </w:tc>
        <w:tc>
          <w:tcPr>
            <w:tcW w:w="1417"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66.64%</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39.08%</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86.15%</w:t>
            </w:r>
          </w:p>
        </w:tc>
        <w:tc>
          <w:tcPr>
            <w:tcW w:w="1417"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Normal</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1.6382</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0.5794</w:t>
            </w:r>
          </w:p>
        </w:tc>
      </w:tr>
      <w:tr w:rsidR="008C7D2A" w:rsidRPr="00DD6503" w:rsidTr="003A541D">
        <w:tc>
          <w:tcPr>
            <w:tcW w:w="2948"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3-month PsARC response - SoC</w:t>
            </w:r>
          </w:p>
        </w:tc>
        <w:tc>
          <w:tcPr>
            <w:tcW w:w="1417"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27.96%</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25.25%</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30.85%</w:t>
            </w:r>
          </w:p>
        </w:tc>
        <w:tc>
          <w:tcPr>
            <w:tcW w:w="1417"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Normal</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-0.9464</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0.0710</w:t>
            </w:r>
          </w:p>
        </w:tc>
      </w:tr>
    </w:tbl>
    <w:p w:rsidR="008C7D2A" w:rsidRDefault="008C7D2A" w:rsidP="008C7D2A"/>
    <w:p w:rsidR="008C7D2A" w:rsidRDefault="00F91AB7" w:rsidP="008C7D2A">
      <w:pPr>
        <w:pStyle w:val="Caption"/>
      </w:pPr>
      <w:r>
        <w:t>Table 8</w:t>
      </w:r>
      <w:r w:rsidR="008C7D2A">
        <w:t xml:space="preserve"> continued</w:t>
      </w:r>
    </w:p>
    <w:tbl>
      <w:tblPr>
        <w:tblStyle w:val="TableGrid"/>
        <w:tblW w:w="12280" w:type="dxa"/>
        <w:tblLook w:val="04A0" w:firstRow="1" w:lastRow="0" w:firstColumn="1" w:lastColumn="0" w:noHBand="0" w:noVBand="1"/>
      </w:tblPr>
      <w:tblGrid>
        <w:gridCol w:w="2948"/>
        <w:gridCol w:w="1417"/>
        <w:gridCol w:w="1300"/>
        <w:gridCol w:w="1300"/>
        <w:gridCol w:w="1417"/>
        <w:gridCol w:w="1300"/>
        <w:gridCol w:w="1300"/>
        <w:gridCol w:w="1298"/>
      </w:tblGrid>
      <w:tr w:rsidR="008C7D2A" w:rsidRPr="00DD6503" w:rsidTr="003A541D">
        <w:tc>
          <w:tcPr>
            <w:tcW w:w="2948" w:type="dxa"/>
            <w:shd w:val="clear" w:color="auto" w:fill="BFBFBF" w:themeFill="background1" w:themeFillShade="BF"/>
            <w:vAlign w:val="bottom"/>
          </w:tcPr>
          <w:p w:rsidR="008C7D2A" w:rsidRPr="00DD6503" w:rsidRDefault="008C7D2A" w:rsidP="003A541D">
            <w:pPr>
              <w:rPr>
                <w:rFonts w:ascii="Tahoma" w:hAnsi="Tahoma" w:cs="Tahoma"/>
                <w:sz w:val="18"/>
                <w:szCs w:val="18"/>
              </w:rPr>
            </w:pPr>
          </w:p>
        </w:tc>
        <w:tc>
          <w:tcPr>
            <w:tcW w:w="1417" w:type="dxa"/>
            <w:shd w:val="clear" w:color="auto" w:fill="BFBFBF" w:themeFill="background1" w:themeFillShade="BF"/>
            <w:vAlign w:val="bottom"/>
          </w:tcPr>
          <w:p w:rsidR="008C7D2A" w:rsidRPr="00DD6503" w:rsidRDefault="008C7D2A" w:rsidP="003A541D">
            <w:pPr>
              <w:rPr>
                <w:rFonts w:ascii="Tahoma" w:hAnsi="Tahoma" w:cs="Tahoma"/>
                <w:b/>
                <w:bCs/>
                <w:color w:val="000000"/>
                <w:sz w:val="18"/>
                <w:szCs w:val="18"/>
              </w:rPr>
            </w:pPr>
          </w:p>
        </w:tc>
        <w:tc>
          <w:tcPr>
            <w:tcW w:w="2600" w:type="dxa"/>
            <w:gridSpan w:val="2"/>
            <w:shd w:val="clear" w:color="auto" w:fill="BFBFBF" w:themeFill="background1" w:themeFillShade="BF"/>
            <w:vAlign w:val="bottom"/>
          </w:tcPr>
          <w:p w:rsidR="008C7D2A" w:rsidRPr="00DD6503" w:rsidRDefault="008C7D2A" w:rsidP="003A541D">
            <w:pPr>
              <w:rPr>
                <w:rFonts w:ascii="Tahoma" w:hAnsi="Tahoma" w:cs="Tahoma"/>
                <w:sz w:val="18"/>
                <w:szCs w:val="18"/>
              </w:rPr>
            </w:pPr>
            <w:r w:rsidRPr="00DD6503">
              <w:rPr>
                <w:rFonts w:ascii="Tahoma" w:hAnsi="Tahoma" w:cs="Tahoma"/>
                <w:b/>
                <w:bCs/>
                <w:color w:val="000000"/>
                <w:sz w:val="18"/>
                <w:szCs w:val="18"/>
              </w:rPr>
              <w:t>One-way SA</w:t>
            </w:r>
          </w:p>
        </w:tc>
        <w:tc>
          <w:tcPr>
            <w:tcW w:w="5315" w:type="dxa"/>
            <w:gridSpan w:val="4"/>
            <w:shd w:val="clear" w:color="auto" w:fill="BFBFBF" w:themeFill="background1" w:themeFillShade="BF"/>
            <w:vAlign w:val="bottom"/>
          </w:tcPr>
          <w:p w:rsidR="008C7D2A" w:rsidRPr="00DD6503" w:rsidRDefault="008C7D2A" w:rsidP="003A541D">
            <w:pPr>
              <w:rPr>
                <w:rFonts w:ascii="Tahoma" w:hAnsi="Tahoma" w:cs="Tahoma"/>
                <w:sz w:val="18"/>
                <w:szCs w:val="18"/>
              </w:rPr>
            </w:pPr>
            <w:r w:rsidRPr="00DD6503">
              <w:rPr>
                <w:rFonts w:ascii="Tahoma" w:hAnsi="Tahoma" w:cs="Tahoma"/>
                <w:b/>
                <w:bCs/>
                <w:color w:val="000000"/>
                <w:sz w:val="18"/>
                <w:szCs w:val="18"/>
              </w:rPr>
              <w:t>Probabilistic SA</w:t>
            </w:r>
          </w:p>
        </w:tc>
      </w:tr>
      <w:tr w:rsidR="008C7D2A" w:rsidRPr="00DD6503" w:rsidTr="003A541D">
        <w:tc>
          <w:tcPr>
            <w:tcW w:w="2948" w:type="dxa"/>
            <w:shd w:val="clear" w:color="auto" w:fill="BFBFBF" w:themeFill="background1" w:themeFillShade="BF"/>
            <w:vAlign w:val="bottom"/>
          </w:tcPr>
          <w:p w:rsidR="008C7D2A" w:rsidRPr="00DD6503" w:rsidRDefault="008C7D2A" w:rsidP="003A541D">
            <w:pPr>
              <w:rPr>
                <w:rFonts w:ascii="Tahoma" w:hAnsi="Tahoma" w:cs="Tahoma"/>
                <w:sz w:val="18"/>
                <w:szCs w:val="18"/>
              </w:rPr>
            </w:pPr>
          </w:p>
        </w:tc>
        <w:tc>
          <w:tcPr>
            <w:tcW w:w="1417" w:type="dxa"/>
            <w:shd w:val="clear" w:color="auto" w:fill="BFBFBF" w:themeFill="background1" w:themeFillShade="BF"/>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Model input</w:t>
            </w:r>
          </w:p>
        </w:tc>
        <w:tc>
          <w:tcPr>
            <w:tcW w:w="1300" w:type="dxa"/>
            <w:shd w:val="clear" w:color="auto" w:fill="BFBFBF" w:themeFill="background1" w:themeFillShade="BF"/>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Lower bound</w:t>
            </w:r>
          </w:p>
        </w:tc>
        <w:tc>
          <w:tcPr>
            <w:tcW w:w="1300" w:type="dxa"/>
            <w:shd w:val="clear" w:color="auto" w:fill="BFBFBF" w:themeFill="background1" w:themeFillShade="BF"/>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Upper bound</w:t>
            </w:r>
          </w:p>
        </w:tc>
        <w:tc>
          <w:tcPr>
            <w:tcW w:w="1417" w:type="dxa"/>
            <w:shd w:val="clear" w:color="auto" w:fill="BFBFBF" w:themeFill="background1" w:themeFillShade="BF"/>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Distribution</w:t>
            </w:r>
          </w:p>
        </w:tc>
        <w:tc>
          <w:tcPr>
            <w:tcW w:w="1300" w:type="dxa"/>
            <w:shd w:val="clear" w:color="auto" w:fill="BFBFBF" w:themeFill="background1" w:themeFillShade="BF"/>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s.e.</w:t>
            </w:r>
          </w:p>
        </w:tc>
        <w:tc>
          <w:tcPr>
            <w:tcW w:w="1300" w:type="dxa"/>
            <w:shd w:val="clear" w:color="auto" w:fill="BFBFBF" w:themeFill="background1" w:themeFillShade="BF"/>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alpha</w:t>
            </w:r>
          </w:p>
        </w:tc>
        <w:tc>
          <w:tcPr>
            <w:tcW w:w="1298" w:type="dxa"/>
            <w:shd w:val="clear" w:color="auto" w:fill="BFBFBF" w:themeFill="background1" w:themeFillShade="BF"/>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beta</w:t>
            </w:r>
          </w:p>
        </w:tc>
      </w:tr>
      <w:tr w:rsidR="008C7D2A" w:rsidRPr="00DD6503" w:rsidTr="003A541D">
        <w:tc>
          <w:tcPr>
            <w:tcW w:w="2948"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Baseline HAQ</w:t>
            </w:r>
          </w:p>
        </w:tc>
        <w:tc>
          <w:tcPr>
            <w:tcW w:w="1417"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1.209</w:t>
            </w:r>
          </w:p>
        </w:tc>
        <w:tc>
          <w:tcPr>
            <w:tcW w:w="1300" w:type="dxa"/>
            <w:vAlign w:val="bottom"/>
          </w:tcPr>
          <w:p w:rsidR="008C7D2A" w:rsidRPr="00DD6503" w:rsidRDefault="008C7D2A" w:rsidP="003A541D">
            <w:pPr>
              <w:jc w:val="right"/>
              <w:rPr>
                <w:rFonts w:ascii="Tahoma" w:hAnsi="Tahoma" w:cs="Tahoma"/>
                <w:color w:val="000000"/>
                <w:sz w:val="18"/>
                <w:szCs w:val="18"/>
              </w:rPr>
            </w:pPr>
          </w:p>
        </w:tc>
        <w:tc>
          <w:tcPr>
            <w:tcW w:w="1300" w:type="dxa"/>
            <w:vAlign w:val="bottom"/>
          </w:tcPr>
          <w:p w:rsidR="008C7D2A" w:rsidRPr="00DD6503" w:rsidRDefault="008C7D2A" w:rsidP="003A541D">
            <w:pPr>
              <w:rPr>
                <w:rFonts w:ascii="Tahoma" w:hAnsi="Tahoma" w:cs="Tahoma"/>
                <w:sz w:val="18"/>
                <w:szCs w:val="18"/>
              </w:rPr>
            </w:pPr>
          </w:p>
        </w:tc>
        <w:tc>
          <w:tcPr>
            <w:tcW w:w="1417"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Not varied</w:t>
            </w:r>
          </w:p>
        </w:tc>
        <w:tc>
          <w:tcPr>
            <w:tcW w:w="1300" w:type="dxa"/>
            <w:vAlign w:val="bottom"/>
          </w:tcPr>
          <w:p w:rsidR="008C7D2A" w:rsidRPr="00DD6503" w:rsidRDefault="008C7D2A" w:rsidP="003A541D">
            <w:pPr>
              <w:rPr>
                <w:rFonts w:ascii="Tahoma" w:hAnsi="Tahoma" w:cs="Tahoma"/>
                <w:color w:val="000000"/>
                <w:sz w:val="18"/>
                <w:szCs w:val="18"/>
              </w:rPr>
            </w:pPr>
          </w:p>
        </w:tc>
        <w:tc>
          <w:tcPr>
            <w:tcW w:w="1300" w:type="dxa"/>
            <w:vAlign w:val="bottom"/>
          </w:tcPr>
          <w:p w:rsidR="008C7D2A" w:rsidRPr="00DD6503" w:rsidRDefault="008C7D2A" w:rsidP="003A541D">
            <w:pPr>
              <w:rPr>
                <w:rFonts w:ascii="Tahoma" w:hAnsi="Tahoma" w:cs="Tahoma"/>
                <w:sz w:val="18"/>
                <w:szCs w:val="18"/>
              </w:rPr>
            </w:pPr>
          </w:p>
        </w:tc>
        <w:tc>
          <w:tcPr>
            <w:tcW w:w="1298" w:type="dxa"/>
            <w:vAlign w:val="bottom"/>
          </w:tcPr>
          <w:p w:rsidR="008C7D2A" w:rsidRPr="00DD6503" w:rsidRDefault="008C7D2A" w:rsidP="003A541D">
            <w:pPr>
              <w:rPr>
                <w:rFonts w:ascii="Tahoma" w:hAnsi="Tahoma" w:cs="Tahoma"/>
                <w:sz w:val="18"/>
                <w:szCs w:val="18"/>
              </w:rPr>
            </w:pPr>
          </w:p>
        </w:tc>
      </w:tr>
      <w:tr w:rsidR="008C7D2A" w:rsidRPr="00DD6503" w:rsidTr="003A541D">
        <w:tc>
          <w:tcPr>
            <w:tcW w:w="2948"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Baseline PASI</w:t>
            </w:r>
          </w:p>
        </w:tc>
        <w:tc>
          <w:tcPr>
            <w:tcW w:w="1417"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7.304</w:t>
            </w:r>
          </w:p>
        </w:tc>
        <w:tc>
          <w:tcPr>
            <w:tcW w:w="1300" w:type="dxa"/>
            <w:vAlign w:val="bottom"/>
          </w:tcPr>
          <w:p w:rsidR="008C7D2A" w:rsidRPr="00DD6503" w:rsidRDefault="008C7D2A" w:rsidP="003A541D">
            <w:pPr>
              <w:jc w:val="right"/>
              <w:rPr>
                <w:rFonts w:ascii="Tahoma" w:hAnsi="Tahoma" w:cs="Tahoma"/>
                <w:color w:val="000000"/>
                <w:sz w:val="18"/>
                <w:szCs w:val="18"/>
              </w:rPr>
            </w:pPr>
          </w:p>
        </w:tc>
        <w:tc>
          <w:tcPr>
            <w:tcW w:w="1300" w:type="dxa"/>
            <w:vAlign w:val="bottom"/>
          </w:tcPr>
          <w:p w:rsidR="008C7D2A" w:rsidRPr="00DD6503" w:rsidRDefault="008C7D2A" w:rsidP="003A541D">
            <w:pPr>
              <w:rPr>
                <w:rFonts w:ascii="Tahoma" w:hAnsi="Tahoma" w:cs="Tahoma"/>
                <w:sz w:val="18"/>
                <w:szCs w:val="18"/>
              </w:rPr>
            </w:pPr>
          </w:p>
        </w:tc>
        <w:tc>
          <w:tcPr>
            <w:tcW w:w="1417"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Not varied</w:t>
            </w:r>
          </w:p>
        </w:tc>
        <w:tc>
          <w:tcPr>
            <w:tcW w:w="1300" w:type="dxa"/>
            <w:vAlign w:val="bottom"/>
          </w:tcPr>
          <w:p w:rsidR="008C7D2A" w:rsidRPr="00DD6503" w:rsidRDefault="008C7D2A" w:rsidP="003A541D">
            <w:pPr>
              <w:rPr>
                <w:rFonts w:ascii="Tahoma" w:hAnsi="Tahoma" w:cs="Tahoma"/>
                <w:color w:val="000000"/>
                <w:sz w:val="18"/>
                <w:szCs w:val="18"/>
              </w:rPr>
            </w:pPr>
          </w:p>
        </w:tc>
        <w:tc>
          <w:tcPr>
            <w:tcW w:w="1300" w:type="dxa"/>
            <w:vAlign w:val="bottom"/>
          </w:tcPr>
          <w:p w:rsidR="008C7D2A" w:rsidRPr="00DD6503" w:rsidRDefault="008C7D2A" w:rsidP="003A541D">
            <w:pPr>
              <w:rPr>
                <w:rFonts w:ascii="Tahoma" w:hAnsi="Tahoma" w:cs="Tahoma"/>
                <w:sz w:val="18"/>
                <w:szCs w:val="18"/>
              </w:rPr>
            </w:pPr>
          </w:p>
        </w:tc>
        <w:tc>
          <w:tcPr>
            <w:tcW w:w="1298" w:type="dxa"/>
            <w:vAlign w:val="bottom"/>
          </w:tcPr>
          <w:p w:rsidR="008C7D2A" w:rsidRPr="00DD6503" w:rsidRDefault="008C7D2A" w:rsidP="003A541D">
            <w:pPr>
              <w:rPr>
                <w:rFonts w:ascii="Tahoma" w:hAnsi="Tahoma" w:cs="Tahoma"/>
                <w:sz w:val="18"/>
                <w:szCs w:val="18"/>
              </w:rPr>
            </w:pPr>
          </w:p>
        </w:tc>
      </w:tr>
      <w:tr w:rsidR="008C7D2A" w:rsidRPr="00DD6503" w:rsidTr="003A541D">
        <w:tc>
          <w:tcPr>
            <w:tcW w:w="2948" w:type="dxa"/>
            <w:vAlign w:val="bottom"/>
          </w:tcPr>
          <w:p w:rsidR="008C7D2A" w:rsidRPr="00DD6503" w:rsidRDefault="008C7D2A" w:rsidP="003A541D">
            <w:pPr>
              <w:rPr>
                <w:rFonts w:ascii="Tahoma" w:eastAsia="Times New Roman" w:hAnsi="Tahoma" w:cs="Tahoma"/>
                <w:b/>
                <w:bCs/>
                <w:color w:val="000000"/>
                <w:sz w:val="18"/>
                <w:szCs w:val="18"/>
              </w:rPr>
            </w:pPr>
            <w:r w:rsidRPr="00DD6503">
              <w:rPr>
                <w:rFonts w:ascii="Tahoma" w:hAnsi="Tahoma" w:cs="Tahoma"/>
                <w:b/>
                <w:bCs/>
                <w:color w:val="000000"/>
                <w:sz w:val="18"/>
                <w:szCs w:val="18"/>
              </w:rPr>
              <w:t>HAQ change</w:t>
            </w:r>
          </w:p>
        </w:tc>
        <w:tc>
          <w:tcPr>
            <w:tcW w:w="1417" w:type="dxa"/>
            <w:vAlign w:val="bottom"/>
          </w:tcPr>
          <w:p w:rsidR="008C7D2A" w:rsidRPr="00DD6503" w:rsidRDefault="008C7D2A" w:rsidP="003A541D">
            <w:pPr>
              <w:rPr>
                <w:rFonts w:ascii="Tahoma" w:hAnsi="Tahoma" w:cs="Tahoma"/>
                <w:b/>
                <w:bCs/>
                <w:color w:val="000000"/>
                <w:sz w:val="18"/>
                <w:szCs w:val="18"/>
              </w:rPr>
            </w:pPr>
          </w:p>
        </w:tc>
        <w:tc>
          <w:tcPr>
            <w:tcW w:w="1300" w:type="dxa"/>
            <w:vAlign w:val="bottom"/>
          </w:tcPr>
          <w:p w:rsidR="008C7D2A" w:rsidRPr="00DD6503" w:rsidRDefault="008C7D2A" w:rsidP="003A541D">
            <w:pPr>
              <w:rPr>
                <w:rFonts w:ascii="Tahoma" w:hAnsi="Tahoma" w:cs="Tahoma"/>
                <w:sz w:val="18"/>
                <w:szCs w:val="18"/>
              </w:rPr>
            </w:pPr>
          </w:p>
        </w:tc>
        <w:tc>
          <w:tcPr>
            <w:tcW w:w="1300" w:type="dxa"/>
            <w:vAlign w:val="bottom"/>
          </w:tcPr>
          <w:p w:rsidR="008C7D2A" w:rsidRPr="00DD6503" w:rsidRDefault="008C7D2A" w:rsidP="003A541D">
            <w:pPr>
              <w:rPr>
                <w:rFonts w:ascii="Tahoma" w:hAnsi="Tahoma" w:cs="Tahoma"/>
                <w:sz w:val="18"/>
                <w:szCs w:val="18"/>
              </w:rPr>
            </w:pPr>
          </w:p>
        </w:tc>
        <w:tc>
          <w:tcPr>
            <w:tcW w:w="1417" w:type="dxa"/>
            <w:vAlign w:val="bottom"/>
          </w:tcPr>
          <w:p w:rsidR="008C7D2A" w:rsidRPr="00DD6503" w:rsidRDefault="008C7D2A" w:rsidP="003A541D">
            <w:pPr>
              <w:rPr>
                <w:rFonts w:ascii="Tahoma" w:hAnsi="Tahoma" w:cs="Tahoma"/>
                <w:sz w:val="18"/>
                <w:szCs w:val="18"/>
              </w:rPr>
            </w:pPr>
          </w:p>
        </w:tc>
        <w:tc>
          <w:tcPr>
            <w:tcW w:w="1300" w:type="dxa"/>
            <w:vAlign w:val="bottom"/>
          </w:tcPr>
          <w:p w:rsidR="008C7D2A" w:rsidRPr="00DD6503" w:rsidRDefault="008C7D2A" w:rsidP="003A541D">
            <w:pPr>
              <w:rPr>
                <w:rFonts w:ascii="Tahoma" w:hAnsi="Tahoma" w:cs="Tahoma"/>
                <w:sz w:val="18"/>
                <w:szCs w:val="18"/>
              </w:rPr>
            </w:pPr>
          </w:p>
        </w:tc>
        <w:tc>
          <w:tcPr>
            <w:tcW w:w="1300" w:type="dxa"/>
            <w:vAlign w:val="bottom"/>
          </w:tcPr>
          <w:p w:rsidR="008C7D2A" w:rsidRPr="00DD6503" w:rsidRDefault="008C7D2A" w:rsidP="003A541D">
            <w:pPr>
              <w:rPr>
                <w:rFonts w:ascii="Tahoma" w:hAnsi="Tahoma" w:cs="Tahoma"/>
                <w:sz w:val="18"/>
                <w:szCs w:val="18"/>
              </w:rPr>
            </w:pPr>
          </w:p>
        </w:tc>
        <w:tc>
          <w:tcPr>
            <w:tcW w:w="1298" w:type="dxa"/>
            <w:vAlign w:val="bottom"/>
          </w:tcPr>
          <w:p w:rsidR="008C7D2A" w:rsidRPr="00DD6503" w:rsidRDefault="008C7D2A" w:rsidP="003A541D">
            <w:pPr>
              <w:rPr>
                <w:rFonts w:ascii="Tahoma" w:hAnsi="Tahoma" w:cs="Tahoma"/>
                <w:sz w:val="18"/>
                <w:szCs w:val="18"/>
              </w:rPr>
            </w:pPr>
          </w:p>
        </w:tc>
      </w:tr>
      <w:tr w:rsidR="008C7D2A" w:rsidRPr="00DD6503" w:rsidTr="003A541D">
        <w:tc>
          <w:tcPr>
            <w:tcW w:w="2948" w:type="dxa"/>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1 prior csDMARD</w:t>
            </w:r>
          </w:p>
        </w:tc>
        <w:tc>
          <w:tcPr>
            <w:tcW w:w="1417" w:type="dxa"/>
            <w:vAlign w:val="bottom"/>
          </w:tcPr>
          <w:p w:rsidR="008C7D2A" w:rsidRPr="00DD6503" w:rsidRDefault="008C7D2A" w:rsidP="003A541D">
            <w:pPr>
              <w:rPr>
                <w:rFonts w:ascii="Tahoma" w:hAnsi="Tahoma" w:cs="Tahoma"/>
                <w:b/>
                <w:bCs/>
                <w:color w:val="000000"/>
                <w:sz w:val="18"/>
                <w:szCs w:val="18"/>
              </w:rPr>
            </w:pPr>
          </w:p>
        </w:tc>
        <w:tc>
          <w:tcPr>
            <w:tcW w:w="1300" w:type="dxa"/>
            <w:vAlign w:val="bottom"/>
          </w:tcPr>
          <w:p w:rsidR="008C7D2A" w:rsidRPr="00DD6503" w:rsidRDefault="008C7D2A" w:rsidP="003A541D">
            <w:pPr>
              <w:rPr>
                <w:rFonts w:ascii="Tahoma" w:hAnsi="Tahoma" w:cs="Tahoma"/>
                <w:sz w:val="18"/>
                <w:szCs w:val="18"/>
              </w:rPr>
            </w:pPr>
          </w:p>
        </w:tc>
        <w:tc>
          <w:tcPr>
            <w:tcW w:w="1300" w:type="dxa"/>
            <w:vAlign w:val="bottom"/>
          </w:tcPr>
          <w:p w:rsidR="008C7D2A" w:rsidRPr="00DD6503" w:rsidRDefault="008C7D2A" w:rsidP="003A541D">
            <w:pPr>
              <w:rPr>
                <w:rFonts w:ascii="Tahoma" w:hAnsi="Tahoma" w:cs="Tahoma"/>
                <w:sz w:val="18"/>
                <w:szCs w:val="18"/>
              </w:rPr>
            </w:pPr>
          </w:p>
        </w:tc>
        <w:tc>
          <w:tcPr>
            <w:tcW w:w="1417" w:type="dxa"/>
            <w:vAlign w:val="bottom"/>
          </w:tcPr>
          <w:p w:rsidR="008C7D2A" w:rsidRPr="00DD6503" w:rsidRDefault="008C7D2A" w:rsidP="003A541D">
            <w:pPr>
              <w:rPr>
                <w:rFonts w:ascii="Tahoma" w:hAnsi="Tahoma" w:cs="Tahoma"/>
                <w:sz w:val="18"/>
                <w:szCs w:val="18"/>
              </w:rPr>
            </w:pPr>
          </w:p>
        </w:tc>
        <w:tc>
          <w:tcPr>
            <w:tcW w:w="1300" w:type="dxa"/>
            <w:vAlign w:val="bottom"/>
          </w:tcPr>
          <w:p w:rsidR="008C7D2A" w:rsidRPr="00DD6503" w:rsidRDefault="008C7D2A" w:rsidP="003A541D">
            <w:pPr>
              <w:rPr>
                <w:rFonts w:ascii="Tahoma" w:hAnsi="Tahoma" w:cs="Tahoma"/>
                <w:sz w:val="18"/>
                <w:szCs w:val="18"/>
              </w:rPr>
            </w:pPr>
          </w:p>
        </w:tc>
        <w:tc>
          <w:tcPr>
            <w:tcW w:w="1300" w:type="dxa"/>
            <w:vAlign w:val="bottom"/>
          </w:tcPr>
          <w:p w:rsidR="008C7D2A" w:rsidRPr="00DD6503" w:rsidRDefault="008C7D2A" w:rsidP="003A541D">
            <w:pPr>
              <w:rPr>
                <w:rFonts w:ascii="Tahoma" w:hAnsi="Tahoma" w:cs="Tahoma"/>
                <w:sz w:val="18"/>
                <w:szCs w:val="18"/>
              </w:rPr>
            </w:pPr>
          </w:p>
        </w:tc>
        <w:tc>
          <w:tcPr>
            <w:tcW w:w="1298" w:type="dxa"/>
            <w:vAlign w:val="bottom"/>
          </w:tcPr>
          <w:p w:rsidR="008C7D2A" w:rsidRPr="00DD6503" w:rsidRDefault="008C7D2A" w:rsidP="003A541D">
            <w:pPr>
              <w:rPr>
                <w:rFonts w:ascii="Tahoma" w:hAnsi="Tahoma" w:cs="Tahoma"/>
                <w:sz w:val="18"/>
                <w:szCs w:val="18"/>
              </w:rPr>
            </w:pPr>
          </w:p>
        </w:tc>
      </w:tr>
      <w:tr w:rsidR="008C7D2A" w:rsidRPr="00DD6503" w:rsidTr="003A541D">
        <w:tc>
          <w:tcPr>
            <w:tcW w:w="2948"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HAQ change w/ PsARC response - SEC 150</w:t>
            </w:r>
          </w:p>
        </w:tc>
        <w:tc>
          <w:tcPr>
            <w:tcW w:w="1417"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-0.600</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-0.496</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-0.704</w:t>
            </w:r>
          </w:p>
        </w:tc>
        <w:tc>
          <w:tcPr>
            <w:tcW w:w="1417"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0.0530</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128.1595</w:t>
            </w:r>
          </w:p>
        </w:tc>
        <w:tc>
          <w:tcPr>
            <w:tcW w:w="1298"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0.0047</w:t>
            </w:r>
          </w:p>
        </w:tc>
      </w:tr>
      <w:tr w:rsidR="008C7D2A" w:rsidRPr="00DD6503" w:rsidTr="003A541D">
        <w:tc>
          <w:tcPr>
            <w:tcW w:w="2948"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HAQ change w/ PsARC response - SoC</w:t>
            </w:r>
          </w:p>
        </w:tc>
        <w:tc>
          <w:tcPr>
            <w:tcW w:w="1417"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-0.420</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-0.087</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-0.753</w:t>
            </w:r>
          </w:p>
        </w:tc>
        <w:tc>
          <w:tcPr>
            <w:tcW w:w="1417"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0.1700</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6.1038</w:t>
            </w:r>
          </w:p>
        </w:tc>
        <w:tc>
          <w:tcPr>
            <w:tcW w:w="1298"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0.0688</w:t>
            </w:r>
          </w:p>
        </w:tc>
      </w:tr>
      <w:tr w:rsidR="008C7D2A" w:rsidRPr="00DD6503" w:rsidTr="003A541D">
        <w:tc>
          <w:tcPr>
            <w:tcW w:w="2948"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HAQ change w/out PsARC response - SEC 150</w:t>
            </w:r>
          </w:p>
        </w:tc>
        <w:tc>
          <w:tcPr>
            <w:tcW w:w="1417"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-0.100</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0.051</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-0.251</w:t>
            </w:r>
          </w:p>
        </w:tc>
        <w:tc>
          <w:tcPr>
            <w:tcW w:w="1417"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0.0000</w:t>
            </w:r>
          </w:p>
        </w:tc>
        <w:tc>
          <w:tcPr>
            <w:tcW w:w="130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0.0000</w:t>
            </w:r>
          </w:p>
        </w:tc>
        <w:tc>
          <w:tcPr>
            <w:tcW w:w="1298"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0.0000</w:t>
            </w:r>
          </w:p>
        </w:tc>
      </w:tr>
      <w:tr w:rsidR="005C1F5D" w:rsidRPr="00DD6503" w:rsidTr="003A541D">
        <w:tc>
          <w:tcPr>
            <w:tcW w:w="2948" w:type="dxa"/>
            <w:vAlign w:val="bottom"/>
          </w:tcPr>
          <w:p w:rsidR="005C1F5D" w:rsidRPr="00DD6503" w:rsidRDefault="005C1F5D" w:rsidP="005C1F5D">
            <w:pPr>
              <w:rPr>
                <w:rFonts w:ascii="Tahoma" w:hAnsi="Tahoma" w:cs="Tahoma"/>
                <w:b/>
                <w:bCs/>
                <w:color w:val="000000"/>
                <w:sz w:val="18"/>
                <w:szCs w:val="18"/>
              </w:rPr>
            </w:pPr>
            <w:r>
              <w:rPr>
                <w:rFonts w:ascii="Tahoma" w:hAnsi="Tahoma" w:cs="Tahoma"/>
                <w:b/>
                <w:bCs/>
                <w:color w:val="000000"/>
                <w:sz w:val="18"/>
                <w:szCs w:val="18"/>
              </w:rPr>
              <w:t>≥</w:t>
            </w:r>
            <w:r w:rsidRPr="00DD6503">
              <w:rPr>
                <w:rFonts w:ascii="Tahoma" w:hAnsi="Tahoma" w:cs="Tahoma"/>
                <w:b/>
                <w:bCs/>
                <w:color w:val="000000"/>
                <w:sz w:val="18"/>
                <w:szCs w:val="18"/>
              </w:rPr>
              <w:t>2 prior csDMARDs</w:t>
            </w:r>
          </w:p>
        </w:tc>
        <w:tc>
          <w:tcPr>
            <w:tcW w:w="1417" w:type="dxa"/>
            <w:vAlign w:val="bottom"/>
          </w:tcPr>
          <w:p w:rsidR="005C1F5D" w:rsidRPr="00DD6503" w:rsidRDefault="005C1F5D" w:rsidP="005C1F5D">
            <w:pPr>
              <w:rPr>
                <w:rFonts w:ascii="Tahoma" w:hAnsi="Tahoma" w:cs="Tahoma"/>
                <w:b/>
                <w:bCs/>
                <w:color w:val="000000"/>
                <w:sz w:val="18"/>
                <w:szCs w:val="18"/>
              </w:rPr>
            </w:pPr>
          </w:p>
        </w:tc>
        <w:tc>
          <w:tcPr>
            <w:tcW w:w="1300" w:type="dxa"/>
            <w:vAlign w:val="bottom"/>
          </w:tcPr>
          <w:p w:rsidR="005C1F5D" w:rsidRPr="00DD6503" w:rsidRDefault="005C1F5D" w:rsidP="005C1F5D">
            <w:pPr>
              <w:rPr>
                <w:rFonts w:ascii="Tahoma" w:hAnsi="Tahoma" w:cs="Tahoma"/>
                <w:sz w:val="18"/>
                <w:szCs w:val="18"/>
              </w:rPr>
            </w:pPr>
          </w:p>
        </w:tc>
        <w:tc>
          <w:tcPr>
            <w:tcW w:w="1300" w:type="dxa"/>
            <w:vAlign w:val="bottom"/>
          </w:tcPr>
          <w:p w:rsidR="005C1F5D" w:rsidRPr="00DD6503" w:rsidRDefault="005C1F5D" w:rsidP="005C1F5D">
            <w:pPr>
              <w:rPr>
                <w:rFonts w:ascii="Tahoma" w:hAnsi="Tahoma" w:cs="Tahoma"/>
                <w:sz w:val="18"/>
                <w:szCs w:val="18"/>
              </w:rPr>
            </w:pPr>
          </w:p>
        </w:tc>
        <w:tc>
          <w:tcPr>
            <w:tcW w:w="1417" w:type="dxa"/>
            <w:vAlign w:val="bottom"/>
          </w:tcPr>
          <w:p w:rsidR="005C1F5D" w:rsidRPr="00DD6503" w:rsidRDefault="005C1F5D" w:rsidP="005C1F5D">
            <w:pPr>
              <w:rPr>
                <w:rFonts w:ascii="Tahoma" w:hAnsi="Tahoma" w:cs="Tahoma"/>
                <w:sz w:val="18"/>
                <w:szCs w:val="18"/>
              </w:rPr>
            </w:pPr>
          </w:p>
        </w:tc>
        <w:tc>
          <w:tcPr>
            <w:tcW w:w="1300" w:type="dxa"/>
            <w:vAlign w:val="bottom"/>
          </w:tcPr>
          <w:p w:rsidR="005C1F5D" w:rsidRPr="00DD6503" w:rsidRDefault="005C1F5D" w:rsidP="005C1F5D">
            <w:pPr>
              <w:rPr>
                <w:rFonts w:ascii="Tahoma" w:hAnsi="Tahoma" w:cs="Tahoma"/>
                <w:sz w:val="18"/>
                <w:szCs w:val="18"/>
              </w:rPr>
            </w:pPr>
          </w:p>
        </w:tc>
        <w:tc>
          <w:tcPr>
            <w:tcW w:w="1300" w:type="dxa"/>
            <w:vAlign w:val="bottom"/>
          </w:tcPr>
          <w:p w:rsidR="005C1F5D" w:rsidRPr="00DD6503" w:rsidRDefault="005C1F5D" w:rsidP="005C1F5D">
            <w:pPr>
              <w:rPr>
                <w:rFonts w:ascii="Tahoma" w:hAnsi="Tahoma" w:cs="Tahoma"/>
                <w:sz w:val="18"/>
                <w:szCs w:val="18"/>
              </w:rPr>
            </w:pPr>
          </w:p>
        </w:tc>
        <w:tc>
          <w:tcPr>
            <w:tcW w:w="1298" w:type="dxa"/>
            <w:vAlign w:val="bottom"/>
          </w:tcPr>
          <w:p w:rsidR="005C1F5D" w:rsidRPr="00DD6503" w:rsidRDefault="005C1F5D" w:rsidP="005C1F5D">
            <w:pPr>
              <w:rPr>
                <w:rFonts w:ascii="Tahoma" w:hAnsi="Tahoma" w:cs="Tahoma"/>
                <w:sz w:val="18"/>
                <w:szCs w:val="18"/>
              </w:rPr>
            </w:pP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HAQ change w/ PsARC response - SEC 150</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-0.539</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-0.443</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-0.635</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0.0569</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89.7332</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0.0060</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lastRenderedPageBreak/>
              <w:t>HAQ change w/ PsARC response - CER P</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-0.558</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-0.438</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-0.677</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0.0612</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82.9162</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0.0067</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HAQ change w/ PsARC response - ETN</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-0.640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-0.510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-0.770</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0.0663</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93.1077</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0.0069</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HAQ change w/ PsARC response - ADA</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-0.490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-0.400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-0.580</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0.0459</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113.8726</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0.0043</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HAQ change w/ PsARC response - INF</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-0.660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-0.550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-0.770</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0.0561</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138.2976</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0.0048</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HAQ change w/ PsARC response - GOL</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-0.440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-0.290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-0.590</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0.0765</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33.0548</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0.0133</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HAQ change w/out PsARC response - SEC 150</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-0.266</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-0.131</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-0.463</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0.1007</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6.9776</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0.0381</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HAQ change w/out PsARC response - CER P</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-0.150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-0.028</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-0.272</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0.0625</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5.7600</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0.0260</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HAQ change w/out PsARC response - ETN</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-0.200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-0.050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-0.350</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0.0765</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6.8295</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0.0293</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HAQ change w/out PsARC response - ADA</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-0.140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-0.030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-0.240</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0.0536</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6.8295</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0.0205</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HAQ change w/out PsARC response - INF</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-0.200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-0.080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-0.310</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0.0587</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11.6192</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0.0172</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HAQ change w/out PsARC response - GOL</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-0.060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0.060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-0.180</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0.0612</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0.9604</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0.0625</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HAQ change after long-term biologic withdrawal</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0.018</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0.007</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0.034</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0.0070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6.6122</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0.0027</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Yr 1 discontinuation rate</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14.0%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9.0%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19.9%</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Beta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0.0280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21.3600</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131.2114</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Yr 2 discontinuation rate</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7.2%</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4.7%</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10.3%</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Beta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0.0144</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23.1222</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297.0327</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Drug acquisition cost - SEC 150</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£609.39</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£609.39</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£609.39</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Not varied</w:t>
            </w:r>
          </w:p>
        </w:tc>
        <w:tc>
          <w:tcPr>
            <w:tcW w:w="1300" w:type="dxa"/>
            <w:vAlign w:val="bottom"/>
          </w:tcPr>
          <w:p w:rsidR="005C1F5D" w:rsidRPr="00DD6503" w:rsidRDefault="005C1F5D" w:rsidP="005C1F5D">
            <w:pPr>
              <w:rPr>
                <w:rFonts w:ascii="Tahoma" w:hAnsi="Tahoma" w:cs="Tahoma"/>
                <w:color w:val="000000"/>
                <w:sz w:val="18"/>
                <w:szCs w:val="18"/>
              </w:rPr>
            </w:pPr>
          </w:p>
        </w:tc>
        <w:tc>
          <w:tcPr>
            <w:tcW w:w="1300" w:type="dxa"/>
            <w:vAlign w:val="bottom"/>
          </w:tcPr>
          <w:p w:rsidR="005C1F5D" w:rsidRPr="00DD6503" w:rsidRDefault="005C1F5D" w:rsidP="005C1F5D">
            <w:pPr>
              <w:rPr>
                <w:rFonts w:ascii="Tahoma" w:hAnsi="Tahoma" w:cs="Tahoma"/>
                <w:sz w:val="18"/>
                <w:szCs w:val="18"/>
              </w:rPr>
            </w:pPr>
          </w:p>
        </w:tc>
        <w:tc>
          <w:tcPr>
            <w:tcW w:w="1298" w:type="dxa"/>
            <w:vAlign w:val="bottom"/>
          </w:tcPr>
          <w:p w:rsidR="005C1F5D" w:rsidRPr="00DD6503" w:rsidRDefault="005C1F5D" w:rsidP="005C1F5D">
            <w:pPr>
              <w:rPr>
                <w:rFonts w:ascii="Tahoma" w:hAnsi="Tahoma" w:cs="Tahoma"/>
                <w:sz w:val="18"/>
                <w:szCs w:val="18"/>
              </w:rPr>
            </w:pP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Drug acquisition cost - CER P</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£357.50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£357.50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£357.50</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Not varied</w:t>
            </w:r>
          </w:p>
        </w:tc>
        <w:tc>
          <w:tcPr>
            <w:tcW w:w="1300" w:type="dxa"/>
            <w:vAlign w:val="bottom"/>
          </w:tcPr>
          <w:p w:rsidR="005C1F5D" w:rsidRPr="00DD6503" w:rsidRDefault="005C1F5D" w:rsidP="005C1F5D">
            <w:pPr>
              <w:rPr>
                <w:rFonts w:ascii="Tahoma" w:hAnsi="Tahoma" w:cs="Tahoma"/>
                <w:color w:val="000000"/>
                <w:sz w:val="18"/>
                <w:szCs w:val="18"/>
              </w:rPr>
            </w:pPr>
          </w:p>
        </w:tc>
        <w:tc>
          <w:tcPr>
            <w:tcW w:w="1300" w:type="dxa"/>
            <w:vAlign w:val="bottom"/>
          </w:tcPr>
          <w:p w:rsidR="005C1F5D" w:rsidRPr="00DD6503" w:rsidRDefault="005C1F5D" w:rsidP="005C1F5D">
            <w:pPr>
              <w:rPr>
                <w:rFonts w:ascii="Tahoma" w:hAnsi="Tahoma" w:cs="Tahoma"/>
                <w:sz w:val="18"/>
                <w:szCs w:val="18"/>
              </w:rPr>
            </w:pPr>
          </w:p>
        </w:tc>
        <w:tc>
          <w:tcPr>
            <w:tcW w:w="1298" w:type="dxa"/>
            <w:vAlign w:val="bottom"/>
          </w:tcPr>
          <w:p w:rsidR="005C1F5D" w:rsidRPr="00DD6503" w:rsidRDefault="005C1F5D" w:rsidP="005C1F5D">
            <w:pPr>
              <w:rPr>
                <w:rFonts w:ascii="Tahoma" w:hAnsi="Tahoma" w:cs="Tahoma"/>
                <w:sz w:val="18"/>
                <w:szCs w:val="18"/>
              </w:rPr>
            </w:pP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Drug acquisition cost - ETN</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£178.75</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£164.00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£164.00</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Not varied</w:t>
            </w:r>
          </w:p>
        </w:tc>
        <w:tc>
          <w:tcPr>
            <w:tcW w:w="1300" w:type="dxa"/>
            <w:vAlign w:val="bottom"/>
          </w:tcPr>
          <w:p w:rsidR="005C1F5D" w:rsidRPr="00DD6503" w:rsidRDefault="005C1F5D" w:rsidP="005C1F5D">
            <w:pPr>
              <w:rPr>
                <w:rFonts w:ascii="Tahoma" w:hAnsi="Tahoma" w:cs="Tahoma"/>
                <w:color w:val="000000"/>
                <w:sz w:val="18"/>
                <w:szCs w:val="18"/>
              </w:rPr>
            </w:pPr>
          </w:p>
        </w:tc>
        <w:tc>
          <w:tcPr>
            <w:tcW w:w="1300" w:type="dxa"/>
            <w:vAlign w:val="bottom"/>
          </w:tcPr>
          <w:p w:rsidR="005C1F5D" w:rsidRPr="00DD6503" w:rsidRDefault="005C1F5D" w:rsidP="005C1F5D">
            <w:pPr>
              <w:rPr>
                <w:rFonts w:ascii="Tahoma" w:hAnsi="Tahoma" w:cs="Tahoma"/>
                <w:sz w:val="18"/>
                <w:szCs w:val="18"/>
              </w:rPr>
            </w:pPr>
          </w:p>
        </w:tc>
        <w:tc>
          <w:tcPr>
            <w:tcW w:w="1298" w:type="dxa"/>
            <w:vAlign w:val="bottom"/>
          </w:tcPr>
          <w:p w:rsidR="005C1F5D" w:rsidRPr="00DD6503" w:rsidRDefault="005C1F5D" w:rsidP="005C1F5D">
            <w:pPr>
              <w:rPr>
                <w:rFonts w:ascii="Tahoma" w:hAnsi="Tahoma" w:cs="Tahoma"/>
                <w:sz w:val="18"/>
                <w:szCs w:val="18"/>
              </w:rPr>
            </w:pP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Drug acquisition cost - ADA</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£352.14</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£352.14</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£352.14</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Not varied</w:t>
            </w:r>
          </w:p>
        </w:tc>
        <w:tc>
          <w:tcPr>
            <w:tcW w:w="1300" w:type="dxa"/>
            <w:vAlign w:val="bottom"/>
          </w:tcPr>
          <w:p w:rsidR="005C1F5D" w:rsidRPr="00DD6503" w:rsidRDefault="005C1F5D" w:rsidP="005C1F5D">
            <w:pPr>
              <w:rPr>
                <w:rFonts w:ascii="Tahoma" w:hAnsi="Tahoma" w:cs="Tahoma"/>
                <w:color w:val="000000"/>
                <w:sz w:val="18"/>
                <w:szCs w:val="18"/>
              </w:rPr>
            </w:pPr>
          </w:p>
        </w:tc>
        <w:tc>
          <w:tcPr>
            <w:tcW w:w="1300" w:type="dxa"/>
            <w:vAlign w:val="bottom"/>
          </w:tcPr>
          <w:p w:rsidR="005C1F5D" w:rsidRPr="00DD6503" w:rsidRDefault="005C1F5D" w:rsidP="005C1F5D">
            <w:pPr>
              <w:rPr>
                <w:rFonts w:ascii="Tahoma" w:hAnsi="Tahoma" w:cs="Tahoma"/>
                <w:sz w:val="18"/>
                <w:szCs w:val="18"/>
              </w:rPr>
            </w:pPr>
          </w:p>
        </w:tc>
        <w:tc>
          <w:tcPr>
            <w:tcW w:w="1298" w:type="dxa"/>
            <w:vAlign w:val="bottom"/>
          </w:tcPr>
          <w:p w:rsidR="005C1F5D" w:rsidRPr="00DD6503" w:rsidRDefault="005C1F5D" w:rsidP="005C1F5D">
            <w:pPr>
              <w:rPr>
                <w:rFonts w:ascii="Tahoma" w:hAnsi="Tahoma" w:cs="Tahoma"/>
                <w:sz w:val="18"/>
                <w:szCs w:val="18"/>
              </w:rPr>
            </w:pP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Drug acquisition cost - INF</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£419.62</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£419.62</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£419.62</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Not varied</w:t>
            </w:r>
          </w:p>
        </w:tc>
        <w:tc>
          <w:tcPr>
            <w:tcW w:w="1300" w:type="dxa"/>
            <w:vAlign w:val="bottom"/>
          </w:tcPr>
          <w:p w:rsidR="005C1F5D" w:rsidRPr="00DD6503" w:rsidRDefault="005C1F5D" w:rsidP="005C1F5D">
            <w:pPr>
              <w:rPr>
                <w:rFonts w:ascii="Tahoma" w:hAnsi="Tahoma" w:cs="Tahoma"/>
                <w:color w:val="000000"/>
                <w:sz w:val="18"/>
                <w:szCs w:val="18"/>
              </w:rPr>
            </w:pPr>
          </w:p>
        </w:tc>
        <w:tc>
          <w:tcPr>
            <w:tcW w:w="1300" w:type="dxa"/>
            <w:vAlign w:val="bottom"/>
          </w:tcPr>
          <w:p w:rsidR="005C1F5D" w:rsidRPr="00DD6503" w:rsidRDefault="005C1F5D" w:rsidP="005C1F5D">
            <w:pPr>
              <w:rPr>
                <w:rFonts w:ascii="Tahoma" w:hAnsi="Tahoma" w:cs="Tahoma"/>
                <w:sz w:val="18"/>
                <w:szCs w:val="18"/>
              </w:rPr>
            </w:pPr>
          </w:p>
        </w:tc>
        <w:tc>
          <w:tcPr>
            <w:tcW w:w="1298" w:type="dxa"/>
            <w:vAlign w:val="bottom"/>
          </w:tcPr>
          <w:p w:rsidR="005C1F5D" w:rsidRPr="00DD6503" w:rsidRDefault="005C1F5D" w:rsidP="005C1F5D">
            <w:pPr>
              <w:rPr>
                <w:rFonts w:ascii="Tahoma" w:hAnsi="Tahoma" w:cs="Tahoma"/>
                <w:sz w:val="18"/>
                <w:szCs w:val="18"/>
              </w:rPr>
            </w:pP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Drug acquisition cost - GOL 50mg</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£762.97</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£762.97</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£762.97</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Not varied</w:t>
            </w:r>
          </w:p>
        </w:tc>
        <w:tc>
          <w:tcPr>
            <w:tcW w:w="1300" w:type="dxa"/>
            <w:vAlign w:val="bottom"/>
          </w:tcPr>
          <w:p w:rsidR="005C1F5D" w:rsidRPr="00DD6503" w:rsidRDefault="005C1F5D" w:rsidP="005C1F5D">
            <w:pPr>
              <w:rPr>
                <w:rFonts w:ascii="Tahoma" w:hAnsi="Tahoma" w:cs="Tahoma"/>
                <w:color w:val="000000"/>
                <w:sz w:val="18"/>
                <w:szCs w:val="18"/>
              </w:rPr>
            </w:pPr>
          </w:p>
        </w:tc>
        <w:tc>
          <w:tcPr>
            <w:tcW w:w="1300" w:type="dxa"/>
            <w:vAlign w:val="bottom"/>
          </w:tcPr>
          <w:p w:rsidR="005C1F5D" w:rsidRPr="00DD6503" w:rsidRDefault="005C1F5D" w:rsidP="005C1F5D">
            <w:pPr>
              <w:rPr>
                <w:rFonts w:ascii="Tahoma" w:hAnsi="Tahoma" w:cs="Tahoma"/>
                <w:sz w:val="18"/>
                <w:szCs w:val="18"/>
              </w:rPr>
            </w:pPr>
          </w:p>
        </w:tc>
        <w:tc>
          <w:tcPr>
            <w:tcW w:w="1298" w:type="dxa"/>
            <w:vAlign w:val="bottom"/>
          </w:tcPr>
          <w:p w:rsidR="005C1F5D" w:rsidRPr="00DD6503" w:rsidRDefault="005C1F5D" w:rsidP="005C1F5D">
            <w:pPr>
              <w:rPr>
                <w:rFonts w:ascii="Tahoma" w:hAnsi="Tahoma" w:cs="Tahoma"/>
                <w:sz w:val="18"/>
                <w:szCs w:val="18"/>
              </w:rPr>
            </w:pP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Drug acquisition cost - GOL 100mg</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£762.97</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£762.97</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£762.97</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Not varied</w:t>
            </w:r>
          </w:p>
        </w:tc>
        <w:tc>
          <w:tcPr>
            <w:tcW w:w="1300" w:type="dxa"/>
            <w:vAlign w:val="bottom"/>
          </w:tcPr>
          <w:p w:rsidR="005C1F5D" w:rsidRPr="00DD6503" w:rsidRDefault="005C1F5D" w:rsidP="005C1F5D">
            <w:pPr>
              <w:rPr>
                <w:rFonts w:ascii="Tahoma" w:hAnsi="Tahoma" w:cs="Tahoma"/>
                <w:color w:val="000000"/>
                <w:sz w:val="18"/>
                <w:szCs w:val="18"/>
              </w:rPr>
            </w:pPr>
          </w:p>
        </w:tc>
        <w:tc>
          <w:tcPr>
            <w:tcW w:w="1300" w:type="dxa"/>
            <w:vAlign w:val="bottom"/>
          </w:tcPr>
          <w:p w:rsidR="005C1F5D" w:rsidRPr="00DD6503" w:rsidRDefault="005C1F5D" w:rsidP="005C1F5D">
            <w:pPr>
              <w:rPr>
                <w:rFonts w:ascii="Tahoma" w:hAnsi="Tahoma" w:cs="Tahoma"/>
                <w:sz w:val="18"/>
                <w:szCs w:val="18"/>
              </w:rPr>
            </w:pPr>
          </w:p>
        </w:tc>
        <w:tc>
          <w:tcPr>
            <w:tcW w:w="1298" w:type="dxa"/>
            <w:vAlign w:val="bottom"/>
          </w:tcPr>
          <w:p w:rsidR="005C1F5D" w:rsidRPr="00DD6503" w:rsidRDefault="005C1F5D" w:rsidP="005C1F5D">
            <w:pPr>
              <w:rPr>
                <w:rFonts w:ascii="Tahoma" w:hAnsi="Tahoma" w:cs="Tahoma"/>
                <w:sz w:val="18"/>
                <w:szCs w:val="18"/>
              </w:rPr>
            </w:pP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Drug acquisition cost - MTX</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£0.95</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£0.95</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£0.95</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Not varied</w:t>
            </w:r>
          </w:p>
        </w:tc>
        <w:tc>
          <w:tcPr>
            <w:tcW w:w="1300" w:type="dxa"/>
            <w:vAlign w:val="bottom"/>
          </w:tcPr>
          <w:p w:rsidR="005C1F5D" w:rsidRPr="00DD6503" w:rsidRDefault="005C1F5D" w:rsidP="005C1F5D">
            <w:pPr>
              <w:rPr>
                <w:rFonts w:ascii="Tahoma" w:hAnsi="Tahoma" w:cs="Tahoma"/>
                <w:color w:val="000000"/>
                <w:sz w:val="18"/>
                <w:szCs w:val="18"/>
              </w:rPr>
            </w:pPr>
          </w:p>
        </w:tc>
        <w:tc>
          <w:tcPr>
            <w:tcW w:w="1300" w:type="dxa"/>
            <w:vAlign w:val="bottom"/>
          </w:tcPr>
          <w:p w:rsidR="005C1F5D" w:rsidRPr="00DD6503" w:rsidRDefault="005C1F5D" w:rsidP="005C1F5D">
            <w:pPr>
              <w:rPr>
                <w:rFonts w:ascii="Tahoma" w:hAnsi="Tahoma" w:cs="Tahoma"/>
                <w:sz w:val="18"/>
                <w:szCs w:val="18"/>
              </w:rPr>
            </w:pPr>
          </w:p>
        </w:tc>
        <w:tc>
          <w:tcPr>
            <w:tcW w:w="1298" w:type="dxa"/>
            <w:vAlign w:val="bottom"/>
          </w:tcPr>
          <w:p w:rsidR="005C1F5D" w:rsidRPr="00DD6503" w:rsidRDefault="005C1F5D" w:rsidP="005C1F5D">
            <w:pPr>
              <w:rPr>
                <w:rFonts w:ascii="Tahoma" w:hAnsi="Tahoma" w:cs="Tahoma"/>
                <w:sz w:val="18"/>
                <w:szCs w:val="18"/>
              </w:rPr>
            </w:pP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Biosimilar cost ETN</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£164.00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£164.00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£164.00</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Not varied</w:t>
            </w:r>
          </w:p>
        </w:tc>
        <w:tc>
          <w:tcPr>
            <w:tcW w:w="1300" w:type="dxa"/>
            <w:vAlign w:val="bottom"/>
          </w:tcPr>
          <w:p w:rsidR="005C1F5D" w:rsidRPr="00DD6503" w:rsidRDefault="005C1F5D" w:rsidP="005C1F5D">
            <w:pPr>
              <w:rPr>
                <w:rFonts w:ascii="Tahoma" w:hAnsi="Tahoma" w:cs="Tahoma"/>
                <w:color w:val="000000"/>
                <w:sz w:val="18"/>
                <w:szCs w:val="18"/>
              </w:rPr>
            </w:pPr>
          </w:p>
        </w:tc>
        <w:tc>
          <w:tcPr>
            <w:tcW w:w="1300" w:type="dxa"/>
            <w:vAlign w:val="bottom"/>
          </w:tcPr>
          <w:p w:rsidR="005C1F5D" w:rsidRPr="00DD6503" w:rsidRDefault="005C1F5D" w:rsidP="005C1F5D">
            <w:pPr>
              <w:rPr>
                <w:rFonts w:ascii="Tahoma" w:hAnsi="Tahoma" w:cs="Tahoma"/>
                <w:sz w:val="18"/>
                <w:szCs w:val="18"/>
              </w:rPr>
            </w:pPr>
          </w:p>
        </w:tc>
        <w:tc>
          <w:tcPr>
            <w:tcW w:w="1298" w:type="dxa"/>
            <w:vAlign w:val="bottom"/>
          </w:tcPr>
          <w:p w:rsidR="005C1F5D" w:rsidRPr="00DD6503" w:rsidRDefault="005C1F5D" w:rsidP="005C1F5D">
            <w:pPr>
              <w:rPr>
                <w:rFonts w:ascii="Tahoma" w:hAnsi="Tahoma" w:cs="Tahoma"/>
                <w:sz w:val="18"/>
                <w:szCs w:val="18"/>
              </w:rPr>
            </w:pP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Biosimilar cost INF</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£377.66</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£377.66</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£377.66</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Not varied</w:t>
            </w:r>
          </w:p>
        </w:tc>
        <w:tc>
          <w:tcPr>
            <w:tcW w:w="1300" w:type="dxa"/>
            <w:vAlign w:val="bottom"/>
          </w:tcPr>
          <w:p w:rsidR="005C1F5D" w:rsidRPr="00DD6503" w:rsidRDefault="005C1F5D" w:rsidP="005C1F5D">
            <w:pPr>
              <w:rPr>
                <w:rFonts w:ascii="Tahoma" w:hAnsi="Tahoma" w:cs="Tahoma"/>
                <w:color w:val="000000"/>
                <w:sz w:val="18"/>
                <w:szCs w:val="18"/>
              </w:rPr>
            </w:pPr>
          </w:p>
        </w:tc>
        <w:tc>
          <w:tcPr>
            <w:tcW w:w="1300" w:type="dxa"/>
            <w:vAlign w:val="bottom"/>
          </w:tcPr>
          <w:p w:rsidR="005C1F5D" w:rsidRPr="00DD6503" w:rsidRDefault="005C1F5D" w:rsidP="005C1F5D">
            <w:pPr>
              <w:rPr>
                <w:rFonts w:ascii="Tahoma" w:hAnsi="Tahoma" w:cs="Tahoma"/>
                <w:sz w:val="18"/>
                <w:szCs w:val="18"/>
              </w:rPr>
            </w:pPr>
          </w:p>
        </w:tc>
        <w:tc>
          <w:tcPr>
            <w:tcW w:w="1298" w:type="dxa"/>
            <w:vAlign w:val="bottom"/>
          </w:tcPr>
          <w:p w:rsidR="005C1F5D" w:rsidRPr="00DD6503" w:rsidRDefault="005C1F5D" w:rsidP="005C1F5D">
            <w:pPr>
              <w:rPr>
                <w:rFonts w:ascii="Tahoma" w:hAnsi="Tahoma" w:cs="Tahoma"/>
                <w:sz w:val="18"/>
                <w:szCs w:val="18"/>
              </w:rPr>
            </w:pP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Cost equation intercept</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£259.18</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£167.73</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£370.21</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51.8360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25.0000</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10.3672</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lastRenderedPageBreak/>
              <w:t>Cost per change in HAQ</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£114.57</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£18.75</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£295.32</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72.9000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2.4701</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46.3845</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Cost for uncontrolled psoriasis</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£220.25</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£201.46</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£239.86</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9.8000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505.0898</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0.4361</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Cost for controlled psoriasis</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£17.80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£15.71</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£20.02</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1.1000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261.7851</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0.0680</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Tuberculosis cost</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£2,813.20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£1,820.56</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£4,018.39</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562.6405</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25.0000</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112.5281</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Infection cost</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£1,259.80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£815.28</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£1,799.50</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251.9600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25.0000</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50.3920</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IV administration cost</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£328.10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£212.33</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£468.66</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65.6200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25.0000</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13.1240</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Subcut administration cost</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£35.00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£22.65</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£49.99</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7.0000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25.0000</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1.4000</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Outpatient rheumatology cost</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£137.04</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£88.69</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£195.75</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27.4080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25.0000</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5.4816</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Full blood count cost</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£3.03</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£1.96</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£4.33</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0.6059</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25.0000</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0.1212</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ESR cost</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£3.00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£1.94</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£4.28</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0.5993</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25.0000</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0.1199</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Liver function test cost</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£0.76</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£0.49</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£1.09</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0.1526</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25.0000</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0.0305</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Urea and electrolytes cost</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£1.40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£0.91</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£2.01</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0.2809</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25.0000</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0.0562</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Chest radiograph cost</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£26.58</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£17.20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£37.97</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5.3164</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25.0000</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1.0633</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TB heaf test cost</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£8.86</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£5.73</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£12.65</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1.7714</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25.0000</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0.3543</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Antinuclear antibodies cost</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£4.72</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£3.06</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£6.74</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0.9443</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25.0000</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0.1889</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DNA test cost</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£4.72</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£3.06</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£6.74</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Gamma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0.9443</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25.0000</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0.1889</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Infection probability - SEC 150</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0.004</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0.002</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0.005</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Beta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0.0007</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24.9086</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7061.4669</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Infection probability - CER P</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0.008</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0.005</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0.011</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Beta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0.0016</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24.7945</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3112.5612</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Infection probability - ETN</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0.004</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0.003</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0.006</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Beta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0.0009</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24.8861</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5656.8764</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Infection probability - ADA</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0.007</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0.005</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0.010</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Beta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0.0014</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24.8186</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3532.8970</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Infection probability - INF</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0.005</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0.003</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0.007</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Beta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0.0010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24.8743</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5118.6874</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Infection probability - GOL</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0.003</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0.002</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0.005</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Beta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0.0007</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24.9105</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7212.3086</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Infection probability - SoC</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0.000</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Beta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0.0000</w:t>
            </w:r>
          </w:p>
        </w:tc>
        <w:tc>
          <w:tcPr>
            <w:tcW w:w="1300" w:type="dxa"/>
            <w:vAlign w:val="bottom"/>
          </w:tcPr>
          <w:p w:rsidR="005C1F5D" w:rsidRPr="00DD6503" w:rsidRDefault="005C1F5D" w:rsidP="005C1F5D">
            <w:pPr>
              <w:jc w:val="right"/>
              <w:rPr>
                <w:rFonts w:ascii="Tahoma" w:hAnsi="Tahoma" w:cs="Tahoma"/>
                <w:color w:val="000000"/>
                <w:sz w:val="18"/>
                <w:szCs w:val="18"/>
              </w:rPr>
            </w:pPr>
          </w:p>
        </w:tc>
        <w:tc>
          <w:tcPr>
            <w:tcW w:w="1298" w:type="dxa"/>
            <w:vAlign w:val="bottom"/>
          </w:tcPr>
          <w:p w:rsidR="005C1F5D" w:rsidRPr="00DD6503" w:rsidRDefault="005C1F5D" w:rsidP="005C1F5D">
            <w:pPr>
              <w:rPr>
                <w:rFonts w:ascii="Tahoma" w:hAnsi="Tahoma" w:cs="Tahoma"/>
                <w:sz w:val="18"/>
                <w:szCs w:val="18"/>
              </w:rPr>
            </w:pP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 of infection that is  tuberculosis</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0.054</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0.035</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0.077</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Beta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0.0108</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23.5946</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412.9054</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PsA mortality relative risk - males</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1.650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1.112</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2.448</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Log-normal</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0.2014</w:t>
            </w:r>
          </w:p>
        </w:tc>
        <w:tc>
          <w:tcPr>
            <w:tcW w:w="1300" w:type="dxa"/>
            <w:vAlign w:val="bottom"/>
          </w:tcPr>
          <w:p w:rsidR="005C1F5D" w:rsidRPr="00DD6503" w:rsidRDefault="005C1F5D" w:rsidP="005C1F5D">
            <w:pPr>
              <w:jc w:val="right"/>
              <w:rPr>
                <w:rFonts w:ascii="Tahoma" w:hAnsi="Tahoma" w:cs="Tahoma"/>
                <w:color w:val="000000"/>
                <w:sz w:val="18"/>
                <w:szCs w:val="18"/>
              </w:rPr>
            </w:pPr>
          </w:p>
        </w:tc>
        <w:tc>
          <w:tcPr>
            <w:tcW w:w="1298" w:type="dxa"/>
            <w:vAlign w:val="bottom"/>
          </w:tcPr>
          <w:p w:rsidR="005C1F5D" w:rsidRPr="00DD6503" w:rsidRDefault="005C1F5D" w:rsidP="005C1F5D">
            <w:pPr>
              <w:rPr>
                <w:rFonts w:ascii="Tahoma" w:hAnsi="Tahoma" w:cs="Tahoma"/>
                <w:sz w:val="18"/>
                <w:szCs w:val="18"/>
              </w:rPr>
            </w:pP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PsA mortality relative risk - females</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1.590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1.062</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2.380</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Log-normal</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0.2058</w:t>
            </w:r>
          </w:p>
        </w:tc>
        <w:tc>
          <w:tcPr>
            <w:tcW w:w="1300" w:type="dxa"/>
            <w:vAlign w:val="bottom"/>
          </w:tcPr>
          <w:p w:rsidR="005C1F5D" w:rsidRPr="00DD6503" w:rsidRDefault="005C1F5D" w:rsidP="005C1F5D">
            <w:pPr>
              <w:jc w:val="right"/>
              <w:rPr>
                <w:rFonts w:ascii="Tahoma" w:hAnsi="Tahoma" w:cs="Tahoma"/>
                <w:color w:val="000000"/>
                <w:sz w:val="18"/>
                <w:szCs w:val="18"/>
              </w:rPr>
            </w:pPr>
          </w:p>
        </w:tc>
        <w:tc>
          <w:tcPr>
            <w:tcW w:w="1298" w:type="dxa"/>
            <w:vAlign w:val="bottom"/>
          </w:tcPr>
          <w:p w:rsidR="005C1F5D" w:rsidRPr="00DD6503" w:rsidRDefault="005C1F5D" w:rsidP="005C1F5D">
            <w:pPr>
              <w:rPr>
                <w:rFonts w:ascii="Tahoma" w:hAnsi="Tahoma" w:cs="Tahoma"/>
                <w:sz w:val="18"/>
                <w:szCs w:val="18"/>
              </w:rPr>
            </w:pP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 TNF non-responder</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0.350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0.220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0.493</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Beta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0.0700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15.8974</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29.5108</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Baseline utility score</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0.479</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0.294</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0.667</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Not varied</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0.0958</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12.5460</w:t>
            </w:r>
          </w:p>
        </w:tc>
        <w:tc>
          <w:tcPr>
            <w:tcW w:w="1298"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13.6461</w:t>
            </w: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Utility intercept - York model</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0.897</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0.885</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0.909</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Normal</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0.0060</w:t>
            </w:r>
          </w:p>
        </w:tc>
        <w:tc>
          <w:tcPr>
            <w:tcW w:w="1300" w:type="dxa"/>
            <w:vAlign w:val="bottom"/>
          </w:tcPr>
          <w:p w:rsidR="005C1F5D" w:rsidRPr="00DD6503" w:rsidRDefault="005C1F5D" w:rsidP="005C1F5D">
            <w:pPr>
              <w:jc w:val="right"/>
              <w:rPr>
                <w:rFonts w:ascii="Tahoma" w:hAnsi="Tahoma" w:cs="Tahoma"/>
                <w:color w:val="000000"/>
                <w:sz w:val="18"/>
                <w:szCs w:val="18"/>
              </w:rPr>
            </w:pPr>
          </w:p>
        </w:tc>
        <w:tc>
          <w:tcPr>
            <w:tcW w:w="1298" w:type="dxa"/>
            <w:vAlign w:val="bottom"/>
          </w:tcPr>
          <w:p w:rsidR="005C1F5D" w:rsidRPr="00DD6503" w:rsidRDefault="005C1F5D" w:rsidP="005C1F5D">
            <w:pPr>
              <w:rPr>
                <w:rFonts w:ascii="Tahoma" w:hAnsi="Tahoma" w:cs="Tahoma"/>
                <w:sz w:val="18"/>
                <w:szCs w:val="18"/>
              </w:rPr>
            </w:pP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Utility HAQ coefficient - York model</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-0.298</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0.286</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0.310</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Normal</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0.0060</w:t>
            </w:r>
          </w:p>
        </w:tc>
        <w:tc>
          <w:tcPr>
            <w:tcW w:w="1300" w:type="dxa"/>
            <w:vAlign w:val="bottom"/>
          </w:tcPr>
          <w:p w:rsidR="005C1F5D" w:rsidRPr="00DD6503" w:rsidRDefault="005C1F5D" w:rsidP="005C1F5D">
            <w:pPr>
              <w:jc w:val="right"/>
              <w:rPr>
                <w:rFonts w:ascii="Tahoma" w:hAnsi="Tahoma" w:cs="Tahoma"/>
                <w:color w:val="000000"/>
                <w:sz w:val="18"/>
                <w:szCs w:val="18"/>
              </w:rPr>
            </w:pPr>
          </w:p>
        </w:tc>
        <w:tc>
          <w:tcPr>
            <w:tcW w:w="1298" w:type="dxa"/>
            <w:vAlign w:val="bottom"/>
          </w:tcPr>
          <w:p w:rsidR="005C1F5D" w:rsidRPr="00DD6503" w:rsidRDefault="005C1F5D" w:rsidP="005C1F5D">
            <w:pPr>
              <w:rPr>
                <w:rFonts w:ascii="Tahoma" w:hAnsi="Tahoma" w:cs="Tahoma"/>
                <w:sz w:val="18"/>
                <w:szCs w:val="18"/>
              </w:rPr>
            </w:pP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Utility PASI coefficient - York model</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-0.004</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0.003</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0.003</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Normal</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0.0003</w:t>
            </w:r>
          </w:p>
        </w:tc>
        <w:tc>
          <w:tcPr>
            <w:tcW w:w="1300" w:type="dxa"/>
            <w:vAlign w:val="bottom"/>
          </w:tcPr>
          <w:p w:rsidR="005C1F5D" w:rsidRPr="00DD6503" w:rsidRDefault="005C1F5D" w:rsidP="005C1F5D">
            <w:pPr>
              <w:jc w:val="right"/>
              <w:rPr>
                <w:rFonts w:ascii="Tahoma" w:hAnsi="Tahoma" w:cs="Tahoma"/>
                <w:color w:val="000000"/>
                <w:sz w:val="18"/>
                <w:szCs w:val="18"/>
              </w:rPr>
            </w:pPr>
          </w:p>
        </w:tc>
        <w:tc>
          <w:tcPr>
            <w:tcW w:w="1298" w:type="dxa"/>
            <w:vAlign w:val="bottom"/>
          </w:tcPr>
          <w:p w:rsidR="005C1F5D" w:rsidRPr="00DD6503" w:rsidRDefault="005C1F5D" w:rsidP="005C1F5D">
            <w:pPr>
              <w:rPr>
                <w:rFonts w:ascii="Tahoma" w:hAnsi="Tahoma" w:cs="Tahoma"/>
                <w:sz w:val="18"/>
                <w:szCs w:val="18"/>
              </w:rPr>
            </w:pPr>
          </w:p>
        </w:tc>
      </w:tr>
      <w:tr w:rsidR="005C1F5D" w:rsidRPr="00DD6503" w:rsidTr="003A541D">
        <w:tc>
          <w:tcPr>
            <w:tcW w:w="2948"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Infection disutility</w:t>
            </w:r>
          </w:p>
        </w:tc>
        <w:tc>
          <w:tcPr>
            <w:tcW w:w="1417"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0.000</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0.000</w:t>
            </w:r>
          </w:p>
        </w:tc>
        <w:tc>
          <w:tcPr>
            <w:tcW w:w="1417" w:type="dxa"/>
            <w:vAlign w:val="bottom"/>
          </w:tcPr>
          <w:p w:rsidR="005C1F5D" w:rsidRPr="00DD6503" w:rsidRDefault="005C1F5D" w:rsidP="005C1F5D">
            <w:pPr>
              <w:rPr>
                <w:rFonts w:ascii="Tahoma" w:hAnsi="Tahoma" w:cs="Tahoma"/>
                <w:color w:val="000000"/>
                <w:sz w:val="18"/>
                <w:szCs w:val="18"/>
              </w:rPr>
            </w:pPr>
            <w:r w:rsidRPr="00DD6503">
              <w:rPr>
                <w:rFonts w:ascii="Tahoma" w:hAnsi="Tahoma" w:cs="Tahoma"/>
                <w:color w:val="000000"/>
                <w:sz w:val="18"/>
                <w:szCs w:val="18"/>
              </w:rPr>
              <w:t>Beta</w:t>
            </w:r>
          </w:p>
        </w:tc>
        <w:tc>
          <w:tcPr>
            <w:tcW w:w="1300" w:type="dxa"/>
            <w:vAlign w:val="bottom"/>
          </w:tcPr>
          <w:p w:rsidR="005C1F5D" w:rsidRPr="00DD6503" w:rsidRDefault="005C1F5D" w:rsidP="005C1F5D">
            <w:pPr>
              <w:jc w:val="right"/>
              <w:rPr>
                <w:rFonts w:ascii="Tahoma" w:hAnsi="Tahoma" w:cs="Tahoma"/>
                <w:color w:val="000000"/>
                <w:sz w:val="18"/>
                <w:szCs w:val="18"/>
              </w:rPr>
            </w:pPr>
            <w:r w:rsidRPr="00DD6503">
              <w:rPr>
                <w:rFonts w:ascii="Tahoma" w:hAnsi="Tahoma" w:cs="Tahoma"/>
                <w:color w:val="000000"/>
                <w:sz w:val="18"/>
                <w:szCs w:val="18"/>
              </w:rPr>
              <w:t>0.0000</w:t>
            </w:r>
          </w:p>
        </w:tc>
        <w:tc>
          <w:tcPr>
            <w:tcW w:w="1300" w:type="dxa"/>
            <w:vAlign w:val="bottom"/>
          </w:tcPr>
          <w:p w:rsidR="005C1F5D" w:rsidRPr="00DD6503" w:rsidRDefault="005C1F5D" w:rsidP="005C1F5D">
            <w:pPr>
              <w:jc w:val="right"/>
              <w:rPr>
                <w:rFonts w:ascii="Tahoma" w:hAnsi="Tahoma" w:cs="Tahoma"/>
                <w:color w:val="000000"/>
                <w:sz w:val="18"/>
                <w:szCs w:val="18"/>
              </w:rPr>
            </w:pPr>
          </w:p>
        </w:tc>
        <w:tc>
          <w:tcPr>
            <w:tcW w:w="1298" w:type="dxa"/>
            <w:vAlign w:val="bottom"/>
          </w:tcPr>
          <w:p w:rsidR="005C1F5D" w:rsidRPr="00DD6503" w:rsidRDefault="005C1F5D" w:rsidP="005C1F5D">
            <w:pPr>
              <w:rPr>
                <w:rFonts w:ascii="Tahoma" w:hAnsi="Tahoma" w:cs="Tahoma"/>
                <w:sz w:val="18"/>
                <w:szCs w:val="18"/>
              </w:rPr>
            </w:pPr>
          </w:p>
        </w:tc>
      </w:tr>
    </w:tbl>
    <w:p w:rsidR="008C7D2A" w:rsidRDefault="008C7D2A" w:rsidP="008C7D2A"/>
    <w:p w:rsidR="008C7D2A" w:rsidRDefault="00F91AB7" w:rsidP="008C7D2A">
      <w:pPr>
        <w:pStyle w:val="Caption"/>
      </w:pPr>
      <w:r>
        <w:lastRenderedPageBreak/>
        <w:t>Table 8</w:t>
      </w:r>
      <w:r w:rsidR="008C7D2A">
        <w:t xml:space="preserve"> continued</w:t>
      </w:r>
    </w:p>
    <w:tbl>
      <w:tblPr>
        <w:tblStyle w:val="TableGrid"/>
        <w:tblW w:w="6848" w:type="dxa"/>
        <w:tblLook w:val="04A0" w:firstRow="1" w:lastRow="0" w:firstColumn="1" w:lastColumn="0" w:noHBand="0" w:noVBand="1"/>
      </w:tblPr>
      <w:tblGrid>
        <w:gridCol w:w="2835"/>
        <w:gridCol w:w="1417"/>
        <w:gridCol w:w="1298"/>
        <w:gridCol w:w="1298"/>
      </w:tblGrid>
      <w:tr w:rsidR="008C7D2A" w:rsidRPr="00DD6503" w:rsidTr="003A541D">
        <w:tc>
          <w:tcPr>
            <w:tcW w:w="2835" w:type="dxa"/>
            <w:shd w:val="clear" w:color="auto" w:fill="BFBFBF" w:themeFill="background1" w:themeFillShade="BF"/>
          </w:tcPr>
          <w:p w:rsidR="008C7D2A" w:rsidRPr="00DD6503" w:rsidRDefault="008C7D2A" w:rsidP="003A541D">
            <w:pPr>
              <w:pStyle w:val="Manuscriptbody"/>
              <w:rPr>
                <w:rFonts w:cs="Tahoma"/>
                <w:sz w:val="18"/>
                <w:szCs w:val="18"/>
                <w:lang w:val="en-US" w:eastAsia="en-US"/>
              </w:rPr>
            </w:pPr>
          </w:p>
        </w:tc>
        <w:tc>
          <w:tcPr>
            <w:tcW w:w="1417" w:type="dxa"/>
            <w:shd w:val="clear" w:color="auto" w:fill="BFBFBF" w:themeFill="background1" w:themeFillShade="BF"/>
            <w:vAlign w:val="bottom"/>
          </w:tcPr>
          <w:p w:rsidR="008C7D2A" w:rsidRPr="00DD6503" w:rsidRDefault="008C7D2A" w:rsidP="003A541D">
            <w:pPr>
              <w:rPr>
                <w:rFonts w:ascii="Tahoma" w:hAnsi="Tahoma" w:cs="Tahoma"/>
                <w:b/>
                <w:bCs/>
                <w:color w:val="000000"/>
                <w:sz w:val="18"/>
                <w:szCs w:val="18"/>
              </w:rPr>
            </w:pPr>
          </w:p>
        </w:tc>
        <w:tc>
          <w:tcPr>
            <w:tcW w:w="2596" w:type="dxa"/>
            <w:gridSpan w:val="2"/>
            <w:shd w:val="clear" w:color="auto" w:fill="BFBFBF" w:themeFill="background1" w:themeFillShade="BF"/>
            <w:vAlign w:val="bottom"/>
          </w:tcPr>
          <w:p w:rsidR="008C7D2A" w:rsidRPr="00DD6503" w:rsidRDefault="008C7D2A" w:rsidP="003A541D">
            <w:pPr>
              <w:rPr>
                <w:rFonts w:ascii="Tahoma" w:hAnsi="Tahoma" w:cs="Tahoma"/>
                <w:sz w:val="18"/>
                <w:szCs w:val="18"/>
              </w:rPr>
            </w:pPr>
            <w:r w:rsidRPr="00DD6503">
              <w:rPr>
                <w:rFonts w:ascii="Tahoma" w:hAnsi="Tahoma" w:cs="Tahoma"/>
                <w:b/>
                <w:bCs/>
                <w:color w:val="000000"/>
                <w:sz w:val="18"/>
                <w:szCs w:val="18"/>
              </w:rPr>
              <w:t>One-way SA</w:t>
            </w:r>
          </w:p>
        </w:tc>
      </w:tr>
      <w:tr w:rsidR="008C7D2A" w:rsidRPr="00DD6503" w:rsidTr="003A541D">
        <w:tc>
          <w:tcPr>
            <w:tcW w:w="2835" w:type="dxa"/>
            <w:shd w:val="clear" w:color="auto" w:fill="BFBFBF" w:themeFill="background1" w:themeFillShade="BF"/>
            <w:vAlign w:val="bottom"/>
          </w:tcPr>
          <w:p w:rsidR="008C7D2A" w:rsidRPr="00DD6503" w:rsidRDefault="008C7D2A" w:rsidP="003A541D">
            <w:pPr>
              <w:rPr>
                <w:rFonts w:ascii="Tahoma" w:eastAsia="Times New Roman" w:hAnsi="Tahoma" w:cs="Tahoma"/>
                <w:sz w:val="18"/>
                <w:szCs w:val="18"/>
              </w:rPr>
            </w:pPr>
          </w:p>
        </w:tc>
        <w:tc>
          <w:tcPr>
            <w:tcW w:w="1417" w:type="dxa"/>
            <w:shd w:val="clear" w:color="auto" w:fill="BFBFBF" w:themeFill="background1" w:themeFillShade="BF"/>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Model input</w:t>
            </w:r>
          </w:p>
        </w:tc>
        <w:tc>
          <w:tcPr>
            <w:tcW w:w="1298" w:type="dxa"/>
            <w:shd w:val="clear" w:color="auto" w:fill="BFBFBF" w:themeFill="background1" w:themeFillShade="BF"/>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Lower bound</w:t>
            </w:r>
          </w:p>
        </w:tc>
        <w:tc>
          <w:tcPr>
            <w:tcW w:w="1298" w:type="dxa"/>
            <w:shd w:val="clear" w:color="auto" w:fill="BFBFBF" w:themeFill="background1" w:themeFillShade="BF"/>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Upper bound</w:t>
            </w:r>
          </w:p>
        </w:tc>
      </w:tr>
      <w:tr w:rsidR="008C7D2A" w:rsidRPr="00DD6503" w:rsidTr="003A541D">
        <w:tc>
          <w:tcPr>
            <w:tcW w:w="2835" w:type="dxa"/>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FUTURE 2 utility weights</w:t>
            </w:r>
          </w:p>
        </w:tc>
        <w:tc>
          <w:tcPr>
            <w:tcW w:w="1417" w:type="dxa"/>
            <w:vAlign w:val="bottom"/>
          </w:tcPr>
          <w:p w:rsidR="008C7D2A" w:rsidRPr="00DD6503" w:rsidRDefault="008C7D2A" w:rsidP="003A541D">
            <w:pPr>
              <w:rPr>
                <w:rFonts w:ascii="Tahoma" w:hAnsi="Tahoma" w:cs="Tahoma"/>
                <w:b/>
                <w:bCs/>
                <w:color w:val="000000"/>
                <w:sz w:val="18"/>
                <w:szCs w:val="18"/>
              </w:rPr>
            </w:pPr>
          </w:p>
        </w:tc>
        <w:tc>
          <w:tcPr>
            <w:tcW w:w="1298" w:type="dxa"/>
            <w:vAlign w:val="bottom"/>
          </w:tcPr>
          <w:p w:rsidR="008C7D2A" w:rsidRPr="00DD6503" w:rsidRDefault="008C7D2A" w:rsidP="003A541D">
            <w:pPr>
              <w:rPr>
                <w:rFonts w:ascii="Tahoma" w:hAnsi="Tahoma" w:cs="Tahoma"/>
                <w:sz w:val="18"/>
                <w:szCs w:val="18"/>
              </w:rPr>
            </w:pPr>
          </w:p>
        </w:tc>
        <w:tc>
          <w:tcPr>
            <w:tcW w:w="1298" w:type="dxa"/>
            <w:vAlign w:val="bottom"/>
          </w:tcPr>
          <w:p w:rsidR="008C7D2A" w:rsidRPr="00DD6503" w:rsidRDefault="008C7D2A" w:rsidP="003A541D">
            <w:pPr>
              <w:rPr>
                <w:rFonts w:ascii="Tahoma" w:hAnsi="Tahoma" w:cs="Tahoma"/>
                <w:sz w:val="18"/>
                <w:szCs w:val="18"/>
              </w:rPr>
            </w:pPr>
          </w:p>
        </w:tc>
      </w:tr>
      <w:tr w:rsidR="008C7D2A" w:rsidRPr="00DD6503" w:rsidTr="003A541D">
        <w:tc>
          <w:tcPr>
            <w:tcW w:w="2835"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Intercept</w:t>
            </w:r>
          </w:p>
        </w:tc>
        <w:tc>
          <w:tcPr>
            <w:tcW w:w="1417"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0.839</w:t>
            </w:r>
          </w:p>
        </w:tc>
        <w:tc>
          <w:tcPr>
            <w:tcW w:w="1298"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0.747</w:t>
            </w:r>
          </w:p>
        </w:tc>
        <w:tc>
          <w:tcPr>
            <w:tcW w:w="1298"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0.932</w:t>
            </w:r>
          </w:p>
        </w:tc>
      </w:tr>
      <w:tr w:rsidR="008C7D2A" w:rsidRPr="00DD6503" w:rsidTr="003A541D">
        <w:tc>
          <w:tcPr>
            <w:tcW w:w="2835"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HAQ disability index score</w:t>
            </w:r>
          </w:p>
        </w:tc>
        <w:tc>
          <w:tcPr>
            <w:tcW w:w="1417"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-0.172</w:t>
            </w:r>
          </w:p>
        </w:tc>
        <w:tc>
          <w:tcPr>
            <w:tcW w:w="1298"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-0.202</w:t>
            </w:r>
          </w:p>
        </w:tc>
        <w:tc>
          <w:tcPr>
            <w:tcW w:w="1298"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-0.141</w:t>
            </w:r>
          </w:p>
        </w:tc>
      </w:tr>
      <w:tr w:rsidR="008C7D2A" w:rsidRPr="00DD6503" w:rsidTr="003A541D">
        <w:tc>
          <w:tcPr>
            <w:tcW w:w="2835"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PASI total score</w:t>
            </w:r>
          </w:p>
        </w:tc>
        <w:tc>
          <w:tcPr>
            <w:tcW w:w="1417"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-0.002</w:t>
            </w:r>
          </w:p>
        </w:tc>
        <w:tc>
          <w:tcPr>
            <w:tcW w:w="1298"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-0.004</w:t>
            </w:r>
          </w:p>
        </w:tc>
        <w:tc>
          <w:tcPr>
            <w:tcW w:w="1298"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0.000</w:t>
            </w:r>
          </w:p>
        </w:tc>
      </w:tr>
      <w:tr w:rsidR="008C7D2A" w:rsidRPr="00DD6503" w:rsidTr="003A541D">
        <w:tc>
          <w:tcPr>
            <w:tcW w:w="2835"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EQ-5D coefficient</w:t>
            </w:r>
          </w:p>
        </w:tc>
        <w:tc>
          <w:tcPr>
            <w:tcW w:w="1417"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0.210</w:t>
            </w:r>
          </w:p>
        </w:tc>
        <w:tc>
          <w:tcPr>
            <w:tcW w:w="1298"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0.140</w:t>
            </w:r>
          </w:p>
        </w:tc>
        <w:tc>
          <w:tcPr>
            <w:tcW w:w="1298"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0.281</w:t>
            </w:r>
          </w:p>
        </w:tc>
      </w:tr>
      <w:tr w:rsidR="008C7D2A" w:rsidRPr="00DD6503" w:rsidTr="003A541D">
        <w:tc>
          <w:tcPr>
            <w:tcW w:w="2835"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TNFi status - Inadequate responder</w:t>
            </w:r>
          </w:p>
        </w:tc>
        <w:tc>
          <w:tcPr>
            <w:tcW w:w="1417"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-0.008</w:t>
            </w:r>
          </w:p>
        </w:tc>
        <w:tc>
          <w:tcPr>
            <w:tcW w:w="1298"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-0.049</w:t>
            </w:r>
          </w:p>
        </w:tc>
        <w:tc>
          <w:tcPr>
            <w:tcW w:w="1298"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0.033</w:t>
            </w:r>
          </w:p>
        </w:tc>
      </w:tr>
      <w:tr w:rsidR="008C7D2A" w:rsidRPr="00DD6503" w:rsidTr="003A541D">
        <w:tc>
          <w:tcPr>
            <w:tcW w:w="2835" w:type="dxa"/>
            <w:vAlign w:val="bottom"/>
          </w:tcPr>
          <w:p w:rsidR="008C7D2A" w:rsidRPr="00DD6503" w:rsidRDefault="008C7D2A" w:rsidP="003A541D">
            <w:pPr>
              <w:rPr>
                <w:rFonts w:ascii="Tahoma" w:eastAsia="Times New Roman" w:hAnsi="Tahoma" w:cs="Tahoma"/>
                <w:color w:val="000000"/>
                <w:sz w:val="18"/>
                <w:szCs w:val="18"/>
              </w:rPr>
            </w:pPr>
            <w:r w:rsidRPr="00DD6503">
              <w:rPr>
                <w:rFonts w:ascii="Tahoma" w:hAnsi="Tahoma" w:cs="Tahoma"/>
                <w:color w:val="000000"/>
                <w:sz w:val="18"/>
                <w:szCs w:val="18"/>
              </w:rPr>
              <w:t>Gender - Male</w:t>
            </w:r>
          </w:p>
        </w:tc>
        <w:tc>
          <w:tcPr>
            <w:tcW w:w="1417"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-0.019</w:t>
            </w:r>
          </w:p>
        </w:tc>
        <w:tc>
          <w:tcPr>
            <w:tcW w:w="1298"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-0.059</w:t>
            </w:r>
          </w:p>
        </w:tc>
        <w:tc>
          <w:tcPr>
            <w:tcW w:w="1298"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0.021</w:t>
            </w:r>
          </w:p>
        </w:tc>
      </w:tr>
      <w:tr w:rsidR="008C7D2A" w:rsidRPr="00DD6503" w:rsidTr="003A541D">
        <w:tc>
          <w:tcPr>
            <w:tcW w:w="2835"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Age (years)</w:t>
            </w:r>
          </w:p>
        </w:tc>
        <w:tc>
          <w:tcPr>
            <w:tcW w:w="1417"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-0.003</w:t>
            </w:r>
          </w:p>
        </w:tc>
        <w:tc>
          <w:tcPr>
            <w:tcW w:w="1298"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-0.004</w:t>
            </w:r>
          </w:p>
        </w:tc>
        <w:tc>
          <w:tcPr>
            <w:tcW w:w="1298"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-0.001</w:t>
            </w:r>
          </w:p>
        </w:tc>
      </w:tr>
    </w:tbl>
    <w:p w:rsidR="008C7D2A" w:rsidRDefault="008C7D2A" w:rsidP="008C7D2A"/>
    <w:p w:rsidR="008C7D2A" w:rsidRDefault="00F91AB7" w:rsidP="008C7D2A">
      <w:pPr>
        <w:pStyle w:val="Caption"/>
      </w:pPr>
      <w:r>
        <w:t>Table 8</w:t>
      </w:r>
      <w:r w:rsidR="008C7D2A">
        <w:t xml:space="preserve"> continued</w:t>
      </w:r>
    </w:p>
    <w:tbl>
      <w:tblPr>
        <w:tblStyle w:val="TableGrid"/>
        <w:tblW w:w="13744" w:type="dxa"/>
        <w:tblLook w:val="04A0" w:firstRow="1" w:lastRow="0" w:firstColumn="1" w:lastColumn="0" w:noHBand="0" w:noVBand="1"/>
      </w:tblPr>
      <w:tblGrid>
        <w:gridCol w:w="2800"/>
        <w:gridCol w:w="1417"/>
        <w:gridCol w:w="1361"/>
        <w:gridCol w:w="1361"/>
        <w:gridCol w:w="1361"/>
        <w:gridCol w:w="1361"/>
        <w:gridCol w:w="1361"/>
        <w:gridCol w:w="1361"/>
        <w:gridCol w:w="1361"/>
      </w:tblGrid>
      <w:tr w:rsidR="008C7D2A" w:rsidRPr="00DD6503" w:rsidTr="003A541D">
        <w:tc>
          <w:tcPr>
            <w:tcW w:w="2800" w:type="dxa"/>
            <w:shd w:val="clear" w:color="auto" w:fill="BFBFBF" w:themeFill="background1" w:themeFillShade="BF"/>
          </w:tcPr>
          <w:p w:rsidR="008C7D2A" w:rsidRPr="00DD6503" w:rsidRDefault="008C7D2A" w:rsidP="003A541D">
            <w:pPr>
              <w:rPr>
                <w:rFonts w:ascii="Tahoma" w:eastAsia="Times New Roman" w:hAnsi="Tahoma" w:cs="Tahoma"/>
                <w:sz w:val="18"/>
                <w:szCs w:val="18"/>
              </w:rPr>
            </w:pPr>
          </w:p>
        </w:tc>
        <w:tc>
          <w:tcPr>
            <w:tcW w:w="1417" w:type="dxa"/>
            <w:shd w:val="clear" w:color="auto" w:fill="BFBFBF" w:themeFill="background1" w:themeFillShade="BF"/>
            <w:vAlign w:val="bottom"/>
          </w:tcPr>
          <w:p w:rsidR="008C7D2A" w:rsidRPr="00DD6503" w:rsidRDefault="008C7D2A" w:rsidP="003A541D">
            <w:pPr>
              <w:rPr>
                <w:rFonts w:ascii="Tahoma" w:eastAsia="Times New Roman" w:hAnsi="Tahoma" w:cs="Tahoma"/>
                <w:sz w:val="18"/>
                <w:szCs w:val="18"/>
              </w:rPr>
            </w:pPr>
            <w:r w:rsidRPr="00DD6503">
              <w:rPr>
                <w:rFonts w:ascii="Tahoma" w:hAnsi="Tahoma" w:cs="Tahoma"/>
                <w:b/>
                <w:bCs/>
                <w:color w:val="000000"/>
                <w:sz w:val="18"/>
                <w:szCs w:val="18"/>
              </w:rPr>
              <w:t>Probabilistic SA</w:t>
            </w:r>
          </w:p>
        </w:tc>
        <w:tc>
          <w:tcPr>
            <w:tcW w:w="9527" w:type="dxa"/>
            <w:gridSpan w:val="7"/>
            <w:shd w:val="clear" w:color="auto" w:fill="BFBFBF" w:themeFill="background1" w:themeFillShade="BF"/>
            <w:vAlign w:val="bottom"/>
          </w:tcPr>
          <w:p w:rsidR="008C7D2A" w:rsidRPr="00DD6503" w:rsidRDefault="008C7D2A" w:rsidP="003A541D">
            <w:pPr>
              <w:rPr>
                <w:rFonts w:ascii="Tahoma" w:hAnsi="Tahoma" w:cs="Tahoma"/>
                <w:sz w:val="18"/>
                <w:szCs w:val="18"/>
              </w:rPr>
            </w:pPr>
            <w:r w:rsidRPr="00DD6503">
              <w:rPr>
                <w:rFonts w:ascii="Tahoma" w:hAnsi="Tahoma" w:cs="Tahoma"/>
                <w:b/>
                <w:bCs/>
                <w:color w:val="000000"/>
                <w:sz w:val="18"/>
                <w:szCs w:val="18"/>
              </w:rPr>
              <w:t>Covariance matrix</w:t>
            </w:r>
          </w:p>
        </w:tc>
      </w:tr>
      <w:tr w:rsidR="008C7D2A" w:rsidRPr="00DD6503" w:rsidTr="003A541D">
        <w:tc>
          <w:tcPr>
            <w:tcW w:w="2800" w:type="dxa"/>
            <w:shd w:val="clear" w:color="auto" w:fill="BFBFBF" w:themeFill="background1" w:themeFillShade="BF"/>
          </w:tcPr>
          <w:p w:rsidR="008C7D2A" w:rsidRPr="00DD6503" w:rsidRDefault="008C7D2A" w:rsidP="003A541D">
            <w:pPr>
              <w:rPr>
                <w:rFonts w:ascii="Tahoma" w:hAnsi="Tahoma" w:cs="Tahoma"/>
                <w:b/>
                <w:bCs/>
                <w:color w:val="000000"/>
                <w:sz w:val="18"/>
                <w:szCs w:val="18"/>
              </w:rPr>
            </w:pPr>
          </w:p>
        </w:tc>
        <w:tc>
          <w:tcPr>
            <w:tcW w:w="1417" w:type="dxa"/>
            <w:shd w:val="clear" w:color="auto" w:fill="BFBFBF" w:themeFill="background1" w:themeFillShade="BF"/>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Distribution</w:t>
            </w:r>
          </w:p>
        </w:tc>
        <w:tc>
          <w:tcPr>
            <w:tcW w:w="1361" w:type="dxa"/>
            <w:shd w:val="clear" w:color="auto" w:fill="BFBFBF" w:themeFill="background1" w:themeFillShade="BF"/>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Intercept</w:t>
            </w:r>
          </w:p>
        </w:tc>
        <w:tc>
          <w:tcPr>
            <w:tcW w:w="1361" w:type="dxa"/>
            <w:shd w:val="clear" w:color="auto" w:fill="BFBFBF" w:themeFill="background1" w:themeFillShade="BF"/>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HAQ</w:t>
            </w:r>
          </w:p>
        </w:tc>
        <w:tc>
          <w:tcPr>
            <w:tcW w:w="1361" w:type="dxa"/>
            <w:shd w:val="clear" w:color="auto" w:fill="BFBFBF" w:themeFill="background1" w:themeFillShade="BF"/>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PASI</w:t>
            </w:r>
          </w:p>
        </w:tc>
        <w:tc>
          <w:tcPr>
            <w:tcW w:w="1361" w:type="dxa"/>
            <w:shd w:val="clear" w:color="auto" w:fill="BFBFBF" w:themeFill="background1" w:themeFillShade="BF"/>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EQ-5D base</w:t>
            </w:r>
          </w:p>
        </w:tc>
        <w:tc>
          <w:tcPr>
            <w:tcW w:w="1361" w:type="dxa"/>
            <w:shd w:val="clear" w:color="auto" w:fill="BFBFBF" w:themeFill="background1" w:themeFillShade="BF"/>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TNFi status</w:t>
            </w:r>
          </w:p>
        </w:tc>
        <w:tc>
          <w:tcPr>
            <w:tcW w:w="1361" w:type="dxa"/>
            <w:shd w:val="clear" w:color="auto" w:fill="BFBFBF" w:themeFill="background1" w:themeFillShade="BF"/>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Male</w:t>
            </w:r>
          </w:p>
        </w:tc>
        <w:tc>
          <w:tcPr>
            <w:tcW w:w="1361" w:type="dxa"/>
            <w:shd w:val="clear" w:color="auto" w:fill="BFBFBF" w:themeFill="background1" w:themeFillShade="BF"/>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Age</w:t>
            </w:r>
          </w:p>
        </w:tc>
      </w:tr>
      <w:tr w:rsidR="008C7D2A" w:rsidRPr="00DD6503" w:rsidTr="003A541D">
        <w:tc>
          <w:tcPr>
            <w:tcW w:w="2800" w:type="dxa"/>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FUTURE 2 utility weights</w:t>
            </w:r>
          </w:p>
        </w:tc>
        <w:tc>
          <w:tcPr>
            <w:tcW w:w="1417" w:type="dxa"/>
            <w:vAlign w:val="bottom"/>
          </w:tcPr>
          <w:p w:rsidR="008C7D2A" w:rsidRPr="00DD6503" w:rsidRDefault="008C7D2A" w:rsidP="003A541D">
            <w:pPr>
              <w:rPr>
                <w:rFonts w:ascii="Tahoma" w:hAnsi="Tahoma" w:cs="Tahoma"/>
                <w:b/>
                <w:bCs/>
                <w:color w:val="000000"/>
                <w:sz w:val="18"/>
                <w:szCs w:val="18"/>
              </w:rPr>
            </w:pPr>
          </w:p>
        </w:tc>
        <w:tc>
          <w:tcPr>
            <w:tcW w:w="1361" w:type="dxa"/>
            <w:vAlign w:val="bottom"/>
          </w:tcPr>
          <w:p w:rsidR="008C7D2A" w:rsidRPr="00DD6503" w:rsidRDefault="008C7D2A" w:rsidP="003A541D">
            <w:pPr>
              <w:rPr>
                <w:rFonts w:ascii="Tahoma" w:hAnsi="Tahoma" w:cs="Tahoma"/>
                <w:sz w:val="18"/>
                <w:szCs w:val="18"/>
              </w:rPr>
            </w:pPr>
          </w:p>
        </w:tc>
        <w:tc>
          <w:tcPr>
            <w:tcW w:w="1361" w:type="dxa"/>
            <w:vAlign w:val="bottom"/>
          </w:tcPr>
          <w:p w:rsidR="008C7D2A" w:rsidRPr="00DD6503" w:rsidRDefault="008C7D2A" w:rsidP="003A541D">
            <w:pPr>
              <w:rPr>
                <w:rFonts w:ascii="Tahoma" w:hAnsi="Tahoma" w:cs="Tahoma"/>
                <w:sz w:val="18"/>
                <w:szCs w:val="18"/>
              </w:rPr>
            </w:pPr>
          </w:p>
        </w:tc>
        <w:tc>
          <w:tcPr>
            <w:tcW w:w="1361" w:type="dxa"/>
            <w:vAlign w:val="bottom"/>
          </w:tcPr>
          <w:p w:rsidR="008C7D2A" w:rsidRPr="00DD6503" w:rsidRDefault="008C7D2A" w:rsidP="003A541D">
            <w:pPr>
              <w:rPr>
                <w:rFonts w:ascii="Tahoma" w:hAnsi="Tahoma" w:cs="Tahoma"/>
                <w:sz w:val="18"/>
                <w:szCs w:val="18"/>
              </w:rPr>
            </w:pPr>
          </w:p>
        </w:tc>
        <w:tc>
          <w:tcPr>
            <w:tcW w:w="1361" w:type="dxa"/>
            <w:vAlign w:val="bottom"/>
          </w:tcPr>
          <w:p w:rsidR="008C7D2A" w:rsidRPr="00DD6503" w:rsidRDefault="008C7D2A" w:rsidP="003A541D">
            <w:pPr>
              <w:rPr>
                <w:rFonts w:ascii="Tahoma" w:hAnsi="Tahoma" w:cs="Tahoma"/>
                <w:sz w:val="18"/>
                <w:szCs w:val="18"/>
              </w:rPr>
            </w:pPr>
          </w:p>
        </w:tc>
        <w:tc>
          <w:tcPr>
            <w:tcW w:w="1361" w:type="dxa"/>
            <w:vAlign w:val="bottom"/>
          </w:tcPr>
          <w:p w:rsidR="008C7D2A" w:rsidRPr="00DD6503" w:rsidRDefault="008C7D2A" w:rsidP="003A541D">
            <w:pPr>
              <w:rPr>
                <w:rFonts w:ascii="Tahoma" w:hAnsi="Tahoma" w:cs="Tahoma"/>
                <w:sz w:val="18"/>
                <w:szCs w:val="18"/>
              </w:rPr>
            </w:pPr>
          </w:p>
        </w:tc>
        <w:tc>
          <w:tcPr>
            <w:tcW w:w="1361" w:type="dxa"/>
            <w:vAlign w:val="bottom"/>
          </w:tcPr>
          <w:p w:rsidR="008C7D2A" w:rsidRPr="00DD6503" w:rsidRDefault="008C7D2A" w:rsidP="003A541D">
            <w:pPr>
              <w:rPr>
                <w:rFonts w:ascii="Tahoma" w:hAnsi="Tahoma" w:cs="Tahoma"/>
                <w:sz w:val="18"/>
                <w:szCs w:val="18"/>
              </w:rPr>
            </w:pPr>
          </w:p>
        </w:tc>
        <w:tc>
          <w:tcPr>
            <w:tcW w:w="1361" w:type="dxa"/>
            <w:vAlign w:val="bottom"/>
          </w:tcPr>
          <w:p w:rsidR="008C7D2A" w:rsidRPr="00DD6503" w:rsidRDefault="008C7D2A" w:rsidP="003A541D">
            <w:pPr>
              <w:rPr>
                <w:rFonts w:ascii="Tahoma" w:hAnsi="Tahoma" w:cs="Tahoma"/>
                <w:sz w:val="18"/>
                <w:szCs w:val="18"/>
              </w:rPr>
            </w:pPr>
          </w:p>
        </w:tc>
      </w:tr>
      <w:tr w:rsidR="008C7D2A" w:rsidRPr="00DD6503" w:rsidTr="003A541D">
        <w:tc>
          <w:tcPr>
            <w:tcW w:w="2800"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Intercept</w:t>
            </w:r>
          </w:p>
        </w:tc>
        <w:tc>
          <w:tcPr>
            <w:tcW w:w="1417"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Multivariate normal</w:t>
            </w:r>
          </w:p>
        </w:tc>
        <w:tc>
          <w:tcPr>
            <w:tcW w:w="1361"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0.0022</w:t>
            </w:r>
          </w:p>
        </w:tc>
        <w:tc>
          <w:tcPr>
            <w:tcW w:w="1361" w:type="dxa"/>
            <w:vAlign w:val="bottom"/>
          </w:tcPr>
          <w:p w:rsidR="008C7D2A" w:rsidRPr="00DD6503" w:rsidRDefault="008C7D2A" w:rsidP="003A541D">
            <w:pPr>
              <w:jc w:val="right"/>
              <w:rPr>
                <w:rFonts w:ascii="Tahoma" w:hAnsi="Tahoma" w:cs="Tahoma"/>
                <w:color w:val="000000"/>
                <w:sz w:val="18"/>
                <w:szCs w:val="18"/>
              </w:rPr>
            </w:pPr>
          </w:p>
        </w:tc>
        <w:tc>
          <w:tcPr>
            <w:tcW w:w="1361" w:type="dxa"/>
            <w:vAlign w:val="bottom"/>
          </w:tcPr>
          <w:p w:rsidR="008C7D2A" w:rsidRPr="00DD6503" w:rsidRDefault="008C7D2A" w:rsidP="003A541D">
            <w:pPr>
              <w:rPr>
                <w:rFonts w:ascii="Tahoma" w:hAnsi="Tahoma" w:cs="Tahoma"/>
                <w:sz w:val="18"/>
                <w:szCs w:val="18"/>
              </w:rPr>
            </w:pPr>
          </w:p>
        </w:tc>
        <w:tc>
          <w:tcPr>
            <w:tcW w:w="1361" w:type="dxa"/>
            <w:vAlign w:val="bottom"/>
          </w:tcPr>
          <w:p w:rsidR="008C7D2A" w:rsidRPr="00DD6503" w:rsidRDefault="008C7D2A" w:rsidP="003A541D">
            <w:pPr>
              <w:rPr>
                <w:rFonts w:ascii="Tahoma" w:hAnsi="Tahoma" w:cs="Tahoma"/>
                <w:sz w:val="18"/>
                <w:szCs w:val="18"/>
              </w:rPr>
            </w:pPr>
          </w:p>
        </w:tc>
        <w:tc>
          <w:tcPr>
            <w:tcW w:w="1361" w:type="dxa"/>
            <w:vAlign w:val="bottom"/>
          </w:tcPr>
          <w:p w:rsidR="008C7D2A" w:rsidRPr="00DD6503" w:rsidRDefault="008C7D2A" w:rsidP="003A541D">
            <w:pPr>
              <w:rPr>
                <w:rFonts w:ascii="Tahoma" w:hAnsi="Tahoma" w:cs="Tahoma"/>
                <w:sz w:val="18"/>
                <w:szCs w:val="18"/>
              </w:rPr>
            </w:pPr>
          </w:p>
        </w:tc>
        <w:tc>
          <w:tcPr>
            <w:tcW w:w="1361" w:type="dxa"/>
            <w:vAlign w:val="bottom"/>
          </w:tcPr>
          <w:p w:rsidR="008C7D2A" w:rsidRPr="00DD6503" w:rsidRDefault="008C7D2A" w:rsidP="003A541D">
            <w:pPr>
              <w:rPr>
                <w:rFonts w:ascii="Tahoma" w:hAnsi="Tahoma" w:cs="Tahoma"/>
                <w:sz w:val="18"/>
                <w:szCs w:val="18"/>
              </w:rPr>
            </w:pPr>
          </w:p>
        </w:tc>
        <w:tc>
          <w:tcPr>
            <w:tcW w:w="1361" w:type="dxa"/>
            <w:vAlign w:val="bottom"/>
          </w:tcPr>
          <w:p w:rsidR="008C7D2A" w:rsidRPr="00DD6503" w:rsidRDefault="008C7D2A" w:rsidP="003A541D">
            <w:pPr>
              <w:rPr>
                <w:rFonts w:ascii="Tahoma" w:hAnsi="Tahoma" w:cs="Tahoma"/>
                <w:sz w:val="18"/>
                <w:szCs w:val="18"/>
              </w:rPr>
            </w:pPr>
          </w:p>
        </w:tc>
      </w:tr>
      <w:tr w:rsidR="008C7D2A" w:rsidRPr="00DD6503" w:rsidTr="003A541D">
        <w:tc>
          <w:tcPr>
            <w:tcW w:w="2800"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HAQ disability index score</w:t>
            </w:r>
          </w:p>
        </w:tc>
        <w:tc>
          <w:tcPr>
            <w:tcW w:w="1417"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Multivariate normal</w:t>
            </w:r>
          </w:p>
        </w:tc>
        <w:tc>
          <w:tcPr>
            <w:tcW w:w="1361"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-0.0002</w:t>
            </w:r>
          </w:p>
        </w:tc>
        <w:tc>
          <w:tcPr>
            <w:tcW w:w="1361"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0.0002</w:t>
            </w:r>
          </w:p>
        </w:tc>
        <w:tc>
          <w:tcPr>
            <w:tcW w:w="1361" w:type="dxa"/>
            <w:vAlign w:val="bottom"/>
          </w:tcPr>
          <w:p w:rsidR="008C7D2A" w:rsidRPr="00DD6503" w:rsidRDefault="008C7D2A" w:rsidP="003A541D">
            <w:pPr>
              <w:jc w:val="right"/>
              <w:rPr>
                <w:rFonts w:ascii="Tahoma" w:hAnsi="Tahoma" w:cs="Tahoma"/>
                <w:color w:val="000000"/>
                <w:sz w:val="18"/>
                <w:szCs w:val="18"/>
              </w:rPr>
            </w:pPr>
          </w:p>
        </w:tc>
        <w:tc>
          <w:tcPr>
            <w:tcW w:w="1361" w:type="dxa"/>
            <w:vAlign w:val="bottom"/>
          </w:tcPr>
          <w:p w:rsidR="008C7D2A" w:rsidRPr="00DD6503" w:rsidRDefault="008C7D2A" w:rsidP="003A541D">
            <w:pPr>
              <w:rPr>
                <w:rFonts w:ascii="Tahoma" w:hAnsi="Tahoma" w:cs="Tahoma"/>
                <w:sz w:val="18"/>
                <w:szCs w:val="18"/>
              </w:rPr>
            </w:pPr>
          </w:p>
        </w:tc>
        <w:tc>
          <w:tcPr>
            <w:tcW w:w="1361" w:type="dxa"/>
            <w:vAlign w:val="bottom"/>
          </w:tcPr>
          <w:p w:rsidR="008C7D2A" w:rsidRPr="00DD6503" w:rsidRDefault="008C7D2A" w:rsidP="003A541D">
            <w:pPr>
              <w:rPr>
                <w:rFonts w:ascii="Tahoma" w:hAnsi="Tahoma" w:cs="Tahoma"/>
                <w:sz w:val="18"/>
                <w:szCs w:val="18"/>
              </w:rPr>
            </w:pPr>
          </w:p>
        </w:tc>
        <w:tc>
          <w:tcPr>
            <w:tcW w:w="1361" w:type="dxa"/>
            <w:vAlign w:val="bottom"/>
          </w:tcPr>
          <w:p w:rsidR="008C7D2A" w:rsidRPr="00DD6503" w:rsidRDefault="008C7D2A" w:rsidP="003A541D">
            <w:pPr>
              <w:rPr>
                <w:rFonts w:ascii="Tahoma" w:hAnsi="Tahoma" w:cs="Tahoma"/>
                <w:sz w:val="18"/>
                <w:szCs w:val="18"/>
              </w:rPr>
            </w:pPr>
          </w:p>
        </w:tc>
        <w:tc>
          <w:tcPr>
            <w:tcW w:w="1361" w:type="dxa"/>
            <w:vAlign w:val="bottom"/>
          </w:tcPr>
          <w:p w:rsidR="008C7D2A" w:rsidRPr="00DD6503" w:rsidRDefault="008C7D2A" w:rsidP="003A541D">
            <w:pPr>
              <w:rPr>
                <w:rFonts w:ascii="Tahoma" w:hAnsi="Tahoma" w:cs="Tahoma"/>
                <w:sz w:val="18"/>
                <w:szCs w:val="18"/>
              </w:rPr>
            </w:pPr>
          </w:p>
        </w:tc>
      </w:tr>
      <w:tr w:rsidR="008C7D2A" w:rsidRPr="00DD6503" w:rsidTr="003A541D">
        <w:tc>
          <w:tcPr>
            <w:tcW w:w="2800"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PASI total score</w:t>
            </w:r>
          </w:p>
        </w:tc>
        <w:tc>
          <w:tcPr>
            <w:tcW w:w="1417"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Multivariate normal</w:t>
            </w:r>
          </w:p>
        </w:tc>
        <w:tc>
          <w:tcPr>
            <w:tcW w:w="1361"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0.0000</w:t>
            </w:r>
          </w:p>
        </w:tc>
        <w:tc>
          <w:tcPr>
            <w:tcW w:w="1361"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0.0000</w:t>
            </w:r>
          </w:p>
        </w:tc>
        <w:tc>
          <w:tcPr>
            <w:tcW w:w="1361"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0.0000</w:t>
            </w:r>
          </w:p>
        </w:tc>
        <w:tc>
          <w:tcPr>
            <w:tcW w:w="1361" w:type="dxa"/>
            <w:vAlign w:val="bottom"/>
          </w:tcPr>
          <w:p w:rsidR="008C7D2A" w:rsidRPr="00DD6503" w:rsidRDefault="008C7D2A" w:rsidP="003A541D">
            <w:pPr>
              <w:jc w:val="right"/>
              <w:rPr>
                <w:rFonts w:ascii="Tahoma" w:hAnsi="Tahoma" w:cs="Tahoma"/>
                <w:color w:val="000000"/>
                <w:sz w:val="18"/>
                <w:szCs w:val="18"/>
              </w:rPr>
            </w:pPr>
          </w:p>
        </w:tc>
        <w:tc>
          <w:tcPr>
            <w:tcW w:w="1361" w:type="dxa"/>
            <w:vAlign w:val="bottom"/>
          </w:tcPr>
          <w:p w:rsidR="008C7D2A" w:rsidRPr="00DD6503" w:rsidRDefault="008C7D2A" w:rsidP="003A541D">
            <w:pPr>
              <w:rPr>
                <w:rFonts w:ascii="Tahoma" w:hAnsi="Tahoma" w:cs="Tahoma"/>
                <w:sz w:val="18"/>
                <w:szCs w:val="18"/>
              </w:rPr>
            </w:pPr>
          </w:p>
        </w:tc>
        <w:tc>
          <w:tcPr>
            <w:tcW w:w="1361" w:type="dxa"/>
            <w:vAlign w:val="bottom"/>
          </w:tcPr>
          <w:p w:rsidR="008C7D2A" w:rsidRPr="00DD6503" w:rsidRDefault="008C7D2A" w:rsidP="003A541D">
            <w:pPr>
              <w:rPr>
                <w:rFonts w:ascii="Tahoma" w:hAnsi="Tahoma" w:cs="Tahoma"/>
                <w:sz w:val="18"/>
                <w:szCs w:val="18"/>
              </w:rPr>
            </w:pPr>
          </w:p>
        </w:tc>
        <w:tc>
          <w:tcPr>
            <w:tcW w:w="1361" w:type="dxa"/>
            <w:vAlign w:val="bottom"/>
          </w:tcPr>
          <w:p w:rsidR="008C7D2A" w:rsidRPr="00DD6503" w:rsidRDefault="008C7D2A" w:rsidP="003A541D">
            <w:pPr>
              <w:rPr>
                <w:rFonts w:ascii="Tahoma" w:hAnsi="Tahoma" w:cs="Tahoma"/>
                <w:sz w:val="18"/>
                <w:szCs w:val="18"/>
              </w:rPr>
            </w:pPr>
          </w:p>
        </w:tc>
      </w:tr>
      <w:tr w:rsidR="008C7D2A" w:rsidRPr="00DD6503" w:rsidTr="003A541D">
        <w:tc>
          <w:tcPr>
            <w:tcW w:w="2800"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EQ-5D coefficient</w:t>
            </w:r>
          </w:p>
        </w:tc>
        <w:tc>
          <w:tcPr>
            <w:tcW w:w="1417"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Multivariate normal</w:t>
            </w:r>
          </w:p>
        </w:tc>
        <w:tc>
          <w:tcPr>
            <w:tcW w:w="1361"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-0.0006</w:t>
            </w:r>
          </w:p>
        </w:tc>
        <w:tc>
          <w:tcPr>
            <w:tcW w:w="1361"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0.0002</w:t>
            </w:r>
          </w:p>
        </w:tc>
        <w:tc>
          <w:tcPr>
            <w:tcW w:w="1361"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0.0000</w:t>
            </w:r>
          </w:p>
        </w:tc>
        <w:tc>
          <w:tcPr>
            <w:tcW w:w="1361"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0.0013</w:t>
            </w:r>
          </w:p>
        </w:tc>
        <w:tc>
          <w:tcPr>
            <w:tcW w:w="1361" w:type="dxa"/>
            <w:vAlign w:val="bottom"/>
          </w:tcPr>
          <w:p w:rsidR="008C7D2A" w:rsidRPr="00DD6503" w:rsidRDefault="008C7D2A" w:rsidP="003A541D">
            <w:pPr>
              <w:jc w:val="right"/>
              <w:rPr>
                <w:rFonts w:ascii="Tahoma" w:hAnsi="Tahoma" w:cs="Tahoma"/>
                <w:color w:val="000000"/>
                <w:sz w:val="18"/>
                <w:szCs w:val="18"/>
              </w:rPr>
            </w:pPr>
          </w:p>
        </w:tc>
        <w:tc>
          <w:tcPr>
            <w:tcW w:w="1361" w:type="dxa"/>
            <w:vAlign w:val="bottom"/>
          </w:tcPr>
          <w:p w:rsidR="008C7D2A" w:rsidRPr="00DD6503" w:rsidRDefault="008C7D2A" w:rsidP="003A541D">
            <w:pPr>
              <w:rPr>
                <w:rFonts w:ascii="Tahoma" w:hAnsi="Tahoma" w:cs="Tahoma"/>
                <w:sz w:val="18"/>
                <w:szCs w:val="18"/>
              </w:rPr>
            </w:pPr>
          </w:p>
        </w:tc>
        <w:tc>
          <w:tcPr>
            <w:tcW w:w="1361" w:type="dxa"/>
            <w:vAlign w:val="bottom"/>
          </w:tcPr>
          <w:p w:rsidR="008C7D2A" w:rsidRPr="00DD6503" w:rsidRDefault="008C7D2A" w:rsidP="003A541D">
            <w:pPr>
              <w:rPr>
                <w:rFonts w:ascii="Tahoma" w:hAnsi="Tahoma" w:cs="Tahoma"/>
                <w:sz w:val="18"/>
                <w:szCs w:val="18"/>
              </w:rPr>
            </w:pPr>
          </w:p>
        </w:tc>
      </w:tr>
      <w:tr w:rsidR="008C7D2A" w:rsidRPr="00DD6503" w:rsidTr="003A541D">
        <w:tc>
          <w:tcPr>
            <w:tcW w:w="2800"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TNFi status - Inadequate responder</w:t>
            </w:r>
          </w:p>
        </w:tc>
        <w:tc>
          <w:tcPr>
            <w:tcW w:w="1417"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Multivariate normal</w:t>
            </w:r>
          </w:p>
        </w:tc>
        <w:tc>
          <w:tcPr>
            <w:tcW w:w="1361"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-0.0002</w:t>
            </w:r>
          </w:p>
        </w:tc>
        <w:tc>
          <w:tcPr>
            <w:tcW w:w="1361"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0.0000</w:t>
            </w:r>
          </w:p>
        </w:tc>
        <w:tc>
          <w:tcPr>
            <w:tcW w:w="1361"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0.0000</w:t>
            </w:r>
          </w:p>
        </w:tc>
        <w:tc>
          <w:tcPr>
            <w:tcW w:w="1361"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0.0001</w:t>
            </w:r>
          </w:p>
        </w:tc>
        <w:tc>
          <w:tcPr>
            <w:tcW w:w="1361"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0.0004</w:t>
            </w:r>
          </w:p>
        </w:tc>
        <w:tc>
          <w:tcPr>
            <w:tcW w:w="1361" w:type="dxa"/>
            <w:vAlign w:val="bottom"/>
          </w:tcPr>
          <w:p w:rsidR="008C7D2A" w:rsidRPr="00DD6503" w:rsidRDefault="008C7D2A" w:rsidP="003A541D">
            <w:pPr>
              <w:jc w:val="right"/>
              <w:rPr>
                <w:rFonts w:ascii="Tahoma" w:hAnsi="Tahoma" w:cs="Tahoma"/>
                <w:color w:val="000000"/>
                <w:sz w:val="18"/>
                <w:szCs w:val="18"/>
              </w:rPr>
            </w:pPr>
          </w:p>
        </w:tc>
        <w:tc>
          <w:tcPr>
            <w:tcW w:w="1361" w:type="dxa"/>
            <w:vAlign w:val="bottom"/>
          </w:tcPr>
          <w:p w:rsidR="008C7D2A" w:rsidRPr="00DD6503" w:rsidRDefault="008C7D2A" w:rsidP="003A541D">
            <w:pPr>
              <w:rPr>
                <w:rFonts w:ascii="Tahoma" w:hAnsi="Tahoma" w:cs="Tahoma"/>
                <w:sz w:val="18"/>
                <w:szCs w:val="18"/>
              </w:rPr>
            </w:pPr>
          </w:p>
        </w:tc>
      </w:tr>
      <w:tr w:rsidR="008C7D2A" w:rsidRPr="00DD6503" w:rsidTr="003A541D">
        <w:tc>
          <w:tcPr>
            <w:tcW w:w="2800" w:type="dxa"/>
            <w:vAlign w:val="bottom"/>
          </w:tcPr>
          <w:p w:rsidR="008C7D2A" w:rsidRPr="00DD6503" w:rsidRDefault="008C7D2A" w:rsidP="003A541D">
            <w:pPr>
              <w:rPr>
                <w:rFonts w:ascii="Tahoma" w:eastAsia="Times New Roman" w:hAnsi="Tahoma" w:cs="Tahoma"/>
                <w:color w:val="000000"/>
                <w:sz w:val="18"/>
                <w:szCs w:val="18"/>
              </w:rPr>
            </w:pPr>
            <w:r w:rsidRPr="00DD6503">
              <w:rPr>
                <w:rFonts w:ascii="Tahoma" w:hAnsi="Tahoma" w:cs="Tahoma"/>
                <w:color w:val="000000"/>
                <w:sz w:val="18"/>
                <w:szCs w:val="18"/>
              </w:rPr>
              <w:t>Gender - Male</w:t>
            </w:r>
          </w:p>
        </w:tc>
        <w:tc>
          <w:tcPr>
            <w:tcW w:w="1417" w:type="dxa"/>
            <w:vAlign w:val="bottom"/>
          </w:tcPr>
          <w:p w:rsidR="008C7D2A" w:rsidRPr="00DD6503" w:rsidRDefault="008C7D2A" w:rsidP="003A541D">
            <w:pPr>
              <w:rPr>
                <w:rFonts w:ascii="Tahoma" w:eastAsia="Times New Roman" w:hAnsi="Tahoma" w:cs="Tahoma"/>
                <w:color w:val="000000"/>
                <w:sz w:val="18"/>
                <w:szCs w:val="18"/>
              </w:rPr>
            </w:pPr>
            <w:r w:rsidRPr="00DD6503">
              <w:rPr>
                <w:rFonts w:ascii="Tahoma" w:hAnsi="Tahoma" w:cs="Tahoma"/>
                <w:color w:val="000000"/>
                <w:sz w:val="18"/>
                <w:szCs w:val="18"/>
              </w:rPr>
              <w:t>Multivariate normal</w:t>
            </w:r>
          </w:p>
        </w:tc>
        <w:tc>
          <w:tcPr>
            <w:tcW w:w="1361"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-0.0003</w:t>
            </w:r>
          </w:p>
        </w:tc>
        <w:tc>
          <w:tcPr>
            <w:tcW w:w="1361"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0.0001</w:t>
            </w:r>
          </w:p>
        </w:tc>
        <w:tc>
          <w:tcPr>
            <w:tcW w:w="1361"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0.0000</w:t>
            </w:r>
          </w:p>
        </w:tc>
        <w:tc>
          <w:tcPr>
            <w:tcW w:w="1361"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-0.0001</w:t>
            </w:r>
          </w:p>
        </w:tc>
        <w:tc>
          <w:tcPr>
            <w:tcW w:w="1361"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-0.0001</w:t>
            </w:r>
          </w:p>
        </w:tc>
        <w:tc>
          <w:tcPr>
            <w:tcW w:w="1361"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0.0004</w:t>
            </w:r>
          </w:p>
        </w:tc>
        <w:tc>
          <w:tcPr>
            <w:tcW w:w="1361" w:type="dxa"/>
            <w:vAlign w:val="bottom"/>
          </w:tcPr>
          <w:p w:rsidR="008C7D2A" w:rsidRPr="00DD6503" w:rsidRDefault="008C7D2A" w:rsidP="003A541D">
            <w:pPr>
              <w:jc w:val="right"/>
              <w:rPr>
                <w:rFonts w:ascii="Tahoma" w:hAnsi="Tahoma" w:cs="Tahoma"/>
                <w:color w:val="000000"/>
                <w:sz w:val="18"/>
                <w:szCs w:val="18"/>
              </w:rPr>
            </w:pPr>
          </w:p>
        </w:tc>
      </w:tr>
      <w:tr w:rsidR="008C7D2A" w:rsidRPr="00DD6503" w:rsidTr="003A541D">
        <w:tc>
          <w:tcPr>
            <w:tcW w:w="2800"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Age (years)</w:t>
            </w:r>
          </w:p>
        </w:tc>
        <w:tc>
          <w:tcPr>
            <w:tcW w:w="1417"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Multivariate normal</w:t>
            </w:r>
          </w:p>
        </w:tc>
        <w:tc>
          <w:tcPr>
            <w:tcW w:w="1361"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0.0000</w:t>
            </w:r>
          </w:p>
        </w:tc>
        <w:tc>
          <w:tcPr>
            <w:tcW w:w="1361"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0.0000</w:t>
            </w:r>
          </w:p>
        </w:tc>
        <w:tc>
          <w:tcPr>
            <w:tcW w:w="1361"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0.0000</w:t>
            </w:r>
          </w:p>
        </w:tc>
        <w:tc>
          <w:tcPr>
            <w:tcW w:w="1361"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0.0000</w:t>
            </w:r>
          </w:p>
        </w:tc>
        <w:tc>
          <w:tcPr>
            <w:tcW w:w="1361"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0.0000</w:t>
            </w:r>
          </w:p>
        </w:tc>
        <w:tc>
          <w:tcPr>
            <w:tcW w:w="1361"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0.0000</w:t>
            </w:r>
          </w:p>
        </w:tc>
        <w:tc>
          <w:tcPr>
            <w:tcW w:w="1361"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0.0000</w:t>
            </w:r>
          </w:p>
        </w:tc>
      </w:tr>
    </w:tbl>
    <w:p w:rsidR="008C7D2A" w:rsidRDefault="008C7D2A" w:rsidP="008C7D2A"/>
    <w:p w:rsidR="008C7D2A" w:rsidRDefault="00F91AB7" w:rsidP="008C7D2A">
      <w:pPr>
        <w:pStyle w:val="Caption"/>
      </w:pPr>
      <w:r>
        <w:lastRenderedPageBreak/>
        <w:t>Table 8</w:t>
      </w:r>
      <w:r w:rsidR="008C7D2A">
        <w:t xml:space="preserve"> continued</w:t>
      </w:r>
    </w:p>
    <w:tbl>
      <w:tblPr>
        <w:tblStyle w:val="TableGrid"/>
        <w:tblW w:w="13186" w:type="dxa"/>
        <w:tblLook w:val="04A0" w:firstRow="1" w:lastRow="0" w:firstColumn="1" w:lastColumn="0" w:noHBand="0" w:noVBand="1"/>
      </w:tblPr>
      <w:tblGrid>
        <w:gridCol w:w="1984"/>
        <w:gridCol w:w="850"/>
        <w:gridCol w:w="850"/>
        <w:gridCol w:w="1587"/>
        <w:gridCol w:w="1304"/>
        <w:gridCol w:w="1304"/>
        <w:gridCol w:w="1304"/>
        <w:gridCol w:w="1304"/>
        <w:gridCol w:w="1304"/>
        <w:gridCol w:w="1395"/>
      </w:tblGrid>
      <w:tr w:rsidR="008C7D2A" w:rsidRPr="00DD6503" w:rsidTr="003A541D">
        <w:trPr>
          <w:cantSplit/>
        </w:trPr>
        <w:tc>
          <w:tcPr>
            <w:tcW w:w="1984" w:type="dxa"/>
            <w:shd w:val="clear" w:color="auto" w:fill="BFBFBF" w:themeFill="background1" w:themeFillShade="BF"/>
          </w:tcPr>
          <w:p w:rsidR="008C7D2A" w:rsidRPr="00DD6503" w:rsidRDefault="008C7D2A" w:rsidP="003A541D">
            <w:pPr>
              <w:pStyle w:val="Manuscriptbody"/>
              <w:rPr>
                <w:rFonts w:cs="Tahoma"/>
                <w:sz w:val="18"/>
                <w:szCs w:val="18"/>
                <w:lang w:val="en-US" w:eastAsia="en-US"/>
              </w:rPr>
            </w:pPr>
          </w:p>
        </w:tc>
        <w:tc>
          <w:tcPr>
            <w:tcW w:w="850" w:type="dxa"/>
            <w:shd w:val="clear" w:color="auto" w:fill="BFBFBF" w:themeFill="background1" w:themeFillShade="BF"/>
          </w:tcPr>
          <w:p w:rsidR="008C7D2A" w:rsidRPr="00DD6503" w:rsidRDefault="008C7D2A" w:rsidP="003A541D">
            <w:pPr>
              <w:pStyle w:val="Manuscriptbody"/>
              <w:rPr>
                <w:rFonts w:cs="Tahoma"/>
                <w:sz w:val="18"/>
                <w:szCs w:val="18"/>
                <w:lang w:val="en-US" w:eastAsia="en-US"/>
              </w:rPr>
            </w:pPr>
          </w:p>
        </w:tc>
        <w:tc>
          <w:tcPr>
            <w:tcW w:w="850" w:type="dxa"/>
            <w:shd w:val="clear" w:color="auto" w:fill="BFBFBF" w:themeFill="background1" w:themeFillShade="BF"/>
          </w:tcPr>
          <w:p w:rsidR="008C7D2A" w:rsidRPr="00DD6503" w:rsidRDefault="008C7D2A" w:rsidP="003A541D">
            <w:pPr>
              <w:pStyle w:val="Manuscriptbody"/>
              <w:rPr>
                <w:rFonts w:cs="Tahoma"/>
                <w:sz w:val="18"/>
                <w:szCs w:val="18"/>
                <w:lang w:val="en-US" w:eastAsia="en-US"/>
              </w:rPr>
            </w:pPr>
          </w:p>
        </w:tc>
        <w:tc>
          <w:tcPr>
            <w:tcW w:w="8107" w:type="dxa"/>
            <w:gridSpan w:val="6"/>
            <w:shd w:val="clear" w:color="auto" w:fill="BFBFBF" w:themeFill="background1" w:themeFillShade="BF"/>
            <w:vAlign w:val="bottom"/>
          </w:tcPr>
          <w:p w:rsidR="008C7D2A" w:rsidRPr="00DD6503" w:rsidRDefault="008C7D2A" w:rsidP="003A541D">
            <w:pPr>
              <w:pStyle w:val="Manuscriptbody"/>
              <w:rPr>
                <w:rFonts w:cs="Tahoma"/>
                <w:sz w:val="18"/>
                <w:szCs w:val="18"/>
                <w:lang w:val="en-US" w:eastAsia="en-US"/>
              </w:rPr>
            </w:pPr>
            <w:r w:rsidRPr="00DD6503">
              <w:rPr>
                <w:rFonts w:cs="Tahoma"/>
                <w:b/>
                <w:bCs/>
                <w:color w:val="000000"/>
                <w:sz w:val="18"/>
                <w:szCs w:val="18"/>
              </w:rPr>
              <w:t>One-way SA</w:t>
            </w:r>
          </w:p>
        </w:tc>
        <w:tc>
          <w:tcPr>
            <w:tcW w:w="1395" w:type="dxa"/>
            <w:shd w:val="clear" w:color="auto" w:fill="BFBFBF" w:themeFill="background1" w:themeFillShade="BF"/>
            <w:vAlign w:val="bottom"/>
          </w:tcPr>
          <w:p w:rsidR="008C7D2A" w:rsidRPr="00DD6503" w:rsidRDefault="008C7D2A" w:rsidP="003A541D">
            <w:pPr>
              <w:rPr>
                <w:rFonts w:ascii="Tahoma" w:eastAsia="Times New Roman" w:hAnsi="Tahoma" w:cs="Tahoma"/>
                <w:sz w:val="18"/>
                <w:szCs w:val="18"/>
              </w:rPr>
            </w:pPr>
            <w:r w:rsidRPr="00DD6503">
              <w:rPr>
                <w:rFonts w:ascii="Tahoma" w:hAnsi="Tahoma" w:cs="Tahoma"/>
                <w:b/>
                <w:bCs/>
                <w:color w:val="000000"/>
                <w:sz w:val="18"/>
                <w:szCs w:val="18"/>
              </w:rPr>
              <w:t>Probabilistic SA</w:t>
            </w:r>
          </w:p>
        </w:tc>
      </w:tr>
      <w:tr w:rsidR="008C7D2A" w:rsidRPr="00DD6503" w:rsidTr="003A541D">
        <w:trPr>
          <w:cantSplit/>
        </w:trPr>
        <w:tc>
          <w:tcPr>
            <w:tcW w:w="1984" w:type="dxa"/>
            <w:shd w:val="clear" w:color="auto" w:fill="BFBFBF" w:themeFill="background1" w:themeFillShade="BF"/>
            <w:vAlign w:val="bottom"/>
          </w:tcPr>
          <w:p w:rsidR="008C7D2A" w:rsidRPr="00DD6503" w:rsidRDefault="008C7D2A" w:rsidP="003A541D">
            <w:pPr>
              <w:rPr>
                <w:rFonts w:ascii="Tahoma" w:eastAsia="Times New Roman" w:hAnsi="Tahoma" w:cs="Tahoma"/>
                <w:sz w:val="18"/>
                <w:szCs w:val="18"/>
              </w:rPr>
            </w:pPr>
          </w:p>
        </w:tc>
        <w:tc>
          <w:tcPr>
            <w:tcW w:w="850" w:type="dxa"/>
            <w:shd w:val="clear" w:color="auto" w:fill="BFBFBF" w:themeFill="background1" w:themeFillShade="BF"/>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Mean</w:t>
            </w:r>
          </w:p>
        </w:tc>
        <w:tc>
          <w:tcPr>
            <w:tcW w:w="850" w:type="dxa"/>
            <w:shd w:val="clear" w:color="auto" w:fill="BFBFBF" w:themeFill="background1" w:themeFillShade="BF"/>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s.e.</w:t>
            </w:r>
          </w:p>
        </w:tc>
        <w:tc>
          <w:tcPr>
            <w:tcW w:w="1587" w:type="dxa"/>
            <w:shd w:val="clear" w:color="auto" w:fill="BFBFBF" w:themeFill="background1" w:themeFillShade="BF"/>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Lower bound</w:t>
            </w:r>
          </w:p>
        </w:tc>
        <w:tc>
          <w:tcPr>
            <w:tcW w:w="1304" w:type="dxa"/>
            <w:shd w:val="clear" w:color="auto" w:fill="BFBFBF" w:themeFill="background1" w:themeFillShade="BF"/>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Upper bound</w:t>
            </w:r>
          </w:p>
        </w:tc>
        <w:tc>
          <w:tcPr>
            <w:tcW w:w="1304" w:type="dxa"/>
            <w:shd w:val="clear" w:color="auto" w:fill="BFBFBF" w:themeFill="background1" w:themeFillShade="BF"/>
            <w:vAlign w:val="bottom"/>
          </w:tcPr>
          <w:p w:rsidR="008C7D2A" w:rsidRPr="00DD6503" w:rsidRDefault="008C7D2A" w:rsidP="003A541D">
            <w:pPr>
              <w:rPr>
                <w:rFonts w:ascii="Tahoma" w:hAnsi="Tahoma" w:cs="Tahoma"/>
                <w:b/>
                <w:bCs/>
                <w:color w:val="000000"/>
                <w:sz w:val="18"/>
                <w:szCs w:val="18"/>
              </w:rPr>
            </w:pPr>
          </w:p>
        </w:tc>
        <w:tc>
          <w:tcPr>
            <w:tcW w:w="1304" w:type="dxa"/>
            <w:shd w:val="clear" w:color="auto" w:fill="BFBFBF" w:themeFill="background1" w:themeFillShade="BF"/>
            <w:vAlign w:val="bottom"/>
          </w:tcPr>
          <w:p w:rsidR="008C7D2A" w:rsidRPr="00DD6503" w:rsidRDefault="008C7D2A" w:rsidP="003A541D">
            <w:pPr>
              <w:rPr>
                <w:rFonts w:ascii="Tahoma" w:hAnsi="Tahoma" w:cs="Tahoma"/>
                <w:sz w:val="18"/>
                <w:szCs w:val="18"/>
              </w:rPr>
            </w:pPr>
          </w:p>
        </w:tc>
        <w:tc>
          <w:tcPr>
            <w:tcW w:w="1304" w:type="dxa"/>
            <w:shd w:val="clear" w:color="auto" w:fill="BFBFBF" w:themeFill="background1" w:themeFillShade="BF"/>
            <w:vAlign w:val="bottom"/>
          </w:tcPr>
          <w:p w:rsidR="008C7D2A" w:rsidRPr="00DD6503" w:rsidRDefault="008C7D2A" w:rsidP="003A541D">
            <w:pPr>
              <w:rPr>
                <w:rFonts w:ascii="Tahoma" w:hAnsi="Tahoma" w:cs="Tahoma"/>
                <w:sz w:val="18"/>
                <w:szCs w:val="18"/>
              </w:rPr>
            </w:pPr>
          </w:p>
        </w:tc>
        <w:tc>
          <w:tcPr>
            <w:tcW w:w="1304" w:type="dxa"/>
            <w:shd w:val="clear" w:color="auto" w:fill="BFBFBF" w:themeFill="background1" w:themeFillShade="BF"/>
            <w:vAlign w:val="bottom"/>
          </w:tcPr>
          <w:p w:rsidR="008C7D2A" w:rsidRPr="00DD6503" w:rsidRDefault="008C7D2A" w:rsidP="003A541D">
            <w:pPr>
              <w:rPr>
                <w:rFonts w:ascii="Tahoma" w:hAnsi="Tahoma" w:cs="Tahoma"/>
                <w:sz w:val="18"/>
                <w:szCs w:val="18"/>
              </w:rPr>
            </w:pPr>
          </w:p>
        </w:tc>
        <w:tc>
          <w:tcPr>
            <w:tcW w:w="1395" w:type="dxa"/>
            <w:shd w:val="clear" w:color="auto" w:fill="BFBFBF" w:themeFill="background1" w:themeFillShade="BF"/>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Distribution</w:t>
            </w:r>
          </w:p>
        </w:tc>
      </w:tr>
      <w:tr w:rsidR="008C7D2A" w:rsidRPr="00DD6503" w:rsidTr="003A541D">
        <w:trPr>
          <w:cantSplit/>
        </w:trPr>
        <w:tc>
          <w:tcPr>
            <w:tcW w:w="1984" w:type="dxa"/>
            <w:vAlign w:val="bottom"/>
          </w:tcPr>
          <w:p w:rsidR="008C7D2A" w:rsidRPr="00DD6503" w:rsidRDefault="008C7D2A" w:rsidP="003A541D">
            <w:pPr>
              <w:rPr>
                <w:rFonts w:ascii="Tahoma" w:hAnsi="Tahoma" w:cs="Tahoma"/>
                <w:b/>
                <w:bCs/>
                <w:color w:val="000000"/>
                <w:sz w:val="18"/>
                <w:szCs w:val="18"/>
              </w:rPr>
            </w:pPr>
            <w:r>
              <w:rPr>
                <w:rFonts w:ascii="Tahoma" w:hAnsi="Tahoma" w:cs="Tahoma"/>
                <w:b/>
                <w:bCs/>
                <w:color w:val="000000"/>
                <w:sz w:val="18"/>
                <w:szCs w:val="18"/>
              </w:rPr>
              <w:t>≥</w:t>
            </w:r>
            <w:r w:rsidRPr="00DD6503">
              <w:rPr>
                <w:rFonts w:ascii="Tahoma" w:hAnsi="Tahoma" w:cs="Tahoma"/>
                <w:b/>
                <w:bCs/>
                <w:color w:val="000000"/>
                <w:sz w:val="18"/>
                <w:szCs w:val="18"/>
              </w:rPr>
              <w:t>2 prior csDMARDs</w:t>
            </w:r>
          </w:p>
        </w:tc>
        <w:tc>
          <w:tcPr>
            <w:tcW w:w="850" w:type="dxa"/>
            <w:vAlign w:val="bottom"/>
          </w:tcPr>
          <w:p w:rsidR="008C7D2A" w:rsidRPr="00DD6503" w:rsidRDefault="008C7D2A" w:rsidP="003A541D">
            <w:pPr>
              <w:rPr>
                <w:rFonts w:ascii="Tahoma" w:hAnsi="Tahoma" w:cs="Tahoma"/>
                <w:b/>
                <w:bCs/>
                <w:color w:val="000000"/>
                <w:sz w:val="18"/>
                <w:szCs w:val="18"/>
              </w:rPr>
            </w:pPr>
          </w:p>
        </w:tc>
        <w:tc>
          <w:tcPr>
            <w:tcW w:w="850" w:type="dxa"/>
            <w:vAlign w:val="bottom"/>
          </w:tcPr>
          <w:p w:rsidR="008C7D2A" w:rsidRPr="00DD6503" w:rsidRDefault="008C7D2A" w:rsidP="003A541D">
            <w:pPr>
              <w:rPr>
                <w:rFonts w:ascii="Tahoma" w:hAnsi="Tahoma" w:cs="Tahoma"/>
                <w:sz w:val="18"/>
                <w:szCs w:val="18"/>
              </w:rPr>
            </w:pPr>
          </w:p>
        </w:tc>
        <w:tc>
          <w:tcPr>
            <w:tcW w:w="1587" w:type="dxa"/>
            <w:vAlign w:val="bottom"/>
          </w:tcPr>
          <w:p w:rsidR="008C7D2A" w:rsidRPr="00DD6503" w:rsidRDefault="008C7D2A" w:rsidP="003A541D">
            <w:pPr>
              <w:rPr>
                <w:rFonts w:ascii="Tahoma" w:hAnsi="Tahoma" w:cs="Tahoma"/>
                <w:sz w:val="18"/>
                <w:szCs w:val="18"/>
              </w:rPr>
            </w:pPr>
          </w:p>
        </w:tc>
        <w:tc>
          <w:tcPr>
            <w:tcW w:w="1304" w:type="dxa"/>
            <w:vAlign w:val="bottom"/>
          </w:tcPr>
          <w:p w:rsidR="008C7D2A" w:rsidRPr="00DD6503" w:rsidRDefault="008C7D2A" w:rsidP="003A541D">
            <w:pPr>
              <w:rPr>
                <w:rFonts w:ascii="Tahoma" w:hAnsi="Tahoma" w:cs="Tahoma"/>
                <w:sz w:val="18"/>
                <w:szCs w:val="18"/>
              </w:rPr>
            </w:pPr>
          </w:p>
        </w:tc>
        <w:tc>
          <w:tcPr>
            <w:tcW w:w="1304" w:type="dxa"/>
            <w:vAlign w:val="bottom"/>
          </w:tcPr>
          <w:p w:rsidR="008C7D2A" w:rsidRPr="00DD6503" w:rsidRDefault="008C7D2A" w:rsidP="003A541D">
            <w:pPr>
              <w:rPr>
                <w:rFonts w:ascii="Tahoma" w:hAnsi="Tahoma" w:cs="Tahoma"/>
                <w:sz w:val="18"/>
                <w:szCs w:val="18"/>
              </w:rPr>
            </w:pPr>
          </w:p>
        </w:tc>
        <w:tc>
          <w:tcPr>
            <w:tcW w:w="1304" w:type="dxa"/>
            <w:vAlign w:val="bottom"/>
          </w:tcPr>
          <w:p w:rsidR="008C7D2A" w:rsidRPr="00DD6503" w:rsidRDefault="008C7D2A" w:rsidP="003A541D">
            <w:pPr>
              <w:rPr>
                <w:rFonts w:ascii="Tahoma" w:hAnsi="Tahoma" w:cs="Tahoma"/>
                <w:sz w:val="18"/>
                <w:szCs w:val="18"/>
              </w:rPr>
            </w:pPr>
          </w:p>
        </w:tc>
        <w:tc>
          <w:tcPr>
            <w:tcW w:w="1304" w:type="dxa"/>
            <w:vAlign w:val="bottom"/>
          </w:tcPr>
          <w:p w:rsidR="008C7D2A" w:rsidRPr="00DD6503" w:rsidRDefault="008C7D2A" w:rsidP="003A541D">
            <w:pPr>
              <w:rPr>
                <w:rFonts w:ascii="Tahoma" w:hAnsi="Tahoma" w:cs="Tahoma"/>
                <w:sz w:val="18"/>
                <w:szCs w:val="18"/>
              </w:rPr>
            </w:pPr>
          </w:p>
        </w:tc>
        <w:tc>
          <w:tcPr>
            <w:tcW w:w="1304" w:type="dxa"/>
            <w:vAlign w:val="bottom"/>
          </w:tcPr>
          <w:p w:rsidR="008C7D2A" w:rsidRPr="00DD6503" w:rsidRDefault="008C7D2A" w:rsidP="003A541D">
            <w:pPr>
              <w:rPr>
                <w:rFonts w:ascii="Tahoma" w:hAnsi="Tahoma" w:cs="Tahoma"/>
                <w:sz w:val="18"/>
                <w:szCs w:val="18"/>
              </w:rPr>
            </w:pPr>
          </w:p>
        </w:tc>
        <w:tc>
          <w:tcPr>
            <w:tcW w:w="1395" w:type="dxa"/>
            <w:vAlign w:val="bottom"/>
          </w:tcPr>
          <w:p w:rsidR="008C7D2A" w:rsidRPr="00DD6503" w:rsidRDefault="008C7D2A" w:rsidP="003A541D">
            <w:pPr>
              <w:rPr>
                <w:rFonts w:ascii="Tahoma" w:hAnsi="Tahoma" w:cs="Tahoma"/>
                <w:sz w:val="18"/>
                <w:szCs w:val="18"/>
              </w:rPr>
            </w:pPr>
          </w:p>
        </w:tc>
      </w:tr>
      <w:tr w:rsidR="008C7D2A" w:rsidRPr="00DD6503" w:rsidTr="003A541D">
        <w:trPr>
          <w:cantSplit/>
        </w:trPr>
        <w:tc>
          <w:tcPr>
            <w:tcW w:w="1984" w:type="dxa"/>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PASI at 3 months</w:t>
            </w:r>
          </w:p>
        </w:tc>
        <w:tc>
          <w:tcPr>
            <w:tcW w:w="850" w:type="dxa"/>
            <w:vAlign w:val="bottom"/>
          </w:tcPr>
          <w:p w:rsidR="008C7D2A" w:rsidRPr="00DD6503" w:rsidRDefault="008C7D2A" w:rsidP="003A541D">
            <w:pPr>
              <w:rPr>
                <w:rFonts w:ascii="Tahoma" w:hAnsi="Tahoma" w:cs="Tahoma"/>
                <w:b/>
                <w:bCs/>
                <w:color w:val="000000"/>
                <w:sz w:val="18"/>
                <w:szCs w:val="18"/>
              </w:rPr>
            </w:pPr>
          </w:p>
        </w:tc>
        <w:tc>
          <w:tcPr>
            <w:tcW w:w="850" w:type="dxa"/>
            <w:vAlign w:val="bottom"/>
          </w:tcPr>
          <w:p w:rsidR="008C7D2A" w:rsidRPr="00DD6503" w:rsidRDefault="008C7D2A" w:rsidP="003A541D">
            <w:pPr>
              <w:rPr>
                <w:rFonts w:ascii="Tahoma" w:hAnsi="Tahoma" w:cs="Tahoma"/>
                <w:sz w:val="18"/>
                <w:szCs w:val="18"/>
              </w:rPr>
            </w:pPr>
          </w:p>
        </w:tc>
        <w:tc>
          <w:tcPr>
            <w:tcW w:w="1587" w:type="dxa"/>
            <w:vAlign w:val="bottom"/>
          </w:tcPr>
          <w:p w:rsidR="008C7D2A" w:rsidRPr="00DD6503" w:rsidRDefault="008C7D2A" w:rsidP="003A541D">
            <w:pPr>
              <w:rPr>
                <w:rFonts w:ascii="Tahoma" w:hAnsi="Tahoma" w:cs="Tahoma"/>
                <w:sz w:val="18"/>
                <w:szCs w:val="18"/>
              </w:rPr>
            </w:pPr>
          </w:p>
        </w:tc>
        <w:tc>
          <w:tcPr>
            <w:tcW w:w="1304" w:type="dxa"/>
            <w:vAlign w:val="bottom"/>
          </w:tcPr>
          <w:p w:rsidR="008C7D2A" w:rsidRPr="00DD6503" w:rsidRDefault="008C7D2A" w:rsidP="003A541D">
            <w:pPr>
              <w:rPr>
                <w:rFonts w:ascii="Tahoma" w:hAnsi="Tahoma" w:cs="Tahoma"/>
                <w:sz w:val="18"/>
                <w:szCs w:val="18"/>
              </w:rPr>
            </w:pPr>
          </w:p>
        </w:tc>
        <w:tc>
          <w:tcPr>
            <w:tcW w:w="1304" w:type="dxa"/>
            <w:vAlign w:val="bottom"/>
          </w:tcPr>
          <w:p w:rsidR="008C7D2A" w:rsidRPr="00DD6503" w:rsidRDefault="008C7D2A" w:rsidP="003A541D">
            <w:pPr>
              <w:rPr>
                <w:rFonts w:ascii="Tahoma" w:hAnsi="Tahoma" w:cs="Tahoma"/>
                <w:sz w:val="18"/>
                <w:szCs w:val="18"/>
              </w:rPr>
            </w:pPr>
          </w:p>
        </w:tc>
        <w:tc>
          <w:tcPr>
            <w:tcW w:w="1304" w:type="dxa"/>
            <w:vAlign w:val="bottom"/>
          </w:tcPr>
          <w:p w:rsidR="008C7D2A" w:rsidRPr="00DD6503" w:rsidRDefault="008C7D2A" w:rsidP="003A541D">
            <w:pPr>
              <w:rPr>
                <w:rFonts w:ascii="Tahoma" w:hAnsi="Tahoma" w:cs="Tahoma"/>
                <w:sz w:val="18"/>
                <w:szCs w:val="18"/>
              </w:rPr>
            </w:pPr>
          </w:p>
        </w:tc>
        <w:tc>
          <w:tcPr>
            <w:tcW w:w="1304" w:type="dxa"/>
            <w:vAlign w:val="bottom"/>
          </w:tcPr>
          <w:p w:rsidR="008C7D2A" w:rsidRPr="00DD6503" w:rsidRDefault="008C7D2A" w:rsidP="003A541D">
            <w:pPr>
              <w:rPr>
                <w:rFonts w:ascii="Tahoma" w:hAnsi="Tahoma" w:cs="Tahoma"/>
                <w:sz w:val="18"/>
                <w:szCs w:val="18"/>
              </w:rPr>
            </w:pPr>
          </w:p>
        </w:tc>
        <w:tc>
          <w:tcPr>
            <w:tcW w:w="1304" w:type="dxa"/>
            <w:vAlign w:val="bottom"/>
          </w:tcPr>
          <w:p w:rsidR="008C7D2A" w:rsidRPr="00DD6503" w:rsidRDefault="008C7D2A" w:rsidP="003A541D">
            <w:pPr>
              <w:rPr>
                <w:rFonts w:ascii="Tahoma" w:hAnsi="Tahoma" w:cs="Tahoma"/>
                <w:sz w:val="18"/>
                <w:szCs w:val="18"/>
              </w:rPr>
            </w:pPr>
          </w:p>
        </w:tc>
        <w:tc>
          <w:tcPr>
            <w:tcW w:w="1395" w:type="dxa"/>
            <w:vAlign w:val="bottom"/>
          </w:tcPr>
          <w:p w:rsidR="008C7D2A" w:rsidRPr="00DD6503" w:rsidRDefault="008C7D2A" w:rsidP="003A541D">
            <w:pPr>
              <w:rPr>
                <w:rFonts w:ascii="Tahoma" w:hAnsi="Tahoma" w:cs="Tahoma"/>
                <w:sz w:val="18"/>
                <w:szCs w:val="18"/>
              </w:rPr>
            </w:pPr>
          </w:p>
        </w:tc>
      </w:tr>
      <w:tr w:rsidR="008C7D2A" w:rsidRPr="00DD6503" w:rsidTr="003A541D">
        <w:trPr>
          <w:cantSplit/>
        </w:trPr>
        <w:tc>
          <w:tcPr>
            <w:tcW w:w="1984"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Cut 1 (PASI &lt;50)</w:t>
            </w:r>
          </w:p>
        </w:tc>
        <w:tc>
          <w:tcPr>
            <w:tcW w:w="85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1.1895</w:t>
            </w:r>
          </w:p>
        </w:tc>
        <w:tc>
          <w:tcPr>
            <w:tcW w:w="85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0.0654</w:t>
            </w:r>
          </w:p>
        </w:tc>
        <w:tc>
          <w:tcPr>
            <w:tcW w:w="1587"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1.3177</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1.0613</w:t>
            </w:r>
          </w:p>
        </w:tc>
        <w:tc>
          <w:tcPr>
            <w:tcW w:w="1304" w:type="dxa"/>
            <w:vAlign w:val="bottom"/>
          </w:tcPr>
          <w:p w:rsidR="008C7D2A" w:rsidRPr="00DD6503" w:rsidRDefault="008C7D2A" w:rsidP="003A541D">
            <w:pPr>
              <w:jc w:val="right"/>
              <w:rPr>
                <w:rFonts w:ascii="Tahoma" w:hAnsi="Tahoma" w:cs="Tahoma"/>
                <w:color w:val="000000"/>
                <w:sz w:val="18"/>
                <w:szCs w:val="18"/>
              </w:rPr>
            </w:pPr>
          </w:p>
        </w:tc>
        <w:tc>
          <w:tcPr>
            <w:tcW w:w="1304" w:type="dxa"/>
            <w:vAlign w:val="bottom"/>
          </w:tcPr>
          <w:p w:rsidR="008C7D2A" w:rsidRPr="00DD6503" w:rsidRDefault="008C7D2A" w:rsidP="003A541D">
            <w:pPr>
              <w:rPr>
                <w:rFonts w:ascii="Tahoma" w:hAnsi="Tahoma" w:cs="Tahoma"/>
                <w:sz w:val="18"/>
                <w:szCs w:val="18"/>
              </w:rPr>
            </w:pPr>
          </w:p>
        </w:tc>
        <w:tc>
          <w:tcPr>
            <w:tcW w:w="1304" w:type="dxa"/>
            <w:vAlign w:val="bottom"/>
          </w:tcPr>
          <w:p w:rsidR="008C7D2A" w:rsidRPr="00DD6503" w:rsidRDefault="008C7D2A" w:rsidP="003A541D">
            <w:pPr>
              <w:rPr>
                <w:rFonts w:ascii="Tahoma" w:hAnsi="Tahoma" w:cs="Tahoma"/>
                <w:sz w:val="18"/>
                <w:szCs w:val="18"/>
              </w:rPr>
            </w:pPr>
          </w:p>
        </w:tc>
        <w:tc>
          <w:tcPr>
            <w:tcW w:w="1304" w:type="dxa"/>
            <w:vAlign w:val="bottom"/>
          </w:tcPr>
          <w:p w:rsidR="008C7D2A" w:rsidRPr="00DD6503" w:rsidRDefault="008C7D2A" w:rsidP="003A541D">
            <w:pPr>
              <w:rPr>
                <w:rFonts w:ascii="Tahoma" w:hAnsi="Tahoma" w:cs="Tahoma"/>
                <w:sz w:val="18"/>
                <w:szCs w:val="18"/>
              </w:rPr>
            </w:pPr>
          </w:p>
        </w:tc>
        <w:tc>
          <w:tcPr>
            <w:tcW w:w="1395"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Normal</w:t>
            </w:r>
          </w:p>
        </w:tc>
      </w:tr>
      <w:tr w:rsidR="008C7D2A" w:rsidRPr="00DD6503" w:rsidTr="003A541D">
        <w:trPr>
          <w:cantSplit/>
        </w:trPr>
        <w:tc>
          <w:tcPr>
            <w:tcW w:w="1984"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Cut 2 (PASI 50-74)</w:t>
            </w:r>
          </w:p>
        </w:tc>
        <w:tc>
          <w:tcPr>
            <w:tcW w:w="85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1.7637</w:t>
            </w:r>
          </w:p>
        </w:tc>
        <w:tc>
          <w:tcPr>
            <w:tcW w:w="85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0.0710</w:t>
            </w:r>
          </w:p>
        </w:tc>
        <w:tc>
          <w:tcPr>
            <w:tcW w:w="1587"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1.9029</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1.6245</w:t>
            </w:r>
          </w:p>
        </w:tc>
        <w:tc>
          <w:tcPr>
            <w:tcW w:w="1304" w:type="dxa"/>
            <w:vAlign w:val="bottom"/>
          </w:tcPr>
          <w:p w:rsidR="008C7D2A" w:rsidRPr="00DD6503" w:rsidRDefault="008C7D2A" w:rsidP="003A541D">
            <w:pPr>
              <w:jc w:val="right"/>
              <w:rPr>
                <w:rFonts w:ascii="Tahoma" w:hAnsi="Tahoma" w:cs="Tahoma"/>
                <w:color w:val="000000"/>
                <w:sz w:val="18"/>
                <w:szCs w:val="18"/>
              </w:rPr>
            </w:pPr>
          </w:p>
        </w:tc>
        <w:tc>
          <w:tcPr>
            <w:tcW w:w="1304" w:type="dxa"/>
            <w:vAlign w:val="bottom"/>
          </w:tcPr>
          <w:p w:rsidR="008C7D2A" w:rsidRPr="00DD6503" w:rsidRDefault="008C7D2A" w:rsidP="003A541D">
            <w:pPr>
              <w:rPr>
                <w:rFonts w:ascii="Tahoma" w:hAnsi="Tahoma" w:cs="Tahoma"/>
                <w:sz w:val="18"/>
                <w:szCs w:val="18"/>
              </w:rPr>
            </w:pPr>
          </w:p>
        </w:tc>
        <w:tc>
          <w:tcPr>
            <w:tcW w:w="1304" w:type="dxa"/>
            <w:vAlign w:val="bottom"/>
          </w:tcPr>
          <w:p w:rsidR="008C7D2A" w:rsidRPr="00DD6503" w:rsidRDefault="008C7D2A" w:rsidP="003A541D">
            <w:pPr>
              <w:rPr>
                <w:rFonts w:ascii="Tahoma" w:hAnsi="Tahoma" w:cs="Tahoma"/>
                <w:sz w:val="18"/>
                <w:szCs w:val="18"/>
              </w:rPr>
            </w:pPr>
          </w:p>
        </w:tc>
        <w:tc>
          <w:tcPr>
            <w:tcW w:w="1304" w:type="dxa"/>
            <w:vAlign w:val="bottom"/>
          </w:tcPr>
          <w:p w:rsidR="008C7D2A" w:rsidRPr="00DD6503" w:rsidRDefault="008C7D2A" w:rsidP="003A541D">
            <w:pPr>
              <w:rPr>
                <w:rFonts w:ascii="Tahoma" w:hAnsi="Tahoma" w:cs="Tahoma"/>
                <w:sz w:val="18"/>
                <w:szCs w:val="18"/>
              </w:rPr>
            </w:pPr>
          </w:p>
        </w:tc>
        <w:tc>
          <w:tcPr>
            <w:tcW w:w="1395"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Normal</w:t>
            </w:r>
          </w:p>
        </w:tc>
      </w:tr>
      <w:tr w:rsidR="008C7D2A" w:rsidRPr="00DD6503" w:rsidTr="003A541D">
        <w:trPr>
          <w:cantSplit/>
        </w:trPr>
        <w:tc>
          <w:tcPr>
            <w:tcW w:w="1984"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Cut 3 (PASI ≥ 75)</w:t>
            </w:r>
          </w:p>
        </w:tc>
        <w:tc>
          <w:tcPr>
            <w:tcW w:w="85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2.4002</w:t>
            </w:r>
          </w:p>
        </w:tc>
        <w:tc>
          <w:tcPr>
            <w:tcW w:w="850"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0.0822</w:t>
            </w:r>
          </w:p>
        </w:tc>
        <w:tc>
          <w:tcPr>
            <w:tcW w:w="1587"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2.5613</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2.2391</w:t>
            </w:r>
          </w:p>
        </w:tc>
        <w:tc>
          <w:tcPr>
            <w:tcW w:w="1304" w:type="dxa"/>
            <w:vAlign w:val="bottom"/>
          </w:tcPr>
          <w:p w:rsidR="008C7D2A" w:rsidRPr="00DD6503" w:rsidRDefault="008C7D2A" w:rsidP="003A541D">
            <w:pPr>
              <w:jc w:val="right"/>
              <w:rPr>
                <w:rFonts w:ascii="Tahoma" w:hAnsi="Tahoma" w:cs="Tahoma"/>
                <w:color w:val="000000"/>
                <w:sz w:val="18"/>
                <w:szCs w:val="18"/>
              </w:rPr>
            </w:pPr>
          </w:p>
        </w:tc>
        <w:tc>
          <w:tcPr>
            <w:tcW w:w="1304" w:type="dxa"/>
            <w:vAlign w:val="bottom"/>
          </w:tcPr>
          <w:p w:rsidR="008C7D2A" w:rsidRPr="00DD6503" w:rsidRDefault="008C7D2A" w:rsidP="003A541D">
            <w:pPr>
              <w:rPr>
                <w:rFonts w:ascii="Tahoma" w:hAnsi="Tahoma" w:cs="Tahoma"/>
                <w:sz w:val="18"/>
                <w:szCs w:val="18"/>
              </w:rPr>
            </w:pPr>
          </w:p>
        </w:tc>
        <w:tc>
          <w:tcPr>
            <w:tcW w:w="1304" w:type="dxa"/>
            <w:vAlign w:val="bottom"/>
          </w:tcPr>
          <w:p w:rsidR="008C7D2A" w:rsidRPr="00DD6503" w:rsidRDefault="008C7D2A" w:rsidP="003A541D">
            <w:pPr>
              <w:rPr>
                <w:rFonts w:ascii="Tahoma" w:hAnsi="Tahoma" w:cs="Tahoma"/>
                <w:sz w:val="18"/>
                <w:szCs w:val="18"/>
              </w:rPr>
            </w:pPr>
          </w:p>
        </w:tc>
        <w:tc>
          <w:tcPr>
            <w:tcW w:w="1304" w:type="dxa"/>
            <w:vAlign w:val="bottom"/>
          </w:tcPr>
          <w:p w:rsidR="008C7D2A" w:rsidRPr="00DD6503" w:rsidRDefault="008C7D2A" w:rsidP="003A541D">
            <w:pPr>
              <w:rPr>
                <w:rFonts w:ascii="Tahoma" w:hAnsi="Tahoma" w:cs="Tahoma"/>
                <w:sz w:val="18"/>
                <w:szCs w:val="18"/>
              </w:rPr>
            </w:pPr>
          </w:p>
        </w:tc>
        <w:tc>
          <w:tcPr>
            <w:tcW w:w="1395" w:type="dxa"/>
            <w:vAlign w:val="bottom"/>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Normal</w:t>
            </w:r>
          </w:p>
        </w:tc>
      </w:tr>
      <w:tr w:rsidR="008C7D2A" w:rsidRPr="00DD6503" w:rsidTr="003A541D">
        <w:trPr>
          <w:cantSplit/>
        </w:trPr>
        <w:tc>
          <w:tcPr>
            <w:tcW w:w="1984" w:type="dxa"/>
            <w:vAlign w:val="bottom"/>
          </w:tcPr>
          <w:p w:rsidR="008C7D2A" w:rsidRPr="00DD6503" w:rsidRDefault="008C7D2A" w:rsidP="003A541D">
            <w:pPr>
              <w:rPr>
                <w:rFonts w:ascii="Tahoma" w:hAnsi="Tahoma" w:cs="Tahoma"/>
                <w:color w:val="000000"/>
                <w:sz w:val="18"/>
                <w:szCs w:val="18"/>
              </w:rPr>
            </w:pPr>
          </w:p>
        </w:tc>
        <w:tc>
          <w:tcPr>
            <w:tcW w:w="850" w:type="dxa"/>
            <w:vAlign w:val="bottom"/>
          </w:tcPr>
          <w:p w:rsidR="008C7D2A" w:rsidRPr="00DD6503" w:rsidRDefault="008C7D2A" w:rsidP="003A541D">
            <w:pPr>
              <w:rPr>
                <w:rFonts w:ascii="Tahoma" w:hAnsi="Tahoma" w:cs="Tahoma"/>
                <w:sz w:val="18"/>
                <w:szCs w:val="18"/>
              </w:rPr>
            </w:pPr>
          </w:p>
        </w:tc>
        <w:tc>
          <w:tcPr>
            <w:tcW w:w="850" w:type="dxa"/>
            <w:vAlign w:val="bottom"/>
          </w:tcPr>
          <w:p w:rsidR="008C7D2A" w:rsidRPr="00DD6503" w:rsidRDefault="008C7D2A" w:rsidP="003A541D">
            <w:pPr>
              <w:rPr>
                <w:rFonts w:ascii="Tahoma" w:hAnsi="Tahoma" w:cs="Tahoma"/>
                <w:sz w:val="18"/>
                <w:szCs w:val="18"/>
              </w:rPr>
            </w:pPr>
          </w:p>
        </w:tc>
        <w:tc>
          <w:tcPr>
            <w:tcW w:w="1587" w:type="dxa"/>
            <w:vAlign w:val="bottom"/>
          </w:tcPr>
          <w:p w:rsidR="008C7D2A" w:rsidRPr="00DD6503" w:rsidRDefault="008C7D2A" w:rsidP="003A541D">
            <w:pPr>
              <w:rPr>
                <w:rFonts w:ascii="Tahoma" w:hAnsi="Tahoma" w:cs="Tahoma"/>
                <w:sz w:val="18"/>
                <w:szCs w:val="18"/>
              </w:rPr>
            </w:pPr>
          </w:p>
        </w:tc>
        <w:tc>
          <w:tcPr>
            <w:tcW w:w="1304" w:type="dxa"/>
            <w:shd w:val="clear" w:color="auto" w:fill="D9D9D9" w:themeFill="background1" w:themeFillShade="D9"/>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PASI&lt;50</w:t>
            </w:r>
          </w:p>
        </w:tc>
        <w:tc>
          <w:tcPr>
            <w:tcW w:w="1304" w:type="dxa"/>
            <w:shd w:val="clear" w:color="auto" w:fill="D9D9D9" w:themeFill="background1" w:themeFillShade="D9"/>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PASI 50-74</w:t>
            </w:r>
          </w:p>
        </w:tc>
        <w:tc>
          <w:tcPr>
            <w:tcW w:w="1304" w:type="dxa"/>
            <w:shd w:val="clear" w:color="auto" w:fill="D9D9D9" w:themeFill="background1" w:themeFillShade="D9"/>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PASI 75-89</w:t>
            </w:r>
          </w:p>
        </w:tc>
        <w:tc>
          <w:tcPr>
            <w:tcW w:w="1304" w:type="dxa"/>
            <w:shd w:val="clear" w:color="auto" w:fill="D9D9D9" w:themeFill="background1" w:themeFillShade="D9"/>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PASI 90-99</w:t>
            </w:r>
          </w:p>
        </w:tc>
        <w:tc>
          <w:tcPr>
            <w:tcW w:w="1304" w:type="dxa"/>
            <w:shd w:val="clear" w:color="auto" w:fill="D9D9D9" w:themeFill="background1" w:themeFillShade="D9"/>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PASI 100</w:t>
            </w:r>
          </w:p>
        </w:tc>
        <w:tc>
          <w:tcPr>
            <w:tcW w:w="1395" w:type="dxa"/>
            <w:vAlign w:val="bottom"/>
          </w:tcPr>
          <w:p w:rsidR="008C7D2A" w:rsidRPr="00DD6503" w:rsidRDefault="008C7D2A" w:rsidP="003A541D">
            <w:pPr>
              <w:rPr>
                <w:rFonts w:ascii="Tahoma" w:hAnsi="Tahoma" w:cs="Tahoma"/>
                <w:b/>
                <w:bCs/>
                <w:color w:val="000000"/>
                <w:sz w:val="18"/>
                <w:szCs w:val="18"/>
              </w:rPr>
            </w:pPr>
          </w:p>
        </w:tc>
      </w:tr>
      <w:tr w:rsidR="008C7D2A" w:rsidRPr="00DD6503" w:rsidTr="003A541D">
        <w:trPr>
          <w:cantSplit/>
        </w:trPr>
        <w:tc>
          <w:tcPr>
            <w:tcW w:w="1984" w:type="dxa"/>
            <w:vMerge w:val="restart"/>
            <w:vAlign w:val="center"/>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SEC 150</w:t>
            </w:r>
          </w:p>
        </w:tc>
        <w:tc>
          <w:tcPr>
            <w:tcW w:w="850" w:type="dxa"/>
            <w:vMerge w:val="restart"/>
            <w:vAlign w:val="center"/>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-2.0832</w:t>
            </w:r>
          </w:p>
        </w:tc>
        <w:tc>
          <w:tcPr>
            <w:tcW w:w="850" w:type="dxa"/>
            <w:vMerge w:val="restart"/>
            <w:vAlign w:val="center"/>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0.1997</w:t>
            </w:r>
          </w:p>
        </w:tc>
        <w:tc>
          <w:tcPr>
            <w:tcW w:w="1587" w:type="dxa"/>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Model input</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18.57%</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18.89%</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24.97%</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37.56%</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w:t>
            </w:r>
          </w:p>
        </w:tc>
        <w:tc>
          <w:tcPr>
            <w:tcW w:w="1395" w:type="dxa"/>
            <w:vMerge w:val="restart"/>
            <w:vAlign w:val="center"/>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Normal</w:t>
            </w:r>
          </w:p>
        </w:tc>
      </w:tr>
      <w:tr w:rsidR="008C7D2A" w:rsidRPr="00DD6503" w:rsidTr="003A541D">
        <w:trPr>
          <w:cantSplit/>
        </w:trPr>
        <w:tc>
          <w:tcPr>
            <w:tcW w:w="1984" w:type="dxa"/>
            <w:vMerge/>
            <w:vAlign w:val="bottom"/>
          </w:tcPr>
          <w:p w:rsidR="008C7D2A" w:rsidRPr="00DD6503" w:rsidRDefault="008C7D2A" w:rsidP="003A541D">
            <w:pPr>
              <w:rPr>
                <w:rFonts w:ascii="Tahoma" w:hAnsi="Tahoma" w:cs="Tahoma"/>
                <w:color w:val="000000"/>
                <w:sz w:val="18"/>
                <w:szCs w:val="18"/>
              </w:rPr>
            </w:pPr>
          </w:p>
        </w:tc>
        <w:tc>
          <w:tcPr>
            <w:tcW w:w="850" w:type="dxa"/>
            <w:vMerge/>
            <w:vAlign w:val="bottom"/>
          </w:tcPr>
          <w:p w:rsidR="008C7D2A" w:rsidRPr="00DD6503" w:rsidRDefault="008C7D2A" w:rsidP="003A541D">
            <w:pPr>
              <w:rPr>
                <w:rFonts w:ascii="Tahoma" w:hAnsi="Tahoma" w:cs="Tahoma"/>
                <w:sz w:val="18"/>
                <w:szCs w:val="18"/>
              </w:rPr>
            </w:pPr>
          </w:p>
        </w:tc>
        <w:tc>
          <w:tcPr>
            <w:tcW w:w="850" w:type="dxa"/>
            <w:vMerge/>
            <w:vAlign w:val="bottom"/>
          </w:tcPr>
          <w:p w:rsidR="008C7D2A" w:rsidRPr="00DD6503" w:rsidRDefault="008C7D2A" w:rsidP="003A541D">
            <w:pPr>
              <w:rPr>
                <w:rFonts w:ascii="Tahoma" w:hAnsi="Tahoma" w:cs="Tahoma"/>
                <w:sz w:val="18"/>
                <w:szCs w:val="18"/>
              </w:rPr>
            </w:pPr>
          </w:p>
        </w:tc>
        <w:tc>
          <w:tcPr>
            <w:tcW w:w="1587" w:type="dxa"/>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Lower bound</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30.77%</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22.09%</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23.20%</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23.93%</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w:t>
            </w:r>
          </w:p>
        </w:tc>
        <w:tc>
          <w:tcPr>
            <w:tcW w:w="1395" w:type="dxa"/>
            <w:vMerge/>
            <w:vAlign w:val="bottom"/>
          </w:tcPr>
          <w:p w:rsidR="008C7D2A" w:rsidRPr="00DD6503" w:rsidRDefault="008C7D2A" w:rsidP="003A541D">
            <w:pPr>
              <w:jc w:val="right"/>
              <w:rPr>
                <w:rFonts w:ascii="Tahoma" w:hAnsi="Tahoma" w:cs="Tahoma"/>
                <w:color w:val="000000"/>
                <w:sz w:val="18"/>
                <w:szCs w:val="18"/>
              </w:rPr>
            </w:pPr>
          </w:p>
        </w:tc>
      </w:tr>
      <w:tr w:rsidR="008C7D2A" w:rsidRPr="00DD6503" w:rsidTr="003A541D">
        <w:trPr>
          <w:cantSplit/>
        </w:trPr>
        <w:tc>
          <w:tcPr>
            <w:tcW w:w="1984" w:type="dxa"/>
            <w:vMerge/>
            <w:vAlign w:val="bottom"/>
          </w:tcPr>
          <w:p w:rsidR="008C7D2A" w:rsidRPr="00DD6503" w:rsidRDefault="008C7D2A" w:rsidP="003A541D">
            <w:pPr>
              <w:rPr>
                <w:rFonts w:ascii="Tahoma" w:hAnsi="Tahoma" w:cs="Tahoma"/>
                <w:sz w:val="18"/>
                <w:szCs w:val="18"/>
              </w:rPr>
            </w:pPr>
          </w:p>
        </w:tc>
        <w:tc>
          <w:tcPr>
            <w:tcW w:w="850" w:type="dxa"/>
            <w:vMerge/>
            <w:vAlign w:val="bottom"/>
          </w:tcPr>
          <w:p w:rsidR="008C7D2A" w:rsidRPr="00DD6503" w:rsidRDefault="008C7D2A" w:rsidP="003A541D">
            <w:pPr>
              <w:rPr>
                <w:rFonts w:ascii="Tahoma" w:hAnsi="Tahoma" w:cs="Tahoma"/>
                <w:sz w:val="18"/>
                <w:szCs w:val="18"/>
              </w:rPr>
            </w:pPr>
          </w:p>
        </w:tc>
        <w:tc>
          <w:tcPr>
            <w:tcW w:w="850" w:type="dxa"/>
            <w:vMerge/>
            <w:vAlign w:val="bottom"/>
          </w:tcPr>
          <w:p w:rsidR="008C7D2A" w:rsidRPr="00DD6503" w:rsidRDefault="008C7D2A" w:rsidP="003A541D">
            <w:pPr>
              <w:rPr>
                <w:rFonts w:ascii="Tahoma" w:hAnsi="Tahoma" w:cs="Tahoma"/>
                <w:sz w:val="18"/>
                <w:szCs w:val="18"/>
              </w:rPr>
            </w:pPr>
          </w:p>
        </w:tc>
        <w:tc>
          <w:tcPr>
            <w:tcW w:w="1587" w:type="dxa"/>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Upper bound</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9.94%</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13.92%</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23.18%</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52.97%</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w:t>
            </w:r>
          </w:p>
        </w:tc>
        <w:tc>
          <w:tcPr>
            <w:tcW w:w="1395" w:type="dxa"/>
            <w:vMerge/>
            <w:vAlign w:val="bottom"/>
          </w:tcPr>
          <w:p w:rsidR="008C7D2A" w:rsidRPr="00DD6503" w:rsidRDefault="008C7D2A" w:rsidP="003A541D">
            <w:pPr>
              <w:jc w:val="right"/>
              <w:rPr>
                <w:rFonts w:ascii="Tahoma" w:hAnsi="Tahoma" w:cs="Tahoma"/>
                <w:color w:val="000000"/>
                <w:sz w:val="18"/>
                <w:szCs w:val="18"/>
              </w:rPr>
            </w:pPr>
          </w:p>
        </w:tc>
      </w:tr>
      <w:tr w:rsidR="008C7D2A" w:rsidRPr="00DD6503" w:rsidTr="003A541D">
        <w:trPr>
          <w:cantSplit/>
        </w:trPr>
        <w:tc>
          <w:tcPr>
            <w:tcW w:w="1984" w:type="dxa"/>
            <w:vMerge w:val="restart"/>
            <w:vAlign w:val="center"/>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CER P</w:t>
            </w:r>
          </w:p>
        </w:tc>
        <w:tc>
          <w:tcPr>
            <w:tcW w:w="850" w:type="dxa"/>
            <w:vMerge w:val="restart"/>
            <w:vAlign w:val="center"/>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-1.0555</w:t>
            </w:r>
          </w:p>
        </w:tc>
        <w:tc>
          <w:tcPr>
            <w:tcW w:w="850" w:type="dxa"/>
            <w:vMerge w:val="restart"/>
            <w:vAlign w:val="center"/>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0.2276</w:t>
            </w:r>
          </w:p>
        </w:tc>
        <w:tc>
          <w:tcPr>
            <w:tcW w:w="1587" w:type="dxa"/>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Model input</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55.33%</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20.73%</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15.00%</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8.94%</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w:t>
            </w:r>
          </w:p>
        </w:tc>
        <w:tc>
          <w:tcPr>
            <w:tcW w:w="1395" w:type="dxa"/>
            <w:vMerge w:val="restart"/>
            <w:vAlign w:val="center"/>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Normal</w:t>
            </w:r>
          </w:p>
        </w:tc>
      </w:tr>
      <w:tr w:rsidR="008C7D2A" w:rsidRPr="00DD6503" w:rsidTr="003A541D">
        <w:trPr>
          <w:cantSplit/>
        </w:trPr>
        <w:tc>
          <w:tcPr>
            <w:tcW w:w="1984" w:type="dxa"/>
            <w:vMerge/>
            <w:vAlign w:val="bottom"/>
          </w:tcPr>
          <w:p w:rsidR="008C7D2A" w:rsidRPr="00DD6503" w:rsidRDefault="008C7D2A" w:rsidP="003A541D">
            <w:pPr>
              <w:rPr>
                <w:rFonts w:ascii="Tahoma" w:hAnsi="Tahoma" w:cs="Tahoma"/>
                <w:color w:val="000000"/>
                <w:sz w:val="18"/>
                <w:szCs w:val="18"/>
              </w:rPr>
            </w:pPr>
          </w:p>
        </w:tc>
        <w:tc>
          <w:tcPr>
            <w:tcW w:w="850" w:type="dxa"/>
            <w:vMerge/>
            <w:vAlign w:val="bottom"/>
          </w:tcPr>
          <w:p w:rsidR="008C7D2A" w:rsidRPr="00DD6503" w:rsidRDefault="008C7D2A" w:rsidP="003A541D">
            <w:pPr>
              <w:rPr>
                <w:rFonts w:ascii="Tahoma" w:hAnsi="Tahoma" w:cs="Tahoma"/>
                <w:sz w:val="18"/>
                <w:szCs w:val="18"/>
              </w:rPr>
            </w:pPr>
          </w:p>
        </w:tc>
        <w:tc>
          <w:tcPr>
            <w:tcW w:w="850" w:type="dxa"/>
            <w:vMerge/>
            <w:vAlign w:val="bottom"/>
          </w:tcPr>
          <w:p w:rsidR="008C7D2A" w:rsidRPr="00DD6503" w:rsidRDefault="008C7D2A" w:rsidP="003A541D">
            <w:pPr>
              <w:rPr>
                <w:rFonts w:ascii="Tahoma" w:hAnsi="Tahoma" w:cs="Tahoma"/>
                <w:sz w:val="18"/>
                <w:szCs w:val="18"/>
              </w:rPr>
            </w:pPr>
          </w:p>
        </w:tc>
        <w:tc>
          <w:tcPr>
            <w:tcW w:w="1587" w:type="dxa"/>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Lower bound</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71.91%</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15.67%</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8.75%</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3.67%</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w:t>
            </w:r>
          </w:p>
        </w:tc>
        <w:tc>
          <w:tcPr>
            <w:tcW w:w="1395" w:type="dxa"/>
            <w:vMerge/>
            <w:vAlign w:val="bottom"/>
          </w:tcPr>
          <w:p w:rsidR="008C7D2A" w:rsidRPr="00DD6503" w:rsidRDefault="008C7D2A" w:rsidP="003A541D">
            <w:pPr>
              <w:jc w:val="right"/>
              <w:rPr>
                <w:rFonts w:ascii="Tahoma" w:hAnsi="Tahoma" w:cs="Tahoma"/>
                <w:color w:val="000000"/>
                <w:sz w:val="18"/>
                <w:szCs w:val="18"/>
              </w:rPr>
            </w:pPr>
          </w:p>
        </w:tc>
      </w:tr>
      <w:tr w:rsidR="008C7D2A" w:rsidRPr="00DD6503" w:rsidTr="003A541D">
        <w:trPr>
          <w:cantSplit/>
        </w:trPr>
        <w:tc>
          <w:tcPr>
            <w:tcW w:w="1984" w:type="dxa"/>
            <w:vMerge/>
            <w:vAlign w:val="bottom"/>
          </w:tcPr>
          <w:p w:rsidR="008C7D2A" w:rsidRPr="00DD6503" w:rsidRDefault="008C7D2A" w:rsidP="003A541D">
            <w:pPr>
              <w:rPr>
                <w:rFonts w:ascii="Tahoma" w:hAnsi="Tahoma" w:cs="Tahoma"/>
                <w:sz w:val="18"/>
                <w:szCs w:val="18"/>
              </w:rPr>
            </w:pPr>
          </w:p>
        </w:tc>
        <w:tc>
          <w:tcPr>
            <w:tcW w:w="850" w:type="dxa"/>
            <w:vMerge/>
            <w:vAlign w:val="bottom"/>
          </w:tcPr>
          <w:p w:rsidR="008C7D2A" w:rsidRPr="00DD6503" w:rsidRDefault="008C7D2A" w:rsidP="003A541D">
            <w:pPr>
              <w:rPr>
                <w:rFonts w:ascii="Tahoma" w:hAnsi="Tahoma" w:cs="Tahoma"/>
                <w:sz w:val="18"/>
                <w:szCs w:val="18"/>
              </w:rPr>
            </w:pPr>
          </w:p>
        </w:tc>
        <w:tc>
          <w:tcPr>
            <w:tcW w:w="850" w:type="dxa"/>
            <w:vMerge/>
            <w:vAlign w:val="bottom"/>
          </w:tcPr>
          <w:p w:rsidR="008C7D2A" w:rsidRPr="00DD6503" w:rsidRDefault="008C7D2A" w:rsidP="003A541D">
            <w:pPr>
              <w:rPr>
                <w:rFonts w:ascii="Tahoma" w:hAnsi="Tahoma" w:cs="Tahoma"/>
                <w:sz w:val="18"/>
                <w:szCs w:val="18"/>
              </w:rPr>
            </w:pPr>
          </w:p>
        </w:tc>
        <w:tc>
          <w:tcPr>
            <w:tcW w:w="1587" w:type="dxa"/>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Upper bound</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37.75%</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22.59%</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21.22%</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18.44%</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w:t>
            </w:r>
          </w:p>
        </w:tc>
        <w:tc>
          <w:tcPr>
            <w:tcW w:w="1395" w:type="dxa"/>
            <w:vMerge/>
            <w:vAlign w:val="bottom"/>
          </w:tcPr>
          <w:p w:rsidR="008C7D2A" w:rsidRPr="00DD6503" w:rsidRDefault="008C7D2A" w:rsidP="003A541D">
            <w:pPr>
              <w:jc w:val="right"/>
              <w:rPr>
                <w:rFonts w:ascii="Tahoma" w:hAnsi="Tahoma" w:cs="Tahoma"/>
                <w:color w:val="000000"/>
                <w:sz w:val="18"/>
                <w:szCs w:val="18"/>
              </w:rPr>
            </w:pPr>
          </w:p>
        </w:tc>
      </w:tr>
      <w:tr w:rsidR="008C7D2A" w:rsidRPr="00DD6503" w:rsidTr="003A541D">
        <w:trPr>
          <w:cantSplit/>
        </w:trPr>
        <w:tc>
          <w:tcPr>
            <w:tcW w:w="1984" w:type="dxa"/>
            <w:vMerge w:val="restart"/>
            <w:vAlign w:val="center"/>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ETN</w:t>
            </w:r>
          </w:p>
        </w:tc>
        <w:tc>
          <w:tcPr>
            <w:tcW w:w="850" w:type="dxa"/>
            <w:vMerge w:val="restart"/>
            <w:vAlign w:val="center"/>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-1.0390</w:t>
            </w:r>
          </w:p>
        </w:tc>
        <w:tc>
          <w:tcPr>
            <w:tcW w:w="850" w:type="dxa"/>
            <w:vMerge w:val="restart"/>
            <w:vAlign w:val="center"/>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0.3280</w:t>
            </w:r>
          </w:p>
        </w:tc>
        <w:tc>
          <w:tcPr>
            <w:tcW w:w="1587" w:type="dxa"/>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Model input</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55.98%</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20.59%</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14.76%</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8.67%</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w:t>
            </w:r>
          </w:p>
        </w:tc>
        <w:tc>
          <w:tcPr>
            <w:tcW w:w="1395" w:type="dxa"/>
            <w:vMerge w:val="restart"/>
            <w:vAlign w:val="center"/>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Normal</w:t>
            </w:r>
          </w:p>
        </w:tc>
      </w:tr>
      <w:tr w:rsidR="008C7D2A" w:rsidRPr="00DD6503" w:rsidTr="003A541D">
        <w:trPr>
          <w:cantSplit/>
        </w:trPr>
        <w:tc>
          <w:tcPr>
            <w:tcW w:w="1984" w:type="dxa"/>
            <w:vMerge/>
            <w:vAlign w:val="bottom"/>
          </w:tcPr>
          <w:p w:rsidR="008C7D2A" w:rsidRPr="00DD6503" w:rsidRDefault="008C7D2A" w:rsidP="003A541D">
            <w:pPr>
              <w:rPr>
                <w:rFonts w:ascii="Tahoma" w:hAnsi="Tahoma" w:cs="Tahoma"/>
                <w:color w:val="000000"/>
                <w:sz w:val="18"/>
                <w:szCs w:val="18"/>
              </w:rPr>
            </w:pPr>
          </w:p>
        </w:tc>
        <w:tc>
          <w:tcPr>
            <w:tcW w:w="850" w:type="dxa"/>
            <w:vMerge/>
            <w:vAlign w:val="bottom"/>
          </w:tcPr>
          <w:p w:rsidR="008C7D2A" w:rsidRPr="00DD6503" w:rsidRDefault="008C7D2A" w:rsidP="003A541D">
            <w:pPr>
              <w:rPr>
                <w:rFonts w:ascii="Tahoma" w:hAnsi="Tahoma" w:cs="Tahoma"/>
                <w:sz w:val="18"/>
                <w:szCs w:val="18"/>
              </w:rPr>
            </w:pPr>
          </w:p>
        </w:tc>
        <w:tc>
          <w:tcPr>
            <w:tcW w:w="850" w:type="dxa"/>
            <w:vMerge/>
            <w:vAlign w:val="bottom"/>
          </w:tcPr>
          <w:p w:rsidR="008C7D2A" w:rsidRPr="00DD6503" w:rsidRDefault="008C7D2A" w:rsidP="003A541D">
            <w:pPr>
              <w:rPr>
                <w:rFonts w:ascii="Tahoma" w:hAnsi="Tahoma" w:cs="Tahoma"/>
                <w:sz w:val="18"/>
                <w:szCs w:val="18"/>
              </w:rPr>
            </w:pPr>
          </w:p>
        </w:tc>
        <w:tc>
          <w:tcPr>
            <w:tcW w:w="1587" w:type="dxa"/>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Lower bound</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78.62%</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12.81%</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6.32%</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2.25%</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w:t>
            </w:r>
          </w:p>
        </w:tc>
        <w:tc>
          <w:tcPr>
            <w:tcW w:w="1395" w:type="dxa"/>
            <w:vMerge/>
            <w:vAlign w:val="bottom"/>
          </w:tcPr>
          <w:p w:rsidR="008C7D2A" w:rsidRPr="00DD6503" w:rsidRDefault="008C7D2A" w:rsidP="003A541D">
            <w:pPr>
              <w:jc w:val="right"/>
              <w:rPr>
                <w:rFonts w:ascii="Tahoma" w:hAnsi="Tahoma" w:cs="Tahoma"/>
                <w:color w:val="000000"/>
                <w:sz w:val="18"/>
                <w:szCs w:val="18"/>
              </w:rPr>
            </w:pPr>
          </w:p>
        </w:tc>
      </w:tr>
      <w:tr w:rsidR="008C7D2A" w:rsidRPr="00DD6503" w:rsidTr="003A541D">
        <w:trPr>
          <w:cantSplit/>
        </w:trPr>
        <w:tc>
          <w:tcPr>
            <w:tcW w:w="1984" w:type="dxa"/>
            <w:vMerge/>
            <w:vAlign w:val="bottom"/>
          </w:tcPr>
          <w:p w:rsidR="008C7D2A" w:rsidRPr="00DD6503" w:rsidRDefault="008C7D2A" w:rsidP="003A541D">
            <w:pPr>
              <w:rPr>
                <w:rFonts w:ascii="Tahoma" w:hAnsi="Tahoma" w:cs="Tahoma"/>
                <w:sz w:val="18"/>
                <w:szCs w:val="18"/>
              </w:rPr>
            </w:pPr>
          </w:p>
        </w:tc>
        <w:tc>
          <w:tcPr>
            <w:tcW w:w="850" w:type="dxa"/>
            <w:vMerge/>
            <w:vAlign w:val="bottom"/>
          </w:tcPr>
          <w:p w:rsidR="008C7D2A" w:rsidRPr="00DD6503" w:rsidRDefault="008C7D2A" w:rsidP="003A541D">
            <w:pPr>
              <w:rPr>
                <w:rFonts w:ascii="Tahoma" w:hAnsi="Tahoma" w:cs="Tahoma"/>
                <w:sz w:val="18"/>
                <w:szCs w:val="18"/>
              </w:rPr>
            </w:pPr>
          </w:p>
        </w:tc>
        <w:tc>
          <w:tcPr>
            <w:tcW w:w="850" w:type="dxa"/>
            <w:vMerge/>
            <w:vAlign w:val="bottom"/>
          </w:tcPr>
          <w:p w:rsidR="008C7D2A" w:rsidRPr="00DD6503" w:rsidRDefault="008C7D2A" w:rsidP="003A541D">
            <w:pPr>
              <w:rPr>
                <w:rFonts w:ascii="Tahoma" w:hAnsi="Tahoma" w:cs="Tahoma"/>
                <w:sz w:val="18"/>
                <w:szCs w:val="18"/>
              </w:rPr>
            </w:pPr>
          </w:p>
        </w:tc>
        <w:tc>
          <w:tcPr>
            <w:tcW w:w="1587" w:type="dxa"/>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Upper bound</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31.12%</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22.14%</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23.11%</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23.63%</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w:t>
            </w:r>
          </w:p>
        </w:tc>
        <w:tc>
          <w:tcPr>
            <w:tcW w:w="1395" w:type="dxa"/>
            <w:vMerge/>
            <w:vAlign w:val="bottom"/>
          </w:tcPr>
          <w:p w:rsidR="008C7D2A" w:rsidRPr="00DD6503" w:rsidRDefault="008C7D2A" w:rsidP="003A541D">
            <w:pPr>
              <w:jc w:val="right"/>
              <w:rPr>
                <w:rFonts w:ascii="Tahoma" w:hAnsi="Tahoma" w:cs="Tahoma"/>
                <w:color w:val="000000"/>
                <w:sz w:val="18"/>
                <w:szCs w:val="18"/>
              </w:rPr>
            </w:pPr>
          </w:p>
        </w:tc>
      </w:tr>
      <w:tr w:rsidR="008C7D2A" w:rsidRPr="00DD6503" w:rsidTr="003A541D">
        <w:trPr>
          <w:cantSplit/>
        </w:trPr>
        <w:tc>
          <w:tcPr>
            <w:tcW w:w="1984" w:type="dxa"/>
            <w:vMerge w:val="restart"/>
            <w:vAlign w:val="center"/>
          </w:tcPr>
          <w:p w:rsidR="008C7D2A" w:rsidRPr="00DD6503" w:rsidRDefault="008C7D2A" w:rsidP="003A541D">
            <w:pPr>
              <w:rPr>
                <w:rFonts w:ascii="Tahoma" w:eastAsia="Times New Roman" w:hAnsi="Tahoma" w:cs="Tahoma"/>
                <w:color w:val="000000"/>
                <w:sz w:val="18"/>
                <w:szCs w:val="18"/>
              </w:rPr>
            </w:pPr>
            <w:r w:rsidRPr="00DD6503">
              <w:rPr>
                <w:rFonts w:ascii="Tahoma" w:hAnsi="Tahoma" w:cs="Tahoma"/>
                <w:color w:val="000000"/>
                <w:sz w:val="18"/>
                <w:szCs w:val="18"/>
              </w:rPr>
              <w:t>ADA</w:t>
            </w:r>
          </w:p>
        </w:tc>
        <w:tc>
          <w:tcPr>
            <w:tcW w:w="850" w:type="dxa"/>
            <w:vMerge w:val="restart"/>
            <w:vAlign w:val="center"/>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-1.7291</w:t>
            </w:r>
          </w:p>
        </w:tc>
        <w:tc>
          <w:tcPr>
            <w:tcW w:w="850" w:type="dxa"/>
            <w:vMerge w:val="restart"/>
            <w:vAlign w:val="center"/>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0.2659</w:t>
            </w:r>
          </w:p>
        </w:tc>
        <w:tc>
          <w:tcPr>
            <w:tcW w:w="1587" w:type="dxa"/>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Model input</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29.47%</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21.91%</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23.51%</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25.11%</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w:t>
            </w:r>
          </w:p>
        </w:tc>
        <w:tc>
          <w:tcPr>
            <w:tcW w:w="1395" w:type="dxa"/>
            <w:vMerge w:val="restart"/>
            <w:vAlign w:val="center"/>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Normal</w:t>
            </w:r>
          </w:p>
        </w:tc>
      </w:tr>
      <w:tr w:rsidR="008C7D2A" w:rsidRPr="00DD6503" w:rsidTr="003A541D">
        <w:trPr>
          <w:cantSplit/>
        </w:trPr>
        <w:tc>
          <w:tcPr>
            <w:tcW w:w="1984" w:type="dxa"/>
            <w:vMerge/>
            <w:vAlign w:val="bottom"/>
          </w:tcPr>
          <w:p w:rsidR="008C7D2A" w:rsidRPr="00DD6503" w:rsidRDefault="008C7D2A" w:rsidP="003A541D">
            <w:pPr>
              <w:rPr>
                <w:rFonts w:ascii="Tahoma" w:hAnsi="Tahoma" w:cs="Tahoma"/>
                <w:color w:val="000000"/>
                <w:sz w:val="18"/>
                <w:szCs w:val="18"/>
              </w:rPr>
            </w:pPr>
          </w:p>
        </w:tc>
        <w:tc>
          <w:tcPr>
            <w:tcW w:w="850" w:type="dxa"/>
            <w:vMerge/>
            <w:vAlign w:val="bottom"/>
          </w:tcPr>
          <w:p w:rsidR="008C7D2A" w:rsidRPr="00DD6503" w:rsidRDefault="008C7D2A" w:rsidP="003A541D">
            <w:pPr>
              <w:rPr>
                <w:rFonts w:ascii="Tahoma" w:hAnsi="Tahoma" w:cs="Tahoma"/>
                <w:sz w:val="18"/>
                <w:szCs w:val="18"/>
              </w:rPr>
            </w:pPr>
          </w:p>
        </w:tc>
        <w:tc>
          <w:tcPr>
            <w:tcW w:w="850" w:type="dxa"/>
            <w:vMerge/>
            <w:vAlign w:val="bottom"/>
          </w:tcPr>
          <w:p w:rsidR="008C7D2A" w:rsidRPr="00DD6503" w:rsidRDefault="008C7D2A" w:rsidP="003A541D">
            <w:pPr>
              <w:rPr>
                <w:rFonts w:ascii="Tahoma" w:hAnsi="Tahoma" w:cs="Tahoma"/>
                <w:sz w:val="18"/>
                <w:szCs w:val="18"/>
              </w:rPr>
            </w:pPr>
          </w:p>
        </w:tc>
        <w:tc>
          <w:tcPr>
            <w:tcW w:w="1587" w:type="dxa"/>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Lower bound</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49.26%</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21.82%</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17.26%</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11.66%</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w:t>
            </w:r>
          </w:p>
        </w:tc>
        <w:tc>
          <w:tcPr>
            <w:tcW w:w="1395" w:type="dxa"/>
            <w:vMerge/>
            <w:vAlign w:val="bottom"/>
          </w:tcPr>
          <w:p w:rsidR="008C7D2A" w:rsidRPr="00DD6503" w:rsidRDefault="008C7D2A" w:rsidP="003A541D">
            <w:pPr>
              <w:jc w:val="right"/>
              <w:rPr>
                <w:rFonts w:ascii="Tahoma" w:hAnsi="Tahoma" w:cs="Tahoma"/>
                <w:color w:val="000000"/>
                <w:sz w:val="18"/>
                <w:szCs w:val="18"/>
              </w:rPr>
            </w:pPr>
          </w:p>
        </w:tc>
      </w:tr>
      <w:tr w:rsidR="008C7D2A" w:rsidRPr="00DD6503" w:rsidTr="003A541D">
        <w:trPr>
          <w:cantSplit/>
        </w:trPr>
        <w:tc>
          <w:tcPr>
            <w:tcW w:w="1984" w:type="dxa"/>
            <w:vMerge/>
            <w:vAlign w:val="bottom"/>
          </w:tcPr>
          <w:p w:rsidR="008C7D2A" w:rsidRPr="00DD6503" w:rsidRDefault="008C7D2A" w:rsidP="003A541D">
            <w:pPr>
              <w:rPr>
                <w:rFonts w:ascii="Tahoma" w:hAnsi="Tahoma" w:cs="Tahoma"/>
                <w:sz w:val="18"/>
                <w:szCs w:val="18"/>
              </w:rPr>
            </w:pPr>
          </w:p>
        </w:tc>
        <w:tc>
          <w:tcPr>
            <w:tcW w:w="850" w:type="dxa"/>
            <w:vMerge/>
            <w:vAlign w:val="bottom"/>
          </w:tcPr>
          <w:p w:rsidR="008C7D2A" w:rsidRPr="00DD6503" w:rsidRDefault="008C7D2A" w:rsidP="003A541D">
            <w:pPr>
              <w:rPr>
                <w:rFonts w:ascii="Tahoma" w:hAnsi="Tahoma" w:cs="Tahoma"/>
                <w:sz w:val="18"/>
                <w:szCs w:val="18"/>
              </w:rPr>
            </w:pPr>
          </w:p>
        </w:tc>
        <w:tc>
          <w:tcPr>
            <w:tcW w:w="850" w:type="dxa"/>
            <w:vMerge/>
            <w:vAlign w:val="bottom"/>
          </w:tcPr>
          <w:p w:rsidR="008C7D2A" w:rsidRPr="00DD6503" w:rsidRDefault="008C7D2A" w:rsidP="003A541D">
            <w:pPr>
              <w:rPr>
                <w:rFonts w:ascii="Tahoma" w:hAnsi="Tahoma" w:cs="Tahoma"/>
                <w:sz w:val="18"/>
                <w:szCs w:val="18"/>
              </w:rPr>
            </w:pPr>
          </w:p>
        </w:tc>
        <w:tc>
          <w:tcPr>
            <w:tcW w:w="1587" w:type="dxa"/>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Upper bound</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14.44%</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16.89%</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24.63%</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44.04%</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w:t>
            </w:r>
          </w:p>
        </w:tc>
        <w:tc>
          <w:tcPr>
            <w:tcW w:w="1395" w:type="dxa"/>
            <w:vMerge/>
            <w:vAlign w:val="bottom"/>
          </w:tcPr>
          <w:p w:rsidR="008C7D2A" w:rsidRPr="00DD6503" w:rsidRDefault="008C7D2A" w:rsidP="003A541D">
            <w:pPr>
              <w:jc w:val="right"/>
              <w:rPr>
                <w:rFonts w:ascii="Tahoma" w:hAnsi="Tahoma" w:cs="Tahoma"/>
                <w:color w:val="000000"/>
                <w:sz w:val="18"/>
                <w:szCs w:val="18"/>
              </w:rPr>
            </w:pPr>
          </w:p>
        </w:tc>
      </w:tr>
      <w:tr w:rsidR="008C7D2A" w:rsidRPr="00DD6503" w:rsidTr="003A541D">
        <w:trPr>
          <w:cantSplit/>
        </w:trPr>
        <w:tc>
          <w:tcPr>
            <w:tcW w:w="1984" w:type="dxa"/>
            <w:vMerge w:val="restart"/>
            <w:vAlign w:val="center"/>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INF</w:t>
            </w:r>
          </w:p>
        </w:tc>
        <w:tc>
          <w:tcPr>
            <w:tcW w:w="850" w:type="dxa"/>
            <w:vMerge w:val="restart"/>
            <w:vAlign w:val="center"/>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-2.3552</w:t>
            </w:r>
          </w:p>
        </w:tc>
        <w:tc>
          <w:tcPr>
            <w:tcW w:w="850" w:type="dxa"/>
            <w:vMerge w:val="restart"/>
            <w:vAlign w:val="center"/>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0.2305</w:t>
            </w:r>
          </w:p>
        </w:tc>
        <w:tc>
          <w:tcPr>
            <w:tcW w:w="1587" w:type="dxa"/>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Model input</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12.19%</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15.52%</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24.09%</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48.21%</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w:t>
            </w:r>
          </w:p>
        </w:tc>
        <w:tc>
          <w:tcPr>
            <w:tcW w:w="1395" w:type="dxa"/>
            <w:vMerge w:val="restart"/>
            <w:vAlign w:val="center"/>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Normal</w:t>
            </w:r>
          </w:p>
        </w:tc>
      </w:tr>
      <w:tr w:rsidR="008C7D2A" w:rsidRPr="00DD6503" w:rsidTr="003A541D">
        <w:trPr>
          <w:cantSplit/>
        </w:trPr>
        <w:tc>
          <w:tcPr>
            <w:tcW w:w="1984" w:type="dxa"/>
            <w:vMerge/>
            <w:vAlign w:val="bottom"/>
          </w:tcPr>
          <w:p w:rsidR="008C7D2A" w:rsidRPr="00DD6503" w:rsidRDefault="008C7D2A" w:rsidP="003A541D">
            <w:pPr>
              <w:rPr>
                <w:rFonts w:ascii="Tahoma" w:hAnsi="Tahoma" w:cs="Tahoma"/>
                <w:color w:val="000000"/>
                <w:sz w:val="18"/>
                <w:szCs w:val="18"/>
              </w:rPr>
            </w:pPr>
          </w:p>
        </w:tc>
        <w:tc>
          <w:tcPr>
            <w:tcW w:w="850" w:type="dxa"/>
            <w:vMerge/>
            <w:vAlign w:val="bottom"/>
          </w:tcPr>
          <w:p w:rsidR="008C7D2A" w:rsidRPr="00DD6503" w:rsidRDefault="008C7D2A" w:rsidP="003A541D">
            <w:pPr>
              <w:rPr>
                <w:rFonts w:ascii="Tahoma" w:hAnsi="Tahoma" w:cs="Tahoma"/>
                <w:sz w:val="18"/>
                <w:szCs w:val="18"/>
              </w:rPr>
            </w:pPr>
          </w:p>
        </w:tc>
        <w:tc>
          <w:tcPr>
            <w:tcW w:w="850" w:type="dxa"/>
            <w:vMerge/>
            <w:vAlign w:val="bottom"/>
          </w:tcPr>
          <w:p w:rsidR="008C7D2A" w:rsidRPr="00DD6503" w:rsidRDefault="008C7D2A" w:rsidP="003A541D">
            <w:pPr>
              <w:rPr>
                <w:rFonts w:ascii="Tahoma" w:hAnsi="Tahoma" w:cs="Tahoma"/>
                <w:sz w:val="18"/>
                <w:szCs w:val="18"/>
              </w:rPr>
            </w:pPr>
          </w:p>
        </w:tc>
        <w:tc>
          <w:tcPr>
            <w:tcW w:w="1587" w:type="dxa"/>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Lower bound</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23.76%</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20.68%</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24.59%</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30.97%</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w:t>
            </w:r>
          </w:p>
        </w:tc>
        <w:tc>
          <w:tcPr>
            <w:tcW w:w="1395" w:type="dxa"/>
            <w:vMerge/>
            <w:vAlign w:val="bottom"/>
          </w:tcPr>
          <w:p w:rsidR="008C7D2A" w:rsidRPr="00DD6503" w:rsidRDefault="008C7D2A" w:rsidP="003A541D">
            <w:pPr>
              <w:jc w:val="right"/>
              <w:rPr>
                <w:rFonts w:ascii="Tahoma" w:hAnsi="Tahoma" w:cs="Tahoma"/>
                <w:color w:val="000000"/>
                <w:sz w:val="18"/>
                <w:szCs w:val="18"/>
              </w:rPr>
            </w:pPr>
          </w:p>
        </w:tc>
      </w:tr>
      <w:tr w:rsidR="008C7D2A" w:rsidRPr="00DD6503" w:rsidTr="003A541D">
        <w:trPr>
          <w:cantSplit/>
        </w:trPr>
        <w:tc>
          <w:tcPr>
            <w:tcW w:w="1984" w:type="dxa"/>
            <w:vMerge/>
            <w:vAlign w:val="bottom"/>
          </w:tcPr>
          <w:p w:rsidR="008C7D2A" w:rsidRPr="00DD6503" w:rsidRDefault="008C7D2A" w:rsidP="003A541D">
            <w:pPr>
              <w:rPr>
                <w:rFonts w:ascii="Tahoma" w:hAnsi="Tahoma" w:cs="Tahoma"/>
                <w:sz w:val="18"/>
                <w:szCs w:val="18"/>
              </w:rPr>
            </w:pPr>
          </w:p>
        </w:tc>
        <w:tc>
          <w:tcPr>
            <w:tcW w:w="850" w:type="dxa"/>
            <w:vMerge/>
            <w:vAlign w:val="bottom"/>
          </w:tcPr>
          <w:p w:rsidR="008C7D2A" w:rsidRPr="00DD6503" w:rsidRDefault="008C7D2A" w:rsidP="003A541D">
            <w:pPr>
              <w:rPr>
                <w:rFonts w:ascii="Tahoma" w:hAnsi="Tahoma" w:cs="Tahoma"/>
                <w:sz w:val="18"/>
                <w:szCs w:val="18"/>
              </w:rPr>
            </w:pPr>
          </w:p>
        </w:tc>
        <w:tc>
          <w:tcPr>
            <w:tcW w:w="850" w:type="dxa"/>
            <w:vMerge/>
            <w:vAlign w:val="bottom"/>
          </w:tcPr>
          <w:p w:rsidR="008C7D2A" w:rsidRPr="00DD6503" w:rsidRDefault="008C7D2A" w:rsidP="003A541D">
            <w:pPr>
              <w:rPr>
                <w:rFonts w:ascii="Tahoma" w:hAnsi="Tahoma" w:cs="Tahoma"/>
                <w:sz w:val="18"/>
                <w:szCs w:val="18"/>
              </w:rPr>
            </w:pPr>
          </w:p>
        </w:tc>
        <w:tc>
          <w:tcPr>
            <w:tcW w:w="1587" w:type="dxa"/>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Upper bound</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5.29%</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9.55%</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19.37%</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65.79%</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w:t>
            </w:r>
          </w:p>
        </w:tc>
        <w:tc>
          <w:tcPr>
            <w:tcW w:w="1395" w:type="dxa"/>
            <w:vMerge/>
            <w:vAlign w:val="bottom"/>
          </w:tcPr>
          <w:p w:rsidR="008C7D2A" w:rsidRPr="00DD6503" w:rsidRDefault="008C7D2A" w:rsidP="003A541D">
            <w:pPr>
              <w:jc w:val="right"/>
              <w:rPr>
                <w:rFonts w:ascii="Tahoma" w:hAnsi="Tahoma" w:cs="Tahoma"/>
                <w:color w:val="000000"/>
                <w:sz w:val="18"/>
                <w:szCs w:val="18"/>
              </w:rPr>
            </w:pPr>
          </w:p>
        </w:tc>
      </w:tr>
      <w:tr w:rsidR="008C7D2A" w:rsidRPr="00DD6503" w:rsidTr="003A541D">
        <w:trPr>
          <w:cantSplit/>
        </w:trPr>
        <w:tc>
          <w:tcPr>
            <w:tcW w:w="1984" w:type="dxa"/>
            <w:vMerge w:val="restart"/>
            <w:vAlign w:val="center"/>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GOL</w:t>
            </w:r>
          </w:p>
        </w:tc>
        <w:tc>
          <w:tcPr>
            <w:tcW w:w="850" w:type="dxa"/>
            <w:vMerge w:val="restart"/>
            <w:vAlign w:val="center"/>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-1.5077</w:t>
            </w:r>
          </w:p>
        </w:tc>
        <w:tc>
          <w:tcPr>
            <w:tcW w:w="850" w:type="dxa"/>
            <w:vMerge w:val="restart"/>
            <w:vAlign w:val="center"/>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0.2578</w:t>
            </w:r>
          </w:p>
        </w:tc>
        <w:tc>
          <w:tcPr>
            <w:tcW w:w="1587" w:type="dxa"/>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Model input</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37.52%</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22.59%</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21.29%</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18.61%</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w:t>
            </w:r>
          </w:p>
        </w:tc>
        <w:tc>
          <w:tcPr>
            <w:tcW w:w="1395" w:type="dxa"/>
            <w:vMerge w:val="restart"/>
            <w:vAlign w:val="center"/>
          </w:tcPr>
          <w:p w:rsidR="008C7D2A" w:rsidRPr="00DD6503" w:rsidRDefault="008C7D2A" w:rsidP="003A541D">
            <w:pPr>
              <w:rPr>
                <w:rFonts w:ascii="Tahoma" w:hAnsi="Tahoma" w:cs="Tahoma"/>
                <w:color w:val="000000"/>
                <w:sz w:val="18"/>
                <w:szCs w:val="18"/>
              </w:rPr>
            </w:pPr>
            <w:r w:rsidRPr="00DD6503">
              <w:rPr>
                <w:rFonts w:ascii="Tahoma" w:hAnsi="Tahoma" w:cs="Tahoma"/>
                <w:color w:val="000000"/>
                <w:sz w:val="18"/>
                <w:szCs w:val="18"/>
              </w:rPr>
              <w:t>Normal</w:t>
            </w:r>
          </w:p>
        </w:tc>
      </w:tr>
      <w:tr w:rsidR="008C7D2A" w:rsidRPr="00DD6503" w:rsidTr="003A541D">
        <w:trPr>
          <w:cantSplit/>
        </w:trPr>
        <w:tc>
          <w:tcPr>
            <w:tcW w:w="1984" w:type="dxa"/>
            <w:vMerge/>
            <w:vAlign w:val="bottom"/>
          </w:tcPr>
          <w:p w:rsidR="008C7D2A" w:rsidRPr="00DD6503" w:rsidRDefault="008C7D2A" w:rsidP="003A541D">
            <w:pPr>
              <w:rPr>
                <w:rFonts w:ascii="Tahoma" w:hAnsi="Tahoma" w:cs="Tahoma"/>
                <w:color w:val="000000"/>
                <w:sz w:val="18"/>
                <w:szCs w:val="18"/>
              </w:rPr>
            </w:pPr>
          </w:p>
        </w:tc>
        <w:tc>
          <w:tcPr>
            <w:tcW w:w="850" w:type="dxa"/>
            <w:vMerge/>
            <w:vAlign w:val="bottom"/>
          </w:tcPr>
          <w:p w:rsidR="008C7D2A" w:rsidRPr="00DD6503" w:rsidRDefault="008C7D2A" w:rsidP="003A541D">
            <w:pPr>
              <w:rPr>
                <w:rFonts w:ascii="Tahoma" w:hAnsi="Tahoma" w:cs="Tahoma"/>
                <w:sz w:val="18"/>
                <w:szCs w:val="18"/>
              </w:rPr>
            </w:pPr>
          </w:p>
        </w:tc>
        <w:tc>
          <w:tcPr>
            <w:tcW w:w="850" w:type="dxa"/>
            <w:vMerge/>
            <w:vAlign w:val="bottom"/>
          </w:tcPr>
          <w:p w:rsidR="008C7D2A" w:rsidRPr="00DD6503" w:rsidRDefault="008C7D2A" w:rsidP="003A541D">
            <w:pPr>
              <w:rPr>
                <w:rFonts w:ascii="Tahoma" w:hAnsi="Tahoma" w:cs="Tahoma"/>
                <w:sz w:val="18"/>
                <w:szCs w:val="18"/>
              </w:rPr>
            </w:pPr>
          </w:p>
        </w:tc>
        <w:tc>
          <w:tcPr>
            <w:tcW w:w="1587" w:type="dxa"/>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Lower bound</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57.42%</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20.26%</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14.22%</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8.11%</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w:t>
            </w:r>
          </w:p>
        </w:tc>
        <w:tc>
          <w:tcPr>
            <w:tcW w:w="1395" w:type="dxa"/>
            <w:vMerge/>
            <w:vAlign w:val="bottom"/>
          </w:tcPr>
          <w:p w:rsidR="008C7D2A" w:rsidRPr="00DD6503" w:rsidRDefault="008C7D2A" w:rsidP="003A541D">
            <w:pPr>
              <w:jc w:val="right"/>
              <w:rPr>
                <w:rFonts w:ascii="Tahoma" w:hAnsi="Tahoma" w:cs="Tahoma"/>
                <w:color w:val="000000"/>
                <w:sz w:val="18"/>
                <w:szCs w:val="18"/>
              </w:rPr>
            </w:pPr>
          </w:p>
        </w:tc>
      </w:tr>
      <w:tr w:rsidR="008C7D2A" w:rsidRPr="00DD6503" w:rsidTr="003A541D">
        <w:trPr>
          <w:cantSplit/>
        </w:trPr>
        <w:tc>
          <w:tcPr>
            <w:tcW w:w="1984" w:type="dxa"/>
            <w:vMerge/>
            <w:vAlign w:val="bottom"/>
          </w:tcPr>
          <w:p w:rsidR="008C7D2A" w:rsidRPr="00DD6503" w:rsidRDefault="008C7D2A" w:rsidP="003A541D">
            <w:pPr>
              <w:rPr>
                <w:rFonts w:ascii="Tahoma" w:hAnsi="Tahoma" w:cs="Tahoma"/>
                <w:sz w:val="18"/>
                <w:szCs w:val="18"/>
              </w:rPr>
            </w:pPr>
          </w:p>
        </w:tc>
        <w:tc>
          <w:tcPr>
            <w:tcW w:w="850" w:type="dxa"/>
            <w:vMerge/>
            <w:vAlign w:val="bottom"/>
          </w:tcPr>
          <w:p w:rsidR="008C7D2A" w:rsidRPr="00DD6503" w:rsidRDefault="008C7D2A" w:rsidP="003A541D">
            <w:pPr>
              <w:rPr>
                <w:rFonts w:ascii="Tahoma" w:hAnsi="Tahoma" w:cs="Tahoma"/>
                <w:sz w:val="18"/>
                <w:szCs w:val="18"/>
              </w:rPr>
            </w:pPr>
          </w:p>
        </w:tc>
        <w:tc>
          <w:tcPr>
            <w:tcW w:w="850" w:type="dxa"/>
            <w:vMerge/>
            <w:vAlign w:val="bottom"/>
          </w:tcPr>
          <w:p w:rsidR="008C7D2A" w:rsidRPr="00DD6503" w:rsidRDefault="008C7D2A" w:rsidP="003A541D">
            <w:pPr>
              <w:rPr>
                <w:rFonts w:ascii="Tahoma" w:hAnsi="Tahoma" w:cs="Tahoma"/>
                <w:sz w:val="18"/>
                <w:szCs w:val="18"/>
              </w:rPr>
            </w:pPr>
          </w:p>
        </w:tc>
        <w:tc>
          <w:tcPr>
            <w:tcW w:w="1587" w:type="dxa"/>
            <w:vAlign w:val="bottom"/>
          </w:tcPr>
          <w:p w:rsidR="008C7D2A" w:rsidRPr="00DD6503" w:rsidRDefault="008C7D2A" w:rsidP="003A541D">
            <w:pPr>
              <w:rPr>
                <w:rFonts w:ascii="Tahoma" w:hAnsi="Tahoma" w:cs="Tahoma"/>
                <w:b/>
                <w:bCs/>
                <w:color w:val="000000"/>
                <w:sz w:val="18"/>
                <w:szCs w:val="18"/>
              </w:rPr>
            </w:pPr>
            <w:r w:rsidRPr="00DD6503">
              <w:rPr>
                <w:rFonts w:ascii="Tahoma" w:hAnsi="Tahoma" w:cs="Tahoma"/>
                <w:b/>
                <w:bCs/>
                <w:color w:val="000000"/>
                <w:sz w:val="18"/>
                <w:szCs w:val="18"/>
              </w:rPr>
              <w:t>Upper bound</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20.51%</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19.65%</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24.91%</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34.93%</w:t>
            </w:r>
          </w:p>
        </w:tc>
        <w:tc>
          <w:tcPr>
            <w:tcW w:w="1304" w:type="dxa"/>
            <w:vAlign w:val="bottom"/>
          </w:tcPr>
          <w:p w:rsidR="008C7D2A" w:rsidRPr="00DD6503" w:rsidRDefault="008C7D2A" w:rsidP="003A541D">
            <w:pPr>
              <w:jc w:val="right"/>
              <w:rPr>
                <w:rFonts w:ascii="Tahoma" w:hAnsi="Tahoma" w:cs="Tahoma"/>
                <w:color w:val="000000"/>
                <w:sz w:val="18"/>
                <w:szCs w:val="18"/>
              </w:rPr>
            </w:pPr>
            <w:r w:rsidRPr="00DD6503">
              <w:rPr>
                <w:rFonts w:ascii="Tahoma" w:hAnsi="Tahoma" w:cs="Tahoma"/>
                <w:color w:val="000000"/>
                <w:sz w:val="18"/>
                <w:szCs w:val="18"/>
              </w:rPr>
              <w:t>0.00%</w:t>
            </w:r>
          </w:p>
        </w:tc>
        <w:tc>
          <w:tcPr>
            <w:tcW w:w="1395" w:type="dxa"/>
            <w:vMerge/>
            <w:vAlign w:val="bottom"/>
          </w:tcPr>
          <w:p w:rsidR="008C7D2A" w:rsidRPr="00DD6503" w:rsidRDefault="008C7D2A" w:rsidP="003A541D">
            <w:pPr>
              <w:jc w:val="right"/>
              <w:rPr>
                <w:rFonts w:ascii="Tahoma" w:hAnsi="Tahoma" w:cs="Tahoma"/>
                <w:color w:val="000000"/>
                <w:sz w:val="18"/>
                <w:szCs w:val="18"/>
              </w:rPr>
            </w:pPr>
          </w:p>
        </w:tc>
      </w:tr>
    </w:tbl>
    <w:p w:rsidR="008C7D2A" w:rsidRDefault="008C7D2A" w:rsidP="008C7D2A">
      <w:pPr>
        <w:pStyle w:val="Manuscriptbody"/>
        <w:rPr>
          <w:lang w:val="en-US" w:eastAsia="en-US"/>
        </w:rPr>
      </w:pPr>
    </w:p>
    <w:p w:rsidR="002B72B4" w:rsidRDefault="002B72B4" w:rsidP="002B72B4">
      <w:pPr>
        <w:pStyle w:val="Manuscriptbody"/>
        <w:sectPr w:rsidR="002B72B4" w:rsidSect="00863A1E">
          <w:type w:val="continuous"/>
          <w:pgSz w:w="16840" w:h="11900" w:orient="landscape"/>
          <w:pgMar w:top="1418" w:right="1440" w:bottom="1797" w:left="1440" w:header="709" w:footer="709" w:gutter="0"/>
          <w:cols w:space="708"/>
          <w:docGrid w:linePitch="326"/>
        </w:sectPr>
      </w:pPr>
    </w:p>
    <w:p w:rsidR="00181DEE" w:rsidRDefault="00181DEE" w:rsidP="00C8619A">
      <w:pPr>
        <w:pStyle w:val="Caption"/>
      </w:pPr>
      <w:bookmarkStart w:id="6" w:name="_Ref496010651"/>
      <w:r>
        <w:lastRenderedPageBreak/>
        <w:t xml:space="preserve">Table </w:t>
      </w:r>
      <w:bookmarkEnd w:id="6"/>
      <w:r>
        <w:rPr>
          <w:noProof/>
        </w:rPr>
        <w:t>9</w:t>
      </w:r>
      <w:r>
        <w:t xml:space="preserve"> Disaggregated (discounted) costs by cost category</w:t>
      </w:r>
    </w:p>
    <w:p w:rsidR="00181DEE" w:rsidRPr="003600A9" w:rsidRDefault="00181DEE" w:rsidP="00C8619A">
      <w:pPr>
        <w:pStyle w:val="ListParagraph"/>
        <w:keepNext/>
        <w:numPr>
          <w:ilvl w:val="0"/>
          <w:numId w:val="26"/>
        </w:numPr>
        <w:spacing w:after="120"/>
        <w:ind w:left="714" w:hanging="357"/>
        <w:rPr>
          <w:rFonts w:ascii="Tahoma" w:hAnsi="Tahoma" w:cs="Tahoma"/>
          <w:b/>
          <w:sz w:val="22"/>
          <w:lang w:val="en-US"/>
        </w:rPr>
      </w:pPr>
      <w:r w:rsidRPr="003600A9">
        <w:rPr>
          <w:rFonts w:ascii="Tahoma" w:hAnsi="Tahoma" w:cs="Tahoma"/>
          <w:b/>
          <w:sz w:val="22"/>
          <w:lang w:val="en-US"/>
        </w:rPr>
        <w:t>1 prior csDMARD</w:t>
      </w:r>
    </w:p>
    <w:tbl>
      <w:tblPr>
        <w:tblStyle w:val="TableGrid"/>
        <w:tblW w:w="0" w:type="auto"/>
        <w:tblLook w:val="04A0" w:firstRow="1" w:lastRow="0" w:firstColumn="1" w:lastColumn="0" w:noHBand="0" w:noVBand="1"/>
      </w:tblPr>
      <w:tblGrid>
        <w:gridCol w:w="1640"/>
        <w:gridCol w:w="1523"/>
        <w:gridCol w:w="1567"/>
        <w:gridCol w:w="1693"/>
        <w:gridCol w:w="1519"/>
        <w:gridCol w:w="1553"/>
        <w:gridCol w:w="1568"/>
        <w:gridCol w:w="1555"/>
        <w:gridCol w:w="1332"/>
      </w:tblGrid>
      <w:tr w:rsidR="00181DEE" w:rsidTr="00782952">
        <w:tc>
          <w:tcPr>
            <w:tcW w:w="1640" w:type="dxa"/>
            <w:shd w:val="clear" w:color="auto" w:fill="BFBFBF" w:themeFill="background1" w:themeFillShade="BF"/>
            <w:vAlign w:val="center"/>
          </w:tcPr>
          <w:p w:rsidR="00181DEE" w:rsidRDefault="00181DEE" w:rsidP="00C8619A">
            <w:pPr>
              <w:pStyle w:val="Manuscripttableheading"/>
              <w:keepNext/>
              <w:rPr>
                <w:lang w:val="en-US"/>
              </w:rPr>
            </w:pPr>
            <w:r>
              <w:rPr>
                <w:lang w:val="en-US"/>
              </w:rPr>
              <w:t>Intervention</w:t>
            </w:r>
          </w:p>
        </w:tc>
        <w:tc>
          <w:tcPr>
            <w:tcW w:w="1523" w:type="dxa"/>
            <w:shd w:val="clear" w:color="auto" w:fill="BFBFBF" w:themeFill="background1" w:themeFillShade="BF"/>
            <w:vAlign w:val="center"/>
          </w:tcPr>
          <w:p w:rsidR="00181DEE" w:rsidRDefault="00181DEE" w:rsidP="00C8619A">
            <w:pPr>
              <w:pStyle w:val="Manuscripttableheading"/>
              <w:keepNext/>
              <w:jc w:val="center"/>
              <w:rPr>
                <w:lang w:val="en-US"/>
              </w:rPr>
            </w:pPr>
            <w:r>
              <w:rPr>
                <w:lang w:val="en-US"/>
              </w:rPr>
              <w:t>Biologic</w:t>
            </w:r>
          </w:p>
        </w:tc>
        <w:tc>
          <w:tcPr>
            <w:tcW w:w="1567" w:type="dxa"/>
            <w:shd w:val="clear" w:color="auto" w:fill="BFBFBF" w:themeFill="background1" w:themeFillShade="BF"/>
            <w:vAlign w:val="center"/>
          </w:tcPr>
          <w:p w:rsidR="00181DEE" w:rsidRDefault="00181DEE" w:rsidP="00C8619A">
            <w:pPr>
              <w:pStyle w:val="Manuscripttableheading"/>
              <w:keepNext/>
              <w:jc w:val="center"/>
              <w:rPr>
                <w:lang w:val="en-US"/>
              </w:rPr>
            </w:pPr>
            <w:r>
              <w:rPr>
                <w:lang w:val="en-US"/>
              </w:rPr>
              <w:t>csDMARD</w:t>
            </w:r>
          </w:p>
        </w:tc>
        <w:tc>
          <w:tcPr>
            <w:tcW w:w="1693" w:type="dxa"/>
            <w:shd w:val="clear" w:color="auto" w:fill="BFBFBF" w:themeFill="background1" w:themeFillShade="BF"/>
            <w:vAlign w:val="center"/>
          </w:tcPr>
          <w:p w:rsidR="00181DEE" w:rsidRDefault="00181DEE" w:rsidP="00C8619A">
            <w:pPr>
              <w:pStyle w:val="Manuscripttableheading"/>
              <w:keepNext/>
              <w:jc w:val="center"/>
              <w:rPr>
                <w:lang w:val="en-US"/>
              </w:rPr>
            </w:pPr>
            <w:r>
              <w:rPr>
                <w:lang w:val="en-US"/>
              </w:rPr>
              <w:t>Administration</w:t>
            </w:r>
          </w:p>
        </w:tc>
        <w:tc>
          <w:tcPr>
            <w:tcW w:w="1519" w:type="dxa"/>
            <w:shd w:val="clear" w:color="auto" w:fill="BFBFBF" w:themeFill="background1" w:themeFillShade="BF"/>
            <w:vAlign w:val="center"/>
          </w:tcPr>
          <w:p w:rsidR="00181DEE" w:rsidRDefault="00181DEE" w:rsidP="00C8619A">
            <w:pPr>
              <w:pStyle w:val="Manuscripttableheading"/>
              <w:keepNext/>
              <w:jc w:val="center"/>
              <w:rPr>
                <w:lang w:val="en-US"/>
              </w:rPr>
            </w:pPr>
            <w:r>
              <w:rPr>
                <w:lang w:val="en-US"/>
              </w:rPr>
              <w:t>Medical support</w:t>
            </w:r>
          </w:p>
        </w:tc>
        <w:tc>
          <w:tcPr>
            <w:tcW w:w="1553" w:type="dxa"/>
            <w:shd w:val="clear" w:color="auto" w:fill="BFBFBF" w:themeFill="background1" w:themeFillShade="BF"/>
            <w:vAlign w:val="center"/>
          </w:tcPr>
          <w:p w:rsidR="00181DEE" w:rsidRDefault="00181DEE" w:rsidP="00C8619A">
            <w:pPr>
              <w:pStyle w:val="Manuscripttableheading"/>
              <w:keepNext/>
              <w:jc w:val="center"/>
              <w:rPr>
                <w:lang w:val="en-US"/>
              </w:rPr>
            </w:pPr>
            <w:r>
              <w:rPr>
                <w:lang w:val="en-US"/>
              </w:rPr>
              <w:t>Arthritis-related</w:t>
            </w:r>
          </w:p>
        </w:tc>
        <w:tc>
          <w:tcPr>
            <w:tcW w:w="1568" w:type="dxa"/>
            <w:shd w:val="clear" w:color="auto" w:fill="BFBFBF" w:themeFill="background1" w:themeFillShade="BF"/>
            <w:vAlign w:val="center"/>
          </w:tcPr>
          <w:p w:rsidR="00181DEE" w:rsidRDefault="00181DEE" w:rsidP="00C8619A">
            <w:pPr>
              <w:pStyle w:val="Manuscripttableheading"/>
              <w:keepNext/>
              <w:jc w:val="center"/>
              <w:rPr>
                <w:lang w:val="en-US"/>
              </w:rPr>
            </w:pPr>
            <w:r>
              <w:rPr>
                <w:lang w:val="en-US"/>
              </w:rPr>
              <w:t>Psoriasis-related</w:t>
            </w:r>
          </w:p>
        </w:tc>
        <w:tc>
          <w:tcPr>
            <w:tcW w:w="1555" w:type="dxa"/>
            <w:shd w:val="clear" w:color="auto" w:fill="BFBFBF" w:themeFill="background1" w:themeFillShade="BF"/>
            <w:vAlign w:val="center"/>
          </w:tcPr>
          <w:p w:rsidR="00181DEE" w:rsidRDefault="00181DEE" w:rsidP="00C8619A">
            <w:pPr>
              <w:pStyle w:val="Manuscripttableheading"/>
              <w:keepNext/>
              <w:jc w:val="center"/>
              <w:rPr>
                <w:lang w:val="en-US"/>
              </w:rPr>
            </w:pPr>
            <w:r>
              <w:rPr>
                <w:lang w:val="en-US"/>
              </w:rPr>
              <w:t>Infection</w:t>
            </w:r>
          </w:p>
        </w:tc>
        <w:tc>
          <w:tcPr>
            <w:tcW w:w="1332" w:type="dxa"/>
            <w:shd w:val="clear" w:color="auto" w:fill="BFBFBF" w:themeFill="background1" w:themeFillShade="BF"/>
            <w:vAlign w:val="center"/>
          </w:tcPr>
          <w:p w:rsidR="00181DEE" w:rsidRDefault="00181DEE" w:rsidP="00C8619A">
            <w:pPr>
              <w:pStyle w:val="Manuscripttableheading"/>
              <w:keepNext/>
              <w:jc w:val="center"/>
              <w:rPr>
                <w:lang w:val="en-US"/>
              </w:rPr>
            </w:pPr>
            <w:r>
              <w:rPr>
                <w:lang w:val="en-US"/>
              </w:rPr>
              <w:t>Total</w:t>
            </w:r>
          </w:p>
        </w:tc>
      </w:tr>
      <w:tr w:rsidR="00181DEE" w:rsidTr="00782952">
        <w:tc>
          <w:tcPr>
            <w:tcW w:w="1640" w:type="dxa"/>
          </w:tcPr>
          <w:p w:rsidR="00181DEE" w:rsidRDefault="00181DEE" w:rsidP="00C8619A">
            <w:pPr>
              <w:pStyle w:val="Manuscripttableheading"/>
              <w:keepNext/>
              <w:rPr>
                <w:lang w:val="en-US"/>
              </w:rPr>
            </w:pPr>
            <w:r>
              <w:rPr>
                <w:lang w:val="en-US"/>
              </w:rPr>
              <w:t>SEC</w:t>
            </w:r>
          </w:p>
        </w:tc>
        <w:tc>
          <w:tcPr>
            <w:tcW w:w="1523" w:type="dxa"/>
            <w:vAlign w:val="center"/>
          </w:tcPr>
          <w:p w:rsidR="00181DEE" w:rsidRDefault="00181DEE" w:rsidP="00C8619A">
            <w:pPr>
              <w:pStyle w:val="Manuscripttabletext"/>
              <w:keepNext/>
              <w:jc w:val="center"/>
              <w:rPr>
                <w:lang w:val="en-US"/>
              </w:rPr>
            </w:pPr>
            <w:r w:rsidRPr="001334A5">
              <w:t>£34,893</w:t>
            </w:r>
          </w:p>
        </w:tc>
        <w:tc>
          <w:tcPr>
            <w:tcW w:w="1567" w:type="dxa"/>
            <w:vAlign w:val="center"/>
          </w:tcPr>
          <w:p w:rsidR="00181DEE" w:rsidRDefault="00181DEE" w:rsidP="00C8619A">
            <w:pPr>
              <w:pStyle w:val="Manuscripttabletext"/>
              <w:keepNext/>
              <w:jc w:val="center"/>
              <w:rPr>
                <w:lang w:val="en-US"/>
              </w:rPr>
            </w:pPr>
            <w:r w:rsidRPr="001334A5">
              <w:t>£2,935</w:t>
            </w:r>
          </w:p>
        </w:tc>
        <w:tc>
          <w:tcPr>
            <w:tcW w:w="1693" w:type="dxa"/>
            <w:vAlign w:val="center"/>
          </w:tcPr>
          <w:p w:rsidR="00181DEE" w:rsidRDefault="00181DEE" w:rsidP="00C8619A">
            <w:pPr>
              <w:pStyle w:val="Manuscripttabletext"/>
              <w:keepNext/>
              <w:jc w:val="center"/>
              <w:rPr>
                <w:lang w:val="en-US"/>
              </w:rPr>
            </w:pPr>
            <w:r w:rsidRPr="001334A5">
              <w:t>£35</w:t>
            </w:r>
          </w:p>
        </w:tc>
        <w:tc>
          <w:tcPr>
            <w:tcW w:w="1519" w:type="dxa"/>
            <w:vAlign w:val="center"/>
          </w:tcPr>
          <w:p w:rsidR="00181DEE" w:rsidRDefault="00181DEE" w:rsidP="00C8619A">
            <w:pPr>
              <w:pStyle w:val="Manuscripttabletext"/>
              <w:keepNext/>
              <w:jc w:val="center"/>
              <w:rPr>
                <w:lang w:val="en-US"/>
              </w:rPr>
            </w:pPr>
            <w:r w:rsidRPr="001334A5">
              <w:t>£6,661</w:t>
            </w:r>
          </w:p>
        </w:tc>
        <w:tc>
          <w:tcPr>
            <w:tcW w:w="1553" w:type="dxa"/>
            <w:vAlign w:val="center"/>
          </w:tcPr>
          <w:p w:rsidR="00181DEE" w:rsidRDefault="00181DEE" w:rsidP="00C8619A">
            <w:pPr>
              <w:pStyle w:val="Manuscripttabletext"/>
              <w:keepNext/>
              <w:jc w:val="center"/>
              <w:rPr>
                <w:lang w:val="en-US"/>
              </w:rPr>
            </w:pPr>
            <w:r w:rsidRPr="001334A5">
              <w:t>£32,342</w:t>
            </w:r>
          </w:p>
        </w:tc>
        <w:tc>
          <w:tcPr>
            <w:tcW w:w="1568" w:type="dxa"/>
            <w:vAlign w:val="center"/>
          </w:tcPr>
          <w:p w:rsidR="00181DEE" w:rsidRDefault="00181DEE" w:rsidP="00C8619A">
            <w:pPr>
              <w:pStyle w:val="Manuscripttabletext"/>
              <w:keepNext/>
              <w:jc w:val="center"/>
              <w:rPr>
                <w:lang w:val="en-US"/>
              </w:rPr>
            </w:pPr>
            <w:r w:rsidRPr="001334A5">
              <w:t>£14,113</w:t>
            </w:r>
          </w:p>
        </w:tc>
        <w:tc>
          <w:tcPr>
            <w:tcW w:w="1555" w:type="dxa"/>
            <w:vAlign w:val="center"/>
          </w:tcPr>
          <w:p w:rsidR="00181DEE" w:rsidRDefault="00181DEE" w:rsidP="00C8619A">
            <w:pPr>
              <w:pStyle w:val="Manuscripttabletext"/>
              <w:keepNext/>
              <w:jc w:val="center"/>
              <w:rPr>
                <w:lang w:val="en-US"/>
              </w:rPr>
            </w:pPr>
            <w:r w:rsidRPr="001334A5">
              <w:t>£84</w:t>
            </w:r>
          </w:p>
        </w:tc>
        <w:tc>
          <w:tcPr>
            <w:tcW w:w="1332" w:type="dxa"/>
            <w:vAlign w:val="center"/>
          </w:tcPr>
          <w:p w:rsidR="00181DEE" w:rsidRPr="001334A5" w:rsidRDefault="00181DEE" w:rsidP="00C8619A">
            <w:pPr>
              <w:pStyle w:val="Manuscripttabletext"/>
              <w:keepNext/>
              <w:jc w:val="center"/>
            </w:pPr>
            <w:r w:rsidRPr="00DD4F87">
              <w:t>£91,062</w:t>
            </w:r>
          </w:p>
        </w:tc>
      </w:tr>
      <w:tr w:rsidR="00181DEE" w:rsidTr="00782952">
        <w:tc>
          <w:tcPr>
            <w:tcW w:w="1640" w:type="dxa"/>
          </w:tcPr>
          <w:p w:rsidR="00181DEE" w:rsidRDefault="00181DEE" w:rsidP="00C8619A">
            <w:pPr>
              <w:pStyle w:val="Manuscripttableheading"/>
              <w:keepNext/>
              <w:rPr>
                <w:lang w:val="en-US"/>
              </w:rPr>
            </w:pPr>
            <w:r>
              <w:rPr>
                <w:lang w:val="en-US"/>
              </w:rPr>
              <w:t>SoC</w:t>
            </w:r>
          </w:p>
        </w:tc>
        <w:tc>
          <w:tcPr>
            <w:tcW w:w="1523" w:type="dxa"/>
            <w:vAlign w:val="center"/>
          </w:tcPr>
          <w:p w:rsidR="00181DEE" w:rsidRDefault="00181DEE" w:rsidP="00C8619A">
            <w:pPr>
              <w:pStyle w:val="Manuscripttabletext"/>
              <w:keepNext/>
              <w:jc w:val="center"/>
              <w:rPr>
                <w:lang w:val="en-US"/>
              </w:rPr>
            </w:pPr>
            <w:r w:rsidRPr="004C244D">
              <w:t>£0</w:t>
            </w:r>
          </w:p>
        </w:tc>
        <w:tc>
          <w:tcPr>
            <w:tcW w:w="1567" w:type="dxa"/>
            <w:vAlign w:val="center"/>
          </w:tcPr>
          <w:p w:rsidR="00181DEE" w:rsidRDefault="00181DEE" w:rsidP="00C8619A">
            <w:pPr>
              <w:pStyle w:val="Manuscripttabletext"/>
              <w:keepNext/>
              <w:jc w:val="center"/>
              <w:rPr>
                <w:lang w:val="en-US"/>
              </w:rPr>
            </w:pPr>
            <w:r w:rsidRPr="004C244D">
              <w:t>£2,917</w:t>
            </w:r>
          </w:p>
        </w:tc>
        <w:tc>
          <w:tcPr>
            <w:tcW w:w="1693" w:type="dxa"/>
            <w:vAlign w:val="center"/>
          </w:tcPr>
          <w:p w:rsidR="00181DEE" w:rsidRDefault="00181DEE" w:rsidP="00C8619A">
            <w:pPr>
              <w:pStyle w:val="Manuscripttabletext"/>
              <w:keepNext/>
              <w:jc w:val="center"/>
              <w:rPr>
                <w:lang w:val="en-US"/>
              </w:rPr>
            </w:pPr>
            <w:r w:rsidRPr="004C244D">
              <w:t>£0</w:t>
            </w:r>
          </w:p>
        </w:tc>
        <w:tc>
          <w:tcPr>
            <w:tcW w:w="1519" w:type="dxa"/>
            <w:vAlign w:val="center"/>
          </w:tcPr>
          <w:p w:rsidR="00181DEE" w:rsidRDefault="00181DEE" w:rsidP="00C8619A">
            <w:pPr>
              <w:pStyle w:val="Manuscripttabletext"/>
              <w:keepNext/>
              <w:jc w:val="center"/>
              <w:rPr>
                <w:lang w:val="en-US"/>
              </w:rPr>
            </w:pPr>
            <w:r w:rsidRPr="004C244D">
              <w:t>£7,925</w:t>
            </w:r>
          </w:p>
        </w:tc>
        <w:tc>
          <w:tcPr>
            <w:tcW w:w="1553" w:type="dxa"/>
            <w:vAlign w:val="center"/>
          </w:tcPr>
          <w:p w:rsidR="00181DEE" w:rsidRDefault="00181DEE" w:rsidP="00C8619A">
            <w:pPr>
              <w:pStyle w:val="Manuscripttabletext"/>
              <w:keepNext/>
              <w:jc w:val="center"/>
              <w:rPr>
                <w:lang w:val="en-US"/>
              </w:rPr>
            </w:pPr>
            <w:r w:rsidRPr="004C244D">
              <w:t>£35,011</w:t>
            </w:r>
          </w:p>
        </w:tc>
        <w:tc>
          <w:tcPr>
            <w:tcW w:w="1568" w:type="dxa"/>
            <w:vAlign w:val="center"/>
          </w:tcPr>
          <w:p w:rsidR="00181DEE" w:rsidRDefault="00181DEE" w:rsidP="00C8619A">
            <w:pPr>
              <w:pStyle w:val="Manuscripttabletext"/>
              <w:keepNext/>
              <w:jc w:val="center"/>
              <w:rPr>
                <w:lang w:val="en-US"/>
              </w:rPr>
            </w:pPr>
            <w:r w:rsidRPr="004C244D">
              <w:t>£15,591</w:t>
            </w:r>
          </w:p>
        </w:tc>
        <w:tc>
          <w:tcPr>
            <w:tcW w:w="1555" w:type="dxa"/>
            <w:vAlign w:val="center"/>
          </w:tcPr>
          <w:p w:rsidR="00181DEE" w:rsidRDefault="00181DEE" w:rsidP="00C8619A">
            <w:pPr>
              <w:pStyle w:val="Manuscripttabletext"/>
              <w:keepNext/>
              <w:jc w:val="center"/>
              <w:rPr>
                <w:lang w:val="en-US"/>
              </w:rPr>
            </w:pPr>
            <w:r w:rsidRPr="004C244D">
              <w:t>£0</w:t>
            </w:r>
          </w:p>
        </w:tc>
        <w:tc>
          <w:tcPr>
            <w:tcW w:w="1332" w:type="dxa"/>
            <w:vAlign w:val="center"/>
          </w:tcPr>
          <w:p w:rsidR="00181DEE" w:rsidRPr="004C244D" w:rsidRDefault="00181DEE" w:rsidP="00C8619A">
            <w:pPr>
              <w:pStyle w:val="Manuscripttabletext"/>
              <w:keepNext/>
              <w:jc w:val="center"/>
            </w:pPr>
            <w:r w:rsidRPr="00DD4F87">
              <w:t>£61,443</w:t>
            </w:r>
          </w:p>
        </w:tc>
      </w:tr>
    </w:tbl>
    <w:p w:rsidR="00181DEE" w:rsidRPr="003600A9" w:rsidRDefault="00181DEE" w:rsidP="00C8619A">
      <w:pPr>
        <w:pStyle w:val="Manuscriptfootnote"/>
        <w:keepNext/>
        <w:rPr>
          <w:lang w:val="en-US"/>
        </w:rPr>
      </w:pPr>
      <w:r w:rsidRPr="0032418C">
        <w:rPr>
          <w:lang w:val="en-US"/>
        </w:rPr>
        <w:t>csDMARD: conventional systemic disease-modifying anti-rheumatic drug; SEC: secukinumab; SoC: Standard of Care.</w:t>
      </w:r>
    </w:p>
    <w:p w:rsidR="00181DEE" w:rsidRDefault="00181DEE" w:rsidP="00181DEE">
      <w:pPr>
        <w:pStyle w:val="ListParagraph"/>
        <w:numPr>
          <w:ilvl w:val="0"/>
          <w:numId w:val="26"/>
        </w:numPr>
        <w:spacing w:after="120"/>
        <w:ind w:left="714" w:hanging="357"/>
        <w:rPr>
          <w:rFonts w:ascii="Tahoma" w:hAnsi="Tahoma" w:cs="Tahoma"/>
          <w:b/>
          <w:sz w:val="22"/>
          <w:lang w:val="en-US"/>
        </w:rPr>
      </w:pPr>
      <w:r w:rsidRPr="003600A9">
        <w:rPr>
          <w:rFonts w:ascii="Tahoma" w:hAnsi="Tahoma" w:cs="Tahoma"/>
          <w:b/>
          <w:sz w:val="22"/>
          <w:lang w:val="en-US"/>
        </w:rPr>
        <w:t>≥2 prior csDMARDs</w:t>
      </w:r>
    </w:p>
    <w:tbl>
      <w:tblPr>
        <w:tblStyle w:val="TableGrid"/>
        <w:tblW w:w="0" w:type="auto"/>
        <w:tblLook w:val="04A0" w:firstRow="1" w:lastRow="0" w:firstColumn="1" w:lastColumn="0" w:noHBand="0" w:noVBand="1"/>
      </w:tblPr>
      <w:tblGrid>
        <w:gridCol w:w="1640"/>
        <w:gridCol w:w="1523"/>
        <w:gridCol w:w="1567"/>
        <w:gridCol w:w="1693"/>
        <w:gridCol w:w="1519"/>
        <w:gridCol w:w="1553"/>
        <w:gridCol w:w="1568"/>
        <w:gridCol w:w="1555"/>
        <w:gridCol w:w="1332"/>
      </w:tblGrid>
      <w:tr w:rsidR="00181DEE" w:rsidTr="00782952">
        <w:tc>
          <w:tcPr>
            <w:tcW w:w="1640" w:type="dxa"/>
            <w:shd w:val="clear" w:color="auto" w:fill="BFBFBF" w:themeFill="background1" w:themeFillShade="BF"/>
            <w:vAlign w:val="center"/>
          </w:tcPr>
          <w:p w:rsidR="00181DEE" w:rsidRDefault="00181DEE" w:rsidP="00782952">
            <w:pPr>
              <w:pStyle w:val="Manuscripttableheading"/>
              <w:rPr>
                <w:lang w:val="en-US"/>
              </w:rPr>
            </w:pPr>
            <w:r>
              <w:rPr>
                <w:lang w:val="en-US"/>
              </w:rPr>
              <w:t>Intervention</w:t>
            </w:r>
          </w:p>
        </w:tc>
        <w:tc>
          <w:tcPr>
            <w:tcW w:w="1523" w:type="dxa"/>
            <w:shd w:val="clear" w:color="auto" w:fill="BFBFBF" w:themeFill="background1" w:themeFillShade="BF"/>
            <w:vAlign w:val="center"/>
          </w:tcPr>
          <w:p w:rsidR="00181DEE" w:rsidRDefault="00181DEE" w:rsidP="00782952">
            <w:pPr>
              <w:pStyle w:val="Manuscripttableheading"/>
              <w:jc w:val="center"/>
              <w:rPr>
                <w:lang w:val="en-US"/>
              </w:rPr>
            </w:pPr>
            <w:r>
              <w:rPr>
                <w:lang w:val="en-US"/>
              </w:rPr>
              <w:t>Biologic</w:t>
            </w:r>
          </w:p>
        </w:tc>
        <w:tc>
          <w:tcPr>
            <w:tcW w:w="1567" w:type="dxa"/>
            <w:shd w:val="clear" w:color="auto" w:fill="BFBFBF" w:themeFill="background1" w:themeFillShade="BF"/>
            <w:vAlign w:val="center"/>
          </w:tcPr>
          <w:p w:rsidR="00181DEE" w:rsidRDefault="00181DEE" w:rsidP="00782952">
            <w:pPr>
              <w:pStyle w:val="Manuscripttableheading"/>
              <w:jc w:val="center"/>
              <w:rPr>
                <w:lang w:val="en-US"/>
              </w:rPr>
            </w:pPr>
            <w:r>
              <w:rPr>
                <w:lang w:val="en-US"/>
              </w:rPr>
              <w:t>csDMARD</w:t>
            </w:r>
          </w:p>
        </w:tc>
        <w:tc>
          <w:tcPr>
            <w:tcW w:w="1693" w:type="dxa"/>
            <w:shd w:val="clear" w:color="auto" w:fill="BFBFBF" w:themeFill="background1" w:themeFillShade="BF"/>
            <w:vAlign w:val="center"/>
          </w:tcPr>
          <w:p w:rsidR="00181DEE" w:rsidRDefault="00181DEE" w:rsidP="00782952">
            <w:pPr>
              <w:pStyle w:val="Manuscripttableheading"/>
              <w:jc w:val="center"/>
              <w:rPr>
                <w:lang w:val="en-US"/>
              </w:rPr>
            </w:pPr>
            <w:r>
              <w:rPr>
                <w:lang w:val="en-US"/>
              </w:rPr>
              <w:t>Administration</w:t>
            </w:r>
          </w:p>
        </w:tc>
        <w:tc>
          <w:tcPr>
            <w:tcW w:w="1519" w:type="dxa"/>
            <w:shd w:val="clear" w:color="auto" w:fill="BFBFBF" w:themeFill="background1" w:themeFillShade="BF"/>
            <w:vAlign w:val="center"/>
          </w:tcPr>
          <w:p w:rsidR="00181DEE" w:rsidRDefault="00181DEE" w:rsidP="00782952">
            <w:pPr>
              <w:pStyle w:val="Manuscripttableheading"/>
              <w:jc w:val="center"/>
              <w:rPr>
                <w:lang w:val="en-US"/>
              </w:rPr>
            </w:pPr>
            <w:r>
              <w:rPr>
                <w:lang w:val="en-US"/>
              </w:rPr>
              <w:t>Medical support</w:t>
            </w:r>
          </w:p>
        </w:tc>
        <w:tc>
          <w:tcPr>
            <w:tcW w:w="1553" w:type="dxa"/>
            <w:shd w:val="clear" w:color="auto" w:fill="BFBFBF" w:themeFill="background1" w:themeFillShade="BF"/>
            <w:vAlign w:val="center"/>
          </w:tcPr>
          <w:p w:rsidR="00181DEE" w:rsidRDefault="00181DEE" w:rsidP="00782952">
            <w:pPr>
              <w:pStyle w:val="Manuscripttableheading"/>
              <w:jc w:val="center"/>
              <w:rPr>
                <w:lang w:val="en-US"/>
              </w:rPr>
            </w:pPr>
            <w:r>
              <w:rPr>
                <w:lang w:val="en-US"/>
              </w:rPr>
              <w:t>Arthritis-related</w:t>
            </w:r>
          </w:p>
        </w:tc>
        <w:tc>
          <w:tcPr>
            <w:tcW w:w="1568" w:type="dxa"/>
            <w:shd w:val="clear" w:color="auto" w:fill="BFBFBF" w:themeFill="background1" w:themeFillShade="BF"/>
            <w:vAlign w:val="center"/>
          </w:tcPr>
          <w:p w:rsidR="00181DEE" w:rsidRDefault="00181DEE" w:rsidP="00782952">
            <w:pPr>
              <w:pStyle w:val="Manuscripttableheading"/>
              <w:jc w:val="center"/>
              <w:rPr>
                <w:lang w:val="en-US"/>
              </w:rPr>
            </w:pPr>
            <w:r>
              <w:rPr>
                <w:lang w:val="en-US"/>
              </w:rPr>
              <w:t>Psoriasis-related</w:t>
            </w:r>
          </w:p>
        </w:tc>
        <w:tc>
          <w:tcPr>
            <w:tcW w:w="1555" w:type="dxa"/>
            <w:shd w:val="clear" w:color="auto" w:fill="BFBFBF" w:themeFill="background1" w:themeFillShade="BF"/>
            <w:vAlign w:val="center"/>
          </w:tcPr>
          <w:p w:rsidR="00181DEE" w:rsidRDefault="00181DEE" w:rsidP="00782952">
            <w:pPr>
              <w:pStyle w:val="Manuscripttableheading"/>
              <w:jc w:val="center"/>
              <w:rPr>
                <w:lang w:val="en-US"/>
              </w:rPr>
            </w:pPr>
            <w:r>
              <w:rPr>
                <w:lang w:val="en-US"/>
              </w:rPr>
              <w:t>Infection</w:t>
            </w:r>
          </w:p>
        </w:tc>
        <w:tc>
          <w:tcPr>
            <w:tcW w:w="1332" w:type="dxa"/>
            <w:shd w:val="clear" w:color="auto" w:fill="BFBFBF" w:themeFill="background1" w:themeFillShade="BF"/>
            <w:vAlign w:val="center"/>
          </w:tcPr>
          <w:p w:rsidR="00181DEE" w:rsidRDefault="00181DEE" w:rsidP="00782952">
            <w:pPr>
              <w:pStyle w:val="Manuscripttableheading"/>
              <w:jc w:val="center"/>
              <w:rPr>
                <w:lang w:val="en-US"/>
              </w:rPr>
            </w:pPr>
            <w:r>
              <w:rPr>
                <w:lang w:val="en-US"/>
              </w:rPr>
              <w:t>Total</w:t>
            </w:r>
          </w:p>
        </w:tc>
      </w:tr>
      <w:tr w:rsidR="00181DEE" w:rsidTr="00782952">
        <w:tc>
          <w:tcPr>
            <w:tcW w:w="1640" w:type="dxa"/>
            <w:vAlign w:val="center"/>
          </w:tcPr>
          <w:p w:rsidR="00181DEE" w:rsidRDefault="00181DEE" w:rsidP="00782952">
            <w:pPr>
              <w:pStyle w:val="Manuscripttableheading"/>
              <w:rPr>
                <w:lang w:val="en-US"/>
              </w:rPr>
            </w:pPr>
            <w:r>
              <w:rPr>
                <w:lang w:val="en-US"/>
              </w:rPr>
              <w:t>SEC</w:t>
            </w:r>
          </w:p>
        </w:tc>
        <w:tc>
          <w:tcPr>
            <w:tcW w:w="1523" w:type="dxa"/>
            <w:vAlign w:val="center"/>
          </w:tcPr>
          <w:p w:rsidR="00181DEE" w:rsidRDefault="00181DEE" w:rsidP="00782952">
            <w:pPr>
              <w:pStyle w:val="Manuscripttabletext"/>
              <w:jc w:val="center"/>
              <w:rPr>
                <w:lang w:val="en-US"/>
              </w:rPr>
            </w:pPr>
            <w:r w:rsidRPr="00445EB5">
              <w:t>£38,591</w:t>
            </w:r>
          </w:p>
        </w:tc>
        <w:tc>
          <w:tcPr>
            <w:tcW w:w="1567" w:type="dxa"/>
            <w:vAlign w:val="center"/>
          </w:tcPr>
          <w:p w:rsidR="00181DEE" w:rsidRDefault="00181DEE" w:rsidP="00782952">
            <w:pPr>
              <w:pStyle w:val="Manuscripttabletext"/>
              <w:jc w:val="center"/>
              <w:rPr>
                <w:lang w:val="en-US"/>
              </w:rPr>
            </w:pPr>
            <w:r w:rsidRPr="00445EB5">
              <w:t>£2,935</w:t>
            </w:r>
          </w:p>
        </w:tc>
        <w:tc>
          <w:tcPr>
            <w:tcW w:w="1693" w:type="dxa"/>
            <w:vAlign w:val="center"/>
          </w:tcPr>
          <w:p w:rsidR="00181DEE" w:rsidRDefault="00181DEE" w:rsidP="00782952">
            <w:pPr>
              <w:pStyle w:val="Manuscripttabletext"/>
              <w:jc w:val="center"/>
              <w:rPr>
                <w:lang w:val="en-US"/>
              </w:rPr>
            </w:pPr>
            <w:r w:rsidRPr="00445EB5">
              <w:t>£35</w:t>
            </w:r>
          </w:p>
        </w:tc>
        <w:tc>
          <w:tcPr>
            <w:tcW w:w="1519" w:type="dxa"/>
            <w:vAlign w:val="center"/>
          </w:tcPr>
          <w:p w:rsidR="00181DEE" w:rsidRDefault="00181DEE" w:rsidP="00782952">
            <w:pPr>
              <w:pStyle w:val="Manuscripttabletext"/>
              <w:jc w:val="center"/>
              <w:rPr>
                <w:lang w:val="en-US"/>
              </w:rPr>
            </w:pPr>
            <w:r w:rsidRPr="00445EB5">
              <w:t>£6,252</w:t>
            </w:r>
          </w:p>
        </w:tc>
        <w:tc>
          <w:tcPr>
            <w:tcW w:w="1553" w:type="dxa"/>
            <w:vAlign w:val="center"/>
          </w:tcPr>
          <w:p w:rsidR="00181DEE" w:rsidRDefault="00181DEE" w:rsidP="00782952">
            <w:pPr>
              <w:pStyle w:val="Manuscripttabletext"/>
              <w:jc w:val="center"/>
              <w:rPr>
                <w:lang w:val="en-US"/>
              </w:rPr>
            </w:pPr>
            <w:r w:rsidRPr="00445EB5">
              <w:t>£31,975</w:t>
            </w:r>
          </w:p>
        </w:tc>
        <w:tc>
          <w:tcPr>
            <w:tcW w:w="1568" w:type="dxa"/>
            <w:vAlign w:val="center"/>
          </w:tcPr>
          <w:p w:rsidR="00181DEE" w:rsidRDefault="00181DEE" w:rsidP="00782952">
            <w:pPr>
              <w:pStyle w:val="Manuscripttabletext"/>
              <w:jc w:val="center"/>
              <w:rPr>
                <w:lang w:val="en-US"/>
              </w:rPr>
            </w:pPr>
            <w:r w:rsidRPr="00445EB5">
              <w:t>£13,232</w:t>
            </w:r>
          </w:p>
        </w:tc>
        <w:tc>
          <w:tcPr>
            <w:tcW w:w="1555" w:type="dxa"/>
            <w:vAlign w:val="center"/>
          </w:tcPr>
          <w:p w:rsidR="00181DEE" w:rsidRDefault="00181DEE" w:rsidP="00782952">
            <w:pPr>
              <w:pStyle w:val="Manuscripttabletext"/>
              <w:jc w:val="center"/>
              <w:rPr>
                <w:lang w:val="en-US"/>
              </w:rPr>
            </w:pPr>
            <w:r w:rsidRPr="00445EB5">
              <w:t>£93</w:t>
            </w:r>
          </w:p>
        </w:tc>
        <w:tc>
          <w:tcPr>
            <w:tcW w:w="1332" w:type="dxa"/>
            <w:vAlign w:val="center"/>
          </w:tcPr>
          <w:p w:rsidR="00181DEE" w:rsidRDefault="00181DEE" w:rsidP="00782952">
            <w:pPr>
              <w:pStyle w:val="Manuscripttabletext"/>
              <w:jc w:val="center"/>
              <w:rPr>
                <w:lang w:val="en-US"/>
              </w:rPr>
            </w:pPr>
            <w:r w:rsidRPr="00445EB5">
              <w:t>£93,113</w:t>
            </w:r>
          </w:p>
        </w:tc>
      </w:tr>
      <w:tr w:rsidR="00181DEE" w:rsidTr="00782952">
        <w:tc>
          <w:tcPr>
            <w:tcW w:w="1640" w:type="dxa"/>
            <w:vAlign w:val="center"/>
          </w:tcPr>
          <w:p w:rsidR="00181DEE" w:rsidRDefault="00181DEE" w:rsidP="00782952">
            <w:pPr>
              <w:pStyle w:val="Manuscripttableheading"/>
              <w:rPr>
                <w:lang w:val="en-US"/>
              </w:rPr>
            </w:pPr>
            <w:r>
              <w:rPr>
                <w:lang w:val="en-US"/>
              </w:rPr>
              <w:t>ADA</w:t>
            </w:r>
          </w:p>
        </w:tc>
        <w:tc>
          <w:tcPr>
            <w:tcW w:w="1523" w:type="dxa"/>
            <w:vAlign w:val="center"/>
          </w:tcPr>
          <w:p w:rsidR="00181DEE" w:rsidRDefault="00181DEE" w:rsidP="00782952">
            <w:pPr>
              <w:pStyle w:val="Manuscripttabletext"/>
              <w:jc w:val="center"/>
              <w:rPr>
                <w:lang w:val="en-US"/>
              </w:rPr>
            </w:pPr>
            <w:r w:rsidRPr="00445EB5">
              <w:t>£33,368</w:t>
            </w:r>
          </w:p>
        </w:tc>
        <w:tc>
          <w:tcPr>
            <w:tcW w:w="1567" w:type="dxa"/>
            <w:vAlign w:val="center"/>
          </w:tcPr>
          <w:p w:rsidR="00181DEE" w:rsidRDefault="00181DEE" w:rsidP="00782952">
            <w:pPr>
              <w:pStyle w:val="Manuscripttabletext"/>
              <w:jc w:val="center"/>
              <w:rPr>
                <w:lang w:val="en-US"/>
              </w:rPr>
            </w:pPr>
            <w:r w:rsidRPr="00445EB5">
              <w:t>£2,935</w:t>
            </w:r>
          </w:p>
        </w:tc>
        <w:tc>
          <w:tcPr>
            <w:tcW w:w="1693" w:type="dxa"/>
            <w:vAlign w:val="center"/>
          </w:tcPr>
          <w:p w:rsidR="00181DEE" w:rsidRDefault="00181DEE" w:rsidP="00782952">
            <w:pPr>
              <w:pStyle w:val="Manuscripttabletext"/>
              <w:jc w:val="center"/>
              <w:rPr>
                <w:lang w:val="en-US"/>
              </w:rPr>
            </w:pPr>
            <w:r w:rsidRPr="00445EB5">
              <w:t>£35</w:t>
            </w:r>
          </w:p>
        </w:tc>
        <w:tc>
          <w:tcPr>
            <w:tcW w:w="1519" w:type="dxa"/>
            <w:vAlign w:val="center"/>
          </w:tcPr>
          <w:p w:rsidR="00181DEE" w:rsidRDefault="00181DEE" w:rsidP="00782952">
            <w:pPr>
              <w:pStyle w:val="Manuscripttabletext"/>
              <w:jc w:val="center"/>
              <w:rPr>
                <w:lang w:val="en-US"/>
              </w:rPr>
            </w:pPr>
            <w:r w:rsidRPr="00445EB5">
              <w:t>£7,320</w:t>
            </w:r>
          </w:p>
        </w:tc>
        <w:tc>
          <w:tcPr>
            <w:tcW w:w="1553" w:type="dxa"/>
            <w:vAlign w:val="center"/>
          </w:tcPr>
          <w:p w:rsidR="00181DEE" w:rsidRDefault="00181DEE" w:rsidP="00782952">
            <w:pPr>
              <w:pStyle w:val="Manuscripttabletext"/>
              <w:jc w:val="center"/>
              <w:rPr>
                <w:lang w:val="en-US"/>
              </w:rPr>
            </w:pPr>
            <w:r w:rsidRPr="00445EB5">
              <w:t>£32,924</w:t>
            </w:r>
          </w:p>
        </w:tc>
        <w:tc>
          <w:tcPr>
            <w:tcW w:w="1568" w:type="dxa"/>
            <w:vAlign w:val="center"/>
          </w:tcPr>
          <w:p w:rsidR="00181DEE" w:rsidRDefault="00181DEE" w:rsidP="00782952">
            <w:pPr>
              <w:pStyle w:val="Manuscripttabletext"/>
              <w:jc w:val="center"/>
              <w:rPr>
                <w:lang w:val="en-US"/>
              </w:rPr>
            </w:pPr>
            <w:r w:rsidRPr="00445EB5">
              <w:t>£14,275</w:t>
            </w:r>
          </w:p>
        </w:tc>
        <w:tc>
          <w:tcPr>
            <w:tcW w:w="1555" w:type="dxa"/>
            <w:vAlign w:val="center"/>
          </w:tcPr>
          <w:p w:rsidR="00181DEE" w:rsidRDefault="00181DEE" w:rsidP="00782952">
            <w:pPr>
              <w:pStyle w:val="Manuscripttabletext"/>
              <w:jc w:val="center"/>
              <w:rPr>
                <w:lang w:val="en-US"/>
              </w:rPr>
            </w:pPr>
            <w:r w:rsidRPr="00445EB5">
              <w:t>£135</w:t>
            </w:r>
          </w:p>
        </w:tc>
        <w:tc>
          <w:tcPr>
            <w:tcW w:w="1332" w:type="dxa"/>
            <w:vAlign w:val="center"/>
          </w:tcPr>
          <w:p w:rsidR="00181DEE" w:rsidRDefault="00181DEE" w:rsidP="00782952">
            <w:pPr>
              <w:pStyle w:val="Manuscripttabletext"/>
              <w:jc w:val="center"/>
              <w:rPr>
                <w:lang w:val="en-US"/>
              </w:rPr>
            </w:pPr>
            <w:r w:rsidRPr="00445EB5">
              <w:t>£90,993</w:t>
            </w:r>
          </w:p>
        </w:tc>
      </w:tr>
      <w:tr w:rsidR="00181DEE" w:rsidTr="00782952">
        <w:tc>
          <w:tcPr>
            <w:tcW w:w="1640" w:type="dxa"/>
            <w:vAlign w:val="center"/>
          </w:tcPr>
          <w:p w:rsidR="00181DEE" w:rsidRDefault="00181DEE" w:rsidP="00782952">
            <w:pPr>
              <w:pStyle w:val="Manuscripttableheading"/>
              <w:rPr>
                <w:lang w:val="en-US"/>
              </w:rPr>
            </w:pPr>
            <w:r>
              <w:rPr>
                <w:lang w:val="en-US"/>
              </w:rPr>
              <w:t>CZP</w:t>
            </w:r>
          </w:p>
        </w:tc>
        <w:tc>
          <w:tcPr>
            <w:tcW w:w="1523" w:type="dxa"/>
            <w:vAlign w:val="center"/>
          </w:tcPr>
          <w:p w:rsidR="00181DEE" w:rsidRPr="004C244D" w:rsidRDefault="00181DEE" w:rsidP="00782952">
            <w:pPr>
              <w:pStyle w:val="Manuscripttabletext"/>
              <w:jc w:val="center"/>
            </w:pPr>
            <w:r w:rsidRPr="00445EB5">
              <w:t>£44,758</w:t>
            </w:r>
          </w:p>
        </w:tc>
        <w:tc>
          <w:tcPr>
            <w:tcW w:w="1567" w:type="dxa"/>
            <w:vAlign w:val="center"/>
          </w:tcPr>
          <w:p w:rsidR="00181DEE" w:rsidRPr="004C244D" w:rsidRDefault="00181DEE" w:rsidP="00782952">
            <w:pPr>
              <w:pStyle w:val="Manuscripttabletext"/>
              <w:jc w:val="center"/>
            </w:pPr>
            <w:r w:rsidRPr="00445EB5">
              <w:t>£2,935</w:t>
            </w:r>
          </w:p>
        </w:tc>
        <w:tc>
          <w:tcPr>
            <w:tcW w:w="1693" w:type="dxa"/>
            <w:vAlign w:val="center"/>
          </w:tcPr>
          <w:p w:rsidR="00181DEE" w:rsidRPr="004C244D" w:rsidRDefault="00181DEE" w:rsidP="00782952">
            <w:pPr>
              <w:pStyle w:val="Manuscripttabletext"/>
              <w:jc w:val="center"/>
            </w:pPr>
            <w:r w:rsidRPr="00445EB5">
              <w:t>£35</w:t>
            </w:r>
          </w:p>
        </w:tc>
        <w:tc>
          <w:tcPr>
            <w:tcW w:w="1519" w:type="dxa"/>
            <w:vAlign w:val="center"/>
          </w:tcPr>
          <w:p w:rsidR="00181DEE" w:rsidRPr="004C244D" w:rsidRDefault="00181DEE" w:rsidP="00782952">
            <w:pPr>
              <w:pStyle w:val="Manuscripttabletext"/>
              <w:jc w:val="center"/>
            </w:pPr>
            <w:r w:rsidRPr="00445EB5">
              <w:t>£6,465</w:t>
            </w:r>
          </w:p>
        </w:tc>
        <w:tc>
          <w:tcPr>
            <w:tcW w:w="1553" w:type="dxa"/>
            <w:vAlign w:val="center"/>
          </w:tcPr>
          <w:p w:rsidR="00181DEE" w:rsidRPr="004C244D" w:rsidRDefault="00181DEE" w:rsidP="00782952">
            <w:pPr>
              <w:pStyle w:val="Manuscripttabletext"/>
              <w:jc w:val="center"/>
            </w:pPr>
            <w:r w:rsidRPr="00445EB5">
              <w:t>£32,112</w:t>
            </w:r>
          </w:p>
        </w:tc>
        <w:tc>
          <w:tcPr>
            <w:tcW w:w="1568" w:type="dxa"/>
            <w:vAlign w:val="center"/>
          </w:tcPr>
          <w:p w:rsidR="00181DEE" w:rsidRPr="004C244D" w:rsidRDefault="00181DEE" w:rsidP="00782952">
            <w:pPr>
              <w:pStyle w:val="Manuscripttabletext"/>
              <w:jc w:val="center"/>
            </w:pPr>
            <w:r w:rsidRPr="00445EB5">
              <w:t>£14,743</w:t>
            </w:r>
          </w:p>
        </w:tc>
        <w:tc>
          <w:tcPr>
            <w:tcW w:w="1555" w:type="dxa"/>
            <w:vAlign w:val="center"/>
          </w:tcPr>
          <w:p w:rsidR="00181DEE" w:rsidRPr="004C244D" w:rsidRDefault="00181DEE" w:rsidP="00782952">
            <w:pPr>
              <w:pStyle w:val="Manuscripttabletext"/>
              <w:jc w:val="center"/>
            </w:pPr>
            <w:r w:rsidRPr="00445EB5">
              <w:t>£198</w:t>
            </w:r>
          </w:p>
        </w:tc>
        <w:tc>
          <w:tcPr>
            <w:tcW w:w="1332" w:type="dxa"/>
            <w:vAlign w:val="center"/>
          </w:tcPr>
          <w:p w:rsidR="00181DEE" w:rsidRPr="004C244D" w:rsidRDefault="00181DEE" w:rsidP="00782952">
            <w:pPr>
              <w:pStyle w:val="Manuscripttabletext"/>
              <w:jc w:val="center"/>
            </w:pPr>
            <w:r w:rsidRPr="00445EB5">
              <w:t>£101,246</w:t>
            </w:r>
          </w:p>
        </w:tc>
      </w:tr>
      <w:tr w:rsidR="00181DEE" w:rsidTr="00782952">
        <w:tc>
          <w:tcPr>
            <w:tcW w:w="1640" w:type="dxa"/>
            <w:vAlign w:val="center"/>
          </w:tcPr>
          <w:p w:rsidR="00181DEE" w:rsidRDefault="00181DEE" w:rsidP="00782952">
            <w:pPr>
              <w:pStyle w:val="Manuscripttableheading"/>
              <w:rPr>
                <w:lang w:val="en-US"/>
              </w:rPr>
            </w:pPr>
            <w:r>
              <w:rPr>
                <w:lang w:val="en-US"/>
              </w:rPr>
              <w:t>ETN (originator)</w:t>
            </w:r>
          </w:p>
        </w:tc>
        <w:tc>
          <w:tcPr>
            <w:tcW w:w="1523" w:type="dxa"/>
            <w:vAlign w:val="center"/>
          </w:tcPr>
          <w:p w:rsidR="00181DEE" w:rsidRPr="004C244D" w:rsidRDefault="00181DEE" w:rsidP="00782952">
            <w:pPr>
              <w:pStyle w:val="Manuscripttabletext"/>
              <w:jc w:val="center"/>
            </w:pPr>
            <w:r w:rsidRPr="00445EB5">
              <w:t>£43,936</w:t>
            </w:r>
          </w:p>
        </w:tc>
        <w:tc>
          <w:tcPr>
            <w:tcW w:w="1567" w:type="dxa"/>
            <w:vAlign w:val="center"/>
          </w:tcPr>
          <w:p w:rsidR="00181DEE" w:rsidRPr="004C244D" w:rsidRDefault="00181DEE" w:rsidP="00782952">
            <w:pPr>
              <w:pStyle w:val="Manuscripttabletext"/>
              <w:jc w:val="center"/>
            </w:pPr>
            <w:r w:rsidRPr="00445EB5">
              <w:t>£2,935</w:t>
            </w:r>
          </w:p>
        </w:tc>
        <w:tc>
          <w:tcPr>
            <w:tcW w:w="1693" w:type="dxa"/>
            <w:vAlign w:val="center"/>
          </w:tcPr>
          <w:p w:rsidR="00181DEE" w:rsidRPr="004C244D" w:rsidRDefault="00181DEE" w:rsidP="00782952">
            <w:pPr>
              <w:pStyle w:val="Manuscripttabletext"/>
              <w:jc w:val="center"/>
            </w:pPr>
            <w:r w:rsidRPr="00445EB5">
              <w:t>£35</w:t>
            </w:r>
          </w:p>
        </w:tc>
        <w:tc>
          <w:tcPr>
            <w:tcW w:w="1519" w:type="dxa"/>
            <w:vAlign w:val="center"/>
          </w:tcPr>
          <w:p w:rsidR="00181DEE" w:rsidRPr="004C244D" w:rsidRDefault="00181DEE" w:rsidP="00782952">
            <w:pPr>
              <w:pStyle w:val="Manuscripttabletext"/>
              <w:jc w:val="center"/>
            </w:pPr>
            <w:r w:rsidRPr="00445EB5">
              <w:t>£6,439</w:t>
            </w:r>
          </w:p>
        </w:tc>
        <w:tc>
          <w:tcPr>
            <w:tcW w:w="1553" w:type="dxa"/>
            <w:vAlign w:val="center"/>
          </w:tcPr>
          <w:p w:rsidR="00181DEE" w:rsidRPr="004C244D" w:rsidRDefault="00181DEE" w:rsidP="00782952">
            <w:pPr>
              <w:pStyle w:val="Manuscripttabletext"/>
              <w:jc w:val="center"/>
            </w:pPr>
            <w:r w:rsidRPr="00445EB5">
              <w:t>£31,923</w:t>
            </w:r>
          </w:p>
        </w:tc>
        <w:tc>
          <w:tcPr>
            <w:tcW w:w="1568" w:type="dxa"/>
            <w:vAlign w:val="center"/>
          </w:tcPr>
          <w:p w:rsidR="00181DEE" w:rsidRPr="004C244D" w:rsidRDefault="00181DEE" w:rsidP="00782952">
            <w:pPr>
              <w:pStyle w:val="Manuscripttabletext"/>
              <w:jc w:val="center"/>
            </w:pPr>
            <w:r w:rsidRPr="00445EB5">
              <w:t>£14,756</w:t>
            </w:r>
          </w:p>
        </w:tc>
        <w:tc>
          <w:tcPr>
            <w:tcW w:w="1555" w:type="dxa"/>
            <w:vAlign w:val="center"/>
          </w:tcPr>
          <w:p w:rsidR="00181DEE" w:rsidRPr="004C244D" w:rsidRDefault="00181DEE" w:rsidP="00782952">
            <w:pPr>
              <w:pStyle w:val="Manuscripttabletext"/>
              <w:jc w:val="center"/>
            </w:pPr>
            <w:r w:rsidRPr="00445EB5">
              <w:t>£110</w:t>
            </w:r>
          </w:p>
        </w:tc>
        <w:tc>
          <w:tcPr>
            <w:tcW w:w="1332" w:type="dxa"/>
            <w:vAlign w:val="center"/>
          </w:tcPr>
          <w:p w:rsidR="00181DEE" w:rsidRPr="004C244D" w:rsidRDefault="00181DEE" w:rsidP="00782952">
            <w:pPr>
              <w:pStyle w:val="Manuscripttabletext"/>
              <w:jc w:val="center"/>
            </w:pPr>
            <w:r w:rsidRPr="00445EB5">
              <w:t>£100,134</w:t>
            </w:r>
          </w:p>
        </w:tc>
      </w:tr>
      <w:tr w:rsidR="00181DEE" w:rsidTr="00782952">
        <w:tc>
          <w:tcPr>
            <w:tcW w:w="1640" w:type="dxa"/>
            <w:vAlign w:val="center"/>
          </w:tcPr>
          <w:p w:rsidR="00181DEE" w:rsidRDefault="00181DEE" w:rsidP="00782952">
            <w:pPr>
              <w:pStyle w:val="Manuscripttableheading"/>
              <w:rPr>
                <w:lang w:val="en-US"/>
              </w:rPr>
            </w:pPr>
            <w:r>
              <w:rPr>
                <w:lang w:val="en-US"/>
              </w:rPr>
              <w:t>ETN (biosimilar)</w:t>
            </w:r>
          </w:p>
        </w:tc>
        <w:tc>
          <w:tcPr>
            <w:tcW w:w="1523" w:type="dxa"/>
            <w:vAlign w:val="center"/>
          </w:tcPr>
          <w:p w:rsidR="00181DEE" w:rsidRPr="004C244D" w:rsidRDefault="00181DEE" w:rsidP="00782952">
            <w:pPr>
              <w:pStyle w:val="Manuscripttabletext"/>
              <w:jc w:val="center"/>
            </w:pPr>
            <w:r w:rsidRPr="00445EB5">
              <w:t>£40,311</w:t>
            </w:r>
          </w:p>
        </w:tc>
        <w:tc>
          <w:tcPr>
            <w:tcW w:w="1567" w:type="dxa"/>
            <w:vAlign w:val="center"/>
          </w:tcPr>
          <w:p w:rsidR="00181DEE" w:rsidRPr="004C244D" w:rsidRDefault="00181DEE" w:rsidP="00782952">
            <w:pPr>
              <w:pStyle w:val="Manuscripttabletext"/>
              <w:jc w:val="center"/>
            </w:pPr>
            <w:r w:rsidRPr="00445EB5">
              <w:t>£2,935</w:t>
            </w:r>
          </w:p>
        </w:tc>
        <w:tc>
          <w:tcPr>
            <w:tcW w:w="1693" w:type="dxa"/>
            <w:vAlign w:val="center"/>
          </w:tcPr>
          <w:p w:rsidR="00181DEE" w:rsidRPr="004C244D" w:rsidRDefault="00181DEE" w:rsidP="00782952">
            <w:pPr>
              <w:pStyle w:val="Manuscripttabletext"/>
              <w:jc w:val="center"/>
            </w:pPr>
            <w:r w:rsidRPr="00445EB5">
              <w:t>£35</w:t>
            </w:r>
          </w:p>
        </w:tc>
        <w:tc>
          <w:tcPr>
            <w:tcW w:w="1519" w:type="dxa"/>
            <w:vAlign w:val="center"/>
          </w:tcPr>
          <w:p w:rsidR="00181DEE" w:rsidRPr="004C244D" w:rsidRDefault="00181DEE" w:rsidP="00782952">
            <w:pPr>
              <w:pStyle w:val="Manuscripttabletext"/>
              <w:jc w:val="center"/>
            </w:pPr>
            <w:r w:rsidRPr="00445EB5">
              <w:t>£6,439</w:t>
            </w:r>
          </w:p>
        </w:tc>
        <w:tc>
          <w:tcPr>
            <w:tcW w:w="1553" w:type="dxa"/>
            <w:vAlign w:val="center"/>
          </w:tcPr>
          <w:p w:rsidR="00181DEE" w:rsidRPr="004C244D" w:rsidRDefault="00181DEE" w:rsidP="00782952">
            <w:pPr>
              <w:pStyle w:val="Manuscripttabletext"/>
              <w:jc w:val="center"/>
            </w:pPr>
            <w:r w:rsidRPr="00445EB5">
              <w:t>£31,923</w:t>
            </w:r>
          </w:p>
        </w:tc>
        <w:tc>
          <w:tcPr>
            <w:tcW w:w="1568" w:type="dxa"/>
            <w:vAlign w:val="center"/>
          </w:tcPr>
          <w:p w:rsidR="00181DEE" w:rsidRPr="004C244D" w:rsidRDefault="00181DEE" w:rsidP="00782952">
            <w:pPr>
              <w:pStyle w:val="Manuscripttabletext"/>
              <w:jc w:val="center"/>
            </w:pPr>
            <w:r w:rsidRPr="00445EB5">
              <w:t>£14,756</w:t>
            </w:r>
          </w:p>
        </w:tc>
        <w:tc>
          <w:tcPr>
            <w:tcW w:w="1555" w:type="dxa"/>
            <w:vAlign w:val="center"/>
          </w:tcPr>
          <w:p w:rsidR="00181DEE" w:rsidRPr="004C244D" w:rsidRDefault="00181DEE" w:rsidP="00782952">
            <w:pPr>
              <w:pStyle w:val="Manuscripttabletext"/>
              <w:jc w:val="center"/>
            </w:pPr>
            <w:r w:rsidRPr="00445EB5">
              <w:t>£110</w:t>
            </w:r>
          </w:p>
        </w:tc>
        <w:tc>
          <w:tcPr>
            <w:tcW w:w="1332" w:type="dxa"/>
            <w:vAlign w:val="center"/>
          </w:tcPr>
          <w:p w:rsidR="00181DEE" w:rsidRPr="004C244D" w:rsidRDefault="00181DEE" w:rsidP="00782952">
            <w:pPr>
              <w:pStyle w:val="Manuscripttabletext"/>
              <w:jc w:val="center"/>
            </w:pPr>
            <w:r w:rsidRPr="00445EB5">
              <w:t>£96,509</w:t>
            </w:r>
          </w:p>
        </w:tc>
      </w:tr>
      <w:tr w:rsidR="00181DEE" w:rsidTr="00782952">
        <w:tc>
          <w:tcPr>
            <w:tcW w:w="1640" w:type="dxa"/>
            <w:vAlign w:val="center"/>
          </w:tcPr>
          <w:p w:rsidR="00181DEE" w:rsidRDefault="00181DEE" w:rsidP="00782952">
            <w:pPr>
              <w:pStyle w:val="Manuscripttableheading"/>
              <w:rPr>
                <w:lang w:val="en-US"/>
              </w:rPr>
            </w:pPr>
            <w:r>
              <w:rPr>
                <w:lang w:val="en-US"/>
              </w:rPr>
              <w:t>GOL</w:t>
            </w:r>
          </w:p>
        </w:tc>
        <w:tc>
          <w:tcPr>
            <w:tcW w:w="1523" w:type="dxa"/>
            <w:vAlign w:val="center"/>
          </w:tcPr>
          <w:p w:rsidR="00181DEE" w:rsidRPr="004C244D" w:rsidRDefault="00181DEE" w:rsidP="00782952">
            <w:pPr>
              <w:pStyle w:val="Manuscripttabletext"/>
              <w:jc w:val="center"/>
            </w:pPr>
            <w:r w:rsidRPr="00445EB5">
              <w:t>£47,825</w:t>
            </w:r>
          </w:p>
        </w:tc>
        <w:tc>
          <w:tcPr>
            <w:tcW w:w="1567" w:type="dxa"/>
            <w:vAlign w:val="center"/>
          </w:tcPr>
          <w:p w:rsidR="00181DEE" w:rsidRPr="004C244D" w:rsidRDefault="00181DEE" w:rsidP="00782952">
            <w:pPr>
              <w:pStyle w:val="Manuscripttabletext"/>
              <w:jc w:val="center"/>
            </w:pPr>
            <w:r w:rsidRPr="00445EB5">
              <w:t>£2,935</w:t>
            </w:r>
          </w:p>
        </w:tc>
        <w:tc>
          <w:tcPr>
            <w:tcW w:w="1693" w:type="dxa"/>
            <w:vAlign w:val="center"/>
          </w:tcPr>
          <w:p w:rsidR="00181DEE" w:rsidRPr="004C244D" w:rsidRDefault="00181DEE" w:rsidP="00782952">
            <w:pPr>
              <w:pStyle w:val="Manuscripttabletext"/>
              <w:jc w:val="center"/>
            </w:pPr>
            <w:r w:rsidRPr="00445EB5">
              <w:t>£35</w:t>
            </w:r>
          </w:p>
        </w:tc>
        <w:tc>
          <w:tcPr>
            <w:tcW w:w="1519" w:type="dxa"/>
            <w:vAlign w:val="center"/>
          </w:tcPr>
          <w:p w:rsidR="00181DEE" w:rsidRPr="004C244D" w:rsidRDefault="00181DEE" w:rsidP="00782952">
            <w:pPr>
              <w:pStyle w:val="Manuscripttabletext"/>
              <w:jc w:val="center"/>
            </w:pPr>
            <w:r w:rsidRPr="00445EB5">
              <w:t>£6,887</w:t>
            </w:r>
          </w:p>
        </w:tc>
        <w:tc>
          <w:tcPr>
            <w:tcW w:w="1553" w:type="dxa"/>
            <w:vAlign w:val="center"/>
          </w:tcPr>
          <w:p w:rsidR="00181DEE" w:rsidRPr="004C244D" w:rsidRDefault="00181DEE" w:rsidP="00782952">
            <w:pPr>
              <w:pStyle w:val="Manuscripttabletext"/>
              <w:jc w:val="center"/>
            </w:pPr>
            <w:r w:rsidRPr="00445EB5">
              <w:t>£32,672</w:t>
            </w:r>
          </w:p>
        </w:tc>
        <w:tc>
          <w:tcPr>
            <w:tcW w:w="1568" w:type="dxa"/>
            <w:vAlign w:val="center"/>
          </w:tcPr>
          <w:p w:rsidR="00181DEE" w:rsidRPr="004C244D" w:rsidRDefault="00181DEE" w:rsidP="00782952">
            <w:pPr>
              <w:pStyle w:val="Manuscripttabletext"/>
              <w:jc w:val="center"/>
            </w:pPr>
            <w:r w:rsidRPr="00445EB5">
              <w:t>£14,341</w:t>
            </w:r>
          </w:p>
        </w:tc>
        <w:tc>
          <w:tcPr>
            <w:tcW w:w="1555" w:type="dxa"/>
            <w:vAlign w:val="center"/>
          </w:tcPr>
          <w:p w:rsidR="00181DEE" w:rsidRPr="004C244D" w:rsidRDefault="00181DEE" w:rsidP="00782952">
            <w:pPr>
              <w:pStyle w:val="Manuscripttabletext"/>
              <w:jc w:val="center"/>
            </w:pPr>
            <w:r w:rsidRPr="00445EB5">
              <w:t>£77</w:t>
            </w:r>
          </w:p>
        </w:tc>
        <w:tc>
          <w:tcPr>
            <w:tcW w:w="1332" w:type="dxa"/>
            <w:vAlign w:val="center"/>
          </w:tcPr>
          <w:p w:rsidR="00181DEE" w:rsidRPr="004C244D" w:rsidRDefault="00181DEE" w:rsidP="00782952">
            <w:pPr>
              <w:pStyle w:val="Manuscripttabletext"/>
              <w:jc w:val="center"/>
            </w:pPr>
            <w:r w:rsidRPr="00445EB5">
              <w:t>£104,772</w:t>
            </w:r>
          </w:p>
        </w:tc>
      </w:tr>
      <w:tr w:rsidR="00181DEE" w:rsidTr="00782952">
        <w:tc>
          <w:tcPr>
            <w:tcW w:w="1640" w:type="dxa"/>
            <w:vAlign w:val="center"/>
          </w:tcPr>
          <w:p w:rsidR="00181DEE" w:rsidRDefault="00181DEE" w:rsidP="00782952">
            <w:pPr>
              <w:pStyle w:val="Manuscripttableheading"/>
              <w:rPr>
                <w:lang w:val="en-US"/>
              </w:rPr>
            </w:pPr>
            <w:r>
              <w:rPr>
                <w:lang w:val="en-US"/>
              </w:rPr>
              <w:t>INF (originator)</w:t>
            </w:r>
          </w:p>
        </w:tc>
        <w:tc>
          <w:tcPr>
            <w:tcW w:w="1523" w:type="dxa"/>
            <w:vAlign w:val="center"/>
          </w:tcPr>
          <w:p w:rsidR="00181DEE" w:rsidRPr="004C244D" w:rsidRDefault="00181DEE" w:rsidP="00782952">
            <w:pPr>
              <w:pStyle w:val="Manuscripttabletext"/>
              <w:jc w:val="center"/>
            </w:pPr>
            <w:r w:rsidRPr="00445EB5">
              <w:t>£65,406</w:t>
            </w:r>
          </w:p>
        </w:tc>
        <w:tc>
          <w:tcPr>
            <w:tcW w:w="1567" w:type="dxa"/>
            <w:vAlign w:val="center"/>
          </w:tcPr>
          <w:p w:rsidR="00181DEE" w:rsidRPr="004C244D" w:rsidRDefault="00181DEE" w:rsidP="00782952">
            <w:pPr>
              <w:pStyle w:val="Manuscripttabletext"/>
              <w:jc w:val="center"/>
            </w:pPr>
            <w:r w:rsidRPr="00445EB5">
              <w:t>£2,935</w:t>
            </w:r>
          </w:p>
        </w:tc>
        <w:tc>
          <w:tcPr>
            <w:tcW w:w="1693" w:type="dxa"/>
            <w:vAlign w:val="center"/>
          </w:tcPr>
          <w:p w:rsidR="00181DEE" w:rsidRPr="004C244D" w:rsidRDefault="00181DEE" w:rsidP="00782952">
            <w:pPr>
              <w:pStyle w:val="Manuscripttabletext"/>
              <w:jc w:val="center"/>
            </w:pPr>
            <w:r w:rsidRPr="00445EB5">
              <w:t>£10,447</w:t>
            </w:r>
          </w:p>
        </w:tc>
        <w:tc>
          <w:tcPr>
            <w:tcW w:w="1519" w:type="dxa"/>
            <w:vAlign w:val="center"/>
          </w:tcPr>
          <w:p w:rsidR="00181DEE" w:rsidRPr="004C244D" w:rsidRDefault="00181DEE" w:rsidP="00782952">
            <w:pPr>
              <w:pStyle w:val="Manuscripttabletext"/>
              <w:jc w:val="center"/>
            </w:pPr>
            <w:r w:rsidRPr="00445EB5">
              <w:t>£5,105</w:t>
            </w:r>
          </w:p>
        </w:tc>
        <w:tc>
          <w:tcPr>
            <w:tcW w:w="1553" w:type="dxa"/>
            <w:vAlign w:val="center"/>
          </w:tcPr>
          <w:p w:rsidR="00181DEE" w:rsidRPr="004C244D" w:rsidRDefault="00181DEE" w:rsidP="00782952">
            <w:pPr>
              <w:pStyle w:val="Manuscripttabletext"/>
              <w:jc w:val="center"/>
            </w:pPr>
            <w:r w:rsidRPr="00445EB5">
              <w:t>£31,913</w:t>
            </w:r>
          </w:p>
        </w:tc>
        <w:tc>
          <w:tcPr>
            <w:tcW w:w="1568" w:type="dxa"/>
            <w:vAlign w:val="center"/>
          </w:tcPr>
          <w:p w:rsidR="00181DEE" w:rsidRPr="004C244D" w:rsidRDefault="00181DEE" w:rsidP="00782952">
            <w:pPr>
              <w:pStyle w:val="Manuscripttabletext"/>
              <w:jc w:val="center"/>
            </w:pPr>
            <w:r w:rsidRPr="00445EB5">
              <w:t>£13,022</w:t>
            </w:r>
          </w:p>
        </w:tc>
        <w:tc>
          <w:tcPr>
            <w:tcW w:w="1555" w:type="dxa"/>
            <w:vAlign w:val="center"/>
          </w:tcPr>
          <w:p w:rsidR="00181DEE" w:rsidRPr="004C244D" w:rsidRDefault="00181DEE" w:rsidP="00782952">
            <w:pPr>
              <w:pStyle w:val="Manuscripttabletext"/>
              <w:jc w:val="center"/>
            </w:pPr>
            <w:r w:rsidRPr="00445EB5">
              <w:t>£121</w:t>
            </w:r>
          </w:p>
        </w:tc>
        <w:tc>
          <w:tcPr>
            <w:tcW w:w="1332" w:type="dxa"/>
            <w:vAlign w:val="center"/>
          </w:tcPr>
          <w:p w:rsidR="00181DEE" w:rsidRPr="004C244D" w:rsidRDefault="00181DEE" w:rsidP="00782952">
            <w:pPr>
              <w:pStyle w:val="Manuscripttabletext"/>
              <w:jc w:val="center"/>
            </w:pPr>
            <w:r w:rsidRPr="00445EB5">
              <w:t>£128,949</w:t>
            </w:r>
          </w:p>
        </w:tc>
      </w:tr>
      <w:tr w:rsidR="00181DEE" w:rsidTr="00782952">
        <w:tc>
          <w:tcPr>
            <w:tcW w:w="1640" w:type="dxa"/>
            <w:vAlign w:val="center"/>
          </w:tcPr>
          <w:p w:rsidR="00181DEE" w:rsidRDefault="00181DEE" w:rsidP="00782952">
            <w:pPr>
              <w:pStyle w:val="Manuscripttableheading"/>
              <w:rPr>
                <w:lang w:val="en-US"/>
              </w:rPr>
            </w:pPr>
            <w:r>
              <w:rPr>
                <w:lang w:val="en-US"/>
              </w:rPr>
              <w:t>INF (biosimilar)</w:t>
            </w:r>
          </w:p>
        </w:tc>
        <w:tc>
          <w:tcPr>
            <w:tcW w:w="1523" w:type="dxa"/>
            <w:vAlign w:val="center"/>
          </w:tcPr>
          <w:p w:rsidR="00181DEE" w:rsidRPr="004C244D" w:rsidRDefault="00181DEE" w:rsidP="00782952">
            <w:pPr>
              <w:pStyle w:val="Manuscripttabletext"/>
              <w:jc w:val="center"/>
            </w:pPr>
            <w:r w:rsidRPr="00445EB5">
              <w:t>£58,866</w:t>
            </w:r>
          </w:p>
        </w:tc>
        <w:tc>
          <w:tcPr>
            <w:tcW w:w="1567" w:type="dxa"/>
            <w:vAlign w:val="center"/>
          </w:tcPr>
          <w:p w:rsidR="00181DEE" w:rsidRPr="004C244D" w:rsidRDefault="00181DEE" w:rsidP="00782952">
            <w:pPr>
              <w:pStyle w:val="Manuscripttabletext"/>
              <w:jc w:val="center"/>
            </w:pPr>
            <w:r w:rsidRPr="00445EB5">
              <w:t>£2,935</w:t>
            </w:r>
          </w:p>
        </w:tc>
        <w:tc>
          <w:tcPr>
            <w:tcW w:w="1693" w:type="dxa"/>
            <w:vAlign w:val="center"/>
          </w:tcPr>
          <w:p w:rsidR="00181DEE" w:rsidRPr="004C244D" w:rsidRDefault="00181DEE" w:rsidP="00782952">
            <w:pPr>
              <w:pStyle w:val="Manuscripttabletext"/>
              <w:jc w:val="center"/>
            </w:pPr>
            <w:r w:rsidRPr="00445EB5">
              <w:t>£10,447</w:t>
            </w:r>
          </w:p>
        </w:tc>
        <w:tc>
          <w:tcPr>
            <w:tcW w:w="1519" w:type="dxa"/>
            <w:vAlign w:val="center"/>
          </w:tcPr>
          <w:p w:rsidR="00181DEE" w:rsidRPr="004C244D" w:rsidRDefault="00181DEE" w:rsidP="00782952">
            <w:pPr>
              <w:pStyle w:val="Manuscripttabletext"/>
              <w:jc w:val="center"/>
            </w:pPr>
            <w:r w:rsidRPr="00445EB5">
              <w:t>£5,105</w:t>
            </w:r>
          </w:p>
        </w:tc>
        <w:tc>
          <w:tcPr>
            <w:tcW w:w="1553" w:type="dxa"/>
            <w:vAlign w:val="center"/>
          </w:tcPr>
          <w:p w:rsidR="00181DEE" w:rsidRPr="004C244D" w:rsidRDefault="00181DEE" w:rsidP="00782952">
            <w:pPr>
              <w:pStyle w:val="Manuscripttabletext"/>
              <w:jc w:val="center"/>
            </w:pPr>
            <w:r w:rsidRPr="00445EB5">
              <w:t>£31,913</w:t>
            </w:r>
          </w:p>
        </w:tc>
        <w:tc>
          <w:tcPr>
            <w:tcW w:w="1568" w:type="dxa"/>
            <w:vAlign w:val="center"/>
          </w:tcPr>
          <w:p w:rsidR="00181DEE" w:rsidRPr="004C244D" w:rsidRDefault="00181DEE" w:rsidP="00782952">
            <w:pPr>
              <w:pStyle w:val="Manuscripttabletext"/>
              <w:jc w:val="center"/>
            </w:pPr>
            <w:r w:rsidRPr="00445EB5">
              <w:t>£13,022</w:t>
            </w:r>
          </w:p>
        </w:tc>
        <w:tc>
          <w:tcPr>
            <w:tcW w:w="1555" w:type="dxa"/>
            <w:vAlign w:val="center"/>
          </w:tcPr>
          <w:p w:rsidR="00181DEE" w:rsidRPr="004C244D" w:rsidRDefault="00181DEE" w:rsidP="00782952">
            <w:pPr>
              <w:pStyle w:val="Manuscripttabletext"/>
              <w:jc w:val="center"/>
            </w:pPr>
            <w:r w:rsidRPr="00445EB5">
              <w:t>£121</w:t>
            </w:r>
          </w:p>
        </w:tc>
        <w:tc>
          <w:tcPr>
            <w:tcW w:w="1332" w:type="dxa"/>
            <w:vAlign w:val="center"/>
          </w:tcPr>
          <w:p w:rsidR="00181DEE" w:rsidRPr="004C244D" w:rsidRDefault="00181DEE" w:rsidP="00782952">
            <w:pPr>
              <w:pStyle w:val="Manuscripttabletext"/>
              <w:jc w:val="center"/>
            </w:pPr>
            <w:r w:rsidRPr="00445EB5">
              <w:t>£122,409</w:t>
            </w:r>
          </w:p>
        </w:tc>
      </w:tr>
    </w:tbl>
    <w:p w:rsidR="00181DEE" w:rsidRDefault="00181DEE" w:rsidP="00181DEE">
      <w:pPr>
        <w:pStyle w:val="Manuscriptfootnote"/>
        <w:rPr>
          <w:lang w:val="en-US"/>
        </w:rPr>
      </w:pPr>
      <w:r>
        <w:rPr>
          <w:lang w:val="en-US"/>
        </w:rPr>
        <w:t xml:space="preserve">Medical support includes laboratory tests based on resource use inputs used by Rodgers et al. [26]. Disease-related costs are based on changes in HAQ (arthritis-related) and PASI (uncontrolled &lt;75 or controlled </w:t>
      </w:r>
      <w:r>
        <w:rPr>
          <w:rFonts w:cs="Tahoma"/>
          <w:lang w:val="en-US"/>
        </w:rPr>
        <w:t>≥</w:t>
      </w:r>
      <w:r>
        <w:rPr>
          <w:lang w:val="en-US"/>
        </w:rPr>
        <w:t>75; psoriasis-related) based on the regression analysis used by Rodgers et al. [26].</w:t>
      </w:r>
    </w:p>
    <w:p w:rsidR="00181DEE" w:rsidRDefault="00181DEE" w:rsidP="00181DEE">
      <w:pPr>
        <w:pStyle w:val="Manuscriptfootnote"/>
        <w:rPr>
          <w:lang w:val="en-US"/>
        </w:rPr>
      </w:pPr>
    </w:p>
    <w:p w:rsidR="00DD4F87" w:rsidRPr="00DD4F87" w:rsidRDefault="00181DEE" w:rsidP="00181DEE">
      <w:pPr>
        <w:pStyle w:val="Manuscriptfootnote"/>
        <w:rPr>
          <w:lang w:val="en-US"/>
        </w:rPr>
      </w:pPr>
      <w:r w:rsidRPr="00DD4F87">
        <w:rPr>
          <w:lang w:val="en-US"/>
        </w:rPr>
        <w:t>ADA: adalimumab; csDMARD: conventional systemic disease-modifying anti-rheumatic drug; CZP: certolizumab pegol; ETN: etanercept; GOL: golimumab; I</w:t>
      </w:r>
      <w:r>
        <w:rPr>
          <w:lang w:val="en-US"/>
        </w:rPr>
        <w:t xml:space="preserve">NF: infliximab; </w:t>
      </w:r>
      <w:r w:rsidRPr="00DD4F87">
        <w:rPr>
          <w:lang w:val="en-US"/>
        </w:rPr>
        <w:t>SEC: secukinuma</w:t>
      </w:r>
      <w:r>
        <w:rPr>
          <w:lang w:val="en-US"/>
        </w:rPr>
        <w:t>b.</w:t>
      </w:r>
    </w:p>
    <w:p w:rsidR="002B72B4" w:rsidRDefault="003600A9" w:rsidP="003600A9">
      <w:pPr>
        <w:pStyle w:val="Caption"/>
        <w:pageBreakBefore/>
      </w:pPr>
      <w:r>
        <w:lastRenderedPageBreak/>
        <w:t xml:space="preserve">Table </w:t>
      </w:r>
      <w:r w:rsidR="00181DEE">
        <w:t xml:space="preserve">10 </w:t>
      </w:r>
      <w:r w:rsidR="002B72B4">
        <w:t>Scenario analyses – ICERs for the ≥2 prior csDMARDs subpopulation (secukinumab versus comparators)</w:t>
      </w:r>
    </w:p>
    <w:tbl>
      <w:tblPr>
        <w:tblStyle w:val="TableGrid"/>
        <w:tblW w:w="14252" w:type="dxa"/>
        <w:tblLook w:val="04A0" w:firstRow="1" w:lastRow="0" w:firstColumn="1" w:lastColumn="0" w:noHBand="0" w:noVBand="1"/>
      </w:tblPr>
      <w:tblGrid>
        <w:gridCol w:w="1132"/>
        <w:gridCol w:w="2113"/>
        <w:gridCol w:w="2121"/>
        <w:gridCol w:w="1141"/>
        <w:gridCol w:w="1139"/>
        <w:gridCol w:w="1306"/>
        <w:gridCol w:w="1301"/>
        <w:gridCol w:w="1140"/>
        <w:gridCol w:w="1312"/>
        <w:gridCol w:w="1547"/>
      </w:tblGrid>
      <w:tr w:rsidR="002B72B4" w:rsidTr="001E7CAE">
        <w:trPr>
          <w:tblHeader/>
        </w:trPr>
        <w:tc>
          <w:tcPr>
            <w:tcW w:w="1132" w:type="dxa"/>
            <w:vMerge w:val="restart"/>
            <w:shd w:val="clear" w:color="auto" w:fill="BFBFBF" w:themeFill="background1" w:themeFillShade="BF"/>
            <w:vAlign w:val="center"/>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w:t>
            </w:r>
          </w:p>
        </w:tc>
        <w:tc>
          <w:tcPr>
            <w:tcW w:w="2113" w:type="dxa"/>
            <w:vMerge w:val="restart"/>
            <w:shd w:val="clear" w:color="auto" w:fill="BFBFBF" w:themeFill="background1" w:themeFillShade="BF"/>
            <w:vAlign w:val="center"/>
          </w:tcPr>
          <w:p w:rsidR="002B72B4" w:rsidRPr="00730E43" w:rsidRDefault="002B72B4" w:rsidP="001E7CAE">
            <w:pPr>
              <w:pStyle w:val="Manuscriptoutline"/>
              <w:numPr>
                <w:ilvl w:val="0"/>
                <w:numId w:val="0"/>
              </w:numPr>
              <w:spacing w:after="120" w:afterAutospacing="0" w:line="240" w:lineRule="auto"/>
              <w:contextualSpacing/>
              <w:rPr>
                <w:b/>
                <w:sz w:val="18"/>
                <w:szCs w:val="18"/>
                <w:lang w:val="it-IT"/>
              </w:rPr>
            </w:pPr>
            <w:r>
              <w:rPr>
                <w:b/>
                <w:sz w:val="18"/>
                <w:szCs w:val="18"/>
                <w:lang w:val="it-IT"/>
              </w:rPr>
              <w:t>Variable/assumption explored (base case)</w:t>
            </w:r>
          </w:p>
        </w:tc>
        <w:tc>
          <w:tcPr>
            <w:tcW w:w="2121" w:type="dxa"/>
            <w:vMerge w:val="restart"/>
            <w:shd w:val="clear" w:color="auto" w:fill="BFBFBF" w:themeFill="background1" w:themeFillShade="BF"/>
            <w:vAlign w:val="center"/>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Pr>
                <w:b/>
                <w:sz w:val="18"/>
                <w:szCs w:val="18"/>
              </w:rPr>
              <w:t>Scenario</w:t>
            </w:r>
          </w:p>
        </w:tc>
        <w:tc>
          <w:tcPr>
            <w:tcW w:w="8886" w:type="dxa"/>
            <w:gridSpan w:val="7"/>
            <w:shd w:val="clear" w:color="auto" w:fill="BFBFBF" w:themeFill="background1" w:themeFillShade="BF"/>
            <w:vAlign w:val="center"/>
          </w:tcPr>
          <w:p w:rsidR="002B72B4" w:rsidRDefault="002B72B4" w:rsidP="001E7CAE">
            <w:pPr>
              <w:pStyle w:val="Manuscriptoutline"/>
              <w:numPr>
                <w:ilvl w:val="0"/>
                <w:numId w:val="0"/>
              </w:numPr>
              <w:spacing w:after="120" w:afterAutospacing="0" w:line="240" w:lineRule="auto"/>
              <w:contextualSpacing/>
              <w:jc w:val="center"/>
              <w:rPr>
                <w:b/>
                <w:sz w:val="18"/>
                <w:szCs w:val="18"/>
              </w:rPr>
            </w:pPr>
            <w:r>
              <w:rPr>
                <w:b/>
                <w:sz w:val="18"/>
                <w:szCs w:val="18"/>
              </w:rPr>
              <w:t>ICER (£ per QALY)</w:t>
            </w:r>
          </w:p>
        </w:tc>
      </w:tr>
      <w:tr w:rsidR="002B72B4" w:rsidTr="001E7CAE">
        <w:trPr>
          <w:tblHeader/>
        </w:trPr>
        <w:tc>
          <w:tcPr>
            <w:tcW w:w="1132" w:type="dxa"/>
            <w:vMerge/>
            <w:tcBorders>
              <w:bottom w:val="single" w:sz="4" w:space="0" w:color="auto"/>
            </w:tcBorders>
            <w:shd w:val="clear" w:color="auto" w:fill="BFBFBF" w:themeFill="background1" w:themeFillShade="BF"/>
          </w:tcPr>
          <w:p w:rsidR="002B72B4" w:rsidRPr="00730E43" w:rsidRDefault="002B72B4" w:rsidP="001E7CAE">
            <w:pPr>
              <w:pStyle w:val="Manuscriptoutline"/>
              <w:numPr>
                <w:ilvl w:val="0"/>
                <w:numId w:val="0"/>
              </w:numPr>
              <w:spacing w:after="120" w:afterAutospacing="0" w:line="240" w:lineRule="auto"/>
              <w:contextualSpacing/>
              <w:rPr>
                <w:b/>
                <w:sz w:val="18"/>
                <w:szCs w:val="18"/>
              </w:rPr>
            </w:pPr>
          </w:p>
        </w:tc>
        <w:tc>
          <w:tcPr>
            <w:tcW w:w="2113" w:type="dxa"/>
            <w:vMerge/>
            <w:tcBorders>
              <w:bottom w:val="single" w:sz="4" w:space="0" w:color="auto"/>
            </w:tcBorders>
            <w:shd w:val="clear" w:color="auto" w:fill="BFBFBF" w:themeFill="background1" w:themeFillShade="BF"/>
          </w:tcPr>
          <w:p w:rsidR="002B72B4" w:rsidRPr="00730E43" w:rsidRDefault="002B72B4" w:rsidP="001E7CAE">
            <w:pPr>
              <w:pStyle w:val="Manuscriptoutline"/>
              <w:numPr>
                <w:ilvl w:val="0"/>
                <w:numId w:val="0"/>
              </w:numPr>
              <w:spacing w:after="120" w:afterAutospacing="0" w:line="240" w:lineRule="auto"/>
              <w:contextualSpacing/>
              <w:rPr>
                <w:b/>
                <w:sz w:val="18"/>
                <w:szCs w:val="18"/>
                <w:lang w:val="it-IT"/>
              </w:rPr>
            </w:pPr>
          </w:p>
        </w:tc>
        <w:tc>
          <w:tcPr>
            <w:tcW w:w="2121" w:type="dxa"/>
            <w:vMerge/>
            <w:shd w:val="clear" w:color="auto" w:fill="BFBFBF" w:themeFill="background1" w:themeFillShade="BF"/>
          </w:tcPr>
          <w:p w:rsidR="002B72B4" w:rsidRPr="00730E43" w:rsidRDefault="002B72B4" w:rsidP="001E7CAE">
            <w:pPr>
              <w:pStyle w:val="Manuscriptoutline"/>
              <w:numPr>
                <w:ilvl w:val="0"/>
                <w:numId w:val="0"/>
              </w:numPr>
              <w:spacing w:after="120" w:afterAutospacing="0" w:line="240" w:lineRule="auto"/>
              <w:contextualSpacing/>
              <w:rPr>
                <w:b/>
                <w:sz w:val="18"/>
                <w:szCs w:val="18"/>
              </w:rPr>
            </w:pPr>
          </w:p>
        </w:tc>
        <w:tc>
          <w:tcPr>
            <w:tcW w:w="1141" w:type="dxa"/>
            <w:shd w:val="clear" w:color="auto" w:fill="BFBFBF" w:themeFill="background1" w:themeFillShade="BF"/>
            <w:vAlign w:val="center"/>
          </w:tcPr>
          <w:p w:rsidR="002B72B4" w:rsidRDefault="002B72B4" w:rsidP="001E7CAE">
            <w:pPr>
              <w:pStyle w:val="Manuscriptoutline"/>
              <w:numPr>
                <w:ilvl w:val="0"/>
                <w:numId w:val="0"/>
              </w:numPr>
              <w:spacing w:after="120" w:afterAutospacing="0" w:line="240" w:lineRule="auto"/>
              <w:contextualSpacing/>
              <w:jc w:val="center"/>
              <w:rPr>
                <w:b/>
                <w:sz w:val="18"/>
                <w:szCs w:val="18"/>
              </w:rPr>
            </w:pPr>
            <w:r>
              <w:rPr>
                <w:b/>
                <w:sz w:val="18"/>
                <w:szCs w:val="18"/>
              </w:rPr>
              <w:t>ADA</w:t>
            </w:r>
          </w:p>
        </w:tc>
        <w:tc>
          <w:tcPr>
            <w:tcW w:w="1139" w:type="dxa"/>
            <w:shd w:val="clear" w:color="auto" w:fill="BFBFBF" w:themeFill="background1" w:themeFillShade="BF"/>
            <w:vAlign w:val="center"/>
          </w:tcPr>
          <w:p w:rsidR="002B72B4" w:rsidRDefault="002B72B4" w:rsidP="001E7CAE">
            <w:pPr>
              <w:pStyle w:val="Manuscriptoutline"/>
              <w:numPr>
                <w:ilvl w:val="0"/>
                <w:numId w:val="0"/>
              </w:numPr>
              <w:spacing w:after="120" w:afterAutospacing="0" w:line="240" w:lineRule="auto"/>
              <w:contextualSpacing/>
              <w:jc w:val="center"/>
              <w:rPr>
                <w:b/>
                <w:sz w:val="18"/>
                <w:szCs w:val="18"/>
              </w:rPr>
            </w:pPr>
            <w:r>
              <w:rPr>
                <w:b/>
                <w:sz w:val="18"/>
                <w:szCs w:val="18"/>
              </w:rPr>
              <w:t>CZP</w:t>
            </w:r>
          </w:p>
        </w:tc>
        <w:tc>
          <w:tcPr>
            <w:tcW w:w="1306" w:type="dxa"/>
            <w:shd w:val="clear" w:color="auto" w:fill="BFBFBF" w:themeFill="background1" w:themeFillShade="BF"/>
            <w:vAlign w:val="center"/>
          </w:tcPr>
          <w:p w:rsidR="002B72B4" w:rsidRDefault="002B72B4" w:rsidP="001E7CAE">
            <w:pPr>
              <w:pStyle w:val="Manuscriptoutline"/>
              <w:numPr>
                <w:ilvl w:val="0"/>
                <w:numId w:val="0"/>
              </w:numPr>
              <w:spacing w:after="120" w:afterAutospacing="0" w:line="240" w:lineRule="auto"/>
              <w:contextualSpacing/>
              <w:jc w:val="center"/>
              <w:rPr>
                <w:b/>
                <w:sz w:val="18"/>
                <w:szCs w:val="18"/>
              </w:rPr>
            </w:pPr>
            <w:r>
              <w:rPr>
                <w:b/>
                <w:sz w:val="18"/>
                <w:szCs w:val="18"/>
              </w:rPr>
              <w:t>ETN (originator)</w:t>
            </w:r>
          </w:p>
        </w:tc>
        <w:tc>
          <w:tcPr>
            <w:tcW w:w="1301" w:type="dxa"/>
            <w:shd w:val="clear" w:color="auto" w:fill="BFBFBF" w:themeFill="background1" w:themeFillShade="BF"/>
            <w:vAlign w:val="center"/>
          </w:tcPr>
          <w:p w:rsidR="002B72B4" w:rsidRDefault="002B72B4" w:rsidP="001E7CAE">
            <w:pPr>
              <w:pStyle w:val="Manuscriptoutline"/>
              <w:numPr>
                <w:ilvl w:val="0"/>
                <w:numId w:val="0"/>
              </w:numPr>
              <w:spacing w:after="120" w:afterAutospacing="0" w:line="240" w:lineRule="auto"/>
              <w:contextualSpacing/>
              <w:jc w:val="center"/>
              <w:rPr>
                <w:b/>
                <w:sz w:val="18"/>
                <w:szCs w:val="18"/>
              </w:rPr>
            </w:pPr>
            <w:r>
              <w:rPr>
                <w:b/>
                <w:sz w:val="18"/>
                <w:szCs w:val="18"/>
              </w:rPr>
              <w:t>ETN (biosimilar)</w:t>
            </w:r>
          </w:p>
        </w:tc>
        <w:tc>
          <w:tcPr>
            <w:tcW w:w="1140" w:type="dxa"/>
            <w:shd w:val="clear" w:color="auto" w:fill="BFBFBF" w:themeFill="background1" w:themeFillShade="BF"/>
            <w:vAlign w:val="center"/>
          </w:tcPr>
          <w:p w:rsidR="002B72B4" w:rsidRDefault="002B72B4" w:rsidP="001E7CAE">
            <w:pPr>
              <w:pStyle w:val="Manuscriptoutline"/>
              <w:numPr>
                <w:ilvl w:val="0"/>
                <w:numId w:val="0"/>
              </w:numPr>
              <w:spacing w:after="120" w:afterAutospacing="0" w:line="240" w:lineRule="auto"/>
              <w:contextualSpacing/>
              <w:jc w:val="center"/>
              <w:rPr>
                <w:b/>
                <w:sz w:val="18"/>
                <w:szCs w:val="18"/>
              </w:rPr>
            </w:pPr>
            <w:r>
              <w:rPr>
                <w:b/>
                <w:sz w:val="18"/>
                <w:szCs w:val="18"/>
              </w:rPr>
              <w:t>GOL</w:t>
            </w:r>
          </w:p>
        </w:tc>
        <w:tc>
          <w:tcPr>
            <w:tcW w:w="1312" w:type="dxa"/>
            <w:shd w:val="clear" w:color="auto" w:fill="BFBFBF" w:themeFill="background1" w:themeFillShade="BF"/>
            <w:vAlign w:val="center"/>
          </w:tcPr>
          <w:p w:rsidR="002B72B4" w:rsidRDefault="002B72B4" w:rsidP="001E7CAE">
            <w:pPr>
              <w:pStyle w:val="Manuscriptoutline"/>
              <w:numPr>
                <w:ilvl w:val="0"/>
                <w:numId w:val="0"/>
              </w:numPr>
              <w:spacing w:after="120" w:afterAutospacing="0" w:line="240" w:lineRule="auto"/>
              <w:contextualSpacing/>
              <w:jc w:val="center"/>
              <w:rPr>
                <w:b/>
                <w:sz w:val="18"/>
                <w:szCs w:val="18"/>
              </w:rPr>
            </w:pPr>
            <w:r>
              <w:rPr>
                <w:b/>
                <w:sz w:val="18"/>
                <w:szCs w:val="18"/>
              </w:rPr>
              <w:t>INF (originator)</w:t>
            </w:r>
          </w:p>
        </w:tc>
        <w:tc>
          <w:tcPr>
            <w:tcW w:w="1547" w:type="dxa"/>
            <w:shd w:val="clear" w:color="auto" w:fill="BFBFBF" w:themeFill="background1" w:themeFillShade="BF"/>
            <w:vAlign w:val="center"/>
          </w:tcPr>
          <w:p w:rsidR="002B72B4" w:rsidRDefault="002B72B4" w:rsidP="001E7CAE">
            <w:pPr>
              <w:pStyle w:val="Manuscriptoutline"/>
              <w:numPr>
                <w:ilvl w:val="0"/>
                <w:numId w:val="0"/>
              </w:numPr>
              <w:spacing w:after="120" w:afterAutospacing="0" w:line="240" w:lineRule="auto"/>
              <w:contextualSpacing/>
              <w:jc w:val="center"/>
              <w:rPr>
                <w:b/>
                <w:sz w:val="18"/>
                <w:szCs w:val="18"/>
              </w:rPr>
            </w:pPr>
            <w:r>
              <w:rPr>
                <w:b/>
                <w:sz w:val="18"/>
                <w:szCs w:val="18"/>
              </w:rPr>
              <w:t>INF (biosimilar)</w:t>
            </w:r>
          </w:p>
        </w:tc>
      </w:tr>
      <w:tr w:rsidR="002B72B4" w:rsidTr="001E7CAE">
        <w:tc>
          <w:tcPr>
            <w:tcW w:w="1132" w:type="dxa"/>
            <w:tcBorders>
              <w:right w:val="nil"/>
            </w:tcBorders>
            <w:shd w:val="clear" w:color="auto" w:fill="D9D9D9" w:themeFill="background1" w:themeFillShade="D9"/>
            <w:vAlign w:val="center"/>
          </w:tcPr>
          <w:p w:rsidR="002B72B4" w:rsidRDefault="002B72B4" w:rsidP="001E7CAE">
            <w:pPr>
              <w:pStyle w:val="Manuscriptoutline"/>
              <w:numPr>
                <w:ilvl w:val="0"/>
                <w:numId w:val="0"/>
              </w:numPr>
              <w:spacing w:after="120" w:afterAutospacing="0" w:line="240" w:lineRule="auto"/>
              <w:contextualSpacing/>
              <w:rPr>
                <w:b/>
                <w:sz w:val="18"/>
                <w:szCs w:val="18"/>
              </w:rPr>
            </w:pPr>
          </w:p>
        </w:tc>
        <w:tc>
          <w:tcPr>
            <w:tcW w:w="2113" w:type="dxa"/>
            <w:tcBorders>
              <w:left w:val="nil"/>
              <w:right w:val="nil"/>
            </w:tcBorders>
            <w:shd w:val="clear" w:color="auto" w:fill="D9D9D9" w:themeFill="background1" w:themeFillShade="D9"/>
            <w:vAlign w:val="center"/>
          </w:tcPr>
          <w:p w:rsidR="002B72B4"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Base case</w:t>
            </w:r>
          </w:p>
        </w:tc>
        <w:tc>
          <w:tcPr>
            <w:tcW w:w="2121" w:type="dxa"/>
            <w:tcBorders>
              <w:left w:val="nil"/>
            </w:tcBorders>
            <w:shd w:val="clear" w:color="auto" w:fill="D9D9D9" w:themeFill="background1" w:themeFillShade="D9"/>
            <w:vAlign w:val="center"/>
          </w:tcPr>
          <w:p w:rsidR="002B72B4" w:rsidRPr="00730E43" w:rsidRDefault="002B72B4" w:rsidP="001E7CAE">
            <w:pPr>
              <w:pStyle w:val="Manuscriptoutline"/>
              <w:numPr>
                <w:ilvl w:val="0"/>
                <w:numId w:val="0"/>
              </w:numPr>
              <w:spacing w:after="120" w:afterAutospacing="0" w:line="240" w:lineRule="auto"/>
              <w:contextualSpacing/>
              <w:rPr>
                <w:b/>
                <w:sz w:val="18"/>
                <w:szCs w:val="18"/>
              </w:rPr>
            </w:pPr>
          </w:p>
        </w:tc>
        <w:tc>
          <w:tcPr>
            <w:tcW w:w="1141" w:type="dxa"/>
            <w:shd w:val="clear" w:color="auto" w:fill="D9D9D9" w:themeFill="background1" w:themeFillShade="D9"/>
            <w:vAlign w:val="center"/>
          </w:tcPr>
          <w:p w:rsidR="002B72B4" w:rsidRPr="00453AE6" w:rsidRDefault="002B72B4" w:rsidP="001E7CAE">
            <w:pPr>
              <w:pStyle w:val="Manuscripttabletext"/>
              <w:jc w:val="center"/>
            </w:pPr>
            <w:r w:rsidRPr="009322F5">
              <w:t>£5,680</w:t>
            </w:r>
          </w:p>
        </w:tc>
        <w:tc>
          <w:tcPr>
            <w:tcW w:w="1139" w:type="dxa"/>
            <w:shd w:val="clear" w:color="auto" w:fill="D9D9D9" w:themeFill="background1" w:themeFillShade="D9"/>
            <w:vAlign w:val="center"/>
          </w:tcPr>
          <w:p w:rsidR="002B72B4" w:rsidRPr="008C4C5C" w:rsidRDefault="002B72B4" w:rsidP="001E7CAE">
            <w:pPr>
              <w:pStyle w:val="Manuscripttabletext"/>
              <w:jc w:val="center"/>
            </w:pPr>
            <w:r w:rsidRPr="009322F5">
              <w:t>Dominated by SEC</w:t>
            </w:r>
          </w:p>
        </w:tc>
        <w:tc>
          <w:tcPr>
            <w:tcW w:w="1306" w:type="dxa"/>
            <w:shd w:val="clear" w:color="auto" w:fill="D9D9D9" w:themeFill="background1" w:themeFillShade="D9"/>
            <w:vAlign w:val="center"/>
          </w:tcPr>
          <w:p w:rsidR="002B72B4" w:rsidRPr="00453AE6" w:rsidRDefault="002B72B4" w:rsidP="001E7CAE">
            <w:pPr>
              <w:pStyle w:val="Manuscripttabletext"/>
              <w:jc w:val="center"/>
            </w:pPr>
            <w:r w:rsidRPr="009322F5">
              <w:t>Dominated by SEC</w:t>
            </w:r>
          </w:p>
        </w:tc>
        <w:tc>
          <w:tcPr>
            <w:tcW w:w="1301" w:type="dxa"/>
            <w:shd w:val="clear" w:color="auto" w:fill="D9D9D9" w:themeFill="background1" w:themeFillShade="D9"/>
            <w:vAlign w:val="center"/>
          </w:tcPr>
          <w:p w:rsidR="002B72B4" w:rsidRPr="00017DBD" w:rsidRDefault="002B72B4" w:rsidP="001E7CAE">
            <w:pPr>
              <w:pStyle w:val="Manuscripttabletext"/>
              <w:jc w:val="center"/>
            </w:pPr>
            <w:r w:rsidRPr="009322F5">
              <w:t>Dominated by SEC</w:t>
            </w:r>
          </w:p>
        </w:tc>
        <w:tc>
          <w:tcPr>
            <w:tcW w:w="1140" w:type="dxa"/>
            <w:shd w:val="clear" w:color="auto" w:fill="D9D9D9" w:themeFill="background1" w:themeFillShade="D9"/>
            <w:vAlign w:val="center"/>
          </w:tcPr>
          <w:p w:rsidR="002B72B4" w:rsidRPr="008C4C5C" w:rsidRDefault="002B72B4" w:rsidP="001E7CAE">
            <w:pPr>
              <w:pStyle w:val="Manuscripttabletext"/>
              <w:jc w:val="center"/>
            </w:pPr>
            <w:r w:rsidRPr="009322F5">
              <w:t>Dominated by SEC</w:t>
            </w:r>
          </w:p>
        </w:tc>
        <w:tc>
          <w:tcPr>
            <w:tcW w:w="1312" w:type="dxa"/>
            <w:shd w:val="clear" w:color="auto" w:fill="D9D9D9" w:themeFill="background1" w:themeFillShade="D9"/>
            <w:vAlign w:val="center"/>
          </w:tcPr>
          <w:p w:rsidR="002B72B4" w:rsidRPr="00453AE6" w:rsidRDefault="002B72B4" w:rsidP="001E7CAE">
            <w:pPr>
              <w:pStyle w:val="Manuscripttabletext"/>
              <w:jc w:val="center"/>
            </w:pPr>
            <w:r w:rsidRPr="009322F5">
              <w:t>£1,403,849*</w:t>
            </w:r>
          </w:p>
        </w:tc>
        <w:tc>
          <w:tcPr>
            <w:tcW w:w="1547" w:type="dxa"/>
            <w:shd w:val="clear" w:color="auto" w:fill="D9D9D9" w:themeFill="background1" w:themeFillShade="D9"/>
            <w:vAlign w:val="center"/>
          </w:tcPr>
          <w:p w:rsidR="002B72B4" w:rsidRPr="00017DBD" w:rsidRDefault="002B72B4" w:rsidP="001E7CAE">
            <w:pPr>
              <w:pStyle w:val="Manuscripttabletext"/>
              <w:jc w:val="center"/>
            </w:pPr>
            <w:r w:rsidRPr="009322F5">
              <w:t>£1,147,641*</w:t>
            </w:r>
          </w:p>
        </w:tc>
      </w:tr>
      <w:tr w:rsidR="002B72B4" w:rsidTr="001E7CAE">
        <w:tc>
          <w:tcPr>
            <w:tcW w:w="1132" w:type="dxa"/>
            <w:vAlign w:val="center"/>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Pr>
                <w:b/>
                <w:sz w:val="18"/>
                <w:szCs w:val="18"/>
              </w:rPr>
              <w:t>1a</w:t>
            </w:r>
          </w:p>
        </w:tc>
        <w:tc>
          <w:tcPr>
            <w:tcW w:w="2113" w:type="dxa"/>
            <w:vMerge w:val="restart"/>
            <w:vAlign w:val="center"/>
          </w:tcPr>
          <w:p w:rsidR="002B72B4" w:rsidRDefault="002B72B4" w:rsidP="001E7CAE">
            <w:pPr>
              <w:pStyle w:val="Manuscriptoutline"/>
              <w:numPr>
                <w:ilvl w:val="0"/>
                <w:numId w:val="0"/>
              </w:numPr>
              <w:spacing w:after="120" w:afterAutospacing="0" w:line="240" w:lineRule="auto"/>
              <w:contextualSpacing/>
              <w:rPr>
                <w:b/>
                <w:sz w:val="18"/>
                <w:szCs w:val="18"/>
              </w:rPr>
            </w:pPr>
            <w:r>
              <w:rPr>
                <w:b/>
                <w:sz w:val="18"/>
                <w:szCs w:val="18"/>
              </w:rPr>
              <w:t xml:space="preserve">Time horizon </w:t>
            </w:r>
          </w:p>
          <w:p w:rsidR="002B72B4" w:rsidRPr="00730E43" w:rsidRDefault="002B72B4" w:rsidP="001E7CAE">
            <w:pPr>
              <w:pStyle w:val="Manuscriptoutline"/>
              <w:numPr>
                <w:ilvl w:val="0"/>
                <w:numId w:val="0"/>
              </w:numPr>
              <w:spacing w:after="120" w:afterAutospacing="0" w:line="240" w:lineRule="auto"/>
              <w:contextualSpacing/>
              <w:rPr>
                <w:b/>
                <w:sz w:val="18"/>
                <w:szCs w:val="18"/>
              </w:rPr>
            </w:pPr>
            <w:r>
              <w:rPr>
                <w:b/>
                <w:sz w:val="18"/>
                <w:szCs w:val="18"/>
              </w:rPr>
              <w:t>(40 years)</w:t>
            </w:r>
          </w:p>
        </w:tc>
        <w:tc>
          <w:tcPr>
            <w:tcW w:w="2121" w:type="dxa"/>
            <w:vAlign w:val="center"/>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10</w:t>
            </w:r>
            <w:r>
              <w:rPr>
                <w:b/>
                <w:sz w:val="18"/>
                <w:szCs w:val="18"/>
              </w:rPr>
              <w:t xml:space="preserve"> years</w:t>
            </w:r>
          </w:p>
        </w:tc>
        <w:tc>
          <w:tcPr>
            <w:tcW w:w="1141" w:type="dxa"/>
            <w:vAlign w:val="center"/>
          </w:tcPr>
          <w:p w:rsidR="002B72B4" w:rsidRPr="00017DBD" w:rsidRDefault="002B72B4" w:rsidP="001E7CAE">
            <w:pPr>
              <w:pStyle w:val="Manuscripttabletext"/>
              <w:jc w:val="center"/>
            </w:pPr>
            <w:r w:rsidRPr="007B11B9">
              <w:t>£15,121</w:t>
            </w:r>
          </w:p>
        </w:tc>
        <w:tc>
          <w:tcPr>
            <w:tcW w:w="1139" w:type="dxa"/>
            <w:vAlign w:val="center"/>
          </w:tcPr>
          <w:p w:rsidR="002B72B4" w:rsidRPr="00017DBD" w:rsidRDefault="002B72B4" w:rsidP="001E7CAE">
            <w:pPr>
              <w:pStyle w:val="Manuscripttabletext"/>
              <w:jc w:val="center"/>
            </w:pPr>
            <w:r w:rsidRPr="007B11B9">
              <w:t>Dominated by SEC</w:t>
            </w:r>
          </w:p>
        </w:tc>
        <w:tc>
          <w:tcPr>
            <w:tcW w:w="1306" w:type="dxa"/>
            <w:vAlign w:val="center"/>
          </w:tcPr>
          <w:p w:rsidR="002B72B4" w:rsidRPr="00017DBD" w:rsidRDefault="002B72B4" w:rsidP="001E7CAE">
            <w:pPr>
              <w:pStyle w:val="Manuscripttabletext"/>
              <w:jc w:val="center"/>
            </w:pPr>
            <w:r w:rsidRPr="007B11B9">
              <w:t>£294,297</w:t>
            </w:r>
            <w:r>
              <w:t>*</w:t>
            </w:r>
          </w:p>
        </w:tc>
        <w:tc>
          <w:tcPr>
            <w:tcW w:w="1301" w:type="dxa"/>
            <w:vAlign w:val="center"/>
          </w:tcPr>
          <w:p w:rsidR="002B72B4" w:rsidRPr="00017DBD" w:rsidRDefault="002B72B4" w:rsidP="001E7CAE">
            <w:pPr>
              <w:pStyle w:val="Manuscripttabletext"/>
              <w:jc w:val="center"/>
            </w:pPr>
            <w:r w:rsidRPr="007B11B9">
              <w:t>£125,744</w:t>
            </w:r>
            <w:r>
              <w:t>*</w:t>
            </w:r>
          </w:p>
        </w:tc>
        <w:tc>
          <w:tcPr>
            <w:tcW w:w="1140" w:type="dxa"/>
            <w:vAlign w:val="center"/>
          </w:tcPr>
          <w:p w:rsidR="002B72B4" w:rsidRPr="00017DBD" w:rsidRDefault="002B72B4" w:rsidP="001E7CAE">
            <w:pPr>
              <w:pStyle w:val="Manuscripttabletext"/>
              <w:jc w:val="center"/>
            </w:pPr>
            <w:r w:rsidRPr="007B11B9">
              <w:t>Dominated by SEC</w:t>
            </w:r>
          </w:p>
        </w:tc>
        <w:tc>
          <w:tcPr>
            <w:tcW w:w="1312" w:type="dxa"/>
            <w:vAlign w:val="center"/>
          </w:tcPr>
          <w:p w:rsidR="002B72B4" w:rsidRPr="00017DBD" w:rsidRDefault="002B72B4" w:rsidP="001E7CAE">
            <w:pPr>
              <w:pStyle w:val="Manuscripttabletext"/>
              <w:jc w:val="center"/>
            </w:pPr>
            <w:r w:rsidRPr="007B11B9">
              <w:t>£656,270</w:t>
            </w:r>
            <w:r>
              <w:t>*</w:t>
            </w:r>
          </w:p>
        </w:tc>
        <w:tc>
          <w:tcPr>
            <w:tcW w:w="1547" w:type="dxa"/>
            <w:vAlign w:val="center"/>
          </w:tcPr>
          <w:p w:rsidR="002B72B4" w:rsidRPr="00017DBD" w:rsidRDefault="002B72B4" w:rsidP="001E7CAE">
            <w:pPr>
              <w:pStyle w:val="Manuscripttabletext"/>
              <w:jc w:val="center"/>
            </w:pPr>
            <w:r w:rsidRPr="007B11B9">
              <w:t>£535,455</w:t>
            </w:r>
            <w:r>
              <w:t>*</w:t>
            </w:r>
          </w:p>
        </w:tc>
      </w:tr>
      <w:tr w:rsidR="002B72B4" w:rsidTr="001E7CAE">
        <w:tc>
          <w:tcPr>
            <w:tcW w:w="1132" w:type="dxa"/>
            <w:vAlign w:val="center"/>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Pr>
                <w:b/>
                <w:sz w:val="18"/>
                <w:szCs w:val="18"/>
              </w:rPr>
              <w:t>1b</w:t>
            </w:r>
          </w:p>
        </w:tc>
        <w:tc>
          <w:tcPr>
            <w:tcW w:w="2113" w:type="dxa"/>
            <w:vMerge/>
            <w:vAlign w:val="center"/>
          </w:tcPr>
          <w:p w:rsidR="002B72B4" w:rsidRPr="00730E43" w:rsidRDefault="002B72B4" w:rsidP="001E7CAE">
            <w:pPr>
              <w:pStyle w:val="Manuscriptoutline"/>
              <w:numPr>
                <w:ilvl w:val="0"/>
                <w:numId w:val="0"/>
              </w:numPr>
              <w:spacing w:after="120" w:afterAutospacing="0" w:line="240" w:lineRule="auto"/>
              <w:contextualSpacing/>
              <w:rPr>
                <w:b/>
                <w:sz w:val="18"/>
                <w:szCs w:val="18"/>
              </w:rPr>
            </w:pPr>
          </w:p>
        </w:tc>
        <w:tc>
          <w:tcPr>
            <w:tcW w:w="2121" w:type="dxa"/>
            <w:vAlign w:val="center"/>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20</w:t>
            </w:r>
            <w:r>
              <w:rPr>
                <w:b/>
                <w:sz w:val="18"/>
                <w:szCs w:val="18"/>
              </w:rPr>
              <w:t xml:space="preserve"> years</w:t>
            </w:r>
          </w:p>
        </w:tc>
        <w:tc>
          <w:tcPr>
            <w:tcW w:w="1141" w:type="dxa"/>
            <w:vAlign w:val="center"/>
          </w:tcPr>
          <w:p w:rsidR="002B72B4" w:rsidRPr="00017DBD" w:rsidRDefault="002B72B4" w:rsidP="001E7CAE">
            <w:pPr>
              <w:pStyle w:val="Manuscripttabletext"/>
              <w:jc w:val="center"/>
            </w:pPr>
            <w:r w:rsidRPr="007B11B9">
              <w:t>£8,197</w:t>
            </w:r>
          </w:p>
        </w:tc>
        <w:tc>
          <w:tcPr>
            <w:tcW w:w="1139" w:type="dxa"/>
            <w:vAlign w:val="center"/>
          </w:tcPr>
          <w:p w:rsidR="002B72B4" w:rsidRPr="00017DBD" w:rsidRDefault="002B72B4" w:rsidP="001E7CAE">
            <w:pPr>
              <w:pStyle w:val="Manuscripttabletext"/>
              <w:jc w:val="center"/>
            </w:pPr>
            <w:r w:rsidRPr="007B11B9">
              <w:t>Dominated by SEC</w:t>
            </w:r>
          </w:p>
        </w:tc>
        <w:tc>
          <w:tcPr>
            <w:tcW w:w="1306" w:type="dxa"/>
          </w:tcPr>
          <w:p w:rsidR="002B72B4" w:rsidRPr="00017DBD" w:rsidRDefault="002B72B4" w:rsidP="001E7CAE">
            <w:pPr>
              <w:pStyle w:val="Manuscripttabletext"/>
              <w:jc w:val="center"/>
            </w:pPr>
            <w:r w:rsidRPr="007B11B9">
              <w:t>£999,698</w:t>
            </w:r>
            <w:r>
              <w:t>*</w:t>
            </w:r>
          </w:p>
        </w:tc>
        <w:tc>
          <w:tcPr>
            <w:tcW w:w="1301" w:type="dxa"/>
          </w:tcPr>
          <w:p w:rsidR="002B72B4" w:rsidRPr="00017DBD" w:rsidRDefault="002B72B4" w:rsidP="001E7CAE">
            <w:pPr>
              <w:pStyle w:val="Manuscripttabletext"/>
              <w:jc w:val="center"/>
            </w:pPr>
            <w:r w:rsidRPr="007B11B9">
              <w:t>£473,067</w:t>
            </w:r>
            <w:r>
              <w:t>*</w:t>
            </w:r>
          </w:p>
        </w:tc>
        <w:tc>
          <w:tcPr>
            <w:tcW w:w="1140" w:type="dxa"/>
          </w:tcPr>
          <w:p w:rsidR="002B72B4" w:rsidRPr="00017DBD" w:rsidRDefault="002B72B4" w:rsidP="001E7CAE">
            <w:pPr>
              <w:pStyle w:val="Manuscripttabletext"/>
              <w:jc w:val="center"/>
            </w:pPr>
            <w:r w:rsidRPr="0034038E">
              <w:t>Dominated by SEC</w:t>
            </w:r>
          </w:p>
        </w:tc>
        <w:tc>
          <w:tcPr>
            <w:tcW w:w="1312" w:type="dxa"/>
            <w:vAlign w:val="center"/>
          </w:tcPr>
          <w:p w:rsidR="002B72B4" w:rsidRPr="00017DBD" w:rsidRDefault="002B72B4" w:rsidP="001E7CAE">
            <w:pPr>
              <w:pStyle w:val="Manuscripttabletext"/>
              <w:jc w:val="center"/>
            </w:pPr>
            <w:r w:rsidRPr="007B11B9">
              <w:t>£944,952</w:t>
            </w:r>
            <w:r>
              <w:t>*</w:t>
            </w:r>
          </w:p>
        </w:tc>
        <w:tc>
          <w:tcPr>
            <w:tcW w:w="1547" w:type="dxa"/>
            <w:vAlign w:val="center"/>
          </w:tcPr>
          <w:p w:rsidR="002B72B4" w:rsidRPr="00017DBD" w:rsidRDefault="002B72B4" w:rsidP="001E7CAE">
            <w:pPr>
              <w:pStyle w:val="Manuscripttabletext"/>
              <w:jc w:val="center"/>
            </w:pPr>
            <w:r w:rsidRPr="007B11B9">
              <w:t>£772,015</w:t>
            </w:r>
            <w:r>
              <w:t>*</w:t>
            </w:r>
          </w:p>
        </w:tc>
      </w:tr>
      <w:tr w:rsidR="002B72B4" w:rsidTr="001E7CAE">
        <w:tc>
          <w:tcPr>
            <w:tcW w:w="1132" w:type="dxa"/>
            <w:vAlign w:val="center"/>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Pr>
                <w:b/>
                <w:sz w:val="18"/>
                <w:szCs w:val="18"/>
              </w:rPr>
              <w:t>1c</w:t>
            </w:r>
          </w:p>
        </w:tc>
        <w:tc>
          <w:tcPr>
            <w:tcW w:w="2113" w:type="dxa"/>
            <w:vMerge/>
            <w:vAlign w:val="center"/>
          </w:tcPr>
          <w:p w:rsidR="002B72B4" w:rsidRPr="00730E43" w:rsidRDefault="002B72B4" w:rsidP="001E7CAE">
            <w:pPr>
              <w:pStyle w:val="Manuscriptoutline"/>
              <w:numPr>
                <w:ilvl w:val="0"/>
                <w:numId w:val="0"/>
              </w:numPr>
              <w:spacing w:after="120" w:afterAutospacing="0" w:line="240" w:lineRule="auto"/>
              <w:contextualSpacing/>
              <w:rPr>
                <w:b/>
                <w:sz w:val="18"/>
                <w:szCs w:val="18"/>
              </w:rPr>
            </w:pPr>
          </w:p>
        </w:tc>
        <w:tc>
          <w:tcPr>
            <w:tcW w:w="2121" w:type="dxa"/>
            <w:vAlign w:val="center"/>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52</w:t>
            </w:r>
            <w:r>
              <w:rPr>
                <w:b/>
                <w:sz w:val="18"/>
                <w:szCs w:val="18"/>
              </w:rPr>
              <w:t xml:space="preserve"> years</w:t>
            </w:r>
          </w:p>
        </w:tc>
        <w:tc>
          <w:tcPr>
            <w:tcW w:w="1141" w:type="dxa"/>
            <w:vAlign w:val="center"/>
          </w:tcPr>
          <w:p w:rsidR="002B72B4" w:rsidRPr="00017DBD" w:rsidRDefault="002B72B4" w:rsidP="001E7CAE">
            <w:pPr>
              <w:pStyle w:val="Manuscripttabletext"/>
              <w:jc w:val="center"/>
            </w:pPr>
            <w:r w:rsidRPr="007B11B9">
              <w:t>£5,644</w:t>
            </w:r>
          </w:p>
        </w:tc>
        <w:tc>
          <w:tcPr>
            <w:tcW w:w="1139" w:type="dxa"/>
            <w:vAlign w:val="center"/>
          </w:tcPr>
          <w:p w:rsidR="002B72B4" w:rsidRPr="00017DBD" w:rsidRDefault="002B72B4" w:rsidP="001E7CAE">
            <w:pPr>
              <w:pStyle w:val="Manuscripttabletext"/>
              <w:jc w:val="center"/>
            </w:pPr>
            <w:r w:rsidRPr="007B11B9">
              <w:t>Dominated by SEC</w:t>
            </w:r>
          </w:p>
        </w:tc>
        <w:tc>
          <w:tcPr>
            <w:tcW w:w="1306" w:type="dxa"/>
            <w:vAlign w:val="center"/>
          </w:tcPr>
          <w:p w:rsidR="002B72B4" w:rsidRPr="00017DBD" w:rsidRDefault="002B72B4" w:rsidP="001E7CAE">
            <w:pPr>
              <w:pStyle w:val="Manuscripttabletext"/>
              <w:jc w:val="center"/>
            </w:pPr>
            <w:r w:rsidRPr="007B11B9">
              <w:t>Dominated by SEC</w:t>
            </w:r>
          </w:p>
        </w:tc>
        <w:tc>
          <w:tcPr>
            <w:tcW w:w="1301" w:type="dxa"/>
            <w:vAlign w:val="center"/>
          </w:tcPr>
          <w:p w:rsidR="002B72B4" w:rsidRPr="00017DBD" w:rsidRDefault="002B72B4" w:rsidP="001E7CAE">
            <w:pPr>
              <w:pStyle w:val="Manuscripttabletext"/>
              <w:jc w:val="center"/>
            </w:pPr>
            <w:r w:rsidRPr="007B11B9">
              <w:t>Dominated by SEC</w:t>
            </w:r>
          </w:p>
        </w:tc>
        <w:tc>
          <w:tcPr>
            <w:tcW w:w="1140" w:type="dxa"/>
            <w:vAlign w:val="center"/>
          </w:tcPr>
          <w:p w:rsidR="002B72B4" w:rsidRPr="00017DBD" w:rsidRDefault="002B72B4" w:rsidP="001E7CAE">
            <w:pPr>
              <w:pStyle w:val="Manuscripttabletext"/>
              <w:jc w:val="center"/>
            </w:pPr>
            <w:r w:rsidRPr="007B11B9">
              <w:t>Dominated by SEC</w:t>
            </w:r>
          </w:p>
        </w:tc>
        <w:tc>
          <w:tcPr>
            <w:tcW w:w="1312" w:type="dxa"/>
            <w:vAlign w:val="center"/>
          </w:tcPr>
          <w:p w:rsidR="002B72B4" w:rsidRPr="00017DBD" w:rsidRDefault="002B72B4" w:rsidP="001E7CAE">
            <w:pPr>
              <w:pStyle w:val="Manuscripttabletext"/>
              <w:jc w:val="center"/>
            </w:pPr>
            <w:r w:rsidRPr="007B11B9">
              <w:t>£1,408,090</w:t>
            </w:r>
            <w:r>
              <w:t>*</w:t>
            </w:r>
          </w:p>
        </w:tc>
        <w:tc>
          <w:tcPr>
            <w:tcW w:w="1547" w:type="dxa"/>
            <w:vAlign w:val="center"/>
          </w:tcPr>
          <w:p w:rsidR="002B72B4" w:rsidRPr="00017DBD" w:rsidRDefault="002B72B4" w:rsidP="001E7CAE">
            <w:pPr>
              <w:pStyle w:val="Manuscripttabletext"/>
              <w:jc w:val="center"/>
            </w:pPr>
            <w:r w:rsidRPr="007B11B9">
              <w:t>£1,151,125</w:t>
            </w:r>
            <w:r>
              <w:t>*</w:t>
            </w:r>
          </w:p>
        </w:tc>
      </w:tr>
      <w:tr w:rsidR="002B72B4" w:rsidTr="001E7CAE">
        <w:tc>
          <w:tcPr>
            <w:tcW w:w="1132" w:type="dxa"/>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2a</w:t>
            </w:r>
          </w:p>
        </w:tc>
        <w:tc>
          <w:tcPr>
            <w:tcW w:w="2113" w:type="dxa"/>
            <w:vMerge w:val="restart"/>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Response definition</w:t>
            </w:r>
          </w:p>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(PsARC only)</w:t>
            </w:r>
          </w:p>
        </w:tc>
        <w:tc>
          <w:tcPr>
            <w:tcW w:w="2121" w:type="dxa"/>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 xml:space="preserve">PsARC and PASI </w:t>
            </w:r>
            <w:r w:rsidRPr="00730E43">
              <w:rPr>
                <w:rFonts w:cs="Tahoma"/>
                <w:b/>
                <w:sz w:val="18"/>
                <w:szCs w:val="18"/>
              </w:rPr>
              <w:t>≥</w:t>
            </w:r>
            <w:r w:rsidRPr="00730E43">
              <w:rPr>
                <w:b/>
                <w:sz w:val="18"/>
                <w:szCs w:val="18"/>
              </w:rPr>
              <w:t>50</w:t>
            </w:r>
          </w:p>
        </w:tc>
        <w:tc>
          <w:tcPr>
            <w:tcW w:w="1141" w:type="dxa"/>
            <w:vAlign w:val="center"/>
          </w:tcPr>
          <w:p w:rsidR="002B72B4" w:rsidRPr="00017DBD" w:rsidRDefault="002B72B4" w:rsidP="001E7CAE">
            <w:pPr>
              <w:pStyle w:val="Manuscripttabletext"/>
              <w:jc w:val="center"/>
            </w:pPr>
            <w:r w:rsidRPr="007B11B9">
              <w:t>£5,318</w:t>
            </w:r>
          </w:p>
        </w:tc>
        <w:tc>
          <w:tcPr>
            <w:tcW w:w="1139" w:type="dxa"/>
            <w:vAlign w:val="center"/>
          </w:tcPr>
          <w:p w:rsidR="002B72B4" w:rsidRPr="00017DBD" w:rsidRDefault="002B72B4" w:rsidP="001E7CAE">
            <w:pPr>
              <w:pStyle w:val="Manuscripttabletext"/>
              <w:jc w:val="center"/>
            </w:pPr>
            <w:r w:rsidRPr="007B11B9">
              <w:t>£7,810</w:t>
            </w:r>
          </w:p>
        </w:tc>
        <w:tc>
          <w:tcPr>
            <w:tcW w:w="1306" w:type="dxa"/>
            <w:vAlign w:val="center"/>
          </w:tcPr>
          <w:p w:rsidR="002B72B4" w:rsidRPr="00017DBD" w:rsidRDefault="002B72B4" w:rsidP="001E7CAE">
            <w:pPr>
              <w:pStyle w:val="Manuscripttabletext"/>
              <w:jc w:val="center"/>
            </w:pPr>
            <w:r w:rsidRPr="009C4ABA">
              <w:t>£12,615</w:t>
            </w:r>
          </w:p>
        </w:tc>
        <w:tc>
          <w:tcPr>
            <w:tcW w:w="1301" w:type="dxa"/>
            <w:vAlign w:val="center"/>
          </w:tcPr>
          <w:p w:rsidR="002B72B4" w:rsidRPr="00017DBD" w:rsidRDefault="002B72B4" w:rsidP="001E7CAE">
            <w:pPr>
              <w:pStyle w:val="Manuscripttabletext"/>
              <w:jc w:val="center"/>
            </w:pPr>
            <w:r w:rsidRPr="007B11B9">
              <w:t>£18,615</w:t>
            </w:r>
          </w:p>
        </w:tc>
        <w:tc>
          <w:tcPr>
            <w:tcW w:w="1140" w:type="dxa"/>
            <w:vAlign w:val="center"/>
          </w:tcPr>
          <w:p w:rsidR="002B72B4" w:rsidRPr="00017DBD" w:rsidRDefault="002B72B4" w:rsidP="001E7CAE">
            <w:pPr>
              <w:pStyle w:val="Manuscripttabletext"/>
              <w:jc w:val="center"/>
            </w:pPr>
            <w:r w:rsidRPr="007B11B9">
              <w:t>Dominated by SEC</w:t>
            </w:r>
          </w:p>
        </w:tc>
        <w:tc>
          <w:tcPr>
            <w:tcW w:w="1312" w:type="dxa"/>
            <w:vAlign w:val="center"/>
          </w:tcPr>
          <w:p w:rsidR="002B72B4" w:rsidRPr="00017DBD" w:rsidRDefault="002B72B4" w:rsidP="001E7CAE">
            <w:pPr>
              <w:pStyle w:val="Manuscripttabletext"/>
              <w:jc w:val="center"/>
            </w:pPr>
            <w:r w:rsidRPr="009C4ABA">
              <w:t>£252,567</w:t>
            </w:r>
            <w:r>
              <w:t>*</w:t>
            </w:r>
          </w:p>
        </w:tc>
        <w:tc>
          <w:tcPr>
            <w:tcW w:w="1547" w:type="dxa"/>
            <w:vAlign w:val="center"/>
          </w:tcPr>
          <w:p w:rsidR="002B72B4" w:rsidRPr="00017DBD" w:rsidRDefault="002B72B4" w:rsidP="001E7CAE">
            <w:pPr>
              <w:pStyle w:val="Manuscripttabletext"/>
              <w:jc w:val="center"/>
            </w:pPr>
            <w:r w:rsidRPr="007B11B9">
              <w:t>£209,811</w:t>
            </w:r>
            <w:r>
              <w:t>*</w:t>
            </w:r>
          </w:p>
        </w:tc>
      </w:tr>
      <w:tr w:rsidR="002B72B4" w:rsidTr="001E7CAE">
        <w:tc>
          <w:tcPr>
            <w:tcW w:w="1132" w:type="dxa"/>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2b</w:t>
            </w:r>
          </w:p>
        </w:tc>
        <w:tc>
          <w:tcPr>
            <w:tcW w:w="2113" w:type="dxa"/>
            <w:vMerge/>
          </w:tcPr>
          <w:p w:rsidR="002B72B4" w:rsidRPr="00730E43" w:rsidRDefault="002B72B4" w:rsidP="001E7CAE">
            <w:pPr>
              <w:pStyle w:val="Manuscriptoutline"/>
              <w:numPr>
                <w:ilvl w:val="0"/>
                <w:numId w:val="0"/>
              </w:numPr>
              <w:spacing w:after="120" w:afterAutospacing="0" w:line="240" w:lineRule="auto"/>
              <w:contextualSpacing/>
              <w:rPr>
                <w:b/>
                <w:sz w:val="18"/>
                <w:szCs w:val="18"/>
              </w:rPr>
            </w:pPr>
          </w:p>
        </w:tc>
        <w:tc>
          <w:tcPr>
            <w:tcW w:w="2121" w:type="dxa"/>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 xml:space="preserve">PsARC and PASI </w:t>
            </w:r>
            <w:r w:rsidRPr="00730E43">
              <w:rPr>
                <w:rFonts w:cs="Tahoma"/>
                <w:b/>
                <w:sz w:val="18"/>
                <w:szCs w:val="18"/>
              </w:rPr>
              <w:t>≥</w:t>
            </w:r>
            <w:r w:rsidRPr="00730E43">
              <w:rPr>
                <w:b/>
                <w:sz w:val="18"/>
                <w:szCs w:val="18"/>
              </w:rPr>
              <w:t>75</w:t>
            </w:r>
          </w:p>
        </w:tc>
        <w:tc>
          <w:tcPr>
            <w:tcW w:w="1141" w:type="dxa"/>
            <w:vAlign w:val="center"/>
          </w:tcPr>
          <w:p w:rsidR="002B72B4" w:rsidRPr="00017DBD" w:rsidRDefault="002B72B4" w:rsidP="001E7CAE">
            <w:pPr>
              <w:pStyle w:val="Manuscripttabletext"/>
              <w:jc w:val="center"/>
            </w:pPr>
            <w:r w:rsidRPr="009C4ABA">
              <w:t>£8,196</w:t>
            </w:r>
          </w:p>
        </w:tc>
        <w:tc>
          <w:tcPr>
            <w:tcW w:w="1139" w:type="dxa"/>
            <w:vAlign w:val="center"/>
          </w:tcPr>
          <w:p w:rsidR="002B72B4" w:rsidRPr="00017DBD" w:rsidRDefault="002B72B4" w:rsidP="001E7CAE">
            <w:pPr>
              <w:pStyle w:val="Manuscripttabletext"/>
              <w:jc w:val="center"/>
            </w:pPr>
            <w:r w:rsidRPr="009C4ABA">
              <w:t>£13,984</w:t>
            </w:r>
          </w:p>
        </w:tc>
        <w:tc>
          <w:tcPr>
            <w:tcW w:w="1306" w:type="dxa"/>
            <w:vAlign w:val="center"/>
          </w:tcPr>
          <w:p w:rsidR="002B72B4" w:rsidRPr="00017DBD" w:rsidRDefault="002B72B4" w:rsidP="001E7CAE">
            <w:pPr>
              <w:pStyle w:val="Manuscripttabletext"/>
              <w:jc w:val="center"/>
            </w:pPr>
            <w:r w:rsidRPr="009C4ABA">
              <w:t>£18,038</w:t>
            </w:r>
          </w:p>
        </w:tc>
        <w:tc>
          <w:tcPr>
            <w:tcW w:w="1301" w:type="dxa"/>
            <w:vAlign w:val="center"/>
          </w:tcPr>
          <w:p w:rsidR="002B72B4" w:rsidRPr="00017DBD" w:rsidRDefault="002B72B4" w:rsidP="001E7CAE">
            <w:pPr>
              <w:pStyle w:val="Manuscripttabletext"/>
              <w:jc w:val="center"/>
            </w:pPr>
            <w:r w:rsidRPr="009C4ABA">
              <w:t>£21,324</w:t>
            </w:r>
          </w:p>
        </w:tc>
        <w:tc>
          <w:tcPr>
            <w:tcW w:w="1140" w:type="dxa"/>
            <w:vAlign w:val="center"/>
          </w:tcPr>
          <w:p w:rsidR="002B72B4" w:rsidRPr="00017DBD" w:rsidRDefault="002B72B4" w:rsidP="001E7CAE">
            <w:pPr>
              <w:pStyle w:val="Manuscripttabletext"/>
              <w:jc w:val="center"/>
            </w:pPr>
            <w:r w:rsidRPr="007B11B9">
              <w:t>Dominated by SEC</w:t>
            </w:r>
          </w:p>
        </w:tc>
        <w:tc>
          <w:tcPr>
            <w:tcW w:w="1312" w:type="dxa"/>
            <w:vAlign w:val="center"/>
          </w:tcPr>
          <w:p w:rsidR="002B72B4" w:rsidRPr="00017DBD" w:rsidRDefault="002B72B4" w:rsidP="001E7CAE">
            <w:pPr>
              <w:pStyle w:val="Manuscripttabletext"/>
              <w:jc w:val="center"/>
            </w:pPr>
            <w:r w:rsidRPr="009C4ABA">
              <w:t>£164,280</w:t>
            </w:r>
            <w:r>
              <w:t>*</w:t>
            </w:r>
          </w:p>
        </w:tc>
        <w:tc>
          <w:tcPr>
            <w:tcW w:w="1547" w:type="dxa"/>
            <w:vAlign w:val="center"/>
          </w:tcPr>
          <w:p w:rsidR="002B72B4" w:rsidRPr="00017DBD" w:rsidRDefault="002B72B4" w:rsidP="001E7CAE">
            <w:pPr>
              <w:pStyle w:val="Manuscripttabletext"/>
              <w:jc w:val="center"/>
            </w:pPr>
            <w:r w:rsidRPr="009C4ABA">
              <w:t>£137,756</w:t>
            </w:r>
            <w:r>
              <w:t>*</w:t>
            </w:r>
          </w:p>
        </w:tc>
      </w:tr>
      <w:tr w:rsidR="002B72B4" w:rsidTr="001E7CAE">
        <w:tc>
          <w:tcPr>
            <w:tcW w:w="1132" w:type="dxa"/>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2c</w:t>
            </w:r>
          </w:p>
        </w:tc>
        <w:tc>
          <w:tcPr>
            <w:tcW w:w="2113" w:type="dxa"/>
            <w:vMerge/>
          </w:tcPr>
          <w:p w:rsidR="002B72B4" w:rsidRPr="00730E43" w:rsidRDefault="002B72B4" w:rsidP="001E7CAE">
            <w:pPr>
              <w:pStyle w:val="Manuscriptoutline"/>
              <w:numPr>
                <w:ilvl w:val="0"/>
                <w:numId w:val="0"/>
              </w:numPr>
              <w:spacing w:after="120" w:afterAutospacing="0" w:line="240" w:lineRule="auto"/>
              <w:contextualSpacing/>
              <w:rPr>
                <w:b/>
                <w:sz w:val="18"/>
                <w:szCs w:val="18"/>
              </w:rPr>
            </w:pPr>
          </w:p>
        </w:tc>
        <w:tc>
          <w:tcPr>
            <w:tcW w:w="2121" w:type="dxa"/>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 xml:space="preserve">PsARC and PASI </w:t>
            </w:r>
            <w:r w:rsidRPr="00730E43">
              <w:rPr>
                <w:rFonts w:cs="Tahoma"/>
                <w:b/>
                <w:sz w:val="18"/>
                <w:szCs w:val="18"/>
              </w:rPr>
              <w:t>≥</w:t>
            </w:r>
            <w:r w:rsidRPr="00730E43">
              <w:rPr>
                <w:b/>
                <w:sz w:val="18"/>
                <w:szCs w:val="18"/>
              </w:rPr>
              <w:t>90</w:t>
            </w:r>
          </w:p>
        </w:tc>
        <w:tc>
          <w:tcPr>
            <w:tcW w:w="1141" w:type="dxa"/>
            <w:vAlign w:val="center"/>
          </w:tcPr>
          <w:p w:rsidR="002B72B4" w:rsidRPr="00017DBD" w:rsidRDefault="002B72B4" w:rsidP="001E7CAE">
            <w:pPr>
              <w:pStyle w:val="Manuscripttabletext"/>
              <w:jc w:val="center"/>
            </w:pPr>
            <w:r w:rsidRPr="009C4ABA">
              <w:t>£14,079</w:t>
            </w:r>
          </w:p>
        </w:tc>
        <w:tc>
          <w:tcPr>
            <w:tcW w:w="1139" w:type="dxa"/>
            <w:vAlign w:val="center"/>
          </w:tcPr>
          <w:p w:rsidR="002B72B4" w:rsidRPr="00017DBD" w:rsidRDefault="002B72B4" w:rsidP="001E7CAE">
            <w:pPr>
              <w:pStyle w:val="Manuscripttabletext"/>
              <w:jc w:val="center"/>
            </w:pPr>
            <w:r w:rsidRPr="009C4ABA">
              <w:t>£17,412</w:t>
            </w:r>
          </w:p>
        </w:tc>
        <w:tc>
          <w:tcPr>
            <w:tcW w:w="1306" w:type="dxa"/>
            <w:vAlign w:val="center"/>
          </w:tcPr>
          <w:p w:rsidR="002B72B4" w:rsidRPr="00017DBD" w:rsidRDefault="002B72B4" w:rsidP="001E7CAE">
            <w:pPr>
              <w:pStyle w:val="Manuscripttabletext"/>
              <w:jc w:val="center"/>
            </w:pPr>
            <w:r w:rsidRPr="009C4ABA">
              <w:t>£21,494</w:t>
            </w:r>
          </w:p>
        </w:tc>
        <w:tc>
          <w:tcPr>
            <w:tcW w:w="1301" w:type="dxa"/>
            <w:vAlign w:val="center"/>
          </w:tcPr>
          <w:p w:rsidR="002B72B4" w:rsidRPr="00017DBD" w:rsidRDefault="002B72B4" w:rsidP="001E7CAE">
            <w:pPr>
              <w:pStyle w:val="Manuscripttabletext"/>
              <w:jc w:val="center"/>
            </w:pPr>
            <w:r w:rsidRPr="009C4ABA">
              <w:t>£23,491</w:t>
            </w:r>
          </w:p>
        </w:tc>
        <w:tc>
          <w:tcPr>
            <w:tcW w:w="1140" w:type="dxa"/>
            <w:vAlign w:val="center"/>
          </w:tcPr>
          <w:p w:rsidR="002B72B4" w:rsidRPr="00017DBD" w:rsidRDefault="002B72B4" w:rsidP="001E7CAE">
            <w:pPr>
              <w:pStyle w:val="Manuscripttabletext"/>
              <w:jc w:val="center"/>
            </w:pPr>
            <w:r w:rsidRPr="009C4ABA">
              <w:t>£3,895</w:t>
            </w:r>
          </w:p>
        </w:tc>
        <w:tc>
          <w:tcPr>
            <w:tcW w:w="1312" w:type="dxa"/>
            <w:vAlign w:val="center"/>
          </w:tcPr>
          <w:p w:rsidR="002B72B4" w:rsidRPr="00017DBD" w:rsidRDefault="002B72B4" w:rsidP="001E7CAE">
            <w:pPr>
              <w:pStyle w:val="Manuscripttabletext"/>
              <w:jc w:val="center"/>
            </w:pPr>
            <w:r w:rsidRPr="009C4ABA">
              <w:t>£132,825</w:t>
            </w:r>
            <w:r>
              <w:t>*</w:t>
            </w:r>
          </w:p>
        </w:tc>
        <w:tc>
          <w:tcPr>
            <w:tcW w:w="1547" w:type="dxa"/>
            <w:vAlign w:val="center"/>
          </w:tcPr>
          <w:p w:rsidR="002B72B4" w:rsidRPr="00017DBD" w:rsidRDefault="002B72B4" w:rsidP="001E7CAE">
            <w:pPr>
              <w:pStyle w:val="Manuscripttabletext"/>
              <w:jc w:val="center"/>
            </w:pPr>
            <w:r w:rsidRPr="009C4ABA">
              <w:t>£111,886</w:t>
            </w:r>
            <w:r>
              <w:t>*</w:t>
            </w:r>
          </w:p>
        </w:tc>
      </w:tr>
      <w:tr w:rsidR="002B72B4" w:rsidTr="001E7CAE">
        <w:tc>
          <w:tcPr>
            <w:tcW w:w="1132" w:type="dxa"/>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3</w:t>
            </w:r>
          </w:p>
        </w:tc>
        <w:tc>
          <w:tcPr>
            <w:tcW w:w="2113" w:type="dxa"/>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Adjust HAQ for placebo</w:t>
            </w:r>
          </w:p>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(Yes)</w:t>
            </w:r>
          </w:p>
        </w:tc>
        <w:tc>
          <w:tcPr>
            <w:tcW w:w="2121" w:type="dxa"/>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No</w:t>
            </w:r>
          </w:p>
        </w:tc>
        <w:tc>
          <w:tcPr>
            <w:tcW w:w="1141" w:type="dxa"/>
            <w:vAlign w:val="center"/>
          </w:tcPr>
          <w:p w:rsidR="002B72B4" w:rsidRPr="00017DBD" w:rsidRDefault="002B72B4" w:rsidP="001E7CAE">
            <w:pPr>
              <w:pStyle w:val="Manuscripttabletext"/>
              <w:jc w:val="center"/>
            </w:pPr>
            <w:r w:rsidRPr="009C4ABA">
              <w:t>£5,157</w:t>
            </w:r>
          </w:p>
        </w:tc>
        <w:tc>
          <w:tcPr>
            <w:tcW w:w="1139" w:type="dxa"/>
            <w:vAlign w:val="center"/>
          </w:tcPr>
          <w:p w:rsidR="002B72B4" w:rsidRPr="00017DBD" w:rsidRDefault="002B72B4" w:rsidP="001E7CAE">
            <w:pPr>
              <w:pStyle w:val="Manuscripttabletext"/>
              <w:jc w:val="center"/>
            </w:pPr>
            <w:r w:rsidRPr="007B11B9">
              <w:t>Dominated by SEC</w:t>
            </w:r>
          </w:p>
        </w:tc>
        <w:tc>
          <w:tcPr>
            <w:tcW w:w="1306" w:type="dxa"/>
            <w:vAlign w:val="center"/>
          </w:tcPr>
          <w:p w:rsidR="002B72B4" w:rsidRPr="00017DBD" w:rsidRDefault="002B72B4" w:rsidP="001E7CAE">
            <w:pPr>
              <w:pStyle w:val="Manuscripttabletext"/>
              <w:jc w:val="center"/>
            </w:pPr>
            <w:r w:rsidRPr="007B11B9">
              <w:t>Dominated by SEC</w:t>
            </w:r>
          </w:p>
        </w:tc>
        <w:tc>
          <w:tcPr>
            <w:tcW w:w="1301" w:type="dxa"/>
            <w:vAlign w:val="center"/>
          </w:tcPr>
          <w:p w:rsidR="002B72B4" w:rsidRPr="00017DBD" w:rsidRDefault="002B72B4" w:rsidP="001E7CAE">
            <w:pPr>
              <w:pStyle w:val="Manuscripttabletext"/>
              <w:jc w:val="center"/>
            </w:pPr>
            <w:r w:rsidRPr="007B11B9">
              <w:t>Dominated by SEC</w:t>
            </w:r>
          </w:p>
        </w:tc>
        <w:tc>
          <w:tcPr>
            <w:tcW w:w="1140" w:type="dxa"/>
            <w:vAlign w:val="center"/>
          </w:tcPr>
          <w:p w:rsidR="002B72B4" w:rsidRPr="00017DBD" w:rsidRDefault="002B72B4" w:rsidP="001E7CAE">
            <w:pPr>
              <w:pStyle w:val="Manuscripttabletext"/>
              <w:jc w:val="center"/>
            </w:pPr>
            <w:r w:rsidRPr="007B11B9">
              <w:t>Dominated by SEC</w:t>
            </w:r>
          </w:p>
        </w:tc>
        <w:tc>
          <w:tcPr>
            <w:tcW w:w="1312" w:type="dxa"/>
            <w:vAlign w:val="center"/>
          </w:tcPr>
          <w:p w:rsidR="002B72B4" w:rsidRPr="00017DBD" w:rsidRDefault="002B72B4" w:rsidP="001E7CAE">
            <w:pPr>
              <w:pStyle w:val="Manuscripttabletext"/>
              <w:jc w:val="center"/>
            </w:pPr>
            <w:r w:rsidRPr="009C4ABA">
              <w:t>£1,762,940</w:t>
            </w:r>
            <w:r>
              <w:t>*</w:t>
            </w:r>
          </w:p>
        </w:tc>
        <w:tc>
          <w:tcPr>
            <w:tcW w:w="1547" w:type="dxa"/>
            <w:vAlign w:val="center"/>
          </w:tcPr>
          <w:p w:rsidR="002B72B4" w:rsidRPr="00017DBD" w:rsidRDefault="002B72B4" w:rsidP="001E7CAE">
            <w:pPr>
              <w:pStyle w:val="Manuscripttabletext"/>
              <w:jc w:val="center"/>
            </w:pPr>
            <w:r w:rsidRPr="009C4ABA">
              <w:t>£1,441,321</w:t>
            </w:r>
            <w:r>
              <w:t>*</w:t>
            </w:r>
          </w:p>
        </w:tc>
      </w:tr>
      <w:tr w:rsidR="002B72B4" w:rsidTr="001E7CAE">
        <w:tc>
          <w:tcPr>
            <w:tcW w:w="1132" w:type="dxa"/>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4</w:t>
            </w:r>
          </w:p>
        </w:tc>
        <w:tc>
          <w:tcPr>
            <w:tcW w:w="2113" w:type="dxa"/>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Adjust PASI for placebo</w:t>
            </w:r>
          </w:p>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(Yes)</w:t>
            </w:r>
          </w:p>
        </w:tc>
        <w:tc>
          <w:tcPr>
            <w:tcW w:w="2121" w:type="dxa"/>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No</w:t>
            </w:r>
          </w:p>
        </w:tc>
        <w:tc>
          <w:tcPr>
            <w:tcW w:w="1141" w:type="dxa"/>
            <w:vAlign w:val="center"/>
          </w:tcPr>
          <w:p w:rsidR="002B72B4" w:rsidRPr="00017DBD" w:rsidRDefault="002B72B4" w:rsidP="001E7CAE">
            <w:pPr>
              <w:pStyle w:val="Manuscripttabletext"/>
              <w:jc w:val="center"/>
            </w:pPr>
            <w:r w:rsidRPr="009C4ABA">
              <w:t>£5,677</w:t>
            </w:r>
          </w:p>
        </w:tc>
        <w:tc>
          <w:tcPr>
            <w:tcW w:w="1139" w:type="dxa"/>
            <w:vAlign w:val="center"/>
          </w:tcPr>
          <w:p w:rsidR="002B72B4" w:rsidRPr="00017DBD" w:rsidRDefault="002B72B4" w:rsidP="001E7CAE">
            <w:pPr>
              <w:pStyle w:val="Manuscripttabletext"/>
              <w:jc w:val="center"/>
            </w:pPr>
            <w:r w:rsidRPr="007B11B9">
              <w:t>Dominated by SEC</w:t>
            </w:r>
          </w:p>
        </w:tc>
        <w:tc>
          <w:tcPr>
            <w:tcW w:w="1306" w:type="dxa"/>
            <w:vAlign w:val="center"/>
          </w:tcPr>
          <w:p w:rsidR="002B72B4" w:rsidRPr="00017DBD" w:rsidRDefault="002B72B4" w:rsidP="001E7CAE">
            <w:pPr>
              <w:pStyle w:val="Manuscripttabletext"/>
              <w:jc w:val="center"/>
            </w:pPr>
            <w:r w:rsidRPr="007B11B9">
              <w:t>Dominated by SEC</w:t>
            </w:r>
          </w:p>
        </w:tc>
        <w:tc>
          <w:tcPr>
            <w:tcW w:w="1301" w:type="dxa"/>
            <w:vAlign w:val="center"/>
          </w:tcPr>
          <w:p w:rsidR="002B72B4" w:rsidRPr="00017DBD" w:rsidRDefault="002B72B4" w:rsidP="001E7CAE">
            <w:pPr>
              <w:pStyle w:val="Manuscripttabletext"/>
              <w:jc w:val="center"/>
            </w:pPr>
            <w:r w:rsidRPr="007B11B9">
              <w:t>Dominated by SEC</w:t>
            </w:r>
          </w:p>
        </w:tc>
        <w:tc>
          <w:tcPr>
            <w:tcW w:w="1140" w:type="dxa"/>
            <w:vAlign w:val="center"/>
          </w:tcPr>
          <w:p w:rsidR="002B72B4" w:rsidRPr="00017DBD" w:rsidRDefault="002B72B4" w:rsidP="001E7CAE">
            <w:pPr>
              <w:pStyle w:val="Manuscripttabletext"/>
              <w:jc w:val="center"/>
            </w:pPr>
            <w:r w:rsidRPr="007B11B9">
              <w:t>Dominated by SEC</w:t>
            </w:r>
          </w:p>
        </w:tc>
        <w:tc>
          <w:tcPr>
            <w:tcW w:w="1312" w:type="dxa"/>
            <w:vAlign w:val="center"/>
          </w:tcPr>
          <w:p w:rsidR="002B72B4" w:rsidRPr="00017DBD" w:rsidRDefault="002B72B4" w:rsidP="001E7CAE">
            <w:pPr>
              <w:pStyle w:val="Manuscripttabletext"/>
              <w:jc w:val="center"/>
            </w:pPr>
            <w:r w:rsidRPr="009C4ABA">
              <w:t>£1,402,861</w:t>
            </w:r>
            <w:r>
              <w:t>*</w:t>
            </w:r>
          </w:p>
        </w:tc>
        <w:tc>
          <w:tcPr>
            <w:tcW w:w="1547" w:type="dxa"/>
            <w:vAlign w:val="center"/>
          </w:tcPr>
          <w:p w:rsidR="002B72B4" w:rsidRPr="00017DBD" w:rsidRDefault="002B72B4" w:rsidP="001E7CAE">
            <w:pPr>
              <w:pStyle w:val="Manuscripttabletext"/>
              <w:jc w:val="center"/>
            </w:pPr>
            <w:r w:rsidRPr="009C4ABA">
              <w:t>£1,146,833</w:t>
            </w:r>
            <w:r>
              <w:t>*</w:t>
            </w:r>
          </w:p>
        </w:tc>
      </w:tr>
      <w:tr w:rsidR="002B72B4" w:rsidTr="001E7CAE">
        <w:tc>
          <w:tcPr>
            <w:tcW w:w="1132" w:type="dxa"/>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5</w:t>
            </w:r>
          </w:p>
        </w:tc>
        <w:tc>
          <w:tcPr>
            <w:tcW w:w="2113" w:type="dxa"/>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HAQ rebound</w:t>
            </w:r>
          </w:p>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(equal to initial gain)</w:t>
            </w:r>
          </w:p>
        </w:tc>
        <w:tc>
          <w:tcPr>
            <w:tcW w:w="2121" w:type="dxa"/>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HAQ rebound is equal to natural history at the time of discontinuation</w:t>
            </w:r>
            <w:r>
              <w:rPr>
                <w:b/>
                <w:sz w:val="18"/>
                <w:szCs w:val="18"/>
                <w:vertAlign w:val="superscript"/>
              </w:rPr>
              <w:t>a</w:t>
            </w:r>
          </w:p>
        </w:tc>
        <w:tc>
          <w:tcPr>
            <w:tcW w:w="1141" w:type="dxa"/>
            <w:vAlign w:val="center"/>
          </w:tcPr>
          <w:p w:rsidR="002B72B4" w:rsidRPr="00017DBD" w:rsidRDefault="002B72B4" w:rsidP="001E7CAE">
            <w:pPr>
              <w:pStyle w:val="Manuscripttabletext"/>
              <w:jc w:val="center"/>
            </w:pPr>
            <w:r w:rsidRPr="009C4ABA">
              <w:t>£10,340</w:t>
            </w:r>
          </w:p>
        </w:tc>
        <w:tc>
          <w:tcPr>
            <w:tcW w:w="1139" w:type="dxa"/>
            <w:vAlign w:val="center"/>
          </w:tcPr>
          <w:p w:rsidR="002B72B4" w:rsidRPr="00017DBD" w:rsidRDefault="002B72B4" w:rsidP="001E7CAE">
            <w:pPr>
              <w:pStyle w:val="Manuscripttabletext"/>
              <w:jc w:val="center"/>
            </w:pPr>
            <w:r w:rsidRPr="007B11B9">
              <w:t>Dominated by SEC</w:t>
            </w:r>
          </w:p>
        </w:tc>
        <w:tc>
          <w:tcPr>
            <w:tcW w:w="1306" w:type="dxa"/>
            <w:vAlign w:val="center"/>
          </w:tcPr>
          <w:p w:rsidR="002B72B4" w:rsidRPr="00017DBD" w:rsidRDefault="002B72B4" w:rsidP="001E7CAE">
            <w:pPr>
              <w:pStyle w:val="Manuscripttabletext"/>
              <w:jc w:val="center"/>
            </w:pPr>
            <w:r w:rsidRPr="009C4ABA">
              <w:t>£350,129</w:t>
            </w:r>
            <w:r>
              <w:t>*</w:t>
            </w:r>
          </w:p>
        </w:tc>
        <w:tc>
          <w:tcPr>
            <w:tcW w:w="1301" w:type="dxa"/>
            <w:vAlign w:val="center"/>
          </w:tcPr>
          <w:p w:rsidR="002B72B4" w:rsidRPr="00017DBD" w:rsidRDefault="002B72B4" w:rsidP="001E7CAE">
            <w:pPr>
              <w:pStyle w:val="Manuscripttabletext"/>
              <w:jc w:val="center"/>
            </w:pPr>
            <w:r w:rsidRPr="009C4ABA">
              <w:t>£167,725</w:t>
            </w:r>
            <w:r>
              <w:t>*</w:t>
            </w:r>
          </w:p>
        </w:tc>
        <w:tc>
          <w:tcPr>
            <w:tcW w:w="1140" w:type="dxa"/>
            <w:vAlign w:val="center"/>
          </w:tcPr>
          <w:p w:rsidR="002B72B4" w:rsidRPr="00017DBD" w:rsidRDefault="002B72B4" w:rsidP="001E7CAE">
            <w:pPr>
              <w:pStyle w:val="Manuscripttabletext"/>
              <w:jc w:val="center"/>
            </w:pPr>
            <w:r w:rsidRPr="007B11B9">
              <w:t>Dominated by SEC</w:t>
            </w:r>
          </w:p>
        </w:tc>
        <w:tc>
          <w:tcPr>
            <w:tcW w:w="1312" w:type="dxa"/>
            <w:vAlign w:val="center"/>
          </w:tcPr>
          <w:p w:rsidR="002B72B4" w:rsidRPr="00017DBD" w:rsidRDefault="002B72B4" w:rsidP="001E7CAE">
            <w:pPr>
              <w:pStyle w:val="Manuscripttabletext"/>
              <w:jc w:val="center"/>
            </w:pPr>
            <w:r w:rsidRPr="009C4ABA">
              <w:t>£670,537</w:t>
            </w:r>
            <w:r>
              <w:t>*</w:t>
            </w:r>
          </w:p>
        </w:tc>
        <w:tc>
          <w:tcPr>
            <w:tcW w:w="1547" w:type="dxa"/>
            <w:vAlign w:val="center"/>
          </w:tcPr>
          <w:p w:rsidR="002B72B4" w:rsidRPr="00017DBD" w:rsidRDefault="002B72B4" w:rsidP="001E7CAE">
            <w:pPr>
              <w:pStyle w:val="Manuscripttabletext"/>
              <w:jc w:val="center"/>
            </w:pPr>
            <w:r w:rsidRPr="009C4ABA">
              <w:t>£547,908</w:t>
            </w:r>
            <w:r>
              <w:t>*</w:t>
            </w:r>
          </w:p>
        </w:tc>
      </w:tr>
      <w:tr w:rsidR="002B72B4" w:rsidTr="001E7CAE">
        <w:tc>
          <w:tcPr>
            <w:tcW w:w="1132" w:type="dxa"/>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6</w:t>
            </w:r>
          </w:p>
        </w:tc>
        <w:tc>
          <w:tcPr>
            <w:tcW w:w="2113" w:type="dxa"/>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Utility source (FUTURE 2)</w:t>
            </w:r>
          </w:p>
        </w:tc>
        <w:tc>
          <w:tcPr>
            <w:tcW w:w="2121" w:type="dxa"/>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Rodgers et al.</w:t>
            </w:r>
          </w:p>
        </w:tc>
        <w:tc>
          <w:tcPr>
            <w:tcW w:w="1141" w:type="dxa"/>
            <w:vAlign w:val="center"/>
          </w:tcPr>
          <w:p w:rsidR="002B72B4" w:rsidRPr="00017DBD" w:rsidRDefault="002B72B4" w:rsidP="001E7CAE">
            <w:pPr>
              <w:pStyle w:val="Manuscripttabletext"/>
              <w:jc w:val="center"/>
            </w:pPr>
            <w:r w:rsidRPr="009C4ABA">
              <w:t>£3,255</w:t>
            </w:r>
          </w:p>
        </w:tc>
        <w:tc>
          <w:tcPr>
            <w:tcW w:w="1139" w:type="dxa"/>
            <w:vAlign w:val="center"/>
          </w:tcPr>
          <w:p w:rsidR="002B72B4" w:rsidRPr="00017DBD" w:rsidRDefault="002B72B4" w:rsidP="001E7CAE">
            <w:pPr>
              <w:pStyle w:val="Manuscripttabletext"/>
              <w:jc w:val="center"/>
            </w:pPr>
            <w:r w:rsidRPr="007B11B9">
              <w:t>Dominated by SEC</w:t>
            </w:r>
          </w:p>
        </w:tc>
        <w:tc>
          <w:tcPr>
            <w:tcW w:w="1306" w:type="dxa"/>
            <w:vAlign w:val="center"/>
          </w:tcPr>
          <w:p w:rsidR="002B72B4" w:rsidRPr="00017DBD" w:rsidRDefault="002B72B4" w:rsidP="001E7CAE">
            <w:pPr>
              <w:pStyle w:val="Manuscripttabletext"/>
              <w:jc w:val="center"/>
            </w:pPr>
            <w:r w:rsidRPr="007B11B9">
              <w:t>Dominated by SEC</w:t>
            </w:r>
          </w:p>
        </w:tc>
        <w:tc>
          <w:tcPr>
            <w:tcW w:w="1301" w:type="dxa"/>
            <w:vAlign w:val="center"/>
          </w:tcPr>
          <w:p w:rsidR="002B72B4" w:rsidRPr="00017DBD" w:rsidRDefault="002B72B4" w:rsidP="001E7CAE">
            <w:pPr>
              <w:pStyle w:val="Manuscripttabletext"/>
              <w:jc w:val="center"/>
            </w:pPr>
            <w:r w:rsidRPr="007B11B9">
              <w:t>Dominated by SEC</w:t>
            </w:r>
          </w:p>
        </w:tc>
        <w:tc>
          <w:tcPr>
            <w:tcW w:w="1140" w:type="dxa"/>
            <w:vAlign w:val="center"/>
          </w:tcPr>
          <w:p w:rsidR="002B72B4" w:rsidRPr="00017DBD" w:rsidRDefault="002B72B4" w:rsidP="001E7CAE">
            <w:pPr>
              <w:pStyle w:val="Manuscripttabletext"/>
              <w:jc w:val="center"/>
            </w:pPr>
            <w:r w:rsidRPr="007B11B9">
              <w:t>Dominated by SEC</w:t>
            </w:r>
          </w:p>
        </w:tc>
        <w:tc>
          <w:tcPr>
            <w:tcW w:w="1312" w:type="dxa"/>
            <w:vAlign w:val="center"/>
          </w:tcPr>
          <w:p w:rsidR="002B72B4" w:rsidRPr="00017DBD" w:rsidRDefault="002B72B4" w:rsidP="001E7CAE">
            <w:pPr>
              <w:pStyle w:val="Manuscripttabletext"/>
              <w:jc w:val="center"/>
            </w:pPr>
            <w:r w:rsidRPr="009C4ABA">
              <w:t>£799,852</w:t>
            </w:r>
            <w:r>
              <w:t>*</w:t>
            </w:r>
          </w:p>
        </w:tc>
        <w:tc>
          <w:tcPr>
            <w:tcW w:w="1547" w:type="dxa"/>
            <w:vAlign w:val="center"/>
          </w:tcPr>
          <w:p w:rsidR="002B72B4" w:rsidRPr="00017DBD" w:rsidRDefault="002B72B4" w:rsidP="001E7CAE">
            <w:pPr>
              <w:pStyle w:val="Manuscripttabletext"/>
              <w:jc w:val="center"/>
            </w:pPr>
            <w:r w:rsidRPr="009C4ABA">
              <w:t>£653,876</w:t>
            </w:r>
            <w:r>
              <w:t>*</w:t>
            </w:r>
          </w:p>
        </w:tc>
      </w:tr>
      <w:tr w:rsidR="002B72B4" w:rsidTr="001E7CAE">
        <w:tc>
          <w:tcPr>
            <w:tcW w:w="1132" w:type="dxa"/>
            <w:vAlign w:val="center"/>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7a</w:t>
            </w:r>
          </w:p>
        </w:tc>
        <w:tc>
          <w:tcPr>
            <w:tcW w:w="2113" w:type="dxa"/>
            <w:vMerge w:val="restart"/>
            <w:vAlign w:val="center"/>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Sequencing</w:t>
            </w:r>
          </w:p>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(No; SoC on discontinuation)</w:t>
            </w:r>
          </w:p>
        </w:tc>
        <w:tc>
          <w:tcPr>
            <w:tcW w:w="2121" w:type="dxa"/>
            <w:vAlign w:val="center"/>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 xml:space="preserve">Switch to biological therapy (based on weighted average of </w:t>
            </w:r>
            <w:r w:rsidRPr="00730E43">
              <w:rPr>
                <w:b/>
                <w:sz w:val="18"/>
                <w:szCs w:val="18"/>
              </w:rPr>
              <w:lastRenderedPageBreak/>
              <w:t xml:space="preserve">all </w:t>
            </w:r>
            <w:r>
              <w:rPr>
                <w:b/>
                <w:sz w:val="18"/>
                <w:szCs w:val="18"/>
              </w:rPr>
              <w:t>biologics</w:t>
            </w:r>
            <w:r w:rsidRPr="00730E43">
              <w:rPr>
                <w:b/>
                <w:sz w:val="18"/>
                <w:szCs w:val="18"/>
              </w:rPr>
              <w:t>) on discontinuation</w:t>
            </w:r>
          </w:p>
        </w:tc>
        <w:tc>
          <w:tcPr>
            <w:tcW w:w="1141" w:type="dxa"/>
            <w:vAlign w:val="center"/>
          </w:tcPr>
          <w:p w:rsidR="002B72B4" w:rsidRPr="00017DBD" w:rsidRDefault="002B72B4" w:rsidP="001E7CAE">
            <w:pPr>
              <w:pStyle w:val="Manuscripttabletext"/>
              <w:jc w:val="center"/>
            </w:pPr>
            <w:r w:rsidRPr="007B11B9">
              <w:lastRenderedPageBreak/>
              <w:t>Dominated by SEC</w:t>
            </w:r>
          </w:p>
        </w:tc>
        <w:tc>
          <w:tcPr>
            <w:tcW w:w="1139" w:type="dxa"/>
            <w:vAlign w:val="center"/>
          </w:tcPr>
          <w:p w:rsidR="002B72B4" w:rsidRPr="00017DBD" w:rsidRDefault="002B72B4" w:rsidP="001E7CAE">
            <w:pPr>
              <w:pStyle w:val="Manuscripttabletext"/>
              <w:jc w:val="center"/>
            </w:pPr>
            <w:r w:rsidRPr="007B11B9">
              <w:t>Dominated by SEC</w:t>
            </w:r>
          </w:p>
        </w:tc>
        <w:tc>
          <w:tcPr>
            <w:tcW w:w="1306" w:type="dxa"/>
            <w:vAlign w:val="center"/>
          </w:tcPr>
          <w:p w:rsidR="002B72B4" w:rsidRPr="00017DBD" w:rsidRDefault="002B72B4" w:rsidP="001E7CAE">
            <w:pPr>
              <w:pStyle w:val="Manuscripttabletext"/>
              <w:jc w:val="center"/>
            </w:pPr>
            <w:r w:rsidRPr="009C4ABA">
              <w:t>£1,129,278</w:t>
            </w:r>
            <w:r>
              <w:t>*</w:t>
            </w:r>
          </w:p>
        </w:tc>
        <w:tc>
          <w:tcPr>
            <w:tcW w:w="1301" w:type="dxa"/>
            <w:vAlign w:val="center"/>
          </w:tcPr>
          <w:p w:rsidR="002B72B4" w:rsidRPr="00017DBD" w:rsidRDefault="002B72B4" w:rsidP="001E7CAE">
            <w:pPr>
              <w:pStyle w:val="Manuscripttabletext"/>
              <w:jc w:val="center"/>
            </w:pPr>
            <w:r w:rsidRPr="009C4ABA">
              <w:t>£802,547</w:t>
            </w:r>
            <w:r>
              <w:t>*</w:t>
            </w:r>
          </w:p>
        </w:tc>
        <w:tc>
          <w:tcPr>
            <w:tcW w:w="1140" w:type="dxa"/>
            <w:vAlign w:val="center"/>
          </w:tcPr>
          <w:p w:rsidR="002B72B4" w:rsidRPr="00017DBD" w:rsidRDefault="002B72B4" w:rsidP="001E7CAE">
            <w:pPr>
              <w:pStyle w:val="Manuscripttabletext"/>
              <w:jc w:val="center"/>
            </w:pPr>
            <w:r w:rsidRPr="007B11B9">
              <w:t>Dominated by SEC</w:t>
            </w:r>
          </w:p>
        </w:tc>
        <w:tc>
          <w:tcPr>
            <w:tcW w:w="1312" w:type="dxa"/>
            <w:vAlign w:val="center"/>
          </w:tcPr>
          <w:p w:rsidR="002B72B4" w:rsidRPr="00017DBD" w:rsidRDefault="002B72B4" w:rsidP="001E7CAE">
            <w:pPr>
              <w:pStyle w:val="Manuscripttabletext"/>
              <w:jc w:val="center"/>
            </w:pPr>
            <w:r w:rsidRPr="009C4ABA">
              <w:t>£965,524</w:t>
            </w:r>
            <w:r>
              <w:t>*</w:t>
            </w:r>
          </w:p>
        </w:tc>
        <w:tc>
          <w:tcPr>
            <w:tcW w:w="1547" w:type="dxa"/>
            <w:vAlign w:val="center"/>
          </w:tcPr>
          <w:p w:rsidR="002B72B4" w:rsidRPr="00017DBD" w:rsidRDefault="002B72B4" w:rsidP="001E7CAE">
            <w:pPr>
              <w:pStyle w:val="Manuscripttabletext"/>
              <w:jc w:val="center"/>
            </w:pPr>
            <w:r w:rsidRPr="009C4ABA">
              <w:t>£812,652</w:t>
            </w:r>
            <w:r>
              <w:t>*</w:t>
            </w:r>
          </w:p>
        </w:tc>
      </w:tr>
      <w:tr w:rsidR="002B72B4" w:rsidTr="001E7CAE">
        <w:tc>
          <w:tcPr>
            <w:tcW w:w="1132" w:type="dxa"/>
            <w:vAlign w:val="center"/>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7b</w:t>
            </w:r>
          </w:p>
        </w:tc>
        <w:tc>
          <w:tcPr>
            <w:tcW w:w="2113" w:type="dxa"/>
            <w:vMerge/>
            <w:vAlign w:val="center"/>
          </w:tcPr>
          <w:p w:rsidR="002B72B4" w:rsidRPr="00730E43" w:rsidRDefault="002B72B4" w:rsidP="001E7CAE">
            <w:pPr>
              <w:pStyle w:val="Manuscriptoutline"/>
              <w:numPr>
                <w:ilvl w:val="0"/>
                <w:numId w:val="0"/>
              </w:numPr>
              <w:spacing w:after="120" w:afterAutospacing="0" w:line="240" w:lineRule="auto"/>
              <w:contextualSpacing/>
              <w:rPr>
                <w:b/>
                <w:sz w:val="18"/>
                <w:szCs w:val="18"/>
              </w:rPr>
            </w:pPr>
          </w:p>
        </w:tc>
        <w:tc>
          <w:tcPr>
            <w:tcW w:w="2121" w:type="dxa"/>
            <w:vAlign w:val="center"/>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Switch to biological therapy (based on weighted average w</w:t>
            </w:r>
            <w:r w:rsidRPr="00733E3A">
              <w:rPr>
                <w:b/>
                <w:sz w:val="18"/>
                <w:szCs w:val="18"/>
              </w:rPr>
              <w:t>ith 20</w:t>
            </w:r>
            <w:r>
              <w:rPr>
                <w:b/>
                <w:sz w:val="18"/>
                <w:szCs w:val="18"/>
              </w:rPr>
              <w:t>%</w:t>
            </w:r>
            <w:r w:rsidRPr="00730E43">
              <w:rPr>
                <w:b/>
                <w:sz w:val="18"/>
                <w:szCs w:val="18"/>
              </w:rPr>
              <w:t xml:space="preserve"> decline in efficacy) on discontinuation</w:t>
            </w:r>
          </w:p>
        </w:tc>
        <w:tc>
          <w:tcPr>
            <w:tcW w:w="1141" w:type="dxa"/>
            <w:vAlign w:val="center"/>
          </w:tcPr>
          <w:p w:rsidR="002B72B4" w:rsidRPr="00017DBD" w:rsidRDefault="002B72B4" w:rsidP="001E7CAE">
            <w:pPr>
              <w:pStyle w:val="Manuscripttabletext"/>
              <w:jc w:val="center"/>
            </w:pPr>
            <w:r w:rsidRPr="007B11B9">
              <w:t>Dominated by SEC</w:t>
            </w:r>
          </w:p>
        </w:tc>
        <w:tc>
          <w:tcPr>
            <w:tcW w:w="1139" w:type="dxa"/>
            <w:vAlign w:val="center"/>
          </w:tcPr>
          <w:p w:rsidR="002B72B4" w:rsidRPr="00017DBD" w:rsidRDefault="002B72B4" w:rsidP="001E7CAE">
            <w:pPr>
              <w:pStyle w:val="Manuscripttabletext"/>
              <w:jc w:val="center"/>
            </w:pPr>
            <w:r w:rsidRPr="007B11B9">
              <w:t>Dominated by SEC</w:t>
            </w:r>
          </w:p>
        </w:tc>
        <w:tc>
          <w:tcPr>
            <w:tcW w:w="1306" w:type="dxa"/>
            <w:vAlign w:val="center"/>
          </w:tcPr>
          <w:p w:rsidR="002B72B4" w:rsidRPr="00017DBD" w:rsidRDefault="002B72B4" w:rsidP="001E7CAE">
            <w:pPr>
              <w:pStyle w:val="Manuscripttabletext"/>
              <w:jc w:val="center"/>
            </w:pPr>
            <w:r w:rsidRPr="009C4ABA">
              <w:t>£1,314,341</w:t>
            </w:r>
            <w:r>
              <w:t>*</w:t>
            </w:r>
          </w:p>
        </w:tc>
        <w:tc>
          <w:tcPr>
            <w:tcW w:w="1301" w:type="dxa"/>
            <w:vAlign w:val="center"/>
          </w:tcPr>
          <w:p w:rsidR="002B72B4" w:rsidRPr="00017DBD" w:rsidRDefault="002B72B4" w:rsidP="001E7CAE">
            <w:pPr>
              <w:pStyle w:val="Manuscripttabletext"/>
              <w:jc w:val="center"/>
            </w:pPr>
            <w:r w:rsidRPr="009C4ABA">
              <w:t>£899,349</w:t>
            </w:r>
            <w:r>
              <w:t>*</w:t>
            </w:r>
          </w:p>
        </w:tc>
        <w:tc>
          <w:tcPr>
            <w:tcW w:w="1140" w:type="dxa"/>
            <w:vAlign w:val="center"/>
          </w:tcPr>
          <w:p w:rsidR="002B72B4" w:rsidRPr="00017DBD" w:rsidRDefault="002B72B4" w:rsidP="001E7CAE">
            <w:pPr>
              <w:pStyle w:val="Manuscripttabletext"/>
              <w:jc w:val="center"/>
            </w:pPr>
            <w:r w:rsidRPr="007B11B9">
              <w:t>Dominated by SEC</w:t>
            </w:r>
          </w:p>
        </w:tc>
        <w:tc>
          <w:tcPr>
            <w:tcW w:w="1312" w:type="dxa"/>
            <w:vAlign w:val="center"/>
          </w:tcPr>
          <w:p w:rsidR="002B72B4" w:rsidRPr="00017DBD" w:rsidRDefault="002B72B4" w:rsidP="001E7CAE">
            <w:pPr>
              <w:pStyle w:val="Manuscripttabletext"/>
              <w:jc w:val="center"/>
            </w:pPr>
            <w:r w:rsidRPr="009C4ABA">
              <w:t>£1,001,984</w:t>
            </w:r>
            <w:r>
              <w:t>*</w:t>
            </w:r>
          </w:p>
        </w:tc>
        <w:tc>
          <w:tcPr>
            <w:tcW w:w="1547" w:type="dxa"/>
            <w:vAlign w:val="center"/>
          </w:tcPr>
          <w:p w:rsidR="002B72B4" w:rsidRPr="00017DBD" w:rsidRDefault="002B72B4" w:rsidP="001E7CAE">
            <w:pPr>
              <w:pStyle w:val="Manuscripttabletext"/>
              <w:jc w:val="center"/>
            </w:pPr>
            <w:r w:rsidRPr="009C4ABA">
              <w:t>£839,020</w:t>
            </w:r>
            <w:r>
              <w:t>*</w:t>
            </w:r>
          </w:p>
        </w:tc>
      </w:tr>
      <w:tr w:rsidR="002B72B4" w:rsidTr="001E7CAE">
        <w:tc>
          <w:tcPr>
            <w:tcW w:w="1132" w:type="dxa"/>
            <w:tcBorders>
              <w:bottom w:val="single" w:sz="4" w:space="0" w:color="auto"/>
            </w:tcBorders>
            <w:vAlign w:val="center"/>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Pr>
                <w:b/>
                <w:sz w:val="18"/>
                <w:szCs w:val="18"/>
              </w:rPr>
              <w:t>8</w:t>
            </w:r>
          </w:p>
        </w:tc>
        <w:tc>
          <w:tcPr>
            <w:tcW w:w="2113" w:type="dxa"/>
            <w:tcBorders>
              <w:bottom w:val="single" w:sz="4" w:space="0" w:color="auto"/>
            </w:tcBorders>
            <w:vAlign w:val="center"/>
          </w:tcPr>
          <w:p w:rsidR="002B72B4" w:rsidRDefault="002B72B4" w:rsidP="001E7CAE">
            <w:pPr>
              <w:pStyle w:val="Manuscriptoutline"/>
              <w:numPr>
                <w:ilvl w:val="0"/>
                <w:numId w:val="0"/>
              </w:numPr>
              <w:spacing w:after="120" w:afterAutospacing="0" w:line="240" w:lineRule="auto"/>
              <w:contextualSpacing/>
              <w:rPr>
                <w:b/>
                <w:sz w:val="18"/>
                <w:szCs w:val="18"/>
              </w:rPr>
            </w:pPr>
            <w:r>
              <w:rPr>
                <w:b/>
                <w:sz w:val="18"/>
                <w:szCs w:val="18"/>
              </w:rPr>
              <w:t>Inclusion of PASs for certolizumab pegol and golimumab</w:t>
            </w:r>
            <w:r w:rsidRPr="00AB18CF">
              <w:rPr>
                <w:b/>
                <w:sz w:val="18"/>
                <w:szCs w:val="18"/>
                <w:vertAlign w:val="superscript"/>
              </w:rPr>
              <w:t>b</w:t>
            </w:r>
          </w:p>
          <w:p w:rsidR="002B72B4" w:rsidRPr="00730E43" w:rsidRDefault="002B72B4" w:rsidP="001E7CAE">
            <w:pPr>
              <w:pStyle w:val="Manuscriptoutline"/>
              <w:numPr>
                <w:ilvl w:val="0"/>
                <w:numId w:val="0"/>
              </w:numPr>
              <w:spacing w:after="120" w:afterAutospacing="0" w:line="240" w:lineRule="auto"/>
              <w:contextualSpacing/>
              <w:rPr>
                <w:b/>
                <w:sz w:val="18"/>
                <w:szCs w:val="18"/>
              </w:rPr>
            </w:pPr>
            <w:r>
              <w:rPr>
                <w:b/>
                <w:sz w:val="18"/>
                <w:szCs w:val="18"/>
              </w:rPr>
              <w:t>(No; list price for all interventions)</w:t>
            </w:r>
          </w:p>
        </w:tc>
        <w:tc>
          <w:tcPr>
            <w:tcW w:w="2121" w:type="dxa"/>
            <w:tcBorders>
              <w:bottom w:val="single" w:sz="4" w:space="0" w:color="auto"/>
            </w:tcBorders>
            <w:vAlign w:val="center"/>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Pr>
                <w:b/>
                <w:sz w:val="18"/>
                <w:szCs w:val="18"/>
              </w:rPr>
              <w:t>Yes</w:t>
            </w:r>
          </w:p>
        </w:tc>
        <w:tc>
          <w:tcPr>
            <w:tcW w:w="1141" w:type="dxa"/>
            <w:vAlign w:val="center"/>
          </w:tcPr>
          <w:p w:rsidR="002B72B4" w:rsidRPr="002F7A0A" w:rsidRDefault="002B72B4" w:rsidP="001E7CAE">
            <w:pPr>
              <w:pStyle w:val="Manuscripttabletext"/>
              <w:jc w:val="center"/>
            </w:pPr>
            <w:r>
              <w:t>-</w:t>
            </w:r>
          </w:p>
        </w:tc>
        <w:tc>
          <w:tcPr>
            <w:tcW w:w="1139" w:type="dxa"/>
            <w:vAlign w:val="center"/>
          </w:tcPr>
          <w:p w:rsidR="002B72B4" w:rsidRPr="00003B94" w:rsidRDefault="002B72B4" w:rsidP="001E7CAE">
            <w:pPr>
              <w:pStyle w:val="Manuscripttabletext"/>
              <w:jc w:val="center"/>
            </w:pPr>
            <w:r w:rsidRPr="007B11B9">
              <w:t>Dominated by SEC</w:t>
            </w:r>
          </w:p>
        </w:tc>
        <w:tc>
          <w:tcPr>
            <w:tcW w:w="1306" w:type="dxa"/>
            <w:vAlign w:val="center"/>
          </w:tcPr>
          <w:p w:rsidR="002B72B4" w:rsidRPr="00003B94" w:rsidRDefault="002B72B4" w:rsidP="001E7CAE">
            <w:pPr>
              <w:pStyle w:val="Manuscripttabletext"/>
              <w:jc w:val="center"/>
            </w:pPr>
            <w:r>
              <w:t>-</w:t>
            </w:r>
          </w:p>
        </w:tc>
        <w:tc>
          <w:tcPr>
            <w:tcW w:w="1301" w:type="dxa"/>
            <w:vAlign w:val="center"/>
          </w:tcPr>
          <w:p w:rsidR="002B72B4" w:rsidRPr="00003B94" w:rsidRDefault="002B72B4" w:rsidP="001E7CAE">
            <w:pPr>
              <w:pStyle w:val="Manuscripttabletext"/>
              <w:jc w:val="center"/>
            </w:pPr>
            <w:r>
              <w:t>-</w:t>
            </w:r>
          </w:p>
        </w:tc>
        <w:tc>
          <w:tcPr>
            <w:tcW w:w="1140" w:type="dxa"/>
            <w:vAlign w:val="center"/>
          </w:tcPr>
          <w:p w:rsidR="002B72B4" w:rsidRPr="008C4C5C" w:rsidRDefault="002B72B4" w:rsidP="001E7CAE">
            <w:pPr>
              <w:pStyle w:val="Manuscripttabletext"/>
              <w:jc w:val="center"/>
            </w:pPr>
            <w:r w:rsidRPr="007B11B9">
              <w:t>Dominated by SEC</w:t>
            </w:r>
          </w:p>
        </w:tc>
        <w:tc>
          <w:tcPr>
            <w:tcW w:w="1312" w:type="dxa"/>
            <w:vAlign w:val="center"/>
          </w:tcPr>
          <w:p w:rsidR="002B72B4" w:rsidRPr="002F7A0A" w:rsidRDefault="002B72B4" w:rsidP="001E7CAE">
            <w:pPr>
              <w:pStyle w:val="Manuscripttabletext"/>
              <w:jc w:val="center"/>
            </w:pPr>
            <w:r>
              <w:t>-</w:t>
            </w:r>
          </w:p>
        </w:tc>
        <w:tc>
          <w:tcPr>
            <w:tcW w:w="1547" w:type="dxa"/>
            <w:vAlign w:val="center"/>
          </w:tcPr>
          <w:p w:rsidR="002B72B4" w:rsidRPr="008E0088" w:rsidRDefault="002B72B4" w:rsidP="001E7CAE">
            <w:pPr>
              <w:pStyle w:val="Manuscripttabletext"/>
              <w:jc w:val="center"/>
            </w:pPr>
            <w:r>
              <w:t>-</w:t>
            </w:r>
          </w:p>
        </w:tc>
      </w:tr>
      <w:tr w:rsidR="002B72B4" w:rsidTr="003A541D">
        <w:tc>
          <w:tcPr>
            <w:tcW w:w="1132" w:type="dxa"/>
            <w:vAlign w:val="center"/>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Pr>
                <w:b/>
                <w:sz w:val="18"/>
                <w:szCs w:val="18"/>
              </w:rPr>
              <w:t>9</w:t>
            </w:r>
          </w:p>
        </w:tc>
        <w:tc>
          <w:tcPr>
            <w:tcW w:w="2113" w:type="dxa"/>
            <w:vAlign w:val="center"/>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Inclusion of FUTURE 1 in NMA</w:t>
            </w:r>
          </w:p>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(No)</w:t>
            </w:r>
          </w:p>
        </w:tc>
        <w:tc>
          <w:tcPr>
            <w:tcW w:w="2121" w:type="dxa"/>
            <w:vAlign w:val="center"/>
          </w:tcPr>
          <w:p w:rsidR="002B72B4" w:rsidRPr="00730E43" w:rsidRDefault="002B72B4" w:rsidP="001E7CAE">
            <w:pPr>
              <w:pStyle w:val="Manuscriptoutline"/>
              <w:numPr>
                <w:ilvl w:val="0"/>
                <w:numId w:val="0"/>
              </w:numPr>
              <w:spacing w:after="120" w:afterAutospacing="0" w:line="240" w:lineRule="auto"/>
              <w:contextualSpacing/>
              <w:rPr>
                <w:b/>
                <w:sz w:val="18"/>
                <w:szCs w:val="18"/>
              </w:rPr>
            </w:pPr>
            <w:r w:rsidRPr="00730E43">
              <w:rPr>
                <w:b/>
                <w:sz w:val="18"/>
                <w:szCs w:val="18"/>
              </w:rPr>
              <w:t>Yes</w:t>
            </w:r>
          </w:p>
        </w:tc>
        <w:tc>
          <w:tcPr>
            <w:tcW w:w="1141" w:type="dxa"/>
            <w:vAlign w:val="center"/>
          </w:tcPr>
          <w:p w:rsidR="002B72B4" w:rsidRPr="00017DBD" w:rsidRDefault="002B72B4" w:rsidP="001E7CAE">
            <w:pPr>
              <w:pStyle w:val="Manuscripttabletext"/>
              <w:jc w:val="center"/>
            </w:pPr>
            <w:r w:rsidRPr="0040090E">
              <w:t>£6,317</w:t>
            </w:r>
          </w:p>
        </w:tc>
        <w:tc>
          <w:tcPr>
            <w:tcW w:w="1139" w:type="dxa"/>
            <w:vAlign w:val="center"/>
          </w:tcPr>
          <w:p w:rsidR="002B72B4" w:rsidRPr="00017DBD" w:rsidRDefault="002B72B4" w:rsidP="001E7CAE">
            <w:pPr>
              <w:pStyle w:val="Manuscripttabletext"/>
              <w:jc w:val="center"/>
            </w:pPr>
            <w:r w:rsidRPr="007B11B9">
              <w:t>Dominated by SEC</w:t>
            </w:r>
          </w:p>
        </w:tc>
        <w:tc>
          <w:tcPr>
            <w:tcW w:w="1306" w:type="dxa"/>
            <w:vAlign w:val="center"/>
          </w:tcPr>
          <w:p w:rsidR="002B72B4" w:rsidRPr="00017DBD" w:rsidRDefault="002B72B4" w:rsidP="001E7CAE">
            <w:pPr>
              <w:pStyle w:val="Manuscripttabletext"/>
              <w:jc w:val="center"/>
            </w:pPr>
            <w:r w:rsidRPr="007B11B9">
              <w:t>Dominated by SEC</w:t>
            </w:r>
          </w:p>
        </w:tc>
        <w:tc>
          <w:tcPr>
            <w:tcW w:w="1301" w:type="dxa"/>
            <w:vAlign w:val="center"/>
          </w:tcPr>
          <w:p w:rsidR="002B72B4" w:rsidRPr="00017DBD" w:rsidRDefault="002B72B4" w:rsidP="001E7CAE">
            <w:pPr>
              <w:pStyle w:val="Manuscripttabletext"/>
              <w:jc w:val="center"/>
            </w:pPr>
            <w:r w:rsidRPr="007B11B9">
              <w:t>Dominated by SEC</w:t>
            </w:r>
          </w:p>
        </w:tc>
        <w:tc>
          <w:tcPr>
            <w:tcW w:w="1140" w:type="dxa"/>
            <w:vAlign w:val="center"/>
          </w:tcPr>
          <w:p w:rsidR="002B72B4" w:rsidRPr="00017DBD" w:rsidRDefault="002B72B4" w:rsidP="001E7CAE">
            <w:pPr>
              <w:pStyle w:val="Manuscripttabletext"/>
              <w:jc w:val="center"/>
            </w:pPr>
            <w:r w:rsidRPr="007B11B9">
              <w:t>Dominated by SEC</w:t>
            </w:r>
          </w:p>
        </w:tc>
        <w:tc>
          <w:tcPr>
            <w:tcW w:w="1312" w:type="dxa"/>
            <w:vAlign w:val="center"/>
          </w:tcPr>
          <w:p w:rsidR="002B72B4" w:rsidRPr="00017DBD" w:rsidRDefault="002B72B4" w:rsidP="001E7CAE">
            <w:pPr>
              <w:pStyle w:val="Manuscripttabletext"/>
              <w:jc w:val="center"/>
            </w:pPr>
            <w:r w:rsidRPr="0040090E">
              <w:t>£1,286,068</w:t>
            </w:r>
            <w:r>
              <w:t>*</w:t>
            </w:r>
          </w:p>
        </w:tc>
        <w:tc>
          <w:tcPr>
            <w:tcW w:w="1547" w:type="dxa"/>
            <w:vAlign w:val="center"/>
          </w:tcPr>
          <w:p w:rsidR="002B72B4" w:rsidRPr="00017DBD" w:rsidRDefault="002B72B4" w:rsidP="001E7CAE">
            <w:pPr>
              <w:pStyle w:val="Manuscripttabletext"/>
              <w:jc w:val="center"/>
            </w:pPr>
            <w:r w:rsidRPr="0040090E">
              <w:t>£1,049,856</w:t>
            </w:r>
            <w:r>
              <w:t>*</w:t>
            </w:r>
          </w:p>
        </w:tc>
      </w:tr>
      <w:tr w:rsidR="00BB0C4B" w:rsidTr="00BB0C4B">
        <w:tc>
          <w:tcPr>
            <w:tcW w:w="1132" w:type="dxa"/>
            <w:tcBorders>
              <w:bottom w:val="single" w:sz="4" w:space="0" w:color="auto"/>
            </w:tcBorders>
            <w:vAlign w:val="center"/>
          </w:tcPr>
          <w:p w:rsidR="00BB0C4B" w:rsidRDefault="00BB0C4B" w:rsidP="00BB0C4B">
            <w:pPr>
              <w:pStyle w:val="Manuscriptoutline"/>
              <w:numPr>
                <w:ilvl w:val="0"/>
                <w:numId w:val="0"/>
              </w:numPr>
              <w:spacing w:after="120" w:afterAutospacing="0" w:line="240" w:lineRule="auto"/>
              <w:contextualSpacing/>
              <w:rPr>
                <w:b/>
                <w:sz w:val="18"/>
                <w:szCs w:val="18"/>
              </w:rPr>
            </w:pPr>
            <w:r>
              <w:rPr>
                <w:b/>
                <w:sz w:val="18"/>
                <w:szCs w:val="18"/>
              </w:rPr>
              <w:t>10</w:t>
            </w:r>
          </w:p>
        </w:tc>
        <w:tc>
          <w:tcPr>
            <w:tcW w:w="2113" w:type="dxa"/>
            <w:tcBorders>
              <w:bottom w:val="single" w:sz="4" w:space="0" w:color="auto"/>
            </w:tcBorders>
            <w:vAlign w:val="center"/>
          </w:tcPr>
          <w:p w:rsidR="00BB0C4B" w:rsidRPr="00730E43" w:rsidRDefault="00BB0C4B" w:rsidP="00BB0C4B">
            <w:pPr>
              <w:pStyle w:val="Manuscriptoutline"/>
              <w:numPr>
                <w:ilvl w:val="0"/>
                <w:numId w:val="0"/>
              </w:numPr>
              <w:spacing w:after="120" w:afterAutospacing="0" w:line="240" w:lineRule="auto"/>
              <w:contextualSpacing/>
              <w:rPr>
                <w:b/>
                <w:sz w:val="18"/>
                <w:szCs w:val="18"/>
              </w:rPr>
            </w:pPr>
            <w:r>
              <w:rPr>
                <w:b/>
                <w:sz w:val="18"/>
                <w:szCs w:val="18"/>
              </w:rPr>
              <w:t xml:space="preserve">PsARC and PASI at 3 months (point estimates from NMA) </w:t>
            </w:r>
          </w:p>
        </w:tc>
        <w:tc>
          <w:tcPr>
            <w:tcW w:w="2121" w:type="dxa"/>
            <w:tcBorders>
              <w:bottom w:val="single" w:sz="4" w:space="0" w:color="auto"/>
            </w:tcBorders>
            <w:vAlign w:val="center"/>
          </w:tcPr>
          <w:p w:rsidR="00BB0C4B" w:rsidRPr="00730E43" w:rsidRDefault="00BB0C4B" w:rsidP="00BB0C4B">
            <w:pPr>
              <w:pStyle w:val="Manuscriptoutline"/>
              <w:numPr>
                <w:ilvl w:val="0"/>
                <w:numId w:val="0"/>
              </w:numPr>
              <w:spacing w:after="120" w:afterAutospacing="0" w:line="240" w:lineRule="auto"/>
              <w:contextualSpacing/>
              <w:rPr>
                <w:b/>
                <w:sz w:val="18"/>
                <w:szCs w:val="18"/>
              </w:rPr>
            </w:pPr>
            <w:r>
              <w:rPr>
                <w:b/>
                <w:sz w:val="18"/>
                <w:szCs w:val="18"/>
              </w:rPr>
              <w:t>PsARC and PASI at 3 months set to be equivalent to secukinumab for non-significant NMA results</w:t>
            </w:r>
            <w:r w:rsidRPr="00BB0C4B">
              <w:rPr>
                <w:b/>
                <w:sz w:val="18"/>
                <w:szCs w:val="18"/>
                <w:vertAlign w:val="superscript"/>
              </w:rPr>
              <w:t>c</w:t>
            </w:r>
          </w:p>
        </w:tc>
        <w:tc>
          <w:tcPr>
            <w:tcW w:w="1141" w:type="dxa"/>
            <w:vAlign w:val="center"/>
          </w:tcPr>
          <w:p w:rsidR="00BB0C4B" w:rsidRPr="0040090E" w:rsidRDefault="00BB0C4B" w:rsidP="00BB0C4B">
            <w:pPr>
              <w:pStyle w:val="Manuscripttabletext"/>
              <w:jc w:val="center"/>
            </w:pPr>
            <w:r w:rsidRPr="009F4F11">
              <w:t>Dominated by SEC</w:t>
            </w:r>
          </w:p>
        </w:tc>
        <w:tc>
          <w:tcPr>
            <w:tcW w:w="1139" w:type="dxa"/>
            <w:vAlign w:val="center"/>
          </w:tcPr>
          <w:p w:rsidR="00BB0C4B" w:rsidRPr="007B11B9" w:rsidRDefault="00BB0C4B" w:rsidP="00BB0C4B">
            <w:pPr>
              <w:pStyle w:val="Manuscripttabletext"/>
              <w:jc w:val="center"/>
            </w:pPr>
            <w:r w:rsidRPr="009F4F11">
              <w:t>Dominated by SEC</w:t>
            </w:r>
          </w:p>
        </w:tc>
        <w:tc>
          <w:tcPr>
            <w:tcW w:w="1306" w:type="dxa"/>
            <w:vAlign w:val="center"/>
          </w:tcPr>
          <w:p w:rsidR="00BB0C4B" w:rsidRPr="007B11B9" w:rsidRDefault="00BB0C4B" w:rsidP="00BB0C4B">
            <w:pPr>
              <w:pStyle w:val="Manuscripttabletext"/>
              <w:jc w:val="center"/>
            </w:pPr>
            <w:r w:rsidRPr="009F4F11">
              <w:t>£149,092</w:t>
            </w:r>
            <w:r>
              <w:t>*</w:t>
            </w:r>
          </w:p>
        </w:tc>
        <w:tc>
          <w:tcPr>
            <w:tcW w:w="1301" w:type="dxa"/>
            <w:vAlign w:val="center"/>
          </w:tcPr>
          <w:p w:rsidR="00BB0C4B" w:rsidRPr="007B11B9" w:rsidRDefault="00BB0C4B" w:rsidP="002F21A9">
            <w:pPr>
              <w:pStyle w:val="Manuscripttabletext"/>
              <w:jc w:val="center"/>
            </w:pPr>
            <w:r w:rsidRPr="009F4F11">
              <w:t>£84,594</w:t>
            </w:r>
            <w:r>
              <w:t>*</w:t>
            </w:r>
          </w:p>
        </w:tc>
        <w:tc>
          <w:tcPr>
            <w:tcW w:w="1140" w:type="dxa"/>
            <w:vAlign w:val="center"/>
          </w:tcPr>
          <w:p w:rsidR="00BB0C4B" w:rsidRPr="007B11B9" w:rsidRDefault="00BB0C4B">
            <w:pPr>
              <w:pStyle w:val="Manuscripttabletext"/>
              <w:jc w:val="center"/>
            </w:pPr>
            <w:r w:rsidRPr="009F4F11">
              <w:t>Dominated by SEC</w:t>
            </w:r>
          </w:p>
        </w:tc>
        <w:tc>
          <w:tcPr>
            <w:tcW w:w="1312" w:type="dxa"/>
            <w:vAlign w:val="center"/>
          </w:tcPr>
          <w:p w:rsidR="00BB0C4B" w:rsidRPr="0040090E" w:rsidRDefault="00BB0C4B">
            <w:pPr>
              <w:pStyle w:val="Manuscripttabletext"/>
              <w:jc w:val="center"/>
            </w:pPr>
            <w:r w:rsidRPr="009F4F11">
              <w:t>£409,447</w:t>
            </w:r>
            <w:r>
              <w:t>*</w:t>
            </w:r>
          </w:p>
        </w:tc>
        <w:tc>
          <w:tcPr>
            <w:tcW w:w="1547" w:type="dxa"/>
            <w:vAlign w:val="center"/>
          </w:tcPr>
          <w:p w:rsidR="00BB0C4B" w:rsidRPr="0040090E" w:rsidRDefault="00BB0C4B">
            <w:pPr>
              <w:pStyle w:val="Manuscripttabletext"/>
              <w:jc w:val="center"/>
            </w:pPr>
            <w:r w:rsidRPr="009F4F11">
              <w:t>£338,424</w:t>
            </w:r>
            <w:r>
              <w:t>*</w:t>
            </w:r>
          </w:p>
        </w:tc>
      </w:tr>
    </w:tbl>
    <w:p w:rsidR="002B72B4" w:rsidRDefault="002B72B4" w:rsidP="002B72B4">
      <w:pPr>
        <w:pStyle w:val="Manuscriptfootnote"/>
      </w:pPr>
      <w:r>
        <w:t xml:space="preserve">* </w:t>
      </w:r>
      <w:r w:rsidRPr="00645F85">
        <w:t xml:space="preserve">The ICER for secukinumab versus </w:t>
      </w:r>
      <w:r>
        <w:t>the comparator lands</w:t>
      </w:r>
      <w:r w:rsidRPr="00645F85">
        <w:t xml:space="preserve"> in the south-west quadrant of the cost-effectiveness plane (negative incremental costs and negative incremental QALYs). Therefore</w:t>
      </w:r>
      <w:r>
        <w:t xml:space="preserve">, the </w:t>
      </w:r>
      <w:r w:rsidRPr="00645F85">
        <w:t>ICER is a positive value and should be interpreted as the cost savings per QALY fo</w:t>
      </w:r>
      <w:r>
        <w:t>regone with secukinumab versus the comparator.</w:t>
      </w:r>
    </w:p>
    <w:p w:rsidR="002B72B4" w:rsidRDefault="002B72B4" w:rsidP="002B72B4">
      <w:pPr>
        <w:pStyle w:val="Manuscriptfootnote"/>
        <w:rPr>
          <w:vertAlign w:val="superscript"/>
        </w:rPr>
      </w:pPr>
    </w:p>
    <w:p w:rsidR="002B72B4" w:rsidRDefault="002B72B4" w:rsidP="002B72B4">
      <w:pPr>
        <w:pStyle w:val="Manuscriptfootnote"/>
      </w:pPr>
      <w:r>
        <w:rPr>
          <w:vertAlign w:val="superscript"/>
        </w:rPr>
        <w:t xml:space="preserve">a </w:t>
      </w:r>
      <w:r w:rsidRPr="004361D6">
        <w:t xml:space="preserve">HAQ rebounds to the level and subsequent trajectory it would have been if </w:t>
      </w:r>
      <w:r>
        <w:t xml:space="preserve">there had been </w:t>
      </w:r>
      <w:r w:rsidRPr="004361D6">
        <w:t>no initial response</w:t>
      </w:r>
      <w:r>
        <w:t>, as described by Rodgers el al.</w:t>
      </w:r>
      <w:r w:rsidR="00F70304">
        <w:t xml:space="preserve"> </w:t>
      </w:r>
      <w:r w:rsidR="00C5433B">
        <w:rPr>
          <w:noProof/>
        </w:rPr>
        <w:t>[</w:t>
      </w:r>
      <w:r w:rsidR="00D36C5F">
        <w:rPr>
          <w:noProof/>
        </w:rPr>
        <w:t>36</w:t>
      </w:r>
      <w:r>
        <w:rPr>
          <w:noProof/>
        </w:rPr>
        <w:t>]</w:t>
      </w:r>
      <w:r w:rsidR="00C10D27">
        <w:rPr>
          <w:noProof/>
        </w:rPr>
        <w:t>.</w:t>
      </w:r>
    </w:p>
    <w:p w:rsidR="002B72B4" w:rsidRDefault="002B72B4" w:rsidP="002B72B4">
      <w:pPr>
        <w:pStyle w:val="Manuscriptfootnote"/>
      </w:pPr>
      <w:r w:rsidRPr="006F01D1">
        <w:rPr>
          <w:vertAlign w:val="superscript"/>
        </w:rPr>
        <w:t>b</w:t>
      </w:r>
      <w:r>
        <w:t xml:space="preserve"> Publicly-available PASs for certolizumab pegol and golimumab were included the model for this scenario: the first 12 weeks of therapy with certolizumab pegol</w:t>
      </w:r>
    </w:p>
    <w:p w:rsidR="003A541D" w:rsidRDefault="002B72B4" w:rsidP="002B72B4">
      <w:pPr>
        <w:pStyle w:val="Manuscriptfootnote"/>
        <w:rPr>
          <w:noProof/>
        </w:rPr>
      </w:pPr>
      <w:r>
        <w:t xml:space="preserve">were modelled to be free of charge (certolizumab pegol) and the </w:t>
      </w:r>
      <w:r w:rsidRPr="00D00A0E">
        <w:t xml:space="preserve">100 mg dose of golimumab </w:t>
      </w:r>
      <w:r>
        <w:t xml:space="preserve">was modelled to have the </w:t>
      </w:r>
      <w:r w:rsidRPr="00D00A0E">
        <w:t>same cost as the 50 mg dose</w:t>
      </w:r>
      <w:r>
        <w:t xml:space="preserve"> (golimumab) </w:t>
      </w:r>
      <w:r>
        <w:rPr>
          <w:noProof/>
        </w:rPr>
        <w:t>[</w:t>
      </w:r>
      <w:r w:rsidR="00D36C5F">
        <w:rPr>
          <w:noProof/>
        </w:rPr>
        <w:t>46</w:t>
      </w:r>
      <w:r w:rsidR="00C5433B">
        <w:rPr>
          <w:noProof/>
        </w:rPr>
        <w:t xml:space="preserve">, </w:t>
      </w:r>
      <w:r w:rsidR="00D36C5F">
        <w:rPr>
          <w:noProof/>
        </w:rPr>
        <w:t>47</w:t>
      </w:r>
      <w:r>
        <w:rPr>
          <w:noProof/>
        </w:rPr>
        <w:t>]</w:t>
      </w:r>
      <w:r w:rsidR="00C10D27">
        <w:rPr>
          <w:noProof/>
        </w:rPr>
        <w:t>.</w:t>
      </w:r>
    </w:p>
    <w:p w:rsidR="00BB0C4B" w:rsidRDefault="00BB0C4B" w:rsidP="002B72B4">
      <w:pPr>
        <w:pStyle w:val="Manuscriptfootnote"/>
      </w:pPr>
      <w:r w:rsidRPr="00BB0C4B">
        <w:rPr>
          <w:noProof/>
          <w:vertAlign w:val="superscript"/>
        </w:rPr>
        <w:t>c</w:t>
      </w:r>
      <w:r>
        <w:rPr>
          <w:noProof/>
        </w:rPr>
        <w:t xml:space="preserve"> Statistically significant differences for secukinumab 150 mg versus comparators: </w:t>
      </w:r>
      <w:r w:rsidRPr="00BB0C4B">
        <w:rPr>
          <w:noProof/>
        </w:rPr>
        <w:t xml:space="preserve">certolizumab pegol and etanercept </w:t>
      </w:r>
      <w:r>
        <w:rPr>
          <w:noProof/>
        </w:rPr>
        <w:t>(all PASI response categories) only</w:t>
      </w:r>
      <w:r w:rsidR="00C10D27">
        <w:rPr>
          <w:noProof/>
        </w:rPr>
        <w:t>.</w:t>
      </w:r>
    </w:p>
    <w:p w:rsidR="002B72B4" w:rsidRDefault="002B72B4" w:rsidP="002B72B4">
      <w:pPr>
        <w:pStyle w:val="Manuscriptfootnote"/>
      </w:pPr>
    </w:p>
    <w:p w:rsidR="002B72B4" w:rsidRDefault="002B72B4" w:rsidP="002B72B4">
      <w:pPr>
        <w:pStyle w:val="Manuscriptfootnote"/>
        <w:sectPr w:rsidR="002B72B4" w:rsidSect="00863A1E">
          <w:type w:val="continuous"/>
          <w:pgSz w:w="16840" w:h="11900" w:orient="landscape"/>
          <w:pgMar w:top="1418" w:right="1440" w:bottom="1797" w:left="1440" w:header="709" w:footer="709" w:gutter="0"/>
          <w:cols w:space="708"/>
          <w:docGrid w:linePitch="326"/>
        </w:sectPr>
      </w:pPr>
      <w:r>
        <w:t xml:space="preserve">ADA: adalimumab; csDMARD: conventional systemic disease-modifying anti-rheumatic drugs; CZP: certolizumab pegol; </w:t>
      </w:r>
      <w:r w:rsidRPr="004361D6">
        <w:t>ETN: etanercept;</w:t>
      </w:r>
      <w:r>
        <w:t xml:space="preserve"> </w:t>
      </w:r>
      <w:r w:rsidRPr="004361D6">
        <w:t>GOL: golimumab</w:t>
      </w:r>
      <w:r>
        <w:t>; HAQ: Health Assessment Questionnaire; ICER: incremental cost-effectiveness ratio; INF: infliximab; NMA: network meta-analysis; PAS: Patient Access Scheme; PASI: Psoriasis Area Severity Index; PsARC: Psoriatic Arthritis Response Criteria; SEC: secukinumab; SoC: Standard of Care.</w:t>
      </w:r>
    </w:p>
    <w:p w:rsidR="002B72B4" w:rsidRDefault="002B72B4" w:rsidP="002B72B4">
      <w:pPr>
        <w:pStyle w:val="Caption"/>
        <w:pageBreakBefore/>
      </w:pPr>
      <w:bookmarkStart w:id="7" w:name="_Ref496010250"/>
      <w:r>
        <w:lastRenderedPageBreak/>
        <w:t xml:space="preserve">Fig. </w:t>
      </w:r>
      <w:r>
        <w:rPr>
          <w:noProof/>
        </w:rPr>
        <w:t>5</w:t>
      </w:r>
      <w:bookmarkEnd w:id="7"/>
      <w:r>
        <w:t xml:space="preserve"> One-way sensitivity analysis in the ≥2 prior csDMARDs subpopulation – tornado plots for secukinumab versus comparators</w:t>
      </w:r>
    </w:p>
    <w:p w:rsidR="002B72B4" w:rsidRDefault="002B72B4" w:rsidP="002B72B4">
      <w:pPr>
        <w:pStyle w:val="Caption"/>
        <w:numPr>
          <w:ilvl w:val="0"/>
          <w:numId w:val="12"/>
        </w:numPr>
      </w:pPr>
      <w:r>
        <w:t>Versus adalimumab</w:t>
      </w:r>
    </w:p>
    <w:p w:rsidR="001A470D" w:rsidRPr="001A470D" w:rsidRDefault="001A470D" w:rsidP="001A470D">
      <w:pPr>
        <w:rPr>
          <w:lang w:val="en-US"/>
        </w:rPr>
      </w:pPr>
      <w:r>
        <w:rPr>
          <w:noProof/>
          <w:lang w:val="en-US"/>
        </w:rPr>
        <w:drawing>
          <wp:inline distT="0" distB="0" distL="0" distR="0" wp14:anchorId="4C310345">
            <wp:extent cx="5761355" cy="324929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1355" cy="3249295"/>
                    </a:xfrm>
                    <a:prstGeom prst="rect">
                      <a:avLst/>
                    </a:prstGeom>
                    <a:noFill/>
                  </pic:spPr>
                </pic:pic>
              </a:graphicData>
            </a:graphic>
          </wp:inline>
        </w:drawing>
      </w:r>
    </w:p>
    <w:p w:rsidR="002B72B4" w:rsidRDefault="002B72B4" w:rsidP="002B72B4">
      <w:pPr>
        <w:pStyle w:val="Caption"/>
        <w:numPr>
          <w:ilvl w:val="0"/>
          <w:numId w:val="12"/>
        </w:numPr>
      </w:pPr>
      <w:r>
        <w:t>Versus certolizumab pegol</w:t>
      </w:r>
    </w:p>
    <w:p w:rsidR="001A470D" w:rsidRPr="001A470D" w:rsidRDefault="001A470D" w:rsidP="001A470D">
      <w:pPr>
        <w:rPr>
          <w:lang w:val="en-US"/>
        </w:rPr>
      </w:pPr>
      <w:r>
        <w:rPr>
          <w:noProof/>
          <w:lang w:val="en-US"/>
        </w:rPr>
        <w:drawing>
          <wp:inline distT="0" distB="0" distL="0" distR="0" wp14:anchorId="1313B942">
            <wp:extent cx="5761355" cy="324929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1355" cy="3249295"/>
                    </a:xfrm>
                    <a:prstGeom prst="rect">
                      <a:avLst/>
                    </a:prstGeom>
                    <a:noFill/>
                  </pic:spPr>
                </pic:pic>
              </a:graphicData>
            </a:graphic>
          </wp:inline>
        </w:drawing>
      </w:r>
    </w:p>
    <w:p w:rsidR="002B72B4" w:rsidRDefault="002B72B4" w:rsidP="002B72B4">
      <w:pPr>
        <w:pStyle w:val="Caption"/>
        <w:numPr>
          <w:ilvl w:val="0"/>
          <w:numId w:val="12"/>
        </w:numPr>
      </w:pPr>
      <w:r>
        <w:lastRenderedPageBreak/>
        <w:t>Versus etanercept (biosimilar)</w:t>
      </w:r>
    </w:p>
    <w:p w:rsidR="001A470D" w:rsidRPr="001A470D" w:rsidRDefault="001A470D" w:rsidP="001A470D">
      <w:pPr>
        <w:rPr>
          <w:lang w:val="en-US"/>
        </w:rPr>
      </w:pPr>
      <w:r>
        <w:rPr>
          <w:noProof/>
          <w:lang w:val="en-US"/>
        </w:rPr>
        <w:drawing>
          <wp:inline distT="0" distB="0" distL="0" distR="0" wp14:anchorId="34E8793C">
            <wp:extent cx="5761355" cy="3249295"/>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3249295"/>
                    </a:xfrm>
                    <a:prstGeom prst="rect">
                      <a:avLst/>
                    </a:prstGeom>
                    <a:noFill/>
                  </pic:spPr>
                </pic:pic>
              </a:graphicData>
            </a:graphic>
          </wp:inline>
        </w:drawing>
      </w:r>
    </w:p>
    <w:p w:rsidR="002B72B4" w:rsidRDefault="002B72B4" w:rsidP="002B72B4">
      <w:pPr>
        <w:pStyle w:val="Caption"/>
        <w:numPr>
          <w:ilvl w:val="0"/>
          <w:numId w:val="12"/>
        </w:numPr>
      </w:pPr>
      <w:r>
        <w:t>Versus golimumab</w:t>
      </w:r>
    </w:p>
    <w:p w:rsidR="001A470D" w:rsidRPr="001A470D" w:rsidRDefault="001A470D" w:rsidP="001A470D">
      <w:pPr>
        <w:rPr>
          <w:lang w:val="en-US"/>
        </w:rPr>
      </w:pPr>
      <w:r>
        <w:rPr>
          <w:noProof/>
          <w:lang w:val="en-US"/>
        </w:rPr>
        <w:drawing>
          <wp:inline distT="0" distB="0" distL="0" distR="0" wp14:anchorId="5025686D">
            <wp:extent cx="5761355" cy="3249295"/>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1355" cy="3249295"/>
                    </a:xfrm>
                    <a:prstGeom prst="rect">
                      <a:avLst/>
                    </a:prstGeom>
                    <a:noFill/>
                  </pic:spPr>
                </pic:pic>
              </a:graphicData>
            </a:graphic>
          </wp:inline>
        </w:drawing>
      </w:r>
    </w:p>
    <w:p w:rsidR="002B72B4" w:rsidRDefault="002B72B4" w:rsidP="002B72B4">
      <w:pPr>
        <w:pStyle w:val="Caption"/>
        <w:numPr>
          <w:ilvl w:val="0"/>
          <w:numId w:val="12"/>
        </w:numPr>
      </w:pPr>
      <w:r>
        <w:lastRenderedPageBreak/>
        <w:t>Versus infliximab (biosimilar)</w:t>
      </w:r>
    </w:p>
    <w:p w:rsidR="001A470D" w:rsidRPr="001A470D" w:rsidRDefault="001A470D" w:rsidP="001A470D">
      <w:pPr>
        <w:rPr>
          <w:lang w:val="en-US"/>
        </w:rPr>
      </w:pPr>
      <w:r>
        <w:rPr>
          <w:noProof/>
          <w:lang w:val="en-US"/>
        </w:rPr>
        <w:drawing>
          <wp:inline distT="0" distB="0" distL="0" distR="0" wp14:anchorId="32586166">
            <wp:extent cx="5761355" cy="324929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1355" cy="3249295"/>
                    </a:xfrm>
                    <a:prstGeom prst="rect">
                      <a:avLst/>
                    </a:prstGeom>
                    <a:noFill/>
                  </pic:spPr>
                </pic:pic>
              </a:graphicData>
            </a:graphic>
          </wp:inline>
        </w:drawing>
      </w:r>
    </w:p>
    <w:p w:rsidR="002B72B4" w:rsidRDefault="002B72B4" w:rsidP="002B72B4">
      <w:pPr>
        <w:pStyle w:val="Manuscriptfootnote"/>
      </w:pPr>
      <w:r>
        <w:t>A single QALY was valued at £30,000.</w:t>
      </w:r>
    </w:p>
    <w:p w:rsidR="002B72B4" w:rsidRDefault="002B72B4" w:rsidP="002B72B4">
      <w:pPr>
        <w:pStyle w:val="Manuscriptfootnote"/>
      </w:pPr>
    </w:p>
    <w:p w:rsidR="002B72B4" w:rsidRDefault="002B72B4" w:rsidP="002B72B4">
      <w:pPr>
        <w:pStyle w:val="Manuscriptfootnote"/>
      </w:pPr>
      <w:r>
        <w:t>ADA: adalimumab; CZP: certolizumab pegol; cs</w:t>
      </w:r>
      <w:r w:rsidRPr="00481207">
        <w:t xml:space="preserve">DMARD: </w:t>
      </w:r>
      <w:r>
        <w:t xml:space="preserve">conventional systemic </w:t>
      </w:r>
      <w:r w:rsidRPr="00481207">
        <w:t>disease-modifying anti-rheumatic drug;</w:t>
      </w:r>
      <w:r>
        <w:t xml:space="preserve"> ETN: etanercept; GOL: golimumab; HAQ: Health Assessment Questionnaire; INF: infliximab; IV: intravenous; PASI: Psoriasis Area Severity Index; PsA: psoriatic arthritis; PsARC: Psoriatic Arthritis Response Criteria; </w:t>
      </w:r>
      <w:r w:rsidRPr="00481207">
        <w:t>SEC: secukinumab</w:t>
      </w:r>
      <w:r>
        <w:t>; Yr: year.</w:t>
      </w:r>
    </w:p>
    <w:p w:rsidR="001A470D" w:rsidRDefault="001A470D" w:rsidP="002B72B4">
      <w:pPr>
        <w:pStyle w:val="Manuscriptfootnote"/>
      </w:pPr>
      <w:r>
        <w:br w:type="page"/>
      </w:r>
    </w:p>
    <w:p w:rsidR="002B72B4" w:rsidRDefault="002B72B4" w:rsidP="002B72B4">
      <w:pPr>
        <w:pStyle w:val="Caption"/>
      </w:pPr>
      <w:bookmarkStart w:id="8" w:name="_Ref496010290"/>
      <w:bookmarkStart w:id="9" w:name="_Hlk513029231"/>
      <w:r>
        <w:lastRenderedPageBreak/>
        <w:t xml:space="preserve">Fig. </w:t>
      </w:r>
      <w:r>
        <w:rPr>
          <w:noProof/>
        </w:rPr>
        <w:t>6</w:t>
      </w:r>
      <w:bookmarkEnd w:id="8"/>
      <w:r>
        <w:t xml:space="preserve"> Probabilistic results in the ≥2 prior csDMARD subpopulation – scatter plots</w:t>
      </w:r>
    </w:p>
    <w:p w:rsidR="002B72B4" w:rsidRDefault="002B72B4" w:rsidP="002B72B4">
      <w:pPr>
        <w:pStyle w:val="Caption"/>
        <w:numPr>
          <w:ilvl w:val="0"/>
          <w:numId w:val="9"/>
        </w:numPr>
      </w:pPr>
      <w:r>
        <w:t>Versus adalimumab</w:t>
      </w:r>
    </w:p>
    <w:p w:rsidR="001A470D" w:rsidRPr="001A470D" w:rsidRDefault="001A470D" w:rsidP="001A470D">
      <w:pPr>
        <w:rPr>
          <w:lang w:val="en-US"/>
        </w:rPr>
      </w:pPr>
      <w:r>
        <w:rPr>
          <w:noProof/>
          <w:lang w:val="en-US"/>
        </w:rPr>
        <w:drawing>
          <wp:inline distT="0" distB="0" distL="0" distR="0" wp14:anchorId="1132E218">
            <wp:extent cx="5761355" cy="2103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1355" cy="2103120"/>
                    </a:xfrm>
                    <a:prstGeom prst="rect">
                      <a:avLst/>
                    </a:prstGeom>
                    <a:noFill/>
                  </pic:spPr>
                </pic:pic>
              </a:graphicData>
            </a:graphic>
          </wp:inline>
        </w:drawing>
      </w:r>
    </w:p>
    <w:p w:rsidR="002B72B4" w:rsidRDefault="002B72B4" w:rsidP="002B72B4">
      <w:pPr>
        <w:pStyle w:val="Caption"/>
        <w:numPr>
          <w:ilvl w:val="0"/>
          <w:numId w:val="9"/>
        </w:numPr>
      </w:pPr>
      <w:r>
        <w:t>Versus certolizumab pegol</w:t>
      </w:r>
    </w:p>
    <w:p w:rsidR="001A470D" w:rsidRPr="001A470D" w:rsidRDefault="001A470D" w:rsidP="001A470D">
      <w:pPr>
        <w:rPr>
          <w:lang w:val="en-US"/>
        </w:rPr>
      </w:pPr>
      <w:r>
        <w:rPr>
          <w:noProof/>
          <w:lang w:val="en-US"/>
        </w:rPr>
        <w:drawing>
          <wp:inline distT="0" distB="0" distL="0" distR="0" wp14:anchorId="778987D2">
            <wp:extent cx="5761355" cy="21031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1355" cy="2103120"/>
                    </a:xfrm>
                    <a:prstGeom prst="rect">
                      <a:avLst/>
                    </a:prstGeom>
                    <a:noFill/>
                  </pic:spPr>
                </pic:pic>
              </a:graphicData>
            </a:graphic>
          </wp:inline>
        </w:drawing>
      </w:r>
    </w:p>
    <w:p w:rsidR="002B72B4" w:rsidRDefault="002B72B4" w:rsidP="002B72B4">
      <w:pPr>
        <w:pStyle w:val="Caption"/>
        <w:numPr>
          <w:ilvl w:val="0"/>
          <w:numId w:val="9"/>
        </w:numPr>
      </w:pPr>
      <w:r>
        <w:t>Versus etanercept (biosimilar)</w:t>
      </w:r>
    </w:p>
    <w:p w:rsidR="001A470D" w:rsidRPr="001A470D" w:rsidRDefault="001A470D" w:rsidP="001A470D">
      <w:pPr>
        <w:rPr>
          <w:lang w:val="en-US"/>
        </w:rPr>
      </w:pPr>
      <w:r>
        <w:rPr>
          <w:noProof/>
          <w:lang w:val="en-US"/>
        </w:rPr>
        <w:drawing>
          <wp:inline distT="0" distB="0" distL="0" distR="0" wp14:anchorId="69137A0B">
            <wp:extent cx="5761355" cy="21031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1355" cy="2103120"/>
                    </a:xfrm>
                    <a:prstGeom prst="rect">
                      <a:avLst/>
                    </a:prstGeom>
                    <a:noFill/>
                  </pic:spPr>
                </pic:pic>
              </a:graphicData>
            </a:graphic>
          </wp:inline>
        </w:drawing>
      </w:r>
    </w:p>
    <w:p w:rsidR="002B72B4" w:rsidRDefault="002B72B4" w:rsidP="002B72B4">
      <w:pPr>
        <w:pStyle w:val="Caption"/>
        <w:numPr>
          <w:ilvl w:val="0"/>
          <w:numId w:val="9"/>
        </w:numPr>
      </w:pPr>
      <w:r>
        <w:lastRenderedPageBreak/>
        <w:t>Versus golimumab</w:t>
      </w:r>
    </w:p>
    <w:p w:rsidR="001A470D" w:rsidRPr="001A470D" w:rsidRDefault="001A470D" w:rsidP="001A470D">
      <w:pPr>
        <w:rPr>
          <w:lang w:val="en-US"/>
        </w:rPr>
      </w:pPr>
      <w:r>
        <w:rPr>
          <w:noProof/>
          <w:lang w:val="en-US"/>
        </w:rPr>
        <w:drawing>
          <wp:inline distT="0" distB="0" distL="0" distR="0" wp14:anchorId="5C764EEB">
            <wp:extent cx="5761355" cy="21031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1355" cy="2103120"/>
                    </a:xfrm>
                    <a:prstGeom prst="rect">
                      <a:avLst/>
                    </a:prstGeom>
                    <a:noFill/>
                  </pic:spPr>
                </pic:pic>
              </a:graphicData>
            </a:graphic>
          </wp:inline>
        </w:drawing>
      </w:r>
    </w:p>
    <w:p w:rsidR="002B72B4" w:rsidRDefault="002B72B4" w:rsidP="002B72B4">
      <w:pPr>
        <w:pStyle w:val="Caption"/>
        <w:numPr>
          <w:ilvl w:val="0"/>
          <w:numId w:val="9"/>
        </w:numPr>
      </w:pPr>
      <w:r>
        <w:t>Versus infliximab (biosimilar)</w:t>
      </w:r>
    </w:p>
    <w:p w:rsidR="001A470D" w:rsidRPr="001A470D" w:rsidRDefault="001A470D" w:rsidP="001A470D">
      <w:pPr>
        <w:rPr>
          <w:lang w:val="en-US"/>
        </w:rPr>
      </w:pPr>
      <w:r>
        <w:rPr>
          <w:noProof/>
          <w:lang w:val="en-US"/>
        </w:rPr>
        <w:drawing>
          <wp:inline distT="0" distB="0" distL="0" distR="0" wp14:anchorId="6AAE1234">
            <wp:extent cx="5761355" cy="21031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1355" cy="2103120"/>
                    </a:xfrm>
                    <a:prstGeom prst="rect">
                      <a:avLst/>
                    </a:prstGeom>
                    <a:noFill/>
                  </pic:spPr>
                </pic:pic>
              </a:graphicData>
            </a:graphic>
          </wp:inline>
        </w:drawing>
      </w:r>
    </w:p>
    <w:p w:rsidR="002B72B4" w:rsidRDefault="002B72B4" w:rsidP="002B72B4">
      <w:pPr>
        <w:pStyle w:val="Manuscriptfootnote"/>
      </w:pPr>
      <w:r>
        <w:t>cs</w:t>
      </w:r>
      <w:r w:rsidRPr="00481207">
        <w:t xml:space="preserve">DMARD: </w:t>
      </w:r>
      <w:r>
        <w:t xml:space="preserve">conventional systemic </w:t>
      </w:r>
      <w:r w:rsidRPr="00481207">
        <w:t>disease-modifying anti-rheumatic drug;</w:t>
      </w:r>
      <w:r>
        <w:t xml:space="preserve"> QALY: quality-adjusted life year; WTP: willingness to pay.</w:t>
      </w:r>
      <w:bookmarkStart w:id="10" w:name="_Ref496010324"/>
    </w:p>
    <w:p w:rsidR="002B72B4" w:rsidRDefault="002B72B4" w:rsidP="002B72B4">
      <w:pPr>
        <w:pStyle w:val="Caption"/>
      </w:pPr>
      <w:r>
        <w:t xml:space="preserve">Fig. </w:t>
      </w:r>
      <w:r>
        <w:rPr>
          <w:noProof/>
        </w:rPr>
        <w:t>7</w:t>
      </w:r>
      <w:bookmarkEnd w:id="10"/>
      <w:r>
        <w:t xml:space="preserve"> Probabilistic results in the ≥2 prior csDMARDs subpopulation – cost-effectiveness acceptability curve (all comparators)</w:t>
      </w:r>
    </w:p>
    <w:p w:rsidR="001A470D" w:rsidRPr="001A470D" w:rsidRDefault="001A470D" w:rsidP="001A470D">
      <w:pPr>
        <w:rPr>
          <w:lang w:val="en-US"/>
        </w:rPr>
      </w:pPr>
      <w:r>
        <w:rPr>
          <w:noProof/>
          <w:lang w:val="en-US"/>
        </w:rPr>
        <w:drawing>
          <wp:inline distT="0" distB="0" distL="0" distR="0" wp14:anchorId="4FB20DB9">
            <wp:extent cx="5761355" cy="24447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1355" cy="2444750"/>
                    </a:xfrm>
                    <a:prstGeom prst="rect">
                      <a:avLst/>
                    </a:prstGeom>
                    <a:noFill/>
                  </pic:spPr>
                </pic:pic>
              </a:graphicData>
            </a:graphic>
          </wp:inline>
        </w:drawing>
      </w:r>
    </w:p>
    <w:p w:rsidR="007E6FBE" w:rsidRDefault="002B72B4" w:rsidP="002B72B4">
      <w:pPr>
        <w:pStyle w:val="Manuscriptfootnote"/>
      </w:pPr>
      <w:r w:rsidRPr="003E6319">
        <w:t xml:space="preserve">ADA: adalimumab; </w:t>
      </w:r>
      <w:r>
        <w:t xml:space="preserve">CZP: certolizumab pegol; </w:t>
      </w:r>
      <w:r w:rsidRPr="003E6319">
        <w:t>csDMARD: conventional systemic disease-modifying anti-rheumatic drug; ETN: etanercept; GOL: golimumab; INF: infliximab; SEC: secukinumab</w:t>
      </w:r>
      <w:r>
        <w:t>.</w:t>
      </w:r>
    </w:p>
    <w:p w:rsidR="001E7CAE" w:rsidRDefault="001E7CAE" w:rsidP="002B72B4">
      <w:pPr>
        <w:pStyle w:val="Manuscriptfootnote"/>
      </w:pPr>
      <w:r>
        <w:br w:type="page"/>
      </w:r>
    </w:p>
    <w:bookmarkEnd w:id="9"/>
    <w:p w:rsidR="001E7CAE" w:rsidRPr="0093649B" w:rsidRDefault="001E7CAE" w:rsidP="001E7CAE">
      <w:pPr>
        <w:pStyle w:val="Numberedheading"/>
        <w:numPr>
          <w:ilvl w:val="0"/>
          <w:numId w:val="0"/>
        </w:numPr>
      </w:pPr>
      <w:r w:rsidRPr="0093649B">
        <w:lastRenderedPageBreak/>
        <w:t>REFERENCES</w:t>
      </w:r>
    </w:p>
    <w:p w:rsidR="008A4DC2" w:rsidRPr="001E7CAE" w:rsidRDefault="008A4DC2" w:rsidP="008A4DC2">
      <w:pPr>
        <w:pStyle w:val="EndNoteBibliography"/>
      </w:pPr>
      <w:bookmarkStart w:id="11" w:name="_ENREF_20"/>
      <w:bookmarkStart w:id="12" w:name="_ENREF_8"/>
      <w:r>
        <w:t>1</w:t>
      </w:r>
      <w:r w:rsidRPr="001E7CAE">
        <w:t>. Cawson MR, Mitchell SA, Knight C, Wildey H, Spurden D, Bird A et al. Systematic review, network meta-analysis and economic evaluation of biological therapy for the management of active psoriatic arthritis. BMC musculoskeletal disorders. 2014;15:26. doi:10.1186/1471-2474-15-26.</w:t>
      </w:r>
      <w:bookmarkEnd w:id="11"/>
    </w:p>
    <w:p w:rsidR="008A4DC2" w:rsidRPr="001E7CAE" w:rsidRDefault="008A4DC2" w:rsidP="008A4DC2">
      <w:pPr>
        <w:pStyle w:val="EndNoteBibliography"/>
      </w:pPr>
      <w:bookmarkStart w:id="13" w:name="_ENREF_10"/>
      <w:bookmarkStart w:id="14" w:name="_Hlk508839787"/>
      <w:r>
        <w:t>2</w:t>
      </w:r>
      <w:r w:rsidRPr="001E7CAE">
        <w:t>. McInnes IB, Mease PJ, Kirkham B, Kavanaugh A, Ritchlin CT, Rahman P et al. Secukinumab, a human anti-interleukin-17A monoclonal antibody, in patients with psoriatic arthritis (FUTURE 2): a randomised, double-blind, placebo-controlled, phase 3 trial. Lancet (London, England). 2015;386(9999):1137-46. doi:10.1016/s0140-6736(15)61134-5.</w:t>
      </w:r>
      <w:bookmarkEnd w:id="13"/>
    </w:p>
    <w:p w:rsidR="008A4DC2" w:rsidRDefault="008A4DC2" w:rsidP="008A4DC2">
      <w:pPr>
        <w:pStyle w:val="EndNoteBibliography"/>
      </w:pPr>
      <w:bookmarkStart w:id="15" w:name="_ENREF_23"/>
      <w:r>
        <w:t>3</w:t>
      </w:r>
      <w:r w:rsidRPr="001E7CAE">
        <w:t>. Burmester GR, Panaccione R, Gordon KB, McIlraith MJ, Lacerda AP. Adalimumab: long-term safety in 23 458 patients from global clinical trials in rheumatoid arthritis, juvenile idiopathic arthritis, ankylosing spondylitis, psoriatic arthritis, psoriasis and Crohn's disease. Annals of the rheumatic diseases. 2013;72(4):517-24.</w:t>
      </w:r>
    </w:p>
    <w:p w:rsidR="008A4DC2" w:rsidRPr="001E7CAE" w:rsidRDefault="008A4DC2" w:rsidP="008A4DC2">
      <w:pPr>
        <w:pStyle w:val="EndNoteBibliography"/>
      </w:pPr>
      <w:r>
        <w:t>4</w:t>
      </w:r>
      <w:r w:rsidRPr="001E7CAE">
        <w:t>. Mease PJ, Fleischmann R, Deodhar AA, Wollenhaupt J, Khraishi M, Kielar D et al. Effect of certolizumab pegol on signs and symptoms in patients with psoriatic arthritis: 24-week results of a Phase 3 double-blind randomised placebo-controlled study (RAPID-PsA). Annals of the rheumatic diseases. 2014;73(1):48-55. doi:10.1136/annrheumdis-2013-203696.</w:t>
      </w:r>
      <w:bookmarkEnd w:id="15"/>
    </w:p>
    <w:p w:rsidR="008A4DC2" w:rsidRPr="001E7CAE" w:rsidRDefault="008A4DC2" w:rsidP="008A4DC2">
      <w:pPr>
        <w:pStyle w:val="EndNoteBibliography"/>
      </w:pPr>
      <w:bookmarkStart w:id="16" w:name="_ENREF_24"/>
      <w:r>
        <w:t>5</w:t>
      </w:r>
      <w:r w:rsidRPr="001E7CAE">
        <w:t>. Sterry W, Ortonne JP, Kirkham B, Brocq O, Robertson D, Pedersen RD et al. Comparison of two etanercept regimens for treatment of psoriasis and psoriatic arthritis: PRESTA randomised double blind multicentre trial. BMJ (Clinical research ed). 2010;340:c147. doi:10.1136/bmj.c147.</w:t>
      </w:r>
      <w:bookmarkEnd w:id="16"/>
    </w:p>
    <w:p w:rsidR="008A4DC2" w:rsidRPr="001E7CAE" w:rsidRDefault="008A4DC2" w:rsidP="008A4DC2">
      <w:pPr>
        <w:pStyle w:val="EndNoteBibliography"/>
      </w:pPr>
      <w:bookmarkStart w:id="17" w:name="_ENREF_25"/>
      <w:r w:rsidRPr="001E7CAE">
        <w:t>doi:10.1136/annrheumdis-2011-201244.</w:t>
      </w:r>
      <w:bookmarkEnd w:id="17"/>
    </w:p>
    <w:p w:rsidR="008A4DC2" w:rsidRPr="001E7CAE" w:rsidRDefault="008A4DC2" w:rsidP="008A4DC2">
      <w:pPr>
        <w:pStyle w:val="EndNoteBibliography"/>
      </w:pPr>
      <w:bookmarkStart w:id="18" w:name="_ENREF_27"/>
      <w:bookmarkStart w:id="19" w:name="_ENREF_26"/>
      <w:r>
        <w:t>6</w:t>
      </w:r>
      <w:r w:rsidRPr="001E7CAE">
        <w:t>. Kavanaugh A, van der Heijde D, McInnes IB, Mease P, Krueger GG, Gladman DD et al. Golimumab in psoriatic arthritis: one-year clinical efficacy, radiographic, and safety results from a phase III, randomized, placebo-controlled trial. Arthritis and rheumatism. 2012;64(8):2504-17. doi:10.1002/art.34436.</w:t>
      </w:r>
      <w:bookmarkEnd w:id="18"/>
    </w:p>
    <w:p w:rsidR="008A4DC2" w:rsidRPr="001E7CAE" w:rsidRDefault="008A4DC2" w:rsidP="008A4DC2">
      <w:pPr>
        <w:pStyle w:val="EndNoteBibliography"/>
      </w:pPr>
      <w:r>
        <w:t>7</w:t>
      </w:r>
      <w:r w:rsidRPr="001E7CAE">
        <w:t>. Torii H, Nakagawa H. Infliximab monotherapy in Japanese patients with moderate-to-severe plaque psoriasis and psoriatic arthritis. A randomized, double-blind, placebo-controlled multicenter trial. Journal of dermatological science. 2010;59(1):40-9. doi:10.1016/j.jdermsci.2010.04.014.</w:t>
      </w:r>
      <w:bookmarkEnd w:id="19"/>
    </w:p>
    <w:p w:rsidR="008A4DC2" w:rsidRDefault="008A4DC2" w:rsidP="008A4DC2">
      <w:pPr>
        <w:pStyle w:val="EndNoteBibliography"/>
      </w:pPr>
      <w:r>
        <w:t>8</w:t>
      </w:r>
      <w:r w:rsidRPr="005D6EE6">
        <w:t>. Singh JA, Wells GA, Christensen R, Tanjong Ghogomu E, Maxwell L, Macdonald JK et al. Adverse effects of biologics: a network meta-analysis and Cochrane overview. The Cochrane database of systematic reviews. 2011(2):Cd008794.</w:t>
      </w:r>
    </w:p>
    <w:p w:rsidR="002F21A9" w:rsidRDefault="002F21A9" w:rsidP="002F21A9">
      <w:pPr>
        <w:pStyle w:val="EndNoteBibliography"/>
      </w:pPr>
      <w:r>
        <w:t>9. Mease, P.J., et al., Adalimumab for the treatment of patients with moderately to severely active psoriatic arthritis: results of a double-blind, randomized, placebo-controlled trial. Arthritis Rheum, 2005. 52(10): p. 3279-89.</w:t>
      </w:r>
    </w:p>
    <w:p w:rsidR="002F21A9" w:rsidRDefault="002F21A9" w:rsidP="002F21A9">
      <w:pPr>
        <w:pStyle w:val="EndNoteBibliography"/>
      </w:pPr>
      <w:r>
        <w:t>10</w:t>
      </w:r>
      <w:r w:rsidR="005F07A5">
        <w:t xml:space="preserve">. </w:t>
      </w:r>
      <w:r>
        <w:t>Gottlieb, A.B., et al., Secukinumab improves skin symptoms and physical functioning compared with ustekinumab in patients with moderate to severe psoriasis with concomitant psoriatic arthritis: subanalysis of a randomized, double blind, parallel-group, active comparator-controlled phase 3b trial. Arthritis Rheumatol, 2015. 67((Suppl 10)).</w:t>
      </w:r>
    </w:p>
    <w:p w:rsidR="002F21A9" w:rsidRDefault="002F21A9" w:rsidP="002F21A9">
      <w:pPr>
        <w:pStyle w:val="EndNoteBibliography"/>
      </w:pPr>
      <w:r>
        <w:t>11</w:t>
      </w:r>
      <w:r w:rsidR="005F07A5">
        <w:t xml:space="preserve">. </w:t>
      </w:r>
      <w:r>
        <w:t>Gottlieb, A.B., et al., Secukinumab Shows Substantial Improvement In Both Psoriasis Symptoms and Physical Functioning In Moderate-To-Severe Plaque Psoriasis Patients With Psoriatic Arthritis: A Subanalysis Of a Phase 3, Multicenter, Double-Blind, Placebo-Controlled Study. Arthritis Rheum., 2013. 65((Suppl 10)): p. 319.</w:t>
      </w:r>
    </w:p>
    <w:p w:rsidR="002F21A9" w:rsidRDefault="005F07A5" w:rsidP="002F21A9">
      <w:pPr>
        <w:pStyle w:val="EndNoteBibliography"/>
      </w:pPr>
      <w:r>
        <w:lastRenderedPageBreak/>
        <w:t xml:space="preserve">12. </w:t>
      </w:r>
      <w:r w:rsidR="002F21A9">
        <w:t>Gottlieb, A.B., et al., Secukinumab Improves Physical Function in Subjects With Plaque Psoriasis and Psoriatic Arthritis: Results from Two Randomized, Phase 3 Trials. J Drugs Dermatol, 2015. 14(8): p. 821-33.</w:t>
      </w:r>
    </w:p>
    <w:p w:rsidR="002F21A9" w:rsidRDefault="005F07A5" w:rsidP="002F21A9">
      <w:pPr>
        <w:pStyle w:val="EndNoteBibliography"/>
      </w:pPr>
      <w:r>
        <w:t xml:space="preserve">13. </w:t>
      </w:r>
      <w:r w:rsidR="002F21A9">
        <w:t>Genovese, M.C., et al., Safety and efficacy of adalimumab in treatment of patients with psoriatic arthritis who had failed disease modifying antirheumatic drug therapy. J Rheumatol, 2007. 34(5): p. 1040-50.</w:t>
      </w:r>
    </w:p>
    <w:p w:rsidR="002F21A9" w:rsidRDefault="005F07A5" w:rsidP="002F21A9">
      <w:pPr>
        <w:pStyle w:val="EndNoteBibliography"/>
      </w:pPr>
      <w:r>
        <w:t xml:space="preserve">14. </w:t>
      </w:r>
      <w:r w:rsidR="002F21A9">
        <w:t>Kavanaugh, A., et al., Golimumab, a new human tumor necrosis factor alpha antibody, administered every four weeks as a subcutaneous injection in psoriatic arthritis: Twenty-four-week efficacy and safety results of a randomized, placebo-controlled study. Arthritis Rheum, 2009. 60(4): p. 976-86.</w:t>
      </w:r>
    </w:p>
    <w:p w:rsidR="002F21A9" w:rsidRDefault="005F07A5" w:rsidP="002F21A9">
      <w:pPr>
        <w:pStyle w:val="EndNoteBibliography"/>
      </w:pPr>
      <w:r>
        <w:t xml:space="preserve">15. </w:t>
      </w:r>
      <w:r w:rsidR="002F21A9">
        <w:t>Antoni, C.E., et al., Sustained benefits of infliximab therapy for dermatologic and articular manifestations of psoriatic arthritis: results from the infliximab multinational psoriatic arthritis controlled trial (IMPACT). Arthritis Rheum, 2005. 52(4): p. 1227-36.</w:t>
      </w:r>
    </w:p>
    <w:p w:rsidR="002F21A9" w:rsidRDefault="005F07A5" w:rsidP="002F21A9">
      <w:pPr>
        <w:pStyle w:val="EndNoteBibliography"/>
      </w:pPr>
      <w:r>
        <w:t xml:space="preserve">16. </w:t>
      </w:r>
      <w:r w:rsidR="002F21A9">
        <w:t>Antoni, C., et al., Infliximab improves signs and symptoms of psoriatic arthritis: results of the IMPACT 2 trial. Ann Rheum Dis, 2005. 64(8): p. 1150-7.</w:t>
      </w:r>
    </w:p>
    <w:p w:rsidR="002F21A9" w:rsidRDefault="005F07A5" w:rsidP="002F21A9">
      <w:pPr>
        <w:pStyle w:val="EndNoteBibliography"/>
      </w:pPr>
      <w:r>
        <w:t xml:space="preserve">17. </w:t>
      </w:r>
      <w:r w:rsidR="002F21A9">
        <w:t>Mease, P.J., et al., Etanercept in the treatment of psoriatic arthritis and psoriasis: a randomised trial. Lancet, 2000. 356(9227): p. 385-90.</w:t>
      </w:r>
    </w:p>
    <w:p w:rsidR="002F21A9" w:rsidRDefault="005F07A5" w:rsidP="002F21A9">
      <w:pPr>
        <w:pStyle w:val="EndNoteBibliography"/>
      </w:pPr>
      <w:r>
        <w:t xml:space="preserve">18. </w:t>
      </w:r>
      <w:r w:rsidR="002F21A9">
        <w:t>Mease, P.J., et al., Etanercept treatment of psoriatic arthritis: safety, efficacy, and effect on disease progression. Arthritis Rheum, 2004. 50(7): p. 2264-72.</w:t>
      </w:r>
    </w:p>
    <w:p w:rsidR="002F21A9" w:rsidRDefault="005F07A5" w:rsidP="002F21A9">
      <w:pPr>
        <w:pStyle w:val="EndNoteBibliography"/>
      </w:pPr>
      <w:r>
        <w:t xml:space="preserve">19. </w:t>
      </w:r>
      <w:r w:rsidR="002F21A9">
        <w:t>Kavanaugh, A., et al., Treatment of psoriatic arthritis in a phase 3 randomised, placebo-controlled trial with apremilast, an oral phosphodiesterase 4 inhibitor. Ann Rheum Dis, 2014. 73(6): p. 1020-6.</w:t>
      </w:r>
    </w:p>
    <w:p w:rsidR="002F21A9" w:rsidRDefault="005F07A5" w:rsidP="002F21A9">
      <w:pPr>
        <w:pStyle w:val="EndNoteBibliography"/>
      </w:pPr>
      <w:r>
        <w:t xml:space="preserve">20. </w:t>
      </w:r>
      <w:r w:rsidR="002F21A9">
        <w:t>Kavanaugh, A., et al., Apremilast, an Oral Phosphodiesterase 4 Inhibitor, Is Associated with Long-Term (52-Week) Improvement in Measures of Disease Activity in Patients with Psoriatic Arthritis: Results from 3 Phase 3, Randomized, Controlled Trials. Arthritis Rheumatol, 2014. 66((Suppl 10)): p. S2390-40.</w:t>
      </w:r>
    </w:p>
    <w:p w:rsidR="002F21A9" w:rsidRDefault="005F07A5" w:rsidP="002F21A9">
      <w:pPr>
        <w:pStyle w:val="EndNoteBibliography"/>
      </w:pPr>
      <w:r>
        <w:t xml:space="preserve">21. </w:t>
      </w:r>
      <w:r w:rsidR="002F21A9">
        <w:t>Birbara, C., et al., OP0104 Apremilast, an Oral Phosphodiesterase 4 Inhibitor, in Patients with Psoriatic Arthritis Including Current Skin Involvement: Results of a Phase 3, Randomized, Controlled Trial. Ann Rheum Dis, 2013. 72((Suppl 2)): p. A85-6.</w:t>
      </w:r>
    </w:p>
    <w:p w:rsidR="002F21A9" w:rsidRDefault="005F07A5" w:rsidP="002F21A9">
      <w:pPr>
        <w:pStyle w:val="EndNoteBibliography"/>
      </w:pPr>
      <w:r>
        <w:t xml:space="preserve">22. </w:t>
      </w:r>
      <w:r w:rsidR="002F21A9">
        <w:t>McInnes, I.B., et al., Efficacy and safety of ustekinumab in patients with active psoriatic arthritis: 1 year results of the phase 3, multicentre, double-blind, placebo-controlled PSUMMIT 1 trial. Lancet, 2013. 382(9894): p. 780-9.</w:t>
      </w:r>
    </w:p>
    <w:p w:rsidR="002F21A9" w:rsidRDefault="005F07A5" w:rsidP="002F21A9">
      <w:pPr>
        <w:pStyle w:val="EndNoteBibliography"/>
      </w:pPr>
      <w:r>
        <w:t xml:space="preserve">23. </w:t>
      </w:r>
      <w:r w:rsidR="002F21A9">
        <w:t>Ritchlin, C., et al., Efficacy and safety of the anti-IL-12/23 p40 monoclonal antibody, ustekinumab, in patients with active psoriatic arthritis despite conventional non-biological and biological anti-tumour necrosis factor therapy: 6-month and 1-year results of the phase 3, multicentre, double-blind, placebo-controlled, randomised PSUMMIT 2 trial. Ann Rheum Dis, 2014. 73(6): p. 990-9.</w:t>
      </w:r>
    </w:p>
    <w:p w:rsidR="002F21A9" w:rsidRDefault="005F07A5" w:rsidP="002F21A9">
      <w:pPr>
        <w:pStyle w:val="EndNoteBibliography"/>
      </w:pPr>
      <w:r>
        <w:t xml:space="preserve">24. </w:t>
      </w:r>
      <w:r w:rsidR="002F21A9">
        <w:t>Schett, G., et al., Oral apremilast in the treatment of active psoriatic arthritis: results of a multicenter, randomized, double-blind, placebo-controlled study. Arthritis Rheum, 2012. 64(10): p. 3156-67.</w:t>
      </w:r>
    </w:p>
    <w:bookmarkEnd w:id="14"/>
    <w:p w:rsidR="003F6A14" w:rsidRDefault="003F6A14" w:rsidP="003F6A14">
      <w:pPr>
        <w:pStyle w:val="EndNoteBibliography"/>
      </w:pPr>
      <w:r>
        <w:t>25. Behrens F, Köhm M, Arndt U, Wittig B, Greger G, Thaci D et al. SAT0358 Impact of Methotrexate on Anti-TNF Treatment in Psoriatic Arthritis? an In-Depth Analysis of A Large Prospective Observational Study with Adalimumab. Annals of the rheumatic diseases. 2014;73(Suppl 2):723-. doi:10.1136/annrheumdis-2014-eular.1225.</w:t>
      </w:r>
    </w:p>
    <w:p w:rsidR="003F6A14" w:rsidRDefault="003F6A14" w:rsidP="003F6A14">
      <w:pPr>
        <w:pStyle w:val="EndNoteBibliography"/>
      </w:pPr>
      <w:r>
        <w:t>26. Gottlieb A, Menter A, Mendelsohn A, Shen YK, Li S, Guzzo C et al. Ustekinumab, a human interleukin 12/23 monoclonal antibody, for psoriatic arthritis: randomised, double-blind, placebo-controlled, crossover trial. Lancet (London, England). 2009;373(9664):633-40. doi:10.1016/s0140-6736(09)60140-9.</w:t>
      </w:r>
    </w:p>
    <w:p w:rsidR="003F6A14" w:rsidRDefault="003F6A14" w:rsidP="003F6A14">
      <w:pPr>
        <w:pStyle w:val="EndNoteBibliography"/>
      </w:pPr>
      <w:r>
        <w:lastRenderedPageBreak/>
        <w:t>27. Mease PJ, McInnes IB, Kirkham B, Kavanaugh A, Rahman P, van der Heijde D et al. Secukinumab inhibition of interleukin-17A in patients with psoriatic arthritis. The New England journal of medicine. 2015;373(14):1329-39. doi:10.1056/NEJMoa1412679.</w:t>
      </w:r>
    </w:p>
    <w:p w:rsidR="003F6A14" w:rsidRDefault="003F6A14" w:rsidP="003F6A14">
      <w:pPr>
        <w:pStyle w:val="EndNoteBibliography"/>
      </w:pPr>
      <w:r>
        <w:t>28. McInnes IB, Sieper J, Braun J, Emery P, van der Heijde D, Isaacs JD et al. Efficacy and safety of secukinumab, a fully human anti-interleukin-17A monoclonal antibody, in patients with moderate-to-severe psoriatic arthritis: a 24-week, randomised, double-blind, placebo-controlled, phase II proof-of-concept trial. Annals of the rheumatic diseases. 2014;73(2):349-56. doi:10.1136/annrheumdis-2012-202646.</w:t>
      </w:r>
    </w:p>
    <w:p w:rsidR="003F6A14" w:rsidRDefault="003F6A14" w:rsidP="003F6A14">
      <w:pPr>
        <w:pStyle w:val="EndNoteBibliography"/>
      </w:pPr>
      <w:r>
        <w:t xml:space="preserve">29. Wells AF, Edwards CJ, Adebajo AO, Kivitz A, Bird P, Shah K. Apremilast in the Treatment of DMARD-Naïve Psoriatic Arthritis Patients: Results of a Phase 3 Randomized, Controlled Trial (PALACE 4). Arthritis and rheumatism. 2013;65(12):3320-33. </w:t>
      </w:r>
    </w:p>
    <w:p w:rsidR="003F6A14" w:rsidRDefault="003F6A14" w:rsidP="003F6A14">
      <w:pPr>
        <w:pStyle w:val="EndNoteBibliography"/>
      </w:pPr>
      <w:r>
        <w:t>30. Baranauskaite A, Raffayova H, Kungurov NV, Kubanova A, Venalis A, Helmle L et al. Infliximab plus methotrexate is superior to methotrexate alone in the treatment of psoriatic arthritis in methotrexate-naive patients: the RESPOND study. Annals of the rheumatic diseases. 2012;71(4):541-8. doi:10.1136/ard.2011.152223.</w:t>
      </w:r>
    </w:p>
    <w:p w:rsidR="003F6A14" w:rsidRDefault="003F6A14" w:rsidP="003F6A14">
      <w:pPr>
        <w:pStyle w:val="EndNoteBibliography"/>
      </w:pPr>
      <w:r>
        <w:t>31. Saougou I, Markatseli TE, Papagoras C, Voulgari PV, Alamanos Y, Drosos AA. Sustained clinical response in psoriatic arthritis patients treated with anti-TNF agents: a 5-year open-label observational cohort study. Seminars in arthritis and rheumatism. 2011;40(5):398-406. doi:10.1016/j.semarthrit.2010.07.004.</w:t>
      </w:r>
    </w:p>
    <w:p w:rsidR="003F6A14" w:rsidRDefault="003F6A14" w:rsidP="003F6A14">
      <w:pPr>
        <w:pStyle w:val="EndNoteBibliography"/>
      </w:pPr>
      <w:r>
        <w:t xml:space="preserve">32. Mease P, van der Heijde D, Ritchlin C, Cuchacovich R, Shuler C, Lee C. A Randomized, Double-Blind, Active- and Placebo-Controlled Phase 3 Study of Efficacy and Safety of Ixekizumab, Adalimumab, and Placebo Therapy in Patients Naïve to Biologic Disease Modifying Anti-Rheumatic Drugs with Active Psoriatic Arthritis. Arthritis Rheumatol. 2015;67(Suppl 10). </w:t>
      </w:r>
    </w:p>
    <w:p w:rsidR="003F6A14" w:rsidRDefault="003F6A14" w:rsidP="003F6A14">
      <w:pPr>
        <w:pStyle w:val="EndNoteBibliography"/>
      </w:pPr>
      <w:r>
        <w:t>33. Torii H, Nakagawa H. Infliximab monotherapy in Japanese patients with moderate-to-severe plaque psoriasis and psoriatic arthritis. A randomized, double-blind, placebo-controlled multicenter trial. Journal of dermatological science. 2010;59(1):40-9. doi:10.1016/j.jdermsci.2010.04.014.</w:t>
      </w:r>
    </w:p>
    <w:p w:rsidR="003F6A14" w:rsidRDefault="003F6A14" w:rsidP="003F6A14">
      <w:pPr>
        <w:pStyle w:val="EndNoteBibliography"/>
      </w:pPr>
      <w:r>
        <w:t>34. van Kuijk AW, Gerlag DM, Vos K, Wolbink G, de Groot M, de Rie MA et al. A prospective, randomised, placebo-controlled study to identify biomarkers associated with active treatment in psoriatic arthritis: effects of adalimumab treatment on synovial tissue. Annals of the rheumatic diseases. 2009;68(8):1303-9. doi:10.1136/ard.2008.091389.</w:t>
      </w:r>
    </w:p>
    <w:p w:rsidR="002F21A9" w:rsidRDefault="003F6A14" w:rsidP="008A4DC2">
      <w:pPr>
        <w:pStyle w:val="EndNoteBibliography"/>
      </w:pPr>
      <w:r>
        <w:t>35</w:t>
      </w:r>
      <w:r w:rsidR="005F07A5">
        <w:t xml:space="preserve">. </w:t>
      </w:r>
      <w:r w:rsidR="005F07A5" w:rsidRPr="005F07A5">
        <w:t>McInnes IB, Nash P, Ritchlin C, Thom H, Kanters S, Palaka E et al. THU0437 Secukinumab for the treatment of psoriatic arthritis: comparative effectiveness results versus licensed biologics and apremilast from a network meta-analysis. Annals of the rheumatic diseases. 2016;75(Suppl 2):348-9. doi:10.1136/annrheumdis-2016-eular.1716.</w:t>
      </w:r>
    </w:p>
    <w:p w:rsidR="001C561F" w:rsidRDefault="003F6A14" w:rsidP="001C561F">
      <w:pPr>
        <w:pStyle w:val="EndNoteBibliography"/>
      </w:pPr>
      <w:bookmarkStart w:id="20" w:name="_ENREF_21"/>
      <w:r>
        <w:t>3</w:t>
      </w:r>
      <w:r w:rsidR="00D36C5F">
        <w:t>6</w:t>
      </w:r>
      <w:r w:rsidR="001C561F" w:rsidRPr="001E7CAE">
        <w:t>. Rodgers M, Epstein D, Bojke L, Yang H, Craig D, Fonseca T et al. Etanercept, infliximab and adalimumab for the treatment of psoriatic arthritis: a systematic review and economic evaluation. Health technology assessment (Winchester, England). 2011;15(10):i-xxi, 1-329. doi:10.3310/hta15100.</w:t>
      </w:r>
      <w:bookmarkEnd w:id="20"/>
    </w:p>
    <w:p w:rsidR="001C561F" w:rsidRDefault="003F6A14" w:rsidP="001C561F">
      <w:pPr>
        <w:pStyle w:val="EndNoteBibliography"/>
      </w:pPr>
      <w:r>
        <w:t>3</w:t>
      </w:r>
      <w:r w:rsidR="00D36C5F">
        <w:t>7</w:t>
      </w:r>
      <w:r w:rsidR="001C561F">
        <w:t xml:space="preserve">. </w:t>
      </w:r>
      <w:r w:rsidR="001C561F" w:rsidRPr="0042656D">
        <w:t>Corbett, M., et al., Certolizumab pegol and secukinumab for treating active psoriatic arthritis following inadequate response to disease-modifying antirheumatic drugs: a systematic review and economic evaluation. Health Technol Assess, 2017. 21(56): p. 1-326.</w:t>
      </w:r>
    </w:p>
    <w:p w:rsidR="008A4DC2" w:rsidRPr="001E7CAE" w:rsidRDefault="003F6A14" w:rsidP="008A4DC2">
      <w:pPr>
        <w:pStyle w:val="EndNoteBibliography"/>
      </w:pPr>
      <w:bookmarkStart w:id="21" w:name="_Hlk508840120"/>
      <w:r>
        <w:t>3</w:t>
      </w:r>
      <w:r w:rsidR="00D36C5F">
        <w:t>8</w:t>
      </w:r>
      <w:r w:rsidR="008A4DC2" w:rsidRPr="001E7CAE">
        <w:t xml:space="preserve">. European Medicines Agency (EMA). Cosentyx: EPAR - Product Information. Available at: </w:t>
      </w:r>
      <w:r w:rsidR="008A4DC2" w:rsidRPr="001E7CAE">
        <w:lastRenderedPageBreak/>
        <w:t>http://www.ema.europa.eu/ema/index.jsp?curl=pages/medicines/human/medicines/003729/human_med_001832.jsp&amp;mid=WC0b01ac058001d124. Accessed: 16th May 2017.</w:t>
      </w:r>
      <w:bookmarkEnd w:id="12"/>
    </w:p>
    <w:p w:rsidR="008A4DC2" w:rsidRPr="001E7CAE" w:rsidRDefault="003F6A14" w:rsidP="008A4DC2">
      <w:pPr>
        <w:pStyle w:val="EndNoteBibliography"/>
      </w:pPr>
      <w:bookmarkStart w:id="22" w:name="_ENREF_35"/>
      <w:r>
        <w:t>3</w:t>
      </w:r>
      <w:r w:rsidR="00D36C5F">
        <w:t>9</w:t>
      </w:r>
      <w:r w:rsidR="008A4DC2" w:rsidRPr="001E7CAE">
        <w:t>. European Medicines Agency (EMA). Cimzia: EPAR - Product Information. Available at: http://www.ema.europa.eu/ema/index.jsp?curl=pages/medicines/human/medicines/001037/human_med_001294.jsp&amp;mid=WC0b01ac058001d124. Accessed: 23rd May 2017.</w:t>
      </w:r>
      <w:bookmarkEnd w:id="22"/>
    </w:p>
    <w:p w:rsidR="008A4DC2" w:rsidRPr="001E7CAE" w:rsidRDefault="00D36C5F" w:rsidP="008A4DC2">
      <w:pPr>
        <w:pStyle w:val="EndNoteBibliography"/>
      </w:pPr>
      <w:bookmarkStart w:id="23" w:name="_ENREF_36"/>
      <w:r>
        <w:t>40</w:t>
      </w:r>
      <w:r w:rsidR="008A4DC2" w:rsidRPr="001E7CAE">
        <w:t>. European Medicines Agency (EMA). Enbrel: EPAR - Product Information. Available at: http://www.ema.europa.eu/ema/index.jsp?curl=pages/medicines/human/medicines/000262/human_med_000764.jsp&amp;mid=WC0b01ac058001d124. Accessed: 23rd May 2017.</w:t>
      </w:r>
      <w:bookmarkEnd w:id="23"/>
    </w:p>
    <w:p w:rsidR="008A4DC2" w:rsidRPr="001E7CAE" w:rsidRDefault="003F6A14" w:rsidP="008A4DC2">
      <w:pPr>
        <w:pStyle w:val="EndNoteBibliography"/>
      </w:pPr>
      <w:bookmarkStart w:id="24" w:name="_ENREF_37"/>
      <w:r>
        <w:t>4</w:t>
      </w:r>
      <w:r w:rsidR="00D36C5F">
        <w:t>1</w:t>
      </w:r>
      <w:r w:rsidR="008A4DC2" w:rsidRPr="001E7CAE">
        <w:t xml:space="preserve">. European Medicines Agency (EMA). Humira: EPAR - Product Information. Available at: http://www.ema.europa.eu/ema/index.jsp?curl=pages/medicines/human/medicines/000481/human_med_000822.jsp&amp;mid=WC0b01ac058001d124. Accessed: 23rd May 2017. </w:t>
      </w:r>
      <w:bookmarkEnd w:id="24"/>
    </w:p>
    <w:p w:rsidR="008A4DC2" w:rsidRPr="001E7CAE" w:rsidRDefault="003F6A14" w:rsidP="008A4DC2">
      <w:pPr>
        <w:pStyle w:val="EndNoteBibliography"/>
      </w:pPr>
      <w:bookmarkStart w:id="25" w:name="_ENREF_38"/>
      <w:r>
        <w:t>4</w:t>
      </w:r>
      <w:r w:rsidR="00D36C5F">
        <w:t>2</w:t>
      </w:r>
      <w:r w:rsidR="008A4DC2">
        <w:t>.</w:t>
      </w:r>
      <w:r w:rsidR="008A4DC2" w:rsidRPr="001E7CAE">
        <w:t xml:space="preserve"> European Medicines Agency (EMA). Remicade: EPAR - Product Information. Available at: http://www.ema.europa.eu/ema/index.jsp?curl=pages/medicines/human/medicines/000240/human_med_001023.jsp&amp;mid=WC0b01ac058001d124. Accessed: 23rd May 2017.</w:t>
      </w:r>
      <w:bookmarkEnd w:id="25"/>
    </w:p>
    <w:p w:rsidR="008A4DC2" w:rsidRDefault="003F6A14" w:rsidP="008A4DC2">
      <w:pPr>
        <w:pStyle w:val="EndNoteBibliography"/>
      </w:pPr>
      <w:bookmarkStart w:id="26" w:name="_ENREF_39"/>
      <w:r>
        <w:t>4</w:t>
      </w:r>
      <w:r w:rsidR="00D36C5F">
        <w:t>3</w:t>
      </w:r>
      <w:r w:rsidR="008A4DC2" w:rsidRPr="001E7CAE">
        <w:t>. European Medicines Agency (EMA). Simponi: EPAR - Product Information. Available at: http://www.ema.europa.eu/ema/index.jsp?curl=pages/medicines/human/medicines/000992/human_med_001053.jsp&amp;mid=WC0b01ac058001d124. Accessed: 23rd May 2017.</w:t>
      </w:r>
      <w:bookmarkEnd w:id="26"/>
    </w:p>
    <w:p w:rsidR="008A4DC2" w:rsidRPr="001E7CAE" w:rsidRDefault="003F6A14" w:rsidP="008A4DC2">
      <w:pPr>
        <w:pStyle w:val="EndNoteBibliography"/>
      </w:pPr>
      <w:bookmarkStart w:id="27" w:name="_ENREF_32"/>
      <w:r>
        <w:t>4</w:t>
      </w:r>
      <w:r w:rsidR="00D36C5F">
        <w:t>4</w:t>
      </w:r>
      <w:r w:rsidR="008A4DC2" w:rsidRPr="001E7CAE">
        <w:t>. Personal Social Services Research Unit (PSSRU). Unit costs of health and social care (2016). Available at: http://www.pssru.ac.uk/project-pages/unit-costs/. Accessed: 23rd May 2017.</w:t>
      </w:r>
      <w:bookmarkEnd w:id="27"/>
    </w:p>
    <w:p w:rsidR="008A4DC2" w:rsidRDefault="00D36C5F" w:rsidP="008A4DC2">
      <w:pPr>
        <w:pStyle w:val="EndNoteBibliography"/>
      </w:pPr>
      <w:bookmarkStart w:id="28" w:name="_ENREF_40"/>
      <w:r>
        <w:t>45</w:t>
      </w:r>
      <w:r w:rsidR="008A4DC2" w:rsidRPr="001E7CAE">
        <w:t>. Department of Health. NHS reference costs (2015 to 2016). Available at: https://www.gov.uk/government/collections/nhs-reference-costs. Accessed: 23rd May 2017.</w:t>
      </w:r>
      <w:bookmarkEnd w:id="28"/>
    </w:p>
    <w:p w:rsidR="008A4DC2" w:rsidRPr="005D6EE6" w:rsidRDefault="003F6A14" w:rsidP="008A4DC2">
      <w:pPr>
        <w:pStyle w:val="EndNoteBibliography"/>
      </w:pPr>
      <w:bookmarkStart w:id="29" w:name="_ENREF_3"/>
      <w:r>
        <w:t>4</w:t>
      </w:r>
      <w:r w:rsidR="00D36C5F">
        <w:t>6</w:t>
      </w:r>
      <w:r w:rsidR="008A4DC2" w:rsidRPr="005D6EE6">
        <w:t xml:space="preserve">. National Institute for Health and Care Excellence (NICE). TA220: Golimumab for the treatment of psoriatic arthritis (2011). Available at: </w:t>
      </w:r>
      <w:r w:rsidR="008A4DC2" w:rsidRPr="00B621E1">
        <w:t>https://www.nice.org.uk/guidance/ta220</w:t>
      </w:r>
      <w:r w:rsidR="008A4DC2" w:rsidRPr="005D6EE6">
        <w:t>. Accessed: 16th May 2017.</w:t>
      </w:r>
      <w:bookmarkEnd w:id="29"/>
    </w:p>
    <w:p w:rsidR="001E7CAE" w:rsidRDefault="003F6A14" w:rsidP="008A4DC2">
      <w:pPr>
        <w:pStyle w:val="EndNoteBibliography"/>
      </w:pPr>
      <w:bookmarkStart w:id="30" w:name="_ENREF_13"/>
      <w:r>
        <w:t>4</w:t>
      </w:r>
      <w:r w:rsidR="00D36C5F">
        <w:t>7</w:t>
      </w:r>
      <w:r w:rsidR="008A4DC2" w:rsidRPr="005D6EE6">
        <w:t xml:space="preserve">. National Institute for Health and Care Excellence (NICE). TA445: Certolizumab pegol and secukinumab for treating active psoriatic arthritis after inadequate response to DMARDs (2017). Available at: </w:t>
      </w:r>
      <w:r w:rsidR="008A4DC2" w:rsidRPr="00B621E1">
        <w:t>https://www.nice.org.uk/guidance/ta445</w:t>
      </w:r>
      <w:r w:rsidR="008A4DC2" w:rsidRPr="005D6EE6">
        <w:t>. Accessed: 24th May 2017.</w:t>
      </w:r>
      <w:bookmarkEnd w:id="21"/>
      <w:bookmarkEnd w:id="30"/>
    </w:p>
    <w:sectPr w:rsidR="001E7CAE" w:rsidSect="00863A1E">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6526" w:rsidRDefault="00556526" w:rsidP="00503A8D">
      <w:r>
        <w:separator/>
      </w:r>
    </w:p>
  </w:endnote>
  <w:endnote w:type="continuationSeparator" w:id="0">
    <w:p w:rsidR="00556526" w:rsidRDefault="00556526" w:rsidP="00503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
    <w:altName w:val="Yu Gothic UI"/>
    <w:panose1 w:val="00000000000000000000"/>
    <w:charset w:val="80"/>
    <w:family w:val="auto"/>
    <w:notTrueType/>
    <w:pitch w:val="variable"/>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1"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5392525"/>
      <w:docPartObj>
        <w:docPartGallery w:val="Page Numbers (Bottom of Page)"/>
        <w:docPartUnique/>
      </w:docPartObj>
    </w:sdtPr>
    <w:sdtEndPr>
      <w:rPr>
        <w:noProof/>
      </w:rPr>
    </w:sdtEndPr>
    <w:sdtContent>
      <w:p w:rsidR="00556526" w:rsidRDefault="00556526">
        <w:pPr>
          <w:pStyle w:val="Footer"/>
          <w:jc w:val="right"/>
        </w:pPr>
        <w:r>
          <w:fldChar w:fldCharType="begin"/>
        </w:r>
        <w:r>
          <w:instrText xml:space="preserve"> PAGE   \* MERGEFORMAT </w:instrText>
        </w:r>
        <w:r>
          <w:fldChar w:fldCharType="separate"/>
        </w:r>
        <w:r w:rsidR="007E6620">
          <w:rPr>
            <w:noProof/>
          </w:rPr>
          <w:t>4</w:t>
        </w:r>
        <w:r>
          <w:rPr>
            <w:noProof/>
          </w:rPr>
          <w:fldChar w:fldCharType="end"/>
        </w:r>
      </w:p>
    </w:sdtContent>
  </w:sdt>
  <w:p w:rsidR="00556526" w:rsidRDefault="005565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6526" w:rsidRDefault="00556526" w:rsidP="00503A8D">
      <w:r>
        <w:separator/>
      </w:r>
    </w:p>
  </w:footnote>
  <w:footnote w:type="continuationSeparator" w:id="0">
    <w:p w:rsidR="00556526" w:rsidRDefault="00556526" w:rsidP="00503A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A48F5"/>
    <w:multiLevelType w:val="multilevel"/>
    <w:tmpl w:val="A80A1154"/>
    <w:lvl w:ilvl="0">
      <w:start w:val="1"/>
      <w:numFmt w:val="decimal"/>
      <w:pStyle w:val="Numberedheading"/>
      <w:lvlText w:val="%1."/>
      <w:lvlJc w:val="left"/>
      <w:pPr>
        <w:ind w:left="720" w:hanging="360"/>
      </w:pPr>
      <w:rPr>
        <w:rFonts w:hint="default"/>
      </w:rPr>
    </w:lvl>
    <w:lvl w:ilvl="1">
      <w:start w:val="1"/>
      <w:numFmt w:val="decimal"/>
      <w:pStyle w:val="Numberedsubheading"/>
      <w:lvlText w:val="%1.%2"/>
      <w:lvlJc w:val="left"/>
      <w:pPr>
        <w:ind w:left="1701" w:hanging="621"/>
      </w:pPr>
      <w:rPr>
        <w:rFonts w:hint="default"/>
      </w:rPr>
    </w:lvl>
    <w:lvl w:ilvl="2">
      <w:start w:val="1"/>
      <w:numFmt w:val="decimal"/>
      <w:pStyle w:val="Numberedsubheading2"/>
      <w:lvlText w:val="%1.%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495669B"/>
    <w:multiLevelType w:val="hybridMultilevel"/>
    <w:tmpl w:val="6AD4D6E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C24974"/>
    <w:multiLevelType w:val="hybridMultilevel"/>
    <w:tmpl w:val="98E035A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EA3092"/>
    <w:multiLevelType w:val="hybridMultilevel"/>
    <w:tmpl w:val="C420BC1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F03417"/>
    <w:multiLevelType w:val="hybridMultilevel"/>
    <w:tmpl w:val="2746F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321328"/>
    <w:multiLevelType w:val="hybridMultilevel"/>
    <w:tmpl w:val="6AD4D6E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BD1A23"/>
    <w:multiLevelType w:val="hybridMultilevel"/>
    <w:tmpl w:val="16C847C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5E1509"/>
    <w:multiLevelType w:val="hybridMultilevel"/>
    <w:tmpl w:val="F108473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0F1E51"/>
    <w:multiLevelType w:val="hybridMultilevel"/>
    <w:tmpl w:val="9CA26F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C90385"/>
    <w:multiLevelType w:val="hybridMultilevel"/>
    <w:tmpl w:val="69265F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FF4392A"/>
    <w:multiLevelType w:val="hybridMultilevel"/>
    <w:tmpl w:val="ED7649B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19A7DFA"/>
    <w:multiLevelType w:val="hybridMultilevel"/>
    <w:tmpl w:val="4E5ED74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CA323C"/>
    <w:multiLevelType w:val="hybridMultilevel"/>
    <w:tmpl w:val="B6A202A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7D90E0B"/>
    <w:multiLevelType w:val="hybridMultilevel"/>
    <w:tmpl w:val="902A231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8F3CC6"/>
    <w:multiLevelType w:val="hybridMultilevel"/>
    <w:tmpl w:val="8C4E152E"/>
    <w:lvl w:ilvl="0" w:tplc="E1786B4E">
      <w:start w:val="1"/>
      <w:numFmt w:val="bullet"/>
      <w:pStyle w:val="Manuscriptbodytex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922532"/>
    <w:multiLevelType w:val="hybridMultilevel"/>
    <w:tmpl w:val="328C9890"/>
    <w:lvl w:ilvl="0" w:tplc="10780880">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D0136B7"/>
    <w:multiLevelType w:val="hybridMultilevel"/>
    <w:tmpl w:val="892CE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124D41"/>
    <w:multiLevelType w:val="hybridMultilevel"/>
    <w:tmpl w:val="5258823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DD54076"/>
    <w:multiLevelType w:val="hybridMultilevel"/>
    <w:tmpl w:val="98E63090"/>
    <w:lvl w:ilvl="0" w:tplc="D68C621E">
      <w:start w:val="1"/>
      <w:numFmt w:val="bullet"/>
      <w:pStyle w:val="Style2"/>
      <w:lvlText w:val=""/>
      <w:lvlJc w:val="left"/>
      <w:pPr>
        <w:ind w:left="720" w:hanging="360"/>
      </w:pPr>
      <w:rPr>
        <w:rFonts w:ascii="Symbol" w:hAnsi="Symbol" w:hint="default"/>
      </w:rPr>
    </w:lvl>
    <w:lvl w:ilvl="1" w:tplc="C5FAAF9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2A0332"/>
    <w:multiLevelType w:val="hybridMultilevel"/>
    <w:tmpl w:val="A79A3492"/>
    <w:lvl w:ilvl="0" w:tplc="CE6EE250">
      <w:start w:val="1"/>
      <w:numFmt w:val="bullet"/>
      <w:pStyle w:val="Manuscriptoutline"/>
      <w:lvlText w:val=""/>
      <w:lvlJc w:val="left"/>
      <w:pPr>
        <w:ind w:left="720" w:hanging="360"/>
      </w:pPr>
      <w:rPr>
        <w:rFonts w:ascii="Symbol" w:hAnsi="Symbol" w:hint="default"/>
      </w:rPr>
    </w:lvl>
    <w:lvl w:ilvl="1" w:tplc="26D2A786">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BA5C68"/>
    <w:multiLevelType w:val="hybridMultilevel"/>
    <w:tmpl w:val="D2DE155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C62F5C"/>
    <w:multiLevelType w:val="hybridMultilevel"/>
    <w:tmpl w:val="DB4EE79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687A08"/>
    <w:multiLevelType w:val="hybridMultilevel"/>
    <w:tmpl w:val="AE962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A90288"/>
    <w:multiLevelType w:val="hybridMultilevel"/>
    <w:tmpl w:val="12B05F1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CB21BBC"/>
    <w:multiLevelType w:val="hybridMultilevel"/>
    <w:tmpl w:val="299CB20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E7D4FA8"/>
    <w:multiLevelType w:val="hybridMultilevel"/>
    <w:tmpl w:val="DF3C909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E7D5291"/>
    <w:multiLevelType w:val="hybridMultilevel"/>
    <w:tmpl w:val="CE4841E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8"/>
  </w:num>
  <w:num w:numId="3">
    <w:abstractNumId w:val="19"/>
  </w:num>
  <w:num w:numId="4">
    <w:abstractNumId w:val="24"/>
  </w:num>
  <w:num w:numId="5">
    <w:abstractNumId w:val="11"/>
  </w:num>
  <w:num w:numId="6">
    <w:abstractNumId w:val="17"/>
  </w:num>
  <w:num w:numId="7">
    <w:abstractNumId w:val="8"/>
  </w:num>
  <w:num w:numId="8">
    <w:abstractNumId w:val="13"/>
  </w:num>
  <w:num w:numId="9">
    <w:abstractNumId w:val="23"/>
  </w:num>
  <w:num w:numId="10">
    <w:abstractNumId w:val="5"/>
  </w:num>
  <w:num w:numId="11">
    <w:abstractNumId w:val="7"/>
  </w:num>
  <w:num w:numId="12">
    <w:abstractNumId w:val="3"/>
  </w:num>
  <w:num w:numId="13">
    <w:abstractNumId w:val="20"/>
  </w:num>
  <w:num w:numId="14">
    <w:abstractNumId w:val="21"/>
  </w:num>
  <w:num w:numId="15">
    <w:abstractNumId w:val="0"/>
  </w:num>
  <w:num w:numId="16">
    <w:abstractNumId w:val="9"/>
  </w:num>
  <w:num w:numId="17">
    <w:abstractNumId w:val="1"/>
  </w:num>
  <w:num w:numId="18">
    <w:abstractNumId w:val="15"/>
  </w:num>
  <w:num w:numId="19">
    <w:abstractNumId w:val="2"/>
  </w:num>
  <w:num w:numId="20">
    <w:abstractNumId w:val="12"/>
  </w:num>
  <w:num w:numId="21">
    <w:abstractNumId w:val="16"/>
  </w:num>
  <w:num w:numId="22">
    <w:abstractNumId w:val="4"/>
  </w:num>
  <w:num w:numId="23">
    <w:abstractNumId w:val="22"/>
  </w:num>
  <w:num w:numId="24">
    <w:abstractNumId w:val="10"/>
  </w:num>
  <w:num w:numId="25">
    <w:abstractNumId w:val="26"/>
  </w:num>
  <w:num w:numId="26">
    <w:abstractNumId w:val="25"/>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2B4"/>
    <w:rsid w:val="00093CA9"/>
    <w:rsid w:val="000A0B91"/>
    <w:rsid w:val="000A3B25"/>
    <w:rsid w:val="001014DF"/>
    <w:rsid w:val="00110FB9"/>
    <w:rsid w:val="00127A14"/>
    <w:rsid w:val="00162AE5"/>
    <w:rsid w:val="00181DEE"/>
    <w:rsid w:val="00191B0E"/>
    <w:rsid w:val="001A470D"/>
    <w:rsid w:val="001B4226"/>
    <w:rsid w:val="001C25D2"/>
    <w:rsid w:val="001C561F"/>
    <w:rsid w:val="001E7CAE"/>
    <w:rsid w:val="00201EA6"/>
    <w:rsid w:val="0023251A"/>
    <w:rsid w:val="00241388"/>
    <w:rsid w:val="002545F8"/>
    <w:rsid w:val="00280467"/>
    <w:rsid w:val="00291645"/>
    <w:rsid w:val="002B72B4"/>
    <w:rsid w:val="002C1A51"/>
    <w:rsid w:val="002C3B7C"/>
    <w:rsid w:val="002E2059"/>
    <w:rsid w:val="002F21A9"/>
    <w:rsid w:val="0032418C"/>
    <w:rsid w:val="00351499"/>
    <w:rsid w:val="003600A9"/>
    <w:rsid w:val="003639C6"/>
    <w:rsid w:val="003A001E"/>
    <w:rsid w:val="003A541D"/>
    <w:rsid w:val="003C7843"/>
    <w:rsid w:val="003D2253"/>
    <w:rsid w:val="003E4C4A"/>
    <w:rsid w:val="003F6A14"/>
    <w:rsid w:val="00426EA3"/>
    <w:rsid w:val="004923AF"/>
    <w:rsid w:val="00493D70"/>
    <w:rsid w:val="004A7849"/>
    <w:rsid w:val="004B21D9"/>
    <w:rsid w:val="005005E9"/>
    <w:rsid w:val="00503A8D"/>
    <w:rsid w:val="005079DC"/>
    <w:rsid w:val="0055278D"/>
    <w:rsid w:val="005533E1"/>
    <w:rsid w:val="00556526"/>
    <w:rsid w:val="005610ED"/>
    <w:rsid w:val="00567EA8"/>
    <w:rsid w:val="0058111F"/>
    <w:rsid w:val="00585367"/>
    <w:rsid w:val="005C1F5D"/>
    <w:rsid w:val="005F07A5"/>
    <w:rsid w:val="006E5331"/>
    <w:rsid w:val="00776918"/>
    <w:rsid w:val="00782952"/>
    <w:rsid w:val="007857FE"/>
    <w:rsid w:val="007E6620"/>
    <w:rsid w:val="007E6FBE"/>
    <w:rsid w:val="008432ED"/>
    <w:rsid w:val="00863A1E"/>
    <w:rsid w:val="008A4DC2"/>
    <w:rsid w:val="008B0295"/>
    <w:rsid w:val="008B04AE"/>
    <w:rsid w:val="008C7D2A"/>
    <w:rsid w:val="0092579E"/>
    <w:rsid w:val="00931210"/>
    <w:rsid w:val="009330B5"/>
    <w:rsid w:val="00957BE4"/>
    <w:rsid w:val="00967640"/>
    <w:rsid w:val="00970B70"/>
    <w:rsid w:val="009933C9"/>
    <w:rsid w:val="009A61F9"/>
    <w:rsid w:val="009E72C8"/>
    <w:rsid w:val="00A0735A"/>
    <w:rsid w:val="00A15F17"/>
    <w:rsid w:val="00A40925"/>
    <w:rsid w:val="00A52EA5"/>
    <w:rsid w:val="00A53996"/>
    <w:rsid w:val="00A5609B"/>
    <w:rsid w:val="00A836C2"/>
    <w:rsid w:val="00AC2D11"/>
    <w:rsid w:val="00AD45C9"/>
    <w:rsid w:val="00AD6CBC"/>
    <w:rsid w:val="00AE28A4"/>
    <w:rsid w:val="00AF1D24"/>
    <w:rsid w:val="00AF33FC"/>
    <w:rsid w:val="00AF75A2"/>
    <w:rsid w:val="00B351DE"/>
    <w:rsid w:val="00B41FED"/>
    <w:rsid w:val="00BB0C4B"/>
    <w:rsid w:val="00BD533E"/>
    <w:rsid w:val="00BF198C"/>
    <w:rsid w:val="00C10D27"/>
    <w:rsid w:val="00C27328"/>
    <w:rsid w:val="00C417C3"/>
    <w:rsid w:val="00C50394"/>
    <w:rsid w:val="00C5433B"/>
    <w:rsid w:val="00C600B1"/>
    <w:rsid w:val="00C6478F"/>
    <w:rsid w:val="00C65A47"/>
    <w:rsid w:val="00C848C9"/>
    <w:rsid w:val="00C8619A"/>
    <w:rsid w:val="00CD275B"/>
    <w:rsid w:val="00CF648E"/>
    <w:rsid w:val="00D36C5F"/>
    <w:rsid w:val="00DA744B"/>
    <w:rsid w:val="00DB2951"/>
    <w:rsid w:val="00DD4F87"/>
    <w:rsid w:val="00DD6503"/>
    <w:rsid w:val="00E10868"/>
    <w:rsid w:val="00E232CD"/>
    <w:rsid w:val="00E33F49"/>
    <w:rsid w:val="00E644E8"/>
    <w:rsid w:val="00E72818"/>
    <w:rsid w:val="00E75505"/>
    <w:rsid w:val="00EF1C75"/>
    <w:rsid w:val="00F31B68"/>
    <w:rsid w:val="00F47848"/>
    <w:rsid w:val="00F56648"/>
    <w:rsid w:val="00F65A61"/>
    <w:rsid w:val="00F70304"/>
    <w:rsid w:val="00F86FBD"/>
    <w:rsid w:val="00F91AB7"/>
    <w:rsid w:val="00FB1BEA"/>
    <w:rsid w:val="00FC58B1"/>
    <w:rsid w:val="00FF5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081C4"/>
  <w15:docId w15:val="{39F017AC-7596-4D6B-8F21-5470FFA0F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B72B4"/>
    <w:pPr>
      <w:spacing w:after="0" w:line="240" w:lineRule="auto"/>
    </w:pPr>
    <w:rPr>
      <w:rFonts w:ascii="Cambria" w:eastAsia="MS ??" w:hAnsi="Cambria" w:cs="Times New Roman"/>
      <w:sz w:val="24"/>
      <w:szCs w:val="24"/>
    </w:rPr>
  </w:style>
  <w:style w:type="paragraph" w:styleId="Heading1">
    <w:name w:val="heading 1"/>
    <w:basedOn w:val="Normal"/>
    <w:next w:val="Normal"/>
    <w:link w:val="Heading1Char"/>
    <w:rsid w:val="002B72B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72B4"/>
    <w:rPr>
      <w:rFonts w:asciiTheme="majorHAnsi" w:eastAsiaTheme="majorEastAsia" w:hAnsiTheme="majorHAnsi" w:cstheme="majorBidi"/>
      <w:b/>
      <w:bCs/>
      <w:color w:val="2F5496" w:themeColor="accent1" w:themeShade="BF"/>
      <w:sz w:val="28"/>
      <w:szCs w:val="28"/>
    </w:rPr>
  </w:style>
  <w:style w:type="table" w:styleId="TableGrid">
    <w:name w:val="Table Grid"/>
    <w:basedOn w:val="TableNormal"/>
    <w:rsid w:val="002B72B4"/>
    <w:pPr>
      <w:spacing w:after="0" w:line="240" w:lineRule="auto"/>
    </w:pPr>
    <w:rPr>
      <w:rFonts w:ascii="Cambria" w:eastAsia="MS ??" w:hAnsi="Cambria"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2B72B4"/>
    <w:rPr>
      <w:rFonts w:cs="Times New Roman"/>
      <w:color w:val="0000FF"/>
      <w:u w:val="single"/>
    </w:rPr>
  </w:style>
  <w:style w:type="paragraph" w:styleId="BalloonText">
    <w:name w:val="Balloon Text"/>
    <w:basedOn w:val="Normal"/>
    <w:link w:val="BalloonTextChar"/>
    <w:uiPriority w:val="99"/>
    <w:semiHidden/>
    <w:rsid w:val="002B72B4"/>
    <w:rPr>
      <w:rFonts w:ascii="Tahoma" w:hAnsi="Tahoma" w:cs="Tahoma"/>
      <w:sz w:val="16"/>
      <w:szCs w:val="16"/>
    </w:rPr>
  </w:style>
  <w:style w:type="character" w:customStyle="1" w:styleId="BalloonTextChar">
    <w:name w:val="Balloon Text Char"/>
    <w:basedOn w:val="DefaultParagraphFont"/>
    <w:link w:val="BalloonText"/>
    <w:uiPriority w:val="99"/>
    <w:semiHidden/>
    <w:rsid w:val="002B72B4"/>
    <w:rPr>
      <w:rFonts w:ascii="Tahoma" w:eastAsia="MS ??" w:hAnsi="Tahoma" w:cs="Tahoma"/>
      <w:sz w:val="16"/>
      <w:szCs w:val="16"/>
    </w:rPr>
  </w:style>
  <w:style w:type="character" w:styleId="CommentReference">
    <w:name w:val="annotation reference"/>
    <w:basedOn w:val="DefaultParagraphFont"/>
    <w:uiPriority w:val="99"/>
    <w:semiHidden/>
    <w:rsid w:val="002B72B4"/>
    <w:rPr>
      <w:rFonts w:cs="Times New Roman"/>
      <w:sz w:val="16"/>
      <w:szCs w:val="16"/>
    </w:rPr>
  </w:style>
  <w:style w:type="paragraph" w:styleId="CommentText">
    <w:name w:val="annotation text"/>
    <w:basedOn w:val="Normal"/>
    <w:link w:val="CommentTextChar"/>
    <w:uiPriority w:val="99"/>
    <w:rsid w:val="002B72B4"/>
    <w:rPr>
      <w:sz w:val="20"/>
      <w:szCs w:val="20"/>
    </w:rPr>
  </w:style>
  <w:style w:type="character" w:customStyle="1" w:styleId="CommentTextChar">
    <w:name w:val="Comment Text Char"/>
    <w:basedOn w:val="DefaultParagraphFont"/>
    <w:link w:val="CommentText"/>
    <w:uiPriority w:val="99"/>
    <w:rsid w:val="002B72B4"/>
    <w:rPr>
      <w:rFonts w:ascii="Cambria" w:eastAsia="MS ??" w:hAnsi="Cambria" w:cs="Times New Roman"/>
      <w:sz w:val="20"/>
      <w:szCs w:val="20"/>
    </w:rPr>
  </w:style>
  <w:style w:type="paragraph" w:styleId="CommentSubject">
    <w:name w:val="annotation subject"/>
    <w:basedOn w:val="CommentText"/>
    <w:next w:val="CommentText"/>
    <w:link w:val="CommentSubjectChar"/>
    <w:uiPriority w:val="99"/>
    <w:semiHidden/>
    <w:rsid w:val="002B72B4"/>
    <w:rPr>
      <w:b/>
      <w:bCs/>
    </w:rPr>
  </w:style>
  <w:style w:type="character" w:customStyle="1" w:styleId="CommentSubjectChar">
    <w:name w:val="Comment Subject Char"/>
    <w:basedOn w:val="CommentTextChar"/>
    <w:link w:val="CommentSubject"/>
    <w:uiPriority w:val="99"/>
    <w:semiHidden/>
    <w:rsid w:val="002B72B4"/>
    <w:rPr>
      <w:rFonts w:ascii="Cambria" w:eastAsia="MS ??" w:hAnsi="Cambria" w:cs="Times New Roman"/>
      <w:b/>
      <w:bCs/>
      <w:sz w:val="20"/>
      <w:szCs w:val="20"/>
    </w:rPr>
  </w:style>
  <w:style w:type="paragraph" w:styleId="Revision">
    <w:name w:val="Revision"/>
    <w:hidden/>
    <w:uiPriority w:val="99"/>
    <w:semiHidden/>
    <w:rsid w:val="002B72B4"/>
    <w:pPr>
      <w:spacing w:after="0" w:line="240" w:lineRule="auto"/>
    </w:pPr>
    <w:rPr>
      <w:rFonts w:ascii="Cambria" w:eastAsia="MS ??" w:hAnsi="Cambria" w:cs="Times New Roman"/>
      <w:sz w:val="24"/>
      <w:szCs w:val="24"/>
    </w:rPr>
  </w:style>
  <w:style w:type="paragraph" w:styleId="ListParagraph">
    <w:name w:val="List Paragraph"/>
    <w:basedOn w:val="Normal"/>
    <w:uiPriority w:val="99"/>
    <w:rsid w:val="002B72B4"/>
    <w:pPr>
      <w:ind w:left="720"/>
      <w:contextualSpacing/>
    </w:pPr>
  </w:style>
  <w:style w:type="paragraph" w:customStyle="1" w:styleId="Manuscriptbodytext">
    <w:name w:val="Manuscript body text"/>
    <w:basedOn w:val="Normal"/>
    <w:link w:val="ManuscriptbodytextChar"/>
    <w:rsid w:val="002B72B4"/>
    <w:pPr>
      <w:numPr>
        <w:numId w:val="1"/>
      </w:numPr>
      <w:spacing w:line="480" w:lineRule="auto"/>
      <w:outlineLvl w:val="0"/>
    </w:pPr>
    <w:rPr>
      <w:rFonts w:ascii="Tahoma" w:hAnsi="Tahoma" w:cs="Tahoma"/>
      <w:sz w:val="22"/>
      <w:szCs w:val="22"/>
      <w:lang w:val="en-US"/>
    </w:rPr>
  </w:style>
  <w:style w:type="character" w:customStyle="1" w:styleId="ManuscriptbodytextChar">
    <w:name w:val="Manuscript body text Char"/>
    <w:basedOn w:val="DefaultParagraphFont"/>
    <w:link w:val="Manuscriptbodytext"/>
    <w:rsid w:val="002B72B4"/>
    <w:rPr>
      <w:rFonts w:ascii="Tahoma" w:eastAsia="MS ??" w:hAnsi="Tahoma" w:cs="Tahoma"/>
      <w:lang w:val="en-US"/>
    </w:rPr>
  </w:style>
  <w:style w:type="paragraph" w:styleId="NormalWeb">
    <w:name w:val="Normal (Web)"/>
    <w:basedOn w:val="Normal"/>
    <w:link w:val="NormalWebChar"/>
    <w:uiPriority w:val="99"/>
    <w:unhideWhenUsed/>
    <w:rsid w:val="002B72B4"/>
    <w:pPr>
      <w:spacing w:before="100" w:beforeAutospacing="1" w:after="100" w:afterAutospacing="1"/>
    </w:pPr>
    <w:rPr>
      <w:rFonts w:ascii="Times New Roman" w:eastAsia="Times New Roman" w:hAnsi="Times New Roman"/>
      <w:lang w:eastAsia="en-GB"/>
    </w:rPr>
  </w:style>
  <w:style w:type="paragraph" w:styleId="Caption">
    <w:name w:val="caption"/>
    <w:basedOn w:val="ListParagraph"/>
    <w:next w:val="Normal"/>
    <w:uiPriority w:val="99"/>
    <w:unhideWhenUsed/>
    <w:qFormat/>
    <w:rsid w:val="002B72B4"/>
    <w:pPr>
      <w:keepNext/>
      <w:spacing w:after="120"/>
      <w:ind w:left="0"/>
      <w:contextualSpacing w:val="0"/>
    </w:pPr>
    <w:rPr>
      <w:rFonts w:ascii="Tahoma" w:hAnsi="Tahoma" w:cs="Tahoma"/>
      <w:b/>
      <w:sz w:val="22"/>
      <w:szCs w:val="22"/>
      <w:lang w:val="en-US"/>
    </w:rPr>
  </w:style>
  <w:style w:type="paragraph" w:styleId="Header">
    <w:name w:val="header"/>
    <w:basedOn w:val="Normal"/>
    <w:link w:val="HeaderChar"/>
    <w:uiPriority w:val="99"/>
    <w:unhideWhenUsed/>
    <w:rsid w:val="002B72B4"/>
    <w:pPr>
      <w:tabs>
        <w:tab w:val="center" w:pos="4513"/>
        <w:tab w:val="right" w:pos="9026"/>
      </w:tabs>
    </w:pPr>
  </w:style>
  <w:style w:type="character" w:customStyle="1" w:styleId="HeaderChar">
    <w:name w:val="Header Char"/>
    <w:basedOn w:val="DefaultParagraphFont"/>
    <w:link w:val="Header"/>
    <w:uiPriority w:val="99"/>
    <w:rsid w:val="002B72B4"/>
    <w:rPr>
      <w:rFonts w:ascii="Cambria" w:eastAsia="MS ??" w:hAnsi="Cambria" w:cs="Times New Roman"/>
      <w:sz w:val="24"/>
      <w:szCs w:val="24"/>
    </w:rPr>
  </w:style>
  <w:style w:type="paragraph" w:styleId="Footer">
    <w:name w:val="footer"/>
    <w:basedOn w:val="Normal"/>
    <w:link w:val="FooterChar"/>
    <w:uiPriority w:val="99"/>
    <w:unhideWhenUsed/>
    <w:rsid w:val="002B72B4"/>
    <w:pPr>
      <w:tabs>
        <w:tab w:val="center" w:pos="4513"/>
        <w:tab w:val="right" w:pos="9026"/>
      </w:tabs>
    </w:pPr>
  </w:style>
  <w:style w:type="character" w:customStyle="1" w:styleId="FooterChar">
    <w:name w:val="Footer Char"/>
    <w:basedOn w:val="DefaultParagraphFont"/>
    <w:link w:val="Footer"/>
    <w:uiPriority w:val="99"/>
    <w:rsid w:val="002B72B4"/>
    <w:rPr>
      <w:rFonts w:ascii="Cambria" w:eastAsia="MS ??" w:hAnsi="Cambria" w:cs="Times New Roman"/>
      <w:sz w:val="24"/>
      <w:szCs w:val="24"/>
    </w:rPr>
  </w:style>
  <w:style w:type="paragraph" w:customStyle="1" w:styleId="Default">
    <w:name w:val="Default"/>
    <w:uiPriority w:val="99"/>
    <w:rsid w:val="002B72B4"/>
    <w:pPr>
      <w:autoSpaceDE w:val="0"/>
      <w:autoSpaceDN w:val="0"/>
      <w:adjustRightInd w:val="0"/>
      <w:spacing w:after="0" w:line="240" w:lineRule="auto"/>
    </w:pPr>
    <w:rPr>
      <w:rFonts w:ascii="Minion Pro" w:eastAsia="MS ??" w:hAnsi="Minion Pro" w:cs="Minion Pro"/>
      <w:color w:val="000000"/>
      <w:sz w:val="24"/>
      <w:szCs w:val="24"/>
      <w:lang w:eastAsia="de-DE"/>
    </w:rPr>
  </w:style>
  <w:style w:type="character" w:customStyle="1" w:styleId="A12">
    <w:name w:val="A12"/>
    <w:uiPriority w:val="99"/>
    <w:rsid w:val="002B72B4"/>
    <w:rPr>
      <w:rFonts w:cs="Minion Pro"/>
      <w:color w:val="221E1F"/>
      <w:sz w:val="11"/>
      <w:szCs w:val="11"/>
    </w:rPr>
  </w:style>
  <w:style w:type="paragraph" w:customStyle="1" w:styleId="Style2">
    <w:name w:val="Style2"/>
    <w:basedOn w:val="ListParagraph"/>
    <w:link w:val="Style2Char"/>
    <w:uiPriority w:val="99"/>
    <w:rsid w:val="002B72B4"/>
    <w:pPr>
      <w:numPr>
        <w:numId w:val="2"/>
      </w:numPr>
      <w:autoSpaceDE w:val="0"/>
      <w:autoSpaceDN w:val="0"/>
      <w:adjustRightInd w:val="0"/>
      <w:spacing w:line="360" w:lineRule="auto"/>
    </w:pPr>
    <w:rPr>
      <w:rFonts w:ascii="Tahoma" w:eastAsia="Times New Roman" w:hAnsi="Tahoma" w:cs="Tahoma"/>
      <w:bCs/>
      <w:sz w:val="20"/>
      <w:szCs w:val="22"/>
      <w:lang w:val="en-US"/>
    </w:rPr>
  </w:style>
  <w:style w:type="character" w:customStyle="1" w:styleId="Style2Char">
    <w:name w:val="Style2 Char"/>
    <w:link w:val="Style2"/>
    <w:uiPriority w:val="99"/>
    <w:rsid w:val="002B72B4"/>
    <w:rPr>
      <w:rFonts w:ascii="Tahoma" w:eastAsia="Times New Roman" w:hAnsi="Tahoma" w:cs="Tahoma"/>
      <w:bCs/>
      <w:sz w:val="20"/>
      <w:lang w:val="en-US"/>
    </w:rPr>
  </w:style>
  <w:style w:type="paragraph" w:styleId="DocumentMap">
    <w:name w:val="Document Map"/>
    <w:basedOn w:val="Normal"/>
    <w:link w:val="DocumentMapChar"/>
    <w:uiPriority w:val="99"/>
    <w:semiHidden/>
    <w:unhideWhenUsed/>
    <w:rsid w:val="002B72B4"/>
    <w:rPr>
      <w:rFonts w:ascii="Tahoma" w:hAnsi="Tahoma" w:cs="Tahoma"/>
      <w:sz w:val="16"/>
      <w:szCs w:val="16"/>
    </w:rPr>
  </w:style>
  <w:style w:type="character" w:customStyle="1" w:styleId="DocumentMapChar">
    <w:name w:val="Document Map Char"/>
    <w:basedOn w:val="DefaultParagraphFont"/>
    <w:link w:val="DocumentMap"/>
    <w:uiPriority w:val="99"/>
    <w:semiHidden/>
    <w:rsid w:val="002B72B4"/>
    <w:rPr>
      <w:rFonts w:ascii="Tahoma" w:eastAsia="MS ??" w:hAnsi="Tahoma" w:cs="Tahoma"/>
      <w:sz w:val="16"/>
      <w:szCs w:val="16"/>
    </w:rPr>
  </w:style>
  <w:style w:type="paragraph" w:customStyle="1" w:styleId="Manuscripttitle">
    <w:name w:val="Manuscript title"/>
    <w:basedOn w:val="Heading1"/>
    <w:link w:val="ManuscripttitleChar"/>
    <w:qFormat/>
    <w:rsid w:val="002B72B4"/>
    <w:pPr>
      <w:spacing w:line="360" w:lineRule="auto"/>
    </w:pPr>
    <w:rPr>
      <w:rFonts w:ascii="Tahoma" w:eastAsia="Times New Roman" w:hAnsi="Tahoma" w:cs="Tahoma"/>
      <w:bCs w:val="0"/>
      <w:lang w:val="en-US"/>
    </w:rPr>
  </w:style>
  <w:style w:type="paragraph" w:customStyle="1" w:styleId="Manuscriptbody">
    <w:name w:val="Manuscript body"/>
    <w:basedOn w:val="NormalWeb"/>
    <w:link w:val="ManuscriptbodyChar"/>
    <w:qFormat/>
    <w:rsid w:val="002B72B4"/>
    <w:pPr>
      <w:spacing w:before="0" w:beforeAutospacing="0" w:line="360" w:lineRule="auto"/>
    </w:pPr>
    <w:rPr>
      <w:rFonts w:ascii="Tahoma" w:hAnsi="Tahoma"/>
      <w:lang w:eastAsia="ja-JP"/>
    </w:rPr>
  </w:style>
  <w:style w:type="character" w:customStyle="1" w:styleId="ManuscripttitleChar">
    <w:name w:val="Manuscript title Char"/>
    <w:basedOn w:val="Heading1Char"/>
    <w:link w:val="Manuscripttitle"/>
    <w:rsid w:val="002B72B4"/>
    <w:rPr>
      <w:rFonts w:ascii="Tahoma" w:eastAsia="Times New Roman" w:hAnsi="Tahoma" w:cs="Tahoma"/>
      <w:b/>
      <w:bCs w:val="0"/>
      <w:color w:val="2F5496" w:themeColor="accent1" w:themeShade="BF"/>
      <w:sz w:val="28"/>
      <w:szCs w:val="28"/>
      <w:lang w:val="en-US"/>
    </w:rPr>
  </w:style>
  <w:style w:type="paragraph" w:customStyle="1" w:styleId="Manuscriptbodytitle">
    <w:name w:val="Manuscript body title"/>
    <w:basedOn w:val="Manuscriptbodytext"/>
    <w:next w:val="Manuscriptbody"/>
    <w:link w:val="ManuscriptbodytitleChar"/>
    <w:qFormat/>
    <w:rsid w:val="002B72B4"/>
    <w:pPr>
      <w:numPr>
        <w:numId w:val="0"/>
      </w:numPr>
    </w:pPr>
    <w:rPr>
      <w:b/>
    </w:rPr>
  </w:style>
  <w:style w:type="character" w:customStyle="1" w:styleId="NormalWebChar">
    <w:name w:val="Normal (Web) Char"/>
    <w:basedOn w:val="DefaultParagraphFont"/>
    <w:link w:val="NormalWeb"/>
    <w:uiPriority w:val="99"/>
    <w:rsid w:val="002B72B4"/>
    <w:rPr>
      <w:rFonts w:ascii="Times New Roman" w:eastAsia="Times New Roman" w:hAnsi="Times New Roman" w:cs="Times New Roman"/>
      <w:sz w:val="24"/>
      <w:szCs w:val="24"/>
      <w:lang w:eastAsia="en-GB"/>
    </w:rPr>
  </w:style>
  <w:style w:type="character" w:customStyle="1" w:styleId="ManuscriptbodyChar">
    <w:name w:val="Manuscript body Char"/>
    <w:basedOn w:val="NormalWebChar"/>
    <w:link w:val="Manuscriptbody"/>
    <w:rsid w:val="002B72B4"/>
    <w:rPr>
      <w:rFonts w:ascii="Tahoma" w:eastAsia="Times New Roman" w:hAnsi="Tahoma" w:cs="Times New Roman"/>
      <w:sz w:val="24"/>
      <w:szCs w:val="24"/>
      <w:lang w:eastAsia="ja-JP"/>
    </w:rPr>
  </w:style>
  <w:style w:type="character" w:customStyle="1" w:styleId="ManuscriptbodytitleChar">
    <w:name w:val="Manuscript body title Char"/>
    <w:basedOn w:val="ManuscriptbodytextChar"/>
    <w:link w:val="Manuscriptbodytitle"/>
    <w:rsid w:val="002B72B4"/>
    <w:rPr>
      <w:rFonts w:ascii="Tahoma" w:eastAsia="MS ??" w:hAnsi="Tahoma" w:cs="Tahoma"/>
      <w:b/>
      <w:lang w:val="en-US"/>
    </w:rPr>
  </w:style>
  <w:style w:type="character" w:styleId="LineNumber">
    <w:name w:val="line number"/>
    <w:basedOn w:val="DefaultParagraphFont"/>
    <w:uiPriority w:val="99"/>
    <w:semiHidden/>
    <w:unhideWhenUsed/>
    <w:rsid w:val="002B72B4"/>
  </w:style>
  <w:style w:type="paragraph" w:customStyle="1" w:styleId="Manuscriptoutline">
    <w:name w:val="Manuscript outline"/>
    <w:basedOn w:val="Manuscriptbody"/>
    <w:link w:val="ManuscriptoutlineChar"/>
    <w:qFormat/>
    <w:rsid w:val="002B72B4"/>
    <w:pPr>
      <w:numPr>
        <w:numId w:val="3"/>
      </w:numPr>
    </w:pPr>
    <w:rPr>
      <w:lang w:val="en-US"/>
    </w:rPr>
  </w:style>
  <w:style w:type="character" w:customStyle="1" w:styleId="ManuscriptoutlineChar">
    <w:name w:val="Manuscript outline Char"/>
    <w:basedOn w:val="ManuscriptbodyChar"/>
    <w:link w:val="Manuscriptoutline"/>
    <w:rsid w:val="002B72B4"/>
    <w:rPr>
      <w:rFonts w:ascii="Tahoma" w:eastAsia="Times New Roman" w:hAnsi="Tahoma" w:cs="Times New Roman"/>
      <w:sz w:val="24"/>
      <w:szCs w:val="24"/>
      <w:lang w:val="en-US" w:eastAsia="ja-JP"/>
    </w:rPr>
  </w:style>
  <w:style w:type="paragraph" w:customStyle="1" w:styleId="EndNoteBibliographyTitle">
    <w:name w:val="EndNote Bibliography Title"/>
    <w:basedOn w:val="Normal"/>
    <w:link w:val="EndNoteBibliographyTitleChar"/>
    <w:rsid w:val="002B72B4"/>
    <w:pPr>
      <w:jc w:val="center"/>
    </w:pPr>
    <w:rPr>
      <w:noProof/>
      <w:lang w:val="en-US" w:eastAsia="ja-JP"/>
    </w:rPr>
  </w:style>
  <w:style w:type="character" w:customStyle="1" w:styleId="EndNoteBibliographyTitleChar">
    <w:name w:val="EndNote Bibliography Title Char"/>
    <w:basedOn w:val="ManuscriptbodyChar"/>
    <w:link w:val="EndNoteBibliographyTitle"/>
    <w:rsid w:val="002B72B4"/>
    <w:rPr>
      <w:rFonts w:ascii="Cambria" w:eastAsia="MS ??" w:hAnsi="Cambria" w:cs="Times New Roman"/>
      <w:noProof/>
      <w:sz w:val="24"/>
      <w:szCs w:val="24"/>
      <w:lang w:val="en-US" w:eastAsia="ja-JP"/>
    </w:rPr>
  </w:style>
  <w:style w:type="paragraph" w:customStyle="1" w:styleId="EndNoteBibliography">
    <w:name w:val="EndNote Bibliography"/>
    <w:basedOn w:val="Normal"/>
    <w:link w:val="EndNoteBibliographyChar"/>
    <w:rsid w:val="002B72B4"/>
    <w:rPr>
      <w:noProof/>
      <w:lang w:val="en-US" w:eastAsia="ja-JP"/>
    </w:rPr>
  </w:style>
  <w:style w:type="character" w:customStyle="1" w:styleId="EndNoteBibliographyChar">
    <w:name w:val="EndNote Bibliography Char"/>
    <w:basedOn w:val="ManuscriptbodyChar"/>
    <w:link w:val="EndNoteBibliography"/>
    <w:rsid w:val="002B72B4"/>
    <w:rPr>
      <w:rFonts w:ascii="Cambria" w:eastAsia="MS ??" w:hAnsi="Cambria" w:cs="Times New Roman"/>
      <w:noProof/>
      <w:sz w:val="24"/>
      <w:szCs w:val="24"/>
      <w:lang w:val="en-US" w:eastAsia="ja-JP"/>
    </w:rPr>
  </w:style>
  <w:style w:type="character" w:styleId="PlaceholderText">
    <w:name w:val="Placeholder Text"/>
    <w:basedOn w:val="DefaultParagraphFont"/>
    <w:uiPriority w:val="99"/>
    <w:semiHidden/>
    <w:rsid w:val="002B72B4"/>
    <w:rPr>
      <w:color w:val="808080"/>
    </w:rPr>
  </w:style>
  <w:style w:type="paragraph" w:customStyle="1" w:styleId="Manuscriptfootnote">
    <w:name w:val="Manuscript footnote"/>
    <w:basedOn w:val="Manuscriptbody"/>
    <w:link w:val="ManuscriptfootnoteChar"/>
    <w:qFormat/>
    <w:rsid w:val="002B72B4"/>
    <w:pPr>
      <w:spacing w:after="240" w:afterAutospacing="0" w:line="240" w:lineRule="auto"/>
      <w:contextualSpacing/>
    </w:pPr>
    <w:rPr>
      <w:sz w:val="18"/>
      <w:szCs w:val="18"/>
    </w:rPr>
  </w:style>
  <w:style w:type="paragraph" w:customStyle="1" w:styleId="Footnote">
    <w:name w:val="Footnote"/>
    <w:basedOn w:val="Normal"/>
    <w:link w:val="FootnoteChar"/>
    <w:rsid w:val="002B72B4"/>
    <w:rPr>
      <w:rFonts w:ascii="Arial" w:eastAsia="Times New Roman" w:hAnsi="Arial"/>
      <w:color w:val="1F497D"/>
      <w:sz w:val="18"/>
    </w:rPr>
  </w:style>
  <w:style w:type="character" w:customStyle="1" w:styleId="ManuscriptfootnoteChar">
    <w:name w:val="Manuscript footnote Char"/>
    <w:basedOn w:val="ManuscriptbodyChar"/>
    <w:link w:val="Manuscriptfootnote"/>
    <w:rsid w:val="002B72B4"/>
    <w:rPr>
      <w:rFonts w:ascii="Tahoma" w:eastAsia="Times New Roman" w:hAnsi="Tahoma" w:cs="Times New Roman"/>
      <w:sz w:val="18"/>
      <w:szCs w:val="18"/>
      <w:lang w:eastAsia="ja-JP"/>
    </w:rPr>
  </w:style>
  <w:style w:type="character" w:customStyle="1" w:styleId="FootnoteChar">
    <w:name w:val="Footnote Char"/>
    <w:basedOn w:val="DefaultParagraphFont"/>
    <w:link w:val="Footnote"/>
    <w:rsid w:val="002B72B4"/>
    <w:rPr>
      <w:rFonts w:ascii="Arial" w:eastAsia="Times New Roman" w:hAnsi="Arial" w:cs="Times New Roman"/>
      <w:color w:val="1F497D"/>
      <w:sz w:val="18"/>
      <w:szCs w:val="24"/>
    </w:rPr>
  </w:style>
  <w:style w:type="paragraph" w:customStyle="1" w:styleId="Tablecontent">
    <w:name w:val="Table content"/>
    <w:basedOn w:val="Normal"/>
    <w:link w:val="TablecontentChar"/>
    <w:rsid w:val="002B72B4"/>
    <w:pPr>
      <w:keepNext/>
      <w:spacing w:before="60" w:after="120"/>
    </w:pPr>
    <w:rPr>
      <w:rFonts w:ascii="Arial" w:eastAsia="Times New Roman" w:hAnsi="Arial"/>
      <w:color w:val="1F497D"/>
      <w:sz w:val="18"/>
      <w:szCs w:val="18"/>
    </w:rPr>
  </w:style>
  <w:style w:type="paragraph" w:customStyle="1" w:styleId="Tableheadingandfirstcolumn">
    <w:name w:val="Table heading and first column"/>
    <w:basedOn w:val="Tablecontent"/>
    <w:link w:val="TableheadingandfirstcolumnChar"/>
    <w:rsid w:val="002B72B4"/>
    <w:rPr>
      <w:b/>
    </w:rPr>
  </w:style>
  <w:style w:type="character" w:customStyle="1" w:styleId="TablecontentChar">
    <w:name w:val="Table content Char"/>
    <w:basedOn w:val="DefaultParagraphFont"/>
    <w:link w:val="Tablecontent"/>
    <w:rsid w:val="002B72B4"/>
    <w:rPr>
      <w:rFonts w:ascii="Arial" w:eastAsia="Times New Roman" w:hAnsi="Arial" w:cs="Times New Roman"/>
      <w:color w:val="1F497D"/>
      <w:sz w:val="18"/>
      <w:szCs w:val="18"/>
    </w:rPr>
  </w:style>
  <w:style w:type="character" w:customStyle="1" w:styleId="TableheadingandfirstcolumnChar">
    <w:name w:val="Table heading and first column Char"/>
    <w:basedOn w:val="TablecontentChar"/>
    <w:link w:val="Tableheadingandfirstcolumn"/>
    <w:rsid w:val="002B72B4"/>
    <w:rPr>
      <w:rFonts w:ascii="Arial" w:eastAsia="Times New Roman" w:hAnsi="Arial" w:cs="Times New Roman"/>
      <w:b/>
      <w:color w:val="1F497D"/>
      <w:sz w:val="18"/>
      <w:szCs w:val="18"/>
    </w:rPr>
  </w:style>
  <w:style w:type="paragraph" w:customStyle="1" w:styleId="Tablecontent-small">
    <w:name w:val="Table content - small"/>
    <w:basedOn w:val="Normal"/>
    <w:link w:val="Tablecontent-smallChar"/>
    <w:rsid w:val="002B72B4"/>
    <w:pPr>
      <w:tabs>
        <w:tab w:val="left" w:pos="567"/>
      </w:tabs>
      <w:spacing w:before="60" w:after="60"/>
    </w:pPr>
    <w:rPr>
      <w:rFonts w:ascii="Arial" w:eastAsia="Times New Roman" w:hAnsi="Arial" w:cs="Arial"/>
      <w:bCs/>
      <w:color w:val="1F4E79"/>
      <w:sz w:val="16"/>
      <w:szCs w:val="16"/>
      <w:lang w:eastAsia="en-GB"/>
    </w:rPr>
  </w:style>
  <w:style w:type="character" w:customStyle="1" w:styleId="Tablecontent-smallChar">
    <w:name w:val="Table content - small Char"/>
    <w:basedOn w:val="DefaultParagraphFont"/>
    <w:link w:val="Tablecontent-small"/>
    <w:rsid w:val="002B72B4"/>
    <w:rPr>
      <w:rFonts w:ascii="Arial" w:eastAsia="Times New Roman" w:hAnsi="Arial" w:cs="Arial"/>
      <w:bCs/>
      <w:color w:val="1F4E79"/>
      <w:sz w:val="16"/>
      <w:szCs w:val="16"/>
      <w:lang w:eastAsia="en-GB"/>
    </w:rPr>
  </w:style>
  <w:style w:type="paragraph" w:customStyle="1" w:styleId="Manuscripttableheading">
    <w:name w:val="Manuscript table heading"/>
    <w:basedOn w:val="Manuscriptbody"/>
    <w:link w:val="ManuscripttableheadingChar"/>
    <w:qFormat/>
    <w:rsid w:val="002B72B4"/>
    <w:pPr>
      <w:spacing w:after="120" w:afterAutospacing="0" w:line="240" w:lineRule="auto"/>
    </w:pPr>
    <w:rPr>
      <w:b/>
      <w:sz w:val="18"/>
      <w:szCs w:val="18"/>
    </w:rPr>
  </w:style>
  <w:style w:type="paragraph" w:customStyle="1" w:styleId="Manuscripttabletext">
    <w:name w:val="Manuscript table text"/>
    <w:basedOn w:val="Manuscripttableheading"/>
    <w:link w:val="ManuscripttabletextChar"/>
    <w:qFormat/>
    <w:rsid w:val="002B72B4"/>
    <w:rPr>
      <w:b w:val="0"/>
    </w:rPr>
  </w:style>
  <w:style w:type="character" w:customStyle="1" w:styleId="ManuscripttableheadingChar">
    <w:name w:val="Manuscript table heading Char"/>
    <w:basedOn w:val="ManuscriptbodyChar"/>
    <w:link w:val="Manuscripttableheading"/>
    <w:rsid w:val="002B72B4"/>
    <w:rPr>
      <w:rFonts w:ascii="Tahoma" w:eastAsia="Times New Roman" w:hAnsi="Tahoma" w:cs="Times New Roman"/>
      <w:b/>
      <w:sz w:val="18"/>
      <w:szCs w:val="18"/>
      <w:lang w:eastAsia="ja-JP"/>
    </w:rPr>
  </w:style>
  <w:style w:type="paragraph" w:customStyle="1" w:styleId="Tablenumbercontent">
    <w:name w:val="Table number content"/>
    <w:basedOn w:val="Tablecontent"/>
    <w:link w:val="TablenumbercontentChar"/>
    <w:rsid w:val="002B72B4"/>
    <w:pPr>
      <w:spacing w:after="60"/>
    </w:pPr>
    <w:rPr>
      <w:rFonts w:eastAsia="MS Mincho"/>
    </w:rPr>
  </w:style>
  <w:style w:type="character" w:customStyle="1" w:styleId="ManuscripttabletextChar">
    <w:name w:val="Manuscript table text Char"/>
    <w:basedOn w:val="ManuscripttableheadingChar"/>
    <w:link w:val="Manuscripttabletext"/>
    <w:rsid w:val="002B72B4"/>
    <w:rPr>
      <w:rFonts w:ascii="Tahoma" w:eastAsia="Times New Roman" w:hAnsi="Tahoma" w:cs="Times New Roman"/>
      <w:b w:val="0"/>
      <w:sz w:val="18"/>
      <w:szCs w:val="18"/>
      <w:lang w:eastAsia="ja-JP"/>
    </w:rPr>
  </w:style>
  <w:style w:type="character" w:customStyle="1" w:styleId="TablenumbercontentChar">
    <w:name w:val="Table number content Char"/>
    <w:basedOn w:val="TablecontentChar"/>
    <w:link w:val="Tablenumbercontent"/>
    <w:rsid w:val="002B72B4"/>
    <w:rPr>
      <w:rFonts w:ascii="Arial" w:eastAsia="MS Mincho" w:hAnsi="Arial" w:cs="Times New Roman"/>
      <w:color w:val="1F497D"/>
      <w:sz w:val="18"/>
      <w:szCs w:val="18"/>
    </w:rPr>
  </w:style>
  <w:style w:type="paragraph" w:customStyle="1" w:styleId="Tableheadingindent">
    <w:name w:val="Table heading indent"/>
    <w:basedOn w:val="Tableheadingandfirstcolumn"/>
    <w:link w:val="TableheadingindentChar"/>
    <w:rsid w:val="002B72B4"/>
    <w:pPr>
      <w:spacing w:after="0"/>
      <w:ind w:left="170"/>
    </w:pPr>
    <w:rPr>
      <w:b w:val="0"/>
    </w:rPr>
  </w:style>
  <w:style w:type="character" w:customStyle="1" w:styleId="TableheadingindentChar">
    <w:name w:val="Table heading indent Char"/>
    <w:basedOn w:val="TableheadingandfirstcolumnChar"/>
    <w:link w:val="Tableheadingindent"/>
    <w:rsid w:val="002B72B4"/>
    <w:rPr>
      <w:rFonts w:ascii="Arial" w:eastAsia="Times New Roman" w:hAnsi="Arial" w:cs="Times New Roman"/>
      <w:b w:val="0"/>
      <w:color w:val="1F497D"/>
      <w:sz w:val="18"/>
      <w:szCs w:val="18"/>
    </w:rPr>
  </w:style>
  <w:style w:type="character" w:customStyle="1" w:styleId="Mention1">
    <w:name w:val="Mention1"/>
    <w:basedOn w:val="DefaultParagraphFont"/>
    <w:uiPriority w:val="99"/>
    <w:semiHidden/>
    <w:unhideWhenUsed/>
    <w:rsid w:val="002B72B4"/>
    <w:rPr>
      <w:color w:val="2B579A"/>
      <w:shd w:val="clear" w:color="auto" w:fill="E6E6E6"/>
    </w:rPr>
  </w:style>
  <w:style w:type="paragraph" w:customStyle="1" w:styleId="Numberedheading">
    <w:name w:val="Numbered heading"/>
    <w:basedOn w:val="Manuscriptbodytitle"/>
    <w:link w:val="NumberedheadingChar"/>
    <w:qFormat/>
    <w:rsid w:val="002B72B4"/>
    <w:pPr>
      <w:pageBreakBefore/>
      <w:numPr>
        <w:numId w:val="15"/>
      </w:numPr>
    </w:pPr>
  </w:style>
  <w:style w:type="paragraph" w:customStyle="1" w:styleId="Numberedsubheading">
    <w:name w:val="Numbered subheading"/>
    <w:basedOn w:val="Manuscriptbodytitle"/>
    <w:link w:val="NumberedsubheadingChar"/>
    <w:qFormat/>
    <w:rsid w:val="002B72B4"/>
    <w:pPr>
      <w:numPr>
        <w:ilvl w:val="1"/>
        <w:numId w:val="15"/>
      </w:numPr>
      <w:ind w:left="924" w:hanging="567"/>
    </w:pPr>
  </w:style>
  <w:style w:type="character" w:customStyle="1" w:styleId="NumberedheadingChar">
    <w:name w:val="Numbered heading Char"/>
    <w:basedOn w:val="ManuscriptbodytitleChar"/>
    <w:link w:val="Numberedheading"/>
    <w:rsid w:val="002B72B4"/>
    <w:rPr>
      <w:rFonts w:ascii="Tahoma" w:eastAsia="MS ??" w:hAnsi="Tahoma" w:cs="Tahoma"/>
      <w:b/>
      <w:lang w:val="en-US"/>
    </w:rPr>
  </w:style>
  <w:style w:type="paragraph" w:customStyle="1" w:styleId="Numberedsubheading2">
    <w:name w:val="Numbered subheading 2"/>
    <w:basedOn w:val="Numberedsubheading"/>
    <w:link w:val="Numberedsubheading2Char"/>
    <w:qFormat/>
    <w:rsid w:val="002B72B4"/>
    <w:pPr>
      <w:numPr>
        <w:ilvl w:val="2"/>
      </w:numPr>
      <w:ind w:left="1264" w:hanging="340"/>
    </w:pPr>
    <w:rPr>
      <w:i/>
    </w:rPr>
  </w:style>
  <w:style w:type="character" w:customStyle="1" w:styleId="NumberedsubheadingChar">
    <w:name w:val="Numbered subheading Char"/>
    <w:basedOn w:val="ManuscriptbodytitleChar"/>
    <w:link w:val="Numberedsubheading"/>
    <w:rsid w:val="002B72B4"/>
    <w:rPr>
      <w:rFonts w:ascii="Tahoma" w:eastAsia="MS ??" w:hAnsi="Tahoma" w:cs="Tahoma"/>
      <w:b/>
      <w:lang w:val="en-US"/>
    </w:rPr>
  </w:style>
  <w:style w:type="character" w:customStyle="1" w:styleId="Numberedsubheading2Char">
    <w:name w:val="Numbered subheading 2 Char"/>
    <w:basedOn w:val="NumberedsubheadingChar"/>
    <w:link w:val="Numberedsubheading2"/>
    <w:rsid w:val="002B72B4"/>
    <w:rPr>
      <w:rFonts w:ascii="Tahoma" w:eastAsia="MS ??" w:hAnsi="Tahoma" w:cs="Tahoma"/>
      <w:b/>
      <w:i/>
      <w:lang w:val="en-US"/>
    </w:rPr>
  </w:style>
  <w:style w:type="character" w:customStyle="1" w:styleId="Mention2">
    <w:name w:val="Mention2"/>
    <w:basedOn w:val="DefaultParagraphFont"/>
    <w:uiPriority w:val="99"/>
    <w:semiHidden/>
    <w:unhideWhenUsed/>
    <w:rsid w:val="002B72B4"/>
    <w:rPr>
      <w:color w:val="2B579A"/>
      <w:shd w:val="clear" w:color="auto" w:fill="E6E6E6"/>
    </w:rPr>
  </w:style>
  <w:style w:type="character" w:styleId="FollowedHyperlink">
    <w:name w:val="FollowedHyperlink"/>
    <w:basedOn w:val="DefaultParagraphFont"/>
    <w:uiPriority w:val="99"/>
    <w:semiHidden/>
    <w:unhideWhenUsed/>
    <w:rsid w:val="002B72B4"/>
    <w:rPr>
      <w:color w:val="954F72" w:themeColor="followedHyperlink"/>
      <w:u w:val="single"/>
    </w:rPr>
  </w:style>
  <w:style w:type="character" w:customStyle="1" w:styleId="Mention3">
    <w:name w:val="Mention3"/>
    <w:basedOn w:val="DefaultParagraphFont"/>
    <w:uiPriority w:val="99"/>
    <w:semiHidden/>
    <w:unhideWhenUsed/>
    <w:rsid w:val="002B72B4"/>
    <w:rPr>
      <w:color w:val="2B579A"/>
      <w:shd w:val="clear" w:color="auto" w:fill="E6E6E6"/>
    </w:rPr>
  </w:style>
  <w:style w:type="character" w:customStyle="1" w:styleId="UnresolvedMention1">
    <w:name w:val="Unresolved Mention1"/>
    <w:basedOn w:val="DefaultParagraphFont"/>
    <w:uiPriority w:val="99"/>
    <w:semiHidden/>
    <w:unhideWhenUsed/>
    <w:rsid w:val="002B72B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9605746">
      <w:bodyDiv w:val="1"/>
      <w:marLeft w:val="0"/>
      <w:marRight w:val="0"/>
      <w:marTop w:val="0"/>
      <w:marBottom w:val="0"/>
      <w:divBdr>
        <w:top w:val="none" w:sz="0" w:space="0" w:color="auto"/>
        <w:left w:val="none" w:sz="0" w:space="0" w:color="auto"/>
        <w:bottom w:val="none" w:sz="0" w:space="0" w:color="auto"/>
        <w:right w:val="none" w:sz="0" w:space="0" w:color="auto"/>
      </w:divBdr>
    </w:div>
    <w:div w:id="206818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6FF90-7A09-4477-9345-039EF3B66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29</Pages>
  <Words>7070</Words>
  <Characters>40305</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Morten</dc:creator>
  <cp:keywords/>
  <dc:description/>
  <cp:lastModifiedBy>Peter Morten</cp:lastModifiedBy>
  <cp:revision>7</cp:revision>
  <dcterms:created xsi:type="dcterms:W3CDTF">2018-05-22T12:01:00Z</dcterms:created>
  <dcterms:modified xsi:type="dcterms:W3CDTF">2018-05-22T12:56:00Z</dcterms:modified>
</cp:coreProperties>
</file>