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0561B" w14:textId="77777777" w:rsidR="000152C9" w:rsidRPr="00BE037C" w:rsidRDefault="001A3B40" w:rsidP="005E13DA">
      <w:pPr>
        <w:spacing w:line="360" w:lineRule="auto"/>
        <w:rPr>
          <w:rFonts w:ascii="Arial" w:hAnsi="Arial" w:cs="Arial"/>
          <w:b/>
          <w:sz w:val="22"/>
        </w:rPr>
      </w:pPr>
      <w:r w:rsidRPr="00BE037C">
        <w:rPr>
          <w:rFonts w:ascii="Arial" w:hAnsi="Arial" w:cs="Arial"/>
          <w:b/>
          <w:sz w:val="22"/>
        </w:rPr>
        <w:t xml:space="preserve">Appendix </w:t>
      </w:r>
      <w:r w:rsidR="005A196D">
        <w:rPr>
          <w:rFonts w:ascii="Arial" w:hAnsi="Arial" w:cs="Arial"/>
          <w:b/>
          <w:sz w:val="22"/>
        </w:rPr>
        <w:t>C</w:t>
      </w:r>
      <w:r w:rsidRPr="00BE037C">
        <w:rPr>
          <w:rFonts w:ascii="Arial" w:hAnsi="Arial" w:cs="Arial"/>
          <w:b/>
          <w:sz w:val="22"/>
        </w:rPr>
        <w:t xml:space="preserve"> –</w:t>
      </w:r>
      <w:r w:rsidR="00BE037C">
        <w:rPr>
          <w:rFonts w:ascii="Arial" w:hAnsi="Arial" w:cs="Arial"/>
          <w:b/>
          <w:sz w:val="22"/>
        </w:rPr>
        <w:t xml:space="preserve"> </w:t>
      </w:r>
      <w:r w:rsidR="005A196D">
        <w:rPr>
          <w:rFonts w:ascii="Arial" w:hAnsi="Arial" w:cs="Arial"/>
          <w:b/>
          <w:sz w:val="22"/>
        </w:rPr>
        <w:t xml:space="preserve">Case study: </w:t>
      </w:r>
      <w:proofErr w:type="spellStart"/>
      <w:r w:rsidR="005A196D">
        <w:rPr>
          <w:rFonts w:ascii="Arial" w:hAnsi="Arial" w:cs="Arial"/>
          <w:b/>
          <w:sz w:val="22"/>
        </w:rPr>
        <w:t>Pembrolizumab</w:t>
      </w:r>
      <w:proofErr w:type="spellEnd"/>
    </w:p>
    <w:p w14:paraId="5FC43D45" w14:textId="77777777" w:rsidR="001A3B40" w:rsidRPr="005E13DA" w:rsidRDefault="001A3B40" w:rsidP="005E13DA">
      <w:pPr>
        <w:spacing w:line="360" w:lineRule="auto"/>
        <w:rPr>
          <w:rFonts w:ascii="Arial" w:hAnsi="Arial" w:cs="Arial"/>
          <w:sz w:val="22"/>
        </w:rPr>
      </w:pPr>
    </w:p>
    <w:p w14:paraId="066F7CD3" w14:textId="6898CF6C" w:rsidR="00A7049C" w:rsidRPr="00A06F51" w:rsidRDefault="006F225E" w:rsidP="00A7049C">
      <w:pPr>
        <w:pStyle w:val="Body"/>
        <w:spacing w:line="360" w:lineRule="auto"/>
        <w:contextualSpacing/>
        <w:rPr>
          <w:rFonts w:cs="Arial"/>
          <w:lang w:val="en-GB"/>
        </w:rPr>
      </w:pPr>
      <w:r>
        <w:t xml:space="preserve">We consider our findings </w:t>
      </w:r>
      <w:r w:rsidR="0080140C">
        <w:rPr>
          <w:rFonts w:cs="Arial"/>
          <w:lang w:val="en-GB"/>
        </w:rPr>
        <w:t xml:space="preserve">in the context of </w:t>
      </w:r>
      <w:r w:rsidR="00E76407">
        <w:rPr>
          <w:rFonts w:cs="Arial"/>
          <w:lang w:val="en-GB"/>
        </w:rPr>
        <w:t>a new type of regulatory approval</w:t>
      </w:r>
      <w:r w:rsidR="0080140C">
        <w:rPr>
          <w:rFonts w:cs="Arial"/>
          <w:lang w:val="en-GB"/>
        </w:rPr>
        <w:t xml:space="preserve"> for precision medicines in oncology that are </w:t>
      </w:r>
      <w:r w:rsidR="00E76407">
        <w:rPr>
          <w:rFonts w:cs="Arial"/>
          <w:lang w:val="en-GB"/>
        </w:rPr>
        <w:t xml:space="preserve">licensed for use in patients </w:t>
      </w:r>
      <w:r w:rsidR="00E76407" w:rsidRPr="00A06F51">
        <w:rPr>
          <w:rFonts w:cs="Arial"/>
          <w:lang w:val="en-GB"/>
        </w:rPr>
        <w:t xml:space="preserve">with </w:t>
      </w:r>
      <w:r w:rsidR="00E76407">
        <w:rPr>
          <w:rFonts w:cs="Arial"/>
          <w:lang w:val="en-GB"/>
        </w:rPr>
        <w:t xml:space="preserve">tumours containing </w:t>
      </w:r>
      <w:r w:rsidR="00E76407" w:rsidRPr="00A06F51">
        <w:rPr>
          <w:rFonts w:cs="Arial"/>
          <w:lang w:val="en-GB"/>
        </w:rPr>
        <w:t>a specific genetic marker, regardless of location (tissue/site agnostic or histology-independent indication)</w:t>
      </w:r>
      <w:r>
        <w:rPr>
          <w:rFonts w:cs="Arial"/>
          <w:lang w:val="en-GB"/>
        </w:rPr>
        <w:t>. A</w:t>
      </w:r>
      <w:r w:rsidR="00E76407">
        <w:rPr>
          <w:rFonts w:cs="Arial"/>
          <w:lang w:val="en-GB"/>
        </w:rPr>
        <w:t xml:space="preserve"> recent example is the license granted for</w:t>
      </w:r>
      <w:r w:rsidR="00A7049C" w:rsidRPr="00A06F51">
        <w:rPr>
          <w:rFonts w:cs="Arial"/>
          <w:lang w:val="en-GB"/>
        </w:rPr>
        <w:t xml:space="preserve"> </w:t>
      </w:r>
      <w:proofErr w:type="spellStart"/>
      <w:r w:rsidR="00A7049C" w:rsidRPr="00A06F51">
        <w:rPr>
          <w:rFonts w:cs="Arial"/>
          <w:lang w:val="en-GB"/>
        </w:rPr>
        <w:t>pembrolizumab</w:t>
      </w:r>
      <w:proofErr w:type="spellEnd"/>
      <w:r w:rsidR="00A7049C" w:rsidRPr="00A06F51">
        <w:rPr>
          <w:rFonts w:cs="Arial"/>
          <w:lang w:val="en-GB"/>
        </w:rPr>
        <w:t>, an oncological immunotherapy drug</w:t>
      </w:r>
      <w:r w:rsidR="00E76407">
        <w:rPr>
          <w:rFonts w:cs="Arial"/>
          <w:lang w:val="en-GB"/>
        </w:rPr>
        <w:t>,</w:t>
      </w:r>
      <w:r w:rsidR="00A7049C" w:rsidRPr="00A06F51">
        <w:rPr>
          <w:rFonts w:cs="Arial"/>
          <w:lang w:val="en-GB"/>
        </w:rPr>
        <w:t xml:space="preserve"> by the Federal Drug Administration in the United States for tumours </w:t>
      </w:r>
      <w:r w:rsidR="00ED5632">
        <w:rPr>
          <w:rFonts w:cs="Arial"/>
          <w:lang w:val="en-GB"/>
        </w:rPr>
        <w:t>[</w:t>
      </w:r>
      <w:r w:rsidR="0047798E">
        <w:rPr>
          <w:rFonts w:cs="Arial"/>
          <w:lang w:val="en-GB"/>
        </w:rPr>
        <w:t>8</w:t>
      </w:r>
      <w:r w:rsidR="00107F0E">
        <w:rPr>
          <w:rFonts w:cs="Arial"/>
          <w:lang w:val="en-GB"/>
        </w:rPr>
        <w:t>5</w:t>
      </w:r>
      <w:r w:rsidR="00ED5632">
        <w:rPr>
          <w:rFonts w:cs="Arial"/>
          <w:lang w:val="en-GB"/>
        </w:rPr>
        <w:t>]</w:t>
      </w:r>
      <w:r w:rsidR="00A7049C" w:rsidRPr="00A06F51">
        <w:rPr>
          <w:rFonts w:cs="Arial"/>
          <w:lang w:val="en-GB"/>
        </w:rPr>
        <w:t xml:space="preserve">. </w:t>
      </w:r>
      <w:r>
        <w:rPr>
          <w:rFonts w:cs="Arial"/>
          <w:lang w:val="en-GB"/>
        </w:rPr>
        <w:t xml:space="preserve">Figure A1 </w:t>
      </w:r>
      <w:r w:rsidR="00A7049C" w:rsidRPr="00A06F51">
        <w:rPr>
          <w:rFonts w:cs="Arial"/>
          <w:lang w:val="en-GB"/>
        </w:rPr>
        <w:t>outline</w:t>
      </w:r>
      <w:r>
        <w:rPr>
          <w:rFonts w:cs="Arial"/>
          <w:lang w:val="en-GB"/>
        </w:rPr>
        <w:t>s the</w:t>
      </w:r>
      <w:r w:rsidR="00A7049C" w:rsidRPr="00A06F51">
        <w:rPr>
          <w:rFonts w:cs="Arial"/>
          <w:lang w:val="en-GB"/>
        </w:rPr>
        <w:t xml:space="preserve"> potential implications of this</w:t>
      </w:r>
      <w:r>
        <w:rPr>
          <w:rFonts w:cs="Arial"/>
          <w:lang w:val="en-GB"/>
        </w:rPr>
        <w:t xml:space="preserve"> type of</w:t>
      </w:r>
      <w:r w:rsidR="00A7049C" w:rsidRPr="00A06F51">
        <w:rPr>
          <w:rFonts w:cs="Arial"/>
          <w:lang w:val="en-GB"/>
        </w:rPr>
        <w:t xml:space="preserve"> decision at each stage of the decision-making process, illustrating how some of these issues are already being encountered by decision-makers.</w:t>
      </w:r>
      <w:bookmarkStart w:id="0" w:name="_GoBack"/>
      <w:bookmarkEnd w:id="0"/>
    </w:p>
    <w:p w14:paraId="7E146EAF" w14:textId="77777777" w:rsidR="00A7049C" w:rsidRPr="00A06F51" w:rsidRDefault="00A7049C" w:rsidP="00A7049C">
      <w:pPr>
        <w:pStyle w:val="Caption"/>
        <w:keepNext/>
        <w:spacing w:line="360" w:lineRule="auto"/>
        <w:contextualSpacing/>
        <w:rPr>
          <w:lang w:val="en-GB"/>
        </w:rPr>
      </w:pPr>
    </w:p>
    <w:p w14:paraId="70E72D14" w14:textId="77777777" w:rsidR="00A7049C" w:rsidRPr="00A06F51" w:rsidRDefault="00A7049C" w:rsidP="00A7049C">
      <w:pPr>
        <w:pStyle w:val="Caption"/>
        <w:keepNext/>
        <w:spacing w:line="360" w:lineRule="auto"/>
        <w:contextualSpacing/>
        <w:rPr>
          <w:lang w:val="en-GB"/>
        </w:rPr>
      </w:pPr>
      <w:bookmarkStart w:id="1" w:name="_Ref4996267431"/>
      <w:r w:rsidRPr="00A06F51">
        <w:rPr>
          <w:lang w:val="en-GB"/>
        </w:rPr>
        <w:t xml:space="preserve">Figure </w:t>
      </w:r>
      <w:bookmarkEnd w:id="1"/>
      <w:r>
        <w:rPr>
          <w:lang w:val="en-GB"/>
        </w:rPr>
        <w:t>A1</w:t>
      </w:r>
      <w:r w:rsidRPr="00A06F51">
        <w:rPr>
          <w:lang w:val="en-GB"/>
        </w:rPr>
        <w:t>: Effect of histology-independent indications on health technology assessment process</w:t>
      </w:r>
    </w:p>
    <w:p w14:paraId="6FB93BB1" w14:textId="77777777" w:rsidR="00A7049C" w:rsidRPr="00A06F51" w:rsidRDefault="00A7049C" w:rsidP="00A7049C">
      <w:pPr>
        <w:pStyle w:val="Body"/>
        <w:spacing w:line="360" w:lineRule="auto"/>
        <w:contextualSpacing/>
        <w:rPr>
          <w:rFonts w:cs="Arial"/>
          <w:lang w:val="en-GB"/>
        </w:rPr>
      </w:pPr>
    </w:p>
    <w:p w14:paraId="3033F701" w14:textId="77777777" w:rsidR="00A7049C" w:rsidRPr="00A06F51" w:rsidRDefault="00A7049C" w:rsidP="00A7049C">
      <w:pPr>
        <w:pStyle w:val="Body"/>
        <w:spacing w:line="360" w:lineRule="auto"/>
        <w:contextualSpacing/>
        <w:rPr>
          <w:rFonts w:cs="Arial"/>
          <w:lang w:val="en-GB"/>
        </w:rPr>
      </w:pPr>
      <w:r w:rsidRPr="00A06F51">
        <w:rPr>
          <w:rFonts w:cs="Arial"/>
          <w:noProof/>
          <w:lang w:val="en-GB"/>
        </w:rPr>
        <w:drawing>
          <wp:inline distT="0" distB="0" distL="0" distR="0" wp14:anchorId="3780CB72" wp14:editId="63099FB7">
            <wp:extent cx="5727701" cy="3754163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37541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497A506" w14:textId="4E4F616B" w:rsidR="001A3B40" w:rsidRPr="005E13DA" w:rsidRDefault="001A3B40" w:rsidP="005E13DA">
      <w:pPr>
        <w:spacing w:line="360" w:lineRule="auto"/>
        <w:rPr>
          <w:rFonts w:ascii="Arial" w:hAnsi="Arial" w:cs="Arial"/>
          <w:sz w:val="22"/>
        </w:rPr>
      </w:pPr>
    </w:p>
    <w:sectPr w:rsidR="001A3B40" w:rsidRPr="005E13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460B5"/>
    <w:multiLevelType w:val="hybridMultilevel"/>
    <w:tmpl w:val="82D4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A3B40"/>
    <w:rsid w:val="000248DB"/>
    <w:rsid w:val="00066445"/>
    <w:rsid w:val="00107F0E"/>
    <w:rsid w:val="001A3B40"/>
    <w:rsid w:val="00433A37"/>
    <w:rsid w:val="0047798E"/>
    <w:rsid w:val="0049457C"/>
    <w:rsid w:val="00594F5E"/>
    <w:rsid w:val="005A196D"/>
    <w:rsid w:val="005E13DA"/>
    <w:rsid w:val="006F225E"/>
    <w:rsid w:val="0080140C"/>
    <w:rsid w:val="00A7049C"/>
    <w:rsid w:val="00B802D1"/>
    <w:rsid w:val="00BE037C"/>
    <w:rsid w:val="00CE1FC7"/>
    <w:rsid w:val="00E76407"/>
    <w:rsid w:val="00ED5632"/>
    <w:rsid w:val="00F41F9D"/>
    <w:rsid w:val="00FC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A7A6F"/>
  <w15:chartTrackingRefBased/>
  <w15:docId w15:val="{8633B6B9-743A-4980-BDB2-24A9F4D1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4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F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70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ody">
    <w:name w:val="Body"/>
    <w:rsid w:val="00A7049C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both"/>
    </w:pPr>
    <w:rPr>
      <w:rFonts w:ascii="Arial" w:eastAsia="Arial Unicode MS" w:hAnsi="Arial" w:cs="Arial Unicode MS"/>
      <w:color w:val="000000"/>
      <w:sz w:val="22"/>
      <w:u w:color="000000"/>
      <w:bdr w:val="nil"/>
      <w:lang w:val="de-DE" w:eastAsia="en-GB"/>
    </w:rPr>
  </w:style>
  <w:style w:type="paragraph" w:customStyle="1" w:styleId="Default">
    <w:name w:val="Default"/>
    <w:rsid w:val="00A704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bdr w:val="nil"/>
      <w:lang w:eastAsia="en-GB"/>
    </w:rPr>
  </w:style>
  <w:style w:type="paragraph" w:styleId="Caption">
    <w:name w:val="caption"/>
    <w:next w:val="Body"/>
    <w:rsid w:val="00A7049C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both"/>
    </w:pPr>
    <w:rPr>
      <w:rFonts w:ascii="Arial" w:eastAsia="Arial" w:hAnsi="Arial" w:cs="Arial"/>
      <w:color w:val="000000"/>
      <w:sz w:val="22"/>
      <w:u w:color="000000"/>
      <w:bdr w:val="nil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7049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color w:val="auto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49C"/>
    <w:rPr>
      <w:rFonts w:eastAsia="Arial Unicode MS" w:cs="Times New Roman"/>
      <w:color w:val="auto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A7049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4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Love-Koh</dc:creator>
  <cp:keywords/>
  <dc:description/>
  <cp:lastModifiedBy>James Love-Koh</cp:lastModifiedBy>
  <cp:revision>7</cp:revision>
  <dcterms:created xsi:type="dcterms:W3CDTF">2018-02-12T11:53:00Z</dcterms:created>
  <dcterms:modified xsi:type="dcterms:W3CDTF">2018-06-22T15:24:00Z</dcterms:modified>
</cp:coreProperties>
</file>