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B87" w:rsidRPr="00197DD0" w:rsidRDefault="00EE2B87" w:rsidP="00EE2B87">
      <w:r>
        <w:t xml:space="preserve">PharmacoEconomics. </w:t>
      </w:r>
      <w:r w:rsidRPr="00197DD0">
        <w:t>Accounting for Capacity Constraints in Economic Evaluations of Precision Medicine: a Systematic Review</w:t>
      </w:r>
      <w:r>
        <w:t>. Stuart J Wright, William Newman, Katherine Payne</w:t>
      </w:r>
    </w:p>
    <w:p w:rsidR="00EE2B87" w:rsidRDefault="00EE2B87" w:rsidP="00EE2B87"/>
    <w:p w:rsidR="00EE2B87" w:rsidRPr="00EE2B87" w:rsidRDefault="00EE2B87" w:rsidP="00DE7BA5">
      <w:r w:rsidRPr="00197DD0">
        <w:t>Correspondence to Stuart J Wright, Manchester Centre for Health Economics, Division of Population Health, Health Services Research &amp; Primary Care, The University of Manchester, Oxford Road, Manchester, M13 9PL, stuart.wright-2@manchester.ac.uk, 01613067970</w:t>
      </w:r>
      <w:bookmarkStart w:id="0" w:name="_GoBack"/>
      <w:bookmarkEnd w:id="0"/>
    </w:p>
    <w:p w:rsidR="00EE2B87" w:rsidRDefault="00EE2B87" w:rsidP="00DE7BA5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E7BA5" w:rsidRPr="00DE7BA5" w:rsidRDefault="00DE7BA5" w:rsidP="00DE7BA5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Supplementary Appendix 2: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Summary of identified systematic reviews of economic evaluations in precision medicine</w:t>
      </w:r>
    </w:p>
    <w:p w:rsidR="0049349C" w:rsidRDefault="00EE2B87"/>
    <w:p w:rsidR="00DE7BA5" w:rsidRDefault="00DE7BA5"/>
    <w:tbl>
      <w:tblPr>
        <w:tblW w:w="48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1"/>
        <w:gridCol w:w="892"/>
        <w:gridCol w:w="2797"/>
        <w:gridCol w:w="2797"/>
        <w:gridCol w:w="2797"/>
        <w:gridCol w:w="1188"/>
        <w:gridCol w:w="1409"/>
      </w:tblGrid>
      <w:tr w:rsidR="00DE7BA5" w:rsidRPr="00DE7BA5" w:rsidTr="002F2C83">
        <w:trPr>
          <w:trHeight w:val="530"/>
        </w:trPr>
        <w:tc>
          <w:tcPr>
            <w:tcW w:w="591" w:type="pct"/>
            <w:shd w:val="clear" w:color="auto" w:fill="auto"/>
            <w:vAlign w:val="bottom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Author</w:t>
            </w:r>
          </w:p>
        </w:tc>
        <w:tc>
          <w:tcPr>
            <w:tcW w:w="331" w:type="pct"/>
            <w:shd w:val="clear" w:color="auto" w:fill="auto"/>
            <w:vAlign w:val="bottom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Year</w:t>
            </w:r>
          </w:p>
        </w:tc>
        <w:tc>
          <w:tcPr>
            <w:tcW w:w="1038" w:type="pct"/>
            <w:vAlign w:val="bottom"/>
          </w:tcPr>
          <w:p w:rsidR="00DE7BA5" w:rsidRPr="00DE7BA5" w:rsidRDefault="00DE7BA5" w:rsidP="00865C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038" w:type="pct"/>
            <w:vAlign w:val="bottom"/>
          </w:tcPr>
          <w:p w:rsidR="00DE7BA5" w:rsidRPr="00DE7BA5" w:rsidRDefault="00DE7BA5" w:rsidP="00865C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Reported Health Condition</w:t>
            </w:r>
          </w:p>
        </w:tc>
        <w:tc>
          <w:tcPr>
            <w:tcW w:w="1038" w:type="pct"/>
            <w:shd w:val="clear" w:color="auto" w:fill="auto"/>
            <w:vAlign w:val="bottom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Databases Searched</w:t>
            </w:r>
          </w:p>
        </w:tc>
        <w:tc>
          <w:tcPr>
            <w:tcW w:w="441" w:type="pct"/>
            <w:shd w:val="clear" w:color="auto" w:fill="auto"/>
            <w:vAlign w:val="bottom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Studies included (n)</w:t>
            </w:r>
          </w:p>
        </w:tc>
        <w:tc>
          <w:tcPr>
            <w:tcW w:w="523" w:type="pct"/>
            <w:shd w:val="clear" w:color="auto" w:fill="auto"/>
            <w:vAlign w:val="bottom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Reference</w:t>
            </w:r>
            <w:r w:rsidRPr="00DE7BA5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Antoñanzas 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2012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Genetic tests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Cystic fibrosis; Breast, Colorectal, Ovarian, and Prostate cancer; Hereditary hemochromatosis; Down’s syndrome; Familial hypercholesterolemia; Thrombophilia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PubMed, Euronheed, University of York (HTA), DARE, NHS EED, Scopus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[1]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Assasi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2012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Predictive, diagnostic, or preventive tests, and genetic tests to guide treatment 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Hypercholesterolemia; Prenatal chromosome aberration; Lynch syndrome; Breast, Colorectal, and Non-small cell cancers; Hemochromatosis; Fragile X syndrome; Cytomegalovirus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Medline, Embase, Evidence Based Medicines’s HTA database, PubMed, Wiley’s Cochrane Library, HEED, CRDHTA database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[2]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Beaulieu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2010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Pharmacogenomic tests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Inflammatory bowel diseases; HIV; Thromboembolic diseases; Breast, Colorectal, and Non-small cell lung cancer.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PubMed, Web of Science, Embase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[3]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Berm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Pharmacogenetic and pharmacogenomic screening tests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Specific health conditions not reported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[4]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Blank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2010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Conventional and targeted therapies 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Metastatic breast cancer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Medline, PubMed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[5]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Bongers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2012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Third-generation therapies (docetaxel, gemcitabine,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paclitaxel, pemetrexed, vinorelbine)</w:t>
            </w:r>
          </w:p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Advanced non-small cell lung cancer 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PubMed, Embase, HEED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[6]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Carlson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et al.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2005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Genetic services (a disease that was primarily genetic or involved a genetic test)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Breast and Colorectal Cancer; Aneuploidies; Cystic fibrosis; Thrombophilia; Fetal anomalies; Hemochromatosis; Hypercholesterolemia; Hemoglobinopathy; Metabolism errors; Rheumatoid arthritis/Lupus 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PubMed, Proquest. LexisNexis, Expanded Academic Index, Harvard Review of Economic Analyses, PsycINFO, NICE, CCOHTA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[7]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Coate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et al.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2011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Agents that target EGFR, VGEF, and novel chemotherapy agents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Non-small cell lung cancer</w:t>
            </w:r>
          </w:p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PubMed, Medline, Google Scholar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[8]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D’Andrea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BRCA testing 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Breast and ovarian cancer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Medline, Scopus, HEED, EconLit, HTA, NHS EED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[9]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Degeling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et al.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Tests or prediction models to stratify patients into subgroups for screening, treatment targeting, or treatment monitoring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Breast, Lung, Colorectal, and Prostate cancer; Cardiovascular disease; HIV; Hepatitis C; Alzheimer’s disease; Atrial fibrillation; Neonatal disease; Rheumatoid arthritis; Depressive disorder, Type 2 diabetes; Acute myeloid leukemia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[10]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Djalalov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et al.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2011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Genetic tests or services to detect a heritable disease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Inflammatory bowel disease; Breast and Colorectal cancer; Long QT syndrome; Fragile X syndrome; Schizophrenia; Crohn’s disease; Cystic fibrosis; Hypertension; Nephropathy; Hemochromatosis; Learning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disability; Smoking cessation; Aneuploidy; Atrial fibrillation </w:t>
            </w:r>
          </w:p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PubMed, Medline, Proquest, LexisNexis, Expanded Academic Index, The Harvard Review of Economic Analyses, PsycINFO, NICE, CADTH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[11]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Doble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Companion diagnostics of targeted oncology therapies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Breast, Colorectal, and Lung cancer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Cochrane, Evidence Based Medicine Reviews, NHS EED, Embase, Medline, PubMed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[12]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Douglas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et al.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Population-wide and high-risk genetic screening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Lynch syndrome; Hereditary breast and ovarian cancer; Familial hypercholesterolemia, Romano-Ward long QT syndrome; Brugada syndrome; Hypertrophic cardiomyopathy; Dilated cardiomyopathy; MYH-associated polyposis; Multiple endocrine neoplasia type 2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[13]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Ferrusi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2009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Trastuzumab and HER2 testing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Breast cancer  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Biosis, Cochrane, HEED, CRD, Embase, EconLit, Medline, PubMed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[14]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Ferrusi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2011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Trastuzumab and HER2 testing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Breast cancer 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Biosis, Cochrane, CRD, Embase, EconLit, Medline, PubMed, HEED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[15]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Frank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et al.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2013a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Genomic sequencing technologies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Specific health conditions not reported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Deutsches Ärzteblatt, Biosis Previews, Cochrane Database of Systematic Reviews,</w:t>
            </w: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DAHTA-Datenbank, Embase, GMS,</w:t>
            </w: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GMS Meetings, Social SciSearch, Health Technology</w:t>
            </w: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Assessment Database, SciSearch, Krause &amp; Pachernegg</w:t>
            </w: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Verlagsdatenbank, Medline, NHS Economic Evaluation</w:t>
            </w: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Database, Thieme Verlagsdatenbank, and Thieme</w:t>
            </w: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Verlagsdatenbank PrePrint.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[16]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Frank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2013b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Certuximab and panitumumab with and without KRAS testing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Colorectal cancer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DIMDI, Medline, Biosis, GMS, DAHTA, Embase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[17]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Gavan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Explicit stratified approach to treatment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Rheumatoid Arthritis 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Medline, Embase, Web of Science, NHS EED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[18]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Giacomini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et al.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2003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Molecular genetic tests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Breast and ovarian cancer; Thromboembolic disease; Endocrine neoplasia; Hemochromatosis; Cystic fibrosis; Fragile X syndrome; Rheumatic fever; Toxin susceptibility 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Medline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[19]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Gonzalez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2015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Genetic testing and electrocardiogram testing for diagnosis</w:t>
            </w:r>
          </w:p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Long QT Syndrome 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Medline, Embase, CRD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[20]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Griffith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2004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Cancer genetic services 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Familial breast, ovarian, and colorectal cancer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British Medicine Journal Archive, BIDS, MEDLINE, HealthPromis, DARE, EED, HTA, Cambridge Scientific Abstracts, Econobase, CINAHL, ASSIA, British Library Catalogue, WorldCat, Resource Discovery Network, Cochrane library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[21]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Hatz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2014</w:t>
            </w: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Individualized medicine – “a therapeutic approach tailoring therapy for genetically defined subgroups of patients”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Breast, Colorectal, Lung, and Ovarian cancer; HIV, Hepatitis C; Atrial fibrillation; Thrombosis; Hypercholesterolemia; Hypertrophic cardiomyopathy; Long QT syndrome; Smoking cessation; Acute coronary syndrome; Nephropathies; Depression; Schizophrenia; Periodontal disease; Cystic fibrosis; Acute lymphoblastic leukemia; MYH-associated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polyposis; Epilepsy; Pulmonary fibrosis; Kidney failure; Cardiovascular disease; Hypertension 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Medline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84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[22]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Jarrett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2006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Genetic techniques and testing technologies used for the detection or treatment of diseases with known genetic causes or associations</w:t>
            </w:r>
          </w:p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Breast, Ovarian, and Colorectal cancer; Cystic fibrosis; Down’s syndrome; Remaining diseases not reported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PubMed, Embase, Econlit, NHS EED, Office of Health Economics HEED, NHS HTA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[23]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Lange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2014a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Targeted oncology therapies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Non-small cell lung cancer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Medline, Embase, SciSearch, Cochrane Central Register of Controlled Trials and Database of Systematic Reviews, DAHTA, Database of Abstracts of Reviews of Effects, HTA, NHS EED, SOMED, AMED, Biosis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[24]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Lange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2014b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Targeted oncology therapies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Colorectal cancer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Medline, Embase, SciSearch, Cochrane Central Register of Controlled Trials and Database of Abstracts of Reviews of Effects, DAHTA, HTA, NHS EED, SOMED, AMED, Biosis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[25]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Langer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2010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PET and CT-based strategies with invasive and non-invasive diagnostic strategies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Solitary pulmonary nodule; Malignant melanoma; Nasopharyngeal carcinoma; Ovarian, Colorectal, Head and neck, Breast, and Non-small cell lung cancer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Cochrane Library, DARE, Embase, HTA Database, NHS EED, PubMed, RePEc, Web of Science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[26]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Lansdorp-Vogelaar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2011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Colorectal cancer screening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Colorectal cancer</w:t>
            </w:r>
          </w:p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Medline, Embase, the Cost-Effectiveness Analysis Registry, British National Health Service Economic Evaluation Database, Lists of technology assessments of  the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Centers for Medicare and Medicaid Services </w:t>
            </w: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32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[27]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Lee et al.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2015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Genetic diagnosis for aneuploidy in all 24 chromosomes (PGD-A)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Aneuploidy in all 24 chromosomes (PGD-A)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Medline, Embase, Scopus, Cochrane Library, NHS EED, EconLit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[28]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Lieberthal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2013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Genomic testing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Breast cancer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PubMed, Google Scholar 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[29]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Meoni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2013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Genetic testing to guide treatment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Infectious diseases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PubMed, CRD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[30]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Nerich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Targeted and non-targeted drug therapies 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Breast cancer</w:t>
            </w:r>
          </w:p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Medline, Embase, PubMed, Cochrane Library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140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[31]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Oosterhoff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et al.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Biomarkers as a diagnostic (for diagnosis, staging, and as a companion diagnostic)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Colorectal, Lung, Renal, Thyroid, Breast, Endometrial, and Intra-abdominal cancer; Cardiovascular disease; Respiratory disease; Diabetes; Circulatory disease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PubMed, NHS EED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[32]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Parkinson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Trastuzumab 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HER2 positive metastatic breast cancer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Medline, Embase, Cochrane Database, EED and HTA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[33]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Payne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2009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TPMT testing for dosing of azathioprine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Crohn’s disease; Rheumatoid arthritis; Systemic lupus erythematous; Inflammatory bowel disease; Acute lymphoblastic leukemia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Medline, Embase, PsychInfo, HAPI, CINAHL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[34]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Philips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2004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Pharmacogenomic interventions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Deep vein thrombosis, Cancer, Viral infections 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</w:t>
            </w: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(Medline)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[35]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Plöthner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et al.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Targeted therapies using pharmacogenomic and pharmacogenetic testing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Epilepsy; Neuropathic pain; HIV; Inflammatory bowel disease; Rheumatoid arthritis; Systemic lupus erythematosus; Acute lymphoblastic leukemia; Breast, Colorectal, and Non-small cell lung cancer</w:t>
            </w:r>
          </w:p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E7BA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German Institute for Medical</w:t>
            </w: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Documentation and Information meta-database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[36]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Plumpton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Pharmacogenetic testing to prevent adverse drug reactions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Acute coronary syndrome; Atrial fibrillation; Acute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lymphoblastic leukemia; Crohn’s disease; Cardiovascular disease; Deep vein thrombosis; Inflammatory bowel disease; Major depressive disorder; Myocardial infarction; Colorectal cancer; Peripheral arterial disease; Pulmonary embolus; Rheumatoid arthritis; Stevens-Johnson syndrome; Systemic lupus erythematosus; Ulcerative colitis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Embase, Medline, NHS EED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[37]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Poonawalla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2015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Chemotherapeutic agents and targeted biologics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Ovarian cancer  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Medline, PubMed, Embase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[38]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Rogowski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2006</w:t>
            </w: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Genetic screening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Cystic fibrosis; Diabetes; Hereditary Breast and Ovarian cancer; Retinoblastoma; Familial hypercholesterolaemia; Hereditary haemochromatosis; Hereditary nonpolyposis colorectal carcinoma; Familial adenomatous polyposis colorectal cancer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PubMed, Biosys, Cochrane, DAHTA, Embase, IHTA, Medline, NHS-HTA-DARE, NHS-CRD-HTA, NHS-EED, SOMED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[39]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Smieliauskas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Targeted oral anti-cancer medications 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Breast cancer; Chronic myeloid leukemia; Gastrointestinal stromal tumor; Hepatocellular carcinoma; Non-small cell lung cancer; Renal cell cancer; Pancreatic cancer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PubMed, Cochrane Library, NIHR HTA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[40]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Stevanovic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et al.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2012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Risk prediction models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Cardiovascular disease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PubMed, NHS EED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[41]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Vegter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2008</w:t>
            </w: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Pharmacogenetic and pharmacogenomic screening programmes 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Specific health conditions not reported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PubMed, Embase, Web of Science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[42]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Vegter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at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2010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Pharmacogenetic and pharmacogenomic screening programmes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Thromboembolism; Atrial fibrillation; Dermatologic conditions; Rheumatologic conditions; Inflammatory bowel disease; Acute lymphoblastic leukemia; Hypercholesterolemia; Nephropathy; Chronic kidney disease; Schizophrenia; Breast, Colorectal, and Lung cancer; HIV; Rheumatoid arthritis; Hypertension; Cystic fibrosis; Thromboembolism; Major depressive disorder; Hepatitis C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[43]</w:t>
            </w:r>
          </w:p>
        </w:tc>
      </w:tr>
      <w:tr w:rsidR="00DE7BA5" w:rsidRPr="00DE7BA5" w:rsidTr="00DE7BA5"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Verhoef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 xml:space="preserve">et al. 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2010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Pharmacogenetic-guided dosing of coumarin therapy 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Atrial fibrillation, patients starting warfarin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PubMed, Embase, NHS EED, Web of Science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[44]</w:t>
            </w:r>
          </w:p>
        </w:tc>
      </w:tr>
      <w:tr w:rsidR="00DE7BA5" w:rsidRPr="00DE7BA5" w:rsidTr="00DE7BA5">
        <w:trPr>
          <w:trHeight w:val="70"/>
        </w:trPr>
        <w:tc>
          <w:tcPr>
            <w:tcW w:w="59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Wong </w:t>
            </w: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br/>
              <w:t>et al.</w:t>
            </w:r>
          </w:p>
        </w:tc>
        <w:tc>
          <w:tcPr>
            <w:tcW w:w="331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2010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Pharmacogenomics</w:t>
            </w:r>
          </w:p>
        </w:tc>
        <w:tc>
          <w:tcPr>
            <w:tcW w:w="1038" w:type="pct"/>
          </w:tcPr>
          <w:p w:rsidR="00DE7BA5" w:rsidRPr="00DE7BA5" w:rsidRDefault="00DE7BA5" w:rsidP="00865C4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Breast, Colon, and Lung cancer; Rheumatologic conditions; Gastrointestinal diseases; Thromboembolic conditions; HIV; Nicotine addiction; Nephropathy; Psychiatric conditions</w:t>
            </w:r>
          </w:p>
        </w:tc>
        <w:tc>
          <w:tcPr>
            <w:tcW w:w="1038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PubMed, NICE, Tufts CEA registry, CADTH</w:t>
            </w:r>
          </w:p>
        </w:tc>
        <w:tc>
          <w:tcPr>
            <w:tcW w:w="441" w:type="pct"/>
            <w:shd w:val="clear" w:color="auto" w:fill="auto"/>
          </w:tcPr>
          <w:p w:rsidR="00DE7BA5" w:rsidRPr="00DE7BA5" w:rsidRDefault="00DE7BA5" w:rsidP="00DE7BA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523" w:type="pct"/>
            <w:shd w:val="clear" w:color="auto" w:fill="auto"/>
          </w:tcPr>
          <w:p w:rsidR="00DE7BA5" w:rsidRPr="00DE7BA5" w:rsidRDefault="00DE7BA5" w:rsidP="00DE7BA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E7BA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[45]</w:t>
            </w:r>
          </w:p>
        </w:tc>
      </w:tr>
    </w:tbl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7BA5" w:rsidRPr="00DE7BA5" w:rsidRDefault="00DE7BA5" w:rsidP="00DE7BA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>References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DE7BA5">
        <w:rPr>
          <w:rFonts w:ascii="Times New Roman" w:eastAsia="Calibri" w:hAnsi="Times New Roman" w:cs="Times New Roman"/>
          <w:sz w:val="24"/>
          <w:szCs w:val="24"/>
          <w:lang w:val="en-US"/>
        </w:rPr>
        <w:t>ñ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tonanzas, F., Rodriguez-Ibeas, R., Hutter, M. F., Lorente, R., Juarez, C., &amp; Pinillos, M. Genetic testing in the European Union: does economic evaluation matter?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The European Journal of Health Economics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13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(5),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651–661 (2012)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Assasi, N., Schwartz, L., Tarride, J., Goeree, R., &amp; Xie, F. Economic Evaluations Conducted for Assessment of Genetic Testing Technologies: A Systematic Review.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Genetic Testing and Molecular Biomarker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16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(11)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>, 1322–1335 (2012)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Beaulieu, M., de Denus, S., &amp; Lachaine, J. Systematic review of pharmacoeconomic studies of pharmacogenomic tests.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Pharmacogenomics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11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(11)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>, 1573–1590 (2010)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Berm, E., de Looff, M., Wilffert, B., Boersma, C., Annemans ,L., Vegter, S., van Boven, J., Postma, M. Economic evaluations of pharmacogenetic and pharmacogenomic screening tests: A systematic review. Second update of the literature.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PLoS ONE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11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(1),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(2016)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Blank, P. R., Dedes, K. J., &amp; Szucs, T. D. Cost effectiveness of cytotoxic and targeted therapy for metastatic breast cancer: A critical and systematic review. </w:t>
      </w:r>
      <w:r w:rsidRPr="00DE7BA5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PharmacoEconomics</w:t>
      </w:r>
      <w:r w:rsidRPr="00DE7BA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28(8),</w:t>
      </w:r>
      <w:r w:rsidRPr="00DE7B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629-47</w:t>
      </w:r>
      <w:r w:rsidRPr="00DE7BA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(2010)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Bongers, M. L., Coupe, V. M. H., Jansma, E. P., Smit, E. F., &amp; Uyl-de Groot, C. A. Cost Effectiveness of Treatment With New Agents in Advanced Non-Small-Cell Lung Cancer A Systematic Review.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Pharmacoeconomics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30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(1),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17–34 (2012) 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Carlson, J. J., Henrikson, N. B., Veenstra, D. L., &amp; Ramsey, S. D. Economic analyses of human genetics services: A systematic review.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Genetics in Medicine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7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(8),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519–523 (2005)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Coate, L. E., &amp; Leighl, N. B. How affordable are targeted therapies in non-small cell lung cancer?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Current Treatment Options in Oncology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12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(1),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1–11 (2011)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D’Andrea, E., Marzuillo, C., De Vito, C., Di Marco, M., Pitini, E., Vacchio, M. R., &amp; Villari, P. Which BRCA genetic testing programs are ready for implementation in health care? A systematic review of economic evaluations.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Genetics in Medicine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18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1–10 (2016)</w:t>
      </w:r>
    </w:p>
    <w:p w:rsidR="00DE7BA5" w:rsidRPr="00DE7BA5" w:rsidRDefault="00DE7BA5" w:rsidP="00DE7BA5">
      <w:pPr>
        <w:numPr>
          <w:ilvl w:val="0"/>
          <w:numId w:val="29"/>
        </w:numPr>
        <w:spacing w:after="20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7BA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Degeling K.  Koffijberg H.  IJzerman M.J. A systematic review and checklist presenting the main challenges for health economic modeling in personalized medicine: towards implementing patient-level models. </w:t>
      </w:r>
      <w:r w:rsidRPr="00DE7BA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Expert Review of Pharmacoeconomics and Outcomes Research</w:t>
      </w:r>
      <w:r w:rsidRPr="00DE7BA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17(1), </w:t>
      </w:r>
      <w:r w:rsidRPr="00DE7BA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17-25 (2017)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Djalalov, S., Musa, Z., Mendelson, M., Siminovitch, K., &amp; Hoch, J. A review of economic evaluations of genetic testing services and interventions (2004–2009).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Genetics in Medicine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13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(2),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89–94 (2011)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Doble, B., Tan, M., Harris, A., &amp; Lorgelly, P. Modeling companion diagnostics in economic evaluations of targeted oncology therapies: systematic review and methodological checklist. </w:t>
      </w:r>
      <w:r w:rsidRPr="00DE7BA5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Expert Review of Molecular Diagnostics</w:t>
      </w:r>
      <w:r w:rsidRPr="00DE7BA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Calibri" w:hAnsi="Times New Roman" w:cs="Times New Roman"/>
          <w:b/>
          <w:iCs/>
          <w:sz w:val="24"/>
          <w:szCs w:val="24"/>
          <w:lang w:val="en-US"/>
        </w:rPr>
        <w:t>15</w:t>
      </w:r>
      <w:r w:rsidRPr="00DE7BA5">
        <w:rPr>
          <w:rFonts w:ascii="Times New Roman" w:eastAsia="Calibri" w:hAnsi="Times New Roman" w:cs="Times New Roman"/>
          <w:b/>
          <w:sz w:val="24"/>
          <w:szCs w:val="24"/>
          <w:lang w:val="en-US"/>
        </w:rPr>
        <w:t>(2),</w:t>
      </w:r>
      <w:r w:rsidRPr="00DE7BA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235–254 (2015)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Douglas, M. P., Ladabaum, U., Pletcher, M. J., Marshall, D. a., &amp; Phillips, K. A. Economic evidence on identifying clinically actionable findings with whole-genome sequencing: a scoping review.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Genetics in Medicine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18(2),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1–6 (2016)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Ferrusi, I. L., Marshall, D. A., Kulin, N. A., Leighl, N. B., &amp; Phillips, K. A. Looking back at 10 years of trastuzumab therapy: what is the role of HER2 testing? A systematic review of health economic analyses.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Personalized Medicine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6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(2),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193–215 (2009)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Ferrusi, I. L., Leighl, N. B., Kulin, N. a, &amp; Marshall, D. A. Do economic evaluations of targeted therapy provide support for decision makers?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Journal of Oncology Practice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7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(3 Suppl),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36s–45s (2011)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Frank, M., Prenzler, A., Eils, R., Graf von der Schulenburg, J.-M., Lander, E., Linton, L., Ness, B. Van. Genome sequencing: a systematic review of health economic evidence.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Health Economics Review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3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(1),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29 (2013a)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Frank, M., &amp; Mittendorf, T. Influence of pharmacogenomic profiling prior to pharmaceutical treatment in metastatic colorectal cancer on cost effectiveness: A systematic review.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PharmacoEconomics </w:t>
      </w:r>
      <w:r w:rsidRPr="00DE7BA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31(3), </w:t>
      </w:r>
      <w:r w:rsidRPr="00DE7B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215-28</w:t>
      </w:r>
      <w:r w:rsidRPr="00DE7BA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(2013b)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Gavan, S., Harrison, M., Iglesias, C., Barton, A., Manca, A., &amp; Payne, K. Economics of Stratified Medicine in Rheumatoid Arthritis.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Current Rheumatology Reports </w:t>
      </w:r>
      <w:r w:rsidRPr="00DE7BA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16(12),</w:t>
      </w:r>
      <w:r w:rsidRPr="00DE7B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468</w:t>
      </w:r>
      <w:r w:rsidRPr="00DE7BA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(2014)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Giacomini, M., Miller, F., &amp; O’Brien, B. J. Economic considerations for health insurance coverage of emerging genetic tests.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Community Genetics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6,</w:t>
      </w:r>
      <w:r w:rsidRPr="00DE7BA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61-73 (2003)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Gonzalez, F. M., Veneziano, M. A., Puggina, A., &amp; Boccia, S. A Systematic Review on the Cost-Effectiveness of Genetic and Electrocardiogram Testing for Long QT Syndrome in Infants and Young Adults.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Value in Health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18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(5),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700–708 (2015)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Griffith, G. L., Edwards, R. T., &amp; Gray, J. Cancer genetics services: a systematic review of the economic evidence and issues.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British Journal of Cancer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90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(9),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1697–703 (2004)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Hatz, M. H. M., Schremser, K., &amp; Rogowski, W. H. Is individualized medicine more cost-effective? A systematic review.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PharmacoEconomics </w:t>
      </w:r>
      <w:r w:rsidRPr="00DE7BA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32(5),</w:t>
      </w:r>
      <w:r w:rsidRPr="00DE7B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443-55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(2014)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Jarrett, J., &amp; Mugford, M. (2006). Genetic health technology and economic evaluation: A critical review.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Applied Health Economics and Health Policy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 xml:space="preserve">5(1), </w:t>
      </w:r>
      <w:r w:rsidRPr="00DE7BA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27-35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(2006)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Lange, A., Prenzler, A., Frank, M., Golpon, H., Welte, T., &amp; von der Schulenburg, J.-M. A systematic review of the cost-effectiveness of targeted therapies for metastatic non-small cell lung cancer (NSCLC).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BMC Pulmonary Medicine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14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(1),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192 (2014a)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Lange, A., Prenzler, A., Frank, M., Kirstein, M., Vogel, A., &amp; Von Der Schulenburg, J. M. A systematic review of cost-effectiveness of monoclonal antibodies for metastatic colorectal cancer.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European Journal of Cancer </w:t>
      </w:r>
      <w:r w:rsidRPr="00DE7BA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50(1),</w:t>
      </w:r>
      <w:r w:rsidRPr="00DE7B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40-49</w:t>
      </w:r>
      <w:r w:rsidRPr="00DE7BA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(2014b)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Langer, A. A systematic review of PET and PET/CT in oncology: a way to personalize cancer treatment in a cost-effective manner?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BMC Health Services Research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10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283 (2010)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Lansdorp-Vogelaar, I., Knudsen, A. B., &amp; Brenner, H. Cost-effectiveness of colorectal cancer screening.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Epidemiologic Reviews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33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(1),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88–100 (2011)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Lee, E., Illingworth, P., Wilton, L. &amp; Chambers, G. M. The clinical effectiveness of preimplantation genetic diagnosis for aneuploidy in all 24 chromosomes (PGD-A): systematic review. </w:t>
      </w:r>
      <w:r w:rsidRPr="00DE7BA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Human Reproduction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>. 30, 473–48310 (2015).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Lieberthal, R. D. Economics of genomic testing for women with breast cancer.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The American Journal of Managed Care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19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(12),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1024–31 (2013)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Meoni P. Economic evaluations of pharmacogenetic approaches in infectious diseases: A review of current approaches and evaluation of critical aspects affecting their quality.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Journal of Public Health in Africa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4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(2),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78–83 (2013)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Nerich, V., Saing, S., Gamper, E. M., Kemmler, G., Daval, F., Pivot, X., &amp; Holzner, B. Cost-utility analyses of drug therapies in breast cancer: a systematic review.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Breast Cancer Research and Treatment </w:t>
      </w:r>
      <w:r w:rsidRPr="00DE7BA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159(3),</w:t>
      </w:r>
      <w:r w:rsidRPr="00DE7B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407-24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(2016)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Oosterhoff, M., van der Maas, M. E., &amp; Steuten, L. M. G. A Systematic Review of Health Economic Evaluations of Diagnostic Biomarkers.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Applied Health Economics and Health Policy </w:t>
      </w:r>
      <w:r w:rsidRPr="00DE7BA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14(1),</w:t>
      </w:r>
      <w:r w:rsidRPr="00DE7B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51-65</w:t>
      </w:r>
      <w:r w:rsidRPr="00DE7BA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(2016)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Parkinson, B., Pearson, S.-A., &amp; Viney, R. Economic evaluations of trastuzumab in HER2-positive metastatic breast cancer: a systematic review and critique. </w:t>
      </w:r>
      <w:r w:rsidRPr="00DE7BA5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The European Journal of Health Economics</w:t>
      </w:r>
      <w:r w:rsidRPr="00DE7BA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15(1),</w:t>
      </w:r>
      <w:r w:rsidRPr="00DE7B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93-112</w:t>
      </w:r>
      <w:r w:rsidRPr="00DE7BA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(2013)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Payne, K., Newman, W. G., Gurwitz, D., Ibarreta, D., &amp; Phillips, K. A. TPMT testing in azathioprine: a “cost-effective use of healthcare resources”? </w:t>
      </w:r>
      <w:r w:rsidRPr="00DE7BA5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Personalized Medicine</w:t>
      </w:r>
      <w:r w:rsidRPr="00DE7BA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Calibri" w:hAnsi="Times New Roman" w:cs="Times New Roman"/>
          <w:b/>
          <w:iCs/>
          <w:sz w:val="24"/>
          <w:szCs w:val="24"/>
          <w:lang w:val="en-US"/>
        </w:rPr>
        <w:t>6</w:t>
      </w:r>
      <w:r w:rsidRPr="00DE7BA5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(1),</w:t>
      </w:r>
      <w:r w:rsidRPr="00DE7BA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103–113 (2009)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Phillips, K. A, &amp; Van Bebber, S. L. A systematic review of cost-effectiveness analyses of pharmacogenomic interventions.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Pharmacogenomics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5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(8),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1139–1149 (2004)</w:t>
      </w:r>
    </w:p>
    <w:p w:rsidR="00DE7BA5" w:rsidRPr="00DE7BA5" w:rsidRDefault="00DE7BA5" w:rsidP="00DE7BA5">
      <w:pPr>
        <w:numPr>
          <w:ilvl w:val="0"/>
          <w:numId w:val="29"/>
        </w:numPr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Plöthner M, Ribbentrop D, Hartman J-P, Frank M. Cost-Effectiveness of Pharmacogenomic and Pharmacogenetic Test-Guided Personalized Therapies: A Systematic Review of the Approved Active Substances for Personalized Medicine in Germany. 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Advances in Therapy 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/>
        </w:rPr>
        <w:t>33(9),</w:t>
      </w:r>
      <w:r w:rsidRPr="00DE7B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1461-1480 (2016)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Plumpton, C. O., Roberts, D., Pirmohamed, M., &amp; Hughes, D. A.  A Systematic Review of Economic Evaluations of Pharmacogenetic Testing for Prevention of Adverse Drug Reactions.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PharmacoEconomics </w:t>
      </w:r>
      <w:r w:rsidRPr="00DE7BA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34(8),</w:t>
      </w:r>
      <w:r w:rsidRPr="00DE7B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771-93</w:t>
      </w:r>
      <w:r w:rsidRPr="00DE7BA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(2016)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Poonawalla, I. B., Parikh, R. C., Du, X. L., VonVille, H. M., &amp; Lairson, D. R. Cost Effectiveness of Chemotherapeutic Agents and Targeted Biologics in Ovarian Cancer: A Systematic Review.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PharmacoEconomics</w:t>
      </w:r>
      <w:r w:rsidRPr="00DE7BA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33(11),</w:t>
      </w:r>
      <w:r w:rsidRPr="00DE7B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1155-85</w:t>
      </w:r>
      <w:r w:rsidRPr="00DE7BA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(2015)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Rogowski, W. Genetic screening by DNA technology: a systematic review of health economic evidence.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International Journal of Technology Assessment in Health Care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22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(3),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327–337 (2006)</w:t>
      </w:r>
    </w:p>
    <w:p w:rsidR="00DE7BA5" w:rsidRPr="00DE7BA5" w:rsidRDefault="00DE7BA5" w:rsidP="00DE7BA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Smieliauskas, F., Chien, C. R., Shen, C., Geynisman, D. M., &amp; Shih, Y. C. T. Cost-effectiveness analyses of targeted oral anti-cancer drugs: A systematic review.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PharmacoEconomics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32(7),</w:t>
      </w:r>
      <w:r w:rsidRPr="00DE7B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651-80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(2014)</w:t>
      </w:r>
    </w:p>
    <w:p w:rsidR="00DE7BA5" w:rsidRPr="00DE7BA5" w:rsidRDefault="00EE2B87" w:rsidP="00DE7BA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48" w:lineRule="atLeas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5" w:history="1">
        <w:r w:rsidR="00DE7BA5" w:rsidRPr="00DE7BA5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Stevanovic J</w:t>
        </w:r>
      </w:hyperlink>
      <w:r w:rsidR="00DE7BA5"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>., </w:t>
      </w:r>
      <w:hyperlink r:id="rId6" w:history="1">
        <w:r w:rsidR="00DE7BA5" w:rsidRPr="00DE7BA5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Postma MJ</w:t>
        </w:r>
      </w:hyperlink>
      <w:r w:rsidR="00DE7BA5"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&amp; </w:t>
      </w:r>
      <w:hyperlink r:id="rId7" w:history="1">
        <w:r w:rsidR="00DE7BA5" w:rsidRPr="00DE7BA5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Pechlivanoglou P</w:t>
        </w:r>
      </w:hyperlink>
      <w:r w:rsidR="00DE7BA5"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A systematic review on the application of cardiovascular risk prediction models in pharmacoeconomics, with a focus on primary prevention. </w:t>
      </w:r>
      <w:hyperlink r:id="rId8" w:tooltip="European journal of preventive cardiology." w:history="1">
        <w:r w:rsidR="00DE7BA5" w:rsidRPr="00DE7BA5">
          <w:rPr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European</w:t>
        </w:r>
      </w:hyperlink>
      <w:r w:rsidR="00DE7BA5" w:rsidRPr="00DE7BA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Journal of Preventative Cardiology</w:t>
      </w:r>
      <w:r w:rsidR="00DE7BA5"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DE7BA5"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19(2),</w:t>
      </w:r>
      <w:r w:rsidR="00DE7BA5"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42-53 (2012)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Vegter, S., Boersma, C., Rozenbaum, M., Wilffert, B., Navis, G. J., &amp; Postma, M. J. Pharmacoeconomic evaluations of pharmacogenetic and genomic screening programmes: A systematic review on content and adherence to guidelines.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PharmacoEconomics</w:t>
      </w:r>
      <w:r w:rsidRPr="00DE7BA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26(7),</w:t>
      </w:r>
      <w:r w:rsidRPr="00DE7B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569-87</w:t>
      </w:r>
      <w:r w:rsidRPr="00DE7BA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(2008)</w:t>
      </w:r>
    </w:p>
    <w:p w:rsidR="00DE7BA5" w:rsidRPr="00DE7BA5" w:rsidRDefault="00DE7BA5" w:rsidP="00DE7BA5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Vegter, S., Jansen, E., Postma, M. J., &amp; Boersma, C. Economic evaluations of pharmacogenetic and genomic screening programs: Update of the literature.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Drug Development Research</w:t>
      </w:r>
      <w:r w:rsidRPr="00DE7BA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  <w:t>71,</w:t>
      </w:r>
      <w:r w:rsidRPr="00DE7BA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492–501</w:t>
      </w:r>
      <w:r w:rsidRPr="00DE7BA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(2010)</w:t>
      </w:r>
    </w:p>
    <w:p w:rsidR="00DE7BA5" w:rsidRPr="00DE7BA5" w:rsidRDefault="00DE7BA5" w:rsidP="00DE7BA5">
      <w:pPr>
        <w:numPr>
          <w:ilvl w:val="0"/>
          <w:numId w:val="29"/>
        </w:numPr>
        <w:shd w:val="clear" w:color="auto" w:fill="FFFFFF"/>
        <w:spacing w:before="120" w:beforeAutospacing="1" w:after="120" w:afterAutospacing="1" w:line="300" w:lineRule="atLeast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Verhoef, T. I., et al., A systematic review of cost-effectiveness analyses of pharmacogenetic-guided dosing in treatment with coumarin derivatives.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Pharmacogenomics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11</w:t>
      </w:r>
      <w:r w:rsidRPr="00DE7BA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(7),</w:t>
      </w: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989–1002 (2010)</w:t>
      </w:r>
    </w:p>
    <w:p w:rsidR="00DE7BA5" w:rsidRPr="00DE7BA5" w:rsidRDefault="00DE7BA5" w:rsidP="00DE7BA5">
      <w:pPr>
        <w:numPr>
          <w:ilvl w:val="0"/>
          <w:numId w:val="29"/>
        </w:numPr>
        <w:shd w:val="clear" w:color="auto" w:fill="FFFFFF"/>
        <w:spacing w:before="120" w:beforeAutospacing="1" w:after="120" w:afterAutospacing="1" w:line="300" w:lineRule="atLeast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DE7BA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Wong, W. B., Carlson, J. J., Thariani, R., &amp; Veenstra, D. L. Cost effectiveness of pharmacogenomics: A critical and systematic review. </w:t>
      </w:r>
      <w:r w:rsidRPr="00DE7BA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PharmacoEconomics</w:t>
      </w:r>
      <w:r w:rsidRPr="00DE7BA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r w:rsidRPr="00DE7B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28(11), 1001-13</w:t>
      </w:r>
      <w:r w:rsidRPr="00DE7BA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(2010)</w:t>
      </w:r>
    </w:p>
    <w:p w:rsidR="00DE7BA5" w:rsidRDefault="00DE7BA5"/>
    <w:sectPr w:rsidR="00DE7BA5" w:rsidSect="00DE7BA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Semi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Helvetica 45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 Premr Pro">
    <w:altName w:val="Garamond Premr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E704F"/>
    <w:multiLevelType w:val="singleLevel"/>
    <w:tmpl w:val="C53037A2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3FD28E4"/>
    <w:multiLevelType w:val="hybridMultilevel"/>
    <w:tmpl w:val="DDC09B14"/>
    <w:lvl w:ilvl="0" w:tplc="69D0B46A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247324"/>
    <w:multiLevelType w:val="singleLevel"/>
    <w:tmpl w:val="EFBECC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A0B0BE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B75470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8137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E5174F3"/>
    <w:multiLevelType w:val="singleLevel"/>
    <w:tmpl w:val="B746A38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103E41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3C646D5"/>
    <w:multiLevelType w:val="singleLevel"/>
    <w:tmpl w:val="16ECA86C"/>
    <w:lvl w:ilvl="0">
      <w:start w:val="2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B42734E"/>
    <w:multiLevelType w:val="multilevel"/>
    <w:tmpl w:val="7D8C08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2F5888"/>
    <w:multiLevelType w:val="singleLevel"/>
    <w:tmpl w:val="4A56195A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8D93CF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E386729"/>
    <w:multiLevelType w:val="singleLevel"/>
    <w:tmpl w:val="B5AADC7C"/>
    <w:lvl w:ilvl="0">
      <w:start w:val="1"/>
      <w:numFmt w:val="upperLetter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3" w15:restartNumberingAfterBreak="0">
    <w:nsid w:val="35B52C4C"/>
    <w:multiLevelType w:val="hybridMultilevel"/>
    <w:tmpl w:val="30E4155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D54B6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2D47FEC"/>
    <w:multiLevelType w:val="singleLevel"/>
    <w:tmpl w:val="86502BA4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48DC51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B5F41FA"/>
    <w:multiLevelType w:val="hybridMultilevel"/>
    <w:tmpl w:val="534AAA9E"/>
    <w:lvl w:ilvl="0" w:tplc="BDDAD6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B46F4"/>
    <w:multiLevelType w:val="singleLevel"/>
    <w:tmpl w:val="6DF4BE3A"/>
    <w:lvl w:ilvl="0">
      <w:start w:val="1"/>
      <w:numFmt w:val="upp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19" w15:restartNumberingAfterBreak="0">
    <w:nsid w:val="53DF47C7"/>
    <w:multiLevelType w:val="singleLevel"/>
    <w:tmpl w:val="A9D4BFA8"/>
    <w:lvl w:ilvl="0">
      <w:start w:val="1"/>
      <w:numFmt w:val="upperLetter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0" w15:restartNumberingAfterBreak="0">
    <w:nsid w:val="5AE96FDA"/>
    <w:multiLevelType w:val="singleLevel"/>
    <w:tmpl w:val="B77A4344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68106A4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94B2BBC"/>
    <w:multiLevelType w:val="hybridMultilevel"/>
    <w:tmpl w:val="147A0E6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7D0E2E"/>
    <w:multiLevelType w:val="singleLevel"/>
    <w:tmpl w:val="63BCAC1A"/>
    <w:lvl w:ilvl="0">
      <w:start w:val="18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6EA159E5"/>
    <w:multiLevelType w:val="multilevel"/>
    <w:tmpl w:val="D8BE8A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7922DF"/>
    <w:multiLevelType w:val="singleLevel"/>
    <w:tmpl w:val="FB06B72C"/>
    <w:lvl w:ilvl="0">
      <w:start w:val="30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6" w15:restartNumberingAfterBreak="0">
    <w:nsid w:val="75E75FE8"/>
    <w:multiLevelType w:val="hybridMultilevel"/>
    <w:tmpl w:val="08420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AC3492"/>
    <w:multiLevelType w:val="hybridMultilevel"/>
    <w:tmpl w:val="B3ECF17A"/>
    <w:lvl w:ilvl="0" w:tplc="87C61D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A12CC"/>
    <w:multiLevelType w:val="singleLevel"/>
    <w:tmpl w:val="040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E6700E6"/>
    <w:multiLevelType w:val="singleLevel"/>
    <w:tmpl w:val="5192BBC6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1"/>
  </w:num>
  <w:num w:numId="2">
    <w:abstractNumId w:val="16"/>
  </w:num>
  <w:num w:numId="3">
    <w:abstractNumId w:val="3"/>
  </w:num>
  <w:num w:numId="4">
    <w:abstractNumId w:val="21"/>
  </w:num>
  <w:num w:numId="5">
    <w:abstractNumId w:val="14"/>
  </w:num>
  <w:num w:numId="6">
    <w:abstractNumId w:val="7"/>
  </w:num>
  <w:num w:numId="7">
    <w:abstractNumId w:val="5"/>
  </w:num>
  <w:num w:numId="8">
    <w:abstractNumId w:val="4"/>
  </w:num>
  <w:num w:numId="9">
    <w:abstractNumId w:val="18"/>
  </w:num>
  <w:num w:numId="10">
    <w:abstractNumId w:val="12"/>
  </w:num>
  <w:num w:numId="11">
    <w:abstractNumId w:val="8"/>
  </w:num>
  <w:num w:numId="12">
    <w:abstractNumId w:val="19"/>
  </w:num>
  <w:num w:numId="13">
    <w:abstractNumId w:val="25"/>
  </w:num>
  <w:num w:numId="14">
    <w:abstractNumId w:val="2"/>
  </w:num>
  <w:num w:numId="15">
    <w:abstractNumId w:val="6"/>
  </w:num>
  <w:num w:numId="16">
    <w:abstractNumId w:val="15"/>
  </w:num>
  <w:num w:numId="17">
    <w:abstractNumId w:val="20"/>
  </w:num>
  <w:num w:numId="18">
    <w:abstractNumId w:val="0"/>
  </w:num>
  <w:num w:numId="19">
    <w:abstractNumId w:val="29"/>
  </w:num>
  <w:num w:numId="20">
    <w:abstractNumId w:val="10"/>
  </w:num>
  <w:num w:numId="21">
    <w:abstractNumId w:val="23"/>
  </w:num>
  <w:num w:numId="22">
    <w:abstractNumId w:val="28"/>
  </w:num>
  <w:num w:numId="23">
    <w:abstractNumId w:val="1"/>
  </w:num>
  <w:num w:numId="24">
    <w:abstractNumId w:val="9"/>
  </w:num>
  <w:num w:numId="25">
    <w:abstractNumId w:val="24"/>
  </w:num>
  <w:num w:numId="26">
    <w:abstractNumId w:val="22"/>
  </w:num>
  <w:num w:numId="27">
    <w:abstractNumId w:val="17"/>
  </w:num>
  <w:num w:numId="28">
    <w:abstractNumId w:val="27"/>
  </w:num>
  <w:num w:numId="29">
    <w:abstractNumId w:val="26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BA5"/>
    <w:rsid w:val="002516CC"/>
    <w:rsid w:val="00332B81"/>
    <w:rsid w:val="006C5136"/>
    <w:rsid w:val="007977D8"/>
    <w:rsid w:val="008F4384"/>
    <w:rsid w:val="00B812D4"/>
    <w:rsid w:val="00C67A6D"/>
    <w:rsid w:val="00DE7BA5"/>
    <w:rsid w:val="00EE2B87"/>
    <w:rsid w:val="00FE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73AD9"/>
  <w15:docId w15:val="{C47FA1A5-41FC-4AF7-99A4-ACCBFB3AA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1EAD"/>
  </w:style>
  <w:style w:type="paragraph" w:styleId="Heading1">
    <w:name w:val="heading 1"/>
    <w:basedOn w:val="Normal"/>
    <w:next w:val="Normal"/>
    <w:link w:val="Heading1Char"/>
    <w:qFormat/>
    <w:rsid w:val="00DE7BA5"/>
    <w:pPr>
      <w:keepNext/>
      <w:outlineLvl w:val="0"/>
    </w:pPr>
    <w:rPr>
      <w:rFonts w:ascii="Helvetica" w:eastAsia="Times New Roman" w:hAnsi="Helvetica" w:cs="Times New Roman"/>
      <w:b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DE7BA5"/>
    <w:pPr>
      <w:keepNext/>
      <w:jc w:val="both"/>
      <w:outlineLvl w:val="1"/>
    </w:pPr>
    <w:rPr>
      <w:rFonts w:ascii="Geneva" w:eastAsia="Times New Roman" w:hAnsi="Geneva" w:cs="Times New Roman"/>
      <w:b/>
      <w:color w:val="000000"/>
      <w:sz w:val="24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DE7BA5"/>
    <w:pPr>
      <w:keepNext/>
      <w:spacing w:line="360" w:lineRule="auto"/>
      <w:jc w:val="both"/>
      <w:outlineLvl w:val="2"/>
    </w:pPr>
    <w:rPr>
      <w:rFonts w:ascii="Geneva" w:eastAsia="Times New Roman" w:hAnsi="Geneva" w:cs="Times New Roman"/>
      <w:b/>
      <w:sz w:val="24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DE7BA5"/>
    <w:pPr>
      <w:keepNext/>
      <w:jc w:val="center"/>
      <w:outlineLvl w:val="3"/>
    </w:pPr>
    <w:rPr>
      <w:rFonts w:ascii="Geneva" w:eastAsia="Times New Roman" w:hAnsi="Geneva" w:cs="Times New Roman"/>
      <w:b/>
      <w:color w:val="000000"/>
      <w:sz w:val="24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DE7BA5"/>
    <w:pPr>
      <w:keepNext/>
      <w:jc w:val="center"/>
      <w:outlineLvl w:val="4"/>
    </w:pPr>
    <w:rPr>
      <w:rFonts w:ascii="Geneva" w:eastAsia="Times New Roman" w:hAnsi="Geneva" w:cs="Times New Roman"/>
      <w:b/>
      <w:color w:val="000000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DE7BA5"/>
    <w:pPr>
      <w:keepNext/>
      <w:spacing w:line="480" w:lineRule="auto"/>
      <w:ind w:firstLine="720"/>
      <w:outlineLvl w:val="5"/>
    </w:pPr>
    <w:rPr>
      <w:rFonts w:ascii="Helvetica" w:eastAsia="Times New Roman" w:hAnsi="Helvetica" w:cs="Times New Roman"/>
      <w:b/>
      <w:sz w:val="24"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DE7BA5"/>
    <w:pPr>
      <w:keepNext/>
      <w:outlineLvl w:val="6"/>
    </w:pPr>
    <w:rPr>
      <w:rFonts w:ascii="Helvetica" w:eastAsia="Times New Roman" w:hAnsi="Helvetica" w:cs="Times New Roman"/>
      <w:b/>
      <w:sz w:val="24"/>
      <w:szCs w:val="20"/>
      <w:u w:val="single"/>
      <w:lang w:val="en-US"/>
    </w:rPr>
  </w:style>
  <w:style w:type="paragraph" w:styleId="Heading8">
    <w:name w:val="heading 8"/>
    <w:basedOn w:val="Normal"/>
    <w:next w:val="Normal"/>
    <w:link w:val="Heading8Char"/>
    <w:qFormat/>
    <w:rsid w:val="00DE7BA5"/>
    <w:pPr>
      <w:keepNext/>
      <w:spacing w:line="480" w:lineRule="auto"/>
      <w:ind w:firstLine="720"/>
      <w:outlineLvl w:val="7"/>
    </w:pPr>
    <w:rPr>
      <w:rFonts w:ascii="Helvetica" w:eastAsia="Times New Roman" w:hAnsi="Helvetica" w:cs="Times New Roman"/>
      <w:b/>
      <w:sz w:val="24"/>
      <w:szCs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E7BA5"/>
    <w:rPr>
      <w:rFonts w:ascii="Helvetica" w:eastAsia="Times New Roman" w:hAnsi="Helvetica" w:cs="Times New Roman"/>
      <w:b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DE7BA5"/>
    <w:rPr>
      <w:rFonts w:ascii="Geneva" w:eastAsia="Times New Roman" w:hAnsi="Geneva" w:cs="Times New Roman"/>
      <w:b/>
      <w:color w:val="000000"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DE7BA5"/>
    <w:rPr>
      <w:rFonts w:ascii="Geneva" w:eastAsia="Times New Roman" w:hAnsi="Geneva" w:cs="Times New Roman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DE7BA5"/>
    <w:rPr>
      <w:rFonts w:ascii="Geneva" w:eastAsia="Times New Roman" w:hAnsi="Geneva" w:cs="Times New Roman"/>
      <w:b/>
      <w:color w:val="000000"/>
      <w:sz w:val="24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DE7BA5"/>
    <w:rPr>
      <w:rFonts w:ascii="Geneva" w:eastAsia="Times New Roman" w:hAnsi="Geneva" w:cs="Times New Roman"/>
      <w:b/>
      <w:color w:val="00000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DE7BA5"/>
    <w:rPr>
      <w:rFonts w:ascii="Helvetica" w:eastAsia="Times New Roman" w:hAnsi="Helvetica" w:cs="Times New Roman"/>
      <w:b/>
      <w:sz w:val="24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DE7BA5"/>
    <w:rPr>
      <w:rFonts w:ascii="Helvetica" w:eastAsia="Times New Roman" w:hAnsi="Helvetica" w:cs="Times New Roman"/>
      <w:b/>
      <w:sz w:val="24"/>
      <w:szCs w:val="20"/>
      <w:u w:val="single"/>
      <w:lang w:val="en-US"/>
    </w:rPr>
  </w:style>
  <w:style w:type="character" w:customStyle="1" w:styleId="Heading8Char">
    <w:name w:val="Heading 8 Char"/>
    <w:basedOn w:val="DefaultParagraphFont"/>
    <w:link w:val="Heading8"/>
    <w:rsid w:val="00DE7BA5"/>
    <w:rPr>
      <w:rFonts w:ascii="Helvetica" w:eastAsia="Times New Roman" w:hAnsi="Helvetica" w:cs="Times New Roman"/>
      <w:b/>
      <w:sz w:val="24"/>
      <w:szCs w:val="20"/>
      <w:u w:val="single"/>
      <w:lang w:val="en-US"/>
    </w:rPr>
  </w:style>
  <w:style w:type="numbering" w:customStyle="1" w:styleId="NoList1">
    <w:name w:val="No List1"/>
    <w:next w:val="NoList"/>
    <w:uiPriority w:val="99"/>
    <w:semiHidden/>
    <w:rsid w:val="00DE7BA5"/>
  </w:style>
  <w:style w:type="paragraph" w:customStyle="1" w:styleId="abstract">
    <w:name w:val="abstract"/>
    <w:rsid w:val="00DE7BA5"/>
    <w:pPr>
      <w:spacing w:line="240" w:lineRule="exact"/>
    </w:pPr>
    <w:rPr>
      <w:rFonts w:ascii="Tahoma" w:eastAsia="Times New Roman" w:hAnsi="Tahoma" w:cs="Times New Roman"/>
      <w:noProof/>
      <w:szCs w:val="20"/>
      <w:lang w:val="en-US"/>
    </w:rPr>
  </w:style>
  <w:style w:type="paragraph" w:customStyle="1" w:styleId="addresses">
    <w:name w:val="addresses"/>
    <w:rsid w:val="00DE7BA5"/>
    <w:pPr>
      <w:spacing w:before="113" w:after="56" w:line="240" w:lineRule="exact"/>
    </w:pPr>
    <w:rPr>
      <w:rFonts w:ascii="Times New Roman" w:eastAsia="Times New Roman" w:hAnsi="Times New Roman" w:cs="Times New Roman"/>
      <w:b/>
      <w:noProof/>
      <w:sz w:val="20"/>
      <w:szCs w:val="20"/>
      <w:lang w:val="en-US"/>
    </w:rPr>
  </w:style>
  <w:style w:type="paragraph" w:customStyle="1" w:styleId="author">
    <w:name w:val="author"/>
    <w:rsid w:val="00DE7BA5"/>
    <w:pPr>
      <w:spacing w:before="226" w:after="113" w:line="280" w:lineRule="exact"/>
    </w:pPr>
    <w:rPr>
      <w:rFonts w:ascii="Times New Roman" w:eastAsia="Times New Roman" w:hAnsi="Times New Roman" w:cs="Times New Roman"/>
      <w:i/>
      <w:noProof/>
      <w:sz w:val="24"/>
      <w:szCs w:val="20"/>
      <w:lang w:val="en-US"/>
    </w:rPr>
  </w:style>
  <w:style w:type="character" w:customStyle="1" w:styleId="bibref">
    <w:name w:val="bibref"/>
    <w:rsid w:val="00DE7BA5"/>
    <w:rPr>
      <w:rFonts w:ascii="Times New Roman" w:hAnsi="Times New Roman"/>
      <w:spacing w:val="0"/>
      <w:sz w:val="22"/>
      <w:vertAlign w:val="superscript"/>
    </w:rPr>
  </w:style>
  <w:style w:type="character" w:customStyle="1" w:styleId="boxref">
    <w:name w:val="boxref"/>
    <w:rsid w:val="00DE7BA5"/>
    <w:rPr>
      <w:rFonts w:ascii="Times New Roman" w:hAnsi="Times New Roman"/>
      <w:sz w:val="22"/>
    </w:rPr>
  </w:style>
  <w:style w:type="character" w:customStyle="1" w:styleId="bibrinl">
    <w:name w:val="bibrinl"/>
    <w:rsid w:val="00DE7BA5"/>
    <w:rPr>
      <w:rFonts w:ascii="Times New Roman" w:hAnsi="Times New Roman"/>
      <w:spacing w:val="0"/>
      <w:sz w:val="22"/>
    </w:rPr>
  </w:style>
  <w:style w:type="paragraph" w:customStyle="1" w:styleId="bodyindent">
    <w:name w:val="bodyindent"/>
    <w:rsid w:val="00DE7BA5"/>
    <w:pPr>
      <w:spacing w:line="240" w:lineRule="exact"/>
      <w:ind w:firstLine="230"/>
      <w:jc w:val="both"/>
    </w:pPr>
    <w:rPr>
      <w:rFonts w:ascii="Times New Roman" w:eastAsia="Times New Roman" w:hAnsi="Times New Roman" w:cs="Times New Roman"/>
      <w:noProof/>
      <w:szCs w:val="20"/>
      <w:lang w:val="en-US"/>
    </w:rPr>
  </w:style>
  <w:style w:type="paragraph" w:customStyle="1" w:styleId="bodyfirst">
    <w:name w:val="bodyfirst"/>
    <w:basedOn w:val="bodyindent"/>
    <w:rsid w:val="00DE7BA5"/>
    <w:pPr>
      <w:ind w:firstLine="0"/>
    </w:pPr>
  </w:style>
  <w:style w:type="paragraph" w:customStyle="1" w:styleId="bodybrief">
    <w:name w:val="bodybrief"/>
    <w:basedOn w:val="bodyfirst"/>
    <w:rsid w:val="00DE7BA5"/>
  </w:style>
  <w:style w:type="paragraph" w:customStyle="1" w:styleId="bodylist">
    <w:name w:val="bodylist"/>
    <w:basedOn w:val="bodyfirst"/>
    <w:rsid w:val="00DE7BA5"/>
    <w:pPr>
      <w:tabs>
        <w:tab w:val="left" w:pos="232"/>
      </w:tabs>
      <w:ind w:left="232" w:hanging="232"/>
    </w:pPr>
    <w:rPr>
      <w:noProof w:val="0"/>
      <w:lang w:val="en-GB"/>
    </w:rPr>
  </w:style>
  <w:style w:type="paragraph" w:customStyle="1" w:styleId="boxbody1">
    <w:name w:val="boxbody1"/>
    <w:rsid w:val="00DE7BA5"/>
    <w:pPr>
      <w:spacing w:line="200" w:lineRule="exact"/>
      <w:ind w:left="56" w:right="56"/>
    </w:pPr>
    <w:rPr>
      <w:rFonts w:ascii="Minion Semibold" w:eastAsia="Times New Roman" w:hAnsi="Minion Semibold" w:cs="Times New Roman"/>
      <w:noProof/>
      <w:sz w:val="16"/>
      <w:szCs w:val="20"/>
      <w:lang w:val="en-US"/>
    </w:rPr>
  </w:style>
  <w:style w:type="paragraph" w:customStyle="1" w:styleId="boxbody">
    <w:name w:val="boxbody"/>
    <w:basedOn w:val="boxbody1"/>
    <w:rsid w:val="00DE7BA5"/>
    <w:pPr>
      <w:ind w:firstLine="85"/>
    </w:pPr>
  </w:style>
  <w:style w:type="character" w:customStyle="1" w:styleId="boxnotitle">
    <w:name w:val="boxnotitle"/>
    <w:rsid w:val="00DE7BA5"/>
    <w:rPr>
      <w:rFonts w:ascii="Helvetica 45 Light" w:hAnsi="Helvetica 45 Light"/>
      <w:spacing w:val="0"/>
      <w:sz w:val="16"/>
    </w:rPr>
  </w:style>
  <w:style w:type="paragraph" w:customStyle="1" w:styleId="boxtitle">
    <w:name w:val="boxtitle"/>
    <w:rsid w:val="00DE7BA5"/>
    <w:pPr>
      <w:spacing w:after="113" w:line="200" w:lineRule="exact"/>
      <w:ind w:left="56" w:right="56"/>
    </w:pPr>
    <w:rPr>
      <w:rFonts w:ascii="Tahoma" w:eastAsia="Times New Roman" w:hAnsi="Tahoma" w:cs="Times New Roman"/>
      <w:b/>
      <w:noProof/>
      <w:szCs w:val="20"/>
      <w:lang w:val="en-US"/>
    </w:rPr>
  </w:style>
  <w:style w:type="paragraph" w:customStyle="1" w:styleId="refnum">
    <w:name w:val="refnum"/>
    <w:rsid w:val="00DE7BA5"/>
    <w:pPr>
      <w:spacing w:line="240" w:lineRule="exact"/>
      <w:ind w:left="230" w:hanging="230"/>
    </w:pPr>
    <w:rPr>
      <w:rFonts w:ascii="Tahoma" w:eastAsia="Times New Roman" w:hAnsi="Tahoma" w:cs="Times New Roman"/>
      <w:noProof/>
      <w:szCs w:val="20"/>
      <w:lang w:val="en-US"/>
    </w:rPr>
  </w:style>
  <w:style w:type="paragraph" w:customStyle="1" w:styleId="briefref">
    <w:name w:val="briefref"/>
    <w:basedOn w:val="refnum"/>
    <w:rsid w:val="00DE7BA5"/>
    <w:pPr>
      <w:ind w:left="0" w:firstLine="0"/>
    </w:pPr>
    <w:rPr>
      <w:sz w:val="20"/>
    </w:rPr>
  </w:style>
  <w:style w:type="paragraph" w:customStyle="1" w:styleId="brieftitle">
    <w:name w:val="brieftitle"/>
    <w:basedOn w:val="Normal"/>
    <w:rsid w:val="00DE7BA5"/>
    <w:rPr>
      <w:rFonts w:ascii="Helvetica" w:eastAsia="Times New Roman" w:hAnsi="Helvetica" w:cs="Times New Roman"/>
      <w:sz w:val="24"/>
      <w:szCs w:val="20"/>
      <w:lang w:val="en-US"/>
    </w:rPr>
  </w:style>
  <w:style w:type="paragraph" w:customStyle="1" w:styleId="crosshead">
    <w:name w:val="crosshead"/>
    <w:rsid w:val="00DE7BA5"/>
    <w:pPr>
      <w:spacing w:before="113" w:line="240" w:lineRule="exact"/>
    </w:pPr>
    <w:rPr>
      <w:rFonts w:ascii="Tahoma" w:eastAsia="Times New Roman" w:hAnsi="Tahoma" w:cs="Times New Roman"/>
      <w:b/>
      <w:noProof/>
      <w:szCs w:val="20"/>
      <w:lang w:val="en-US"/>
    </w:rPr>
  </w:style>
  <w:style w:type="paragraph" w:customStyle="1" w:styleId="figurecaption">
    <w:name w:val="figurecaption"/>
    <w:rsid w:val="00DE7BA5"/>
    <w:pPr>
      <w:spacing w:line="240" w:lineRule="exact"/>
    </w:pPr>
    <w:rPr>
      <w:rFonts w:ascii="Tahoma" w:eastAsia="Times New Roman" w:hAnsi="Tahoma" w:cs="Times New Roman"/>
      <w:noProof/>
      <w:szCs w:val="20"/>
      <w:lang w:val="en-US"/>
    </w:rPr>
  </w:style>
  <w:style w:type="character" w:customStyle="1" w:styleId="figurecaptionparts">
    <w:name w:val="figurecaptionparts"/>
    <w:rsid w:val="00DE7BA5"/>
    <w:rPr>
      <w:rFonts w:ascii="Tahoma" w:hAnsi="Tahoma"/>
      <w:b/>
      <w:spacing w:val="0"/>
      <w:sz w:val="22"/>
    </w:rPr>
  </w:style>
  <w:style w:type="character" w:customStyle="1" w:styleId="figurenotitle">
    <w:name w:val="figurenotitle"/>
    <w:rsid w:val="00DE7BA5"/>
    <w:rPr>
      <w:rFonts w:ascii="Tahoma" w:hAnsi="Tahoma"/>
      <w:spacing w:val="0"/>
      <w:sz w:val="22"/>
    </w:rPr>
  </w:style>
  <w:style w:type="character" w:customStyle="1" w:styleId="figureref">
    <w:name w:val="figureref"/>
    <w:rsid w:val="00DE7BA5"/>
    <w:rPr>
      <w:rFonts w:ascii="Tahoma" w:hAnsi="Tahoma"/>
      <w:sz w:val="22"/>
    </w:rPr>
  </w:style>
  <w:style w:type="character" w:customStyle="1" w:styleId="figuretitle">
    <w:name w:val="figuretitle"/>
    <w:rsid w:val="00DE7BA5"/>
    <w:rPr>
      <w:rFonts w:ascii="Tahoma" w:hAnsi="Tahoma"/>
      <w:b/>
      <w:spacing w:val="0"/>
      <w:sz w:val="22"/>
    </w:rPr>
  </w:style>
  <w:style w:type="paragraph" w:styleId="Footer">
    <w:name w:val="footer"/>
    <w:basedOn w:val="Normal"/>
    <w:link w:val="FooterChar"/>
    <w:uiPriority w:val="99"/>
    <w:rsid w:val="00DE7BA5"/>
    <w:pPr>
      <w:tabs>
        <w:tab w:val="center" w:pos="4153"/>
        <w:tab w:val="right" w:pos="8306"/>
      </w:tabs>
    </w:pPr>
    <w:rPr>
      <w:rFonts w:ascii="Helvetica" w:eastAsia="Times New Roman" w:hAnsi="Helvetica" w:cs="Times New Roman"/>
      <w:sz w:val="24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E7BA5"/>
    <w:rPr>
      <w:rFonts w:ascii="Helvetica" w:eastAsia="Times New Roman" w:hAnsi="Helvetica" w:cs="Times New Roman"/>
      <w:sz w:val="24"/>
      <w:szCs w:val="20"/>
      <w:lang w:val="en-US"/>
    </w:rPr>
  </w:style>
  <w:style w:type="paragraph" w:customStyle="1" w:styleId="glossarybody">
    <w:name w:val="glossarybody"/>
    <w:rsid w:val="00DE7BA5"/>
    <w:pPr>
      <w:spacing w:line="240" w:lineRule="exact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glossaryheadline">
    <w:name w:val="glossaryheadline"/>
    <w:rsid w:val="00DE7BA5"/>
    <w:pPr>
      <w:spacing w:line="240" w:lineRule="exact"/>
    </w:pPr>
    <w:rPr>
      <w:rFonts w:ascii="Times New Roman" w:eastAsia="Times New Roman" w:hAnsi="Times New Roman" w:cs="Times New Roman"/>
      <w:b/>
      <w:smallCaps/>
      <w:noProof/>
      <w:sz w:val="20"/>
      <w:szCs w:val="20"/>
      <w:lang w:val="en-US"/>
    </w:rPr>
  </w:style>
  <w:style w:type="character" w:customStyle="1" w:styleId="glossaryterm">
    <w:name w:val="glossaryterm"/>
    <w:rsid w:val="00DE7BA5"/>
    <w:rPr>
      <w:rFonts w:ascii="Times New Roman" w:hAnsi="Times New Roman"/>
      <w:smallCaps/>
      <w:spacing w:val="0"/>
      <w:sz w:val="20"/>
    </w:rPr>
  </w:style>
  <w:style w:type="character" w:customStyle="1" w:styleId="inlineheading">
    <w:name w:val="inlineheading"/>
    <w:rsid w:val="00DE7BA5"/>
    <w:rPr>
      <w:rFonts w:ascii="Times New Roman" w:hAnsi="Times New Roman"/>
      <w:b/>
      <w:i/>
      <w:spacing w:val="0"/>
      <w:sz w:val="22"/>
    </w:rPr>
  </w:style>
  <w:style w:type="paragraph" w:customStyle="1" w:styleId="ministrap">
    <w:name w:val="ministrap"/>
    <w:rsid w:val="00DE7BA5"/>
    <w:pPr>
      <w:spacing w:line="240" w:lineRule="exact"/>
    </w:pPr>
    <w:rPr>
      <w:rFonts w:ascii="Tahoma" w:eastAsia="Times New Roman" w:hAnsi="Tahoma" w:cs="Times New Roman"/>
      <w:b/>
      <w:caps/>
      <w:noProof/>
      <w:szCs w:val="20"/>
      <w:lang w:val="en-US"/>
    </w:rPr>
  </w:style>
  <w:style w:type="character" w:customStyle="1" w:styleId="onlinelink">
    <w:name w:val="onlinelink"/>
    <w:rsid w:val="00DE7BA5"/>
    <w:rPr>
      <w:rFonts w:ascii="Times New Roman" w:hAnsi="Times New Roman"/>
      <w:b/>
      <w:color w:val="FF0000"/>
      <w:spacing w:val="0"/>
      <w:sz w:val="22"/>
    </w:rPr>
  </w:style>
  <w:style w:type="paragraph" w:customStyle="1" w:styleId="pulloutquote">
    <w:name w:val="pulloutquote"/>
    <w:rsid w:val="00DE7BA5"/>
    <w:pPr>
      <w:tabs>
        <w:tab w:val="left" w:pos="1405"/>
      </w:tabs>
      <w:spacing w:line="320" w:lineRule="exact"/>
    </w:pPr>
    <w:rPr>
      <w:rFonts w:ascii="Times New Roman" w:eastAsia="Times New Roman" w:hAnsi="Times New Roman" w:cs="Times New Roman"/>
      <w:b/>
      <w:noProof/>
      <w:sz w:val="28"/>
      <w:szCs w:val="20"/>
      <w:lang w:val="en-US"/>
    </w:rPr>
  </w:style>
  <w:style w:type="paragraph" w:customStyle="1" w:styleId="Quotation">
    <w:name w:val="Quotation"/>
    <w:basedOn w:val="bodyfirst"/>
    <w:rsid w:val="00DE7BA5"/>
    <w:pPr>
      <w:spacing w:before="220" w:after="220"/>
      <w:ind w:left="227" w:right="227"/>
    </w:pPr>
  </w:style>
  <w:style w:type="paragraph" w:customStyle="1" w:styleId="refbrief">
    <w:name w:val="refbrief"/>
    <w:basedOn w:val="refnum"/>
    <w:rsid w:val="00DE7BA5"/>
    <w:pPr>
      <w:ind w:left="0" w:firstLine="0"/>
    </w:pPr>
    <w:rPr>
      <w:sz w:val="20"/>
    </w:rPr>
  </w:style>
  <w:style w:type="paragraph" w:customStyle="1" w:styleId="refreviewtext">
    <w:name w:val="refreviewtext"/>
    <w:rsid w:val="00DE7BA5"/>
    <w:rPr>
      <w:rFonts w:ascii="Tahoma" w:eastAsia="Times New Roman" w:hAnsi="Tahoma" w:cs="Times New Roman"/>
      <w:b/>
      <w:noProof/>
      <w:szCs w:val="20"/>
      <w:lang w:val="en-US"/>
    </w:rPr>
  </w:style>
  <w:style w:type="paragraph" w:customStyle="1" w:styleId="tablefootnote">
    <w:name w:val="tablefootnote"/>
    <w:rsid w:val="00DE7BA5"/>
    <w:pPr>
      <w:tabs>
        <w:tab w:val="left" w:pos="946"/>
        <w:tab w:val="left" w:pos="3231"/>
        <w:tab w:val="left" w:pos="5594"/>
        <w:tab w:val="left" w:pos="8756"/>
      </w:tabs>
      <w:spacing w:after="85" w:line="240" w:lineRule="exact"/>
      <w:ind w:left="86" w:right="58"/>
    </w:pPr>
    <w:rPr>
      <w:rFonts w:ascii="Tahoma" w:eastAsia="Times New Roman" w:hAnsi="Tahoma" w:cs="Times New Roman"/>
      <w:noProof/>
      <w:sz w:val="20"/>
      <w:szCs w:val="20"/>
      <w:lang w:val="en-US"/>
    </w:rPr>
  </w:style>
  <w:style w:type="paragraph" w:customStyle="1" w:styleId="tableheading">
    <w:name w:val="tableheading"/>
    <w:rsid w:val="00DE7BA5"/>
    <w:pPr>
      <w:tabs>
        <w:tab w:val="left" w:pos="946"/>
        <w:tab w:val="left" w:pos="3231"/>
        <w:tab w:val="left" w:pos="5917"/>
        <w:tab w:val="left" w:pos="8756"/>
      </w:tabs>
      <w:spacing w:after="85" w:line="240" w:lineRule="exact"/>
      <w:ind w:left="86"/>
    </w:pPr>
    <w:rPr>
      <w:rFonts w:ascii="Tahoma" w:eastAsia="Times New Roman" w:hAnsi="Tahoma" w:cs="Times New Roman"/>
      <w:b/>
      <w:noProof/>
      <w:szCs w:val="20"/>
      <w:lang w:val="en-US"/>
    </w:rPr>
  </w:style>
  <w:style w:type="character" w:customStyle="1" w:styleId="tablenotitle">
    <w:name w:val="tablenotitle"/>
    <w:rsid w:val="00DE7BA5"/>
    <w:rPr>
      <w:rFonts w:ascii="Tahoma" w:hAnsi="Tahoma"/>
      <w:spacing w:val="0"/>
      <w:sz w:val="20"/>
    </w:rPr>
  </w:style>
  <w:style w:type="character" w:customStyle="1" w:styleId="tableref">
    <w:name w:val="tableref"/>
    <w:basedOn w:val="figureref"/>
    <w:rsid w:val="00DE7BA5"/>
    <w:rPr>
      <w:rFonts w:ascii="Tahoma" w:hAnsi="Tahoma"/>
      <w:sz w:val="22"/>
    </w:rPr>
  </w:style>
  <w:style w:type="paragraph" w:customStyle="1" w:styleId="tabletext">
    <w:name w:val="tabletext"/>
    <w:rsid w:val="00DE7BA5"/>
    <w:pPr>
      <w:tabs>
        <w:tab w:val="left" w:pos="946"/>
        <w:tab w:val="left" w:pos="3231"/>
        <w:tab w:val="left" w:pos="5594"/>
        <w:tab w:val="left" w:pos="8756"/>
      </w:tabs>
      <w:spacing w:after="85" w:line="240" w:lineRule="exact"/>
      <w:ind w:left="86" w:right="58"/>
    </w:pPr>
    <w:rPr>
      <w:rFonts w:ascii="Tahoma" w:eastAsia="Times New Roman" w:hAnsi="Tahoma" w:cs="Times New Roman"/>
      <w:noProof/>
      <w:szCs w:val="20"/>
      <w:lang w:val="en-US"/>
    </w:rPr>
  </w:style>
  <w:style w:type="paragraph" w:customStyle="1" w:styleId="tabletitle">
    <w:name w:val="tabletitle"/>
    <w:rsid w:val="00DE7BA5"/>
    <w:pPr>
      <w:spacing w:after="113" w:line="260" w:lineRule="exact"/>
      <w:ind w:left="86"/>
    </w:pPr>
    <w:rPr>
      <w:rFonts w:ascii="Tahoma" w:eastAsia="Times New Roman" w:hAnsi="Tahoma" w:cs="Times New Roman"/>
      <w:b/>
      <w:noProof/>
      <w:szCs w:val="20"/>
      <w:lang w:val="en-US"/>
    </w:rPr>
  </w:style>
  <w:style w:type="paragraph" w:customStyle="1" w:styleId="Title1">
    <w:name w:val="Title1"/>
    <w:rsid w:val="00DE7BA5"/>
    <w:pPr>
      <w:tabs>
        <w:tab w:val="right" w:leader="dot" w:pos="7332"/>
      </w:tabs>
      <w:spacing w:line="460" w:lineRule="exact"/>
    </w:pPr>
    <w:rPr>
      <w:rFonts w:ascii="Tahoma" w:eastAsia="Times New Roman" w:hAnsi="Tahoma" w:cs="Times New Roman"/>
      <w:b/>
      <w:noProof/>
      <w:sz w:val="36"/>
      <w:szCs w:val="20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urltextbold">
    <w:name w:val="url text bold"/>
    <w:rsid w:val="00DE7BA5"/>
    <w:rPr>
      <w:rFonts w:ascii="Tahoma" w:hAnsi="Tahoma"/>
      <w:b/>
      <w:spacing w:val="0"/>
      <w:sz w:val="22"/>
    </w:rPr>
  </w:style>
  <w:style w:type="paragraph" w:customStyle="1" w:styleId="webbody">
    <w:name w:val="webbody"/>
    <w:rsid w:val="00DE7BA5"/>
    <w:pPr>
      <w:spacing w:line="240" w:lineRule="exact"/>
    </w:pPr>
    <w:rPr>
      <w:rFonts w:ascii="Tahoma" w:eastAsia="Times New Roman" w:hAnsi="Tahoma" w:cs="Times New Roman"/>
      <w:noProof/>
      <w:szCs w:val="20"/>
      <w:lang w:val="en-US"/>
    </w:rPr>
  </w:style>
  <w:style w:type="paragraph" w:customStyle="1" w:styleId="webhead">
    <w:name w:val="webhead"/>
    <w:basedOn w:val="Normal"/>
    <w:rsid w:val="00DE7BA5"/>
    <w:rPr>
      <w:rFonts w:ascii="Tahoma" w:eastAsia="Times New Roman" w:hAnsi="Tahoma" w:cs="Times New Roman"/>
      <w:b/>
      <w:sz w:val="24"/>
      <w:szCs w:val="20"/>
      <w:lang w:val="en-US"/>
    </w:rPr>
  </w:style>
  <w:style w:type="character" w:customStyle="1" w:styleId="webinlinehead">
    <w:name w:val="webinlinehead"/>
    <w:rsid w:val="00DE7BA5"/>
    <w:rPr>
      <w:rFonts w:ascii="Tahoma" w:hAnsi="Tahoma"/>
      <w:b/>
      <w:caps/>
      <w:color w:val="auto"/>
      <w:spacing w:val="0"/>
      <w:position w:val="0"/>
      <w:sz w:val="22"/>
    </w:rPr>
  </w:style>
  <w:style w:type="character" w:styleId="PageNumber">
    <w:name w:val="page number"/>
    <w:basedOn w:val="DefaultParagraphFont"/>
    <w:rsid w:val="00DE7BA5"/>
  </w:style>
  <w:style w:type="character" w:styleId="Hyperlink">
    <w:name w:val="Hyperlink"/>
    <w:rsid w:val="00DE7BA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E7BA5"/>
    <w:pPr>
      <w:tabs>
        <w:tab w:val="center" w:pos="4320"/>
        <w:tab w:val="right" w:pos="8640"/>
      </w:tabs>
    </w:pPr>
    <w:rPr>
      <w:rFonts w:ascii="Helvetica" w:eastAsia="Times New Roman" w:hAnsi="Helvetica" w:cs="Times New Roman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E7BA5"/>
    <w:rPr>
      <w:rFonts w:ascii="Helvetica" w:eastAsia="Times New Roman" w:hAnsi="Helvetica" w:cs="Times New Roman"/>
      <w:sz w:val="24"/>
      <w:szCs w:val="20"/>
      <w:lang w:val="en-US"/>
    </w:rPr>
  </w:style>
  <w:style w:type="paragraph" w:styleId="NormalWeb">
    <w:name w:val="Normal (Web)"/>
    <w:basedOn w:val="Normal"/>
    <w:uiPriority w:val="99"/>
    <w:rsid w:val="00DE7BA5"/>
    <w:pPr>
      <w:spacing w:before="100" w:beforeAutospacing="1" w:after="100" w:afterAutospacing="1"/>
    </w:pPr>
    <w:rPr>
      <w:rFonts w:ascii="Verdana" w:eastAsia="Times New Roman" w:hAnsi="Verdana" w:cs="Times New Roman"/>
      <w:sz w:val="18"/>
      <w:szCs w:val="18"/>
      <w:lang w:val="en-US"/>
    </w:rPr>
  </w:style>
  <w:style w:type="character" w:customStyle="1" w:styleId="author1">
    <w:name w:val="author1"/>
    <w:rsid w:val="00DE7BA5"/>
    <w:rPr>
      <w:rFonts w:ascii="Georgia" w:hAnsi="Georgia" w:hint="default"/>
      <w:b/>
      <w:bCs/>
      <w:sz w:val="21"/>
      <w:szCs w:val="21"/>
    </w:rPr>
  </w:style>
  <w:style w:type="character" w:customStyle="1" w:styleId="navlinks1">
    <w:name w:val="navlinks1"/>
    <w:rsid w:val="00DE7BA5"/>
    <w:rPr>
      <w:rFonts w:ascii="Verdana" w:hAnsi="Verdana" w:hint="default"/>
      <w:b/>
      <w:bCs/>
      <w:sz w:val="15"/>
      <w:szCs w:val="15"/>
    </w:rPr>
  </w:style>
  <w:style w:type="paragraph" w:styleId="BodyText">
    <w:name w:val="Body Text"/>
    <w:basedOn w:val="Normal"/>
    <w:link w:val="BodyTextChar"/>
    <w:rsid w:val="00DE7BA5"/>
    <w:rPr>
      <w:rFonts w:ascii="Helvetica" w:eastAsia="Times New Roman" w:hAnsi="Helvetica" w:cs="Times New Roman"/>
      <w:b/>
      <w:bCs/>
      <w:color w:val="FF0000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DE7BA5"/>
    <w:rPr>
      <w:rFonts w:ascii="Helvetica" w:eastAsia="Times New Roman" w:hAnsi="Helvetica" w:cs="Times New Roman"/>
      <w:b/>
      <w:bCs/>
      <w:color w:val="FF0000"/>
      <w:sz w:val="24"/>
      <w:szCs w:val="20"/>
      <w:lang w:val="en-US"/>
    </w:rPr>
  </w:style>
  <w:style w:type="paragraph" w:styleId="BalloonText">
    <w:name w:val="Balloon Text"/>
    <w:basedOn w:val="Normal"/>
    <w:link w:val="BalloonTextChar"/>
    <w:rsid w:val="00DE7BA5"/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DE7BA5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E7BA5"/>
    <w:pPr>
      <w:spacing w:after="200" w:line="276" w:lineRule="auto"/>
      <w:ind w:left="720"/>
      <w:contextualSpacing/>
    </w:pPr>
    <w:rPr>
      <w:rFonts w:ascii="Constantia" w:eastAsia="Times New Roman" w:hAnsi="Constantia" w:cs="Calibri"/>
    </w:rPr>
  </w:style>
  <w:style w:type="paragraph" w:styleId="CommentText">
    <w:name w:val="annotation text"/>
    <w:basedOn w:val="Normal"/>
    <w:link w:val="CommentTextChar"/>
    <w:unhideWhenUsed/>
    <w:rsid w:val="00DE7BA5"/>
    <w:pPr>
      <w:spacing w:after="200"/>
    </w:pPr>
    <w:rPr>
      <w:rFonts w:ascii="Constantia" w:eastAsia="Times New Roman" w:hAnsi="Constantia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7BA5"/>
    <w:rPr>
      <w:rFonts w:ascii="Constantia" w:eastAsia="Times New Roman" w:hAnsi="Constantia" w:cs="Calibri"/>
      <w:sz w:val="20"/>
      <w:szCs w:val="20"/>
    </w:rPr>
  </w:style>
  <w:style w:type="character" w:customStyle="1" w:styleId="apple-converted-space">
    <w:name w:val="apple-converted-space"/>
    <w:rsid w:val="00DE7BA5"/>
  </w:style>
  <w:style w:type="character" w:customStyle="1" w:styleId="ft">
    <w:name w:val="ft"/>
    <w:rsid w:val="00DE7BA5"/>
  </w:style>
  <w:style w:type="table" w:styleId="TableGrid">
    <w:name w:val="Table Grid"/>
    <w:basedOn w:val="TableNormal"/>
    <w:uiPriority w:val="59"/>
    <w:rsid w:val="00DE7BA5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E7BA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DE7BA5"/>
    <w:pPr>
      <w:spacing w:after="0"/>
    </w:pPr>
    <w:rPr>
      <w:rFonts w:ascii="Helvetica" w:hAnsi="Helvetica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rsid w:val="00DE7BA5"/>
    <w:rPr>
      <w:rFonts w:ascii="Helvetica" w:eastAsia="Times New Roman" w:hAnsi="Helvetica" w:cs="Times New Roman"/>
      <w:b/>
      <w:bCs/>
      <w:sz w:val="20"/>
      <w:szCs w:val="20"/>
      <w:lang w:val="en-US"/>
    </w:rPr>
  </w:style>
  <w:style w:type="character" w:customStyle="1" w:styleId="highlight2">
    <w:name w:val="highlight2"/>
    <w:rsid w:val="00DE7BA5"/>
  </w:style>
  <w:style w:type="character" w:styleId="HTMLCite">
    <w:name w:val="HTML Cite"/>
    <w:uiPriority w:val="99"/>
    <w:unhideWhenUsed/>
    <w:rsid w:val="00DE7BA5"/>
    <w:rPr>
      <w:i/>
      <w:iCs/>
    </w:rPr>
  </w:style>
  <w:style w:type="character" w:customStyle="1" w:styleId="highwire-cite-journal">
    <w:name w:val="highwire-cite-journal"/>
    <w:rsid w:val="00DE7BA5"/>
  </w:style>
  <w:style w:type="character" w:customStyle="1" w:styleId="highwire-cite-published-year">
    <w:name w:val="highwire-cite-published-year"/>
    <w:rsid w:val="00DE7BA5"/>
  </w:style>
  <w:style w:type="character" w:customStyle="1" w:styleId="highwire-cite-volume-issue">
    <w:name w:val="highwire-cite-volume-issue"/>
    <w:rsid w:val="00DE7BA5"/>
  </w:style>
  <w:style w:type="character" w:customStyle="1" w:styleId="highwire-cite-doi">
    <w:name w:val="highwire-cite-doi"/>
    <w:rsid w:val="00DE7BA5"/>
  </w:style>
  <w:style w:type="paragraph" w:customStyle="1" w:styleId="details">
    <w:name w:val="details"/>
    <w:basedOn w:val="Normal"/>
    <w:rsid w:val="00DE7BA5"/>
    <w:rPr>
      <w:rFonts w:ascii="Times New Roman" w:eastAsia="Times New Roman" w:hAnsi="Times New Roman" w:cs="Times New Roman"/>
      <w:color w:val="727295"/>
      <w:sz w:val="24"/>
      <w:szCs w:val="24"/>
      <w:lang w:eastAsia="en-GB"/>
    </w:rPr>
  </w:style>
  <w:style w:type="character" w:styleId="Strong">
    <w:name w:val="Strong"/>
    <w:uiPriority w:val="22"/>
    <w:qFormat/>
    <w:rsid w:val="00DE7BA5"/>
    <w:rPr>
      <w:b/>
      <w:bCs/>
    </w:rPr>
  </w:style>
  <w:style w:type="paragraph" w:customStyle="1" w:styleId="EndNoteBibliography">
    <w:name w:val="EndNote Bibliography"/>
    <w:basedOn w:val="Normal"/>
    <w:link w:val="EndNoteBibliographyChar"/>
    <w:rsid w:val="00DE7BA5"/>
    <w:pPr>
      <w:spacing w:after="200"/>
    </w:pPr>
    <w:rPr>
      <w:rFonts w:ascii="Calibri" w:eastAsia="Calibri" w:hAnsi="Calibri" w:cs="Times New Roman"/>
      <w:noProof/>
      <w:lang w:val="en-US"/>
    </w:rPr>
  </w:style>
  <w:style w:type="character" w:customStyle="1" w:styleId="EndNoteBibliographyChar">
    <w:name w:val="EndNote Bibliography Char"/>
    <w:link w:val="EndNoteBibliography"/>
    <w:rsid w:val="00DE7BA5"/>
    <w:rPr>
      <w:rFonts w:ascii="Calibri" w:eastAsia="Calibri" w:hAnsi="Calibri" w:cs="Times New Roman"/>
      <w:noProof/>
      <w:lang w:val="en-US"/>
    </w:rPr>
  </w:style>
  <w:style w:type="character" w:customStyle="1" w:styleId="addmd1">
    <w:name w:val="addmd1"/>
    <w:rsid w:val="00DE7BA5"/>
    <w:rPr>
      <w:sz w:val="20"/>
      <w:szCs w:val="20"/>
    </w:rPr>
  </w:style>
  <w:style w:type="paragraph" w:styleId="FootnoteText">
    <w:name w:val="footnote text"/>
    <w:basedOn w:val="Normal"/>
    <w:link w:val="FootnoteTextChar"/>
    <w:rsid w:val="00DE7BA5"/>
    <w:rPr>
      <w:rFonts w:ascii="Helvetica" w:eastAsia="Times New Roman" w:hAnsi="Helvetica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E7BA5"/>
    <w:rPr>
      <w:rFonts w:ascii="Helvetica" w:eastAsia="Times New Roman" w:hAnsi="Helvetica" w:cs="Times New Roman"/>
      <w:sz w:val="20"/>
      <w:szCs w:val="20"/>
      <w:lang w:val="en-US"/>
    </w:rPr>
  </w:style>
  <w:style w:type="character" w:styleId="FootnoteReference">
    <w:name w:val="footnote reference"/>
    <w:rsid w:val="00DE7BA5"/>
    <w:rPr>
      <w:vertAlign w:val="superscript"/>
    </w:rPr>
  </w:style>
  <w:style w:type="character" w:customStyle="1" w:styleId="A4">
    <w:name w:val="A4"/>
    <w:uiPriority w:val="99"/>
    <w:rsid w:val="00DE7BA5"/>
    <w:rPr>
      <w:rFonts w:ascii="Garamond Premr Pro" w:hAnsi="Garamond Premr Pro" w:cs="Garamond Premr Pro"/>
      <w:color w:val="221E1F"/>
      <w:sz w:val="14"/>
      <w:szCs w:val="14"/>
    </w:rPr>
  </w:style>
  <w:style w:type="character" w:customStyle="1" w:styleId="element-citation">
    <w:name w:val="element-citation"/>
    <w:rsid w:val="00DE7BA5"/>
  </w:style>
  <w:style w:type="character" w:customStyle="1" w:styleId="ref-journal">
    <w:name w:val="ref-journal"/>
    <w:rsid w:val="00DE7BA5"/>
  </w:style>
  <w:style w:type="character" w:customStyle="1" w:styleId="ref-vol">
    <w:name w:val="ref-vol"/>
    <w:rsid w:val="00DE7BA5"/>
  </w:style>
  <w:style w:type="paragraph" w:customStyle="1" w:styleId="Default">
    <w:name w:val="Default"/>
    <w:rsid w:val="00DE7BA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DE7BA5"/>
    <w:rPr>
      <w:rFonts w:ascii="Times New Roman" w:eastAsia="Times New Roman" w:hAnsi="Times New Roman" w:cs="Times New Roman"/>
      <w:lang w:eastAsia="ko-KR"/>
    </w:rPr>
  </w:style>
  <w:style w:type="character" w:customStyle="1" w:styleId="UnresolvedMention1">
    <w:name w:val="Unresolved Mention1"/>
    <w:uiPriority w:val="99"/>
    <w:semiHidden/>
    <w:unhideWhenUsed/>
    <w:rsid w:val="00DE7BA5"/>
    <w:rPr>
      <w:color w:val="808080"/>
      <w:shd w:val="clear" w:color="auto" w:fill="E6E6E6"/>
    </w:rPr>
  </w:style>
  <w:style w:type="character" w:styleId="FollowedHyperlink">
    <w:name w:val="FollowedHyperlink"/>
    <w:rsid w:val="00DE7BA5"/>
    <w:rPr>
      <w:color w:val="800080"/>
      <w:u w:val="single"/>
    </w:rPr>
  </w:style>
  <w:style w:type="character" w:customStyle="1" w:styleId="mixed-citation">
    <w:name w:val="mixed-citation"/>
    <w:rsid w:val="00DE7BA5"/>
  </w:style>
  <w:style w:type="numbering" w:customStyle="1" w:styleId="NoList11">
    <w:name w:val="No List11"/>
    <w:next w:val="NoList"/>
    <w:uiPriority w:val="99"/>
    <w:semiHidden/>
    <w:unhideWhenUsed/>
    <w:rsid w:val="00DE7BA5"/>
  </w:style>
  <w:style w:type="character" w:customStyle="1" w:styleId="cit">
    <w:name w:val="cit"/>
    <w:rsid w:val="00DE7BA5"/>
  </w:style>
  <w:style w:type="character" w:customStyle="1" w:styleId="mim-font1">
    <w:name w:val="mim-font1"/>
    <w:rsid w:val="00DE7BA5"/>
    <w:rPr>
      <w:rFonts w:ascii="Palatino Linotype" w:hAnsi="Palatino Linotype" w:hint="default"/>
    </w:rPr>
  </w:style>
  <w:style w:type="character" w:styleId="Emphasis">
    <w:name w:val="Emphasis"/>
    <w:uiPriority w:val="20"/>
    <w:qFormat/>
    <w:rsid w:val="00DE7BA5"/>
    <w:rPr>
      <w:i/>
      <w:iCs/>
    </w:rPr>
  </w:style>
  <w:style w:type="character" w:customStyle="1" w:styleId="st">
    <w:name w:val="st"/>
    <w:rsid w:val="00DE7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29885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ubmed/?term=Pechlivanoglou%20P%5BAuthor%5D&amp;cauthor=true&amp;cauthor_uid=229885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?term=Postma%20MJ%5BAuthor%5D&amp;cauthor=true&amp;cauthor_uid=22988567" TargetMode="External"/><Relationship Id="rId5" Type="http://schemas.openxmlformats.org/officeDocument/2006/relationships/hyperlink" Target="https://www.ncbi.nlm.nih.gov/pubmed/?term=Stevanovic%20J%5BAuthor%5D&amp;cauthor=true&amp;cauthor_uid=2298856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3242</Words>
  <Characters>18482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 Wright</dc:creator>
  <cp:lastModifiedBy>Stuart Wright</cp:lastModifiedBy>
  <cp:revision>3</cp:revision>
  <dcterms:created xsi:type="dcterms:W3CDTF">2018-11-09T16:12:00Z</dcterms:created>
  <dcterms:modified xsi:type="dcterms:W3CDTF">2019-03-22T16:23:00Z</dcterms:modified>
</cp:coreProperties>
</file>