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638" w:rsidRPr="0002280E" w:rsidRDefault="00F37638" w:rsidP="00F37638">
      <w:pPr>
        <w:spacing w:afterLines="120"/>
        <w:rPr>
          <w:b/>
          <w:bCs/>
          <w:szCs w:val="20"/>
        </w:rPr>
      </w:pPr>
      <w:r w:rsidRPr="0002280E">
        <w:rPr>
          <w:b/>
          <w:bCs/>
          <w:szCs w:val="20"/>
        </w:rPr>
        <w:t>Supplementary Appendix 1: Further details on the matching approach</w:t>
      </w:r>
    </w:p>
    <w:p w:rsidR="00F37638" w:rsidRPr="0002280E" w:rsidRDefault="00F37638" w:rsidP="00F37638">
      <w:pPr>
        <w:spacing w:afterLines="120"/>
        <w:rPr>
          <w:b/>
          <w:bCs/>
          <w:szCs w:val="20"/>
        </w:rPr>
      </w:pPr>
      <w:r w:rsidRPr="0002280E">
        <w:rPr>
          <w:b/>
          <w:bCs/>
          <w:szCs w:val="20"/>
        </w:rPr>
        <w:t>Coarsened exact matching</w:t>
      </w:r>
    </w:p>
    <w:p w:rsidR="00F37638" w:rsidRPr="0002280E" w:rsidRDefault="00F37638" w:rsidP="00F37638">
      <w:pPr>
        <w:spacing w:afterLines="120"/>
        <w:rPr>
          <w:szCs w:val="20"/>
        </w:rPr>
      </w:pPr>
      <w:r w:rsidRPr="0002280E">
        <w:rPr>
          <w:szCs w:val="20"/>
        </w:rPr>
        <w:t xml:space="preserve">Most matching methods suffer from several drawbacks. These include high prevalence of </w:t>
      </w:r>
      <w:proofErr w:type="spellStart"/>
      <w:r w:rsidRPr="0002280E">
        <w:rPr>
          <w:szCs w:val="20"/>
        </w:rPr>
        <w:t>missingness</w:t>
      </w:r>
      <w:proofErr w:type="spellEnd"/>
      <w:r w:rsidRPr="0002280E">
        <w:rPr>
          <w:szCs w:val="20"/>
        </w:rPr>
        <w:t xml:space="preserve"> when matching on many characteristics, as is the case with exact matching, and a failure to ensure post-match balance between characteristics, a criticism levelled at many approximate matching methods such as propensity score matching </w:t>
      </w:r>
      <w:r w:rsidRPr="0002280E">
        <w:rPr>
          <w:noProof/>
          <w:szCs w:val="20"/>
        </w:rPr>
        <w:t>[9]</w:t>
      </w:r>
      <w:r w:rsidRPr="0002280E">
        <w:rPr>
          <w:szCs w:val="20"/>
        </w:rPr>
        <w:t>.</w:t>
      </w:r>
    </w:p>
    <w:p w:rsidR="00F37638" w:rsidRPr="0002280E" w:rsidRDefault="00F37638" w:rsidP="00F37638">
      <w:pPr>
        <w:spacing w:afterLines="120"/>
        <w:rPr>
          <w:szCs w:val="20"/>
        </w:rPr>
      </w:pPr>
      <w:r w:rsidRPr="0002280E">
        <w:rPr>
          <w:szCs w:val="20"/>
        </w:rPr>
        <w:t>Coarsened exact matching (</w:t>
      </w:r>
      <w:proofErr w:type="spellStart"/>
      <w:r w:rsidRPr="0002280E">
        <w:rPr>
          <w:szCs w:val="20"/>
        </w:rPr>
        <w:t>CEM</w:t>
      </w:r>
      <w:proofErr w:type="spellEnd"/>
      <w:r w:rsidRPr="0002280E">
        <w:rPr>
          <w:szCs w:val="20"/>
        </w:rPr>
        <w:t xml:space="preserve">) is similar to exact matching but overcomes the missing data issue generated when exactly identical individuals in the treatment and control group do not exist. Continuous characteristics are a particular problem for exact matching as matching on these characteristics is likely to generate large amounts of unmatched observations </w:t>
      </w:r>
      <w:r w:rsidRPr="0002280E">
        <w:rPr>
          <w:noProof/>
          <w:szCs w:val="20"/>
        </w:rPr>
        <w:t>[10]</w:t>
      </w:r>
      <w:r w:rsidRPr="0002280E">
        <w:rPr>
          <w:szCs w:val="20"/>
        </w:rPr>
        <w:t xml:space="preserve">. </w:t>
      </w:r>
      <w:proofErr w:type="spellStart"/>
      <w:r w:rsidRPr="0002280E">
        <w:rPr>
          <w:szCs w:val="20"/>
        </w:rPr>
        <w:t>CEM</w:t>
      </w:r>
      <w:proofErr w:type="spellEnd"/>
      <w:r w:rsidRPr="0002280E">
        <w:rPr>
          <w:szCs w:val="20"/>
        </w:rPr>
        <w:t xml:space="preserve"> overcomes this by first coarsening continuous variables into bins prior to exact matching. </w:t>
      </w:r>
    </w:p>
    <w:p w:rsidR="00F37638" w:rsidRPr="0002280E" w:rsidRDefault="00F37638" w:rsidP="00F37638">
      <w:pPr>
        <w:spacing w:afterLines="120"/>
        <w:rPr>
          <w:szCs w:val="20"/>
        </w:rPr>
      </w:pPr>
      <w:proofErr w:type="spellStart"/>
      <w:r w:rsidRPr="0002280E">
        <w:rPr>
          <w:szCs w:val="20"/>
        </w:rPr>
        <w:t>CEM</w:t>
      </w:r>
      <w:proofErr w:type="spellEnd"/>
      <w:r w:rsidRPr="0002280E">
        <w:rPr>
          <w:szCs w:val="20"/>
        </w:rPr>
        <w:t xml:space="preserve"> provides an additional benefit over other matching methods. </w:t>
      </w:r>
      <w:proofErr w:type="spellStart"/>
      <w:r w:rsidRPr="0002280E">
        <w:rPr>
          <w:szCs w:val="20"/>
        </w:rPr>
        <w:t>CEM</w:t>
      </w:r>
      <w:proofErr w:type="spellEnd"/>
      <w:r w:rsidRPr="0002280E">
        <w:rPr>
          <w:szCs w:val="20"/>
        </w:rPr>
        <w:t xml:space="preserve"> is a member of the class of Monotonic Imbalance Bounding (</w:t>
      </w:r>
      <w:proofErr w:type="spellStart"/>
      <w:r w:rsidRPr="0002280E">
        <w:rPr>
          <w:szCs w:val="20"/>
        </w:rPr>
        <w:t>MIB</w:t>
      </w:r>
      <w:proofErr w:type="spellEnd"/>
      <w:r w:rsidRPr="0002280E">
        <w:rPr>
          <w:szCs w:val="20"/>
        </w:rPr>
        <w:t xml:space="preserve">) methods which guarantee that the imbalance between the treatment and control group cannot exceed a level determined by the user </w:t>
      </w:r>
      <w:r w:rsidRPr="0002280E">
        <w:rPr>
          <w:noProof/>
          <w:szCs w:val="20"/>
        </w:rPr>
        <w:t>[10]</w:t>
      </w:r>
      <w:r w:rsidRPr="0002280E">
        <w:rPr>
          <w:szCs w:val="20"/>
        </w:rPr>
        <w:t xml:space="preserve">.This level is determined by the degree of coarsening. Increasing the level of coarsening results in a larger number of matches, but also increases the level of imbalance. Also, in several studies using both real and simulated datasets, </w:t>
      </w:r>
      <w:proofErr w:type="spellStart"/>
      <w:r w:rsidRPr="0002280E">
        <w:rPr>
          <w:szCs w:val="20"/>
        </w:rPr>
        <w:t>CEM</w:t>
      </w:r>
      <w:proofErr w:type="spellEnd"/>
      <w:r w:rsidRPr="0002280E">
        <w:rPr>
          <w:szCs w:val="20"/>
        </w:rPr>
        <w:t xml:space="preserve"> has been shown to outperform other matching methods on a variety of other criteria including model dependence, estimation error, bias, variance, and mean squared error </w:t>
      </w:r>
      <w:r w:rsidRPr="0002280E">
        <w:rPr>
          <w:noProof/>
          <w:szCs w:val="20"/>
        </w:rPr>
        <w:t>[11]</w:t>
      </w:r>
      <w:r w:rsidRPr="0002280E">
        <w:rPr>
          <w:szCs w:val="20"/>
        </w:rPr>
        <w:t>.</w:t>
      </w:r>
    </w:p>
    <w:p w:rsidR="00F37638" w:rsidRPr="0002280E" w:rsidRDefault="00F37638" w:rsidP="00F37638">
      <w:pPr>
        <w:spacing w:afterLines="120"/>
        <w:rPr>
          <w:szCs w:val="20"/>
        </w:rPr>
      </w:pPr>
      <w:r w:rsidRPr="0002280E">
        <w:rPr>
          <w:szCs w:val="20"/>
        </w:rPr>
        <w:t xml:space="preserve">To implement </w:t>
      </w:r>
      <w:proofErr w:type="spellStart"/>
      <w:r w:rsidRPr="0002280E">
        <w:rPr>
          <w:szCs w:val="20"/>
        </w:rPr>
        <w:t>CEM</w:t>
      </w:r>
      <w:proofErr w:type="spellEnd"/>
      <w:r w:rsidRPr="0002280E">
        <w:rPr>
          <w:szCs w:val="20"/>
        </w:rPr>
        <w:t xml:space="preserve"> in this study, we first coarsen continuous variables into bins, with binary or categorical variables left </w:t>
      </w:r>
      <w:proofErr w:type="spellStart"/>
      <w:r w:rsidRPr="0002280E">
        <w:rPr>
          <w:szCs w:val="20"/>
        </w:rPr>
        <w:t>uncoarsened</w:t>
      </w:r>
      <w:proofErr w:type="spellEnd"/>
      <w:r w:rsidRPr="0002280E">
        <w:rPr>
          <w:szCs w:val="20"/>
        </w:rPr>
        <w:t xml:space="preserve">. Bins are created using prior knowledge of the variables rather than automatically through the default binning algorithm. Strata are then created for each unique combination of the coarsened and binary/categorical variables and exact matching applied to these strata. Strata containing individuals either in the 2011 only or in the 2012 sample only are pruned from the study sample. We then use </w:t>
      </w:r>
      <w:r w:rsidRPr="0002280E">
        <w:rPr>
          <w:i/>
          <w:szCs w:val="20"/>
        </w:rPr>
        <w:t>k-to-k</w:t>
      </w:r>
      <w:r w:rsidRPr="0002280E">
        <w:rPr>
          <w:szCs w:val="20"/>
        </w:rPr>
        <w:t xml:space="preserve"> matching to ensure the same number of individuals from the 2011 and 2012 years are included in each </w:t>
      </w:r>
      <w:proofErr w:type="gramStart"/>
      <w:r w:rsidRPr="0002280E">
        <w:rPr>
          <w:szCs w:val="20"/>
        </w:rPr>
        <w:t>strata</w:t>
      </w:r>
      <w:proofErr w:type="gramEnd"/>
      <w:r w:rsidRPr="0002280E">
        <w:rPr>
          <w:szCs w:val="20"/>
        </w:rPr>
        <w:t>. The result is a sample of matched individuals from the 2011 and 2012 years which are identical in observed characteristics.</w:t>
      </w:r>
    </w:p>
    <w:p w:rsidR="00F37638" w:rsidRPr="0002280E" w:rsidRDefault="00F37638" w:rsidP="00F37638">
      <w:pPr>
        <w:spacing w:afterLines="120"/>
        <w:rPr>
          <w:b/>
          <w:bCs/>
          <w:szCs w:val="20"/>
        </w:rPr>
      </w:pPr>
      <w:r w:rsidRPr="0002280E">
        <w:rPr>
          <w:b/>
          <w:bCs/>
          <w:szCs w:val="20"/>
        </w:rPr>
        <w:t>Measuring multivariate imbalance using the =</w:t>
      </w:r>
      <m:oMath>
        <m:sSub>
          <m:sSubPr>
            <m:ctrlPr>
              <w:rPr>
                <w:rFonts w:ascii="Cambria Math" w:hAnsi="Cambria Math"/>
                <w:b/>
                <w:bCs/>
                <w:i/>
                <w:szCs w:val="20"/>
              </w:rPr>
            </m:ctrlPr>
          </m:sSubPr>
          <m:e>
            <m:r>
              <m:rPr>
                <m:sty m:val="bi"/>
              </m:rPr>
              <w:rPr>
                <w:rFonts w:ascii="Cambria Math" w:hAnsi="Cambria Math"/>
                <w:szCs w:val="20"/>
              </w:rPr>
              <m:t>L</m:t>
            </m:r>
          </m:e>
          <m:sub>
            <m:r>
              <m:rPr>
                <m:sty m:val="bi"/>
              </m:rPr>
              <w:rPr>
                <w:rFonts w:ascii="Cambria Math" w:hAnsi="Cambria Math"/>
                <w:szCs w:val="20"/>
              </w:rPr>
              <m:t>1</m:t>
            </m:r>
          </m:sub>
        </m:sSub>
      </m:oMath>
    </w:p>
    <w:p w:rsidR="00F37638" w:rsidRPr="0002280E" w:rsidRDefault="00F37638" w:rsidP="00F37638">
      <w:pPr>
        <w:spacing w:afterLines="120"/>
        <w:rPr>
          <w:szCs w:val="20"/>
        </w:rPr>
      </w:pPr>
      <w:r w:rsidRPr="0002280E">
        <w:rPr>
          <w:szCs w:val="20"/>
        </w:rPr>
        <w:t xml:space="preserve">The </w:t>
      </w:r>
      <m:oMath>
        <m:sSub>
          <m:sSubPr>
            <m:ctrlPr>
              <w:rPr>
                <w:rFonts w:ascii="Cambria Math" w:hAnsi="Cambria Math"/>
                <w:i/>
                <w:szCs w:val="20"/>
              </w:rPr>
            </m:ctrlPr>
          </m:sSubPr>
          <m:e>
            <m:r>
              <w:rPr>
                <w:rFonts w:ascii="Cambria Math" w:hAnsi="Cambria Math"/>
                <w:szCs w:val="20"/>
              </w:rPr>
              <m:t>L</m:t>
            </m:r>
          </m:e>
          <m:sub>
            <m:r>
              <w:rPr>
                <w:rFonts w:ascii="Cambria Math" w:hAnsi="Cambria Math"/>
                <w:szCs w:val="20"/>
              </w:rPr>
              <m:t>1</m:t>
            </m:r>
          </m:sub>
        </m:sSub>
      </m:oMath>
      <w:r w:rsidRPr="0002280E">
        <w:rPr>
          <w:rFonts w:eastAsiaTheme="minorEastAsia"/>
          <w:szCs w:val="20"/>
        </w:rPr>
        <w:t>statistic</w:t>
      </w:r>
      <w:r w:rsidRPr="0002280E">
        <w:rPr>
          <w:szCs w:val="20"/>
        </w:rPr>
        <w:t xml:space="preserve"> examines balance on the joint distribution of all characteristics </w:t>
      </w:r>
      <w:r w:rsidRPr="0002280E">
        <w:rPr>
          <w:rFonts w:eastAsiaTheme="minorEastAsia"/>
          <w:noProof/>
          <w:szCs w:val="20"/>
        </w:rPr>
        <w:t>[9]</w:t>
      </w:r>
      <w:r w:rsidRPr="0002280E">
        <w:rPr>
          <w:rFonts w:eastAsiaTheme="minorEastAsia"/>
          <w:szCs w:val="20"/>
        </w:rPr>
        <w:t xml:space="preserve">. To compute the </w:t>
      </w:r>
      <m:oMath>
        <m:sSub>
          <m:sSubPr>
            <m:ctrlPr>
              <w:rPr>
                <w:rFonts w:ascii="Cambria Math" w:hAnsi="Cambria Math"/>
                <w:i/>
                <w:szCs w:val="20"/>
              </w:rPr>
            </m:ctrlPr>
          </m:sSubPr>
          <m:e>
            <m:r>
              <w:rPr>
                <w:rFonts w:ascii="Cambria Math" w:hAnsi="Cambria Math"/>
                <w:szCs w:val="20"/>
              </w:rPr>
              <m:t>L</m:t>
            </m:r>
          </m:e>
          <m:sub>
            <m:r>
              <w:rPr>
                <w:rFonts w:ascii="Cambria Math" w:hAnsi="Cambria Math"/>
                <w:szCs w:val="20"/>
              </w:rPr>
              <m:t>1</m:t>
            </m:r>
          </m:sub>
        </m:sSub>
      </m:oMath>
      <w:r w:rsidRPr="0002280E">
        <w:rPr>
          <w:rFonts w:eastAsiaTheme="minorEastAsia"/>
          <w:szCs w:val="20"/>
        </w:rPr>
        <w:t>statistic, all characteristics are first cross-tabulated separately for the 2011 and 2012 samples, before the relative frequencies of the 2011 respo</w:t>
      </w:r>
      <w:proofErr w:type="spellStart"/>
      <w:r w:rsidRPr="0002280E">
        <w:rPr>
          <w:rFonts w:eastAsiaTheme="minorEastAsia"/>
          <w:szCs w:val="20"/>
        </w:rPr>
        <w:t>ndents</w:t>
      </w:r>
      <w:proofErr w:type="spellEnd"/>
      <w:r w:rsidRPr="0002280E">
        <w:rPr>
          <w:rFonts w:eastAsiaTheme="minorEastAsia"/>
          <w:szCs w:val="20"/>
        </w:rPr>
        <w:t xml:space="preserve"> (</w:t>
      </w:r>
      <m:oMath>
        <m:sSub>
          <m:sSubPr>
            <m:ctrlPr>
              <w:rPr>
                <w:rFonts w:ascii="Cambria Math" w:hAnsi="Cambria Math"/>
                <w:i/>
                <w:szCs w:val="20"/>
              </w:rPr>
            </m:ctrlPr>
          </m:sSubPr>
          <m:e>
            <m:r>
              <w:rPr>
                <w:rFonts w:ascii="Cambria Math" w:hAnsi="Cambria Math"/>
                <w:szCs w:val="20"/>
              </w:rPr>
              <m:t>f</m:t>
            </m:r>
          </m:e>
          <m:sub>
            <m:r>
              <w:rPr>
                <w:rFonts w:ascii="Cambria Math" w:hAnsi="Cambria Math"/>
                <w:szCs w:val="20"/>
              </w:rPr>
              <m:t>i,2012</m:t>
            </m:r>
          </m:sub>
        </m:sSub>
      </m:oMath>
      <w:r w:rsidRPr="0002280E">
        <w:rPr>
          <w:rFonts w:eastAsiaTheme="minorEastAsia"/>
          <w:szCs w:val="20"/>
        </w:rPr>
        <w:t>) and 2012 (</w:t>
      </w:r>
      <m:oMath>
        <m:sSub>
          <m:sSubPr>
            <m:ctrlPr>
              <w:rPr>
                <w:rFonts w:ascii="Cambria Math" w:hAnsi="Cambria Math"/>
                <w:i/>
                <w:szCs w:val="20"/>
              </w:rPr>
            </m:ctrlPr>
          </m:sSubPr>
          <m:e>
            <m:r>
              <w:rPr>
                <w:rFonts w:ascii="Cambria Math" w:hAnsi="Cambria Math"/>
                <w:szCs w:val="20"/>
              </w:rPr>
              <m:t>f</m:t>
            </m:r>
          </m:e>
          <m:sub>
            <m:r>
              <w:rPr>
                <w:rFonts w:ascii="Cambria Math" w:hAnsi="Cambria Math"/>
                <w:szCs w:val="20"/>
              </w:rPr>
              <m:t>i,2011</m:t>
            </m:r>
          </m:sub>
        </m:sSub>
      </m:oMath>
      <w:r w:rsidRPr="0002280E">
        <w:rPr>
          <w:rFonts w:eastAsiaTheme="minorEastAsia"/>
          <w:szCs w:val="20"/>
        </w:rPr>
        <w:t>) respondents in each cell (</w:t>
      </w:r>
      <m:oMath>
        <m:r>
          <w:rPr>
            <w:rFonts w:ascii="Cambria Math" w:eastAsiaTheme="minorEastAsia" w:hAnsi="Cambria Math"/>
            <w:szCs w:val="20"/>
          </w:rPr>
          <m:t>i=1, …, K</m:t>
        </m:r>
      </m:oMath>
      <w:r w:rsidRPr="0002280E">
        <w:rPr>
          <w:rFonts w:eastAsiaTheme="minorEastAsia"/>
          <w:szCs w:val="20"/>
        </w:rPr>
        <w:t xml:space="preserve">) are recorded. </w:t>
      </w:r>
      <w:proofErr w:type="gramStart"/>
      <w:r w:rsidRPr="0002280E">
        <w:rPr>
          <w:rFonts w:eastAsiaTheme="minorEastAsia"/>
          <w:szCs w:val="20"/>
        </w:rPr>
        <w:t xml:space="preserve">The </w:t>
      </w:r>
      <m:oMath>
        <m:sSub>
          <m:sSubPr>
            <m:ctrlPr>
              <w:rPr>
                <w:rFonts w:ascii="Cambria Math" w:hAnsi="Cambria Math"/>
                <w:i/>
                <w:szCs w:val="20"/>
              </w:rPr>
            </m:ctrlPr>
          </m:sSubPr>
          <m:e>
            <m:r>
              <w:rPr>
                <w:rFonts w:ascii="Cambria Math" w:hAnsi="Cambria Math"/>
                <w:szCs w:val="20"/>
              </w:rPr>
              <m:t>L</m:t>
            </m:r>
          </m:e>
          <m:sub>
            <m:r>
              <w:rPr>
                <w:rFonts w:ascii="Cambria Math" w:hAnsi="Cambria Math"/>
                <w:szCs w:val="20"/>
              </w:rPr>
              <m:t>1</m:t>
            </m:r>
          </m:sub>
        </m:sSub>
      </m:oMath>
      <w:r w:rsidRPr="0002280E">
        <w:rPr>
          <w:rFonts w:eastAsiaTheme="minorEastAsia"/>
          <w:szCs w:val="20"/>
        </w:rPr>
        <w:t xml:space="preserve"> is</w:t>
      </w:r>
      <w:proofErr w:type="gramEnd"/>
      <w:r w:rsidRPr="0002280E">
        <w:rPr>
          <w:rFonts w:eastAsiaTheme="minorEastAsia"/>
          <w:szCs w:val="20"/>
        </w:rPr>
        <w:t xml:space="preserve"> then computed as half of the absolute difference in these frequencies over all cells:</w:t>
      </w:r>
    </w:p>
    <w:p w:rsidR="00F37638" w:rsidRPr="0002280E" w:rsidRDefault="00F37638" w:rsidP="00F37638">
      <w:pPr>
        <w:spacing w:afterLines="120"/>
        <w:rPr>
          <w:rFonts w:eastAsiaTheme="minorEastAsia"/>
          <w:szCs w:val="20"/>
        </w:rPr>
      </w:pPr>
      <m:oMathPara>
        <m:oMath>
          <m:sSub>
            <m:sSubPr>
              <m:ctrlPr>
                <w:rPr>
                  <w:rFonts w:ascii="Cambria Math" w:hAnsi="Cambria Math"/>
                  <w:i/>
                  <w:szCs w:val="20"/>
                </w:rPr>
              </m:ctrlPr>
            </m:sSubPr>
            <m:e>
              <m:r>
                <w:rPr>
                  <w:rFonts w:ascii="Cambria Math" w:hAnsi="Cambria Math"/>
                  <w:szCs w:val="20"/>
                </w:rPr>
                <m:t>L</m:t>
              </m:r>
            </m:e>
            <m:sub>
              <m:r>
                <w:rPr>
                  <w:rFonts w:ascii="Cambria Math" w:hAnsi="Cambria Math"/>
                  <w:szCs w:val="20"/>
                </w:rPr>
                <m:t>1</m:t>
              </m:r>
            </m:sub>
          </m:sSub>
          <m:r>
            <w:rPr>
              <w:rFonts w:ascii="Cambria Math" w:hAnsi="Cambria Math"/>
              <w:szCs w:val="20"/>
            </w:rPr>
            <m:t>=</m:t>
          </m:r>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nary>
            <m:naryPr>
              <m:chr m:val="∑"/>
              <m:limLoc m:val="undOvr"/>
              <m:ctrlPr>
                <w:rPr>
                  <w:rFonts w:ascii="Cambria Math" w:hAnsi="Cambria Math"/>
                  <w:i/>
                  <w:szCs w:val="20"/>
                </w:rPr>
              </m:ctrlPr>
            </m:naryPr>
            <m:sub>
              <m:r>
                <w:rPr>
                  <w:rFonts w:ascii="Cambria Math" w:hAnsi="Cambria Math"/>
                  <w:szCs w:val="20"/>
                </w:rPr>
                <m:t>K</m:t>
              </m:r>
            </m:sub>
            <m:sup>
              <m:r>
                <w:rPr>
                  <w:rFonts w:ascii="Cambria Math" w:hAnsi="Cambria Math"/>
                  <w:szCs w:val="20"/>
                </w:rPr>
                <m:t>i=1</m:t>
              </m:r>
            </m:sup>
            <m:e>
              <m:r>
                <w:rPr>
                  <w:rFonts w:ascii="Cambria Math" w:hAnsi="Cambria Math"/>
                  <w:szCs w:val="20"/>
                </w:rPr>
                <m:t>|</m:t>
              </m:r>
              <m:sSub>
                <m:sSubPr>
                  <m:ctrlPr>
                    <w:rPr>
                      <w:rFonts w:ascii="Cambria Math" w:hAnsi="Cambria Math"/>
                      <w:i/>
                      <w:szCs w:val="20"/>
                    </w:rPr>
                  </m:ctrlPr>
                </m:sSubPr>
                <m:e>
                  <m:r>
                    <w:rPr>
                      <w:rFonts w:ascii="Cambria Math" w:hAnsi="Cambria Math"/>
                      <w:szCs w:val="20"/>
                    </w:rPr>
                    <m:t>f</m:t>
                  </m:r>
                </m:e>
                <m:sub>
                  <m:r>
                    <w:rPr>
                      <w:rFonts w:ascii="Cambria Math" w:hAnsi="Cambria Math"/>
                      <w:szCs w:val="20"/>
                    </w:rPr>
                    <m:t>i,2012</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f</m:t>
                  </m:r>
                </m:e>
                <m:sub>
                  <m:r>
                    <w:rPr>
                      <w:rFonts w:ascii="Cambria Math" w:hAnsi="Cambria Math"/>
                      <w:szCs w:val="20"/>
                    </w:rPr>
                    <m:t>i,2011</m:t>
                  </m:r>
                </m:sub>
              </m:sSub>
              <m:r>
                <w:rPr>
                  <w:rFonts w:ascii="Cambria Math" w:hAnsi="Cambria Math"/>
                  <w:szCs w:val="20"/>
                </w:rPr>
                <m:t>|</m:t>
              </m:r>
            </m:e>
          </m:nary>
        </m:oMath>
      </m:oMathPara>
    </w:p>
    <w:p w:rsidR="00F37638" w:rsidRPr="0002280E" w:rsidRDefault="00F37638" w:rsidP="00F37638">
      <w:pPr>
        <w:spacing w:afterLines="120"/>
        <w:rPr>
          <w:rFonts w:eastAsiaTheme="minorEastAsia"/>
          <w:szCs w:val="20"/>
        </w:rPr>
      </w:pPr>
      <w:r w:rsidRPr="0002280E">
        <w:rPr>
          <w:rFonts w:eastAsiaTheme="minorEastAsia"/>
          <w:szCs w:val="20"/>
        </w:rPr>
        <w:lastRenderedPageBreak/>
        <w:t xml:space="preserve">The </w:t>
      </w:r>
      <m:oMath>
        <m:sSub>
          <m:sSubPr>
            <m:ctrlPr>
              <w:rPr>
                <w:rFonts w:ascii="Cambria Math" w:hAnsi="Cambria Math"/>
                <w:i/>
                <w:szCs w:val="20"/>
              </w:rPr>
            </m:ctrlPr>
          </m:sSubPr>
          <m:e>
            <m:r>
              <w:rPr>
                <w:rFonts w:ascii="Cambria Math" w:hAnsi="Cambria Math"/>
                <w:szCs w:val="20"/>
              </w:rPr>
              <m:t>L</m:t>
            </m:r>
          </m:e>
          <m:sub>
            <m:r>
              <w:rPr>
                <w:rFonts w:ascii="Cambria Math" w:hAnsi="Cambria Math"/>
                <w:szCs w:val="20"/>
              </w:rPr>
              <m:t>1</m:t>
            </m:r>
          </m:sub>
        </m:sSub>
      </m:oMath>
      <w:r w:rsidRPr="0002280E">
        <w:rPr>
          <w:rFonts w:eastAsiaTheme="minorEastAsia"/>
          <w:szCs w:val="20"/>
        </w:rPr>
        <w:t xml:space="preserve"> statistic ranges from zero to one, where zero denotes perfect balance on all characteristics, and one denotes complete separation.</w:t>
      </w:r>
    </w:p>
    <w:p w:rsidR="00F37638" w:rsidRPr="0002280E" w:rsidRDefault="00F37638" w:rsidP="00F37638">
      <w:pPr>
        <w:spacing w:afterLines="120"/>
        <w:rPr>
          <w:rFonts w:eastAsiaTheme="minorEastAsia"/>
          <w:szCs w:val="20"/>
        </w:rPr>
        <w:sectPr w:rsidR="00F37638" w:rsidRPr="0002280E" w:rsidSect="00E0230E">
          <w:pgSz w:w="11906" w:h="16838"/>
          <w:pgMar w:top="1440" w:right="1440" w:bottom="1440" w:left="1440" w:header="709" w:footer="709" w:gutter="0"/>
          <w:cols w:space="708"/>
          <w:docGrid w:linePitch="360"/>
        </w:sectPr>
      </w:pPr>
    </w:p>
    <w:p w:rsidR="00F37638" w:rsidRPr="0002280E" w:rsidRDefault="00F37638" w:rsidP="00F37638">
      <w:pPr>
        <w:spacing w:afterLines="120"/>
        <w:rPr>
          <w:rFonts w:eastAsiaTheme="minorEastAsia"/>
          <w:b/>
          <w:szCs w:val="20"/>
        </w:rPr>
      </w:pPr>
      <w:r w:rsidRPr="0002280E">
        <w:rPr>
          <w:rFonts w:eastAsiaTheme="minorEastAsia"/>
          <w:b/>
          <w:szCs w:val="20"/>
        </w:rPr>
        <w:lastRenderedPageBreak/>
        <w:t xml:space="preserve">Supplementary Appendix 2: Imbalance in the distributions of respondent characteristics between the </w:t>
      </w:r>
      <w:proofErr w:type="spellStart"/>
      <w:r w:rsidRPr="0002280E">
        <w:rPr>
          <w:rFonts w:eastAsiaTheme="minorEastAsia"/>
          <w:b/>
          <w:szCs w:val="20"/>
        </w:rPr>
        <w:t>5L</w:t>
      </w:r>
      <w:proofErr w:type="spellEnd"/>
      <w:r w:rsidRPr="0002280E">
        <w:rPr>
          <w:rFonts w:eastAsiaTheme="minorEastAsia"/>
          <w:b/>
          <w:szCs w:val="20"/>
        </w:rPr>
        <w:t xml:space="preserve"> (2012) and </w:t>
      </w:r>
      <w:proofErr w:type="spellStart"/>
      <w:r w:rsidRPr="0002280E">
        <w:rPr>
          <w:rFonts w:eastAsiaTheme="minorEastAsia"/>
          <w:b/>
          <w:szCs w:val="20"/>
        </w:rPr>
        <w:t>3L</w:t>
      </w:r>
      <w:proofErr w:type="spellEnd"/>
      <w:r w:rsidRPr="0002280E">
        <w:rPr>
          <w:rFonts w:eastAsiaTheme="minorEastAsia"/>
          <w:b/>
          <w:szCs w:val="20"/>
        </w:rPr>
        <w:t xml:space="preserve"> (2011) samples prior to and following matching</w:t>
      </w:r>
    </w:p>
    <w:p w:rsidR="00F37638" w:rsidRPr="0002280E" w:rsidRDefault="00F37638" w:rsidP="00F37638">
      <w:pPr>
        <w:pStyle w:val="Caption"/>
        <w:keepNext/>
        <w:jc w:val="left"/>
      </w:pPr>
      <w:r w:rsidRPr="0002280E">
        <w:t xml:space="preserve">Table </w:t>
      </w:r>
      <w:proofErr w:type="spellStart"/>
      <w:r w:rsidRPr="0002280E">
        <w:t>A1</w:t>
      </w:r>
      <w:proofErr w:type="spellEnd"/>
      <w:r w:rsidRPr="0002280E">
        <w:t xml:space="preserve">: Imbalance in the distribution of respondent characteristics between the </w:t>
      </w:r>
      <w:proofErr w:type="spellStart"/>
      <w:r w:rsidRPr="0002280E">
        <w:t>5L</w:t>
      </w:r>
      <w:proofErr w:type="spellEnd"/>
      <w:r w:rsidRPr="0002280E">
        <w:t xml:space="preserve"> (2012) and </w:t>
      </w:r>
      <w:proofErr w:type="spellStart"/>
      <w:r w:rsidRPr="0002280E">
        <w:t>3L</w:t>
      </w:r>
      <w:proofErr w:type="spellEnd"/>
      <w:r w:rsidRPr="0002280E">
        <w:t xml:space="preserve"> (2011) samples in the raw data</w:t>
      </w:r>
    </w:p>
    <w:tbl>
      <w:tblPr>
        <w:tblW w:w="5000" w:type="pct"/>
        <w:tblLook w:val="04A0"/>
      </w:tblPr>
      <w:tblGrid>
        <w:gridCol w:w="4711"/>
        <w:gridCol w:w="955"/>
        <w:gridCol w:w="953"/>
        <w:gridCol w:w="1145"/>
        <w:gridCol w:w="1145"/>
        <w:gridCol w:w="1145"/>
        <w:gridCol w:w="628"/>
      </w:tblGrid>
      <w:tr w:rsidR="00F37638" w:rsidRPr="0002280E" w:rsidTr="00D41B03">
        <w:trPr>
          <w:trHeight w:val="20"/>
        </w:trPr>
        <w:tc>
          <w:tcPr>
            <w:tcW w:w="2205" w:type="pct"/>
            <w:tcBorders>
              <w:top w:val="double" w:sz="6" w:space="0" w:color="auto"/>
              <w:left w:val="nil"/>
              <w:bottom w:val="single" w:sz="4" w:space="0" w:color="auto"/>
              <w:right w:val="nil"/>
            </w:tcBorders>
            <w:shd w:val="clear" w:color="auto" w:fill="auto"/>
            <w:noWrap/>
            <w:vAlign w:val="bottom"/>
            <w:hideMark/>
          </w:tcPr>
          <w:p w:rsidR="00F37638" w:rsidRPr="0002280E" w:rsidRDefault="00F37638" w:rsidP="00D41B03">
            <w:pPr>
              <w:spacing w:line="240" w:lineRule="auto"/>
              <w:rPr>
                <w:b/>
                <w:bCs/>
                <w:sz w:val="18"/>
                <w:szCs w:val="18"/>
              </w:rPr>
            </w:pPr>
            <w:r w:rsidRPr="0002280E">
              <w:rPr>
                <w:b/>
                <w:bCs/>
                <w:sz w:val="18"/>
                <w:szCs w:val="18"/>
              </w:rPr>
              <w:t>Characteristic</w:t>
            </w:r>
          </w:p>
        </w:tc>
        <w:tc>
          <w:tcPr>
            <w:tcW w:w="447" w:type="pct"/>
            <w:tcBorders>
              <w:top w:val="double" w:sz="6" w:space="0" w:color="auto"/>
              <w:left w:val="nil"/>
              <w:bottom w:val="single" w:sz="4" w:space="0" w:color="auto"/>
              <w:right w:val="nil"/>
            </w:tcBorders>
            <w:shd w:val="clear" w:color="auto" w:fill="auto"/>
            <w:vAlign w:val="bottom"/>
            <w:hideMark/>
          </w:tcPr>
          <w:p w:rsidR="00F37638" w:rsidRPr="0002280E" w:rsidRDefault="00F37638" w:rsidP="00D41B03">
            <w:pPr>
              <w:spacing w:line="240" w:lineRule="auto"/>
              <w:jc w:val="center"/>
              <w:rPr>
                <w:b/>
                <w:bCs/>
                <w:sz w:val="18"/>
                <w:szCs w:val="18"/>
              </w:rPr>
            </w:pPr>
            <w:r w:rsidRPr="0002280E">
              <w:rPr>
                <w:b/>
                <w:bCs/>
                <w:sz w:val="18"/>
                <w:szCs w:val="18"/>
              </w:rPr>
              <w:t>Diff. in Mean</w:t>
            </w:r>
          </w:p>
        </w:tc>
        <w:tc>
          <w:tcPr>
            <w:tcW w:w="446" w:type="pct"/>
            <w:tcBorders>
              <w:top w:val="double" w:sz="6" w:space="0" w:color="auto"/>
              <w:left w:val="nil"/>
              <w:bottom w:val="single" w:sz="4" w:space="0" w:color="auto"/>
              <w:right w:val="nil"/>
            </w:tcBorders>
            <w:shd w:val="clear" w:color="auto" w:fill="auto"/>
            <w:vAlign w:val="bottom"/>
            <w:hideMark/>
          </w:tcPr>
          <w:p w:rsidR="00F37638" w:rsidRPr="0002280E" w:rsidRDefault="00F37638" w:rsidP="00D41B03">
            <w:pPr>
              <w:spacing w:line="240" w:lineRule="auto"/>
              <w:jc w:val="center"/>
              <w:rPr>
                <w:b/>
                <w:bCs/>
                <w:sz w:val="18"/>
                <w:szCs w:val="18"/>
              </w:rPr>
            </w:pPr>
            <w:r w:rsidRPr="0002280E">
              <w:rPr>
                <w:b/>
                <w:bCs/>
                <w:sz w:val="18"/>
                <w:szCs w:val="18"/>
              </w:rPr>
              <w:t>Diff. in Min</w:t>
            </w:r>
          </w:p>
        </w:tc>
        <w:tc>
          <w:tcPr>
            <w:tcW w:w="536" w:type="pct"/>
            <w:tcBorders>
              <w:top w:val="double" w:sz="6" w:space="0" w:color="auto"/>
              <w:left w:val="nil"/>
              <w:bottom w:val="single" w:sz="4" w:space="0" w:color="auto"/>
              <w:right w:val="nil"/>
            </w:tcBorders>
            <w:shd w:val="clear" w:color="auto" w:fill="auto"/>
            <w:vAlign w:val="bottom"/>
            <w:hideMark/>
          </w:tcPr>
          <w:p w:rsidR="00F37638" w:rsidRPr="0002280E" w:rsidRDefault="00F37638" w:rsidP="00D41B03">
            <w:pPr>
              <w:spacing w:line="240" w:lineRule="auto"/>
              <w:jc w:val="center"/>
              <w:rPr>
                <w:b/>
                <w:bCs/>
                <w:sz w:val="18"/>
                <w:szCs w:val="18"/>
              </w:rPr>
            </w:pPr>
            <w:r w:rsidRPr="0002280E">
              <w:rPr>
                <w:b/>
                <w:bCs/>
                <w:sz w:val="18"/>
                <w:szCs w:val="18"/>
              </w:rPr>
              <w:t>Diff. in 25th percentile</w:t>
            </w:r>
          </w:p>
        </w:tc>
        <w:tc>
          <w:tcPr>
            <w:tcW w:w="536" w:type="pct"/>
            <w:tcBorders>
              <w:top w:val="double" w:sz="6" w:space="0" w:color="auto"/>
              <w:left w:val="nil"/>
              <w:bottom w:val="single" w:sz="4" w:space="0" w:color="auto"/>
              <w:right w:val="nil"/>
            </w:tcBorders>
            <w:shd w:val="clear" w:color="auto" w:fill="auto"/>
            <w:vAlign w:val="bottom"/>
            <w:hideMark/>
          </w:tcPr>
          <w:p w:rsidR="00F37638" w:rsidRPr="0002280E" w:rsidRDefault="00F37638" w:rsidP="00D41B03">
            <w:pPr>
              <w:spacing w:line="240" w:lineRule="auto"/>
              <w:jc w:val="center"/>
              <w:rPr>
                <w:b/>
                <w:bCs/>
                <w:sz w:val="18"/>
                <w:szCs w:val="18"/>
              </w:rPr>
            </w:pPr>
            <w:r w:rsidRPr="0002280E">
              <w:rPr>
                <w:b/>
                <w:bCs/>
                <w:sz w:val="18"/>
                <w:szCs w:val="18"/>
              </w:rPr>
              <w:t>Diff. in 50th percentile</w:t>
            </w:r>
          </w:p>
        </w:tc>
        <w:tc>
          <w:tcPr>
            <w:tcW w:w="536" w:type="pct"/>
            <w:tcBorders>
              <w:top w:val="double" w:sz="6" w:space="0" w:color="auto"/>
              <w:left w:val="nil"/>
              <w:bottom w:val="single" w:sz="4" w:space="0" w:color="auto"/>
              <w:right w:val="nil"/>
            </w:tcBorders>
            <w:shd w:val="clear" w:color="auto" w:fill="auto"/>
            <w:vAlign w:val="bottom"/>
            <w:hideMark/>
          </w:tcPr>
          <w:p w:rsidR="00F37638" w:rsidRPr="0002280E" w:rsidRDefault="00F37638" w:rsidP="00D41B03">
            <w:pPr>
              <w:spacing w:line="240" w:lineRule="auto"/>
              <w:jc w:val="center"/>
              <w:rPr>
                <w:b/>
                <w:bCs/>
                <w:sz w:val="18"/>
                <w:szCs w:val="18"/>
              </w:rPr>
            </w:pPr>
            <w:r w:rsidRPr="0002280E">
              <w:rPr>
                <w:b/>
                <w:bCs/>
                <w:sz w:val="18"/>
                <w:szCs w:val="18"/>
              </w:rPr>
              <w:t>Diff. in 75th percentile</w:t>
            </w:r>
          </w:p>
        </w:tc>
        <w:tc>
          <w:tcPr>
            <w:tcW w:w="294" w:type="pct"/>
            <w:tcBorders>
              <w:top w:val="double" w:sz="6" w:space="0" w:color="auto"/>
              <w:left w:val="nil"/>
              <w:bottom w:val="single" w:sz="4" w:space="0" w:color="auto"/>
              <w:right w:val="nil"/>
            </w:tcBorders>
            <w:shd w:val="clear" w:color="auto" w:fill="auto"/>
            <w:vAlign w:val="bottom"/>
            <w:hideMark/>
          </w:tcPr>
          <w:p w:rsidR="00F37638" w:rsidRPr="0002280E" w:rsidRDefault="00F37638" w:rsidP="00D41B03">
            <w:pPr>
              <w:spacing w:line="240" w:lineRule="auto"/>
              <w:jc w:val="center"/>
              <w:rPr>
                <w:b/>
                <w:bCs/>
                <w:sz w:val="18"/>
                <w:szCs w:val="18"/>
              </w:rPr>
            </w:pPr>
            <w:r w:rsidRPr="0002280E">
              <w:rPr>
                <w:b/>
                <w:bCs/>
                <w:sz w:val="18"/>
                <w:szCs w:val="18"/>
              </w:rPr>
              <w:t>Diff. in Max</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Gender (Male=1)</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&lt;0.00001</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Age</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18-24 years</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-0.00448</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25-34 years</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-0.00638</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35-44 years</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-0.00863</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45-54 years</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-0.00193</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55-64 years</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-0.00115</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65-74 years</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0.01632</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75-84 years</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0.00578</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85+ years</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0.00047</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Ethnic group</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White</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-0.00086</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Mixed</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&lt;0.00001</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Asian</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-0.00144</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Black</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0.00037</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Other</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0.00202</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Long-term health conditions</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Alzheimer’s Disease</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-0.00027</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Angina or long-term heart problem</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0.00095</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&lt;0.00001</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&lt;0.00001</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Arthritis or long-term joint problem</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0.00481</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Asthma or long-term chest problem</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-0.00035</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Blindness or severe visual impairment</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-0.00035</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Cancer in the last 5 years</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0.00248</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Deafness or severe hearing impairment</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0.00114</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Diabetes</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0.0054</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Epilepsy</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-0.00062</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High blood pressure</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0.00966</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Kidney or liver disease</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0.00097</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Learning difficulty</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&lt;0.00001</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&lt;0.00001</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&lt;0.00001</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Long-term back problem</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0.00119</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lastRenderedPageBreak/>
              <w:t xml:space="preserve"> Long-term mental health problem</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0.00207</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Long-term neurological problem</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0.00113</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Another long-term condition</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0.00799</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Index of Multiple Deprivation (</w:t>
            </w:r>
            <w:proofErr w:type="spellStart"/>
            <w:r w:rsidRPr="0002280E">
              <w:rPr>
                <w:b/>
                <w:bCs/>
                <w:sz w:val="18"/>
                <w:szCs w:val="18"/>
              </w:rPr>
              <w:t>IMD</w:t>
            </w:r>
            <w:proofErr w:type="spellEnd"/>
            <w:r w:rsidRPr="0002280E">
              <w:rPr>
                <w:b/>
                <w:bCs/>
                <w:sz w:val="18"/>
                <w:szCs w:val="18"/>
              </w:rPr>
              <w:t>) score</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0.18207</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0.1</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0.2</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0.31</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Economic activity</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Employed (Full or part-time)</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-0.01177</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Permanently sick or disabled</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-0.00133</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Unemployed</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-0.00016</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Retired</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0.0142</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Other (student, looking after home, "something else")</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-0.00094</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Health limits daily activity</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 lot</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0.00579</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 little</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&lt;0.00001</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No</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-0.00576</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vAlign w:val="center"/>
            <w:hideMark/>
          </w:tcPr>
          <w:p w:rsidR="00F37638" w:rsidRPr="0002280E" w:rsidRDefault="00F37638" w:rsidP="00D41B03">
            <w:pPr>
              <w:spacing w:line="240" w:lineRule="auto"/>
              <w:rPr>
                <w:b/>
                <w:bCs/>
                <w:sz w:val="18"/>
                <w:szCs w:val="18"/>
              </w:rPr>
            </w:pPr>
            <w:r w:rsidRPr="0002280E">
              <w:rPr>
                <w:b/>
                <w:bCs/>
                <w:sz w:val="18"/>
                <w:szCs w:val="18"/>
              </w:rPr>
              <w:t>Sexual orientation (Gay/Lesbian/Bisexual/Prefer not to say=1)</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&lt;0.00001</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Smoking habits</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Never smoked</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0.00711</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Former smoker</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-0.0107</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Current smoker</w:t>
            </w:r>
          </w:p>
        </w:tc>
        <w:tc>
          <w:tcPr>
            <w:tcW w:w="447"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0.00359</w:t>
            </w:r>
          </w:p>
        </w:tc>
        <w:tc>
          <w:tcPr>
            <w:tcW w:w="44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2205" w:type="pct"/>
            <w:tcBorders>
              <w:top w:val="nil"/>
              <w:left w:val="nil"/>
              <w:bottom w:val="single" w:sz="4" w:space="0" w:color="auto"/>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Wave (July-September=1)</w:t>
            </w:r>
          </w:p>
        </w:tc>
        <w:tc>
          <w:tcPr>
            <w:tcW w:w="447" w:type="pct"/>
            <w:tcBorders>
              <w:top w:val="nil"/>
              <w:left w:val="nil"/>
              <w:bottom w:val="single" w:sz="4" w:space="0" w:color="auto"/>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0.02744</w:t>
            </w:r>
          </w:p>
        </w:tc>
        <w:tc>
          <w:tcPr>
            <w:tcW w:w="446" w:type="pct"/>
            <w:tcBorders>
              <w:top w:val="nil"/>
              <w:left w:val="nil"/>
              <w:bottom w:val="single" w:sz="4" w:space="0" w:color="auto"/>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single" w:sz="4" w:space="0" w:color="auto"/>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36" w:type="pct"/>
            <w:tcBorders>
              <w:top w:val="nil"/>
              <w:left w:val="nil"/>
              <w:bottom w:val="single" w:sz="4" w:space="0" w:color="auto"/>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1</w:t>
            </w:r>
          </w:p>
        </w:tc>
        <w:tc>
          <w:tcPr>
            <w:tcW w:w="536" w:type="pct"/>
            <w:tcBorders>
              <w:top w:val="nil"/>
              <w:left w:val="nil"/>
              <w:bottom w:val="single" w:sz="4" w:space="0" w:color="auto"/>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294" w:type="pct"/>
            <w:tcBorders>
              <w:top w:val="nil"/>
              <w:left w:val="nil"/>
              <w:bottom w:val="single" w:sz="4" w:space="0" w:color="auto"/>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bl>
    <w:p w:rsidR="00F37638" w:rsidRPr="0002280E" w:rsidRDefault="00F37638" w:rsidP="00F37638">
      <w:pPr>
        <w:spacing w:afterLines="120"/>
        <w:rPr>
          <w:rFonts w:eastAsiaTheme="minorEastAsia"/>
          <w:szCs w:val="20"/>
        </w:rPr>
        <w:sectPr w:rsidR="00F37638" w:rsidRPr="0002280E" w:rsidSect="00EC0AA9">
          <w:pgSz w:w="11906" w:h="16838"/>
          <w:pgMar w:top="720" w:right="720" w:bottom="720" w:left="720" w:header="709" w:footer="709" w:gutter="0"/>
          <w:cols w:space="708"/>
          <w:docGrid w:linePitch="360"/>
        </w:sectPr>
      </w:pPr>
      <w:r w:rsidRPr="0002280E">
        <w:rPr>
          <w:rFonts w:eastAsiaTheme="minorEastAsia"/>
          <w:szCs w:val="20"/>
        </w:rPr>
        <w:t xml:space="preserve"> </w:t>
      </w:r>
    </w:p>
    <w:p w:rsidR="00F37638" w:rsidRPr="0002280E" w:rsidRDefault="00F37638" w:rsidP="00F37638">
      <w:pPr>
        <w:pStyle w:val="Caption"/>
        <w:jc w:val="left"/>
      </w:pPr>
      <w:r w:rsidRPr="0002280E">
        <w:lastRenderedPageBreak/>
        <w:t xml:space="preserve">Table </w:t>
      </w:r>
      <w:proofErr w:type="spellStart"/>
      <w:r w:rsidRPr="0002280E">
        <w:t>A2</w:t>
      </w:r>
      <w:proofErr w:type="spellEnd"/>
      <w:r w:rsidRPr="0002280E">
        <w:t xml:space="preserve">: Imbalance in the distribution of respondent characteristics between the </w:t>
      </w:r>
      <w:proofErr w:type="spellStart"/>
      <w:r w:rsidRPr="0002280E">
        <w:t>5L</w:t>
      </w:r>
      <w:proofErr w:type="spellEnd"/>
      <w:r w:rsidRPr="0002280E">
        <w:t xml:space="preserve"> (2012) and </w:t>
      </w:r>
      <w:proofErr w:type="spellStart"/>
      <w:r w:rsidRPr="0002280E">
        <w:t>3L</w:t>
      </w:r>
      <w:proofErr w:type="spellEnd"/>
      <w:r w:rsidRPr="0002280E">
        <w:t xml:space="preserve"> (2011) samples following matching</w:t>
      </w:r>
    </w:p>
    <w:tbl>
      <w:tblPr>
        <w:tblW w:w="9649" w:type="dxa"/>
        <w:tblInd w:w="93" w:type="dxa"/>
        <w:tblLook w:val="04A0"/>
      </w:tblPr>
      <w:tblGrid>
        <w:gridCol w:w="4461"/>
        <w:gridCol w:w="736"/>
        <w:gridCol w:w="597"/>
        <w:gridCol w:w="1086"/>
        <w:gridCol w:w="1086"/>
        <w:gridCol w:w="1086"/>
        <w:gridCol w:w="597"/>
      </w:tblGrid>
      <w:tr w:rsidR="00F37638" w:rsidRPr="0002280E" w:rsidTr="00D41B03">
        <w:trPr>
          <w:trHeight w:val="20"/>
        </w:trPr>
        <w:tc>
          <w:tcPr>
            <w:tcW w:w="4461" w:type="dxa"/>
            <w:tcBorders>
              <w:top w:val="double" w:sz="6" w:space="0" w:color="auto"/>
              <w:left w:val="nil"/>
              <w:bottom w:val="single" w:sz="4" w:space="0" w:color="auto"/>
              <w:right w:val="nil"/>
            </w:tcBorders>
            <w:shd w:val="clear" w:color="auto" w:fill="auto"/>
            <w:noWrap/>
            <w:vAlign w:val="bottom"/>
            <w:hideMark/>
          </w:tcPr>
          <w:p w:rsidR="00F37638" w:rsidRPr="0002280E" w:rsidRDefault="00F37638" w:rsidP="00D41B03">
            <w:pPr>
              <w:spacing w:line="240" w:lineRule="auto"/>
              <w:rPr>
                <w:b/>
                <w:bCs/>
                <w:sz w:val="18"/>
                <w:szCs w:val="18"/>
              </w:rPr>
            </w:pPr>
            <w:r w:rsidRPr="0002280E">
              <w:rPr>
                <w:b/>
                <w:bCs/>
                <w:sz w:val="18"/>
                <w:szCs w:val="18"/>
              </w:rPr>
              <w:t>Characteristic</w:t>
            </w:r>
          </w:p>
        </w:tc>
        <w:tc>
          <w:tcPr>
            <w:tcW w:w="736" w:type="dxa"/>
            <w:tcBorders>
              <w:top w:val="double" w:sz="6" w:space="0" w:color="auto"/>
              <w:left w:val="nil"/>
              <w:bottom w:val="single" w:sz="4" w:space="0" w:color="auto"/>
              <w:right w:val="nil"/>
            </w:tcBorders>
            <w:shd w:val="clear" w:color="auto" w:fill="auto"/>
            <w:vAlign w:val="bottom"/>
            <w:hideMark/>
          </w:tcPr>
          <w:p w:rsidR="00F37638" w:rsidRPr="0002280E" w:rsidRDefault="00F37638" w:rsidP="00D41B03">
            <w:pPr>
              <w:spacing w:line="240" w:lineRule="auto"/>
              <w:jc w:val="center"/>
              <w:rPr>
                <w:b/>
                <w:bCs/>
                <w:sz w:val="18"/>
                <w:szCs w:val="18"/>
              </w:rPr>
            </w:pPr>
            <w:r w:rsidRPr="0002280E">
              <w:rPr>
                <w:b/>
                <w:bCs/>
                <w:sz w:val="18"/>
                <w:szCs w:val="18"/>
              </w:rPr>
              <w:t>Diff. in Mean</w:t>
            </w:r>
          </w:p>
        </w:tc>
        <w:tc>
          <w:tcPr>
            <w:tcW w:w="597" w:type="dxa"/>
            <w:tcBorders>
              <w:top w:val="double" w:sz="6" w:space="0" w:color="auto"/>
              <w:left w:val="nil"/>
              <w:bottom w:val="single" w:sz="4" w:space="0" w:color="auto"/>
              <w:right w:val="nil"/>
            </w:tcBorders>
            <w:shd w:val="clear" w:color="auto" w:fill="auto"/>
            <w:vAlign w:val="bottom"/>
            <w:hideMark/>
          </w:tcPr>
          <w:p w:rsidR="00F37638" w:rsidRPr="0002280E" w:rsidRDefault="00F37638" w:rsidP="00D41B03">
            <w:pPr>
              <w:spacing w:line="240" w:lineRule="auto"/>
              <w:jc w:val="center"/>
              <w:rPr>
                <w:b/>
                <w:bCs/>
                <w:sz w:val="18"/>
                <w:szCs w:val="18"/>
              </w:rPr>
            </w:pPr>
            <w:r w:rsidRPr="0002280E">
              <w:rPr>
                <w:b/>
                <w:bCs/>
                <w:sz w:val="18"/>
                <w:szCs w:val="18"/>
              </w:rPr>
              <w:t>Diff. in Min</w:t>
            </w:r>
          </w:p>
        </w:tc>
        <w:tc>
          <w:tcPr>
            <w:tcW w:w="1086" w:type="dxa"/>
            <w:tcBorders>
              <w:top w:val="double" w:sz="6" w:space="0" w:color="auto"/>
              <w:left w:val="nil"/>
              <w:bottom w:val="single" w:sz="4" w:space="0" w:color="auto"/>
              <w:right w:val="nil"/>
            </w:tcBorders>
            <w:shd w:val="clear" w:color="auto" w:fill="auto"/>
            <w:vAlign w:val="bottom"/>
            <w:hideMark/>
          </w:tcPr>
          <w:p w:rsidR="00F37638" w:rsidRPr="0002280E" w:rsidRDefault="00F37638" w:rsidP="00D41B03">
            <w:pPr>
              <w:spacing w:line="240" w:lineRule="auto"/>
              <w:jc w:val="center"/>
              <w:rPr>
                <w:b/>
                <w:bCs/>
                <w:sz w:val="18"/>
                <w:szCs w:val="18"/>
              </w:rPr>
            </w:pPr>
            <w:r w:rsidRPr="0002280E">
              <w:rPr>
                <w:b/>
                <w:bCs/>
                <w:sz w:val="18"/>
                <w:szCs w:val="18"/>
              </w:rPr>
              <w:t>Diff. in 25th percentile</w:t>
            </w:r>
          </w:p>
        </w:tc>
        <w:tc>
          <w:tcPr>
            <w:tcW w:w="1086" w:type="dxa"/>
            <w:tcBorders>
              <w:top w:val="double" w:sz="6" w:space="0" w:color="auto"/>
              <w:left w:val="nil"/>
              <w:bottom w:val="single" w:sz="4" w:space="0" w:color="auto"/>
              <w:right w:val="nil"/>
            </w:tcBorders>
            <w:shd w:val="clear" w:color="auto" w:fill="auto"/>
            <w:vAlign w:val="bottom"/>
            <w:hideMark/>
          </w:tcPr>
          <w:p w:rsidR="00F37638" w:rsidRPr="0002280E" w:rsidRDefault="00F37638" w:rsidP="00D41B03">
            <w:pPr>
              <w:spacing w:line="240" w:lineRule="auto"/>
              <w:jc w:val="center"/>
              <w:rPr>
                <w:b/>
                <w:bCs/>
                <w:sz w:val="18"/>
                <w:szCs w:val="18"/>
              </w:rPr>
            </w:pPr>
            <w:r w:rsidRPr="0002280E">
              <w:rPr>
                <w:b/>
                <w:bCs/>
                <w:sz w:val="18"/>
                <w:szCs w:val="18"/>
              </w:rPr>
              <w:t>Diff. in 50th percentile</w:t>
            </w:r>
          </w:p>
        </w:tc>
        <w:tc>
          <w:tcPr>
            <w:tcW w:w="1086" w:type="dxa"/>
            <w:tcBorders>
              <w:top w:val="double" w:sz="6" w:space="0" w:color="auto"/>
              <w:left w:val="nil"/>
              <w:bottom w:val="single" w:sz="4" w:space="0" w:color="auto"/>
              <w:right w:val="nil"/>
            </w:tcBorders>
            <w:shd w:val="clear" w:color="auto" w:fill="auto"/>
            <w:vAlign w:val="bottom"/>
            <w:hideMark/>
          </w:tcPr>
          <w:p w:rsidR="00F37638" w:rsidRPr="0002280E" w:rsidRDefault="00F37638" w:rsidP="00D41B03">
            <w:pPr>
              <w:spacing w:line="240" w:lineRule="auto"/>
              <w:jc w:val="center"/>
              <w:rPr>
                <w:b/>
                <w:bCs/>
                <w:sz w:val="18"/>
                <w:szCs w:val="18"/>
              </w:rPr>
            </w:pPr>
            <w:r w:rsidRPr="0002280E">
              <w:rPr>
                <w:b/>
                <w:bCs/>
                <w:sz w:val="18"/>
                <w:szCs w:val="18"/>
              </w:rPr>
              <w:t>Diff. in 75th percentile</w:t>
            </w:r>
          </w:p>
        </w:tc>
        <w:tc>
          <w:tcPr>
            <w:tcW w:w="597" w:type="dxa"/>
            <w:tcBorders>
              <w:top w:val="double" w:sz="6" w:space="0" w:color="auto"/>
              <w:left w:val="nil"/>
              <w:bottom w:val="single" w:sz="4" w:space="0" w:color="auto"/>
              <w:right w:val="nil"/>
            </w:tcBorders>
            <w:shd w:val="clear" w:color="auto" w:fill="auto"/>
            <w:vAlign w:val="bottom"/>
            <w:hideMark/>
          </w:tcPr>
          <w:p w:rsidR="00F37638" w:rsidRPr="0002280E" w:rsidRDefault="00F37638" w:rsidP="00D41B03">
            <w:pPr>
              <w:spacing w:line="240" w:lineRule="auto"/>
              <w:jc w:val="center"/>
              <w:rPr>
                <w:b/>
                <w:bCs/>
                <w:sz w:val="18"/>
                <w:szCs w:val="18"/>
              </w:rPr>
            </w:pPr>
            <w:r w:rsidRPr="0002280E">
              <w:rPr>
                <w:b/>
                <w:bCs/>
                <w:sz w:val="18"/>
                <w:szCs w:val="18"/>
              </w:rPr>
              <w:t>Diff. in Max</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Gender (Male=1)</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Age</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18-24 years</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25-34 years</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35-44 years</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45-54 years</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55-64 years</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65-74 years</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75-84 years</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85+ years</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Ethnic group</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White</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Mixed</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Asian</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Black</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Other</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Long-term health conditions</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Alzheimer’s Disease</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Angina or long-term heart problem</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Arthritis or long-term joint problem</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Asthma or long-term chest problem</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Blindness or severe visual impairment</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Cancer in the last 5 years</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Deafness or severe hearing impairment</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Diabetes</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Epilepsy</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High blood pressure</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Kidney or liver disease</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Learning difficulty</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Long-term back problem</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Long-term mental health problem</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Long-term neurological problem</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lastRenderedPageBreak/>
              <w:t xml:space="preserve"> Another long-term condition</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Index of Multiple Deprivation (</w:t>
            </w:r>
            <w:proofErr w:type="spellStart"/>
            <w:r w:rsidRPr="0002280E">
              <w:rPr>
                <w:b/>
                <w:bCs/>
                <w:sz w:val="18"/>
                <w:szCs w:val="18"/>
              </w:rPr>
              <w:t>IMD</w:t>
            </w:r>
            <w:proofErr w:type="spellEnd"/>
            <w:r w:rsidRPr="0002280E">
              <w:rPr>
                <w:b/>
                <w:bCs/>
                <w:sz w:val="18"/>
                <w:szCs w:val="18"/>
              </w:rPr>
              <w:t>) score</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0.0024</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0.01</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-0.01</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Economic activity</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Employed (Full or part-time)</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Permanently sick or disabled</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Unemployed</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Retired</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Other (student, looking after home, "something else")</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Health limits daily activity</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 lot</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A little</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No</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vAlign w:val="center"/>
            <w:hideMark/>
          </w:tcPr>
          <w:p w:rsidR="00F37638" w:rsidRPr="0002280E" w:rsidRDefault="00F37638" w:rsidP="00D41B03">
            <w:pPr>
              <w:spacing w:line="240" w:lineRule="auto"/>
              <w:rPr>
                <w:b/>
                <w:bCs/>
                <w:sz w:val="18"/>
                <w:szCs w:val="18"/>
              </w:rPr>
            </w:pPr>
            <w:r w:rsidRPr="0002280E">
              <w:rPr>
                <w:b/>
                <w:bCs/>
                <w:sz w:val="18"/>
                <w:szCs w:val="18"/>
              </w:rPr>
              <w:t>Sexual orientation (Gay/Lesbian/Bisexual/Prefer not to say=1)</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Smoking habits</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rPr>
                <w:sz w:val="18"/>
                <w:szCs w:val="18"/>
              </w:rPr>
            </w:pP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rPr>
                <w:sz w:val="18"/>
                <w:szCs w:val="18"/>
              </w:rPr>
            </w:pP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rPr>
                <w:sz w:val="18"/>
                <w:szCs w:val="18"/>
              </w:rPr>
            </w:pP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rPr>
                <w:sz w:val="18"/>
                <w:szCs w:val="18"/>
              </w:rPr>
            </w:pP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Never smoked</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Former smoker</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nil"/>
              <w:right w:val="nil"/>
            </w:tcBorders>
            <w:shd w:val="clear" w:color="auto" w:fill="auto"/>
            <w:noWrap/>
            <w:vAlign w:val="center"/>
            <w:hideMark/>
          </w:tcPr>
          <w:p w:rsidR="00F37638" w:rsidRPr="0002280E" w:rsidRDefault="00F37638" w:rsidP="00D41B03">
            <w:pPr>
              <w:spacing w:line="240" w:lineRule="auto"/>
              <w:rPr>
                <w:sz w:val="18"/>
                <w:szCs w:val="18"/>
              </w:rPr>
            </w:pPr>
            <w:r w:rsidRPr="0002280E">
              <w:rPr>
                <w:sz w:val="18"/>
                <w:szCs w:val="18"/>
              </w:rPr>
              <w:t xml:space="preserve"> Current smoker</w:t>
            </w:r>
          </w:p>
        </w:tc>
        <w:tc>
          <w:tcPr>
            <w:tcW w:w="73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nil"/>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r w:rsidR="00F37638" w:rsidRPr="0002280E" w:rsidTr="00D41B03">
        <w:trPr>
          <w:trHeight w:val="20"/>
        </w:trPr>
        <w:tc>
          <w:tcPr>
            <w:tcW w:w="4461" w:type="dxa"/>
            <w:tcBorders>
              <w:top w:val="nil"/>
              <w:left w:val="nil"/>
              <w:bottom w:val="single" w:sz="4" w:space="0" w:color="auto"/>
              <w:right w:val="nil"/>
            </w:tcBorders>
            <w:shd w:val="clear" w:color="auto" w:fill="auto"/>
            <w:noWrap/>
            <w:vAlign w:val="center"/>
            <w:hideMark/>
          </w:tcPr>
          <w:p w:rsidR="00F37638" w:rsidRPr="0002280E" w:rsidRDefault="00F37638" w:rsidP="00D41B03">
            <w:pPr>
              <w:spacing w:line="240" w:lineRule="auto"/>
              <w:rPr>
                <w:b/>
                <w:bCs/>
                <w:sz w:val="18"/>
                <w:szCs w:val="18"/>
              </w:rPr>
            </w:pPr>
            <w:r w:rsidRPr="0002280E">
              <w:rPr>
                <w:b/>
                <w:bCs/>
                <w:sz w:val="18"/>
                <w:szCs w:val="18"/>
              </w:rPr>
              <w:t>Wave (July-September=1)</w:t>
            </w:r>
          </w:p>
        </w:tc>
        <w:tc>
          <w:tcPr>
            <w:tcW w:w="736" w:type="dxa"/>
            <w:tcBorders>
              <w:top w:val="nil"/>
              <w:left w:val="nil"/>
              <w:bottom w:val="single" w:sz="4" w:space="0" w:color="auto"/>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single" w:sz="4" w:space="0" w:color="auto"/>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single" w:sz="4" w:space="0" w:color="auto"/>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single" w:sz="4" w:space="0" w:color="auto"/>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1086" w:type="dxa"/>
            <w:tcBorders>
              <w:top w:val="nil"/>
              <w:left w:val="nil"/>
              <w:bottom w:val="single" w:sz="4" w:space="0" w:color="auto"/>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c>
          <w:tcPr>
            <w:tcW w:w="597" w:type="dxa"/>
            <w:tcBorders>
              <w:top w:val="nil"/>
              <w:left w:val="nil"/>
              <w:bottom w:val="single" w:sz="4" w:space="0" w:color="auto"/>
              <w:right w:val="nil"/>
            </w:tcBorders>
            <w:shd w:val="clear" w:color="auto" w:fill="auto"/>
            <w:noWrap/>
            <w:vAlign w:val="bottom"/>
            <w:hideMark/>
          </w:tcPr>
          <w:p w:rsidR="00F37638" w:rsidRPr="0002280E" w:rsidRDefault="00F37638" w:rsidP="00D41B03">
            <w:pPr>
              <w:spacing w:line="240" w:lineRule="auto"/>
              <w:jc w:val="center"/>
              <w:rPr>
                <w:sz w:val="18"/>
                <w:szCs w:val="18"/>
              </w:rPr>
            </w:pPr>
            <w:r w:rsidRPr="0002280E">
              <w:rPr>
                <w:sz w:val="18"/>
                <w:szCs w:val="18"/>
              </w:rPr>
              <w:t>0</w:t>
            </w:r>
          </w:p>
        </w:tc>
      </w:tr>
    </w:tbl>
    <w:p w:rsidR="00F37638" w:rsidRPr="0002280E" w:rsidRDefault="00F37638" w:rsidP="00F37638"/>
    <w:p w:rsidR="00F37638" w:rsidRPr="0002280E" w:rsidRDefault="00F37638" w:rsidP="00F37638">
      <w:pPr>
        <w:spacing w:afterLines="120"/>
        <w:rPr>
          <w:szCs w:val="20"/>
        </w:rPr>
      </w:pPr>
    </w:p>
    <w:p w:rsidR="00F37638" w:rsidRPr="0002280E" w:rsidRDefault="00F37638" w:rsidP="00F37638">
      <w:pPr>
        <w:spacing w:afterLines="120"/>
        <w:rPr>
          <w:szCs w:val="20"/>
        </w:rPr>
      </w:pPr>
      <w:r w:rsidRPr="0002280E">
        <w:rPr>
          <w:rFonts w:eastAsiaTheme="minorEastAsia"/>
          <w:szCs w:val="20"/>
        </w:rPr>
        <w:t xml:space="preserve"> </w:t>
      </w:r>
    </w:p>
    <w:p w:rsidR="004104D8" w:rsidRPr="0002280E" w:rsidRDefault="004104D8"/>
    <w:sectPr w:rsidR="004104D8" w:rsidRPr="0002280E" w:rsidSect="00321AC9">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F37638"/>
    <w:rsid w:val="0002280E"/>
    <w:rsid w:val="004104D8"/>
    <w:rsid w:val="00567A35"/>
    <w:rsid w:val="00A8329C"/>
    <w:rsid w:val="00C12338"/>
    <w:rsid w:val="00F37638"/>
    <w:rsid w:val="00FC30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4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F37638"/>
    <w:pPr>
      <w:spacing w:after="0" w:line="360" w:lineRule="auto"/>
      <w:jc w:val="center"/>
    </w:pPr>
    <w:rPr>
      <w:rFonts w:ascii="Constantia" w:eastAsia="Times New Roman" w:hAnsi="Constantia" w:cs="Times New Roman"/>
      <w:bCs/>
      <w:kern w:val="20"/>
      <w:sz w:val="20"/>
      <w:szCs w:val="18"/>
      <w:lang w:val="en-GB" w:eastAsia="en-GB"/>
    </w:rPr>
  </w:style>
  <w:style w:type="paragraph" w:styleId="BalloonText">
    <w:name w:val="Balloon Text"/>
    <w:basedOn w:val="Normal"/>
    <w:link w:val="BalloonTextChar"/>
    <w:uiPriority w:val="99"/>
    <w:semiHidden/>
    <w:unhideWhenUsed/>
    <w:rsid w:val="00F376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6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1098</Words>
  <Characters>6259</Characters>
  <Application>Microsoft Office Word</Application>
  <DocSecurity>0</DocSecurity>
  <Lines>52</Lines>
  <Paragraphs>14</Paragraphs>
  <ScaleCrop>false</ScaleCrop>
  <Company/>
  <LinksUpToDate>false</LinksUpToDate>
  <CharactersWithSpaces>7343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0003174</dc:creator>
  <cp:lastModifiedBy>0003174</cp:lastModifiedBy>
  <cp:revision>4</cp:revision>
  <dcterms:created xsi:type="dcterms:W3CDTF">2020-02-24T13:48:00Z</dcterms:created>
  <dcterms:modified xsi:type="dcterms:W3CDTF">2020-02-24T13:49:00Z</dcterms:modified>
</cp:coreProperties>
</file>