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558D1" w14:textId="1DD263C2" w:rsidR="00DE1E57" w:rsidRPr="00DE1E57" w:rsidRDefault="00DE1E57" w:rsidP="00DE1E57">
      <w:pPr>
        <w:pStyle w:val="Heading1"/>
      </w:pPr>
      <w:r w:rsidRPr="00DE1E57">
        <w:t>Supplementary material</w:t>
      </w:r>
    </w:p>
    <w:p w14:paraId="47010A9B" w14:textId="77777777" w:rsidR="00CC7A41" w:rsidRDefault="00CC7A41" w:rsidP="00CC7A41">
      <w:pPr>
        <w:pStyle w:val="Heading2"/>
      </w:pPr>
      <w:r>
        <w:t>Supplementary text</w:t>
      </w:r>
    </w:p>
    <w:p w14:paraId="010E6150" w14:textId="77777777" w:rsidR="00CC7A41" w:rsidRDefault="00CC7A41">
      <w:pPr>
        <w:spacing w:after="200" w:line="276" w:lineRule="auto"/>
      </w:pPr>
      <w:r>
        <w:t>Supplementary Text 1</w:t>
      </w:r>
    </w:p>
    <w:p w14:paraId="61BABA39" w14:textId="1AC9F04F" w:rsidR="00CC7A41" w:rsidRDefault="00CC7A41" w:rsidP="00CC7A41">
      <w:pPr>
        <w:spacing w:after="200" w:line="276" w:lineRule="auto"/>
      </w:pPr>
      <w:r>
        <w:t xml:space="preserve">Following discussion with clinical experts and targeted literature searches, outcomes relevant to the natural history of </w:t>
      </w:r>
      <w:r w:rsidR="0066276C">
        <w:t>paroxysmal nocturnal hemoglobinuria (</w:t>
      </w:r>
      <w:r>
        <w:t>PNH</w:t>
      </w:r>
      <w:r w:rsidR="0066276C">
        <w:t>)</w:t>
      </w:r>
      <w:r>
        <w:t xml:space="preserve"> </w:t>
      </w:r>
      <w:r w:rsidR="008815AD">
        <w:t>includ</w:t>
      </w:r>
      <w:r>
        <w:t xml:space="preserve">ed: </w:t>
      </w:r>
    </w:p>
    <w:p w14:paraId="7D0EBA9F" w14:textId="401A15D0" w:rsidR="00CC7A41" w:rsidRPr="00CC7A41" w:rsidRDefault="00CC7A41" w:rsidP="00CC7A41">
      <w:pPr>
        <w:pStyle w:val="Bulleted"/>
      </w:pPr>
      <w:r w:rsidRPr="00CC7A41">
        <w:t>Abdominal pain</w:t>
      </w:r>
    </w:p>
    <w:p w14:paraId="391A5D59" w14:textId="439731CE" w:rsidR="00CC7A41" w:rsidRPr="00CC7A41" w:rsidRDefault="00CC7A41" w:rsidP="00CC7A41">
      <w:pPr>
        <w:pStyle w:val="Bulleted"/>
      </w:pPr>
      <w:r w:rsidRPr="00CC7A41">
        <w:t>Anemia</w:t>
      </w:r>
    </w:p>
    <w:p w14:paraId="437BF546" w14:textId="54699AD6" w:rsidR="00CC7A41" w:rsidRPr="00CC7A41" w:rsidRDefault="00CC7A41" w:rsidP="00CC7A41">
      <w:pPr>
        <w:pStyle w:val="Bulleted"/>
      </w:pPr>
      <w:r w:rsidRPr="00CC7A41">
        <w:t>Bone marrow disorders (e.g. aplastic anemia, myelodysplastic syndromes)</w:t>
      </w:r>
    </w:p>
    <w:p w14:paraId="057D6563" w14:textId="184F2954" w:rsidR="00CC7A41" w:rsidRPr="00CC7A41" w:rsidRDefault="00CC7A41" w:rsidP="00CC7A41">
      <w:pPr>
        <w:pStyle w:val="Bulleted"/>
      </w:pPr>
      <w:r w:rsidRPr="00CC7A41">
        <w:t>Breakthrough hemolysis (BTH)</w:t>
      </w:r>
    </w:p>
    <w:p w14:paraId="36A72A1B" w14:textId="538D6D78" w:rsidR="00CC7A41" w:rsidRPr="00CC7A41" w:rsidRDefault="00CC7A41" w:rsidP="00CC7A41">
      <w:pPr>
        <w:pStyle w:val="Bulleted"/>
      </w:pPr>
      <w:r w:rsidRPr="00CC7A41">
        <w:t>Chest pain</w:t>
      </w:r>
    </w:p>
    <w:p w14:paraId="46072EEA" w14:textId="1EDE228E" w:rsidR="00CC7A41" w:rsidRPr="00CC7A41" w:rsidRDefault="00CC7A41" w:rsidP="00CC7A41">
      <w:pPr>
        <w:pStyle w:val="Bulleted"/>
      </w:pPr>
      <w:r w:rsidRPr="00CC7A41">
        <w:t xml:space="preserve">Chronic kidney disease </w:t>
      </w:r>
    </w:p>
    <w:p w14:paraId="1C9FB06F" w14:textId="35290972" w:rsidR="00CC7A41" w:rsidRPr="00CC7A41" w:rsidRDefault="00CC7A41" w:rsidP="00CC7A41">
      <w:pPr>
        <w:pStyle w:val="Bulleted"/>
      </w:pPr>
      <w:r w:rsidRPr="00CC7A41">
        <w:t>Dysphagia</w:t>
      </w:r>
    </w:p>
    <w:p w14:paraId="35405B9B" w14:textId="267B7138" w:rsidR="00CC7A41" w:rsidRPr="00CC7A41" w:rsidRDefault="00CC7A41" w:rsidP="00CC7A41">
      <w:pPr>
        <w:pStyle w:val="Bulleted"/>
      </w:pPr>
      <w:r w:rsidRPr="00CC7A41">
        <w:t>Dyspnea (difficulty breathing)</w:t>
      </w:r>
    </w:p>
    <w:p w14:paraId="01071584" w14:textId="3D25231E" w:rsidR="00CC7A41" w:rsidRPr="00CC7A41" w:rsidRDefault="00CC7A41" w:rsidP="00CC7A41">
      <w:pPr>
        <w:pStyle w:val="Bulleted"/>
      </w:pPr>
      <w:r w:rsidRPr="00CC7A41">
        <w:t>Erectile dysfunction</w:t>
      </w:r>
    </w:p>
    <w:p w14:paraId="07D11205" w14:textId="0D1B3C1F" w:rsidR="00CC7A41" w:rsidRPr="00CC7A41" w:rsidRDefault="00CC7A41" w:rsidP="00CC7A41">
      <w:pPr>
        <w:pStyle w:val="Bulleted"/>
      </w:pPr>
      <w:proofErr w:type="spellStart"/>
      <w:r w:rsidRPr="00CC7A41">
        <w:t>Esophageal</w:t>
      </w:r>
      <w:proofErr w:type="spellEnd"/>
      <w:r w:rsidRPr="00CC7A41">
        <w:t xml:space="preserve"> spasm</w:t>
      </w:r>
    </w:p>
    <w:p w14:paraId="7AACEB9B" w14:textId="2CFD9ACA" w:rsidR="00CC7A41" w:rsidRPr="00CC7A41" w:rsidRDefault="00CC7A41" w:rsidP="00CC7A41">
      <w:pPr>
        <w:pStyle w:val="Bulleted"/>
      </w:pPr>
      <w:r w:rsidRPr="00CC7A41">
        <w:t>Fatigue</w:t>
      </w:r>
    </w:p>
    <w:p w14:paraId="56D7A1F0" w14:textId="7265D8A2" w:rsidR="00CC7A41" w:rsidRPr="00CC7A41" w:rsidRDefault="00CC7A41" w:rsidP="00CC7A41">
      <w:pPr>
        <w:pStyle w:val="Bulleted"/>
      </w:pPr>
      <w:r w:rsidRPr="00CC7A41">
        <w:t>Hemochromatosis (i.e. iron overload)</w:t>
      </w:r>
    </w:p>
    <w:p w14:paraId="296C69C0" w14:textId="2BDDCCC2" w:rsidR="00CC7A41" w:rsidRPr="00CC7A41" w:rsidRDefault="00CC7A41" w:rsidP="00CC7A41">
      <w:pPr>
        <w:pStyle w:val="Bulleted"/>
      </w:pPr>
      <w:r w:rsidRPr="00CC7A41">
        <w:t>Hemoglobinuria (nocturnal)</w:t>
      </w:r>
    </w:p>
    <w:p w14:paraId="3F21C45D" w14:textId="12D5AE60" w:rsidR="00CC7A41" w:rsidRPr="00CC7A41" w:rsidRDefault="00CC7A41" w:rsidP="00CC7A41">
      <w:pPr>
        <w:pStyle w:val="Bulleted"/>
      </w:pPr>
      <w:r w:rsidRPr="00CC7A41">
        <w:t>Meningococcal disease</w:t>
      </w:r>
    </w:p>
    <w:p w14:paraId="0D7706EB" w14:textId="55F82FCC" w:rsidR="00CC7A41" w:rsidRPr="00CC7A41" w:rsidRDefault="00CC7A41" w:rsidP="00CC7A41">
      <w:pPr>
        <w:pStyle w:val="Bulleted"/>
      </w:pPr>
      <w:r w:rsidRPr="00CC7A41">
        <w:t>Mesenteric insufficiency</w:t>
      </w:r>
    </w:p>
    <w:p w14:paraId="2A5124C3" w14:textId="3A48E0D8" w:rsidR="00CC7A41" w:rsidRPr="00CC7A41" w:rsidRDefault="00CC7A41" w:rsidP="00CC7A41">
      <w:pPr>
        <w:pStyle w:val="Bulleted"/>
      </w:pPr>
      <w:r w:rsidRPr="00CC7A41">
        <w:t>Mortality</w:t>
      </w:r>
    </w:p>
    <w:p w14:paraId="05FC19F2" w14:textId="5E7CC241" w:rsidR="00CC7A41" w:rsidRPr="00CC7A41" w:rsidRDefault="00CC7A41" w:rsidP="00CC7A41">
      <w:pPr>
        <w:pStyle w:val="Bulleted"/>
      </w:pPr>
      <w:r w:rsidRPr="00CC7A41">
        <w:t>Neutropenia</w:t>
      </w:r>
    </w:p>
    <w:p w14:paraId="337C08DF" w14:textId="56AED804" w:rsidR="00CC7A41" w:rsidRPr="00CC7A41" w:rsidRDefault="00CC7A41" w:rsidP="00CC7A41">
      <w:pPr>
        <w:pStyle w:val="Bulleted"/>
      </w:pPr>
      <w:r w:rsidRPr="00CC7A41">
        <w:t>Pancytopenia</w:t>
      </w:r>
    </w:p>
    <w:p w14:paraId="386D1014" w14:textId="3EC04065" w:rsidR="00CC7A41" w:rsidRPr="00CC7A41" w:rsidRDefault="00CC7A41" w:rsidP="00CC7A41">
      <w:pPr>
        <w:pStyle w:val="Bulleted"/>
      </w:pPr>
      <w:r w:rsidRPr="00CC7A41">
        <w:t>Pulmonary hypertension</w:t>
      </w:r>
    </w:p>
    <w:p w14:paraId="4B0EAA87" w14:textId="10E8B371" w:rsidR="00CC7A41" w:rsidRPr="00CC7A41" w:rsidRDefault="00CC7A41" w:rsidP="00CC7A41">
      <w:pPr>
        <w:pStyle w:val="Bulleted"/>
      </w:pPr>
      <w:r w:rsidRPr="00CC7A41">
        <w:t>Recurrent infectious diseases</w:t>
      </w:r>
    </w:p>
    <w:p w14:paraId="0CB0E007" w14:textId="3C5BC5FC" w:rsidR="00CC7A41" w:rsidRPr="00CC7A41" w:rsidRDefault="00CC7A41" w:rsidP="00CC7A41">
      <w:pPr>
        <w:pStyle w:val="Bulleted"/>
      </w:pPr>
      <w:r w:rsidRPr="00CC7A41">
        <w:t>Red blood cell transfusions</w:t>
      </w:r>
    </w:p>
    <w:p w14:paraId="788F1DFE" w14:textId="54E77545" w:rsidR="00CC7A41" w:rsidRPr="00CC7A41" w:rsidRDefault="00CC7A41" w:rsidP="00CC7A41">
      <w:pPr>
        <w:pStyle w:val="Bulleted"/>
      </w:pPr>
      <w:r w:rsidRPr="00CC7A41">
        <w:t>Smooth muscle dystonia (caused by nitric oxide depletion)</w:t>
      </w:r>
    </w:p>
    <w:p w14:paraId="257E94FB" w14:textId="4834B756" w:rsidR="00CC7A41" w:rsidRPr="00CC7A41" w:rsidRDefault="00CC7A41" w:rsidP="00CC7A41">
      <w:pPr>
        <w:pStyle w:val="Bulleted"/>
      </w:pPr>
      <w:r w:rsidRPr="00CC7A41">
        <w:t>Spontaneous remission (i.e. recovery)</w:t>
      </w:r>
    </w:p>
    <w:p w14:paraId="042636D5" w14:textId="33FD278E" w:rsidR="00CC7A41" w:rsidRPr="00CC7A41" w:rsidRDefault="00CC7A41" w:rsidP="00CC7A41">
      <w:pPr>
        <w:pStyle w:val="Bulleted"/>
      </w:pPr>
      <w:r w:rsidRPr="00CC7A41">
        <w:t>Stem-cell transplant</w:t>
      </w:r>
    </w:p>
    <w:p w14:paraId="49122E18" w14:textId="031F8DC0" w:rsidR="00CC7A41" w:rsidRPr="00CC7A41" w:rsidRDefault="00CC7A41" w:rsidP="00CC7A41">
      <w:pPr>
        <w:pStyle w:val="Bulleted"/>
      </w:pPr>
      <w:r w:rsidRPr="00CC7A41">
        <w:t>Thrombocytopenia</w:t>
      </w:r>
    </w:p>
    <w:p w14:paraId="1C31FEA0" w14:textId="296A3B14" w:rsidR="000E4024" w:rsidRDefault="00CC7A41" w:rsidP="001A4518">
      <w:pPr>
        <w:pStyle w:val="Bulleted"/>
        <w:rPr>
          <w:b/>
        </w:rPr>
      </w:pPr>
      <w:r w:rsidRPr="00CC7A41">
        <w:t>Thrombosis/hypercoagulability</w:t>
      </w:r>
    </w:p>
    <w:p w14:paraId="1048A7B1" w14:textId="77777777" w:rsidR="00974B3D" w:rsidRDefault="00974B3D" w:rsidP="000E4024">
      <w:pPr>
        <w:rPr>
          <w:b/>
        </w:rPr>
      </w:pPr>
    </w:p>
    <w:p w14:paraId="4D0987DD" w14:textId="77777777" w:rsidR="00EA4C7F" w:rsidRDefault="00EA4C7F" w:rsidP="000E4024">
      <w:pPr>
        <w:rPr>
          <w:b/>
        </w:rPr>
      </w:pPr>
    </w:p>
    <w:p w14:paraId="6226A7BC" w14:textId="77777777" w:rsidR="00EA4C7F" w:rsidRDefault="00EA4C7F" w:rsidP="00EA4C7F">
      <w:r>
        <w:t>Supplementary Text 2</w:t>
      </w:r>
    </w:p>
    <w:p w14:paraId="712E1DCC" w14:textId="38A10C3A" w:rsidR="00EA4C7F" w:rsidRPr="004B4187" w:rsidRDefault="00FA2E14" w:rsidP="00FA2E14">
      <w:r>
        <w:t>Patient allocations to the model cohorts were</w:t>
      </w:r>
      <w:r w:rsidR="00EA4C7F" w:rsidRPr="00EA4C7F">
        <w:t xml:space="preserve"> 8.2%, 91.8% and 0% to Cohort 1, Cohort 2 and Cohort 3, respectively. </w:t>
      </w:r>
      <w:r>
        <w:t xml:space="preserve">The values for Cohort 1 and Cohort 2 are based on UK data reported by Hill </w:t>
      </w:r>
      <w:r w:rsidRPr="00FA2E14">
        <w:rPr>
          <w:i/>
        </w:rPr>
        <w:t>et al</w:t>
      </w:r>
      <w:r>
        <w:t>. (2006)</w:t>
      </w:r>
      <w:r w:rsidR="0066276C">
        <w:fldChar w:fldCharType="begin"/>
      </w:r>
      <w:r w:rsidR="0066276C">
        <w:instrText xml:space="preserve"> ADDIN EN.CITE &lt;EndNote&gt;&lt;Cite&gt;&lt;Author&gt;Hill&lt;/Author&gt;&lt;Year&gt;2006&lt;/Year&gt;&lt;RecNum&gt;22&lt;/RecNum&gt;&lt;DisplayText&gt;[1]&lt;/DisplayText&gt;&lt;record&gt;&lt;rec-number&gt;22&lt;/rec-number&gt;&lt;foreign-keys&gt;&lt;key app="EN" db-id="swrefzer2v0rpoeetdnxva03z5eeefr2fzft" timestamp="1559834358"&gt;22&lt;/key&gt;&lt;/foreign-keys&gt;&lt;ref-type name="Journal Article"&gt;17&lt;/ref-type&gt;&lt;contributors&gt;&lt;authors&gt;&lt;author&gt;Hill, A.&lt;/author&gt;&lt;author&gt;Platts,P.J.&lt;/author&gt;&lt;author&gt;Smith, A.&lt;/author&gt;&lt;author&gt;Richards, S.J.&lt;/author&gt;&lt;author&gt;Cullen, M.J.&lt;/author&gt;&lt;author&gt;Hill, Q.A.&lt;/author&gt;&lt;author&gt;Roman, E.&lt;/author&gt;&lt;author&gt;Hillmen, P.&lt;/author&gt;&lt;/authors&gt;&lt;/contributors&gt;&lt;titles&gt;&lt;title&gt;The incidence and prevalence of paroxysmal nocturnal hemoglobinuria (PNH) and survival of patients in Yorkshire.&lt;/title&gt;&lt;secondary-title&gt;Blood.&lt;/secondary-title&gt;&lt;/titles&gt;&lt;periodical&gt;&lt;full-title&gt;Blood.&lt;/full-title&gt;&lt;/periodical&gt;&lt;volume&gt;108&lt;/volume&gt;&lt;number&gt;11&lt;/number&gt;&lt;section&gt;985&lt;/section&gt;&lt;dates&gt;&lt;year&gt;2006&lt;/year&gt;&lt;/dates&gt;&lt;urls&gt;&lt;/urls&gt;&lt;/record&gt;&lt;/Cite&gt;&lt;/EndNote&gt;</w:instrText>
      </w:r>
      <w:r w:rsidR="0066276C">
        <w:fldChar w:fldCharType="separate"/>
      </w:r>
      <w:r w:rsidR="0066276C">
        <w:rPr>
          <w:noProof/>
        </w:rPr>
        <w:t>[1]</w:t>
      </w:r>
      <w:r w:rsidR="0066276C">
        <w:fldChar w:fldCharType="end"/>
      </w:r>
      <w:r w:rsidRPr="00FA2E14">
        <w:t>.</w:t>
      </w:r>
      <w:r>
        <w:t xml:space="preserve"> In this</w:t>
      </w:r>
      <w:r w:rsidR="00EA4C7F" w:rsidRPr="00EA4C7F">
        <w:t xml:space="preserve"> analysis</w:t>
      </w:r>
      <w:r>
        <w:t>,</w:t>
      </w:r>
      <w:r w:rsidR="00EA4C7F" w:rsidRPr="00EA4C7F">
        <w:t xml:space="preserve"> </w:t>
      </w:r>
      <w:r w:rsidR="00C12FA1">
        <w:t>there was an estimated</w:t>
      </w:r>
      <w:r w:rsidR="00EA4C7F" w:rsidRPr="00EA4C7F">
        <w:t xml:space="preserve"> prevalence of </w:t>
      </w:r>
      <w:r w:rsidR="00C12FA1">
        <w:t xml:space="preserve">PNH of </w:t>
      </w:r>
      <w:r w:rsidR="00EA4C7F" w:rsidRPr="00EA4C7F">
        <w:t>1</w:t>
      </w:r>
      <w:r w:rsidR="00C12FA1">
        <w:t>.</w:t>
      </w:r>
      <w:r w:rsidR="00EA4C7F" w:rsidRPr="00EA4C7F">
        <w:t>59</w:t>
      </w:r>
      <w:r w:rsidR="00C12FA1">
        <w:t xml:space="preserve"> per 100 000</w:t>
      </w:r>
      <w:r w:rsidR="00EA4C7F" w:rsidRPr="00EA4C7F">
        <w:t xml:space="preserve"> and</w:t>
      </w:r>
      <w:r w:rsidR="00C12FA1">
        <w:t xml:space="preserve"> an</w:t>
      </w:r>
      <w:r w:rsidR="00EA4C7F" w:rsidRPr="00EA4C7F">
        <w:t xml:space="preserve"> associated incidence of </w:t>
      </w:r>
      <w:r w:rsidR="00C12FA1">
        <w:t>0.</w:t>
      </w:r>
      <w:r w:rsidR="00EA4C7F" w:rsidRPr="00EA4C7F">
        <w:t>13</w:t>
      </w:r>
      <w:r w:rsidR="00C12FA1">
        <w:t xml:space="preserve"> per 100 000 per year</w:t>
      </w:r>
      <w:r w:rsidR="00EA4C7F" w:rsidRPr="00EA4C7F">
        <w:t xml:space="preserve">. On this basis, it </w:t>
      </w:r>
      <w:r w:rsidR="00C12FA1">
        <w:t>wa</w:t>
      </w:r>
      <w:r w:rsidR="00EA4C7F" w:rsidRPr="00EA4C7F">
        <w:t>s assumed that</w:t>
      </w:r>
      <w:r w:rsidR="004B5BEE">
        <w:t>,</w:t>
      </w:r>
      <w:r w:rsidR="00EA4C7F" w:rsidRPr="00EA4C7F">
        <w:t xml:space="preserve"> in a given </w:t>
      </w:r>
      <w:r w:rsidR="00EA4C7F" w:rsidRPr="004B4187">
        <w:t>year, 8.2%</w:t>
      </w:r>
      <w:r w:rsidR="00C12FA1" w:rsidRPr="004B4187">
        <w:t xml:space="preserve"> (0.13/1.59)</w:t>
      </w:r>
      <w:r w:rsidR="00EA4C7F" w:rsidRPr="004B4187">
        <w:t xml:space="preserve"> of patients are newly-presenting with PNH and 91.8%</w:t>
      </w:r>
      <w:r w:rsidR="00C12FA1" w:rsidRPr="004B4187">
        <w:t xml:space="preserve"> (1.59–0.13)/1.59)</w:t>
      </w:r>
      <w:r w:rsidR="00EA4C7F" w:rsidRPr="004B4187">
        <w:t xml:space="preserve"> are existing patients. Further</w:t>
      </w:r>
      <w:r w:rsidR="004B5BEE" w:rsidRPr="004B4187">
        <w:t>more</w:t>
      </w:r>
      <w:r w:rsidR="00EA4C7F" w:rsidRPr="004B4187">
        <w:t xml:space="preserve">, it </w:t>
      </w:r>
      <w:r w:rsidR="00C12FA1" w:rsidRPr="004B4187">
        <w:t>wa</w:t>
      </w:r>
      <w:r w:rsidR="00EA4C7F" w:rsidRPr="004B4187">
        <w:t>s assumed that probability of treatment does not differ between newly-presenting and existing patients.</w:t>
      </w:r>
    </w:p>
    <w:p w14:paraId="1316D479" w14:textId="77777777" w:rsidR="00DB1735" w:rsidRPr="004B4187" w:rsidRDefault="00DB1735" w:rsidP="00FA2E14"/>
    <w:p w14:paraId="4BBAF995" w14:textId="086B2FD6" w:rsidR="00250912" w:rsidRPr="004B4187" w:rsidRDefault="008820D5" w:rsidP="00FA2E14">
      <w:r w:rsidRPr="004B4187">
        <w:t>Supplementary Text 3</w:t>
      </w:r>
    </w:p>
    <w:p w14:paraId="401F42E1" w14:textId="38491578" w:rsidR="00241342" w:rsidRPr="004B4187" w:rsidRDefault="00241342" w:rsidP="00241342">
      <w:pPr>
        <w:rPr>
          <w:sz w:val="22"/>
          <w:szCs w:val="22"/>
        </w:rPr>
      </w:pPr>
      <w:r w:rsidRPr="004B4187">
        <w:t xml:space="preserve">In the base-case analysis, </w:t>
      </w:r>
      <w:r w:rsidR="00D56980" w:rsidRPr="004B4187">
        <w:t xml:space="preserve">a utility difference between ravulizumab and eculizumab patients is </w:t>
      </w:r>
      <w:proofErr w:type="spellStart"/>
      <w:r w:rsidR="00D56980" w:rsidRPr="004B4187">
        <w:t>modeled</w:t>
      </w:r>
      <w:proofErr w:type="spellEnd"/>
      <w:r w:rsidR="00D56980" w:rsidRPr="004B4187">
        <w:t xml:space="preserve"> based on the mean difference of mapped utilities observed in the 301 and 302 trials, controlling for other factors such as BTH, transfusions, and number of visits. One aspect of the </w:t>
      </w:r>
      <w:r w:rsidR="0066276C" w:rsidRPr="004B4187">
        <w:t>health-related quality of life (</w:t>
      </w:r>
      <w:proofErr w:type="spellStart"/>
      <w:r w:rsidR="00D56980" w:rsidRPr="004B4187">
        <w:t>HRQoL</w:t>
      </w:r>
      <w:proofErr w:type="spellEnd"/>
      <w:r w:rsidR="0066276C" w:rsidRPr="004B4187">
        <w:t>)</w:t>
      </w:r>
      <w:r w:rsidR="00D56980" w:rsidRPr="004B4187">
        <w:t xml:space="preserve"> benefit of ravulizumab v</w:t>
      </w:r>
      <w:r w:rsidR="00D17F8B" w:rsidRPr="004B4187">
        <w:t>ersu</w:t>
      </w:r>
      <w:r w:rsidR="00D56980" w:rsidRPr="004B4187">
        <w:t xml:space="preserve">s eculizumab that could not be quantified based on </w:t>
      </w:r>
      <w:proofErr w:type="spellStart"/>
      <w:r w:rsidR="00D56980" w:rsidRPr="004B4187">
        <w:t>HRQoL</w:t>
      </w:r>
      <w:proofErr w:type="spellEnd"/>
      <w:r w:rsidR="00D56980" w:rsidRPr="004B4187">
        <w:t xml:space="preserve"> data collected in the 301 and 302 trials is the reduction in healthcare-provider visits that would be possible with </w:t>
      </w:r>
      <w:proofErr w:type="spellStart"/>
      <w:r w:rsidR="00D56980" w:rsidRPr="004B4187">
        <w:t>ravulizumab’s</w:t>
      </w:r>
      <w:proofErr w:type="spellEnd"/>
      <w:r w:rsidR="00D56980" w:rsidRPr="004B4187">
        <w:t xml:space="preserve"> less frequent (every 8 weeks) dosing schedule </w:t>
      </w:r>
      <w:r w:rsidR="00D17F8B" w:rsidRPr="004B4187">
        <w:t>compared with</w:t>
      </w:r>
      <w:r w:rsidR="00D56980" w:rsidRPr="004B4187">
        <w:t xml:space="preserve"> eculizumab (every 2 weeks).</w:t>
      </w:r>
    </w:p>
    <w:p w14:paraId="159FD585" w14:textId="66C9601A" w:rsidR="00241342" w:rsidRPr="004B4187" w:rsidRDefault="00D56980" w:rsidP="00DB1735">
      <w:pPr>
        <w:ind w:firstLine="720"/>
      </w:pPr>
      <w:r w:rsidRPr="004B4187">
        <w:t>Frequency of healthcare-provider visits may impact patients’</w:t>
      </w:r>
      <w:r w:rsidR="00241342" w:rsidRPr="004B4187">
        <w:t xml:space="preserve"> ability to conduct usual activities and their social and psychological well-being. At the Leeds UK 2018 advisory board meeting</w:t>
      </w:r>
      <w:r w:rsidRPr="004B4187">
        <w:t xml:space="preserve"> UK PNH clinical expert</w:t>
      </w:r>
      <w:r w:rsidR="00241342" w:rsidRPr="004B4187">
        <w:t xml:space="preserve"> Anita Hill noted that “patients would be happy with a less frequent intravenous treatment […] for greater independence and reduced disease visibility, as many patients what to ‘hide their disease’</w:t>
      </w:r>
      <w:r w:rsidRPr="004B4187">
        <w:t>”</w:t>
      </w:r>
      <w:r w:rsidR="0066276C" w:rsidRPr="004B4187">
        <w:fldChar w:fldCharType="begin"/>
      </w:r>
      <w:r w:rsidR="0066276C" w:rsidRPr="004B4187">
        <w:instrText xml:space="preserve"> ADDIN EN.CITE &lt;EndNote&gt;&lt;Cite ExcludeYear="1"&gt;&lt;Author&gt;Alexion Pharmaceuticals&lt;/Author&gt;&lt;RecNum&gt;175&lt;/RecNum&gt;&lt;DisplayText&gt;[2]&lt;/DisplayText&gt;&lt;record&gt;&lt;rec-number&gt;175&lt;/rec-number&gt;&lt;foreign-keys&gt;&lt;key app="EN" db-id="swrefzer2v0rpoeetdnxva03z5eeefr2fzft" timestamp="1574090144"&gt;175&lt;/key&gt;&lt;/foreign-keys&gt;&lt;ref-type name="Journal Article"&gt;17&lt;/ref-type&gt;&lt;contributors&gt;&lt;authors&gt;&lt;author&gt;Alexion Pharmaceuticals,&lt;/author&gt;&lt;/authors&gt;&lt;/contributors&gt;&lt;titles&gt;&lt;title&gt;Haematology reimbursement advisory board, 2018, Leeds, UK&lt;/title&gt;&lt;/titles&gt;&lt;dates&gt;&lt;/dates&gt;&lt;urls&gt;&lt;/urls&gt;&lt;/record&gt;&lt;/Cite&gt;&lt;/EndNote&gt;</w:instrText>
      </w:r>
      <w:r w:rsidR="0066276C" w:rsidRPr="004B4187">
        <w:fldChar w:fldCharType="separate"/>
      </w:r>
      <w:r w:rsidR="0066276C" w:rsidRPr="004B4187">
        <w:rPr>
          <w:noProof/>
        </w:rPr>
        <w:t>[2]</w:t>
      </w:r>
      <w:r w:rsidR="0066276C" w:rsidRPr="004B4187">
        <w:fldChar w:fldCharType="end"/>
      </w:r>
      <w:r w:rsidR="00241342" w:rsidRPr="004B4187">
        <w:t xml:space="preserve">. Evidence </w:t>
      </w:r>
      <w:r w:rsidRPr="004B4187">
        <w:t xml:space="preserve">in </w:t>
      </w:r>
      <w:r w:rsidR="00D17F8B" w:rsidRPr="004B4187">
        <w:t xml:space="preserve">patients with </w:t>
      </w:r>
      <w:r w:rsidRPr="004B4187">
        <w:t xml:space="preserve">PNH </w:t>
      </w:r>
      <w:r w:rsidR="00241342" w:rsidRPr="004B4187">
        <w:t>reflects that reduction of these dimensions of treatment burden may allow patients to avoid time away from daily activities (e.g., work, school) for treatment, with associated financial benefits and improvements in psychological well-being, as well as significant improvements in social life and family relationships in a majority of patients</w:t>
      </w:r>
      <w:r w:rsidR="0066276C" w:rsidRPr="004B4187">
        <w:fldChar w:fldCharType="begin"/>
      </w:r>
      <w:r w:rsidR="0066276C" w:rsidRPr="004B4187">
        <w:instrText xml:space="preserve"> ADDIN EN.CITE &lt;EndNote&gt;&lt;Cite&gt;&lt;Author&gt;Arnold&lt;/Author&gt;&lt;Year&gt;2008&lt;/Year&gt;&lt;RecNum&gt;177&lt;/RecNum&gt;&lt;DisplayText&gt;[3]&lt;/DisplayText&gt;&lt;record&gt;&lt;rec-number&gt;177&lt;/rec-number&gt;&lt;foreign-keys&gt;&lt;key app="EN" db-id="swrefzer2v0rpoeetdnxva03z5eeefr2fzft" timestamp="1586291868"&gt;177&lt;/key&gt;&lt;/foreign-keys&gt;&lt;ref-type name="Journal Article"&gt;17&lt;/ref-type&gt;&lt;contributors&gt;&lt;authors&gt;&lt;author&gt;Arnold, L.M.&lt;/author&gt;&lt;author&gt;Stephenson, J.&lt;/author&gt;&lt;author&gt;Kelly, R.&lt;/author&gt;&lt;author&gt;Buchanan, D.&lt;/author&gt;&lt;author&gt;Jones, G.&lt;/author&gt;&lt;author&gt;Hillmen, P.&lt;/author&gt;&lt;/authors&gt;&lt;/contributors&gt;&lt;titles&gt;&lt;title&gt;Home infusion of eculizumab: a unique and innovative model of drug delivery to reduce treatment-associated burden and enhance quality of life for patients with PNH&lt;/title&gt;&lt;secondary-title&gt;Blood&lt;/secondary-title&gt;&lt;/titles&gt;&lt;periodical&gt;&lt;full-title&gt;Blood&lt;/full-title&gt;&lt;/periodical&gt;&lt;pages&gt;4671&lt;/pages&gt;&lt;volume&gt;112&lt;/volume&gt;&lt;number&gt;11&lt;/number&gt;&lt;dates&gt;&lt;year&gt;2008&lt;/year&gt;&lt;/dates&gt;&lt;urls&gt;&lt;/urls&gt;&lt;/record&gt;&lt;/Cite&gt;&lt;/EndNote&gt;</w:instrText>
      </w:r>
      <w:r w:rsidR="0066276C" w:rsidRPr="004B4187">
        <w:fldChar w:fldCharType="separate"/>
      </w:r>
      <w:r w:rsidR="0066276C" w:rsidRPr="004B4187">
        <w:rPr>
          <w:noProof/>
        </w:rPr>
        <w:t>[3]</w:t>
      </w:r>
      <w:r w:rsidR="0066276C" w:rsidRPr="004B4187">
        <w:fldChar w:fldCharType="end"/>
      </w:r>
      <w:r w:rsidR="00DB1735" w:rsidRPr="004B4187">
        <w:t>.</w:t>
      </w:r>
      <w:r w:rsidR="00241342" w:rsidRPr="004B4187">
        <w:t xml:space="preserve"> Given that the ability to conduct usual activities and psychological well-being are primary dimensions of </w:t>
      </w:r>
      <w:proofErr w:type="spellStart"/>
      <w:r w:rsidR="00241342" w:rsidRPr="004B4187">
        <w:t>HRQoL</w:t>
      </w:r>
      <w:proofErr w:type="spellEnd"/>
      <w:r w:rsidR="00241342" w:rsidRPr="004B4187">
        <w:t xml:space="preserve"> (e.g., “usual activities” and “anxiety / depression” are explicit dimensions of the EQ-5D), capturing these determinants of health utility is important for the </w:t>
      </w:r>
      <w:r w:rsidR="0066276C" w:rsidRPr="004B4187">
        <w:t>cost utility analysis (</w:t>
      </w:r>
      <w:r w:rsidR="00241342" w:rsidRPr="004B4187">
        <w:t>CUA</w:t>
      </w:r>
      <w:r w:rsidR="0066276C" w:rsidRPr="004B4187">
        <w:t>)</w:t>
      </w:r>
      <w:r w:rsidR="00241342" w:rsidRPr="004B4187">
        <w:t>.</w:t>
      </w:r>
    </w:p>
    <w:p w14:paraId="608CB92E" w14:textId="70AAED82" w:rsidR="00D56980" w:rsidRPr="004B4187" w:rsidRDefault="00241342" w:rsidP="00010FDD">
      <w:pPr>
        <w:ind w:firstLine="720"/>
      </w:pPr>
      <w:r w:rsidRPr="004B4187">
        <w:t>To explore the utility benefit of reduced treatment burden, a discrete choice experiment (DCE) was conducted in the UK</w:t>
      </w:r>
      <w:r w:rsidR="00D56980" w:rsidRPr="004B4187">
        <w:t xml:space="preserve"> </w:t>
      </w:r>
      <w:r w:rsidR="00A61463" w:rsidRPr="004B4187">
        <w:fldChar w:fldCharType="begin"/>
      </w:r>
      <w:r w:rsidR="00A61463" w:rsidRPr="004B4187">
        <w:instrText xml:space="preserve"> ADDIN EN.CITE &lt;EndNote&gt;&lt;Cite&gt;&lt;Author&gt;Lloyd&lt;/Author&gt;&lt;Year&gt;2019&lt;/Year&gt;&lt;RecNum&gt;181&lt;/RecNum&gt;&lt;DisplayText&gt;[4]&lt;/DisplayText&gt;&lt;record&gt;&lt;rec-number&gt;181&lt;/rec-number&gt;&lt;foreign-keys&gt;&lt;key app="EN" db-id="swrefzer2v0rpoeetdnxva03z5eeefr2fzft" timestamp="1587037762"&gt;181&lt;/key&gt;&lt;/foreign-keys&gt;&lt;ref-type name="Journal Article"&gt;17&lt;/ref-type&gt;&lt;contributors&gt;&lt;authors&gt;&lt;author&gt;Lloyd, A. J.&lt;/author&gt;&lt;author&gt;Gallop, K.&lt;/author&gt;&lt;author&gt;Ali, S.&lt;/author&gt;&lt;author&gt;Myren, K. J.&lt;/author&gt;&lt;author&gt;Sierra, J. R.&lt;/author&gt;&lt;author&gt;Anokhina, K.&lt;/author&gt;&lt;author&gt;Patriquin, C.&lt;/author&gt;&lt;author&gt;Hill, A.&lt;/author&gt;&lt;author&gt;Tomazos, I.&lt;/author&gt;&lt;/authors&gt;&lt;/contributors&gt;&lt;titles&gt;&lt;title&gt;Preference weights for quality-adjusted life-years estimation for treatments of paroxysmal nocturnal hemoglobinuria in the United Kingdom&lt;/title&gt;&lt;secondary-title&gt;Value Health&lt;/secondary-title&gt;&lt;/titles&gt;&lt;periodical&gt;&lt;full-title&gt;Value Health&lt;/full-title&gt;&lt;/periodical&gt;&lt;pages&gt;S902&lt;/pages&gt;&lt;volume&gt;22 (Suppl 3)&lt;/volume&gt;&lt;dates&gt;&lt;year&gt;2019&lt;/year&gt;&lt;/dates&gt;&lt;publisher&gt;Elsevier&lt;/publisher&gt;&lt;isbn&gt;1098-3015&lt;/isbn&gt;&lt;urls&gt;&lt;related-urls&gt;&lt;url&gt;https://doi.org/10.1016/j.jval.2019.09.2637&lt;/url&gt;&lt;/related-urls&gt;&lt;/urls&gt;&lt;electronic-resource-num&gt;10.1016/j.jval.2019.09.2637&lt;/electronic-resource-num&gt;&lt;access-date&gt;2020/04/16&lt;/access-date&gt;&lt;/record&gt;&lt;/Cite&gt;&lt;/EndNote&gt;</w:instrText>
      </w:r>
      <w:r w:rsidR="00A61463" w:rsidRPr="004B4187">
        <w:fldChar w:fldCharType="separate"/>
      </w:r>
      <w:r w:rsidR="00A61463" w:rsidRPr="004B4187">
        <w:rPr>
          <w:noProof/>
        </w:rPr>
        <w:t>[4]</w:t>
      </w:r>
      <w:r w:rsidR="00A61463" w:rsidRPr="004B4187">
        <w:fldChar w:fldCharType="end"/>
      </w:r>
      <w:r w:rsidR="00A61463" w:rsidRPr="004B4187">
        <w:t>.</w:t>
      </w:r>
      <w:r w:rsidRPr="004B4187">
        <w:t xml:space="preserve"> The DCE was designed to understand the importance of different aspects of treatments for PNH and associated outcomes. These </w:t>
      </w:r>
      <w:r w:rsidRPr="004B4187">
        <w:lastRenderedPageBreak/>
        <w:t xml:space="preserve">“attributes” included (1) life expectancy (2) treatment administration (3) severity and frequency of hemolysis (4) risk of meningococcal infection and (5) frequency of blood transfusions. Variations of these attributes were combined using a published orthogonal array into choice sets presented in 16 questions, and administered as an online survey to a sample of 507 respondents in the UK (broadly representative of the general population in terms of age, gender, ethnicity, and geography). </w:t>
      </w:r>
    </w:p>
    <w:p w14:paraId="0821BA13" w14:textId="31562A37" w:rsidR="00241342" w:rsidRPr="004B4187" w:rsidRDefault="00241342" w:rsidP="00010FDD">
      <w:pPr>
        <w:ind w:firstLine="720"/>
      </w:pPr>
      <w:r w:rsidRPr="004B4187">
        <w:t>Responses to the survey were analyzed to estimate the utility impact of different attributes included in the DCE, using methodology reported previously</w:t>
      </w:r>
      <w:r w:rsidR="0066276C" w:rsidRPr="004B4187">
        <w:fldChar w:fldCharType="begin"/>
      </w:r>
      <w:r w:rsidR="00A61463" w:rsidRPr="004B4187">
        <w:instrText xml:space="preserve"> ADDIN EN.CITE &lt;EndNote&gt;&lt;Cite&gt;&lt;Author&gt;Lloyd&lt;/Author&gt;&lt;Year&gt;2017&lt;/Year&gt;&lt;RecNum&gt;178&lt;/RecNum&gt;&lt;DisplayText&gt;[5]&lt;/DisplayText&gt;&lt;record&gt;&lt;rec-number&gt;178&lt;/rec-number&gt;&lt;foreign-keys&gt;&lt;key app="EN" db-id="swrefzer2v0rpoeetdnxva03z5eeefr2fzft" timestamp="1586295930"&gt;178&lt;/key&gt;&lt;/foreign-keys&gt;&lt;ref-type name="Journal Article"&gt;17&lt;/ref-type&gt;&lt;contributors&gt;&lt;authors&gt;&lt;author&gt;Lloyd, A. J.&lt;/author&gt;&lt;author&gt;Gallop, K.&lt;/author&gt;&lt;author&gt;Ali, S.&lt;/author&gt;&lt;author&gt;Hughes, D.&lt;/author&gt;&lt;author&gt;MacCulloch, A.&lt;/author&gt;&lt;/authors&gt;&lt;/contributors&gt;&lt;auth-address&gt;a Bladon Associates Ltd. , Oxford , UK.&amp;#xD;b Bladon Associates Ltd. , Bristol , UK.&amp;#xD;c University of York , York , UK.&amp;#xD;d Royal Free Hospital , London , UK.&amp;#xD;e Amicus Therapeutics Ltd. , London , UK.&lt;/auth-address&gt;&lt;titles&gt;&lt;title&gt;Social preference weights for treatments in Fabry disease in the UK: a discrete choice experiment&lt;/title&gt;&lt;secondary-title&gt;Curr Med Res Opin&lt;/secondary-title&gt;&lt;/titles&gt;&lt;periodical&gt;&lt;full-title&gt;Curr Med Res Opin&lt;/full-title&gt;&lt;/periodical&gt;&lt;pages&gt;23–29&lt;/pages&gt;&lt;volume&gt;33&lt;/volume&gt;&lt;number&gt;1&lt;/number&gt;&lt;keywords&gt;&lt;keyword&gt;Administration, Oral&lt;/keyword&gt;&lt;keyword&gt;Adult&lt;/keyword&gt;&lt;keyword&gt;Aged&lt;/keyword&gt;&lt;keyword&gt;Choice Behavior&lt;/keyword&gt;&lt;keyword&gt;Fabry Disease/*drug therapy&lt;/keyword&gt;&lt;keyword&gt;Female&lt;/keyword&gt;&lt;keyword&gt;Humans&lt;/keyword&gt;&lt;keyword&gt;Logistic Models&lt;/keyword&gt;&lt;keyword&gt;Male&lt;/keyword&gt;&lt;keyword&gt;Middle Aged&lt;/keyword&gt;&lt;keyword&gt;*Patient Preference/statistics &amp;amp; numerical data&lt;/keyword&gt;&lt;keyword&gt;Quality-Adjusted Life Years&lt;/keyword&gt;&lt;keyword&gt;*Cost-utility analysis&lt;/keyword&gt;&lt;keyword&gt;*Discrete choice experiment&lt;/keyword&gt;&lt;keyword&gt;*Fabry disease&lt;/keyword&gt;&lt;keyword&gt;*Health-related quality of life&lt;/keyword&gt;&lt;/keywords&gt;&lt;dates&gt;&lt;year&gt;2017&lt;/year&gt;&lt;pub-dates&gt;&lt;date&gt;Jan&lt;/date&gt;&lt;/pub-dates&gt;&lt;/dates&gt;&lt;isbn&gt;1473-4877 (Electronic)&amp;#xD;0300-7995 (Linking)&lt;/isbn&gt;&lt;accession-num&gt;27590169&lt;/accession-num&gt;&lt;urls&gt;&lt;related-urls&gt;&lt;url&gt;https://www.ncbi.nlm.nih.gov/pubmed/27590169&lt;/url&gt;&lt;/related-urls&gt;&lt;/urls&gt;&lt;electronic-resource-num&gt;10.1080/03007995.2016.1232704&lt;/electronic-resource-num&gt;&lt;/record&gt;&lt;/Cite&gt;&lt;/EndNote&gt;</w:instrText>
      </w:r>
      <w:r w:rsidR="0066276C" w:rsidRPr="004B4187">
        <w:fldChar w:fldCharType="separate"/>
      </w:r>
      <w:r w:rsidR="00A61463" w:rsidRPr="004B4187">
        <w:rPr>
          <w:noProof/>
        </w:rPr>
        <w:t>[5]</w:t>
      </w:r>
      <w:r w:rsidR="0066276C" w:rsidRPr="004B4187">
        <w:fldChar w:fldCharType="end"/>
      </w:r>
      <w:r w:rsidRPr="004B4187">
        <w:t>. As a first step in the analysis, responses were reviewed against a consistency choice test (dominant-choice test), whereby one alternative is superior in terms of all attributes v</w:t>
      </w:r>
      <w:r w:rsidR="00D17F8B" w:rsidRPr="004B4187">
        <w:t>er</w:t>
      </w:r>
      <w:r w:rsidRPr="004B4187">
        <w:t>s</w:t>
      </w:r>
      <w:r w:rsidR="00D17F8B" w:rsidRPr="004B4187">
        <w:t>us</w:t>
      </w:r>
      <w:r w:rsidRPr="004B4187">
        <w:t xml:space="preserve"> every other alternative, and therefore should logically be preferred if respondents understand the choices described. Of the 507 survey respondents, 122 (24%) failed the dominant-choice test; in analyses for estimation of utility impacts, data for these respondents were excluded.</w:t>
      </w:r>
      <w:r w:rsidR="00D56980" w:rsidRPr="004B4187">
        <w:t xml:space="preserve"> </w:t>
      </w:r>
      <w:r w:rsidRPr="004B4187">
        <w:t>Data for the 385 respondents who passed the dominant-choice test were used to estimate a mixed-effects logistic-regression model</w:t>
      </w:r>
      <w:r w:rsidRPr="004B4187">
        <w:rPr>
          <w:vertAlign w:val="superscript"/>
        </w:rPr>
        <w:footnoteReference w:id="2"/>
      </w:r>
      <w:r w:rsidRPr="004B4187">
        <w:t xml:space="preserve">, to quantify the strength of respondents’ preferences for different attributes of treatments for PNH. Parameter estimates from the mixed-effects logistic-regression model are </w:t>
      </w:r>
      <w:r w:rsidR="0098414D" w:rsidRPr="004B4187">
        <w:t>summarized in the table</w:t>
      </w:r>
      <w:r w:rsidRPr="004B4187">
        <w:t xml:space="preserve"> below. Estimates indicate that all attributes were significant predictors of choice, but typically only the most extreme level of each attribute was statistically significant.</w:t>
      </w:r>
    </w:p>
    <w:p w14:paraId="10EC32C3" w14:textId="77777777" w:rsidR="00241342" w:rsidRPr="004B4187" w:rsidRDefault="00241342" w:rsidP="00241342"/>
    <w:p w14:paraId="50641DBC" w14:textId="7D181A69" w:rsidR="00241342" w:rsidRPr="004B4187" w:rsidRDefault="00241342" w:rsidP="00241342">
      <w:pPr>
        <w:widowControl w:val="0"/>
        <w:overflowPunct w:val="0"/>
        <w:autoSpaceDE w:val="0"/>
        <w:autoSpaceDN w:val="0"/>
        <w:adjustRightInd w:val="0"/>
        <w:spacing w:after="200"/>
        <w:textAlignment w:val="baseline"/>
        <w:rPr>
          <w:rFonts w:eastAsia="Times New Roman"/>
          <w:b/>
          <w:bCs/>
          <w:kern w:val="28"/>
          <w:sz w:val="20"/>
          <w:szCs w:val="20"/>
          <w:lang w:val="en-IE"/>
        </w:rPr>
      </w:pPr>
      <w:bookmarkStart w:id="0" w:name="_Toc24046365"/>
      <w:bookmarkStart w:id="1" w:name="_Toc16243665"/>
      <w:r w:rsidRPr="004B4187">
        <w:rPr>
          <w:rFonts w:eastAsia="Times New Roman"/>
          <w:b/>
          <w:bCs/>
          <w:kern w:val="28"/>
          <w:sz w:val="20"/>
          <w:szCs w:val="20"/>
          <w:lang w:val="en-IE"/>
        </w:rPr>
        <w:t>Parameter estimates from DCE mixed-effects logistic-regression model</w:t>
      </w:r>
      <w:bookmarkEnd w:id="0"/>
      <w:bookmarkEnd w:id="1"/>
    </w:p>
    <w:tbl>
      <w:tblPr>
        <w:tblW w:w="9175" w:type="dxa"/>
        <w:tblLook w:val="04A0" w:firstRow="1" w:lastRow="0" w:firstColumn="1" w:lastColumn="0" w:noHBand="0" w:noVBand="1"/>
      </w:tblPr>
      <w:tblGrid>
        <w:gridCol w:w="6025"/>
        <w:gridCol w:w="1260"/>
        <w:gridCol w:w="900"/>
        <w:gridCol w:w="990"/>
      </w:tblGrid>
      <w:tr w:rsidR="00241342" w:rsidRPr="004B4187" w14:paraId="0601F9BC" w14:textId="77777777" w:rsidTr="00241342">
        <w:trPr>
          <w:trHeight w:val="285"/>
        </w:trPr>
        <w:tc>
          <w:tcPr>
            <w:tcW w:w="6025" w:type="dxa"/>
            <w:tcBorders>
              <w:top w:val="single" w:sz="4" w:space="0" w:color="auto"/>
              <w:left w:val="single" w:sz="4" w:space="0" w:color="auto"/>
              <w:bottom w:val="single" w:sz="4" w:space="0" w:color="auto"/>
              <w:right w:val="single" w:sz="4" w:space="0" w:color="auto"/>
            </w:tcBorders>
            <w:shd w:val="clear" w:color="auto" w:fill="5F5F5F" w:themeFill="accent3"/>
            <w:noWrap/>
            <w:vAlign w:val="bottom"/>
            <w:hideMark/>
          </w:tcPr>
          <w:p w14:paraId="2BD5864C" w14:textId="77777777" w:rsidR="00241342" w:rsidRPr="004B4187" w:rsidRDefault="00241342">
            <w:pPr>
              <w:jc w:val="center"/>
              <w:rPr>
                <w:rFonts w:eastAsia="Times New Roman"/>
                <w:b/>
                <w:bCs/>
                <w:color w:val="FFFFFF"/>
                <w:sz w:val="20"/>
                <w:szCs w:val="20"/>
                <w:lang w:val="en-US"/>
              </w:rPr>
            </w:pPr>
            <w:r w:rsidRPr="004B4187">
              <w:rPr>
                <w:rFonts w:eastAsia="Times New Roman"/>
                <w:b/>
                <w:bCs/>
                <w:color w:val="FFFFFF"/>
                <w:sz w:val="20"/>
                <w:szCs w:val="20"/>
              </w:rPr>
              <w:t>Attributes and levels</w:t>
            </w:r>
          </w:p>
        </w:tc>
        <w:tc>
          <w:tcPr>
            <w:tcW w:w="1260" w:type="dxa"/>
            <w:tcBorders>
              <w:top w:val="single" w:sz="4" w:space="0" w:color="auto"/>
              <w:left w:val="nil"/>
              <w:bottom w:val="single" w:sz="4" w:space="0" w:color="auto"/>
              <w:right w:val="single" w:sz="4" w:space="0" w:color="auto"/>
            </w:tcBorders>
            <w:shd w:val="clear" w:color="auto" w:fill="5F5F5F" w:themeFill="accent3"/>
            <w:noWrap/>
            <w:vAlign w:val="bottom"/>
            <w:hideMark/>
          </w:tcPr>
          <w:p w14:paraId="398DD2A6" w14:textId="77777777" w:rsidR="00241342" w:rsidRPr="004B4187" w:rsidRDefault="00241342">
            <w:pPr>
              <w:jc w:val="center"/>
              <w:rPr>
                <w:rFonts w:eastAsia="Times New Roman"/>
                <w:b/>
                <w:bCs/>
                <w:color w:val="FFFFFF"/>
                <w:sz w:val="20"/>
                <w:szCs w:val="20"/>
              </w:rPr>
            </w:pPr>
            <w:r w:rsidRPr="004B4187">
              <w:rPr>
                <w:rFonts w:eastAsia="Times New Roman"/>
                <w:b/>
                <w:bCs/>
                <w:color w:val="FFFFFF"/>
                <w:sz w:val="20"/>
                <w:szCs w:val="20"/>
              </w:rPr>
              <w:t>Coefficient</w:t>
            </w:r>
          </w:p>
        </w:tc>
        <w:tc>
          <w:tcPr>
            <w:tcW w:w="900" w:type="dxa"/>
            <w:tcBorders>
              <w:top w:val="single" w:sz="4" w:space="0" w:color="auto"/>
              <w:left w:val="nil"/>
              <w:bottom w:val="single" w:sz="4" w:space="0" w:color="auto"/>
              <w:right w:val="single" w:sz="4" w:space="0" w:color="auto"/>
            </w:tcBorders>
            <w:shd w:val="clear" w:color="auto" w:fill="5F5F5F" w:themeFill="accent3"/>
            <w:noWrap/>
            <w:vAlign w:val="bottom"/>
            <w:hideMark/>
          </w:tcPr>
          <w:p w14:paraId="10D6F742" w14:textId="77777777" w:rsidR="00241342" w:rsidRPr="004B4187" w:rsidRDefault="00241342">
            <w:pPr>
              <w:jc w:val="center"/>
              <w:rPr>
                <w:rFonts w:eastAsia="Times New Roman"/>
                <w:b/>
                <w:bCs/>
                <w:color w:val="FFFFFF"/>
                <w:sz w:val="20"/>
                <w:szCs w:val="20"/>
              </w:rPr>
            </w:pPr>
            <w:r w:rsidRPr="004B4187">
              <w:rPr>
                <w:rFonts w:eastAsia="Times New Roman"/>
                <w:b/>
                <w:bCs/>
                <w:color w:val="FFFFFF"/>
                <w:sz w:val="20"/>
                <w:szCs w:val="20"/>
              </w:rPr>
              <w:t>SE</w:t>
            </w:r>
          </w:p>
        </w:tc>
        <w:tc>
          <w:tcPr>
            <w:tcW w:w="990" w:type="dxa"/>
            <w:tcBorders>
              <w:top w:val="single" w:sz="4" w:space="0" w:color="auto"/>
              <w:left w:val="nil"/>
              <w:bottom w:val="single" w:sz="4" w:space="0" w:color="auto"/>
              <w:right w:val="single" w:sz="4" w:space="0" w:color="auto"/>
            </w:tcBorders>
            <w:shd w:val="clear" w:color="auto" w:fill="5F5F5F" w:themeFill="accent3"/>
            <w:noWrap/>
            <w:vAlign w:val="bottom"/>
            <w:hideMark/>
          </w:tcPr>
          <w:p w14:paraId="21D8675C" w14:textId="77777777" w:rsidR="00241342" w:rsidRPr="004B4187" w:rsidRDefault="00241342">
            <w:pPr>
              <w:jc w:val="center"/>
              <w:rPr>
                <w:rFonts w:eastAsia="Times New Roman"/>
                <w:b/>
                <w:bCs/>
                <w:color w:val="FFFFFF"/>
                <w:sz w:val="20"/>
                <w:szCs w:val="20"/>
              </w:rPr>
            </w:pPr>
            <w:r w:rsidRPr="004B4187">
              <w:rPr>
                <w:rFonts w:eastAsia="Times New Roman"/>
                <w:b/>
                <w:bCs/>
                <w:color w:val="FFFFFF"/>
                <w:sz w:val="20"/>
                <w:szCs w:val="20"/>
              </w:rPr>
              <w:t>z</w:t>
            </w:r>
          </w:p>
        </w:tc>
      </w:tr>
      <w:tr w:rsidR="00241342" w:rsidRPr="004B4187" w14:paraId="26D8807C" w14:textId="77777777" w:rsidTr="00241342">
        <w:trPr>
          <w:trHeight w:val="285"/>
        </w:trPr>
        <w:tc>
          <w:tcPr>
            <w:tcW w:w="6025" w:type="dxa"/>
            <w:tcBorders>
              <w:top w:val="nil"/>
              <w:left w:val="single" w:sz="4" w:space="0" w:color="auto"/>
              <w:bottom w:val="nil"/>
              <w:right w:val="nil"/>
            </w:tcBorders>
            <w:shd w:val="clear" w:color="auto" w:fill="DBDBDB"/>
            <w:noWrap/>
            <w:vAlign w:val="center"/>
            <w:hideMark/>
          </w:tcPr>
          <w:p w14:paraId="14D65573" w14:textId="77777777" w:rsidR="00241342" w:rsidRPr="004B4187" w:rsidRDefault="00241342">
            <w:pPr>
              <w:rPr>
                <w:rFonts w:eastAsia="Times New Roman"/>
                <w:b/>
                <w:bCs/>
                <w:color w:val="000000"/>
                <w:sz w:val="20"/>
                <w:szCs w:val="20"/>
              </w:rPr>
            </w:pPr>
            <w:r w:rsidRPr="004B4187">
              <w:rPr>
                <w:rFonts w:eastAsia="Times New Roman"/>
                <w:b/>
                <w:bCs/>
                <w:color w:val="000000"/>
                <w:sz w:val="20"/>
                <w:szCs w:val="20"/>
              </w:rPr>
              <w:t>Life expectancy</w:t>
            </w:r>
          </w:p>
        </w:tc>
        <w:tc>
          <w:tcPr>
            <w:tcW w:w="1260" w:type="dxa"/>
            <w:shd w:val="clear" w:color="auto" w:fill="DBDBDB"/>
            <w:noWrap/>
            <w:vAlign w:val="center"/>
            <w:hideMark/>
          </w:tcPr>
          <w:p w14:paraId="7D98E06F" w14:textId="77777777" w:rsidR="00241342" w:rsidRPr="004B4187" w:rsidRDefault="00241342">
            <w:pPr>
              <w:rPr>
                <w:rFonts w:eastAsia="Times New Roman"/>
                <w:b/>
                <w:bCs/>
                <w:color w:val="000000"/>
                <w:sz w:val="20"/>
                <w:szCs w:val="20"/>
              </w:rPr>
            </w:pPr>
          </w:p>
        </w:tc>
        <w:tc>
          <w:tcPr>
            <w:tcW w:w="900" w:type="dxa"/>
            <w:shd w:val="clear" w:color="auto" w:fill="DBDBDB"/>
            <w:noWrap/>
            <w:vAlign w:val="center"/>
            <w:hideMark/>
          </w:tcPr>
          <w:p w14:paraId="6CE70359" w14:textId="77777777" w:rsidR="00241342" w:rsidRPr="004B4187" w:rsidRDefault="00241342">
            <w:pPr>
              <w:rPr>
                <w:sz w:val="20"/>
                <w:szCs w:val="20"/>
              </w:rPr>
            </w:pPr>
          </w:p>
        </w:tc>
        <w:tc>
          <w:tcPr>
            <w:tcW w:w="990" w:type="dxa"/>
            <w:tcBorders>
              <w:top w:val="nil"/>
              <w:left w:val="nil"/>
              <w:bottom w:val="nil"/>
              <w:right w:val="single" w:sz="4" w:space="0" w:color="auto"/>
            </w:tcBorders>
            <w:shd w:val="clear" w:color="auto" w:fill="DBDBDB"/>
            <w:noWrap/>
            <w:vAlign w:val="center"/>
            <w:hideMark/>
          </w:tcPr>
          <w:p w14:paraId="75786570" w14:textId="77777777" w:rsidR="00241342" w:rsidRPr="004B4187" w:rsidRDefault="00241342">
            <w:pPr>
              <w:rPr>
                <w:sz w:val="20"/>
                <w:szCs w:val="20"/>
              </w:rPr>
            </w:pPr>
          </w:p>
        </w:tc>
      </w:tr>
      <w:tr w:rsidR="00241342" w:rsidRPr="004B4187" w14:paraId="740AF429" w14:textId="77777777" w:rsidTr="00241342">
        <w:trPr>
          <w:trHeight w:val="285"/>
        </w:trPr>
        <w:tc>
          <w:tcPr>
            <w:tcW w:w="6025" w:type="dxa"/>
            <w:tcBorders>
              <w:top w:val="nil"/>
              <w:left w:val="single" w:sz="4" w:space="0" w:color="auto"/>
              <w:bottom w:val="nil"/>
              <w:right w:val="nil"/>
            </w:tcBorders>
            <w:noWrap/>
            <w:vAlign w:val="center"/>
            <w:hideMark/>
          </w:tcPr>
          <w:p w14:paraId="5AC5E631" w14:textId="3D657DE8" w:rsidR="00241342" w:rsidRPr="004B4187" w:rsidRDefault="00241342">
            <w:pPr>
              <w:rPr>
                <w:rFonts w:eastAsia="Times New Roman"/>
                <w:color w:val="000000"/>
                <w:sz w:val="20"/>
                <w:szCs w:val="20"/>
              </w:rPr>
            </w:pPr>
            <w:r w:rsidRPr="004B4187">
              <w:rPr>
                <w:rFonts w:eastAsia="Times New Roman"/>
                <w:color w:val="000000"/>
                <w:sz w:val="20"/>
                <w:szCs w:val="20"/>
              </w:rPr>
              <w:t>Reference value: Not reduced</w:t>
            </w:r>
          </w:p>
        </w:tc>
        <w:tc>
          <w:tcPr>
            <w:tcW w:w="1260" w:type="dxa"/>
            <w:noWrap/>
            <w:vAlign w:val="center"/>
            <w:hideMark/>
          </w:tcPr>
          <w:p w14:paraId="751CDB23" w14:textId="77777777" w:rsidR="00241342" w:rsidRPr="004B4187" w:rsidRDefault="00241342">
            <w:pPr>
              <w:rPr>
                <w:rFonts w:eastAsia="Times New Roman"/>
                <w:color w:val="000000"/>
                <w:sz w:val="20"/>
                <w:szCs w:val="20"/>
              </w:rPr>
            </w:pPr>
          </w:p>
        </w:tc>
        <w:tc>
          <w:tcPr>
            <w:tcW w:w="900" w:type="dxa"/>
            <w:noWrap/>
            <w:vAlign w:val="center"/>
            <w:hideMark/>
          </w:tcPr>
          <w:p w14:paraId="6F0FB8C9" w14:textId="77777777" w:rsidR="00241342" w:rsidRPr="004B4187" w:rsidRDefault="00241342">
            <w:pPr>
              <w:rPr>
                <w:sz w:val="20"/>
                <w:szCs w:val="20"/>
              </w:rPr>
            </w:pPr>
          </w:p>
        </w:tc>
        <w:tc>
          <w:tcPr>
            <w:tcW w:w="990" w:type="dxa"/>
            <w:tcBorders>
              <w:top w:val="nil"/>
              <w:left w:val="nil"/>
              <w:bottom w:val="nil"/>
              <w:right w:val="single" w:sz="4" w:space="0" w:color="auto"/>
            </w:tcBorders>
            <w:noWrap/>
            <w:vAlign w:val="center"/>
            <w:hideMark/>
          </w:tcPr>
          <w:p w14:paraId="4930E696" w14:textId="77777777" w:rsidR="00241342" w:rsidRPr="004B4187" w:rsidRDefault="00241342">
            <w:pPr>
              <w:rPr>
                <w:sz w:val="20"/>
                <w:szCs w:val="20"/>
              </w:rPr>
            </w:pPr>
          </w:p>
        </w:tc>
      </w:tr>
      <w:tr w:rsidR="00241342" w:rsidRPr="004B4187" w14:paraId="037E1D6F" w14:textId="77777777" w:rsidTr="00241342">
        <w:trPr>
          <w:trHeight w:val="285"/>
        </w:trPr>
        <w:tc>
          <w:tcPr>
            <w:tcW w:w="6025" w:type="dxa"/>
            <w:tcBorders>
              <w:top w:val="nil"/>
              <w:left w:val="single" w:sz="4" w:space="0" w:color="auto"/>
              <w:bottom w:val="nil"/>
              <w:right w:val="nil"/>
            </w:tcBorders>
            <w:vAlign w:val="center"/>
            <w:hideMark/>
          </w:tcPr>
          <w:p w14:paraId="6345C9C5" w14:textId="77777777" w:rsidR="00241342" w:rsidRPr="004B4187" w:rsidRDefault="00241342">
            <w:pPr>
              <w:rPr>
                <w:rFonts w:eastAsia="Times New Roman"/>
                <w:color w:val="000000"/>
                <w:sz w:val="20"/>
                <w:szCs w:val="20"/>
              </w:rPr>
            </w:pPr>
            <w:r w:rsidRPr="004B4187">
              <w:rPr>
                <w:rFonts w:eastAsia="Times New Roman"/>
                <w:color w:val="000000"/>
                <w:sz w:val="20"/>
                <w:szCs w:val="20"/>
              </w:rPr>
              <w:t>Reduced by 4 years</w:t>
            </w:r>
          </w:p>
        </w:tc>
        <w:tc>
          <w:tcPr>
            <w:tcW w:w="1260" w:type="dxa"/>
            <w:noWrap/>
            <w:vAlign w:val="center"/>
            <w:hideMark/>
          </w:tcPr>
          <w:p w14:paraId="075A7498" w14:textId="07B0EE29"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0.794</w:t>
            </w:r>
          </w:p>
        </w:tc>
        <w:tc>
          <w:tcPr>
            <w:tcW w:w="900" w:type="dxa"/>
            <w:noWrap/>
            <w:vAlign w:val="center"/>
            <w:hideMark/>
          </w:tcPr>
          <w:p w14:paraId="34379F85"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0.072</w:t>
            </w:r>
          </w:p>
        </w:tc>
        <w:tc>
          <w:tcPr>
            <w:tcW w:w="990" w:type="dxa"/>
            <w:tcBorders>
              <w:top w:val="nil"/>
              <w:left w:val="nil"/>
              <w:bottom w:val="nil"/>
              <w:right w:val="single" w:sz="4" w:space="0" w:color="auto"/>
            </w:tcBorders>
            <w:noWrap/>
            <w:vAlign w:val="center"/>
            <w:hideMark/>
          </w:tcPr>
          <w:p w14:paraId="54EF82EA" w14:textId="487C3EA3"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11.08</w:t>
            </w:r>
          </w:p>
        </w:tc>
      </w:tr>
      <w:tr w:rsidR="00241342" w:rsidRPr="004B4187" w14:paraId="61258E29" w14:textId="77777777" w:rsidTr="00241342">
        <w:trPr>
          <w:trHeight w:val="285"/>
        </w:trPr>
        <w:tc>
          <w:tcPr>
            <w:tcW w:w="6025" w:type="dxa"/>
            <w:tcBorders>
              <w:top w:val="nil"/>
              <w:left w:val="single" w:sz="4" w:space="0" w:color="auto"/>
              <w:bottom w:val="nil"/>
              <w:right w:val="nil"/>
            </w:tcBorders>
            <w:vAlign w:val="center"/>
            <w:hideMark/>
          </w:tcPr>
          <w:p w14:paraId="183BD74F" w14:textId="77777777" w:rsidR="00241342" w:rsidRPr="004B4187" w:rsidRDefault="00241342">
            <w:pPr>
              <w:rPr>
                <w:rFonts w:eastAsia="Times New Roman"/>
                <w:color w:val="000000"/>
                <w:sz w:val="20"/>
                <w:szCs w:val="20"/>
              </w:rPr>
            </w:pPr>
            <w:r w:rsidRPr="004B4187">
              <w:rPr>
                <w:rFonts w:eastAsia="Times New Roman"/>
                <w:color w:val="000000"/>
                <w:sz w:val="20"/>
                <w:szCs w:val="20"/>
              </w:rPr>
              <w:t>Reduced by 8 years</w:t>
            </w:r>
          </w:p>
        </w:tc>
        <w:tc>
          <w:tcPr>
            <w:tcW w:w="1260" w:type="dxa"/>
            <w:noWrap/>
            <w:vAlign w:val="center"/>
            <w:hideMark/>
          </w:tcPr>
          <w:p w14:paraId="4ABFBD14" w14:textId="7B4AC5A9"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1.669</w:t>
            </w:r>
          </w:p>
        </w:tc>
        <w:tc>
          <w:tcPr>
            <w:tcW w:w="900" w:type="dxa"/>
            <w:noWrap/>
            <w:vAlign w:val="center"/>
            <w:hideMark/>
          </w:tcPr>
          <w:p w14:paraId="38C577C4"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0.094</w:t>
            </w:r>
          </w:p>
        </w:tc>
        <w:tc>
          <w:tcPr>
            <w:tcW w:w="990" w:type="dxa"/>
            <w:tcBorders>
              <w:top w:val="nil"/>
              <w:left w:val="nil"/>
              <w:bottom w:val="nil"/>
              <w:right w:val="single" w:sz="4" w:space="0" w:color="auto"/>
            </w:tcBorders>
            <w:noWrap/>
            <w:vAlign w:val="center"/>
            <w:hideMark/>
          </w:tcPr>
          <w:p w14:paraId="0A906955" w14:textId="63377D9F"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17.82</w:t>
            </w:r>
          </w:p>
        </w:tc>
      </w:tr>
      <w:tr w:rsidR="00241342" w:rsidRPr="004B4187" w14:paraId="4D9D611F" w14:textId="77777777" w:rsidTr="00241342">
        <w:trPr>
          <w:trHeight w:val="285"/>
        </w:trPr>
        <w:tc>
          <w:tcPr>
            <w:tcW w:w="6025" w:type="dxa"/>
            <w:tcBorders>
              <w:top w:val="nil"/>
              <w:left w:val="single" w:sz="4" w:space="0" w:color="auto"/>
              <w:bottom w:val="single" w:sz="4" w:space="0" w:color="auto"/>
              <w:right w:val="nil"/>
            </w:tcBorders>
            <w:vAlign w:val="center"/>
            <w:hideMark/>
          </w:tcPr>
          <w:p w14:paraId="78CBA224" w14:textId="77777777" w:rsidR="00241342" w:rsidRPr="004B4187" w:rsidRDefault="00241342">
            <w:pPr>
              <w:rPr>
                <w:rFonts w:eastAsia="Times New Roman"/>
                <w:color w:val="000000"/>
                <w:sz w:val="20"/>
                <w:szCs w:val="20"/>
              </w:rPr>
            </w:pPr>
            <w:r w:rsidRPr="004B4187">
              <w:rPr>
                <w:rFonts w:eastAsia="Times New Roman"/>
                <w:color w:val="000000"/>
                <w:sz w:val="20"/>
                <w:szCs w:val="20"/>
              </w:rPr>
              <w:t>Reduced by 12 years</w:t>
            </w:r>
          </w:p>
        </w:tc>
        <w:tc>
          <w:tcPr>
            <w:tcW w:w="1260" w:type="dxa"/>
            <w:tcBorders>
              <w:top w:val="nil"/>
              <w:left w:val="nil"/>
              <w:bottom w:val="single" w:sz="4" w:space="0" w:color="auto"/>
              <w:right w:val="nil"/>
            </w:tcBorders>
            <w:noWrap/>
            <w:vAlign w:val="center"/>
            <w:hideMark/>
          </w:tcPr>
          <w:p w14:paraId="37184AD2" w14:textId="2270EB63"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3.497</w:t>
            </w:r>
          </w:p>
        </w:tc>
        <w:tc>
          <w:tcPr>
            <w:tcW w:w="900" w:type="dxa"/>
            <w:tcBorders>
              <w:top w:val="nil"/>
              <w:left w:val="nil"/>
              <w:bottom w:val="single" w:sz="4" w:space="0" w:color="auto"/>
              <w:right w:val="nil"/>
            </w:tcBorders>
            <w:noWrap/>
            <w:vAlign w:val="center"/>
            <w:hideMark/>
          </w:tcPr>
          <w:p w14:paraId="39FB2AFD"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0.145</w:t>
            </w:r>
          </w:p>
        </w:tc>
        <w:tc>
          <w:tcPr>
            <w:tcW w:w="990" w:type="dxa"/>
            <w:tcBorders>
              <w:top w:val="nil"/>
              <w:left w:val="nil"/>
              <w:bottom w:val="single" w:sz="4" w:space="0" w:color="auto"/>
              <w:right w:val="single" w:sz="4" w:space="0" w:color="auto"/>
            </w:tcBorders>
            <w:noWrap/>
            <w:vAlign w:val="center"/>
            <w:hideMark/>
          </w:tcPr>
          <w:p w14:paraId="73ACF76F" w14:textId="0CB68453"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24.15</w:t>
            </w:r>
          </w:p>
        </w:tc>
      </w:tr>
      <w:tr w:rsidR="00241342" w:rsidRPr="004B4187" w14:paraId="3B4A11DD" w14:textId="77777777" w:rsidTr="00241342">
        <w:trPr>
          <w:trHeight w:val="285"/>
        </w:trPr>
        <w:tc>
          <w:tcPr>
            <w:tcW w:w="6025" w:type="dxa"/>
            <w:tcBorders>
              <w:top w:val="nil"/>
              <w:left w:val="single" w:sz="4" w:space="0" w:color="auto"/>
              <w:bottom w:val="nil"/>
              <w:right w:val="nil"/>
            </w:tcBorders>
            <w:shd w:val="clear" w:color="auto" w:fill="DBDBDB"/>
            <w:noWrap/>
            <w:vAlign w:val="center"/>
            <w:hideMark/>
          </w:tcPr>
          <w:p w14:paraId="29A3CF95" w14:textId="77777777" w:rsidR="00241342" w:rsidRPr="004B4187" w:rsidRDefault="00241342">
            <w:pPr>
              <w:rPr>
                <w:rFonts w:eastAsia="Times New Roman"/>
                <w:b/>
                <w:bCs/>
                <w:color w:val="000000"/>
                <w:sz w:val="20"/>
                <w:szCs w:val="20"/>
              </w:rPr>
            </w:pPr>
            <w:r w:rsidRPr="004B4187">
              <w:rPr>
                <w:rFonts w:eastAsia="Times New Roman"/>
                <w:b/>
                <w:bCs/>
                <w:color w:val="000000"/>
                <w:sz w:val="20"/>
                <w:szCs w:val="20"/>
              </w:rPr>
              <w:t>Treatment administrations</w:t>
            </w:r>
          </w:p>
        </w:tc>
        <w:tc>
          <w:tcPr>
            <w:tcW w:w="1260" w:type="dxa"/>
            <w:shd w:val="clear" w:color="auto" w:fill="DBDBDB"/>
            <w:noWrap/>
            <w:vAlign w:val="center"/>
            <w:hideMark/>
          </w:tcPr>
          <w:p w14:paraId="0C5F617F" w14:textId="77777777" w:rsidR="00241342" w:rsidRPr="004B4187" w:rsidRDefault="00241342">
            <w:pPr>
              <w:rPr>
                <w:rFonts w:eastAsia="Times New Roman"/>
                <w:b/>
                <w:bCs/>
                <w:color w:val="000000"/>
                <w:sz w:val="20"/>
                <w:szCs w:val="20"/>
              </w:rPr>
            </w:pPr>
          </w:p>
        </w:tc>
        <w:tc>
          <w:tcPr>
            <w:tcW w:w="900" w:type="dxa"/>
            <w:shd w:val="clear" w:color="auto" w:fill="DBDBDB"/>
            <w:noWrap/>
            <w:vAlign w:val="center"/>
            <w:hideMark/>
          </w:tcPr>
          <w:p w14:paraId="422BFADC" w14:textId="77777777" w:rsidR="00241342" w:rsidRPr="004B4187" w:rsidRDefault="00241342">
            <w:pPr>
              <w:rPr>
                <w:sz w:val="20"/>
                <w:szCs w:val="20"/>
              </w:rPr>
            </w:pPr>
          </w:p>
        </w:tc>
        <w:tc>
          <w:tcPr>
            <w:tcW w:w="990" w:type="dxa"/>
            <w:tcBorders>
              <w:top w:val="nil"/>
              <w:left w:val="nil"/>
              <w:bottom w:val="nil"/>
              <w:right w:val="single" w:sz="4" w:space="0" w:color="auto"/>
            </w:tcBorders>
            <w:shd w:val="clear" w:color="auto" w:fill="DBDBDB"/>
            <w:noWrap/>
            <w:vAlign w:val="center"/>
            <w:hideMark/>
          </w:tcPr>
          <w:p w14:paraId="2C43ACD4" w14:textId="77777777" w:rsidR="00241342" w:rsidRPr="004B4187" w:rsidRDefault="00241342">
            <w:pPr>
              <w:rPr>
                <w:sz w:val="20"/>
                <w:szCs w:val="20"/>
              </w:rPr>
            </w:pPr>
          </w:p>
        </w:tc>
      </w:tr>
      <w:tr w:rsidR="00241342" w:rsidRPr="004B4187" w14:paraId="0E1D6437" w14:textId="77777777" w:rsidTr="00241342">
        <w:trPr>
          <w:trHeight w:val="285"/>
        </w:trPr>
        <w:tc>
          <w:tcPr>
            <w:tcW w:w="7281" w:type="dxa"/>
            <w:gridSpan w:val="2"/>
            <w:tcBorders>
              <w:top w:val="nil"/>
              <w:left w:val="single" w:sz="4" w:space="0" w:color="auto"/>
              <w:bottom w:val="nil"/>
              <w:right w:val="nil"/>
            </w:tcBorders>
            <w:noWrap/>
            <w:vAlign w:val="center"/>
            <w:hideMark/>
          </w:tcPr>
          <w:p w14:paraId="239C24C0" w14:textId="31B02BEA" w:rsidR="00241342" w:rsidRPr="004B4187" w:rsidRDefault="00241342">
            <w:pPr>
              <w:rPr>
                <w:rFonts w:eastAsia="Times New Roman"/>
                <w:color w:val="000000"/>
                <w:sz w:val="20"/>
                <w:szCs w:val="20"/>
              </w:rPr>
            </w:pPr>
            <w:r w:rsidRPr="004B4187">
              <w:rPr>
                <w:rFonts w:eastAsia="Times New Roman"/>
                <w:color w:val="000000"/>
                <w:sz w:val="20"/>
                <w:szCs w:val="20"/>
              </w:rPr>
              <w:t>Reference value: IV infusion 6-7 times a year at home, takes 3 hours</w:t>
            </w:r>
          </w:p>
        </w:tc>
        <w:tc>
          <w:tcPr>
            <w:tcW w:w="900" w:type="dxa"/>
            <w:noWrap/>
            <w:vAlign w:val="center"/>
            <w:hideMark/>
          </w:tcPr>
          <w:p w14:paraId="383AAEF2" w14:textId="77777777" w:rsidR="00241342" w:rsidRPr="004B4187" w:rsidRDefault="00241342">
            <w:pPr>
              <w:rPr>
                <w:rFonts w:eastAsia="Times New Roman"/>
                <w:color w:val="000000"/>
                <w:sz w:val="20"/>
                <w:szCs w:val="20"/>
              </w:rPr>
            </w:pPr>
          </w:p>
        </w:tc>
        <w:tc>
          <w:tcPr>
            <w:tcW w:w="990" w:type="dxa"/>
            <w:tcBorders>
              <w:top w:val="nil"/>
              <w:left w:val="nil"/>
              <w:bottom w:val="nil"/>
              <w:right w:val="single" w:sz="4" w:space="0" w:color="auto"/>
            </w:tcBorders>
            <w:noWrap/>
            <w:vAlign w:val="center"/>
            <w:hideMark/>
          </w:tcPr>
          <w:p w14:paraId="3E56418C" w14:textId="77777777" w:rsidR="00241342" w:rsidRPr="004B4187" w:rsidRDefault="00241342">
            <w:pPr>
              <w:rPr>
                <w:sz w:val="20"/>
                <w:szCs w:val="20"/>
              </w:rPr>
            </w:pPr>
          </w:p>
        </w:tc>
      </w:tr>
      <w:tr w:rsidR="00241342" w:rsidRPr="004B4187" w14:paraId="60E0A08F" w14:textId="77777777" w:rsidTr="00241342">
        <w:trPr>
          <w:trHeight w:val="285"/>
        </w:trPr>
        <w:tc>
          <w:tcPr>
            <w:tcW w:w="6025" w:type="dxa"/>
            <w:tcBorders>
              <w:top w:val="nil"/>
              <w:left w:val="single" w:sz="4" w:space="0" w:color="auto"/>
              <w:bottom w:val="single" w:sz="4" w:space="0" w:color="auto"/>
              <w:right w:val="nil"/>
            </w:tcBorders>
            <w:vAlign w:val="center"/>
            <w:hideMark/>
          </w:tcPr>
          <w:p w14:paraId="189A48FB" w14:textId="77777777" w:rsidR="00241342" w:rsidRPr="004B4187" w:rsidRDefault="00241342">
            <w:pPr>
              <w:rPr>
                <w:rFonts w:eastAsia="Times New Roman"/>
                <w:color w:val="000000"/>
                <w:sz w:val="20"/>
                <w:szCs w:val="20"/>
              </w:rPr>
            </w:pPr>
            <w:r w:rsidRPr="004B4187">
              <w:rPr>
                <w:rFonts w:eastAsia="Times New Roman"/>
                <w:color w:val="000000"/>
                <w:sz w:val="20"/>
                <w:szCs w:val="20"/>
              </w:rPr>
              <w:lastRenderedPageBreak/>
              <w:t>IV infusion 26 times a year at home, takes 1 hour</w:t>
            </w:r>
          </w:p>
        </w:tc>
        <w:tc>
          <w:tcPr>
            <w:tcW w:w="1260" w:type="dxa"/>
            <w:tcBorders>
              <w:top w:val="nil"/>
              <w:left w:val="nil"/>
              <w:bottom w:val="single" w:sz="4" w:space="0" w:color="auto"/>
              <w:right w:val="nil"/>
            </w:tcBorders>
            <w:noWrap/>
            <w:vAlign w:val="center"/>
            <w:hideMark/>
          </w:tcPr>
          <w:p w14:paraId="71EE8518" w14:textId="652ECDAD"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0.521</w:t>
            </w:r>
          </w:p>
        </w:tc>
        <w:tc>
          <w:tcPr>
            <w:tcW w:w="900" w:type="dxa"/>
            <w:tcBorders>
              <w:top w:val="nil"/>
              <w:left w:val="nil"/>
              <w:bottom w:val="single" w:sz="4" w:space="0" w:color="auto"/>
              <w:right w:val="nil"/>
            </w:tcBorders>
            <w:noWrap/>
            <w:vAlign w:val="center"/>
            <w:hideMark/>
          </w:tcPr>
          <w:p w14:paraId="6674E799"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0.072</w:t>
            </w:r>
          </w:p>
        </w:tc>
        <w:tc>
          <w:tcPr>
            <w:tcW w:w="990" w:type="dxa"/>
            <w:tcBorders>
              <w:top w:val="nil"/>
              <w:left w:val="nil"/>
              <w:bottom w:val="single" w:sz="4" w:space="0" w:color="auto"/>
              <w:right w:val="single" w:sz="4" w:space="0" w:color="auto"/>
            </w:tcBorders>
            <w:noWrap/>
            <w:vAlign w:val="center"/>
            <w:hideMark/>
          </w:tcPr>
          <w:p w14:paraId="2DE5B86B" w14:textId="2E2038EF"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7.27</w:t>
            </w:r>
          </w:p>
        </w:tc>
      </w:tr>
      <w:tr w:rsidR="00241342" w:rsidRPr="004B4187" w14:paraId="00D14127" w14:textId="77777777" w:rsidTr="00241342">
        <w:trPr>
          <w:trHeight w:val="285"/>
        </w:trPr>
        <w:tc>
          <w:tcPr>
            <w:tcW w:w="6025" w:type="dxa"/>
            <w:tcBorders>
              <w:top w:val="nil"/>
              <w:left w:val="single" w:sz="4" w:space="0" w:color="auto"/>
              <w:bottom w:val="nil"/>
              <w:right w:val="nil"/>
            </w:tcBorders>
            <w:shd w:val="clear" w:color="auto" w:fill="DBDBDB"/>
            <w:noWrap/>
            <w:vAlign w:val="center"/>
            <w:hideMark/>
          </w:tcPr>
          <w:p w14:paraId="247C76ED" w14:textId="77777777" w:rsidR="00241342" w:rsidRPr="004B4187" w:rsidRDefault="00241342">
            <w:pPr>
              <w:rPr>
                <w:rFonts w:eastAsia="Times New Roman"/>
                <w:b/>
                <w:bCs/>
                <w:color w:val="000000"/>
                <w:sz w:val="20"/>
                <w:szCs w:val="20"/>
              </w:rPr>
            </w:pPr>
            <w:r w:rsidRPr="004B4187">
              <w:rPr>
                <w:rFonts w:eastAsia="Times New Roman"/>
                <w:b/>
                <w:bCs/>
                <w:color w:val="000000"/>
                <w:sz w:val="20"/>
                <w:szCs w:val="20"/>
              </w:rPr>
              <w:t>Risk of meningococcal infection</w:t>
            </w:r>
          </w:p>
        </w:tc>
        <w:tc>
          <w:tcPr>
            <w:tcW w:w="1260" w:type="dxa"/>
            <w:shd w:val="clear" w:color="auto" w:fill="DBDBDB"/>
            <w:noWrap/>
            <w:vAlign w:val="center"/>
            <w:hideMark/>
          </w:tcPr>
          <w:p w14:paraId="55EB27EE" w14:textId="77777777" w:rsidR="00241342" w:rsidRPr="004B4187" w:rsidRDefault="00241342">
            <w:pPr>
              <w:rPr>
                <w:rFonts w:eastAsia="Times New Roman"/>
                <w:b/>
                <w:bCs/>
                <w:color w:val="000000"/>
                <w:sz w:val="20"/>
                <w:szCs w:val="20"/>
              </w:rPr>
            </w:pPr>
          </w:p>
        </w:tc>
        <w:tc>
          <w:tcPr>
            <w:tcW w:w="900" w:type="dxa"/>
            <w:shd w:val="clear" w:color="auto" w:fill="DBDBDB"/>
            <w:noWrap/>
            <w:vAlign w:val="center"/>
            <w:hideMark/>
          </w:tcPr>
          <w:p w14:paraId="3967BA64" w14:textId="77777777" w:rsidR="00241342" w:rsidRPr="004B4187" w:rsidRDefault="00241342">
            <w:pPr>
              <w:rPr>
                <w:sz w:val="20"/>
                <w:szCs w:val="20"/>
              </w:rPr>
            </w:pPr>
          </w:p>
        </w:tc>
        <w:tc>
          <w:tcPr>
            <w:tcW w:w="990" w:type="dxa"/>
            <w:tcBorders>
              <w:top w:val="nil"/>
              <w:left w:val="nil"/>
              <w:bottom w:val="nil"/>
              <w:right w:val="single" w:sz="4" w:space="0" w:color="auto"/>
            </w:tcBorders>
            <w:shd w:val="clear" w:color="auto" w:fill="DBDBDB"/>
            <w:noWrap/>
            <w:vAlign w:val="center"/>
            <w:hideMark/>
          </w:tcPr>
          <w:p w14:paraId="5B665B81" w14:textId="77777777" w:rsidR="00241342" w:rsidRPr="004B4187" w:rsidRDefault="00241342">
            <w:pPr>
              <w:rPr>
                <w:sz w:val="20"/>
                <w:szCs w:val="20"/>
              </w:rPr>
            </w:pPr>
          </w:p>
        </w:tc>
      </w:tr>
      <w:tr w:rsidR="00241342" w:rsidRPr="004B4187" w14:paraId="33BC6765" w14:textId="77777777" w:rsidTr="00241342">
        <w:trPr>
          <w:trHeight w:val="285"/>
        </w:trPr>
        <w:tc>
          <w:tcPr>
            <w:tcW w:w="6025" w:type="dxa"/>
            <w:tcBorders>
              <w:top w:val="nil"/>
              <w:left w:val="single" w:sz="4" w:space="0" w:color="auto"/>
              <w:bottom w:val="nil"/>
              <w:right w:val="nil"/>
            </w:tcBorders>
            <w:noWrap/>
            <w:vAlign w:val="center"/>
            <w:hideMark/>
          </w:tcPr>
          <w:p w14:paraId="76BD2E1C" w14:textId="6D99AB14" w:rsidR="00241342" w:rsidRPr="004B4187" w:rsidRDefault="00241342">
            <w:pPr>
              <w:rPr>
                <w:rFonts w:eastAsia="Times New Roman"/>
                <w:color w:val="000000"/>
                <w:sz w:val="20"/>
                <w:szCs w:val="20"/>
              </w:rPr>
            </w:pPr>
            <w:r w:rsidRPr="004B4187">
              <w:rPr>
                <w:rFonts w:eastAsia="Times New Roman"/>
                <w:color w:val="000000"/>
                <w:sz w:val="20"/>
                <w:szCs w:val="20"/>
              </w:rPr>
              <w:t>Reference value: No risk</w:t>
            </w:r>
          </w:p>
        </w:tc>
        <w:tc>
          <w:tcPr>
            <w:tcW w:w="1260" w:type="dxa"/>
            <w:noWrap/>
            <w:vAlign w:val="center"/>
            <w:hideMark/>
          </w:tcPr>
          <w:p w14:paraId="529EEA2C" w14:textId="77777777" w:rsidR="00241342" w:rsidRPr="004B4187" w:rsidRDefault="00241342">
            <w:pPr>
              <w:rPr>
                <w:rFonts w:eastAsia="Times New Roman"/>
                <w:color w:val="000000"/>
                <w:sz w:val="20"/>
                <w:szCs w:val="20"/>
              </w:rPr>
            </w:pPr>
          </w:p>
        </w:tc>
        <w:tc>
          <w:tcPr>
            <w:tcW w:w="900" w:type="dxa"/>
            <w:noWrap/>
            <w:vAlign w:val="center"/>
            <w:hideMark/>
          </w:tcPr>
          <w:p w14:paraId="358A850F" w14:textId="77777777" w:rsidR="00241342" w:rsidRPr="004B4187" w:rsidRDefault="00241342">
            <w:pPr>
              <w:rPr>
                <w:sz w:val="20"/>
                <w:szCs w:val="20"/>
              </w:rPr>
            </w:pPr>
          </w:p>
        </w:tc>
        <w:tc>
          <w:tcPr>
            <w:tcW w:w="990" w:type="dxa"/>
            <w:tcBorders>
              <w:top w:val="nil"/>
              <w:left w:val="nil"/>
              <w:bottom w:val="nil"/>
              <w:right w:val="single" w:sz="4" w:space="0" w:color="auto"/>
            </w:tcBorders>
            <w:noWrap/>
            <w:vAlign w:val="center"/>
            <w:hideMark/>
          </w:tcPr>
          <w:p w14:paraId="1E1F5995" w14:textId="77777777" w:rsidR="00241342" w:rsidRPr="004B4187" w:rsidRDefault="00241342">
            <w:pPr>
              <w:rPr>
                <w:sz w:val="20"/>
                <w:szCs w:val="20"/>
              </w:rPr>
            </w:pPr>
          </w:p>
        </w:tc>
      </w:tr>
      <w:tr w:rsidR="00241342" w:rsidRPr="004B4187" w14:paraId="1C9F271B" w14:textId="77777777" w:rsidTr="00241342">
        <w:trPr>
          <w:trHeight w:val="285"/>
        </w:trPr>
        <w:tc>
          <w:tcPr>
            <w:tcW w:w="6025" w:type="dxa"/>
            <w:tcBorders>
              <w:top w:val="nil"/>
              <w:left w:val="single" w:sz="4" w:space="0" w:color="auto"/>
              <w:bottom w:val="nil"/>
              <w:right w:val="nil"/>
            </w:tcBorders>
            <w:vAlign w:val="center"/>
            <w:hideMark/>
          </w:tcPr>
          <w:p w14:paraId="5DD7655B" w14:textId="77777777" w:rsidR="00241342" w:rsidRPr="004B4187" w:rsidRDefault="00241342">
            <w:pPr>
              <w:rPr>
                <w:rFonts w:eastAsia="Times New Roman"/>
                <w:color w:val="000000"/>
                <w:sz w:val="20"/>
                <w:szCs w:val="20"/>
              </w:rPr>
            </w:pPr>
            <w:r w:rsidRPr="004B4187">
              <w:rPr>
                <w:rFonts w:eastAsia="Times New Roman"/>
                <w:color w:val="000000"/>
                <w:sz w:val="20"/>
                <w:szCs w:val="20"/>
              </w:rPr>
              <w:t>1 in 1000: every 5 years</w:t>
            </w:r>
          </w:p>
        </w:tc>
        <w:tc>
          <w:tcPr>
            <w:tcW w:w="1260" w:type="dxa"/>
            <w:noWrap/>
            <w:vAlign w:val="center"/>
            <w:hideMark/>
          </w:tcPr>
          <w:p w14:paraId="2B5841D5"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0.028</w:t>
            </w:r>
          </w:p>
        </w:tc>
        <w:tc>
          <w:tcPr>
            <w:tcW w:w="900" w:type="dxa"/>
            <w:noWrap/>
            <w:vAlign w:val="center"/>
            <w:hideMark/>
          </w:tcPr>
          <w:p w14:paraId="73E23FD3"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0.080</w:t>
            </w:r>
          </w:p>
        </w:tc>
        <w:tc>
          <w:tcPr>
            <w:tcW w:w="990" w:type="dxa"/>
            <w:tcBorders>
              <w:top w:val="nil"/>
              <w:left w:val="nil"/>
              <w:bottom w:val="nil"/>
              <w:right w:val="single" w:sz="4" w:space="0" w:color="auto"/>
            </w:tcBorders>
            <w:noWrap/>
            <w:vAlign w:val="center"/>
            <w:hideMark/>
          </w:tcPr>
          <w:p w14:paraId="49B76B60"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0.35</w:t>
            </w:r>
          </w:p>
        </w:tc>
      </w:tr>
      <w:tr w:rsidR="00241342" w:rsidRPr="004B4187" w14:paraId="7F1CC6B3" w14:textId="77777777" w:rsidTr="00241342">
        <w:trPr>
          <w:trHeight w:val="285"/>
        </w:trPr>
        <w:tc>
          <w:tcPr>
            <w:tcW w:w="6025" w:type="dxa"/>
            <w:tcBorders>
              <w:top w:val="nil"/>
              <w:left w:val="single" w:sz="4" w:space="0" w:color="auto"/>
              <w:bottom w:val="nil"/>
              <w:right w:val="nil"/>
            </w:tcBorders>
            <w:vAlign w:val="center"/>
            <w:hideMark/>
          </w:tcPr>
          <w:p w14:paraId="20ABF97F" w14:textId="77777777" w:rsidR="00241342" w:rsidRPr="004B4187" w:rsidRDefault="00241342">
            <w:pPr>
              <w:rPr>
                <w:rFonts w:eastAsia="Times New Roman"/>
                <w:color w:val="000000"/>
                <w:sz w:val="20"/>
                <w:szCs w:val="20"/>
              </w:rPr>
            </w:pPr>
            <w:r w:rsidRPr="004B4187">
              <w:rPr>
                <w:rFonts w:eastAsia="Times New Roman"/>
                <w:color w:val="000000"/>
                <w:sz w:val="20"/>
                <w:szCs w:val="20"/>
              </w:rPr>
              <w:t>1 in 1000: every 2 years</w:t>
            </w:r>
          </w:p>
        </w:tc>
        <w:tc>
          <w:tcPr>
            <w:tcW w:w="1260" w:type="dxa"/>
            <w:noWrap/>
            <w:vAlign w:val="center"/>
            <w:hideMark/>
          </w:tcPr>
          <w:p w14:paraId="008F49F1"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0.151</w:t>
            </w:r>
          </w:p>
        </w:tc>
        <w:tc>
          <w:tcPr>
            <w:tcW w:w="900" w:type="dxa"/>
            <w:noWrap/>
            <w:vAlign w:val="center"/>
            <w:hideMark/>
          </w:tcPr>
          <w:p w14:paraId="14145CFF"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0.095</w:t>
            </w:r>
          </w:p>
        </w:tc>
        <w:tc>
          <w:tcPr>
            <w:tcW w:w="990" w:type="dxa"/>
            <w:tcBorders>
              <w:top w:val="nil"/>
              <w:left w:val="nil"/>
              <w:bottom w:val="nil"/>
              <w:right w:val="single" w:sz="4" w:space="0" w:color="auto"/>
            </w:tcBorders>
            <w:noWrap/>
            <w:vAlign w:val="center"/>
            <w:hideMark/>
          </w:tcPr>
          <w:p w14:paraId="6C407030"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1.60</w:t>
            </w:r>
          </w:p>
        </w:tc>
      </w:tr>
      <w:tr w:rsidR="00241342" w:rsidRPr="004B4187" w14:paraId="1D4710DB" w14:textId="77777777" w:rsidTr="00241342">
        <w:trPr>
          <w:trHeight w:val="285"/>
        </w:trPr>
        <w:tc>
          <w:tcPr>
            <w:tcW w:w="6025" w:type="dxa"/>
            <w:tcBorders>
              <w:top w:val="nil"/>
              <w:left w:val="single" w:sz="4" w:space="0" w:color="auto"/>
              <w:bottom w:val="single" w:sz="4" w:space="0" w:color="auto"/>
              <w:right w:val="nil"/>
            </w:tcBorders>
            <w:vAlign w:val="center"/>
            <w:hideMark/>
          </w:tcPr>
          <w:p w14:paraId="0DFFC0C9" w14:textId="77777777" w:rsidR="00241342" w:rsidRPr="004B4187" w:rsidRDefault="00241342">
            <w:pPr>
              <w:rPr>
                <w:rFonts w:eastAsia="Times New Roman"/>
                <w:color w:val="000000"/>
                <w:sz w:val="20"/>
                <w:szCs w:val="20"/>
              </w:rPr>
            </w:pPr>
            <w:r w:rsidRPr="004B4187">
              <w:rPr>
                <w:rFonts w:eastAsia="Times New Roman"/>
                <w:color w:val="000000"/>
                <w:sz w:val="20"/>
                <w:szCs w:val="20"/>
              </w:rPr>
              <w:t>1 in 1000: every 1 year</w:t>
            </w:r>
          </w:p>
        </w:tc>
        <w:tc>
          <w:tcPr>
            <w:tcW w:w="1260" w:type="dxa"/>
            <w:tcBorders>
              <w:top w:val="nil"/>
              <w:left w:val="nil"/>
              <w:bottom w:val="single" w:sz="4" w:space="0" w:color="auto"/>
              <w:right w:val="nil"/>
            </w:tcBorders>
            <w:noWrap/>
            <w:vAlign w:val="center"/>
            <w:hideMark/>
          </w:tcPr>
          <w:p w14:paraId="279386F5" w14:textId="7DB4056D"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0.362</w:t>
            </w:r>
          </w:p>
        </w:tc>
        <w:tc>
          <w:tcPr>
            <w:tcW w:w="900" w:type="dxa"/>
            <w:tcBorders>
              <w:top w:val="nil"/>
              <w:left w:val="nil"/>
              <w:bottom w:val="single" w:sz="4" w:space="0" w:color="auto"/>
              <w:right w:val="nil"/>
            </w:tcBorders>
            <w:noWrap/>
            <w:vAlign w:val="center"/>
            <w:hideMark/>
          </w:tcPr>
          <w:p w14:paraId="61AD37B9"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0.078</w:t>
            </w:r>
          </w:p>
        </w:tc>
        <w:tc>
          <w:tcPr>
            <w:tcW w:w="990" w:type="dxa"/>
            <w:tcBorders>
              <w:top w:val="nil"/>
              <w:left w:val="nil"/>
              <w:bottom w:val="single" w:sz="4" w:space="0" w:color="auto"/>
              <w:right w:val="single" w:sz="4" w:space="0" w:color="auto"/>
            </w:tcBorders>
            <w:noWrap/>
            <w:vAlign w:val="center"/>
            <w:hideMark/>
          </w:tcPr>
          <w:p w14:paraId="4D3FA26D"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-4.63</w:t>
            </w:r>
          </w:p>
        </w:tc>
      </w:tr>
      <w:tr w:rsidR="00241342" w:rsidRPr="004B4187" w14:paraId="7CB9D16D" w14:textId="77777777" w:rsidTr="00241342">
        <w:trPr>
          <w:trHeight w:val="285"/>
        </w:trPr>
        <w:tc>
          <w:tcPr>
            <w:tcW w:w="6025" w:type="dxa"/>
            <w:tcBorders>
              <w:top w:val="nil"/>
              <w:left w:val="single" w:sz="4" w:space="0" w:color="auto"/>
              <w:bottom w:val="nil"/>
              <w:right w:val="nil"/>
            </w:tcBorders>
            <w:shd w:val="clear" w:color="auto" w:fill="DBDBDB"/>
            <w:noWrap/>
            <w:vAlign w:val="center"/>
            <w:hideMark/>
          </w:tcPr>
          <w:p w14:paraId="4A5E728E" w14:textId="77777777" w:rsidR="00241342" w:rsidRPr="004B4187" w:rsidRDefault="00241342">
            <w:pPr>
              <w:rPr>
                <w:rFonts w:eastAsia="Times New Roman"/>
                <w:b/>
                <w:bCs/>
                <w:color w:val="000000"/>
                <w:sz w:val="20"/>
                <w:szCs w:val="20"/>
              </w:rPr>
            </w:pPr>
            <w:r w:rsidRPr="004B4187">
              <w:rPr>
                <w:rFonts w:eastAsia="Times New Roman"/>
                <w:b/>
                <w:bCs/>
                <w:color w:val="000000"/>
                <w:sz w:val="20"/>
                <w:szCs w:val="20"/>
              </w:rPr>
              <w:t>Risk of recurrence of hemolysis</w:t>
            </w:r>
          </w:p>
        </w:tc>
        <w:tc>
          <w:tcPr>
            <w:tcW w:w="1260" w:type="dxa"/>
            <w:shd w:val="clear" w:color="auto" w:fill="DBDBDB"/>
            <w:noWrap/>
            <w:vAlign w:val="center"/>
            <w:hideMark/>
          </w:tcPr>
          <w:p w14:paraId="245D98FD" w14:textId="77777777" w:rsidR="00241342" w:rsidRPr="004B4187" w:rsidRDefault="00241342">
            <w:pPr>
              <w:rPr>
                <w:rFonts w:eastAsia="Times New Roman"/>
                <w:b/>
                <w:bCs/>
                <w:color w:val="000000"/>
                <w:sz w:val="20"/>
                <w:szCs w:val="20"/>
              </w:rPr>
            </w:pPr>
          </w:p>
        </w:tc>
        <w:tc>
          <w:tcPr>
            <w:tcW w:w="900" w:type="dxa"/>
            <w:shd w:val="clear" w:color="auto" w:fill="DBDBDB"/>
            <w:noWrap/>
            <w:vAlign w:val="center"/>
            <w:hideMark/>
          </w:tcPr>
          <w:p w14:paraId="35C2EEDD" w14:textId="77777777" w:rsidR="00241342" w:rsidRPr="004B4187" w:rsidRDefault="00241342">
            <w:pPr>
              <w:rPr>
                <w:sz w:val="20"/>
                <w:szCs w:val="20"/>
              </w:rPr>
            </w:pPr>
          </w:p>
        </w:tc>
        <w:tc>
          <w:tcPr>
            <w:tcW w:w="990" w:type="dxa"/>
            <w:tcBorders>
              <w:top w:val="nil"/>
              <w:left w:val="nil"/>
              <w:bottom w:val="nil"/>
              <w:right w:val="single" w:sz="4" w:space="0" w:color="auto"/>
            </w:tcBorders>
            <w:shd w:val="clear" w:color="auto" w:fill="DBDBDB"/>
            <w:noWrap/>
            <w:vAlign w:val="center"/>
            <w:hideMark/>
          </w:tcPr>
          <w:p w14:paraId="12525CAB" w14:textId="77777777" w:rsidR="00241342" w:rsidRPr="004B4187" w:rsidRDefault="00241342">
            <w:pPr>
              <w:rPr>
                <w:sz w:val="20"/>
                <w:szCs w:val="20"/>
              </w:rPr>
            </w:pPr>
          </w:p>
        </w:tc>
      </w:tr>
      <w:tr w:rsidR="00241342" w:rsidRPr="004B4187" w14:paraId="0E5D4F47" w14:textId="77777777" w:rsidTr="00241342">
        <w:trPr>
          <w:trHeight w:val="285"/>
        </w:trPr>
        <w:tc>
          <w:tcPr>
            <w:tcW w:w="6025" w:type="dxa"/>
            <w:tcBorders>
              <w:top w:val="nil"/>
              <w:left w:val="single" w:sz="4" w:space="0" w:color="auto"/>
              <w:bottom w:val="nil"/>
              <w:right w:val="nil"/>
            </w:tcBorders>
            <w:noWrap/>
            <w:vAlign w:val="center"/>
            <w:hideMark/>
          </w:tcPr>
          <w:p w14:paraId="7FA44379" w14:textId="5C6659CB" w:rsidR="00241342" w:rsidRPr="004B4187" w:rsidRDefault="00241342">
            <w:pPr>
              <w:rPr>
                <w:rFonts w:eastAsia="Times New Roman"/>
                <w:color w:val="000000"/>
                <w:sz w:val="20"/>
                <w:szCs w:val="20"/>
              </w:rPr>
            </w:pPr>
            <w:r w:rsidRPr="004B4187">
              <w:rPr>
                <w:rFonts w:eastAsia="Times New Roman"/>
                <w:color w:val="000000"/>
                <w:sz w:val="20"/>
                <w:szCs w:val="20"/>
              </w:rPr>
              <w:t>Reference value: No hemolysis</w:t>
            </w:r>
          </w:p>
        </w:tc>
        <w:tc>
          <w:tcPr>
            <w:tcW w:w="1260" w:type="dxa"/>
            <w:noWrap/>
            <w:vAlign w:val="center"/>
            <w:hideMark/>
          </w:tcPr>
          <w:p w14:paraId="5BBD62FB" w14:textId="77777777" w:rsidR="00241342" w:rsidRPr="004B4187" w:rsidRDefault="00241342">
            <w:pPr>
              <w:rPr>
                <w:rFonts w:eastAsia="Times New Roman"/>
                <w:color w:val="000000"/>
                <w:sz w:val="20"/>
                <w:szCs w:val="20"/>
              </w:rPr>
            </w:pPr>
          </w:p>
        </w:tc>
        <w:tc>
          <w:tcPr>
            <w:tcW w:w="900" w:type="dxa"/>
            <w:noWrap/>
            <w:vAlign w:val="center"/>
            <w:hideMark/>
          </w:tcPr>
          <w:p w14:paraId="0B8B11ED" w14:textId="77777777" w:rsidR="00241342" w:rsidRPr="004B4187" w:rsidRDefault="00241342">
            <w:pPr>
              <w:rPr>
                <w:sz w:val="20"/>
                <w:szCs w:val="20"/>
              </w:rPr>
            </w:pPr>
          </w:p>
        </w:tc>
        <w:tc>
          <w:tcPr>
            <w:tcW w:w="990" w:type="dxa"/>
            <w:tcBorders>
              <w:top w:val="nil"/>
              <w:left w:val="nil"/>
              <w:bottom w:val="nil"/>
              <w:right w:val="single" w:sz="4" w:space="0" w:color="auto"/>
            </w:tcBorders>
            <w:noWrap/>
            <w:vAlign w:val="center"/>
            <w:hideMark/>
          </w:tcPr>
          <w:p w14:paraId="713B634C" w14:textId="77777777" w:rsidR="00241342" w:rsidRPr="004B4187" w:rsidRDefault="00241342">
            <w:pPr>
              <w:rPr>
                <w:sz w:val="20"/>
                <w:szCs w:val="20"/>
              </w:rPr>
            </w:pPr>
          </w:p>
        </w:tc>
      </w:tr>
      <w:tr w:rsidR="00241342" w:rsidRPr="004B4187" w14:paraId="3AF65F58" w14:textId="77777777" w:rsidTr="00241342">
        <w:trPr>
          <w:trHeight w:val="285"/>
        </w:trPr>
        <w:tc>
          <w:tcPr>
            <w:tcW w:w="6025" w:type="dxa"/>
            <w:tcBorders>
              <w:top w:val="nil"/>
              <w:left w:val="single" w:sz="4" w:space="0" w:color="auto"/>
              <w:bottom w:val="nil"/>
              <w:right w:val="nil"/>
            </w:tcBorders>
            <w:vAlign w:val="center"/>
            <w:hideMark/>
          </w:tcPr>
          <w:p w14:paraId="2CB7033A" w14:textId="77777777" w:rsidR="00241342" w:rsidRPr="004B4187" w:rsidRDefault="00241342">
            <w:pPr>
              <w:rPr>
                <w:rFonts w:eastAsia="Times New Roman"/>
                <w:color w:val="000000"/>
                <w:sz w:val="20"/>
                <w:szCs w:val="20"/>
              </w:rPr>
            </w:pPr>
            <w:r w:rsidRPr="004B4187">
              <w:rPr>
                <w:rFonts w:eastAsia="Times New Roman"/>
                <w:color w:val="000000"/>
                <w:sz w:val="20"/>
                <w:szCs w:val="20"/>
              </w:rPr>
              <w:t>Mild hemolysis, treated at home for a few days</w:t>
            </w:r>
          </w:p>
        </w:tc>
        <w:tc>
          <w:tcPr>
            <w:tcW w:w="1260" w:type="dxa"/>
            <w:noWrap/>
            <w:vAlign w:val="center"/>
            <w:hideMark/>
          </w:tcPr>
          <w:p w14:paraId="040396E6"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0.013</w:t>
            </w:r>
          </w:p>
        </w:tc>
        <w:tc>
          <w:tcPr>
            <w:tcW w:w="900" w:type="dxa"/>
            <w:noWrap/>
            <w:vAlign w:val="center"/>
            <w:hideMark/>
          </w:tcPr>
          <w:p w14:paraId="18C0AC54"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0.073</w:t>
            </w:r>
          </w:p>
        </w:tc>
        <w:tc>
          <w:tcPr>
            <w:tcW w:w="990" w:type="dxa"/>
            <w:tcBorders>
              <w:top w:val="nil"/>
              <w:left w:val="nil"/>
              <w:bottom w:val="nil"/>
              <w:right w:val="single" w:sz="4" w:space="0" w:color="auto"/>
            </w:tcBorders>
            <w:noWrap/>
            <w:vAlign w:val="center"/>
            <w:hideMark/>
          </w:tcPr>
          <w:p w14:paraId="329FE3E4"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0.18</w:t>
            </w:r>
          </w:p>
        </w:tc>
      </w:tr>
      <w:tr w:rsidR="00241342" w:rsidRPr="004B4187" w14:paraId="08993BAF" w14:textId="77777777" w:rsidTr="00241342">
        <w:trPr>
          <w:trHeight w:val="285"/>
        </w:trPr>
        <w:tc>
          <w:tcPr>
            <w:tcW w:w="6025" w:type="dxa"/>
            <w:tcBorders>
              <w:top w:val="nil"/>
              <w:left w:val="single" w:sz="4" w:space="0" w:color="auto"/>
              <w:bottom w:val="nil"/>
              <w:right w:val="nil"/>
            </w:tcBorders>
            <w:vAlign w:val="center"/>
            <w:hideMark/>
          </w:tcPr>
          <w:p w14:paraId="18B491AE" w14:textId="77777777" w:rsidR="00241342" w:rsidRPr="004B4187" w:rsidRDefault="00241342">
            <w:pPr>
              <w:rPr>
                <w:rFonts w:eastAsia="Times New Roman"/>
                <w:color w:val="000000"/>
                <w:sz w:val="20"/>
                <w:szCs w:val="20"/>
              </w:rPr>
            </w:pPr>
            <w:r w:rsidRPr="004B4187">
              <w:rPr>
                <w:rFonts w:eastAsia="Times New Roman"/>
                <w:color w:val="000000"/>
                <w:sz w:val="20"/>
                <w:szCs w:val="20"/>
              </w:rPr>
              <w:t>Mild hemolysis, treated at home for a few weeks</w:t>
            </w:r>
          </w:p>
        </w:tc>
        <w:tc>
          <w:tcPr>
            <w:tcW w:w="1260" w:type="dxa"/>
            <w:noWrap/>
            <w:vAlign w:val="center"/>
            <w:hideMark/>
          </w:tcPr>
          <w:p w14:paraId="62458A77"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0.090</w:t>
            </w:r>
          </w:p>
        </w:tc>
        <w:tc>
          <w:tcPr>
            <w:tcW w:w="900" w:type="dxa"/>
            <w:noWrap/>
            <w:vAlign w:val="center"/>
            <w:hideMark/>
          </w:tcPr>
          <w:p w14:paraId="20DDD14C"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0.099</w:t>
            </w:r>
          </w:p>
        </w:tc>
        <w:tc>
          <w:tcPr>
            <w:tcW w:w="990" w:type="dxa"/>
            <w:tcBorders>
              <w:top w:val="nil"/>
              <w:left w:val="nil"/>
              <w:bottom w:val="nil"/>
              <w:right w:val="single" w:sz="4" w:space="0" w:color="auto"/>
            </w:tcBorders>
            <w:noWrap/>
            <w:vAlign w:val="center"/>
            <w:hideMark/>
          </w:tcPr>
          <w:p w14:paraId="78B310D2"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0.91</w:t>
            </w:r>
          </w:p>
        </w:tc>
      </w:tr>
      <w:tr w:rsidR="00241342" w:rsidRPr="004B4187" w14:paraId="2862BC6F" w14:textId="77777777" w:rsidTr="00241342">
        <w:trPr>
          <w:trHeight w:val="285"/>
        </w:trPr>
        <w:tc>
          <w:tcPr>
            <w:tcW w:w="6025" w:type="dxa"/>
            <w:tcBorders>
              <w:top w:val="nil"/>
              <w:left w:val="single" w:sz="4" w:space="0" w:color="auto"/>
              <w:bottom w:val="single" w:sz="4" w:space="0" w:color="auto"/>
              <w:right w:val="nil"/>
            </w:tcBorders>
            <w:vAlign w:val="center"/>
            <w:hideMark/>
          </w:tcPr>
          <w:p w14:paraId="7993518F" w14:textId="77777777" w:rsidR="00241342" w:rsidRPr="004B4187" w:rsidRDefault="00241342">
            <w:pPr>
              <w:rPr>
                <w:rFonts w:eastAsia="Times New Roman"/>
                <w:color w:val="000000"/>
                <w:sz w:val="20"/>
                <w:szCs w:val="20"/>
              </w:rPr>
            </w:pPr>
            <w:r w:rsidRPr="004B4187">
              <w:rPr>
                <w:rFonts w:eastAsia="Times New Roman"/>
                <w:color w:val="000000"/>
                <w:sz w:val="20"/>
                <w:szCs w:val="20"/>
              </w:rPr>
              <w:t>Severe hemolysis, treated in hospital</w:t>
            </w:r>
          </w:p>
        </w:tc>
        <w:tc>
          <w:tcPr>
            <w:tcW w:w="1260" w:type="dxa"/>
            <w:tcBorders>
              <w:top w:val="nil"/>
              <w:left w:val="nil"/>
              <w:bottom w:val="single" w:sz="4" w:space="0" w:color="auto"/>
              <w:right w:val="nil"/>
            </w:tcBorders>
            <w:noWrap/>
            <w:vAlign w:val="center"/>
            <w:hideMark/>
          </w:tcPr>
          <w:p w14:paraId="23ACC281" w14:textId="7A35666F"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1.435</w:t>
            </w:r>
          </w:p>
        </w:tc>
        <w:tc>
          <w:tcPr>
            <w:tcW w:w="900" w:type="dxa"/>
            <w:tcBorders>
              <w:top w:val="nil"/>
              <w:left w:val="nil"/>
              <w:bottom w:val="single" w:sz="4" w:space="0" w:color="auto"/>
              <w:right w:val="nil"/>
            </w:tcBorders>
            <w:noWrap/>
            <w:vAlign w:val="center"/>
            <w:hideMark/>
          </w:tcPr>
          <w:p w14:paraId="35AE838A"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0.091</w:t>
            </w:r>
          </w:p>
        </w:tc>
        <w:tc>
          <w:tcPr>
            <w:tcW w:w="990" w:type="dxa"/>
            <w:tcBorders>
              <w:top w:val="nil"/>
              <w:left w:val="nil"/>
              <w:bottom w:val="single" w:sz="4" w:space="0" w:color="auto"/>
              <w:right w:val="single" w:sz="4" w:space="0" w:color="auto"/>
            </w:tcBorders>
            <w:noWrap/>
            <w:vAlign w:val="center"/>
            <w:hideMark/>
          </w:tcPr>
          <w:p w14:paraId="02F91336"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-15.78</w:t>
            </w:r>
          </w:p>
        </w:tc>
      </w:tr>
      <w:tr w:rsidR="00241342" w:rsidRPr="004B4187" w14:paraId="3805887E" w14:textId="77777777" w:rsidTr="00241342">
        <w:trPr>
          <w:trHeight w:val="285"/>
        </w:trPr>
        <w:tc>
          <w:tcPr>
            <w:tcW w:w="6025" w:type="dxa"/>
            <w:tcBorders>
              <w:top w:val="nil"/>
              <w:left w:val="single" w:sz="4" w:space="0" w:color="auto"/>
              <w:bottom w:val="nil"/>
              <w:right w:val="nil"/>
            </w:tcBorders>
            <w:shd w:val="clear" w:color="auto" w:fill="DBDBDB"/>
            <w:noWrap/>
            <w:vAlign w:val="center"/>
            <w:hideMark/>
          </w:tcPr>
          <w:p w14:paraId="6EE3C28B" w14:textId="77777777" w:rsidR="00241342" w:rsidRPr="004B4187" w:rsidRDefault="00241342">
            <w:pPr>
              <w:rPr>
                <w:rFonts w:eastAsia="Times New Roman"/>
                <w:b/>
                <w:bCs/>
                <w:color w:val="000000"/>
                <w:sz w:val="20"/>
                <w:szCs w:val="20"/>
              </w:rPr>
            </w:pPr>
            <w:r w:rsidRPr="004B4187">
              <w:rPr>
                <w:rFonts w:eastAsia="Times New Roman"/>
                <w:b/>
                <w:bCs/>
                <w:color w:val="000000"/>
                <w:sz w:val="20"/>
                <w:szCs w:val="20"/>
              </w:rPr>
              <w:t>Need for blood transfusion(s)</w:t>
            </w:r>
          </w:p>
        </w:tc>
        <w:tc>
          <w:tcPr>
            <w:tcW w:w="1260" w:type="dxa"/>
            <w:shd w:val="clear" w:color="auto" w:fill="DBDBDB"/>
            <w:noWrap/>
            <w:vAlign w:val="center"/>
            <w:hideMark/>
          </w:tcPr>
          <w:p w14:paraId="32AB45A2" w14:textId="77777777" w:rsidR="00241342" w:rsidRPr="004B4187" w:rsidRDefault="00241342">
            <w:pPr>
              <w:rPr>
                <w:rFonts w:eastAsia="Times New Roman"/>
                <w:b/>
                <w:bCs/>
                <w:color w:val="000000"/>
                <w:sz w:val="20"/>
                <w:szCs w:val="20"/>
              </w:rPr>
            </w:pPr>
          </w:p>
        </w:tc>
        <w:tc>
          <w:tcPr>
            <w:tcW w:w="900" w:type="dxa"/>
            <w:shd w:val="clear" w:color="auto" w:fill="DBDBDB"/>
            <w:noWrap/>
            <w:vAlign w:val="center"/>
            <w:hideMark/>
          </w:tcPr>
          <w:p w14:paraId="6F9B2A7F" w14:textId="77777777" w:rsidR="00241342" w:rsidRPr="004B4187" w:rsidRDefault="00241342">
            <w:pPr>
              <w:rPr>
                <w:sz w:val="20"/>
                <w:szCs w:val="20"/>
              </w:rPr>
            </w:pPr>
          </w:p>
        </w:tc>
        <w:tc>
          <w:tcPr>
            <w:tcW w:w="990" w:type="dxa"/>
            <w:tcBorders>
              <w:top w:val="nil"/>
              <w:left w:val="nil"/>
              <w:bottom w:val="nil"/>
              <w:right w:val="single" w:sz="4" w:space="0" w:color="auto"/>
            </w:tcBorders>
            <w:shd w:val="clear" w:color="auto" w:fill="DBDBDB"/>
            <w:noWrap/>
            <w:vAlign w:val="center"/>
            <w:hideMark/>
          </w:tcPr>
          <w:p w14:paraId="2EBA3164" w14:textId="77777777" w:rsidR="00241342" w:rsidRPr="004B4187" w:rsidRDefault="00241342">
            <w:pPr>
              <w:rPr>
                <w:sz w:val="20"/>
                <w:szCs w:val="20"/>
              </w:rPr>
            </w:pPr>
          </w:p>
        </w:tc>
      </w:tr>
      <w:tr w:rsidR="00241342" w:rsidRPr="004B4187" w14:paraId="026C8D20" w14:textId="77777777" w:rsidTr="00241342">
        <w:trPr>
          <w:trHeight w:val="285"/>
        </w:trPr>
        <w:tc>
          <w:tcPr>
            <w:tcW w:w="6025" w:type="dxa"/>
            <w:tcBorders>
              <w:top w:val="nil"/>
              <w:left w:val="single" w:sz="4" w:space="0" w:color="auto"/>
              <w:bottom w:val="nil"/>
              <w:right w:val="nil"/>
            </w:tcBorders>
            <w:noWrap/>
            <w:vAlign w:val="center"/>
            <w:hideMark/>
          </w:tcPr>
          <w:p w14:paraId="47522855" w14:textId="66926B18" w:rsidR="00241342" w:rsidRPr="004B4187" w:rsidRDefault="00241342">
            <w:pPr>
              <w:rPr>
                <w:rFonts w:eastAsia="Times New Roman"/>
                <w:color w:val="000000"/>
                <w:sz w:val="20"/>
                <w:szCs w:val="20"/>
              </w:rPr>
            </w:pPr>
            <w:r w:rsidRPr="004B4187">
              <w:rPr>
                <w:rFonts w:eastAsia="Times New Roman"/>
                <w:color w:val="000000"/>
                <w:sz w:val="20"/>
                <w:szCs w:val="20"/>
              </w:rPr>
              <w:t>Reference value: Never needed</w:t>
            </w:r>
          </w:p>
        </w:tc>
        <w:tc>
          <w:tcPr>
            <w:tcW w:w="1260" w:type="dxa"/>
            <w:noWrap/>
            <w:vAlign w:val="center"/>
            <w:hideMark/>
          </w:tcPr>
          <w:p w14:paraId="35E2278F" w14:textId="77777777" w:rsidR="00241342" w:rsidRPr="004B4187" w:rsidRDefault="00241342">
            <w:pPr>
              <w:rPr>
                <w:rFonts w:eastAsia="Times New Roman"/>
                <w:color w:val="000000"/>
                <w:sz w:val="20"/>
                <w:szCs w:val="20"/>
              </w:rPr>
            </w:pPr>
          </w:p>
        </w:tc>
        <w:tc>
          <w:tcPr>
            <w:tcW w:w="900" w:type="dxa"/>
            <w:noWrap/>
            <w:vAlign w:val="center"/>
            <w:hideMark/>
          </w:tcPr>
          <w:p w14:paraId="40147B41" w14:textId="77777777" w:rsidR="00241342" w:rsidRPr="004B4187" w:rsidRDefault="00241342">
            <w:pPr>
              <w:rPr>
                <w:sz w:val="20"/>
                <w:szCs w:val="20"/>
              </w:rPr>
            </w:pPr>
          </w:p>
        </w:tc>
        <w:tc>
          <w:tcPr>
            <w:tcW w:w="990" w:type="dxa"/>
            <w:tcBorders>
              <w:top w:val="nil"/>
              <w:left w:val="nil"/>
              <w:bottom w:val="nil"/>
              <w:right w:val="single" w:sz="4" w:space="0" w:color="auto"/>
            </w:tcBorders>
            <w:noWrap/>
            <w:vAlign w:val="center"/>
            <w:hideMark/>
          </w:tcPr>
          <w:p w14:paraId="6CC95270" w14:textId="77777777" w:rsidR="00241342" w:rsidRPr="004B4187" w:rsidRDefault="00241342">
            <w:pPr>
              <w:rPr>
                <w:sz w:val="20"/>
                <w:szCs w:val="20"/>
              </w:rPr>
            </w:pPr>
          </w:p>
        </w:tc>
      </w:tr>
      <w:tr w:rsidR="00241342" w:rsidRPr="004B4187" w14:paraId="17A7ED76" w14:textId="77777777" w:rsidTr="00241342">
        <w:trPr>
          <w:trHeight w:val="285"/>
        </w:trPr>
        <w:tc>
          <w:tcPr>
            <w:tcW w:w="6025" w:type="dxa"/>
            <w:tcBorders>
              <w:top w:val="nil"/>
              <w:left w:val="single" w:sz="4" w:space="0" w:color="auto"/>
              <w:bottom w:val="nil"/>
              <w:right w:val="nil"/>
            </w:tcBorders>
            <w:vAlign w:val="center"/>
            <w:hideMark/>
          </w:tcPr>
          <w:p w14:paraId="196EB09C" w14:textId="77777777" w:rsidR="00241342" w:rsidRPr="004B4187" w:rsidRDefault="00241342">
            <w:pPr>
              <w:rPr>
                <w:rFonts w:eastAsia="Times New Roman"/>
                <w:color w:val="000000"/>
                <w:sz w:val="20"/>
                <w:szCs w:val="20"/>
              </w:rPr>
            </w:pPr>
            <w:r w:rsidRPr="004B4187">
              <w:rPr>
                <w:rFonts w:eastAsia="Times New Roman"/>
                <w:color w:val="000000"/>
                <w:sz w:val="20"/>
                <w:szCs w:val="20"/>
              </w:rPr>
              <w:t>1 every 5 years</w:t>
            </w:r>
          </w:p>
        </w:tc>
        <w:tc>
          <w:tcPr>
            <w:tcW w:w="1260" w:type="dxa"/>
            <w:noWrap/>
            <w:vAlign w:val="center"/>
            <w:hideMark/>
          </w:tcPr>
          <w:p w14:paraId="467A1C0D" w14:textId="5169080A"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0.041</w:t>
            </w:r>
          </w:p>
        </w:tc>
        <w:tc>
          <w:tcPr>
            <w:tcW w:w="900" w:type="dxa"/>
            <w:noWrap/>
            <w:vAlign w:val="center"/>
            <w:hideMark/>
          </w:tcPr>
          <w:p w14:paraId="55930539"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0.075</w:t>
            </w:r>
          </w:p>
        </w:tc>
        <w:tc>
          <w:tcPr>
            <w:tcW w:w="990" w:type="dxa"/>
            <w:tcBorders>
              <w:top w:val="nil"/>
              <w:left w:val="nil"/>
              <w:bottom w:val="nil"/>
              <w:right w:val="single" w:sz="4" w:space="0" w:color="auto"/>
            </w:tcBorders>
            <w:noWrap/>
            <w:vAlign w:val="center"/>
            <w:hideMark/>
          </w:tcPr>
          <w:p w14:paraId="043C4822" w14:textId="77D4B509"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0.54</w:t>
            </w:r>
          </w:p>
        </w:tc>
      </w:tr>
      <w:tr w:rsidR="00241342" w:rsidRPr="004B4187" w14:paraId="1F0C293A" w14:textId="77777777" w:rsidTr="00241342">
        <w:trPr>
          <w:trHeight w:val="285"/>
        </w:trPr>
        <w:tc>
          <w:tcPr>
            <w:tcW w:w="6025" w:type="dxa"/>
            <w:tcBorders>
              <w:top w:val="nil"/>
              <w:left w:val="single" w:sz="4" w:space="0" w:color="auto"/>
              <w:bottom w:val="nil"/>
              <w:right w:val="nil"/>
            </w:tcBorders>
            <w:vAlign w:val="center"/>
            <w:hideMark/>
          </w:tcPr>
          <w:p w14:paraId="204D88AF" w14:textId="41647991" w:rsidR="00241342" w:rsidRPr="004B4187" w:rsidRDefault="00241342">
            <w:pPr>
              <w:rPr>
                <w:rFonts w:eastAsia="Times New Roman"/>
                <w:color w:val="000000"/>
                <w:sz w:val="20"/>
                <w:szCs w:val="20"/>
              </w:rPr>
            </w:pPr>
            <w:r w:rsidRPr="004B4187">
              <w:rPr>
                <w:rFonts w:eastAsia="Times New Roman"/>
                <w:color w:val="000000"/>
                <w:sz w:val="20"/>
                <w:szCs w:val="20"/>
              </w:rPr>
              <w:t>1 every 2</w:t>
            </w:r>
            <w:r w:rsidR="00D17F8B" w:rsidRPr="004B4187">
              <w:rPr>
                <w:rFonts w:eastAsia="Times New Roman"/>
                <w:color w:val="000000"/>
                <w:sz w:val="20"/>
                <w:szCs w:val="20"/>
              </w:rPr>
              <w:t>–</w:t>
            </w:r>
            <w:r w:rsidRPr="004B4187">
              <w:rPr>
                <w:rFonts w:eastAsia="Times New Roman"/>
                <w:color w:val="000000"/>
                <w:sz w:val="20"/>
                <w:szCs w:val="20"/>
              </w:rPr>
              <w:t>5 years</w:t>
            </w:r>
          </w:p>
        </w:tc>
        <w:tc>
          <w:tcPr>
            <w:tcW w:w="1260" w:type="dxa"/>
            <w:noWrap/>
            <w:vAlign w:val="center"/>
            <w:hideMark/>
          </w:tcPr>
          <w:p w14:paraId="5981599F" w14:textId="7EC8122D"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0.034</w:t>
            </w:r>
          </w:p>
        </w:tc>
        <w:tc>
          <w:tcPr>
            <w:tcW w:w="900" w:type="dxa"/>
            <w:noWrap/>
            <w:vAlign w:val="center"/>
            <w:hideMark/>
          </w:tcPr>
          <w:p w14:paraId="5257FD81"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0.094</w:t>
            </w:r>
          </w:p>
        </w:tc>
        <w:tc>
          <w:tcPr>
            <w:tcW w:w="990" w:type="dxa"/>
            <w:tcBorders>
              <w:top w:val="nil"/>
              <w:left w:val="nil"/>
              <w:bottom w:val="nil"/>
              <w:right w:val="single" w:sz="4" w:space="0" w:color="auto"/>
            </w:tcBorders>
            <w:noWrap/>
            <w:vAlign w:val="center"/>
            <w:hideMark/>
          </w:tcPr>
          <w:p w14:paraId="14A5286A" w14:textId="38EC9FC6"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0.36</w:t>
            </w:r>
          </w:p>
        </w:tc>
      </w:tr>
      <w:tr w:rsidR="00241342" w:rsidRPr="004B4187" w14:paraId="4ACBFB44" w14:textId="77777777" w:rsidTr="00241342">
        <w:trPr>
          <w:trHeight w:val="285"/>
        </w:trPr>
        <w:tc>
          <w:tcPr>
            <w:tcW w:w="6025" w:type="dxa"/>
            <w:tcBorders>
              <w:top w:val="nil"/>
              <w:left w:val="single" w:sz="4" w:space="0" w:color="auto"/>
              <w:bottom w:val="single" w:sz="4" w:space="0" w:color="auto"/>
              <w:right w:val="nil"/>
            </w:tcBorders>
            <w:vAlign w:val="center"/>
            <w:hideMark/>
          </w:tcPr>
          <w:p w14:paraId="30964AD2" w14:textId="77777777" w:rsidR="00241342" w:rsidRPr="004B4187" w:rsidRDefault="00241342">
            <w:pPr>
              <w:rPr>
                <w:rFonts w:eastAsia="Times New Roman"/>
                <w:color w:val="000000"/>
                <w:sz w:val="20"/>
                <w:szCs w:val="20"/>
              </w:rPr>
            </w:pPr>
            <w:r w:rsidRPr="004B4187">
              <w:rPr>
                <w:rFonts w:eastAsia="Times New Roman"/>
                <w:color w:val="000000"/>
                <w:sz w:val="20"/>
                <w:szCs w:val="20"/>
              </w:rPr>
              <w:t>1 every year</w:t>
            </w:r>
          </w:p>
        </w:tc>
        <w:tc>
          <w:tcPr>
            <w:tcW w:w="1260" w:type="dxa"/>
            <w:tcBorders>
              <w:top w:val="nil"/>
              <w:left w:val="nil"/>
              <w:bottom w:val="single" w:sz="4" w:space="0" w:color="auto"/>
              <w:right w:val="nil"/>
            </w:tcBorders>
            <w:noWrap/>
            <w:vAlign w:val="center"/>
            <w:hideMark/>
          </w:tcPr>
          <w:p w14:paraId="10C12F56" w14:textId="0F7A489C"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0.664</w:t>
            </w:r>
          </w:p>
        </w:tc>
        <w:tc>
          <w:tcPr>
            <w:tcW w:w="900" w:type="dxa"/>
            <w:tcBorders>
              <w:top w:val="nil"/>
              <w:left w:val="nil"/>
              <w:bottom w:val="single" w:sz="4" w:space="0" w:color="auto"/>
              <w:right w:val="nil"/>
            </w:tcBorders>
            <w:noWrap/>
            <w:vAlign w:val="center"/>
            <w:hideMark/>
          </w:tcPr>
          <w:p w14:paraId="5E41AFEF"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0.073</w:t>
            </w:r>
          </w:p>
        </w:tc>
        <w:tc>
          <w:tcPr>
            <w:tcW w:w="990" w:type="dxa"/>
            <w:tcBorders>
              <w:top w:val="nil"/>
              <w:left w:val="nil"/>
              <w:bottom w:val="single" w:sz="4" w:space="0" w:color="auto"/>
              <w:right w:val="single" w:sz="4" w:space="0" w:color="auto"/>
            </w:tcBorders>
            <w:noWrap/>
            <w:vAlign w:val="center"/>
            <w:hideMark/>
          </w:tcPr>
          <w:p w14:paraId="19075EC9" w14:textId="4D3322FD" w:rsidR="00241342" w:rsidRPr="004B4187" w:rsidRDefault="00D17F8B">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9.16</w:t>
            </w:r>
          </w:p>
        </w:tc>
      </w:tr>
    </w:tbl>
    <w:p w14:paraId="0E734D07" w14:textId="08DC221E" w:rsidR="00241342" w:rsidRPr="004B4187" w:rsidRDefault="00D17F8B" w:rsidP="00241342">
      <w:pPr>
        <w:rPr>
          <w:rFonts w:eastAsiaTheme="minorHAnsi" w:cstheme="minorHAnsi"/>
          <w:sz w:val="22"/>
          <w:szCs w:val="22"/>
        </w:rPr>
      </w:pPr>
      <w:r w:rsidRPr="004B4187">
        <w:rPr>
          <w:rFonts w:eastAsiaTheme="minorHAnsi" w:cstheme="minorHAnsi"/>
          <w:sz w:val="22"/>
          <w:szCs w:val="22"/>
        </w:rPr>
        <w:t>IV, intravenous; SE, standard error.</w:t>
      </w:r>
    </w:p>
    <w:p w14:paraId="5466BFAD" w14:textId="77777777" w:rsidR="00D17F8B" w:rsidRPr="004B4187" w:rsidRDefault="00D17F8B" w:rsidP="00241342"/>
    <w:p w14:paraId="6500E595" w14:textId="0015839D" w:rsidR="00241342" w:rsidRPr="004B4187" w:rsidRDefault="00241342" w:rsidP="00241342">
      <w:r w:rsidRPr="004B4187">
        <w:t xml:space="preserve">Estimates of the strength of preference for single attributes included in the DCE, as presented </w:t>
      </w:r>
      <w:r w:rsidR="0098414D" w:rsidRPr="004B4187">
        <w:t>above</w:t>
      </w:r>
      <w:r w:rsidRPr="004B4187">
        <w:t xml:space="preserve">, were then used to explore the extent to which individuals may be willing to trade between different attributes. To estimate cross-attribute preferences, </w:t>
      </w:r>
      <w:bookmarkStart w:id="2" w:name="_Hlk37192844"/>
      <w:r w:rsidRPr="004B4187">
        <w:t xml:space="preserve">the marginal rate of substitution </w:t>
      </w:r>
      <w:bookmarkEnd w:id="2"/>
      <w:r w:rsidRPr="004B4187">
        <w:t xml:space="preserve">(MRS) was calculated between attributes, based on the ratio of coefficients for two attributes. MRSs indicate the extent to which participants are willing to forego a unit of one attribute to gain a unit in a different attribute. </w:t>
      </w:r>
    </w:p>
    <w:p w14:paraId="7497F163" w14:textId="77777777" w:rsidR="00DB1735" w:rsidRPr="004B4187" w:rsidRDefault="00DB1735" w:rsidP="00241342"/>
    <w:p w14:paraId="6E74681B" w14:textId="14E86234" w:rsidR="00241342" w:rsidRPr="004B4187" w:rsidRDefault="00241342" w:rsidP="00241342">
      <w:r w:rsidRPr="004B4187">
        <w:t xml:space="preserve">For the purpose of estimating utility impacts of attributes of the DCE, MRSs of interest should compare willingness to trade a year of life expectancy for a level of an attribute. The coefficient on the “Reduced by 12 years” level of the life-expectancy attribute, </w:t>
      </w:r>
      <w:r w:rsidR="0066276C" w:rsidRPr="004B4187">
        <w:t>–</w:t>
      </w:r>
      <w:r w:rsidRPr="004B4187">
        <w:t xml:space="preserve">3.497, was therefore scaled to a value of </w:t>
      </w:r>
      <w:r w:rsidR="0066276C" w:rsidRPr="004B4187">
        <w:t>–</w:t>
      </w:r>
      <w:r w:rsidRPr="004B4187">
        <w:t xml:space="preserve">0.2914 per year; the ratio of this value to other coefficients was then calculated. For example, the coefficient on severe hemolysis requiring hospitalization is </w:t>
      </w:r>
      <w:r w:rsidR="0066276C" w:rsidRPr="004B4187">
        <w:t>–</w:t>
      </w:r>
      <w:r w:rsidRPr="004B4187">
        <w:t xml:space="preserve">1.435, implying that the MRS between a year of life expectancy and living with ongoing risk of severe hemolysis is </w:t>
      </w:r>
      <w:r w:rsidR="0066276C" w:rsidRPr="004B4187">
        <w:t>–</w:t>
      </w:r>
      <w:r w:rsidRPr="004B4187">
        <w:t xml:space="preserve">1.435 / </w:t>
      </w:r>
      <w:r w:rsidR="0066276C" w:rsidRPr="004B4187">
        <w:t>–</w:t>
      </w:r>
      <w:r w:rsidRPr="004B4187">
        <w:t xml:space="preserve">0.2914 = 4.93 (i.e., the preference for not living with severe hemolysis is 4.93 times that for life expectancy reduced by a year). Among the 385 respondents whose data were used in the analysis, mean age was </w:t>
      </w:r>
      <w:r w:rsidRPr="004B4187">
        <w:rPr>
          <w:color w:val="000000" w:themeColor="text1"/>
        </w:rPr>
        <w:t>49.8 years (standard deviation = 15.1)</w:t>
      </w:r>
      <w:r w:rsidRPr="004B4187">
        <w:t>. Average life expectancy in the UK was 81 years from 2015</w:t>
      </w:r>
      <w:r w:rsidR="0066276C" w:rsidRPr="004B4187">
        <w:t>–</w:t>
      </w:r>
      <w:r w:rsidRPr="004B4187">
        <w:t>2017</w:t>
      </w:r>
      <w:r w:rsidR="0066276C" w:rsidRPr="004B4187">
        <w:fldChar w:fldCharType="begin"/>
      </w:r>
      <w:r w:rsidR="00A61463" w:rsidRPr="004B4187">
        <w:instrText xml:space="preserve"> ADDIN EN.CITE &lt;EndNote&gt;&lt;Cite ExcludeYear="1"&gt;&lt;Author&gt;Office for National Statistics (ONS)&lt;/Author&gt;&lt;RecNum&gt;179&lt;/RecNum&gt;&lt;DisplayText&gt;[6]&lt;/DisplayText&gt;&lt;record&gt;&lt;rec-number&gt;179&lt;/rec-number&gt;&lt;foreign-keys&gt;&lt;key app="EN" db-id="swrefzer2v0rpoeetdnxva03z5eeefr2fzft" timestamp="1586296526"&gt;179&lt;/key&gt;&lt;/foreign-keys&gt;&lt;ref-type name="Journal Article"&gt;17&lt;/ref-type&gt;&lt;contributors&gt;&lt;authors&gt;&lt;author&gt;Office for National Statistics (ONS), &lt;/author&gt;&lt;/authors&gt;&lt;/contributors&gt;&lt;titles&gt;&lt;title&gt;National life tables, UK: 2015 to 2017. Available from: https://www.ons.gov.uk/peoplepopulationandcommunity/birthsdeathsandmarriages/lifeexpectancies/bulletins/nationallifetablesunitedkingdom/2015to2017 (Accessed April 2020) &lt;/title&gt;&lt;/titles&gt;&lt;dates&gt;&lt;/dates&gt;&lt;urls&gt;&lt;/urls&gt;&lt;/record&gt;&lt;/Cite&gt;&lt;/EndNote&gt;</w:instrText>
      </w:r>
      <w:r w:rsidR="0066276C" w:rsidRPr="004B4187">
        <w:fldChar w:fldCharType="separate"/>
      </w:r>
      <w:r w:rsidR="00A61463" w:rsidRPr="004B4187">
        <w:rPr>
          <w:noProof/>
        </w:rPr>
        <w:t>[6]</w:t>
      </w:r>
      <w:r w:rsidR="0066276C" w:rsidRPr="004B4187">
        <w:fldChar w:fldCharType="end"/>
      </w:r>
      <w:r w:rsidRPr="004B4187">
        <w:t xml:space="preserve">. It was therefore estimated that the sample of respondents had an average of 31.2 remaining </w:t>
      </w:r>
      <w:r w:rsidRPr="004B4187">
        <w:lastRenderedPageBreak/>
        <w:t>years of life expectancy. This was used to estimate utility impacts associated with severe attribute levels; for example, for severe hemolysis, the MRS (i.e., 4.93) was divided by 31.2 years, yielding a disutility of 0.158.</w:t>
      </w:r>
    </w:p>
    <w:p w14:paraId="02CAD1FE" w14:textId="77777777" w:rsidR="00241342" w:rsidRPr="004B4187" w:rsidRDefault="00241342" w:rsidP="00241342"/>
    <w:p w14:paraId="39E6AC41" w14:textId="38054EA2" w:rsidR="00241342" w:rsidRPr="004B4187" w:rsidRDefault="0098414D" w:rsidP="00241342">
      <w:r w:rsidRPr="004B4187">
        <w:t>Below,</w:t>
      </w:r>
      <w:r w:rsidR="00241342" w:rsidRPr="004B4187">
        <w:t xml:space="preserve"> marginal rates of substitution and </w:t>
      </w:r>
      <w:proofErr w:type="spellStart"/>
      <w:r w:rsidR="00241342" w:rsidRPr="004B4187">
        <w:t>disutilities</w:t>
      </w:r>
      <w:proofErr w:type="spellEnd"/>
      <w:r w:rsidR="00241342" w:rsidRPr="004B4187">
        <w:t xml:space="preserve"> from the DCE research are presented.</w:t>
      </w:r>
    </w:p>
    <w:p w14:paraId="616B0F2F" w14:textId="77777777" w:rsidR="00241342" w:rsidRPr="004B4187" w:rsidRDefault="00241342" w:rsidP="00241342"/>
    <w:p w14:paraId="6332592F" w14:textId="69FEAB71" w:rsidR="00241342" w:rsidRPr="004B4187" w:rsidRDefault="00241342" w:rsidP="00241342">
      <w:pPr>
        <w:rPr>
          <w:b/>
          <w:bCs/>
        </w:rPr>
      </w:pPr>
      <w:bookmarkStart w:id="3" w:name="_Toc24046366"/>
      <w:bookmarkStart w:id="4" w:name="_Toc16243666"/>
      <w:r w:rsidRPr="004B4187">
        <w:rPr>
          <w:b/>
          <w:bCs/>
          <w:sz w:val="20"/>
          <w:szCs w:val="20"/>
        </w:rPr>
        <w:t xml:space="preserve">Marginal rates of substitution and </w:t>
      </w:r>
      <w:proofErr w:type="spellStart"/>
      <w:r w:rsidRPr="004B4187">
        <w:rPr>
          <w:b/>
          <w:bCs/>
          <w:sz w:val="20"/>
          <w:szCs w:val="20"/>
        </w:rPr>
        <w:t>disutilities</w:t>
      </w:r>
      <w:proofErr w:type="spellEnd"/>
      <w:r w:rsidRPr="004B4187">
        <w:rPr>
          <w:b/>
          <w:bCs/>
          <w:sz w:val="20"/>
          <w:szCs w:val="20"/>
        </w:rPr>
        <w:t xml:space="preserve"> from DCE</w:t>
      </w:r>
      <w:bookmarkEnd w:id="3"/>
      <w:bookmarkEnd w:id="4"/>
    </w:p>
    <w:tbl>
      <w:tblPr>
        <w:tblW w:w="7382" w:type="dxa"/>
        <w:tblLook w:val="04A0" w:firstRow="1" w:lastRow="0" w:firstColumn="1" w:lastColumn="0" w:noHBand="0" w:noVBand="1"/>
      </w:tblPr>
      <w:tblGrid>
        <w:gridCol w:w="5305"/>
        <w:gridCol w:w="1016"/>
        <w:gridCol w:w="1061"/>
      </w:tblGrid>
      <w:tr w:rsidR="00241342" w:rsidRPr="004B4187" w14:paraId="30BB8803" w14:textId="77777777" w:rsidTr="00241342">
        <w:trPr>
          <w:trHeight w:val="285"/>
        </w:trPr>
        <w:tc>
          <w:tcPr>
            <w:tcW w:w="5305" w:type="dxa"/>
            <w:tcBorders>
              <w:top w:val="single" w:sz="4" w:space="0" w:color="auto"/>
              <w:left w:val="single" w:sz="4" w:space="0" w:color="auto"/>
              <w:bottom w:val="single" w:sz="4" w:space="0" w:color="auto"/>
              <w:right w:val="single" w:sz="4" w:space="0" w:color="auto"/>
            </w:tcBorders>
            <w:shd w:val="clear" w:color="auto" w:fill="5F5F5F" w:themeFill="accent3"/>
            <w:vAlign w:val="center"/>
            <w:hideMark/>
          </w:tcPr>
          <w:p w14:paraId="1D945B7C" w14:textId="77777777" w:rsidR="00241342" w:rsidRPr="004B4187" w:rsidRDefault="00241342">
            <w:pPr>
              <w:jc w:val="center"/>
              <w:rPr>
                <w:rFonts w:eastAsia="Times New Roman"/>
                <w:b/>
                <w:bCs/>
                <w:color w:val="FFFFFF"/>
                <w:sz w:val="20"/>
                <w:szCs w:val="20"/>
              </w:rPr>
            </w:pPr>
            <w:r w:rsidRPr="004B4187">
              <w:rPr>
                <w:rFonts w:eastAsia="Times New Roman"/>
                <w:b/>
                <w:bCs/>
                <w:color w:val="FFFFFF"/>
                <w:sz w:val="20"/>
                <w:szCs w:val="20"/>
              </w:rPr>
              <w:t>Attribute</w:t>
            </w:r>
          </w:p>
        </w:tc>
        <w:tc>
          <w:tcPr>
            <w:tcW w:w="1016" w:type="dxa"/>
            <w:tcBorders>
              <w:top w:val="single" w:sz="4" w:space="0" w:color="auto"/>
              <w:left w:val="nil"/>
              <w:bottom w:val="single" w:sz="4" w:space="0" w:color="auto"/>
              <w:right w:val="single" w:sz="4" w:space="0" w:color="auto"/>
            </w:tcBorders>
            <w:shd w:val="clear" w:color="auto" w:fill="5F5F5F" w:themeFill="accent3"/>
            <w:vAlign w:val="center"/>
            <w:hideMark/>
          </w:tcPr>
          <w:p w14:paraId="5F865DBD" w14:textId="77777777" w:rsidR="00241342" w:rsidRPr="004B4187" w:rsidRDefault="00241342">
            <w:pPr>
              <w:jc w:val="center"/>
              <w:rPr>
                <w:rFonts w:eastAsia="Times New Roman"/>
                <w:b/>
                <w:bCs/>
                <w:color w:val="FFFFFF"/>
                <w:sz w:val="20"/>
                <w:szCs w:val="20"/>
              </w:rPr>
            </w:pPr>
            <w:r w:rsidRPr="004B4187">
              <w:rPr>
                <w:rFonts w:eastAsia="Times New Roman"/>
                <w:b/>
                <w:bCs/>
                <w:color w:val="FFFFFF"/>
                <w:sz w:val="20"/>
                <w:szCs w:val="20"/>
              </w:rPr>
              <w:t>MRS</w:t>
            </w:r>
          </w:p>
        </w:tc>
        <w:tc>
          <w:tcPr>
            <w:tcW w:w="1061" w:type="dxa"/>
            <w:tcBorders>
              <w:top w:val="single" w:sz="4" w:space="0" w:color="auto"/>
              <w:left w:val="nil"/>
              <w:bottom w:val="single" w:sz="4" w:space="0" w:color="auto"/>
              <w:right w:val="single" w:sz="4" w:space="0" w:color="auto"/>
            </w:tcBorders>
            <w:shd w:val="clear" w:color="auto" w:fill="5F5F5F" w:themeFill="accent3"/>
            <w:noWrap/>
            <w:vAlign w:val="center"/>
            <w:hideMark/>
          </w:tcPr>
          <w:p w14:paraId="40C7169E" w14:textId="77777777" w:rsidR="00241342" w:rsidRPr="004B4187" w:rsidRDefault="00241342">
            <w:pPr>
              <w:jc w:val="center"/>
              <w:rPr>
                <w:rFonts w:eastAsia="Times New Roman"/>
                <w:b/>
                <w:bCs/>
                <w:color w:val="FFFFFF"/>
                <w:sz w:val="20"/>
                <w:szCs w:val="20"/>
              </w:rPr>
            </w:pPr>
            <w:r w:rsidRPr="004B4187">
              <w:rPr>
                <w:rFonts w:eastAsia="Times New Roman"/>
                <w:b/>
                <w:bCs/>
                <w:color w:val="FFFFFF"/>
                <w:sz w:val="20"/>
                <w:szCs w:val="20"/>
              </w:rPr>
              <w:t>Disutility</w:t>
            </w:r>
          </w:p>
        </w:tc>
      </w:tr>
      <w:tr w:rsidR="00241342" w:rsidRPr="004B4187" w14:paraId="4F66C127" w14:textId="77777777" w:rsidTr="00241342">
        <w:trPr>
          <w:trHeight w:val="285"/>
        </w:trPr>
        <w:tc>
          <w:tcPr>
            <w:tcW w:w="5305" w:type="dxa"/>
            <w:tcBorders>
              <w:top w:val="nil"/>
              <w:left w:val="single" w:sz="4" w:space="0" w:color="auto"/>
              <w:bottom w:val="single" w:sz="4" w:space="0" w:color="auto"/>
              <w:right w:val="single" w:sz="4" w:space="0" w:color="auto"/>
            </w:tcBorders>
            <w:vAlign w:val="center"/>
            <w:hideMark/>
          </w:tcPr>
          <w:p w14:paraId="255DA20D" w14:textId="4009FA98" w:rsidR="00241342" w:rsidRPr="004B4187" w:rsidRDefault="00241342">
            <w:pPr>
              <w:rPr>
                <w:rFonts w:eastAsia="Times New Roman"/>
                <w:color w:val="000000"/>
                <w:sz w:val="20"/>
                <w:szCs w:val="20"/>
              </w:rPr>
            </w:pPr>
            <w:r w:rsidRPr="004B4187">
              <w:rPr>
                <w:rFonts w:eastAsia="Times New Roman"/>
                <w:color w:val="000000"/>
                <w:sz w:val="20"/>
                <w:szCs w:val="20"/>
              </w:rPr>
              <w:t>Treatment administration (26 vs. 6</w:t>
            </w:r>
            <w:r w:rsidR="0066276C" w:rsidRPr="004B4187">
              <w:rPr>
                <w:rFonts w:eastAsia="Times New Roman"/>
                <w:color w:val="000000"/>
                <w:sz w:val="20"/>
                <w:szCs w:val="20"/>
              </w:rPr>
              <w:t>–</w:t>
            </w:r>
            <w:r w:rsidRPr="004B4187">
              <w:rPr>
                <w:rFonts w:eastAsia="Times New Roman"/>
                <w:color w:val="000000"/>
                <w:sz w:val="20"/>
                <w:szCs w:val="20"/>
              </w:rPr>
              <w:t>7 times per year)</w:t>
            </w:r>
          </w:p>
        </w:tc>
        <w:tc>
          <w:tcPr>
            <w:tcW w:w="1016" w:type="dxa"/>
            <w:tcBorders>
              <w:top w:val="nil"/>
              <w:left w:val="nil"/>
              <w:bottom w:val="single" w:sz="4" w:space="0" w:color="auto"/>
              <w:right w:val="single" w:sz="4" w:space="0" w:color="auto"/>
            </w:tcBorders>
            <w:vAlign w:val="center"/>
            <w:hideMark/>
          </w:tcPr>
          <w:p w14:paraId="141E80BA"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1.789</w:t>
            </w:r>
          </w:p>
        </w:tc>
        <w:tc>
          <w:tcPr>
            <w:tcW w:w="1061" w:type="dxa"/>
            <w:tcBorders>
              <w:top w:val="nil"/>
              <w:left w:val="nil"/>
              <w:bottom w:val="single" w:sz="4" w:space="0" w:color="auto"/>
              <w:right w:val="single" w:sz="4" w:space="0" w:color="auto"/>
            </w:tcBorders>
            <w:noWrap/>
            <w:vAlign w:val="center"/>
            <w:hideMark/>
          </w:tcPr>
          <w:p w14:paraId="713D154B" w14:textId="6E3F21BF" w:rsidR="00241342" w:rsidRPr="004B4187" w:rsidRDefault="0066276C">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0.057</w:t>
            </w:r>
          </w:p>
        </w:tc>
      </w:tr>
      <w:tr w:rsidR="00241342" w:rsidRPr="004B4187" w14:paraId="07073E50" w14:textId="77777777" w:rsidTr="00241342">
        <w:trPr>
          <w:trHeight w:val="285"/>
        </w:trPr>
        <w:tc>
          <w:tcPr>
            <w:tcW w:w="5305" w:type="dxa"/>
            <w:tcBorders>
              <w:top w:val="nil"/>
              <w:left w:val="single" w:sz="4" w:space="0" w:color="auto"/>
              <w:bottom w:val="single" w:sz="4" w:space="0" w:color="auto"/>
              <w:right w:val="single" w:sz="4" w:space="0" w:color="auto"/>
            </w:tcBorders>
            <w:vAlign w:val="center"/>
            <w:hideMark/>
          </w:tcPr>
          <w:p w14:paraId="340CC604" w14:textId="77777777" w:rsidR="00241342" w:rsidRPr="004B4187" w:rsidRDefault="00241342">
            <w:pPr>
              <w:rPr>
                <w:rFonts w:eastAsia="Times New Roman"/>
                <w:color w:val="000000"/>
                <w:sz w:val="20"/>
                <w:szCs w:val="20"/>
              </w:rPr>
            </w:pPr>
            <w:r w:rsidRPr="004B4187">
              <w:rPr>
                <w:rFonts w:eastAsia="Times New Roman"/>
                <w:color w:val="000000"/>
                <w:sz w:val="20"/>
                <w:szCs w:val="20"/>
              </w:rPr>
              <w:t>Risk of infection (1:1000 every year)</w:t>
            </w:r>
          </w:p>
        </w:tc>
        <w:tc>
          <w:tcPr>
            <w:tcW w:w="1016" w:type="dxa"/>
            <w:tcBorders>
              <w:top w:val="nil"/>
              <w:left w:val="nil"/>
              <w:bottom w:val="single" w:sz="4" w:space="0" w:color="auto"/>
              <w:right w:val="single" w:sz="4" w:space="0" w:color="auto"/>
            </w:tcBorders>
            <w:vAlign w:val="center"/>
            <w:hideMark/>
          </w:tcPr>
          <w:p w14:paraId="691560EA"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1.242</w:t>
            </w:r>
          </w:p>
        </w:tc>
        <w:tc>
          <w:tcPr>
            <w:tcW w:w="1061" w:type="dxa"/>
            <w:tcBorders>
              <w:top w:val="nil"/>
              <w:left w:val="nil"/>
              <w:bottom w:val="single" w:sz="4" w:space="0" w:color="auto"/>
              <w:right w:val="single" w:sz="4" w:space="0" w:color="auto"/>
            </w:tcBorders>
            <w:noWrap/>
            <w:vAlign w:val="center"/>
            <w:hideMark/>
          </w:tcPr>
          <w:p w14:paraId="7433EC90" w14:textId="6D5D661E" w:rsidR="00241342" w:rsidRPr="004B4187" w:rsidRDefault="0066276C">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0.040</w:t>
            </w:r>
          </w:p>
        </w:tc>
      </w:tr>
      <w:tr w:rsidR="00241342" w:rsidRPr="004B4187" w14:paraId="3685B7CC" w14:textId="77777777" w:rsidTr="00241342">
        <w:trPr>
          <w:trHeight w:val="285"/>
        </w:trPr>
        <w:tc>
          <w:tcPr>
            <w:tcW w:w="5305" w:type="dxa"/>
            <w:tcBorders>
              <w:top w:val="nil"/>
              <w:left w:val="single" w:sz="4" w:space="0" w:color="auto"/>
              <w:bottom w:val="single" w:sz="4" w:space="0" w:color="auto"/>
              <w:right w:val="single" w:sz="4" w:space="0" w:color="auto"/>
            </w:tcBorders>
            <w:vAlign w:val="center"/>
            <w:hideMark/>
          </w:tcPr>
          <w:p w14:paraId="3BEE290D" w14:textId="77777777" w:rsidR="00241342" w:rsidRPr="004B4187" w:rsidRDefault="00241342">
            <w:pPr>
              <w:rPr>
                <w:rFonts w:eastAsia="Times New Roman"/>
                <w:color w:val="000000"/>
                <w:sz w:val="20"/>
                <w:szCs w:val="20"/>
              </w:rPr>
            </w:pPr>
            <w:r w:rsidRPr="004B4187">
              <w:rPr>
                <w:rFonts w:eastAsia="Times New Roman"/>
                <w:color w:val="000000"/>
                <w:sz w:val="20"/>
                <w:szCs w:val="20"/>
              </w:rPr>
              <w:t>Severe hemolysis, treated in hospital</w:t>
            </w:r>
          </w:p>
        </w:tc>
        <w:tc>
          <w:tcPr>
            <w:tcW w:w="1016" w:type="dxa"/>
            <w:tcBorders>
              <w:top w:val="nil"/>
              <w:left w:val="nil"/>
              <w:bottom w:val="single" w:sz="4" w:space="0" w:color="auto"/>
              <w:right w:val="single" w:sz="4" w:space="0" w:color="auto"/>
            </w:tcBorders>
            <w:vAlign w:val="center"/>
            <w:hideMark/>
          </w:tcPr>
          <w:p w14:paraId="3AA9B515"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4.926</w:t>
            </w:r>
          </w:p>
        </w:tc>
        <w:tc>
          <w:tcPr>
            <w:tcW w:w="1061" w:type="dxa"/>
            <w:tcBorders>
              <w:top w:val="nil"/>
              <w:left w:val="nil"/>
              <w:bottom w:val="single" w:sz="4" w:space="0" w:color="auto"/>
              <w:right w:val="single" w:sz="4" w:space="0" w:color="auto"/>
            </w:tcBorders>
            <w:noWrap/>
            <w:vAlign w:val="center"/>
            <w:hideMark/>
          </w:tcPr>
          <w:p w14:paraId="1B94CCE9" w14:textId="769288A2" w:rsidR="00241342" w:rsidRPr="004B4187" w:rsidRDefault="0066276C">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0.158</w:t>
            </w:r>
          </w:p>
        </w:tc>
      </w:tr>
      <w:tr w:rsidR="00241342" w:rsidRPr="004B4187" w14:paraId="5F49A6A4" w14:textId="77777777" w:rsidTr="00241342">
        <w:trPr>
          <w:trHeight w:val="285"/>
        </w:trPr>
        <w:tc>
          <w:tcPr>
            <w:tcW w:w="5305" w:type="dxa"/>
            <w:tcBorders>
              <w:top w:val="nil"/>
              <w:left w:val="single" w:sz="4" w:space="0" w:color="auto"/>
              <w:bottom w:val="single" w:sz="4" w:space="0" w:color="auto"/>
              <w:right w:val="single" w:sz="4" w:space="0" w:color="auto"/>
            </w:tcBorders>
            <w:vAlign w:val="center"/>
            <w:hideMark/>
          </w:tcPr>
          <w:p w14:paraId="42E8ECF1" w14:textId="77777777" w:rsidR="00241342" w:rsidRPr="004B4187" w:rsidRDefault="00241342">
            <w:pPr>
              <w:rPr>
                <w:rFonts w:eastAsia="Times New Roman"/>
                <w:color w:val="000000"/>
                <w:sz w:val="20"/>
                <w:szCs w:val="20"/>
              </w:rPr>
            </w:pPr>
            <w:r w:rsidRPr="004B4187">
              <w:rPr>
                <w:rFonts w:eastAsia="Times New Roman"/>
                <w:color w:val="000000"/>
                <w:sz w:val="20"/>
                <w:szCs w:val="20"/>
              </w:rPr>
              <w:t>Need for a blood transfusion every year</w:t>
            </w:r>
          </w:p>
        </w:tc>
        <w:tc>
          <w:tcPr>
            <w:tcW w:w="1016" w:type="dxa"/>
            <w:tcBorders>
              <w:top w:val="nil"/>
              <w:left w:val="nil"/>
              <w:bottom w:val="single" w:sz="4" w:space="0" w:color="auto"/>
              <w:right w:val="single" w:sz="4" w:space="0" w:color="auto"/>
            </w:tcBorders>
            <w:vAlign w:val="center"/>
            <w:hideMark/>
          </w:tcPr>
          <w:p w14:paraId="7CD6BF9A" w14:textId="77777777" w:rsidR="00241342" w:rsidRPr="004B4187" w:rsidRDefault="00241342">
            <w:pPr>
              <w:jc w:val="center"/>
              <w:rPr>
                <w:rFonts w:eastAsia="Times New Roman"/>
                <w:color w:val="000000"/>
                <w:sz w:val="20"/>
                <w:szCs w:val="20"/>
              </w:rPr>
            </w:pPr>
            <w:r w:rsidRPr="004B4187">
              <w:rPr>
                <w:rFonts w:eastAsia="Times New Roman"/>
                <w:color w:val="000000"/>
                <w:sz w:val="20"/>
                <w:szCs w:val="20"/>
              </w:rPr>
              <w:t>2.280</w:t>
            </w:r>
          </w:p>
        </w:tc>
        <w:tc>
          <w:tcPr>
            <w:tcW w:w="1061" w:type="dxa"/>
            <w:tcBorders>
              <w:top w:val="nil"/>
              <w:left w:val="nil"/>
              <w:bottom w:val="single" w:sz="4" w:space="0" w:color="auto"/>
              <w:right w:val="single" w:sz="4" w:space="0" w:color="auto"/>
            </w:tcBorders>
            <w:noWrap/>
            <w:vAlign w:val="center"/>
            <w:hideMark/>
          </w:tcPr>
          <w:p w14:paraId="55815FEB" w14:textId="3FAC9D01" w:rsidR="00241342" w:rsidRPr="004B4187" w:rsidRDefault="0066276C">
            <w:pPr>
              <w:jc w:val="center"/>
              <w:rPr>
                <w:rFonts w:eastAsia="Times New Roman"/>
                <w:color w:val="000000"/>
                <w:sz w:val="20"/>
                <w:szCs w:val="20"/>
              </w:rPr>
            </w:pPr>
            <w:r w:rsidRPr="004B4187">
              <w:rPr>
                <w:rFonts w:eastAsia="Times New Roman"/>
                <w:color w:val="000000"/>
                <w:sz w:val="20"/>
                <w:szCs w:val="20"/>
              </w:rPr>
              <w:t>–</w:t>
            </w:r>
            <w:r w:rsidR="00241342" w:rsidRPr="004B4187">
              <w:rPr>
                <w:rFonts w:eastAsia="Times New Roman"/>
                <w:color w:val="000000"/>
                <w:sz w:val="20"/>
                <w:szCs w:val="20"/>
              </w:rPr>
              <w:t>0.073</w:t>
            </w:r>
          </w:p>
        </w:tc>
      </w:tr>
    </w:tbl>
    <w:p w14:paraId="278ACD7A" w14:textId="74893458" w:rsidR="00241342" w:rsidRPr="004B4187" w:rsidRDefault="0066276C" w:rsidP="00241342">
      <w:pPr>
        <w:rPr>
          <w:rFonts w:eastAsiaTheme="minorHAnsi" w:cstheme="minorHAnsi"/>
          <w:sz w:val="22"/>
          <w:szCs w:val="22"/>
          <w:lang w:val="en-IE"/>
        </w:rPr>
      </w:pPr>
      <w:r w:rsidRPr="004B4187">
        <w:rPr>
          <w:rFonts w:eastAsiaTheme="minorHAnsi" w:cstheme="minorHAnsi"/>
          <w:sz w:val="22"/>
          <w:szCs w:val="22"/>
          <w:lang w:val="en-IE"/>
        </w:rPr>
        <w:t>MRS, marginal rate of substitution.</w:t>
      </w:r>
    </w:p>
    <w:p w14:paraId="5EEAE07D" w14:textId="77777777" w:rsidR="0066276C" w:rsidRPr="004B4187" w:rsidRDefault="0066276C" w:rsidP="0098414D">
      <w:pPr>
        <w:rPr>
          <w:lang w:val="en-IE"/>
        </w:rPr>
      </w:pPr>
    </w:p>
    <w:p w14:paraId="1656FD8F" w14:textId="3BBE1911" w:rsidR="00241342" w:rsidRPr="004B4187" w:rsidRDefault="00241342" w:rsidP="0098414D">
      <w:r w:rsidRPr="004B4187">
        <w:rPr>
          <w:lang w:val="en-IE"/>
        </w:rPr>
        <w:t xml:space="preserve">As reflected </w:t>
      </w:r>
      <w:r w:rsidR="0098414D" w:rsidRPr="004B4187">
        <w:rPr>
          <w:lang w:val="en-IE"/>
        </w:rPr>
        <w:t>above</w:t>
      </w:r>
      <w:r w:rsidRPr="004B4187">
        <w:rPr>
          <w:lang w:val="en-IE"/>
        </w:rPr>
        <w:t>,</w:t>
      </w:r>
      <w:r w:rsidRPr="004B4187">
        <w:t xml:space="preserve"> the DCE indicates that the utility impact of </w:t>
      </w:r>
      <w:r w:rsidR="0066276C" w:rsidRPr="004B4187">
        <w:t>intravenous (</w:t>
      </w:r>
      <w:r w:rsidRPr="004B4187">
        <w:t>IV</w:t>
      </w:r>
      <w:r w:rsidR="0066276C" w:rsidRPr="004B4187">
        <w:t>)</w:t>
      </w:r>
      <w:r w:rsidRPr="004B4187">
        <w:t xml:space="preserve"> infusion administration 26 v</w:t>
      </w:r>
      <w:r w:rsidR="0066276C" w:rsidRPr="004B4187">
        <w:t>ersus</w:t>
      </w:r>
      <w:r w:rsidRPr="004B4187">
        <w:t xml:space="preserve"> 6</w:t>
      </w:r>
      <w:r w:rsidR="0066276C" w:rsidRPr="004B4187">
        <w:t>–</w:t>
      </w:r>
      <w:r w:rsidRPr="004B4187">
        <w:t xml:space="preserve">7 times per year is </w:t>
      </w:r>
      <w:r w:rsidR="0066276C" w:rsidRPr="004B4187">
        <w:t>–</w:t>
      </w:r>
      <w:r w:rsidRPr="004B4187">
        <w:t>0.057 (SE = 0.008</w:t>
      </w:r>
      <w:r w:rsidRPr="004B4187">
        <w:rPr>
          <w:vertAlign w:val="superscript"/>
        </w:rPr>
        <w:footnoteReference w:id="3"/>
      </w:r>
      <w:r w:rsidRPr="004B4187">
        <w:t>). It should be noted that the DCE described that IV infusions would be received at home, as is common practice in the UK, so likely omits the impact that visiting a site of care might have.</w:t>
      </w:r>
    </w:p>
    <w:p w14:paraId="42CC5E52" w14:textId="77777777" w:rsidR="008820D5" w:rsidRPr="004B4187" w:rsidRDefault="008820D5" w:rsidP="00FA2E14"/>
    <w:p w14:paraId="5F05B45A" w14:textId="06D47194" w:rsidR="00250912" w:rsidRPr="004B4187" w:rsidRDefault="00250912" w:rsidP="00250912">
      <w:pPr>
        <w:spacing w:after="200" w:line="276" w:lineRule="auto"/>
      </w:pPr>
      <w:r w:rsidRPr="004B4187">
        <w:t xml:space="preserve">Supplementary Text </w:t>
      </w:r>
      <w:r w:rsidR="008820D5" w:rsidRPr="004B4187">
        <w:t>4</w:t>
      </w:r>
    </w:p>
    <w:p w14:paraId="568AE7C0" w14:textId="5A4C4432" w:rsidR="007F3FBA" w:rsidRPr="004B4187" w:rsidRDefault="007F3FBA" w:rsidP="00140105">
      <w:r w:rsidRPr="004B4187">
        <w:t xml:space="preserve">Parameter values </w:t>
      </w:r>
      <w:proofErr w:type="spellStart"/>
      <w:r w:rsidRPr="004B4187">
        <w:t>modeled</w:t>
      </w:r>
      <w:proofErr w:type="spellEnd"/>
      <w:r w:rsidRPr="004B4187">
        <w:t xml:space="preserve"> in the CUA </w:t>
      </w:r>
      <w:r w:rsidR="00140105" w:rsidRPr="004B4187">
        <w:t>–</w:t>
      </w:r>
      <w:r w:rsidRPr="004B4187">
        <w:t xml:space="preserve"> including in the base</w:t>
      </w:r>
      <w:r w:rsidR="00D20C04" w:rsidRPr="004B4187">
        <w:t xml:space="preserve"> </w:t>
      </w:r>
      <w:r w:rsidRPr="004B4187">
        <w:t>case analysis, as well as in scenario and probabilistic</w:t>
      </w:r>
      <w:r w:rsidR="00140105" w:rsidRPr="004B4187">
        <w:t xml:space="preserve"> </w:t>
      </w:r>
      <w:r w:rsidRPr="004B4187">
        <w:t>sensitivity analyses – are presented in Supplementary Table 1.</w:t>
      </w:r>
    </w:p>
    <w:p w14:paraId="01B85A89" w14:textId="2F68231E" w:rsidR="007F3FBA" w:rsidRPr="004B4187" w:rsidRDefault="007F3FBA" w:rsidP="00D226FB">
      <w:pPr>
        <w:ind w:firstLine="360"/>
      </w:pPr>
      <w:r w:rsidRPr="004B4187">
        <w:t>In probabilistic</w:t>
      </w:r>
      <w:r w:rsidR="00140105" w:rsidRPr="004B4187">
        <w:t xml:space="preserve"> </w:t>
      </w:r>
      <w:r w:rsidRPr="004B4187">
        <w:t xml:space="preserve">sensitivity analysis, selection of sampling distributions used to model parameter uncertainty was informed based on the nature of parameters (e.g. the possible range of values they may take) and on their method of estimation (e.g. a probability estimated with a logistic regression model reflects an outcome distributed binomial), as described in published guidance around probabilistic decision </w:t>
      </w:r>
      <w:proofErr w:type="spellStart"/>
      <w:r w:rsidRPr="004B4187">
        <w:t>modeling</w:t>
      </w:r>
      <w:proofErr w:type="spellEnd"/>
      <w:r w:rsidRPr="004B4187">
        <w:t xml:space="preserve">. For example, Briggs </w:t>
      </w:r>
      <w:r w:rsidRPr="004B4187">
        <w:rPr>
          <w:i/>
        </w:rPr>
        <w:t>et al</w:t>
      </w:r>
      <w:r w:rsidRPr="004B4187">
        <w:t>. (2006)</w:t>
      </w:r>
      <w:r w:rsidR="004B5BEE" w:rsidRPr="004B4187">
        <w:t xml:space="preserve"> </w:t>
      </w:r>
      <w:r w:rsidR="009B131E" w:rsidRPr="004B4187">
        <w:fldChar w:fldCharType="begin"/>
      </w:r>
      <w:r w:rsidR="00A61463" w:rsidRPr="004B4187">
        <w:instrText xml:space="preserve"> ADDIN EN.CITE &lt;EndNote&gt;&lt;Cite ExcludeYear="1"&gt;&lt;Author&gt;Briggs&lt;/Author&gt;&lt;RecNum&gt;171&lt;/RecNum&gt;&lt;DisplayText&gt;[7]&lt;/DisplayText&gt;&lt;record&gt;&lt;rec-number&gt;171&lt;/rec-number&gt;&lt;foreign-keys&gt;&lt;key app="EN" db-id="swrefzer2v0rpoeetdnxva03z5eeefr2fzft" timestamp="1567076985"&gt;171&lt;/key&gt;&lt;/foreign-keys&gt;&lt;ref-type name="Journal Article"&gt;17&lt;/ref-type&gt;&lt;contributors&gt;&lt;authors&gt;&lt;author&gt;Briggs, A.&lt;/author&gt;&lt;author&gt;Sculpher, M.&lt;/author&gt;&lt;author&gt;Claxton, K.&lt;/author&gt;&lt;/authors&gt;&lt;/contributors&gt;&lt;titles&gt;&lt;title&gt;Decision modelling for health economic evaluation. 1st ed. New York: Oxford University Press, 2006&lt;/title&gt;&lt;/titles&gt;&lt;dates&gt;&lt;/dates&gt;&lt;urls&gt;&lt;/urls&gt;&lt;/record&gt;&lt;/Cite&gt;&lt;/EndNote&gt;</w:instrText>
      </w:r>
      <w:r w:rsidR="009B131E" w:rsidRPr="004B4187">
        <w:fldChar w:fldCharType="separate"/>
      </w:r>
      <w:r w:rsidR="00A61463" w:rsidRPr="004B4187">
        <w:rPr>
          <w:noProof/>
        </w:rPr>
        <w:t>[7]</w:t>
      </w:r>
      <w:r w:rsidR="009B131E" w:rsidRPr="004B4187">
        <w:fldChar w:fldCharType="end"/>
      </w:r>
      <w:r w:rsidRPr="004B4187">
        <w:t xml:space="preserve"> note that:</w:t>
      </w:r>
    </w:p>
    <w:p w14:paraId="1875FC75" w14:textId="77777777" w:rsidR="007F3FBA" w:rsidRPr="004B4187" w:rsidRDefault="007F3FBA" w:rsidP="007F3FBA"/>
    <w:p w14:paraId="0162E150" w14:textId="77777777" w:rsidR="007F3FBA" w:rsidRPr="004B4187" w:rsidRDefault="007F3FBA" w:rsidP="007F3FBA">
      <w:pPr>
        <w:ind w:left="360" w:right="368"/>
        <w:jc w:val="center"/>
        <w:rPr>
          <w:i/>
          <w:iCs/>
        </w:rPr>
      </w:pPr>
      <w:r w:rsidRPr="004B4187">
        <w:rPr>
          <w:i/>
          <w:iCs/>
        </w:rPr>
        <w:lastRenderedPageBreak/>
        <w:t>“One criticism often levelled at probabilistic decision models is that the choice of distribution to reflect uncertainty in a given parameter is essentially arbitrary, which adds an additional layer of uncertainty that must itself be subjected to sensitivity analysis. In this section we argue that this is not the case. Rather, the type of parameter and its method of estimation will usually reveal a small number of (often similar) candidate distributions that should be used to represent uncertainty. These distributions will often reflect the standard distributional assumptions employed to estimate confidence intervals, as described in almost any introductory medical statistics text. Indeed, we would argue that by following standard approaches to distributional assumptions whenever possible, the quality and credibility of the analysis will be enhanced.”</w:t>
      </w:r>
    </w:p>
    <w:p w14:paraId="496A6525" w14:textId="77777777" w:rsidR="007F3FBA" w:rsidRPr="004B4187" w:rsidRDefault="007F3FBA" w:rsidP="007F3FBA"/>
    <w:p w14:paraId="11B7274B" w14:textId="6D2B4921" w:rsidR="007F3FBA" w:rsidRDefault="007F3FBA" w:rsidP="007F3FBA">
      <w:r w:rsidRPr="004B4187">
        <w:t>In probabilistic</w:t>
      </w:r>
      <w:r w:rsidR="00140105" w:rsidRPr="004B4187">
        <w:t xml:space="preserve"> </w:t>
      </w:r>
      <w:r w:rsidRPr="004B4187">
        <w:t xml:space="preserve">sensitivity analysis of the CUA, sampling distributions for each parameter were selected in accordance with recommendations from Briggs </w:t>
      </w:r>
      <w:r w:rsidRPr="004B4187">
        <w:rPr>
          <w:i/>
        </w:rPr>
        <w:t>et al</w:t>
      </w:r>
      <w:r w:rsidRPr="004B4187">
        <w:t>. (2006)</w:t>
      </w:r>
      <w:r w:rsidR="004B5BEE" w:rsidRPr="004B4187">
        <w:t xml:space="preserve"> </w:t>
      </w:r>
      <w:r w:rsidR="009B131E" w:rsidRPr="004B4187">
        <w:fldChar w:fldCharType="begin"/>
      </w:r>
      <w:r w:rsidR="00A61463" w:rsidRPr="004B4187">
        <w:instrText xml:space="preserve"> ADDIN EN.CITE &lt;EndNote&gt;&lt;Cite ExcludeYear="1"&gt;&lt;Author&gt;Briggs&lt;/Author&gt;&lt;RecNum&gt;171&lt;/RecNum&gt;&lt;DisplayText&gt;[7]&lt;/DisplayText&gt;&lt;record&gt;&lt;rec-number&gt;171&lt;/rec-number&gt;&lt;foreign-keys&gt;&lt;key app="EN" db-id="swrefzer2v0rpoeetdnxva03z5eeefr2fzft" timestamp="1567076985"&gt;171&lt;/key&gt;&lt;/foreign-keys&gt;&lt;ref-type name="Journal Article"&gt;17&lt;/ref-type&gt;&lt;contributors&gt;&lt;authors&gt;&lt;author&gt;Briggs, A.&lt;/author&gt;&lt;author&gt;Sculpher, M.&lt;/author&gt;&lt;author&gt;Claxton, K.&lt;/author&gt;&lt;/authors&gt;&lt;/contributors&gt;&lt;titles&gt;&lt;title&gt;Decision modelling for health economic evaluation. 1st ed. New York: Oxford University Press, 2006&lt;/title&gt;&lt;/titles&gt;&lt;dates&gt;&lt;/dates&gt;&lt;urls&gt;&lt;/urls&gt;&lt;/record&gt;&lt;/Cite&gt;&lt;/EndNote&gt;</w:instrText>
      </w:r>
      <w:r w:rsidR="009B131E" w:rsidRPr="004B4187">
        <w:fldChar w:fldCharType="separate"/>
      </w:r>
      <w:r w:rsidR="00A61463" w:rsidRPr="004B4187">
        <w:rPr>
          <w:noProof/>
        </w:rPr>
        <w:t>[7]</w:t>
      </w:r>
      <w:r w:rsidR="009B131E" w:rsidRPr="004B4187">
        <w:fldChar w:fldCharType="end"/>
      </w:r>
      <w:r w:rsidRPr="004B4187">
        <w:t>; beta distributions were used for sampling of transition probabilities and other proportions</w:t>
      </w:r>
      <w:r w:rsidRPr="004B4187">
        <w:rPr>
          <w:rStyle w:val="FootnoteReference"/>
        </w:rPr>
        <w:footnoteReference w:id="4"/>
      </w:r>
      <w:r w:rsidRPr="004B4187">
        <w:t>, Dirichlet distributions for multinomial parameters</w:t>
      </w:r>
      <w:r w:rsidRPr="004B4187">
        <w:rPr>
          <w:rStyle w:val="FootnoteReference"/>
        </w:rPr>
        <w:footnoteReference w:id="5"/>
      </w:r>
      <w:r w:rsidRPr="004B4187">
        <w:t>, gamma distributions for costs</w:t>
      </w:r>
      <w:r w:rsidRPr="004B4187">
        <w:rPr>
          <w:rStyle w:val="FootnoteReference"/>
        </w:rPr>
        <w:footnoteReference w:id="6"/>
      </w:r>
      <w:r w:rsidRPr="004B4187">
        <w:t xml:space="preserve">, beta distributions for utilities </w:t>
      </w:r>
      <w:r w:rsidR="006A0C2A" w:rsidRPr="004B4187">
        <w:t>that</w:t>
      </w:r>
      <w:r w:rsidRPr="004B4187">
        <w:t xml:space="preserve"> did not approach </w:t>
      </w:r>
      <w:r w:rsidR="006A0C2A" w:rsidRPr="004B4187">
        <w:t>zero</w:t>
      </w:r>
      <w:r w:rsidRPr="004B4187">
        <w:rPr>
          <w:rStyle w:val="FootnoteReference"/>
        </w:rPr>
        <w:footnoteReference w:id="7"/>
      </w:r>
      <w:r w:rsidR="006A0C2A" w:rsidRPr="004B4187">
        <w:t>, and gamma distributions for utility decrements</w:t>
      </w:r>
      <w:r w:rsidRPr="004B4187">
        <w:t xml:space="preserve">. A normal distribution was used for sampling age at baseline, </w:t>
      </w:r>
      <w:r w:rsidR="004B5BEE" w:rsidRPr="004B4187">
        <w:t>because</w:t>
      </w:r>
      <w:r w:rsidRPr="004B4187">
        <w:t xml:space="preserve"> </w:t>
      </w:r>
      <w:r w:rsidR="00BF53C3" w:rsidRPr="004B4187">
        <w:t xml:space="preserve">the </w:t>
      </w:r>
      <w:r w:rsidRPr="004B4187">
        <w:t xml:space="preserve">mean and </w:t>
      </w:r>
      <w:r w:rsidR="00BF53C3" w:rsidRPr="004B4187">
        <w:t>SD</w:t>
      </w:r>
      <w:r w:rsidRPr="004B4187">
        <w:t xml:space="preserve"> were reported from clinical studies 301 and 302, as well as for body weight by age, which was assumed to be distributed normally at each year of</w:t>
      </w:r>
      <w:r>
        <w:t xml:space="preserve"> age. </w:t>
      </w:r>
    </w:p>
    <w:p w14:paraId="3BE7E4CD" w14:textId="33D451E7" w:rsidR="007F3FBA" w:rsidRDefault="007F3FBA" w:rsidP="00140105">
      <w:pPr>
        <w:ind w:firstLine="720"/>
      </w:pPr>
      <w:r>
        <w:lastRenderedPageBreak/>
        <w:t>For beta distributions, sample means and standard errors were used to calculate alpha (</w:t>
      </w:r>
      <w:r>
        <w:rPr>
          <w:rFonts w:cstheme="minorHAnsi"/>
        </w:rPr>
        <w:t>α</w:t>
      </w:r>
      <w:r>
        <w:t>) and beta (</w:t>
      </w:r>
      <w:r>
        <w:rPr>
          <w:rFonts w:cstheme="minorHAnsi"/>
        </w:rPr>
        <w:t>β</w:t>
      </w:r>
      <w:r>
        <w:t xml:space="preserve">), according to the following transformations (where </w:t>
      </w:r>
      <w:r>
        <w:rPr>
          <w:rFonts w:ascii="Arial" w:hAnsi="Arial" w:cs="Arial"/>
        </w:rPr>
        <w:t>µ</w:t>
      </w:r>
      <w:r>
        <w:t xml:space="preserve"> represents the sample mean value and </w:t>
      </w:r>
      <w:r>
        <w:rPr>
          <w:i/>
          <w:iCs/>
        </w:rPr>
        <w:t>s</w:t>
      </w:r>
      <w:r>
        <w:rPr>
          <w:i/>
          <w:iCs/>
          <w:vertAlign w:val="superscript"/>
        </w:rPr>
        <w:t>2</w:t>
      </w:r>
      <w:r>
        <w:t xml:space="preserve"> the sample variance):</w:t>
      </w:r>
    </w:p>
    <w:p w14:paraId="4A41524E" w14:textId="77777777" w:rsidR="007F3FBA" w:rsidRDefault="007F3FBA" w:rsidP="007F3FBA"/>
    <w:p w14:paraId="46FF5F44" w14:textId="77777777" w:rsidR="007F3FBA" w:rsidRDefault="007F3FBA" w:rsidP="007F3FBA">
      <w:pPr>
        <w:rPr>
          <w:rFonts w:cstheme="minorHAnsi"/>
        </w:rPr>
      </w:pPr>
      <w:r>
        <w:rPr>
          <w:rFonts w:cstheme="minorHAnsi"/>
        </w:rPr>
        <w:t xml:space="preserve">α = </w:t>
      </w:r>
      <w:r>
        <w:rPr>
          <w:rFonts w:ascii="Arial" w:hAnsi="Arial" w:cs="Arial"/>
        </w:rPr>
        <w:t>µ</w:t>
      </w:r>
      <w:r w:rsidRPr="00414A61">
        <w:rPr>
          <w:rFonts w:cstheme="minorHAnsi"/>
        </w:rPr>
        <w:t xml:space="preserve"> </w:t>
      </w:r>
      <w:r>
        <w:rPr>
          <w:rFonts w:ascii="Arial" w:hAnsi="Arial" w:cs="Arial"/>
        </w:rPr>
        <w:t>•</w:t>
      </w:r>
      <w:r w:rsidRPr="00414A61">
        <w:rPr>
          <w:rFonts w:cstheme="minorHAnsi"/>
        </w:rPr>
        <w:t xml:space="preserve"> </w:t>
      </w:r>
      <w:r>
        <w:rPr>
          <w:rFonts w:cstheme="minorHAnsi"/>
        </w:rPr>
        <w:t xml:space="preserve">[ </w:t>
      </w:r>
      <w:r>
        <w:rPr>
          <w:rFonts w:ascii="Arial" w:hAnsi="Arial" w:cs="Arial"/>
        </w:rPr>
        <w:t>µ</w:t>
      </w:r>
      <w:r w:rsidRPr="00414A61">
        <w:rPr>
          <w:rFonts w:cstheme="minorHAnsi"/>
        </w:rPr>
        <w:t xml:space="preserve"> </w:t>
      </w:r>
      <w:r>
        <w:rPr>
          <w:rFonts w:ascii="Arial" w:hAnsi="Arial" w:cs="Arial"/>
        </w:rPr>
        <w:t>•</w:t>
      </w:r>
      <w:r w:rsidRPr="00414A61">
        <w:rPr>
          <w:rFonts w:cstheme="minorHAnsi"/>
        </w:rPr>
        <w:t xml:space="preserve"> (1</w:t>
      </w:r>
      <w:r>
        <w:rPr>
          <w:rFonts w:ascii="Arial" w:hAnsi="Arial" w:cs="Arial"/>
        </w:rPr>
        <w:t xml:space="preserve"> - µ</w:t>
      </w:r>
      <w:r w:rsidRPr="00414A61">
        <w:rPr>
          <w:rFonts w:cstheme="minorHAnsi"/>
        </w:rPr>
        <w:t>)</w:t>
      </w:r>
      <w:r>
        <w:rPr>
          <w:rFonts w:cstheme="minorHAnsi"/>
        </w:rPr>
        <w:t xml:space="preserve"> </w:t>
      </w:r>
      <w:r w:rsidRPr="00414A61">
        <w:rPr>
          <w:rFonts w:cstheme="minorHAnsi"/>
        </w:rPr>
        <w:t>/</w:t>
      </w:r>
      <w:r>
        <w:rPr>
          <w:rFonts w:cstheme="minorHAnsi"/>
        </w:rPr>
        <w:t xml:space="preserve"> </w:t>
      </w:r>
      <w:r>
        <w:rPr>
          <w:i/>
          <w:iCs/>
        </w:rPr>
        <w:t>s</w:t>
      </w:r>
      <w:r>
        <w:rPr>
          <w:i/>
          <w:iCs/>
          <w:vertAlign w:val="superscript"/>
        </w:rPr>
        <w:t>2</w:t>
      </w:r>
      <w:r>
        <w:rPr>
          <w:rFonts w:cstheme="minorHAnsi"/>
        </w:rPr>
        <w:t xml:space="preserve">  </w:t>
      </w:r>
      <w:r w:rsidRPr="00414A61">
        <w:rPr>
          <w:rFonts w:cstheme="minorHAnsi"/>
        </w:rPr>
        <w:t>-</w:t>
      </w:r>
      <w:r>
        <w:rPr>
          <w:rFonts w:cstheme="minorHAnsi"/>
        </w:rPr>
        <w:t xml:space="preserve"> </w:t>
      </w:r>
      <w:r w:rsidRPr="00414A61">
        <w:rPr>
          <w:rFonts w:cstheme="minorHAnsi"/>
        </w:rPr>
        <w:t>1</w:t>
      </w:r>
      <w:r>
        <w:rPr>
          <w:rFonts w:cstheme="minorHAnsi"/>
        </w:rPr>
        <w:t xml:space="preserve"> ]</w:t>
      </w:r>
    </w:p>
    <w:p w14:paraId="4DF680E1" w14:textId="77777777" w:rsidR="007F3FBA" w:rsidRDefault="007F3FBA" w:rsidP="007F3FBA"/>
    <w:p w14:paraId="04BB1507" w14:textId="77777777" w:rsidR="007F3FBA" w:rsidRDefault="007F3FBA" w:rsidP="007F3FBA">
      <w:r>
        <w:rPr>
          <w:rFonts w:cstheme="minorHAnsi"/>
        </w:rPr>
        <w:t xml:space="preserve">β = α </w:t>
      </w:r>
      <w:r>
        <w:rPr>
          <w:rFonts w:ascii="Arial" w:hAnsi="Arial" w:cs="Arial"/>
        </w:rPr>
        <w:t>•</w:t>
      </w:r>
      <w:r>
        <w:rPr>
          <w:rFonts w:cstheme="minorHAnsi"/>
        </w:rPr>
        <w:t xml:space="preserve"> [ (1 - </w:t>
      </w:r>
      <w:r>
        <w:rPr>
          <w:rFonts w:ascii="Arial" w:hAnsi="Arial" w:cs="Arial"/>
        </w:rPr>
        <w:t>µ) / µ ]</w:t>
      </w:r>
    </w:p>
    <w:p w14:paraId="1822667E" w14:textId="77777777" w:rsidR="007F3FBA" w:rsidRDefault="007F3FBA" w:rsidP="007F3FBA">
      <w:pPr>
        <w:spacing w:after="200" w:line="276" w:lineRule="auto"/>
      </w:pPr>
    </w:p>
    <w:p w14:paraId="7AC2A50B" w14:textId="7356E62E" w:rsidR="007F3FBA" w:rsidRDefault="007F3FBA" w:rsidP="00140105">
      <w:pPr>
        <w:ind w:firstLine="720"/>
      </w:pPr>
      <w:r>
        <w:t>For gamma distributions, sample means and standard errors were used to calculate alpha (</w:t>
      </w:r>
      <w:r>
        <w:rPr>
          <w:rFonts w:cstheme="minorHAnsi"/>
        </w:rPr>
        <w:t>α</w:t>
      </w:r>
      <w:r>
        <w:t>) and beta (</w:t>
      </w:r>
      <w:r>
        <w:rPr>
          <w:rFonts w:cstheme="minorHAnsi"/>
        </w:rPr>
        <w:t>β</w:t>
      </w:r>
      <w:r>
        <w:t xml:space="preserve">), according to the following transformations (where </w:t>
      </w:r>
      <w:r>
        <w:rPr>
          <w:rFonts w:ascii="Arial" w:hAnsi="Arial" w:cs="Arial"/>
        </w:rPr>
        <w:t>µ</w:t>
      </w:r>
      <w:r>
        <w:t xml:space="preserve"> represents the sample mean value and </w:t>
      </w:r>
      <w:r>
        <w:rPr>
          <w:i/>
          <w:iCs/>
        </w:rPr>
        <w:t>s</w:t>
      </w:r>
      <w:r>
        <w:rPr>
          <w:i/>
          <w:iCs/>
          <w:vertAlign w:val="superscript"/>
        </w:rPr>
        <w:t>2</w:t>
      </w:r>
      <w:r>
        <w:t xml:space="preserve"> the sample variance):</w:t>
      </w:r>
    </w:p>
    <w:p w14:paraId="18429CD2" w14:textId="77777777" w:rsidR="007F3FBA" w:rsidRDefault="007F3FBA" w:rsidP="007F3FBA"/>
    <w:p w14:paraId="4E86E7A6" w14:textId="77777777" w:rsidR="007F3FBA" w:rsidRPr="00414A61" w:rsidRDefault="007F3FBA" w:rsidP="007F3FBA">
      <w:pPr>
        <w:rPr>
          <w:rFonts w:cstheme="minorHAnsi"/>
          <w:vertAlign w:val="superscript"/>
        </w:rPr>
      </w:pPr>
      <w:r>
        <w:rPr>
          <w:rFonts w:cstheme="minorHAnsi"/>
        </w:rPr>
        <w:t xml:space="preserve">α = </w:t>
      </w:r>
      <w:r>
        <w:rPr>
          <w:rFonts w:ascii="Arial" w:hAnsi="Arial" w:cs="Arial"/>
        </w:rPr>
        <w:t>µ</w:t>
      </w:r>
      <w:r>
        <w:rPr>
          <w:rFonts w:ascii="Arial" w:hAnsi="Arial" w:cs="Arial"/>
          <w:vertAlign w:val="superscript"/>
        </w:rPr>
        <w:t>2</w:t>
      </w:r>
      <w:r w:rsidRPr="00414A61">
        <w:rPr>
          <w:rFonts w:ascii="Arial" w:hAnsi="Arial" w:cs="Arial"/>
        </w:rPr>
        <w:t xml:space="preserve"> /</w:t>
      </w:r>
      <w:r>
        <w:rPr>
          <w:rFonts w:ascii="Arial" w:hAnsi="Arial" w:cs="Arial"/>
        </w:rPr>
        <w:t xml:space="preserve"> </w:t>
      </w:r>
      <w:r>
        <w:rPr>
          <w:i/>
          <w:iCs/>
        </w:rPr>
        <w:t>s</w:t>
      </w:r>
      <w:r>
        <w:rPr>
          <w:i/>
          <w:iCs/>
          <w:vertAlign w:val="superscript"/>
        </w:rPr>
        <w:t>2</w:t>
      </w:r>
    </w:p>
    <w:p w14:paraId="2871B076" w14:textId="77777777" w:rsidR="007F3FBA" w:rsidRDefault="007F3FBA" w:rsidP="007F3FBA"/>
    <w:p w14:paraId="3CFAE397" w14:textId="62392C9B" w:rsidR="00250912" w:rsidRDefault="007F3FBA" w:rsidP="00FA2E14">
      <w:pPr>
        <w:sectPr w:rsidR="00250912" w:rsidSect="009E23C1">
          <w:footerReference w:type="default" r:id="rId8"/>
          <w:pgSz w:w="11906" w:h="16838" w:code="153"/>
          <w:pgMar w:top="1440" w:right="1440" w:bottom="1440" w:left="1440" w:header="708" w:footer="708" w:gutter="0"/>
          <w:cols w:space="708"/>
          <w:docGrid w:linePitch="360"/>
        </w:sectPr>
      </w:pPr>
      <w:r>
        <w:rPr>
          <w:rFonts w:cstheme="minorHAnsi"/>
        </w:rPr>
        <w:t xml:space="preserve">β = </w:t>
      </w:r>
      <w:r>
        <w:rPr>
          <w:i/>
          <w:iCs/>
        </w:rPr>
        <w:t>s</w:t>
      </w:r>
      <w:r>
        <w:rPr>
          <w:i/>
          <w:iCs/>
          <w:vertAlign w:val="superscript"/>
        </w:rPr>
        <w:t>2</w:t>
      </w:r>
      <w:r w:rsidRPr="00414A61">
        <w:rPr>
          <w:i/>
          <w:iCs/>
        </w:rPr>
        <w:t xml:space="preserve"> / </w:t>
      </w:r>
      <w:r w:rsidRPr="00414A61">
        <w:rPr>
          <w:rFonts w:ascii="Arial" w:hAnsi="Arial" w:cs="Arial"/>
        </w:rPr>
        <w:t>µ</w:t>
      </w:r>
    </w:p>
    <w:p w14:paraId="04FBD8EC" w14:textId="77777777" w:rsidR="007F3FBA" w:rsidRDefault="007F3FBA" w:rsidP="000E4024">
      <w:pPr>
        <w:rPr>
          <w:b/>
        </w:rPr>
      </w:pPr>
    </w:p>
    <w:p w14:paraId="6FC9C007" w14:textId="135A36D7" w:rsidR="000E4024" w:rsidRDefault="00B75593" w:rsidP="00B75593">
      <w:pPr>
        <w:pStyle w:val="Heading2"/>
      </w:pPr>
      <w:r>
        <w:t>Supplementary figures</w:t>
      </w:r>
    </w:p>
    <w:p w14:paraId="06F6A216" w14:textId="3C15D61C" w:rsidR="00B704E2" w:rsidRPr="00B704E2" w:rsidRDefault="00B704E2" w:rsidP="00B704E2">
      <w:r>
        <w:rPr>
          <w:noProof/>
        </w:rPr>
        <w:drawing>
          <wp:inline distT="0" distB="0" distL="0" distR="0" wp14:anchorId="2CC3C5D1" wp14:editId="0D657A18">
            <wp:extent cx="5731510" cy="2393950"/>
            <wp:effectExtent l="0" t="0" r="2540" b="6350"/>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Fig 0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393950"/>
                    </a:xfrm>
                    <a:prstGeom prst="rect">
                      <a:avLst/>
                    </a:prstGeom>
                  </pic:spPr>
                </pic:pic>
              </a:graphicData>
            </a:graphic>
          </wp:inline>
        </w:drawing>
      </w:r>
    </w:p>
    <w:p w14:paraId="44ECD24B" w14:textId="0909B055" w:rsidR="00B75593" w:rsidRPr="00B75593" w:rsidRDefault="00B75593" w:rsidP="00B75593"/>
    <w:p w14:paraId="7C9A7885" w14:textId="6E1EB618" w:rsidR="005B793C" w:rsidRDefault="005B793C" w:rsidP="005B793C">
      <w:pPr>
        <w:rPr>
          <w:bCs/>
        </w:rPr>
      </w:pPr>
      <w:r w:rsidRPr="004863E3">
        <w:rPr>
          <w:b/>
        </w:rPr>
        <w:t>Supplementary Fig</w:t>
      </w:r>
      <w:r>
        <w:rPr>
          <w:b/>
        </w:rPr>
        <w:t>.</w:t>
      </w:r>
      <w:r w:rsidRPr="004863E3">
        <w:rPr>
          <w:b/>
        </w:rPr>
        <w:t xml:space="preserve"> 1 </w:t>
      </w:r>
      <w:r w:rsidRPr="000A756B">
        <w:rPr>
          <w:bCs/>
        </w:rPr>
        <w:t>Markov traces for Cohort 1 base</w:t>
      </w:r>
      <w:r w:rsidR="00D20C04">
        <w:rPr>
          <w:bCs/>
        </w:rPr>
        <w:t xml:space="preserve"> </w:t>
      </w:r>
      <w:r w:rsidRPr="000A756B">
        <w:rPr>
          <w:bCs/>
        </w:rPr>
        <w:t>case model, under treatment with eculizumab (left) and ravulizumab (right)</w:t>
      </w:r>
    </w:p>
    <w:p w14:paraId="2B3C9CFF" w14:textId="77777777" w:rsidR="00B704E2" w:rsidRPr="000A756B" w:rsidRDefault="00B704E2" w:rsidP="005B793C">
      <w:pPr>
        <w:rPr>
          <w:bCs/>
        </w:rPr>
      </w:pPr>
    </w:p>
    <w:p w14:paraId="2631F1AD" w14:textId="480AC5AC" w:rsidR="00DE1E57" w:rsidRPr="00DE1E57" w:rsidRDefault="00B704E2" w:rsidP="002F0E3B">
      <w:pPr>
        <w:rPr>
          <w:rFonts w:cstheme="minorHAnsi"/>
        </w:rPr>
      </w:pPr>
      <w:r>
        <w:rPr>
          <w:rFonts w:cstheme="minorHAnsi"/>
          <w:noProof/>
        </w:rPr>
        <w:drawing>
          <wp:inline distT="0" distB="0" distL="0" distR="0" wp14:anchorId="604E33A5" wp14:editId="3571F808">
            <wp:extent cx="5731510" cy="2483485"/>
            <wp:effectExtent l="0" t="0" r="2540"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 Fig 0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483485"/>
                    </a:xfrm>
                    <a:prstGeom prst="rect">
                      <a:avLst/>
                    </a:prstGeom>
                  </pic:spPr>
                </pic:pic>
              </a:graphicData>
            </a:graphic>
          </wp:inline>
        </w:drawing>
      </w:r>
    </w:p>
    <w:p w14:paraId="596AB7EC" w14:textId="77777777" w:rsidR="00B704E2" w:rsidRDefault="00B704E2" w:rsidP="005B793C">
      <w:pPr>
        <w:rPr>
          <w:b/>
        </w:rPr>
      </w:pPr>
    </w:p>
    <w:p w14:paraId="2D016119" w14:textId="25917CBA" w:rsidR="005B793C" w:rsidRPr="00B00181" w:rsidRDefault="005B793C" w:rsidP="005B793C">
      <w:pPr>
        <w:rPr>
          <w:bCs/>
        </w:rPr>
      </w:pPr>
      <w:r w:rsidRPr="004863E3">
        <w:rPr>
          <w:b/>
        </w:rPr>
        <w:t>Supplementary Fig</w:t>
      </w:r>
      <w:r>
        <w:rPr>
          <w:b/>
        </w:rPr>
        <w:t>.</w:t>
      </w:r>
      <w:r w:rsidRPr="004863E3">
        <w:rPr>
          <w:b/>
        </w:rPr>
        <w:t xml:space="preserve"> 2 </w:t>
      </w:r>
      <w:r w:rsidRPr="00B00181">
        <w:rPr>
          <w:bCs/>
        </w:rPr>
        <w:t>Markov traces for Cohort 2 base</w:t>
      </w:r>
      <w:r w:rsidR="00D20C04">
        <w:rPr>
          <w:bCs/>
        </w:rPr>
        <w:t xml:space="preserve"> </w:t>
      </w:r>
      <w:r w:rsidRPr="00B00181">
        <w:rPr>
          <w:bCs/>
        </w:rPr>
        <w:t>case model, under treatment with eculizumab (left) and ravulizumab (right)</w:t>
      </w:r>
    </w:p>
    <w:p w14:paraId="1BC4576B" w14:textId="77777777" w:rsidR="007D19B2" w:rsidRDefault="007D19B2">
      <w:pPr>
        <w:spacing w:after="200" w:line="276" w:lineRule="auto"/>
      </w:pPr>
      <w:r>
        <w:br w:type="page"/>
      </w:r>
    </w:p>
    <w:p w14:paraId="31ED558E" w14:textId="6AEB31F1" w:rsidR="007D19B2" w:rsidRDefault="00B704E2" w:rsidP="007D19B2">
      <w:r>
        <w:rPr>
          <w:noProof/>
        </w:rPr>
        <w:lastRenderedPageBreak/>
        <w:drawing>
          <wp:inline distT="0" distB="0" distL="0" distR="0" wp14:anchorId="5BE7D3E6" wp14:editId="438E5BCC">
            <wp:extent cx="5731510" cy="2396490"/>
            <wp:effectExtent l="0" t="0" r="2540" b="381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Fig 0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396490"/>
                    </a:xfrm>
                    <a:prstGeom prst="rect">
                      <a:avLst/>
                    </a:prstGeom>
                  </pic:spPr>
                </pic:pic>
              </a:graphicData>
            </a:graphic>
          </wp:inline>
        </w:drawing>
      </w:r>
    </w:p>
    <w:p w14:paraId="1D9102A9" w14:textId="3FBDA4B6" w:rsidR="005B793C" w:rsidRPr="005509A3" w:rsidRDefault="005B793C" w:rsidP="005B793C">
      <w:pPr>
        <w:rPr>
          <w:bCs/>
        </w:rPr>
      </w:pPr>
      <w:r w:rsidRPr="004863E3">
        <w:rPr>
          <w:b/>
        </w:rPr>
        <w:t>Supplementary Fi</w:t>
      </w:r>
      <w:r>
        <w:rPr>
          <w:b/>
        </w:rPr>
        <w:t>g.</w:t>
      </w:r>
      <w:r w:rsidRPr="004863E3">
        <w:rPr>
          <w:b/>
        </w:rPr>
        <w:t xml:space="preserve"> 3 </w:t>
      </w:r>
      <w:r w:rsidRPr="005509A3">
        <w:rPr>
          <w:bCs/>
        </w:rPr>
        <w:t>Markov traces for Cohort 3 base</w:t>
      </w:r>
      <w:r w:rsidR="00D20C04">
        <w:rPr>
          <w:bCs/>
        </w:rPr>
        <w:t xml:space="preserve"> </w:t>
      </w:r>
      <w:r w:rsidRPr="005509A3">
        <w:rPr>
          <w:bCs/>
        </w:rPr>
        <w:t>case model, under treatment with eculizumab (left) and ravulizumab (right)</w:t>
      </w:r>
    </w:p>
    <w:p w14:paraId="7B7B0872" w14:textId="77777777" w:rsidR="00E00CA4" w:rsidRDefault="00E00CA4" w:rsidP="002F0E3B">
      <w:pPr>
        <w:rPr>
          <w:rFonts w:cstheme="minorHAnsi"/>
        </w:rPr>
      </w:pPr>
    </w:p>
    <w:p w14:paraId="468B1B0B" w14:textId="77777777" w:rsidR="00912AA9" w:rsidRDefault="00912AA9" w:rsidP="002F0E3B">
      <w:pPr>
        <w:rPr>
          <w:rFonts w:cstheme="minorHAnsi"/>
        </w:rPr>
      </w:pPr>
    </w:p>
    <w:p w14:paraId="4C83F333" w14:textId="77777777" w:rsidR="00C12FA1" w:rsidRDefault="00C12FA1">
      <w:pPr>
        <w:spacing w:after="200" w:line="276" w:lineRule="auto"/>
        <w:rPr>
          <w:b/>
        </w:rPr>
      </w:pPr>
      <w:r>
        <w:br w:type="page"/>
      </w:r>
    </w:p>
    <w:p w14:paraId="06A8F52C" w14:textId="2E338CE2" w:rsidR="004153DA" w:rsidRDefault="00FA2E14" w:rsidP="00C12FA1">
      <w:pPr>
        <w:pStyle w:val="Heading2"/>
      </w:pPr>
      <w:r>
        <w:lastRenderedPageBreak/>
        <w:t>References</w:t>
      </w:r>
      <w:r w:rsidR="000E5BDE">
        <w:t xml:space="preserve"> </w:t>
      </w:r>
    </w:p>
    <w:p w14:paraId="24611CCB" w14:textId="77777777" w:rsidR="0066276C" w:rsidRDefault="0066276C" w:rsidP="002F0E3B">
      <w:pPr>
        <w:rPr>
          <w:rFonts w:cstheme="minorHAnsi"/>
        </w:rPr>
      </w:pPr>
    </w:p>
    <w:p w14:paraId="0DB7ABB5" w14:textId="77777777" w:rsidR="004B4187" w:rsidRPr="004B4187" w:rsidRDefault="0066276C" w:rsidP="004B4187">
      <w:pPr>
        <w:pStyle w:val="EndNoteBibliography"/>
      </w:pPr>
      <w:r>
        <w:rPr>
          <w:rFonts w:cstheme="minorHAnsi"/>
        </w:rPr>
        <w:fldChar w:fldCharType="begin"/>
      </w:r>
      <w:r>
        <w:rPr>
          <w:rFonts w:cstheme="minorHAnsi"/>
        </w:rPr>
        <w:instrText xml:space="preserve"> ADDIN EN.REFLIST </w:instrText>
      </w:r>
      <w:r>
        <w:rPr>
          <w:rFonts w:cstheme="minorHAnsi"/>
        </w:rPr>
        <w:fldChar w:fldCharType="separate"/>
      </w:r>
      <w:r w:rsidR="004B4187" w:rsidRPr="004B4187">
        <w:t xml:space="preserve">1. Hill A, Platts PJ, Smith A, Richards SJ, Cullen MJ, Hill QA et al. The incidence and prevalence of paroxysmal nocturnal hemoglobinuria (PNH) and survival of patients in Yorkshire. Blood. 2006;108(11). </w:t>
      </w:r>
    </w:p>
    <w:p w14:paraId="6461AF10" w14:textId="77777777" w:rsidR="004B4187" w:rsidRPr="004B4187" w:rsidRDefault="004B4187" w:rsidP="004B4187">
      <w:pPr>
        <w:pStyle w:val="EndNoteBibliography"/>
      </w:pPr>
      <w:r w:rsidRPr="004B4187">
        <w:t xml:space="preserve">2. Alexion Pharmaceuticals. Haematology reimbursement advisory board, 2018, Leeds, UK. </w:t>
      </w:r>
    </w:p>
    <w:p w14:paraId="343B4641" w14:textId="77777777" w:rsidR="004B4187" w:rsidRPr="004B4187" w:rsidRDefault="004B4187" w:rsidP="004B4187">
      <w:pPr>
        <w:pStyle w:val="EndNoteBibliography"/>
      </w:pPr>
      <w:r w:rsidRPr="004B4187">
        <w:t xml:space="preserve">3. Arnold LM, Stephenson J, Kelly R, Buchanan D, Jones G, Hillmen P. Home infusion of eculizumab: a unique and innovative model of drug delivery to reduce treatment-associated burden and enhance quality of life for patients with PNH. Blood. 2008;112(11):4671. </w:t>
      </w:r>
    </w:p>
    <w:p w14:paraId="318AFA27" w14:textId="77777777" w:rsidR="004B4187" w:rsidRPr="004B4187" w:rsidRDefault="004B4187" w:rsidP="004B4187">
      <w:pPr>
        <w:pStyle w:val="EndNoteBibliography"/>
      </w:pPr>
      <w:r w:rsidRPr="004B4187">
        <w:t>4. Lloyd AJ, Gallop K, Ali S, Myren KJ, Sierra JR, Anokhina K et al. Preference weights for quality-adjusted life-years estimation for treatments of paroxysmal nocturnal hemoglobinuria in the United Kingdom. Value Health. 2019;22 (Suppl 3):S902. doi:10.1016/j.jval.2019.09.2637.</w:t>
      </w:r>
    </w:p>
    <w:p w14:paraId="3E7ADD67" w14:textId="77777777" w:rsidR="004B4187" w:rsidRPr="004B4187" w:rsidRDefault="004B4187" w:rsidP="004B4187">
      <w:pPr>
        <w:pStyle w:val="EndNoteBibliography"/>
      </w:pPr>
      <w:r w:rsidRPr="004B4187">
        <w:t>5. Lloyd AJ, Gallop K, Ali S, Hughes D, MacCulloch A. Social preference weights for treatments in Fabry disease in the UK: a discrete choice experiment. Curr Med Res Opin. 2017;33(1):23–9. doi:10.1080/03007995.2016.1232704.</w:t>
      </w:r>
    </w:p>
    <w:p w14:paraId="346E4C7B" w14:textId="7EB95A83" w:rsidR="004B4187" w:rsidRPr="004B4187" w:rsidRDefault="004B4187" w:rsidP="004B4187">
      <w:pPr>
        <w:pStyle w:val="EndNoteBibliography"/>
      </w:pPr>
      <w:r w:rsidRPr="004B4187">
        <w:t xml:space="preserve">6. Office for National Statistics (ONS). National life tables, UK: 2015 to 2017. Available from: </w:t>
      </w:r>
      <w:hyperlink r:id="rId12" w:history="1">
        <w:r w:rsidRPr="004B4187">
          <w:rPr>
            <w:rStyle w:val="Hyperlink"/>
          </w:rPr>
          <w:t>https://www.ons.gov.uk/peoplepopulationandcommunity/birthsdeathsandmarriages/lifeexpectancies/bulletins/nationallifetablesunitedkingdom/2015to2017</w:t>
        </w:r>
      </w:hyperlink>
      <w:r w:rsidRPr="004B4187">
        <w:t xml:space="preserve"> (Accessed April 2020) </w:t>
      </w:r>
    </w:p>
    <w:p w14:paraId="650C4F8F" w14:textId="77777777" w:rsidR="004B4187" w:rsidRPr="004B4187" w:rsidRDefault="004B4187" w:rsidP="004B4187">
      <w:pPr>
        <w:pStyle w:val="EndNoteBibliography"/>
      </w:pPr>
      <w:r w:rsidRPr="004B4187">
        <w:t xml:space="preserve">7. Briggs A, Sculpher M, Claxton K. Decision modelling for health economic evaluation. 1st ed. New York: Oxford University Press, 2006. </w:t>
      </w:r>
    </w:p>
    <w:p w14:paraId="2DDA838C" w14:textId="0678D83D" w:rsidR="009B131E" w:rsidRDefault="0066276C" w:rsidP="002F0E3B">
      <w:pPr>
        <w:rPr>
          <w:rFonts w:cstheme="minorHAnsi"/>
        </w:rPr>
      </w:pPr>
      <w:r>
        <w:rPr>
          <w:rFonts w:cstheme="minorHAnsi"/>
        </w:rPr>
        <w:fldChar w:fldCharType="end"/>
      </w:r>
    </w:p>
    <w:sectPr w:rsidR="009B131E" w:rsidSect="009E23C1">
      <w:pgSz w:w="11906" w:h="16838" w:code="15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DE0CB" w14:textId="77777777" w:rsidR="00DB1735" w:rsidRDefault="00DB1735" w:rsidP="00872BEF">
      <w:r>
        <w:separator/>
      </w:r>
    </w:p>
  </w:endnote>
  <w:endnote w:type="continuationSeparator" w:id="0">
    <w:p w14:paraId="346FD369" w14:textId="77777777" w:rsidR="00DB1735" w:rsidRDefault="00DB1735" w:rsidP="00872BEF">
      <w:r>
        <w:continuationSeparator/>
      </w:r>
    </w:p>
  </w:endnote>
  <w:endnote w:type="continuationNotice" w:id="1">
    <w:p w14:paraId="5732C4A7" w14:textId="77777777" w:rsidR="00DB1735" w:rsidRDefault="00DB17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545750"/>
      <w:docPartObj>
        <w:docPartGallery w:val="Page Numbers (Bottom of Page)"/>
        <w:docPartUnique/>
      </w:docPartObj>
    </w:sdtPr>
    <w:sdtEndPr>
      <w:rPr>
        <w:noProof/>
      </w:rPr>
    </w:sdtEndPr>
    <w:sdtContent>
      <w:p w14:paraId="3DFEC0A1" w14:textId="718AFDD2" w:rsidR="00DB1735" w:rsidRDefault="00DB1735" w:rsidP="001A2252">
        <w:pPr>
          <w:pStyle w:val="Footer"/>
          <w:tabs>
            <w:tab w:val="left" w:pos="240"/>
          </w:tabs>
        </w:pPr>
        <w:r>
          <w:tab/>
        </w:r>
        <w:r>
          <w:tab/>
        </w:r>
        <w:r>
          <w:tab/>
        </w:r>
        <w:r>
          <w:fldChar w:fldCharType="begin"/>
        </w:r>
        <w:r>
          <w:instrText xml:space="preserve"> PAGE   \* MERGEFORMAT </w:instrText>
        </w:r>
        <w:r>
          <w:fldChar w:fldCharType="separate"/>
        </w:r>
        <w:r>
          <w:rPr>
            <w:noProof/>
          </w:rPr>
          <w:t>2</w:t>
        </w:r>
        <w:r>
          <w:rPr>
            <w:noProof/>
          </w:rPr>
          <w:fldChar w:fldCharType="end"/>
        </w:r>
      </w:p>
    </w:sdtContent>
  </w:sdt>
  <w:p w14:paraId="0942F8D2" w14:textId="1C485174" w:rsidR="00DB1735" w:rsidRDefault="00DB1735" w:rsidP="0087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7E8C6" w14:textId="77777777" w:rsidR="00DB1735" w:rsidRDefault="00DB1735" w:rsidP="00872BEF">
      <w:r>
        <w:separator/>
      </w:r>
    </w:p>
  </w:footnote>
  <w:footnote w:type="continuationSeparator" w:id="0">
    <w:p w14:paraId="598D2427" w14:textId="77777777" w:rsidR="00DB1735" w:rsidRDefault="00DB1735" w:rsidP="00872BEF">
      <w:r>
        <w:continuationSeparator/>
      </w:r>
    </w:p>
  </w:footnote>
  <w:footnote w:type="continuationNotice" w:id="1">
    <w:p w14:paraId="19B6E939" w14:textId="77777777" w:rsidR="00DB1735" w:rsidRDefault="00DB1735">
      <w:pPr>
        <w:spacing w:line="240" w:lineRule="auto"/>
      </w:pPr>
    </w:p>
  </w:footnote>
  <w:footnote w:id="2">
    <w:p w14:paraId="224A1DFC" w14:textId="77777777" w:rsidR="00DB1735" w:rsidRDefault="00DB1735" w:rsidP="00241342">
      <w:pPr>
        <w:pStyle w:val="FootnoteText"/>
      </w:pPr>
      <w:r>
        <w:rPr>
          <w:rStyle w:val="FootnoteReference"/>
        </w:rPr>
        <w:footnoteRef/>
      </w:r>
      <w:r>
        <w:t xml:space="preserve"> The mixed-effects logistic regression model expands on the standard conditional logistic regression model by including fixed and random effects, allowing for estimation of parameters as random variables (i.e., coefficients are not fixed, but instead conform to a normal distribution across individuals in the analysis) and clustering of errors by individual. The mixed-effects model thus allows for different individuals in the analysis to have different preferences (i.e., values of parameter/coefficient estimates).</w:t>
      </w:r>
    </w:p>
  </w:footnote>
  <w:footnote w:id="3">
    <w:p w14:paraId="106D0785" w14:textId="30A15879" w:rsidR="00DB1735" w:rsidRDefault="00DB1735" w:rsidP="00241342">
      <w:pPr>
        <w:pStyle w:val="FootnoteText"/>
      </w:pPr>
      <w:r w:rsidRPr="004B4187">
        <w:rPr>
          <w:rStyle w:val="FootnoteReference"/>
        </w:rPr>
        <w:footnoteRef/>
      </w:r>
      <w:r w:rsidRPr="004B4187">
        <w:t xml:space="preserve"> The standard error is calculated based on the standard error of the coefficient for treatment administration from the mixed-effects logistic-regression, 0.072. The disutility of </w:t>
      </w:r>
      <w:r w:rsidR="0066276C" w:rsidRPr="004B4187">
        <w:t>–</w:t>
      </w:r>
      <w:r w:rsidRPr="004B4187">
        <w:t>0.057 is calculated by multiplying the coefficient value by (1 / (0.2914 x 31.2)); the standard error of the disutility is therefore approximated as 0.072 x (1 / (0.2914 x 31.2)) = 0.008.</w:t>
      </w:r>
    </w:p>
  </w:footnote>
  <w:footnote w:id="4">
    <w:p w14:paraId="44D6FA39" w14:textId="77777777" w:rsidR="00DB1735" w:rsidRPr="00414A61" w:rsidRDefault="00DB1735" w:rsidP="007F3FBA">
      <w:pPr>
        <w:pStyle w:val="FootnoteText"/>
        <w:rPr>
          <w:lang w:val="en-US"/>
        </w:rPr>
      </w:pPr>
      <w:r>
        <w:rPr>
          <w:rStyle w:val="FootnoteReference"/>
        </w:rPr>
        <w:footnoteRef/>
      </w:r>
      <w:r>
        <w:t xml:space="preserve"> “the beta distribution is a natural choice for representing uncertainty in a probability parameter where the data informing that parameter are binomial.”</w:t>
      </w:r>
    </w:p>
  </w:footnote>
  <w:footnote w:id="5">
    <w:p w14:paraId="064A33C7" w14:textId="77777777" w:rsidR="00DB1735" w:rsidRPr="00414A61" w:rsidRDefault="00DB1735" w:rsidP="007F3FBA">
      <w:pPr>
        <w:pStyle w:val="FootnoteText"/>
        <w:rPr>
          <w:lang w:val="en-US"/>
        </w:rPr>
      </w:pPr>
      <w:r>
        <w:rPr>
          <w:rStyle w:val="FootnoteReference"/>
        </w:rPr>
        <w:footnoteRef/>
      </w:r>
      <w:r>
        <w:t xml:space="preserve"> “Instead of having binomial data, it is often common for the data to be divided into a number of categories; that is, the data are multinomial. […] The Dirichlet distribution, which is the multivariate generalization of the beta distribution with parameters equal to the number of categories in the multinomial distribution, can be used to represent, in a probabilistic fashion, [a multinomial parameter].”</w:t>
      </w:r>
    </w:p>
  </w:footnote>
  <w:footnote w:id="6">
    <w:p w14:paraId="67B10F50" w14:textId="6FF3ADF9" w:rsidR="00DB1735" w:rsidRPr="00414A61" w:rsidRDefault="00DB1735" w:rsidP="007F3FBA">
      <w:pPr>
        <w:pStyle w:val="FootnoteText"/>
        <w:rPr>
          <w:lang w:val="en-US"/>
        </w:rPr>
      </w:pPr>
      <w:r>
        <w:rPr>
          <w:rStyle w:val="FootnoteReference"/>
        </w:rPr>
        <w:footnoteRef/>
      </w:r>
      <w:r>
        <w:t xml:space="preserve"> “cost data are constrained to be non-negative and are made up of counts of resource use weighted by unit costs. Count data are often represented by the Poisson distribution (which is discrete) in standard statistical methods. The gamma distribution […] is conjugate to the Poisson, which means that posterior parameter distributions for Poisson data are often characterized by gamma distributions […] This suggests that a gamma distribution, which is constrained on the interval 0 to positive infinity, might be used to represent uncertainty in cost parameters.”</w:t>
      </w:r>
    </w:p>
  </w:footnote>
  <w:footnote w:id="7">
    <w:p w14:paraId="0EA56ED8" w14:textId="77777777" w:rsidR="00DB1735" w:rsidRPr="00414A61" w:rsidRDefault="00DB1735" w:rsidP="007F3FBA">
      <w:pPr>
        <w:pStyle w:val="FootnoteText"/>
        <w:rPr>
          <w:lang w:val="en-US"/>
        </w:rPr>
      </w:pPr>
      <w:r>
        <w:rPr>
          <w:rStyle w:val="FootnoteReference"/>
        </w:rPr>
        <w:footnoteRef/>
      </w:r>
      <w:r>
        <w:t xml:space="preserve"> “The theoretical constraints on utility parameters in terms of their construction are infinity at the lower end (representing the worst possible health state) and 1 at the upper end (representing perfect health). A pragmatic approach, often employed when health states are far from zero, is to use a beta distribution. However, this is not appropriate for states close to death where values less than one are possible.”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C72BC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D03DC"/>
    <w:multiLevelType w:val="hybridMultilevel"/>
    <w:tmpl w:val="61D0E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72CCD"/>
    <w:multiLevelType w:val="multilevel"/>
    <w:tmpl w:val="98CEBB7E"/>
    <w:lvl w:ilvl="0">
      <w:start w:val="1"/>
      <w:numFmt w:val="decimal"/>
      <w:pStyle w:val="Numberedheading1"/>
      <w:lvlText w:val="%1."/>
      <w:lvlJc w:val="left"/>
      <w:pPr>
        <w:ind w:left="360" w:hanging="360"/>
      </w:pPr>
    </w:lvl>
    <w:lvl w:ilvl="1">
      <w:start w:val="1"/>
      <w:numFmt w:val="decimal"/>
      <w:pStyle w:val="Numberedheading2"/>
      <w:lvlText w:val="%1.%2."/>
      <w:lvlJc w:val="left"/>
      <w:pPr>
        <w:ind w:left="792" w:hanging="432"/>
      </w:pPr>
    </w:lvl>
    <w:lvl w:ilvl="2">
      <w:start w:val="1"/>
      <w:numFmt w:val="decimal"/>
      <w:pStyle w:val="Numberedheading3"/>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90B4C"/>
    <w:multiLevelType w:val="hybridMultilevel"/>
    <w:tmpl w:val="38A2F984"/>
    <w:lvl w:ilvl="0" w:tplc="0226BD94">
      <w:start w:val="1"/>
      <w:numFmt w:val="bullet"/>
      <w:pStyle w:val="Bulleted"/>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401D3"/>
    <w:multiLevelType w:val="hybridMultilevel"/>
    <w:tmpl w:val="89866FA2"/>
    <w:lvl w:ilvl="0" w:tplc="DB7CAA9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A1DC0"/>
    <w:multiLevelType w:val="hybridMultilevel"/>
    <w:tmpl w:val="00D2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E37D0"/>
    <w:multiLevelType w:val="hybridMultilevel"/>
    <w:tmpl w:val="BE50A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E5C17"/>
    <w:multiLevelType w:val="multilevel"/>
    <w:tmpl w:val="CBFC3770"/>
    <w:lvl w:ilvl="0">
      <w:start w:val="1"/>
      <w:numFmt w:val="bullet"/>
      <w:pStyle w:val="ListParagraph"/>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color w:val="auto"/>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2D4A38B2"/>
    <w:multiLevelType w:val="hybridMultilevel"/>
    <w:tmpl w:val="63C60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7321C7"/>
    <w:multiLevelType w:val="multilevel"/>
    <w:tmpl w:val="DAFEBE6C"/>
    <w:styleLink w:val="Style1"/>
    <w:lvl w:ilvl="0">
      <w:numFmt w:val="bullet"/>
      <w:lvlText w:val="•"/>
      <w:lvlJc w:val="left"/>
      <w:pPr>
        <w:ind w:left="720" w:hanging="363"/>
      </w:pPr>
      <w:rPr>
        <w:rFonts w:ascii="Times New Roman" w:hAnsi="Times New Roman" w:cs="Times New Roman" w:hint="default"/>
      </w:rPr>
    </w:lvl>
    <w:lvl w:ilvl="1">
      <w:start w:val="1"/>
      <w:numFmt w:val="bullet"/>
      <w:lvlText w:val="–"/>
      <w:lvlJc w:val="left"/>
      <w:pPr>
        <w:ind w:left="1077" w:hanging="363"/>
      </w:pPr>
      <w:rPr>
        <w:rFonts w:ascii="Arial" w:hAnsi="Arial" w:hint="default"/>
        <w:color w:val="auto"/>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10" w15:restartNumberingAfterBreak="0">
    <w:nsid w:val="32A4791A"/>
    <w:multiLevelType w:val="multilevel"/>
    <w:tmpl w:val="39C47B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0C49DC"/>
    <w:multiLevelType w:val="hybridMultilevel"/>
    <w:tmpl w:val="E4CAC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7B673C"/>
    <w:multiLevelType w:val="hybridMultilevel"/>
    <w:tmpl w:val="C562E508"/>
    <w:lvl w:ilvl="0" w:tplc="EB6AF63C">
      <w:start w:val="1"/>
      <w:numFmt w:val="decimal"/>
      <w:pStyle w:val="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056DC4"/>
    <w:multiLevelType w:val="multilevel"/>
    <w:tmpl w:val="9F7E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7"/>
  </w:num>
  <w:num w:numId="4">
    <w:abstractNumId w:val="9"/>
  </w:num>
  <w:num w:numId="5">
    <w:abstractNumId w:val="11"/>
  </w:num>
  <w:num w:numId="6">
    <w:abstractNumId w:val="6"/>
  </w:num>
  <w:num w:numId="7">
    <w:abstractNumId w:val="2"/>
  </w:num>
  <w:num w:numId="8">
    <w:abstractNumId w:val="13"/>
  </w:num>
  <w:num w:numId="9">
    <w:abstractNumId w:val="3"/>
  </w:num>
  <w:num w:numId="10">
    <w:abstractNumId w:val="5"/>
  </w:num>
  <w:num w:numId="11">
    <w:abstractNumId w:val="4"/>
  </w:num>
  <w:num w:numId="12">
    <w:abstractNumId w:val="1"/>
  </w:num>
  <w:num w:numId="13">
    <w:abstractNumId w:val="8"/>
  </w:num>
  <w:num w:numId="1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SpringerVancouver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refzer2v0rpoeetdnxva03z5eeefr2fzft&quot;&gt;Ravulizumab vs eculizumab CUA manuscript references&lt;record-ids&gt;&lt;item&gt;22&lt;/item&gt;&lt;item&gt;171&lt;/item&gt;&lt;item&gt;175&lt;/item&gt;&lt;item&gt;177&lt;/item&gt;&lt;item&gt;178&lt;/item&gt;&lt;item&gt;179&lt;/item&gt;&lt;item&gt;181&lt;/item&gt;&lt;/record-ids&gt;&lt;/item&gt;&lt;/Libraries&gt;"/>
  </w:docVars>
  <w:rsids>
    <w:rsidRoot w:val="001E0BE3"/>
    <w:rsid w:val="0000092E"/>
    <w:rsid w:val="00001390"/>
    <w:rsid w:val="000029A9"/>
    <w:rsid w:val="00006E09"/>
    <w:rsid w:val="00007BE9"/>
    <w:rsid w:val="00010FDD"/>
    <w:rsid w:val="00012CB9"/>
    <w:rsid w:val="0001346D"/>
    <w:rsid w:val="00013F32"/>
    <w:rsid w:val="00015DA4"/>
    <w:rsid w:val="00020C69"/>
    <w:rsid w:val="00023D32"/>
    <w:rsid w:val="00024AB7"/>
    <w:rsid w:val="00025000"/>
    <w:rsid w:val="00030FCB"/>
    <w:rsid w:val="00031CEE"/>
    <w:rsid w:val="000343CA"/>
    <w:rsid w:val="00040E6E"/>
    <w:rsid w:val="000457BF"/>
    <w:rsid w:val="00047DAA"/>
    <w:rsid w:val="00050295"/>
    <w:rsid w:val="0005381D"/>
    <w:rsid w:val="00053888"/>
    <w:rsid w:val="00054B29"/>
    <w:rsid w:val="000561DF"/>
    <w:rsid w:val="00060B59"/>
    <w:rsid w:val="000654FB"/>
    <w:rsid w:val="00065F71"/>
    <w:rsid w:val="000677EE"/>
    <w:rsid w:val="00071C0F"/>
    <w:rsid w:val="00071FFD"/>
    <w:rsid w:val="000738C7"/>
    <w:rsid w:val="000772D0"/>
    <w:rsid w:val="00080DF9"/>
    <w:rsid w:val="00080ED5"/>
    <w:rsid w:val="000876AD"/>
    <w:rsid w:val="000910F0"/>
    <w:rsid w:val="00091F24"/>
    <w:rsid w:val="00092556"/>
    <w:rsid w:val="00092859"/>
    <w:rsid w:val="000930ED"/>
    <w:rsid w:val="00095FC5"/>
    <w:rsid w:val="0009692F"/>
    <w:rsid w:val="0009749D"/>
    <w:rsid w:val="00097D1F"/>
    <w:rsid w:val="000A0C9F"/>
    <w:rsid w:val="000A1744"/>
    <w:rsid w:val="000A17DF"/>
    <w:rsid w:val="000A377D"/>
    <w:rsid w:val="000A50B3"/>
    <w:rsid w:val="000A761D"/>
    <w:rsid w:val="000A7FE4"/>
    <w:rsid w:val="000B0FF7"/>
    <w:rsid w:val="000B22E2"/>
    <w:rsid w:val="000B6BAA"/>
    <w:rsid w:val="000C2089"/>
    <w:rsid w:val="000C2CF0"/>
    <w:rsid w:val="000C2F0F"/>
    <w:rsid w:val="000C6847"/>
    <w:rsid w:val="000C7DBB"/>
    <w:rsid w:val="000D23B4"/>
    <w:rsid w:val="000D4B91"/>
    <w:rsid w:val="000D5807"/>
    <w:rsid w:val="000D6B3B"/>
    <w:rsid w:val="000D6E87"/>
    <w:rsid w:val="000E4024"/>
    <w:rsid w:val="000E40F3"/>
    <w:rsid w:val="000E5BDE"/>
    <w:rsid w:val="000F01DC"/>
    <w:rsid w:val="000F0B75"/>
    <w:rsid w:val="000F2670"/>
    <w:rsid w:val="000F55D6"/>
    <w:rsid w:val="001002EC"/>
    <w:rsid w:val="00101D84"/>
    <w:rsid w:val="001022FA"/>
    <w:rsid w:val="001051DA"/>
    <w:rsid w:val="00107008"/>
    <w:rsid w:val="00115EED"/>
    <w:rsid w:val="00116950"/>
    <w:rsid w:val="001208A0"/>
    <w:rsid w:val="00124924"/>
    <w:rsid w:val="0012621B"/>
    <w:rsid w:val="001305F9"/>
    <w:rsid w:val="00130F12"/>
    <w:rsid w:val="001315CC"/>
    <w:rsid w:val="00131D37"/>
    <w:rsid w:val="001321C1"/>
    <w:rsid w:val="0013414F"/>
    <w:rsid w:val="00135971"/>
    <w:rsid w:val="00135A03"/>
    <w:rsid w:val="00140105"/>
    <w:rsid w:val="00141D15"/>
    <w:rsid w:val="0014247C"/>
    <w:rsid w:val="00143396"/>
    <w:rsid w:val="0014424C"/>
    <w:rsid w:val="00145AD7"/>
    <w:rsid w:val="00145EC3"/>
    <w:rsid w:val="00150737"/>
    <w:rsid w:val="00151046"/>
    <w:rsid w:val="001511E9"/>
    <w:rsid w:val="00152A85"/>
    <w:rsid w:val="00154551"/>
    <w:rsid w:val="001548CD"/>
    <w:rsid w:val="001558F3"/>
    <w:rsid w:val="00155D4E"/>
    <w:rsid w:val="00161EBE"/>
    <w:rsid w:val="001653A2"/>
    <w:rsid w:val="0016764D"/>
    <w:rsid w:val="00167FB9"/>
    <w:rsid w:val="001707AF"/>
    <w:rsid w:val="00170A66"/>
    <w:rsid w:val="001710E3"/>
    <w:rsid w:val="00177F73"/>
    <w:rsid w:val="00181999"/>
    <w:rsid w:val="00181B61"/>
    <w:rsid w:val="00182877"/>
    <w:rsid w:val="00182FB9"/>
    <w:rsid w:val="00183C40"/>
    <w:rsid w:val="001865F3"/>
    <w:rsid w:val="001872FF"/>
    <w:rsid w:val="0019193C"/>
    <w:rsid w:val="0019288F"/>
    <w:rsid w:val="00193167"/>
    <w:rsid w:val="00193474"/>
    <w:rsid w:val="00196295"/>
    <w:rsid w:val="001969B5"/>
    <w:rsid w:val="001A2252"/>
    <w:rsid w:val="001A3CA9"/>
    <w:rsid w:val="001A3DCA"/>
    <w:rsid w:val="001A4518"/>
    <w:rsid w:val="001A565D"/>
    <w:rsid w:val="001A64DC"/>
    <w:rsid w:val="001A656B"/>
    <w:rsid w:val="001B2FA7"/>
    <w:rsid w:val="001B7FA7"/>
    <w:rsid w:val="001C046C"/>
    <w:rsid w:val="001C7736"/>
    <w:rsid w:val="001C7C7E"/>
    <w:rsid w:val="001D248E"/>
    <w:rsid w:val="001D271C"/>
    <w:rsid w:val="001D6346"/>
    <w:rsid w:val="001E01DE"/>
    <w:rsid w:val="001E0BE3"/>
    <w:rsid w:val="001E14FB"/>
    <w:rsid w:val="001E2AA5"/>
    <w:rsid w:val="001E353D"/>
    <w:rsid w:val="001E7953"/>
    <w:rsid w:val="001F0034"/>
    <w:rsid w:val="001F0A5D"/>
    <w:rsid w:val="001F136A"/>
    <w:rsid w:val="001F1694"/>
    <w:rsid w:val="001F2452"/>
    <w:rsid w:val="001F2FAD"/>
    <w:rsid w:val="001F361F"/>
    <w:rsid w:val="00203FAF"/>
    <w:rsid w:val="00204E28"/>
    <w:rsid w:val="002055D5"/>
    <w:rsid w:val="00210B6E"/>
    <w:rsid w:val="00214E6F"/>
    <w:rsid w:val="0021549D"/>
    <w:rsid w:val="00216C3A"/>
    <w:rsid w:val="00223D89"/>
    <w:rsid w:val="002267C4"/>
    <w:rsid w:val="00232103"/>
    <w:rsid w:val="002325C6"/>
    <w:rsid w:val="00234BD2"/>
    <w:rsid w:val="00235A9A"/>
    <w:rsid w:val="00241342"/>
    <w:rsid w:val="00242151"/>
    <w:rsid w:val="00244CEA"/>
    <w:rsid w:val="0024770F"/>
    <w:rsid w:val="00250912"/>
    <w:rsid w:val="00255E17"/>
    <w:rsid w:val="002602B2"/>
    <w:rsid w:val="002639DE"/>
    <w:rsid w:val="00266454"/>
    <w:rsid w:val="00267853"/>
    <w:rsid w:val="00271726"/>
    <w:rsid w:val="002807FA"/>
    <w:rsid w:val="00283754"/>
    <w:rsid w:val="002837C8"/>
    <w:rsid w:val="00285AA8"/>
    <w:rsid w:val="002868CC"/>
    <w:rsid w:val="00287B52"/>
    <w:rsid w:val="00290EDC"/>
    <w:rsid w:val="00292198"/>
    <w:rsid w:val="00295A4C"/>
    <w:rsid w:val="002A1105"/>
    <w:rsid w:val="002A1B07"/>
    <w:rsid w:val="002A2753"/>
    <w:rsid w:val="002A39B5"/>
    <w:rsid w:val="002A5FB6"/>
    <w:rsid w:val="002B2B6A"/>
    <w:rsid w:val="002B4281"/>
    <w:rsid w:val="002B6780"/>
    <w:rsid w:val="002C0289"/>
    <w:rsid w:val="002C519F"/>
    <w:rsid w:val="002C755B"/>
    <w:rsid w:val="002D15EF"/>
    <w:rsid w:val="002D2189"/>
    <w:rsid w:val="002D21F5"/>
    <w:rsid w:val="002D3345"/>
    <w:rsid w:val="002E4D30"/>
    <w:rsid w:val="002E5ED6"/>
    <w:rsid w:val="002F0E3B"/>
    <w:rsid w:val="002F4644"/>
    <w:rsid w:val="002F4C4B"/>
    <w:rsid w:val="002F5869"/>
    <w:rsid w:val="002F6B08"/>
    <w:rsid w:val="002F6C23"/>
    <w:rsid w:val="00302084"/>
    <w:rsid w:val="00303DD4"/>
    <w:rsid w:val="00304240"/>
    <w:rsid w:val="0030562E"/>
    <w:rsid w:val="00307D23"/>
    <w:rsid w:val="00310075"/>
    <w:rsid w:val="00310490"/>
    <w:rsid w:val="0031083A"/>
    <w:rsid w:val="00311B9B"/>
    <w:rsid w:val="003150BA"/>
    <w:rsid w:val="00317E0D"/>
    <w:rsid w:val="00320C28"/>
    <w:rsid w:val="00321303"/>
    <w:rsid w:val="003260BE"/>
    <w:rsid w:val="003260EF"/>
    <w:rsid w:val="00326105"/>
    <w:rsid w:val="0032791D"/>
    <w:rsid w:val="00330305"/>
    <w:rsid w:val="00331222"/>
    <w:rsid w:val="0033320B"/>
    <w:rsid w:val="00334402"/>
    <w:rsid w:val="00336D94"/>
    <w:rsid w:val="003467D7"/>
    <w:rsid w:val="00347DD8"/>
    <w:rsid w:val="003517A7"/>
    <w:rsid w:val="0035322E"/>
    <w:rsid w:val="00353A65"/>
    <w:rsid w:val="0035435C"/>
    <w:rsid w:val="00354ADD"/>
    <w:rsid w:val="00361B56"/>
    <w:rsid w:val="00362B91"/>
    <w:rsid w:val="00363876"/>
    <w:rsid w:val="00364C41"/>
    <w:rsid w:val="00366CB9"/>
    <w:rsid w:val="00367634"/>
    <w:rsid w:val="003724AA"/>
    <w:rsid w:val="00372706"/>
    <w:rsid w:val="0037286B"/>
    <w:rsid w:val="003742C6"/>
    <w:rsid w:val="003769C4"/>
    <w:rsid w:val="00384D2E"/>
    <w:rsid w:val="00396F57"/>
    <w:rsid w:val="003A4720"/>
    <w:rsid w:val="003A5FCF"/>
    <w:rsid w:val="003B3960"/>
    <w:rsid w:val="003B3E24"/>
    <w:rsid w:val="003B4510"/>
    <w:rsid w:val="003B588C"/>
    <w:rsid w:val="003B6C53"/>
    <w:rsid w:val="003B7A3B"/>
    <w:rsid w:val="003C0838"/>
    <w:rsid w:val="003C2F6D"/>
    <w:rsid w:val="003C665B"/>
    <w:rsid w:val="003C69EB"/>
    <w:rsid w:val="003C6BA0"/>
    <w:rsid w:val="003D3AB7"/>
    <w:rsid w:val="003D46D4"/>
    <w:rsid w:val="003D7934"/>
    <w:rsid w:val="003E02A6"/>
    <w:rsid w:val="003E2BD0"/>
    <w:rsid w:val="003E541D"/>
    <w:rsid w:val="003E58F9"/>
    <w:rsid w:val="003E7274"/>
    <w:rsid w:val="003F17AF"/>
    <w:rsid w:val="003F2C98"/>
    <w:rsid w:val="003F5251"/>
    <w:rsid w:val="0040028A"/>
    <w:rsid w:val="0040303C"/>
    <w:rsid w:val="00404943"/>
    <w:rsid w:val="00406623"/>
    <w:rsid w:val="00406877"/>
    <w:rsid w:val="00407AC7"/>
    <w:rsid w:val="00407F30"/>
    <w:rsid w:val="004127D5"/>
    <w:rsid w:val="0041415F"/>
    <w:rsid w:val="004153DA"/>
    <w:rsid w:val="00416997"/>
    <w:rsid w:val="00417207"/>
    <w:rsid w:val="004172C2"/>
    <w:rsid w:val="004213E8"/>
    <w:rsid w:val="00422A05"/>
    <w:rsid w:val="004236C0"/>
    <w:rsid w:val="004250A2"/>
    <w:rsid w:val="004279BE"/>
    <w:rsid w:val="004304DD"/>
    <w:rsid w:val="00432CB6"/>
    <w:rsid w:val="00436AE7"/>
    <w:rsid w:val="00436AEB"/>
    <w:rsid w:val="00442267"/>
    <w:rsid w:val="00443449"/>
    <w:rsid w:val="004446F5"/>
    <w:rsid w:val="00444F87"/>
    <w:rsid w:val="004468DE"/>
    <w:rsid w:val="00447702"/>
    <w:rsid w:val="004505D5"/>
    <w:rsid w:val="004505E3"/>
    <w:rsid w:val="0045082E"/>
    <w:rsid w:val="00451D3D"/>
    <w:rsid w:val="0045711D"/>
    <w:rsid w:val="00457F61"/>
    <w:rsid w:val="00462253"/>
    <w:rsid w:val="00462982"/>
    <w:rsid w:val="00464A92"/>
    <w:rsid w:val="00466352"/>
    <w:rsid w:val="004678E2"/>
    <w:rsid w:val="00467A45"/>
    <w:rsid w:val="0047228B"/>
    <w:rsid w:val="00472313"/>
    <w:rsid w:val="004733BB"/>
    <w:rsid w:val="004765CE"/>
    <w:rsid w:val="004809F9"/>
    <w:rsid w:val="004863AA"/>
    <w:rsid w:val="004863E3"/>
    <w:rsid w:val="0049252C"/>
    <w:rsid w:val="00493A85"/>
    <w:rsid w:val="00495C29"/>
    <w:rsid w:val="00496A3F"/>
    <w:rsid w:val="004A01DE"/>
    <w:rsid w:val="004A2544"/>
    <w:rsid w:val="004A351C"/>
    <w:rsid w:val="004A3E37"/>
    <w:rsid w:val="004A503F"/>
    <w:rsid w:val="004B043A"/>
    <w:rsid w:val="004B4187"/>
    <w:rsid w:val="004B4C73"/>
    <w:rsid w:val="004B5BEE"/>
    <w:rsid w:val="004B6024"/>
    <w:rsid w:val="004B7314"/>
    <w:rsid w:val="004C08DF"/>
    <w:rsid w:val="004C3066"/>
    <w:rsid w:val="004C4542"/>
    <w:rsid w:val="004C5EB9"/>
    <w:rsid w:val="004D3EA8"/>
    <w:rsid w:val="004D5876"/>
    <w:rsid w:val="004D6054"/>
    <w:rsid w:val="004D66B7"/>
    <w:rsid w:val="004E037C"/>
    <w:rsid w:val="004E10A7"/>
    <w:rsid w:val="004E6A57"/>
    <w:rsid w:val="004E6BBC"/>
    <w:rsid w:val="004F0126"/>
    <w:rsid w:val="004F05C8"/>
    <w:rsid w:val="004F3ED3"/>
    <w:rsid w:val="00500B41"/>
    <w:rsid w:val="005017AA"/>
    <w:rsid w:val="00504E19"/>
    <w:rsid w:val="0050503D"/>
    <w:rsid w:val="0050640B"/>
    <w:rsid w:val="00506AB6"/>
    <w:rsid w:val="00506EA6"/>
    <w:rsid w:val="00507175"/>
    <w:rsid w:val="00510C6D"/>
    <w:rsid w:val="00510EAF"/>
    <w:rsid w:val="005112BD"/>
    <w:rsid w:val="00513020"/>
    <w:rsid w:val="00513C21"/>
    <w:rsid w:val="00515544"/>
    <w:rsid w:val="0052419F"/>
    <w:rsid w:val="00527574"/>
    <w:rsid w:val="00527816"/>
    <w:rsid w:val="0053134F"/>
    <w:rsid w:val="00533081"/>
    <w:rsid w:val="0053407F"/>
    <w:rsid w:val="0053451B"/>
    <w:rsid w:val="00535E94"/>
    <w:rsid w:val="0053711A"/>
    <w:rsid w:val="0054093E"/>
    <w:rsid w:val="00541F2E"/>
    <w:rsid w:val="00544D42"/>
    <w:rsid w:val="00547502"/>
    <w:rsid w:val="00555301"/>
    <w:rsid w:val="00555912"/>
    <w:rsid w:val="00555A8C"/>
    <w:rsid w:val="0055766D"/>
    <w:rsid w:val="005607EE"/>
    <w:rsid w:val="00561C2D"/>
    <w:rsid w:val="005638B2"/>
    <w:rsid w:val="00563927"/>
    <w:rsid w:val="00571CA3"/>
    <w:rsid w:val="00577F75"/>
    <w:rsid w:val="005811D3"/>
    <w:rsid w:val="00581DD8"/>
    <w:rsid w:val="0058273B"/>
    <w:rsid w:val="00582B60"/>
    <w:rsid w:val="00585B3F"/>
    <w:rsid w:val="0058782D"/>
    <w:rsid w:val="00591213"/>
    <w:rsid w:val="00591E51"/>
    <w:rsid w:val="00596395"/>
    <w:rsid w:val="005A1091"/>
    <w:rsid w:val="005A2E68"/>
    <w:rsid w:val="005A498B"/>
    <w:rsid w:val="005A72E4"/>
    <w:rsid w:val="005A75D1"/>
    <w:rsid w:val="005B2812"/>
    <w:rsid w:val="005B361B"/>
    <w:rsid w:val="005B67A8"/>
    <w:rsid w:val="005B793C"/>
    <w:rsid w:val="005B7A2F"/>
    <w:rsid w:val="005B7DA1"/>
    <w:rsid w:val="005C0DBE"/>
    <w:rsid w:val="005C2CAA"/>
    <w:rsid w:val="005C31EE"/>
    <w:rsid w:val="005D041F"/>
    <w:rsid w:val="005D0B2F"/>
    <w:rsid w:val="005D1DA8"/>
    <w:rsid w:val="005D7323"/>
    <w:rsid w:val="005D7D7A"/>
    <w:rsid w:val="005E0080"/>
    <w:rsid w:val="005E4BDF"/>
    <w:rsid w:val="005E7F11"/>
    <w:rsid w:val="005F1674"/>
    <w:rsid w:val="005F2BC3"/>
    <w:rsid w:val="005F4027"/>
    <w:rsid w:val="005F539D"/>
    <w:rsid w:val="005F76C3"/>
    <w:rsid w:val="00601B63"/>
    <w:rsid w:val="00603CF1"/>
    <w:rsid w:val="00605A08"/>
    <w:rsid w:val="00605AB2"/>
    <w:rsid w:val="00610DB7"/>
    <w:rsid w:val="0061190C"/>
    <w:rsid w:val="00616340"/>
    <w:rsid w:val="00617DD9"/>
    <w:rsid w:val="00620341"/>
    <w:rsid w:val="0062396E"/>
    <w:rsid w:val="00625544"/>
    <w:rsid w:val="0063114C"/>
    <w:rsid w:val="0063203E"/>
    <w:rsid w:val="00633392"/>
    <w:rsid w:val="00635421"/>
    <w:rsid w:val="00640881"/>
    <w:rsid w:val="006423D5"/>
    <w:rsid w:val="006426FF"/>
    <w:rsid w:val="00643770"/>
    <w:rsid w:val="00644767"/>
    <w:rsid w:val="00646B38"/>
    <w:rsid w:val="00650632"/>
    <w:rsid w:val="00650F27"/>
    <w:rsid w:val="00651067"/>
    <w:rsid w:val="0065278D"/>
    <w:rsid w:val="00652E71"/>
    <w:rsid w:val="0065426F"/>
    <w:rsid w:val="0066120D"/>
    <w:rsid w:val="00661C27"/>
    <w:rsid w:val="0066276C"/>
    <w:rsid w:val="0066426F"/>
    <w:rsid w:val="00665804"/>
    <w:rsid w:val="006659D7"/>
    <w:rsid w:val="006718E9"/>
    <w:rsid w:val="00674905"/>
    <w:rsid w:val="00674C90"/>
    <w:rsid w:val="006753D6"/>
    <w:rsid w:val="0067566A"/>
    <w:rsid w:val="006761C2"/>
    <w:rsid w:val="006762C6"/>
    <w:rsid w:val="0067681A"/>
    <w:rsid w:val="006901DB"/>
    <w:rsid w:val="00690936"/>
    <w:rsid w:val="0069111E"/>
    <w:rsid w:val="006916D2"/>
    <w:rsid w:val="00696362"/>
    <w:rsid w:val="006A0266"/>
    <w:rsid w:val="006A058F"/>
    <w:rsid w:val="006A0C2A"/>
    <w:rsid w:val="006A177F"/>
    <w:rsid w:val="006A1D53"/>
    <w:rsid w:val="006A3A63"/>
    <w:rsid w:val="006A4003"/>
    <w:rsid w:val="006A5A38"/>
    <w:rsid w:val="006A5E10"/>
    <w:rsid w:val="006A6F7F"/>
    <w:rsid w:val="006B2D4C"/>
    <w:rsid w:val="006B31A0"/>
    <w:rsid w:val="006B56E1"/>
    <w:rsid w:val="006C08FE"/>
    <w:rsid w:val="006C1378"/>
    <w:rsid w:val="006C2EF9"/>
    <w:rsid w:val="006C47B7"/>
    <w:rsid w:val="006C6F0C"/>
    <w:rsid w:val="006D0F4A"/>
    <w:rsid w:val="006D474F"/>
    <w:rsid w:val="006D4B5D"/>
    <w:rsid w:val="006E00DC"/>
    <w:rsid w:val="006E0A3D"/>
    <w:rsid w:val="006E25CF"/>
    <w:rsid w:val="006E60A8"/>
    <w:rsid w:val="006E6170"/>
    <w:rsid w:val="006E640D"/>
    <w:rsid w:val="006F014A"/>
    <w:rsid w:val="006F20F2"/>
    <w:rsid w:val="006F2519"/>
    <w:rsid w:val="006F6286"/>
    <w:rsid w:val="006F747B"/>
    <w:rsid w:val="007038DA"/>
    <w:rsid w:val="00704037"/>
    <w:rsid w:val="007042F9"/>
    <w:rsid w:val="0070619E"/>
    <w:rsid w:val="00714F58"/>
    <w:rsid w:val="00715C1D"/>
    <w:rsid w:val="00721CE4"/>
    <w:rsid w:val="00726F4D"/>
    <w:rsid w:val="00727DCA"/>
    <w:rsid w:val="0073386D"/>
    <w:rsid w:val="00734140"/>
    <w:rsid w:val="00734187"/>
    <w:rsid w:val="00734791"/>
    <w:rsid w:val="00740064"/>
    <w:rsid w:val="00747123"/>
    <w:rsid w:val="00747546"/>
    <w:rsid w:val="00747FF7"/>
    <w:rsid w:val="00750868"/>
    <w:rsid w:val="00750C69"/>
    <w:rsid w:val="00754E85"/>
    <w:rsid w:val="00756F13"/>
    <w:rsid w:val="00760AB4"/>
    <w:rsid w:val="007634EE"/>
    <w:rsid w:val="00763847"/>
    <w:rsid w:val="00764632"/>
    <w:rsid w:val="007724D7"/>
    <w:rsid w:val="007731BB"/>
    <w:rsid w:val="007731EE"/>
    <w:rsid w:val="00773A93"/>
    <w:rsid w:val="00774062"/>
    <w:rsid w:val="00774199"/>
    <w:rsid w:val="00782169"/>
    <w:rsid w:val="00783269"/>
    <w:rsid w:val="00784014"/>
    <w:rsid w:val="00785147"/>
    <w:rsid w:val="00786F8B"/>
    <w:rsid w:val="007911DA"/>
    <w:rsid w:val="00791622"/>
    <w:rsid w:val="00791AE5"/>
    <w:rsid w:val="00791E6B"/>
    <w:rsid w:val="007938EF"/>
    <w:rsid w:val="00793C28"/>
    <w:rsid w:val="00794B1A"/>
    <w:rsid w:val="007A1F8A"/>
    <w:rsid w:val="007A3B61"/>
    <w:rsid w:val="007A6735"/>
    <w:rsid w:val="007B367A"/>
    <w:rsid w:val="007B45DE"/>
    <w:rsid w:val="007B5014"/>
    <w:rsid w:val="007B51EB"/>
    <w:rsid w:val="007B76B0"/>
    <w:rsid w:val="007C23C4"/>
    <w:rsid w:val="007C3355"/>
    <w:rsid w:val="007C38FB"/>
    <w:rsid w:val="007C3A99"/>
    <w:rsid w:val="007C54A2"/>
    <w:rsid w:val="007C77C7"/>
    <w:rsid w:val="007D19B2"/>
    <w:rsid w:val="007D1AB3"/>
    <w:rsid w:val="007D214E"/>
    <w:rsid w:val="007D40D5"/>
    <w:rsid w:val="007D4F45"/>
    <w:rsid w:val="007D58D0"/>
    <w:rsid w:val="007D5F99"/>
    <w:rsid w:val="007D6F73"/>
    <w:rsid w:val="007F29A4"/>
    <w:rsid w:val="007F2D0A"/>
    <w:rsid w:val="007F2EDE"/>
    <w:rsid w:val="007F37AC"/>
    <w:rsid w:val="007F3FBA"/>
    <w:rsid w:val="007F42D1"/>
    <w:rsid w:val="007F49F1"/>
    <w:rsid w:val="00801A26"/>
    <w:rsid w:val="0080206E"/>
    <w:rsid w:val="00802E67"/>
    <w:rsid w:val="00803598"/>
    <w:rsid w:val="00803FF1"/>
    <w:rsid w:val="00804CBC"/>
    <w:rsid w:val="00805BB3"/>
    <w:rsid w:val="00812F09"/>
    <w:rsid w:val="00815680"/>
    <w:rsid w:val="00817A09"/>
    <w:rsid w:val="00817BE2"/>
    <w:rsid w:val="00817E10"/>
    <w:rsid w:val="00820CE1"/>
    <w:rsid w:val="00823E92"/>
    <w:rsid w:val="00832DE0"/>
    <w:rsid w:val="00836EEB"/>
    <w:rsid w:val="00841453"/>
    <w:rsid w:val="008418D9"/>
    <w:rsid w:val="00843B16"/>
    <w:rsid w:val="0084481C"/>
    <w:rsid w:val="00845957"/>
    <w:rsid w:val="008461DF"/>
    <w:rsid w:val="0084645E"/>
    <w:rsid w:val="008478ED"/>
    <w:rsid w:val="008503DC"/>
    <w:rsid w:val="008505FA"/>
    <w:rsid w:val="00854AE7"/>
    <w:rsid w:val="00854EC1"/>
    <w:rsid w:val="00855078"/>
    <w:rsid w:val="00855ED9"/>
    <w:rsid w:val="00872BEF"/>
    <w:rsid w:val="00873DC3"/>
    <w:rsid w:val="00875409"/>
    <w:rsid w:val="0087756F"/>
    <w:rsid w:val="008815AD"/>
    <w:rsid w:val="00881888"/>
    <w:rsid w:val="008820D5"/>
    <w:rsid w:val="008848A1"/>
    <w:rsid w:val="00884E37"/>
    <w:rsid w:val="00885468"/>
    <w:rsid w:val="0088669F"/>
    <w:rsid w:val="00886763"/>
    <w:rsid w:val="00890915"/>
    <w:rsid w:val="00891B4F"/>
    <w:rsid w:val="008925AE"/>
    <w:rsid w:val="0089396F"/>
    <w:rsid w:val="0089429B"/>
    <w:rsid w:val="0089519C"/>
    <w:rsid w:val="00896BC9"/>
    <w:rsid w:val="008A08AB"/>
    <w:rsid w:val="008A104A"/>
    <w:rsid w:val="008A2DE5"/>
    <w:rsid w:val="008A39F2"/>
    <w:rsid w:val="008A70AB"/>
    <w:rsid w:val="008A7696"/>
    <w:rsid w:val="008B2283"/>
    <w:rsid w:val="008B38FE"/>
    <w:rsid w:val="008B39BB"/>
    <w:rsid w:val="008B3BA2"/>
    <w:rsid w:val="008B3D08"/>
    <w:rsid w:val="008B5508"/>
    <w:rsid w:val="008B679C"/>
    <w:rsid w:val="008C0964"/>
    <w:rsid w:val="008C1645"/>
    <w:rsid w:val="008C2B00"/>
    <w:rsid w:val="008C3565"/>
    <w:rsid w:val="008C39AC"/>
    <w:rsid w:val="008C69EB"/>
    <w:rsid w:val="008C75DC"/>
    <w:rsid w:val="008D1053"/>
    <w:rsid w:val="008D2471"/>
    <w:rsid w:val="008D2B17"/>
    <w:rsid w:val="008D328C"/>
    <w:rsid w:val="008D3A8A"/>
    <w:rsid w:val="008D3CA5"/>
    <w:rsid w:val="008D7DF5"/>
    <w:rsid w:val="008E0611"/>
    <w:rsid w:val="008E11C3"/>
    <w:rsid w:val="008E1452"/>
    <w:rsid w:val="008E52EC"/>
    <w:rsid w:val="008E5306"/>
    <w:rsid w:val="008E7813"/>
    <w:rsid w:val="008F210D"/>
    <w:rsid w:val="008F2FED"/>
    <w:rsid w:val="008F385F"/>
    <w:rsid w:val="008F3D34"/>
    <w:rsid w:val="008F47E2"/>
    <w:rsid w:val="008F634A"/>
    <w:rsid w:val="009005C5"/>
    <w:rsid w:val="00901B05"/>
    <w:rsid w:val="00902978"/>
    <w:rsid w:val="0090333F"/>
    <w:rsid w:val="00903E18"/>
    <w:rsid w:val="00904C90"/>
    <w:rsid w:val="00906371"/>
    <w:rsid w:val="00906969"/>
    <w:rsid w:val="00906E39"/>
    <w:rsid w:val="009127DE"/>
    <w:rsid w:val="00912AA9"/>
    <w:rsid w:val="00913392"/>
    <w:rsid w:val="009156EF"/>
    <w:rsid w:val="00921021"/>
    <w:rsid w:val="00923744"/>
    <w:rsid w:val="009237D5"/>
    <w:rsid w:val="00925D6D"/>
    <w:rsid w:val="00932FB1"/>
    <w:rsid w:val="009331CC"/>
    <w:rsid w:val="00933A49"/>
    <w:rsid w:val="009347FC"/>
    <w:rsid w:val="00936C68"/>
    <w:rsid w:val="00936FC6"/>
    <w:rsid w:val="00937159"/>
    <w:rsid w:val="00940B2D"/>
    <w:rsid w:val="00946299"/>
    <w:rsid w:val="00947F89"/>
    <w:rsid w:val="00951691"/>
    <w:rsid w:val="00953D22"/>
    <w:rsid w:val="009569ED"/>
    <w:rsid w:val="009570CD"/>
    <w:rsid w:val="00957714"/>
    <w:rsid w:val="00957B4A"/>
    <w:rsid w:val="00961D66"/>
    <w:rsid w:val="00961D88"/>
    <w:rsid w:val="00965EB0"/>
    <w:rsid w:val="00966576"/>
    <w:rsid w:val="00967F9D"/>
    <w:rsid w:val="009730C1"/>
    <w:rsid w:val="00974B3D"/>
    <w:rsid w:val="009758D5"/>
    <w:rsid w:val="00975A93"/>
    <w:rsid w:val="009762DC"/>
    <w:rsid w:val="0098166D"/>
    <w:rsid w:val="009817D6"/>
    <w:rsid w:val="00981A80"/>
    <w:rsid w:val="0098414D"/>
    <w:rsid w:val="009847D8"/>
    <w:rsid w:val="009862F2"/>
    <w:rsid w:val="00986A59"/>
    <w:rsid w:val="0099157A"/>
    <w:rsid w:val="00991A94"/>
    <w:rsid w:val="00993536"/>
    <w:rsid w:val="00993ECF"/>
    <w:rsid w:val="00994831"/>
    <w:rsid w:val="00995D58"/>
    <w:rsid w:val="00995F6A"/>
    <w:rsid w:val="009977B2"/>
    <w:rsid w:val="009A0254"/>
    <w:rsid w:val="009A0B2D"/>
    <w:rsid w:val="009A1AD5"/>
    <w:rsid w:val="009A1B2D"/>
    <w:rsid w:val="009A418F"/>
    <w:rsid w:val="009A6433"/>
    <w:rsid w:val="009A649A"/>
    <w:rsid w:val="009B131E"/>
    <w:rsid w:val="009B241C"/>
    <w:rsid w:val="009B59DF"/>
    <w:rsid w:val="009B6EAC"/>
    <w:rsid w:val="009B7D37"/>
    <w:rsid w:val="009C021A"/>
    <w:rsid w:val="009C1BF9"/>
    <w:rsid w:val="009C27E1"/>
    <w:rsid w:val="009C53D5"/>
    <w:rsid w:val="009C71F6"/>
    <w:rsid w:val="009D12BC"/>
    <w:rsid w:val="009D1899"/>
    <w:rsid w:val="009D3CB4"/>
    <w:rsid w:val="009E0712"/>
    <w:rsid w:val="009E14B3"/>
    <w:rsid w:val="009E23C1"/>
    <w:rsid w:val="009E3E36"/>
    <w:rsid w:val="009E519A"/>
    <w:rsid w:val="009E65E3"/>
    <w:rsid w:val="009E7279"/>
    <w:rsid w:val="009F1238"/>
    <w:rsid w:val="009F579C"/>
    <w:rsid w:val="00A0211C"/>
    <w:rsid w:val="00A0350C"/>
    <w:rsid w:val="00A04309"/>
    <w:rsid w:val="00A044CE"/>
    <w:rsid w:val="00A10C8A"/>
    <w:rsid w:val="00A10EB4"/>
    <w:rsid w:val="00A2127B"/>
    <w:rsid w:val="00A25EC2"/>
    <w:rsid w:val="00A26730"/>
    <w:rsid w:val="00A26FD7"/>
    <w:rsid w:val="00A31F06"/>
    <w:rsid w:val="00A3591F"/>
    <w:rsid w:val="00A359D1"/>
    <w:rsid w:val="00A36F60"/>
    <w:rsid w:val="00A40E78"/>
    <w:rsid w:val="00A41AD6"/>
    <w:rsid w:val="00A42D28"/>
    <w:rsid w:val="00A45194"/>
    <w:rsid w:val="00A5186E"/>
    <w:rsid w:val="00A51926"/>
    <w:rsid w:val="00A51DBD"/>
    <w:rsid w:val="00A53668"/>
    <w:rsid w:val="00A5581F"/>
    <w:rsid w:val="00A56EB5"/>
    <w:rsid w:val="00A571D4"/>
    <w:rsid w:val="00A5769A"/>
    <w:rsid w:val="00A6034F"/>
    <w:rsid w:val="00A61181"/>
    <w:rsid w:val="00A61283"/>
    <w:rsid w:val="00A61463"/>
    <w:rsid w:val="00A66265"/>
    <w:rsid w:val="00A67B6A"/>
    <w:rsid w:val="00A70593"/>
    <w:rsid w:val="00A7197B"/>
    <w:rsid w:val="00A77BCB"/>
    <w:rsid w:val="00A77D51"/>
    <w:rsid w:val="00A82EEF"/>
    <w:rsid w:val="00A841B9"/>
    <w:rsid w:val="00A85403"/>
    <w:rsid w:val="00A9104F"/>
    <w:rsid w:val="00A91161"/>
    <w:rsid w:val="00A9252D"/>
    <w:rsid w:val="00A9618D"/>
    <w:rsid w:val="00A9666D"/>
    <w:rsid w:val="00AA1417"/>
    <w:rsid w:val="00AA2DBC"/>
    <w:rsid w:val="00AA4439"/>
    <w:rsid w:val="00AA4FE1"/>
    <w:rsid w:val="00AA56F8"/>
    <w:rsid w:val="00AA7361"/>
    <w:rsid w:val="00AA7784"/>
    <w:rsid w:val="00AB1139"/>
    <w:rsid w:val="00AB15E6"/>
    <w:rsid w:val="00AB2646"/>
    <w:rsid w:val="00AB37CD"/>
    <w:rsid w:val="00AC0912"/>
    <w:rsid w:val="00AC3A7D"/>
    <w:rsid w:val="00AC483E"/>
    <w:rsid w:val="00AC4DEF"/>
    <w:rsid w:val="00AC7E4E"/>
    <w:rsid w:val="00AC7FD2"/>
    <w:rsid w:val="00AD32DF"/>
    <w:rsid w:val="00AD671D"/>
    <w:rsid w:val="00AE1BE1"/>
    <w:rsid w:val="00AE4BBC"/>
    <w:rsid w:val="00AE55E7"/>
    <w:rsid w:val="00AF3020"/>
    <w:rsid w:val="00AF4472"/>
    <w:rsid w:val="00B0214E"/>
    <w:rsid w:val="00B03D58"/>
    <w:rsid w:val="00B041EF"/>
    <w:rsid w:val="00B0548F"/>
    <w:rsid w:val="00B05831"/>
    <w:rsid w:val="00B12920"/>
    <w:rsid w:val="00B20598"/>
    <w:rsid w:val="00B2064A"/>
    <w:rsid w:val="00B20E5E"/>
    <w:rsid w:val="00B21478"/>
    <w:rsid w:val="00B22440"/>
    <w:rsid w:val="00B23E8B"/>
    <w:rsid w:val="00B24EDD"/>
    <w:rsid w:val="00B2782A"/>
    <w:rsid w:val="00B3041B"/>
    <w:rsid w:val="00B33FFD"/>
    <w:rsid w:val="00B3475C"/>
    <w:rsid w:val="00B35D74"/>
    <w:rsid w:val="00B40DBA"/>
    <w:rsid w:val="00B417D1"/>
    <w:rsid w:val="00B41B02"/>
    <w:rsid w:val="00B4788A"/>
    <w:rsid w:val="00B47A37"/>
    <w:rsid w:val="00B523F9"/>
    <w:rsid w:val="00B54A9D"/>
    <w:rsid w:val="00B55D67"/>
    <w:rsid w:val="00B62BB6"/>
    <w:rsid w:val="00B640CB"/>
    <w:rsid w:val="00B64A44"/>
    <w:rsid w:val="00B704E2"/>
    <w:rsid w:val="00B70673"/>
    <w:rsid w:val="00B7075E"/>
    <w:rsid w:val="00B70DE5"/>
    <w:rsid w:val="00B726B3"/>
    <w:rsid w:val="00B740D5"/>
    <w:rsid w:val="00B74A3C"/>
    <w:rsid w:val="00B75593"/>
    <w:rsid w:val="00B80531"/>
    <w:rsid w:val="00B84E02"/>
    <w:rsid w:val="00B86A0E"/>
    <w:rsid w:val="00B9193B"/>
    <w:rsid w:val="00B939FB"/>
    <w:rsid w:val="00B94B77"/>
    <w:rsid w:val="00BA03BC"/>
    <w:rsid w:val="00BA531F"/>
    <w:rsid w:val="00BA5391"/>
    <w:rsid w:val="00BA5D1A"/>
    <w:rsid w:val="00BB13B8"/>
    <w:rsid w:val="00BB4732"/>
    <w:rsid w:val="00BB6566"/>
    <w:rsid w:val="00BC1D3D"/>
    <w:rsid w:val="00BC23E4"/>
    <w:rsid w:val="00BC57C0"/>
    <w:rsid w:val="00BD326B"/>
    <w:rsid w:val="00BD36AC"/>
    <w:rsid w:val="00BE4FAF"/>
    <w:rsid w:val="00BE7B52"/>
    <w:rsid w:val="00BF0F94"/>
    <w:rsid w:val="00BF13DB"/>
    <w:rsid w:val="00BF16C7"/>
    <w:rsid w:val="00BF53C3"/>
    <w:rsid w:val="00C00C01"/>
    <w:rsid w:val="00C00C63"/>
    <w:rsid w:val="00C01871"/>
    <w:rsid w:val="00C01A7E"/>
    <w:rsid w:val="00C01B5C"/>
    <w:rsid w:val="00C04367"/>
    <w:rsid w:val="00C0488C"/>
    <w:rsid w:val="00C04FE0"/>
    <w:rsid w:val="00C05241"/>
    <w:rsid w:val="00C12389"/>
    <w:rsid w:val="00C12FA1"/>
    <w:rsid w:val="00C1412A"/>
    <w:rsid w:val="00C1449D"/>
    <w:rsid w:val="00C15AFE"/>
    <w:rsid w:val="00C16C8E"/>
    <w:rsid w:val="00C22784"/>
    <w:rsid w:val="00C24A15"/>
    <w:rsid w:val="00C26093"/>
    <w:rsid w:val="00C27985"/>
    <w:rsid w:val="00C27A80"/>
    <w:rsid w:val="00C32E54"/>
    <w:rsid w:val="00C347F3"/>
    <w:rsid w:val="00C34C01"/>
    <w:rsid w:val="00C34C88"/>
    <w:rsid w:val="00C363AA"/>
    <w:rsid w:val="00C4066B"/>
    <w:rsid w:val="00C522AD"/>
    <w:rsid w:val="00C52574"/>
    <w:rsid w:val="00C5289C"/>
    <w:rsid w:val="00C57D99"/>
    <w:rsid w:val="00C6191F"/>
    <w:rsid w:val="00C6336D"/>
    <w:rsid w:val="00C63BF3"/>
    <w:rsid w:val="00C63F3A"/>
    <w:rsid w:val="00C66A6D"/>
    <w:rsid w:val="00C73260"/>
    <w:rsid w:val="00C73DA7"/>
    <w:rsid w:val="00C73FB0"/>
    <w:rsid w:val="00C7453C"/>
    <w:rsid w:val="00C7545F"/>
    <w:rsid w:val="00C83CF9"/>
    <w:rsid w:val="00C86617"/>
    <w:rsid w:val="00C877C4"/>
    <w:rsid w:val="00C9182F"/>
    <w:rsid w:val="00C9222A"/>
    <w:rsid w:val="00C931F3"/>
    <w:rsid w:val="00CA13AB"/>
    <w:rsid w:val="00CA2C31"/>
    <w:rsid w:val="00CA32FA"/>
    <w:rsid w:val="00CA5B64"/>
    <w:rsid w:val="00CA7B4B"/>
    <w:rsid w:val="00CB00D4"/>
    <w:rsid w:val="00CB1AB1"/>
    <w:rsid w:val="00CB436E"/>
    <w:rsid w:val="00CB64BE"/>
    <w:rsid w:val="00CB7BF0"/>
    <w:rsid w:val="00CB7FF9"/>
    <w:rsid w:val="00CC36D0"/>
    <w:rsid w:val="00CC37EE"/>
    <w:rsid w:val="00CC5F45"/>
    <w:rsid w:val="00CC7A41"/>
    <w:rsid w:val="00CD1C92"/>
    <w:rsid w:val="00CD3086"/>
    <w:rsid w:val="00CD3B33"/>
    <w:rsid w:val="00CD3CD7"/>
    <w:rsid w:val="00CD522E"/>
    <w:rsid w:val="00CD7566"/>
    <w:rsid w:val="00CE0726"/>
    <w:rsid w:val="00CE100E"/>
    <w:rsid w:val="00CE1355"/>
    <w:rsid w:val="00CE2729"/>
    <w:rsid w:val="00CE3D27"/>
    <w:rsid w:val="00CE520A"/>
    <w:rsid w:val="00CE7644"/>
    <w:rsid w:val="00CF06FD"/>
    <w:rsid w:val="00CF3BDA"/>
    <w:rsid w:val="00CF4EEC"/>
    <w:rsid w:val="00CF75A3"/>
    <w:rsid w:val="00D0078F"/>
    <w:rsid w:val="00D03A22"/>
    <w:rsid w:val="00D04434"/>
    <w:rsid w:val="00D05F40"/>
    <w:rsid w:val="00D07100"/>
    <w:rsid w:val="00D10CE4"/>
    <w:rsid w:val="00D12AF4"/>
    <w:rsid w:val="00D141D5"/>
    <w:rsid w:val="00D17579"/>
    <w:rsid w:val="00D17F8B"/>
    <w:rsid w:val="00D20C04"/>
    <w:rsid w:val="00D226FB"/>
    <w:rsid w:val="00D27BC1"/>
    <w:rsid w:val="00D27E10"/>
    <w:rsid w:val="00D30D89"/>
    <w:rsid w:val="00D31234"/>
    <w:rsid w:val="00D318BC"/>
    <w:rsid w:val="00D342D6"/>
    <w:rsid w:val="00D3653F"/>
    <w:rsid w:val="00D3714F"/>
    <w:rsid w:val="00D37C8A"/>
    <w:rsid w:val="00D44DE4"/>
    <w:rsid w:val="00D5179B"/>
    <w:rsid w:val="00D5233D"/>
    <w:rsid w:val="00D537DC"/>
    <w:rsid w:val="00D563B3"/>
    <w:rsid w:val="00D567BD"/>
    <w:rsid w:val="00D56980"/>
    <w:rsid w:val="00D60F8E"/>
    <w:rsid w:val="00D618D6"/>
    <w:rsid w:val="00D61CE7"/>
    <w:rsid w:val="00D62402"/>
    <w:rsid w:val="00D64540"/>
    <w:rsid w:val="00D71022"/>
    <w:rsid w:val="00D74DFB"/>
    <w:rsid w:val="00D835D8"/>
    <w:rsid w:val="00D8393A"/>
    <w:rsid w:val="00D8406F"/>
    <w:rsid w:val="00D85553"/>
    <w:rsid w:val="00D85850"/>
    <w:rsid w:val="00D85E15"/>
    <w:rsid w:val="00D86399"/>
    <w:rsid w:val="00D8686A"/>
    <w:rsid w:val="00D87847"/>
    <w:rsid w:val="00D91EA0"/>
    <w:rsid w:val="00D92AC2"/>
    <w:rsid w:val="00D93F20"/>
    <w:rsid w:val="00D94518"/>
    <w:rsid w:val="00DA4F43"/>
    <w:rsid w:val="00DA59AB"/>
    <w:rsid w:val="00DB168F"/>
    <w:rsid w:val="00DB1735"/>
    <w:rsid w:val="00DB7203"/>
    <w:rsid w:val="00DB7F44"/>
    <w:rsid w:val="00DC08AA"/>
    <w:rsid w:val="00DC4E53"/>
    <w:rsid w:val="00DC5A33"/>
    <w:rsid w:val="00DD0BBF"/>
    <w:rsid w:val="00DD1358"/>
    <w:rsid w:val="00DD33C1"/>
    <w:rsid w:val="00DD6E52"/>
    <w:rsid w:val="00DE1E57"/>
    <w:rsid w:val="00DE36EE"/>
    <w:rsid w:val="00DE3B07"/>
    <w:rsid w:val="00DE3CE7"/>
    <w:rsid w:val="00DE42E9"/>
    <w:rsid w:val="00DE6125"/>
    <w:rsid w:val="00DE6E49"/>
    <w:rsid w:val="00DF1A01"/>
    <w:rsid w:val="00DF6199"/>
    <w:rsid w:val="00DF6B5B"/>
    <w:rsid w:val="00DF746C"/>
    <w:rsid w:val="00E00039"/>
    <w:rsid w:val="00E00169"/>
    <w:rsid w:val="00E00CA4"/>
    <w:rsid w:val="00E015AB"/>
    <w:rsid w:val="00E06A4A"/>
    <w:rsid w:val="00E07A25"/>
    <w:rsid w:val="00E07C19"/>
    <w:rsid w:val="00E12EF2"/>
    <w:rsid w:val="00E15414"/>
    <w:rsid w:val="00E17B98"/>
    <w:rsid w:val="00E230DB"/>
    <w:rsid w:val="00E231FB"/>
    <w:rsid w:val="00E2539F"/>
    <w:rsid w:val="00E269FD"/>
    <w:rsid w:val="00E302D4"/>
    <w:rsid w:val="00E32E72"/>
    <w:rsid w:val="00E33978"/>
    <w:rsid w:val="00E349C4"/>
    <w:rsid w:val="00E34EDB"/>
    <w:rsid w:val="00E37470"/>
    <w:rsid w:val="00E403D6"/>
    <w:rsid w:val="00E41412"/>
    <w:rsid w:val="00E46BC4"/>
    <w:rsid w:val="00E47CDE"/>
    <w:rsid w:val="00E5064F"/>
    <w:rsid w:val="00E50C94"/>
    <w:rsid w:val="00E5279A"/>
    <w:rsid w:val="00E5314F"/>
    <w:rsid w:val="00E549E4"/>
    <w:rsid w:val="00E553F5"/>
    <w:rsid w:val="00E6165D"/>
    <w:rsid w:val="00E61713"/>
    <w:rsid w:val="00E63637"/>
    <w:rsid w:val="00E65D48"/>
    <w:rsid w:val="00E65DAE"/>
    <w:rsid w:val="00E65F1A"/>
    <w:rsid w:val="00E702E0"/>
    <w:rsid w:val="00E72092"/>
    <w:rsid w:val="00E72613"/>
    <w:rsid w:val="00E72811"/>
    <w:rsid w:val="00E805BB"/>
    <w:rsid w:val="00E80AC8"/>
    <w:rsid w:val="00E81E82"/>
    <w:rsid w:val="00E85858"/>
    <w:rsid w:val="00E85B3D"/>
    <w:rsid w:val="00E91C97"/>
    <w:rsid w:val="00E91EB3"/>
    <w:rsid w:val="00E925A5"/>
    <w:rsid w:val="00E92D19"/>
    <w:rsid w:val="00E95FDC"/>
    <w:rsid w:val="00E96B9B"/>
    <w:rsid w:val="00EA3AA0"/>
    <w:rsid w:val="00EA4BD6"/>
    <w:rsid w:val="00EA4C7F"/>
    <w:rsid w:val="00EA5875"/>
    <w:rsid w:val="00EA6547"/>
    <w:rsid w:val="00EA7B17"/>
    <w:rsid w:val="00EB1FE3"/>
    <w:rsid w:val="00EB3809"/>
    <w:rsid w:val="00EB3F7C"/>
    <w:rsid w:val="00EB416F"/>
    <w:rsid w:val="00EC0E96"/>
    <w:rsid w:val="00EC1C0E"/>
    <w:rsid w:val="00EC20C5"/>
    <w:rsid w:val="00EC29E0"/>
    <w:rsid w:val="00ED04E3"/>
    <w:rsid w:val="00ED12EE"/>
    <w:rsid w:val="00ED2667"/>
    <w:rsid w:val="00ED45B3"/>
    <w:rsid w:val="00ED6193"/>
    <w:rsid w:val="00ED62AD"/>
    <w:rsid w:val="00EE0524"/>
    <w:rsid w:val="00EE2250"/>
    <w:rsid w:val="00EE328E"/>
    <w:rsid w:val="00EE33FA"/>
    <w:rsid w:val="00EE3574"/>
    <w:rsid w:val="00EE36CF"/>
    <w:rsid w:val="00EE510E"/>
    <w:rsid w:val="00EE5A4D"/>
    <w:rsid w:val="00EE5ABE"/>
    <w:rsid w:val="00EF08ED"/>
    <w:rsid w:val="00EF2CA8"/>
    <w:rsid w:val="00EF407C"/>
    <w:rsid w:val="00EF5F38"/>
    <w:rsid w:val="00F01D53"/>
    <w:rsid w:val="00F035D4"/>
    <w:rsid w:val="00F039EB"/>
    <w:rsid w:val="00F06B5F"/>
    <w:rsid w:val="00F11B26"/>
    <w:rsid w:val="00F12212"/>
    <w:rsid w:val="00F12E8E"/>
    <w:rsid w:val="00F15194"/>
    <w:rsid w:val="00F153DD"/>
    <w:rsid w:val="00F15E4F"/>
    <w:rsid w:val="00F206B5"/>
    <w:rsid w:val="00F2160C"/>
    <w:rsid w:val="00F21638"/>
    <w:rsid w:val="00F22F5A"/>
    <w:rsid w:val="00F23496"/>
    <w:rsid w:val="00F24464"/>
    <w:rsid w:val="00F2613D"/>
    <w:rsid w:val="00F2722B"/>
    <w:rsid w:val="00F27A68"/>
    <w:rsid w:val="00F27E5F"/>
    <w:rsid w:val="00F348B2"/>
    <w:rsid w:val="00F354F0"/>
    <w:rsid w:val="00F358E0"/>
    <w:rsid w:val="00F35FC5"/>
    <w:rsid w:val="00F363C2"/>
    <w:rsid w:val="00F4279B"/>
    <w:rsid w:val="00F42879"/>
    <w:rsid w:val="00F4519F"/>
    <w:rsid w:val="00F4548C"/>
    <w:rsid w:val="00F51D11"/>
    <w:rsid w:val="00F536DD"/>
    <w:rsid w:val="00F537D1"/>
    <w:rsid w:val="00F555A0"/>
    <w:rsid w:val="00F55F6E"/>
    <w:rsid w:val="00F57C26"/>
    <w:rsid w:val="00F605D8"/>
    <w:rsid w:val="00F62D3F"/>
    <w:rsid w:val="00F6581E"/>
    <w:rsid w:val="00F676D2"/>
    <w:rsid w:val="00F712E0"/>
    <w:rsid w:val="00F713F1"/>
    <w:rsid w:val="00F729A2"/>
    <w:rsid w:val="00F744D7"/>
    <w:rsid w:val="00F75EEA"/>
    <w:rsid w:val="00F77F34"/>
    <w:rsid w:val="00F80BF9"/>
    <w:rsid w:val="00F828F1"/>
    <w:rsid w:val="00F8339B"/>
    <w:rsid w:val="00F83477"/>
    <w:rsid w:val="00F874C7"/>
    <w:rsid w:val="00F94293"/>
    <w:rsid w:val="00FA2387"/>
    <w:rsid w:val="00FA2794"/>
    <w:rsid w:val="00FA2E14"/>
    <w:rsid w:val="00FA36EC"/>
    <w:rsid w:val="00FB0DF1"/>
    <w:rsid w:val="00FB0FFA"/>
    <w:rsid w:val="00FB2D50"/>
    <w:rsid w:val="00FB2E5F"/>
    <w:rsid w:val="00FB3E33"/>
    <w:rsid w:val="00FB59EC"/>
    <w:rsid w:val="00FC159E"/>
    <w:rsid w:val="00FC4BC0"/>
    <w:rsid w:val="00FC5A7F"/>
    <w:rsid w:val="00FC6A4C"/>
    <w:rsid w:val="00FC7436"/>
    <w:rsid w:val="00FC7A60"/>
    <w:rsid w:val="00FD019F"/>
    <w:rsid w:val="00FD331F"/>
    <w:rsid w:val="00FD52C2"/>
    <w:rsid w:val="00FD6289"/>
    <w:rsid w:val="00FD7268"/>
    <w:rsid w:val="00FE2925"/>
    <w:rsid w:val="00FE4D8C"/>
    <w:rsid w:val="00FE5573"/>
    <w:rsid w:val="00FE5896"/>
    <w:rsid w:val="00FE70CF"/>
    <w:rsid w:val="00FE758B"/>
    <w:rsid w:val="00FF663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F217C2"/>
  <w15:docId w15:val="{F64187B7-E898-4E64-A676-38DFD664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250"/>
    <w:pPr>
      <w:spacing w:after="0" w:line="360" w:lineRule="auto"/>
    </w:pPr>
    <w:rPr>
      <w:sz w:val="24"/>
      <w:szCs w:val="24"/>
    </w:rPr>
  </w:style>
  <w:style w:type="paragraph" w:styleId="Heading1">
    <w:name w:val="heading 1"/>
    <w:basedOn w:val="Normal"/>
    <w:next w:val="Normal"/>
    <w:link w:val="Heading1Char"/>
    <w:uiPriority w:val="9"/>
    <w:qFormat/>
    <w:rsid w:val="007F2D0A"/>
    <w:pPr>
      <w:keepNext/>
      <w:spacing w:before="240"/>
      <w:outlineLvl w:val="0"/>
    </w:pPr>
    <w:rPr>
      <w:b/>
      <w:sz w:val="28"/>
      <w:szCs w:val="28"/>
    </w:rPr>
  </w:style>
  <w:style w:type="paragraph" w:styleId="Heading2">
    <w:name w:val="heading 2"/>
    <w:basedOn w:val="Normal"/>
    <w:next w:val="Normal"/>
    <w:link w:val="Heading2Char"/>
    <w:uiPriority w:val="9"/>
    <w:unhideWhenUsed/>
    <w:qFormat/>
    <w:rsid w:val="00E349C4"/>
    <w:pPr>
      <w:spacing w:before="120"/>
      <w:outlineLvl w:val="1"/>
    </w:pPr>
    <w:rPr>
      <w:b/>
    </w:rPr>
  </w:style>
  <w:style w:type="paragraph" w:styleId="Heading3">
    <w:name w:val="heading 3"/>
    <w:basedOn w:val="Normal"/>
    <w:next w:val="Normal"/>
    <w:link w:val="Heading3Char"/>
    <w:uiPriority w:val="9"/>
    <w:unhideWhenUsed/>
    <w:qFormat/>
    <w:rsid w:val="00E349C4"/>
    <w:pPr>
      <w:keepNext/>
      <w:spacing w:before="120"/>
      <w:outlineLvl w:val="2"/>
    </w:pPr>
    <w:rPr>
      <w:i/>
    </w:rPr>
  </w:style>
  <w:style w:type="paragraph" w:styleId="Heading4">
    <w:name w:val="heading 4"/>
    <w:basedOn w:val="Normal"/>
    <w:next w:val="Normal"/>
    <w:link w:val="Heading4Char"/>
    <w:uiPriority w:val="9"/>
    <w:semiHidden/>
    <w:unhideWhenUsed/>
    <w:rsid w:val="007F37AC"/>
    <w:pPr>
      <w:keepNext/>
      <w:keepLines/>
      <w:spacing w:before="40"/>
      <w:outlineLvl w:val="3"/>
    </w:pPr>
    <w:rPr>
      <w:rFonts w:asciiTheme="majorHAnsi" w:eastAsiaTheme="majorEastAsia" w:hAnsiTheme="majorHAnsi" w:cstheme="majorBidi"/>
      <w:i/>
      <w:iCs/>
      <w:color w:val="00196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3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3D08"/>
    <w:pPr>
      <w:tabs>
        <w:tab w:val="center" w:pos="4513"/>
        <w:tab w:val="right" w:pos="9026"/>
      </w:tabs>
      <w:spacing w:line="240" w:lineRule="auto"/>
    </w:pPr>
  </w:style>
  <w:style w:type="character" w:customStyle="1" w:styleId="HeaderChar">
    <w:name w:val="Header Char"/>
    <w:basedOn w:val="DefaultParagraphFont"/>
    <w:link w:val="Header"/>
    <w:uiPriority w:val="99"/>
    <w:rsid w:val="008B3D08"/>
  </w:style>
  <w:style w:type="paragraph" w:styleId="Footer">
    <w:name w:val="footer"/>
    <w:basedOn w:val="Normal"/>
    <w:link w:val="FooterChar"/>
    <w:uiPriority w:val="99"/>
    <w:unhideWhenUsed/>
    <w:rsid w:val="008B3D08"/>
    <w:pPr>
      <w:tabs>
        <w:tab w:val="center" w:pos="4513"/>
        <w:tab w:val="right" w:pos="9026"/>
      </w:tabs>
      <w:spacing w:line="240" w:lineRule="auto"/>
    </w:pPr>
  </w:style>
  <w:style w:type="character" w:customStyle="1" w:styleId="FooterChar">
    <w:name w:val="Footer Char"/>
    <w:basedOn w:val="DefaultParagraphFont"/>
    <w:link w:val="Footer"/>
    <w:uiPriority w:val="99"/>
    <w:rsid w:val="008B3D08"/>
  </w:style>
  <w:style w:type="paragraph" w:styleId="BalloonText">
    <w:name w:val="Balloon Text"/>
    <w:basedOn w:val="Normal"/>
    <w:link w:val="BalloonTextChar"/>
    <w:uiPriority w:val="99"/>
    <w:unhideWhenUsed/>
    <w:rsid w:val="008B3D0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B3D08"/>
    <w:rPr>
      <w:rFonts w:ascii="Tahoma" w:hAnsi="Tahoma" w:cs="Tahoma"/>
      <w:sz w:val="16"/>
      <w:szCs w:val="16"/>
    </w:rPr>
  </w:style>
  <w:style w:type="paragraph" w:styleId="Title">
    <w:name w:val="Title"/>
    <w:basedOn w:val="Normal"/>
    <w:next w:val="Normal"/>
    <w:link w:val="TitleChar"/>
    <w:uiPriority w:val="10"/>
    <w:qFormat/>
    <w:rsid w:val="002B4281"/>
    <w:pPr>
      <w:spacing w:after="120"/>
    </w:pPr>
    <w:rPr>
      <w:b/>
      <w:sz w:val="32"/>
      <w:szCs w:val="32"/>
    </w:rPr>
  </w:style>
  <w:style w:type="character" w:customStyle="1" w:styleId="TitleChar">
    <w:name w:val="Title Char"/>
    <w:basedOn w:val="DefaultParagraphFont"/>
    <w:link w:val="Title"/>
    <w:uiPriority w:val="10"/>
    <w:rsid w:val="002B4281"/>
    <w:rPr>
      <w:b/>
      <w:sz w:val="32"/>
      <w:szCs w:val="32"/>
    </w:rPr>
  </w:style>
  <w:style w:type="character" w:customStyle="1" w:styleId="Heading1Char">
    <w:name w:val="Heading 1 Char"/>
    <w:basedOn w:val="DefaultParagraphFont"/>
    <w:link w:val="Heading1"/>
    <w:uiPriority w:val="9"/>
    <w:rsid w:val="007F2D0A"/>
    <w:rPr>
      <w:b/>
      <w:sz w:val="28"/>
      <w:szCs w:val="28"/>
    </w:rPr>
  </w:style>
  <w:style w:type="character" w:customStyle="1" w:styleId="Heading2Char">
    <w:name w:val="Heading 2 Char"/>
    <w:basedOn w:val="DefaultParagraphFont"/>
    <w:link w:val="Heading2"/>
    <w:uiPriority w:val="9"/>
    <w:rsid w:val="00E349C4"/>
    <w:rPr>
      <w:b/>
      <w:sz w:val="24"/>
      <w:szCs w:val="24"/>
    </w:rPr>
  </w:style>
  <w:style w:type="character" w:customStyle="1" w:styleId="Heading3Char">
    <w:name w:val="Heading 3 Char"/>
    <w:basedOn w:val="DefaultParagraphFont"/>
    <w:link w:val="Heading3"/>
    <w:uiPriority w:val="9"/>
    <w:rsid w:val="00E349C4"/>
    <w:rPr>
      <w:i/>
      <w:sz w:val="24"/>
      <w:szCs w:val="24"/>
    </w:rPr>
  </w:style>
  <w:style w:type="paragraph" w:customStyle="1" w:styleId="Callout">
    <w:name w:val="Call out"/>
    <w:basedOn w:val="Normal"/>
    <w:link w:val="CalloutChar"/>
    <w:qFormat/>
    <w:rsid w:val="002B4281"/>
    <w:pPr>
      <w:pBdr>
        <w:top w:val="single" w:sz="4" w:space="1" w:color="auto"/>
        <w:bottom w:val="single" w:sz="4" w:space="1" w:color="auto"/>
      </w:pBdr>
      <w:spacing w:before="120" w:after="120" w:line="240" w:lineRule="auto"/>
      <w:jc w:val="center"/>
    </w:pPr>
    <w:rPr>
      <w:i/>
    </w:rPr>
  </w:style>
  <w:style w:type="paragraph" w:styleId="ListParagraph">
    <w:name w:val="List Paragraph"/>
    <w:aliases w:val="Bullets Points"/>
    <w:basedOn w:val="Normal"/>
    <w:link w:val="ListParagraphChar"/>
    <w:uiPriority w:val="34"/>
    <w:qFormat/>
    <w:rsid w:val="00773A93"/>
    <w:pPr>
      <w:numPr>
        <w:numId w:val="3"/>
      </w:numPr>
      <w:contextualSpacing/>
    </w:pPr>
  </w:style>
  <w:style w:type="character" w:customStyle="1" w:styleId="CalloutChar">
    <w:name w:val="Call out Char"/>
    <w:basedOn w:val="DefaultParagraphFont"/>
    <w:link w:val="Callout"/>
    <w:rsid w:val="002B4281"/>
    <w:rPr>
      <w:i/>
      <w:sz w:val="24"/>
      <w:szCs w:val="24"/>
    </w:rPr>
  </w:style>
  <w:style w:type="paragraph" w:customStyle="1" w:styleId="References">
    <w:name w:val="References"/>
    <w:basedOn w:val="ListParagraph"/>
    <w:link w:val="ReferencesChar"/>
    <w:qFormat/>
    <w:rsid w:val="00E349C4"/>
    <w:pPr>
      <w:numPr>
        <w:numId w:val="1"/>
      </w:numPr>
      <w:ind w:left="426" w:hanging="426"/>
    </w:pPr>
  </w:style>
  <w:style w:type="paragraph" w:styleId="Caption">
    <w:name w:val="caption"/>
    <w:basedOn w:val="Normal"/>
    <w:next w:val="Normal"/>
    <w:uiPriority w:val="35"/>
    <w:unhideWhenUsed/>
    <w:qFormat/>
    <w:rsid w:val="004C3066"/>
    <w:pPr>
      <w:keepNext/>
      <w:spacing w:before="120"/>
    </w:pPr>
    <w:rPr>
      <w:b/>
      <w:bCs/>
    </w:rPr>
  </w:style>
  <w:style w:type="character" w:customStyle="1" w:styleId="ListParagraphChar">
    <w:name w:val="List Paragraph Char"/>
    <w:aliases w:val="Bullets Points Char"/>
    <w:basedOn w:val="DefaultParagraphFont"/>
    <w:link w:val="ListParagraph"/>
    <w:uiPriority w:val="34"/>
    <w:rsid w:val="00773A93"/>
    <w:rPr>
      <w:sz w:val="24"/>
      <w:szCs w:val="24"/>
    </w:rPr>
  </w:style>
  <w:style w:type="character" w:customStyle="1" w:styleId="ReferencesChar">
    <w:name w:val="References Char"/>
    <w:basedOn w:val="ListParagraphChar"/>
    <w:link w:val="References"/>
    <w:rsid w:val="00E349C4"/>
    <w:rPr>
      <w:sz w:val="24"/>
      <w:szCs w:val="24"/>
    </w:rPr>
  </w:style>
  <w:style w:type="paragraph" w:styleId="FootnoteText">
    <w:name w:val="footnote text"/>
    <w:basedOn w:val="Normal"/>
    <w:next w:val="Normal"/>
    <w:link w:val="FootnoteTextChar"/>
    <w:uiPriority w:val="99"/>
    <w:unhideWhenUsed/>
    <w:qFormat/>
    <w:rsid w:val="008F2FED"/>
    <w:rPr>
      <w:sz w:val="20"/>
      <w:szCs w:val="20"/>
    </w:rPr>
  </w:style>
  <w:style w:type="character" w:customStyle="1" w:styleId="FootnoteTextChar">
    <w:name w:val="Footnote Text Char"/>
    <w:basedOn w:val="DefaultParagraphFont"/>
    <w:link w:val="FootnoteText"/>
    <w:uiPriority w:val="99"/>
    <w:rsid w:val="008F2FED"/>
    <w:rPr>
      <w:sz w:val="20"/>
      <w:szCs w:val="20"/>
    </w:rPr>
  </w:style>
  <w:style w:type="table" w:styleId="LightShading">
    <w:name w:val="Light Shading"/>
    <w:basedOn w:val="TableNormal"/>
    <w:uiPriority w:val="60"/>
    <w:rsid w:val="008F2F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tyle1">
    <w:name w:val="Style1"/>
    <w:uiPriority w:val="99"/>
    <w:rsid w:val="00D567BD"/>
    <w:pPr>
      <w:numPr>
        <w:numId w:val="4"/>
      </w:numPr>
    </w:pPr>
  </w:style>
  <w:style w:type="paragraph" w:styleId="ListBullet">
    <w:name w:val="List Bullet"/>
    <w:basedOn w:val="Normal"/>
    <w:uiPriority w:val="99"/>
    <w:unhideWhenUsed/>
    <w:rsid w:val="007A1F8A"/>
    <w:pPr>
      <w:numPr>
        <w:numId w:val="2"/>
      </w:numPr>
      <w:contextualSpacing/>
    </w:pPr>
  </w:style>
  <w:style w:type="character" w:styleId="Emphasis">
    <w:name w:val="Emphasis"/>
    <w:aliases w:val="Italic"/>
    <w:basedOn w:val="DefaultParagraphFont"/>
    <w:uiPriority w:val="20"/>
    <w:qFormat/>
    <w:rsid w:val="009F1238"/>
    <w:rPr>
      <w:i/>
      <w:iCs/>
    </w:rPr>
  </w:style>
  <w:style w:type="character" w:styleId="Strong">
    <w:name w:val="Strong"/>
    <w:aliases w:val="Bold"/>
    <w:basedOn w:val="DefaultParagraphFont"/>
    <w:uiPriority w:val="22"/>
    <w:qFormat/>
    <w:rsid w:val="009F1238"/>
    <w:rPr>
      <w:b/>
      <w:bCs/>
    </w:rPr>
  </w:style>
  <w:style w:type="character" w:customStyle="1" w:styleId="Superscript">
    <w:name w:val="Superscript"/>
    <w:basedOn w:val="DefaultParagraphFont"/>
    <w:uiPriority w:val="1"/>
    <w:qFormat/>
    <w:rsid w:val="006761C2"/>
    <w:rPr>
      <w:caps w:val="0"/>
      <w:smallCaps w:val="0"/>
      <w:strike w:val="0"/>
      <w:dstrike w:val="0"/>
      <w:vanish w:val="0"/>
      <w:vertAlign w:val="superscript"/>
    </w:rPr>
  </w:style>
  <w:style w:type="character" w:customStyle="1" w:styleId="Subscript">
    <w:name w:val="Subscript"/>
    <w:basedOn w:val="DefaultParagraphFont"/>
    <w:uiPriority w:val="1"/>
    <w:qFormat/>
    <w:rsid w:val="006761C2"/>
    <w:rPr>
      <w:caps w:val="0"/>
      <w:smallCaps w:val="0"/>
      <w:strike w:val="0"/>
      <w:dstrike w:val="0"/>
      <w:vanish w:val="0"/>
      <w:vertAlign w:val="subscript"/>
    </w:rPr>
  </w:style>
  <w:style w:type="character" w:styleId="IntenseEmphasis">
    <w:name w:val="Intense Emphasis"/>
    <w:aliases w:val="Bold italic"/>
    <w:basedOn w:val="DefaultParagraphFont"/>
    <w:uiPriority w:val="21"/>
    <w:qFormat/>
    <w:rsid w:val="006761C2"/>
    <w:rPr>
      <w:b/>
      <w:bCs/>
      <w:i/>
      <w:iCs/>
      <w:color w:val="auto"/>
    </w:rPr>
  </w:style>
  <w:style w:type="character" w:styleId="Hyperlink">
    <w:name w:val="Hyperlink"/>
    <w:basedOn w:val="DefaultParagraphFont"/>
    <w:uiPriority w:val="99"/>
    <w:unhideWhenUsed/>
    <w:rsid w:val="002868CC"/>
    <w:rPr>
      <w:color w:val="405AB0" w:themeColor="hyperlink"/>
      <w:u w:val="single"/>
    </w:rPr>
  </w:style>
  <w:style w:type="character" w:styleId="FollowedHyperlink">
    <w:name w:val="FollowedHyperlink"/>
    <w:basedOn w:val="DefaultParagraphFont"/>
    <w:uiPriority w:val="99"/>
    <w:semiHidden/>
    <w:unhideWhenUsed/>
    <w:rsid w:val="006A177F"/>
    <w:rPr>
      <w:color w:val="C3C3C3" w:themeColor="followedHyperlink"/>
      <w:u w:val="single"/>
    </w:rPr>
  </w:style>
  <w:style w:type="character" w:styleId="CommentReference">
    <w:name w:val="annotation reference"/>
    <w:basedOn w:val="DefaultParagraphFont"/>
    <w:uiPriority w:val="99"/>
    <w:unhideWhenUsed/>
    <w:rsid w:val="00582B60"/>
    <w:rPr>
      <w:sz w:val="16"/>
      <w:szCs w:val="16"/>
    </w:rPr>
  </w:style>
  <w:style w:type="paragraph" w:styleId="CommentText">
    <w:name w:val="annotation text"/>
    <w:aliases w:val="Annotationtext,Comment Text Char Char,Comment Text Char Char Char Char,Comment Text Char Char1,Comment Text Char1 Char Char"/>
    <w:basedOn w:val="Normal"/>
    <w:link w:val="CommentTextChar"/>
    <w:uiPriority w:val="99"/>
    <w:unhideWhenUsed/>
    <w:qFormat/>
    <w:rsid w:val="003D46D4"/>
    <w:pPr>
      <w:spacing w:line="240" w:lineRule="auto"/>
    </w:pPr>
    <w:rPr>
      <w:sz w:val="20"/>
      <w:szCs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uiPriority w:val="99"/>
    <w:rsid w:val="003D46D4"/>
    <w:rPr>
      <w:sz w:val="20"/>
      <w:szCs w:val="20"/>
    </w:rPr>
  </w:style>
  <w:style w:type="paragraph" w:styleId="CommentSubject">
    <w:name w:val="annotation subject"/>
    <w:basedOn w:val="CommentText"/>
    <w:next w:val="CommentText"/>
    <w:link w:val="CommentSubjectChar"/>
    <w:uiPriority w:val="99"/>
    <w:semiHidden/>
    <w:unhideWhenUsed/>
    <w:rsid w:val="003D46D4"/>
    <w:rPr>
      <w:b/>
      <w:bCs/>
    </w:rPr>
  </w:style>
  <w:style w:type="character" w:customStyle="1" w:styleId="CommentSubjectChar">
    <w:name w:val="Comment Subject Char"/>
    <w:basedOn w:val="CommentTextChar"/>
    <w:link w:val="CommentSubject"/>
    <w:uiPriority w:val="99"/>
    <w:semiHidden/>
    <w:rsid w:val="003D46D4"/>
    <w:rPr>
      <w:b/>
      <w:bCs/>
      <w:sz w:val="20"/>
      <w:szCs w:val="20"/>
    </w:rPr>
  </w:style>
  <w:style w:type="paragraph" w:styleId="NoSpacing">
    <w:name w:val="No Spacing"/>
    <w:uiPriority w:val="1"/>
    <w:qFormat/>
    <w:rsid w:val="006C6F0C"/>
    <w:pPr>
      <w:spacing w:after="0" w:line="240" w:lineRule="auto"/>
    </w:pPr>
    <w:rPr>
      <w:sz w:val="24"/>
      <w:szCs w:val="24"/>
    </w:rPr>
  </w:style>
  <w:style w:type="paragraph" w:styleId="Revision">
    <w:name w:val="Revision"/>
    <w:hidden/>
    <w:uiPriority w:val="99"/>
    <w:semiHidden/>
    <w:rsid w:val="00310490"/>
    <w:pPr>
      <w:spacing w:after="0" w:line="240" w:lineRule="auto"/>
    </w:pPr>
    <w:rPr>
      <w:sz w:val="24"/>
      <w:szCs w:val="24"/>
    </w:rPr>
  </w:style>
  <w:style w:type="paragraph" w:customStyle="1" w:styleId="Numberedheading1">
    <w:name w:val="Numbered heading 1"/>
    <w:basedOn w:val="Heading1"/>
    <w:link w:val="Numberedheading1Char"/>
    <w:qFormat/>
    <w:rsid w:val="00496A3F"/>
    <w:pPr>
      <w:numPr>
        <w:numId w:val="7"/>
      </w:numPr>
    </w:pPr>
  </w:style>
  <w:style w:type="character" w:customStyle="1" w:styleId="UnresolvedMention1">
    <w:name w:val="Unresolved Mention1"/>
    <w:basedOn w:val="DefaultParagraphFont"/>
    <w:uiPriority w:val="99"/>
    <w:semiHidden/>
    <w:unhideWhenUsed/>
    <w:rsid w:val="00496A3F"/>
    <w:rPr>
      <w:color w:val="605E5C"/>
      <w:shd w:val="clear" w:color="auto" w:fill="E1DFDD"/>
    </w:rPr>
  </w:style>
  <w:style w:type="character" w:customStyle="1" w:styleId="Numberedheading1Char">
    <w:name w:val="Numbered heading 1 Char"/>
    <w:basedOn w:val="Heading1Char"/>
    <w:link w:val="Numberedheading1"/>
    <w:rsid w:val="00496A3F"/>
    <w:rPr>
      <w:b/>
      <w:sz w:val="28"/>
      <w:szCs w:val="28"/>
    </w:rPr>
  </w:style>
  <w:style w:type="paragraph" w:customStyle="1" w:styleId="EndNoteBibliographyTitle">
    <w:name w:val="EndNote Bibliography Title"/>
    <w:basedOn w:val="Normal"/>
    <w:link w:val="EndNoteBibliographyTitleChar"/>
    <w:rsid w:val="00EE510E"/>
    <w:pPr>
      <w:jc w:val="center"/>
    </w:pPr>
    <w:rPr>
      <w:rFonts w:ascii="Times New Roman" w:hAnsi="Times New Roman" w:cs="Times New Roman"/>
      <w:noProof/>
    </w:rPr>
  </w:style>
  <w:style w:type="character" w:customStyle="1" w:styleId="EndNoteBibliographyTitleChar">
    <w:name w:val="EndNote Bibliography Title Char"/>
    <w:basedOn w:val="ListParagraphChar"/>
    <w:link w:val="EndNoteBibliographyTitle"/>
    <w:rsid w:val="00EE510E"/>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EE510E"/>
    <w:pPr>
      <w:spacing w:line="240" w:lineRule="auto"/>
    </w:pPr>
    <w:rPr>
      <w:rFonts w:ascii="Times New Roman" w:hAnsi="Times New Roman" w:cs="Times New Roman"/>
      <w:noProof/>
    </w:rPr>
  </w:style>
  <w:style w:type="character" w:customStyle="1" w:styleId="EndNoteBibliographyChar">
    <w:name w:val="EndNote Bibliography Char"/>
    <w:basedOn w:val="ListParagraphChar"/>
    <w:link w:val="EndNoteBibliography"/>
    <w:rsid w:val="00EE510E"/>
    <w:rPr>
      <w:rFonts w:ascii="Times New Roman" w:hAnsi="Times New Roman" w:cs="Times New Roman"/>
      <w:noProof/>
      <w:sz w:val="24"/>
      <w:szCs w:val="24"/>
    </w:rPr>
  </w:style>
  <w:style w:type="paragraph" w:customStyle="1" w:styleId="Numberedheading2">
    <w:name w:val="Numbered heading 2"/>
    <w:basedOn w:val="Numberedheading1"/>
    <w:link w:val="Numberedheading2Char"/>
    <w:qFormat/>
    <w:rsid w:val="007911DA"/>
    <w:pPr>
      <w:numPr>
        <w:ilvl w:val="1"/>
      </w:numPr>
      <w:ind w:left="709" w:hanging="709"/>
    </w:pPr>
  </w:style>
  <w:style w:type="character" w:customStyle="1" w:styleId="Numberedheading2Char">
    <w:name w:val="Numbered heading 2 Char"/>
    <w:basedOn w:val="Numberedheading1Char"/>
    <w:link w:val="Numberedheading2"/>
    <w:rsid w:val="007911DA"/>
    <w:rPr>
      <w:b/>
      <w:sz w:val="28"/>
      <w:szCs w:val="28"/>
    </w:rPr>
  </w:style>
  <w:style w:type="paragraph" w:customStyle="1" w:styleId="Correspondencedetails">
    <w:name w:val="Correspondence details"/>
    <w:basedOn w:val="Normal"/>
    <w:qFormat/>
    <w:rsid w:val="00591E51"/>
    <w:pPr>
      <w:spacing w:before="240"/>
    </w:pPr>
    <w:rPr>
      <w:rFonts w:ascii="Times New Roman" w:eastAsia="Times New Roman" w:hAnsi="Times New Roman" w:cs="Times New Roman"/>
    </w:rPr>
  </w:style>
  <w:style w:type="paragraph" w:customStyle="1" w:styleId="Bulleted">
    <w:name w:val="Bulleted"/>
    <w:basedOn w:val="ListParagraph"/>
    <w:link w:val="BulletedChar"/>
    <w:qFormat/>
    <w:rsid w:val="00CC7A41"/>
    <w:pPr>
      <w:numPr>
        <w:numId w:val="9"/>
      </w:numPr>
      <w:ind w:left="714" w:hanging="357"/>
      <w:contextualSpacing w:val="0"/>
    </w:pPr>
    <w:rPr>
      <w:rFonts w:eastAsiaTheme="minorHAnsi" w:cstheme="minorHAnsi"/>
      <w:lang w:eastAsia="en-US"/>
    </w:rPr>
  </w:style>
  <w:style w:type="character" w:customStyle="1" w:styleId="BulletedChar">
    <w:name w:val="Bulleted Char"/>
    <w:basedOn w:val="ListParagraphChar"/>
    <w:link w:val="Bulleted"/>
    <w:rsid w:val="00CC7A41"/>
    <w:rPr>
      <w:rFonts w:eastAsiaTheme="minorHAnsi" w:cstheme="minorHAnsi"/>
      <w:sz w:val="24"/>
      <w:szCs w:val="24"/>
      <w:lang w:eastAsia="en-US"/>
    </w:rPr>
  </w:style>
  <w:style w:type="paragraph" w:customStyle="1" w:styleId="Numberedheading3">
    <w:name w:val="Numbered heading 3"/>
    <w:basedOn w:val="Numberedheading2"/>
    <w:link w:val="Numberedheading3Char"/>
    <w:qFormat/>
    <w:rsid w:val="00A45194"/>
    <w:pPr>
      <w:numPr>
        <w:ilvl w:val="2"/>
      </w:numPr>
      <w:ind w:left="709" w:hanging="709"/>
    </w:pPr>
    <w:rPr>
      <w:b w:val="0"/>
      <w:i/>
      <w:sz w:val="24"/>
    </w:rPr>
  </w:style>
  <w:style w:type="character" w:customStyle="1" w:styleId="Numberedheading3Char">
    <w:name w:val="Numbered heading 3 Char"/>
    <w:basedOn w:val="Numberedheading2Char"/>
    <w:link w:val="Numberedheading3"/>
    <w:rsid w:val="00A45194"/>
    <w:rPr>
      <w:b w:val="0"/>
      <w:i/>
      <w:sz w:val="24"/>
      <w:szCs w:val="28"/>
    </w:rPr>
  </w:style>
  <w:style w:type="character" w:customStyle="1" w:styleId="UnresolvedMention2">
    <w:name w:val="Unresolved Mention2"/>
    <w:basedOn w:val="DefaultParagraphFont"/>
    <w:uiPriority w:val="99"/>
    <w:semiHidden/>
    <w:unhideWhenUsed/>
    <w:rsid w:val="00582B60"/>
    <w:rPr>
      <w:color w:val="605E5C"/>
      <w:shd w:val="clear" w:color="auto" w:fill="E1DFDD"/>
    </w:rPr>
  </w:style>
  <w:style w:type="character" w:styleId="UnresolvedMention">
    <w:name w:val="Unresolved Mention"/>
    <w:basedOn w:val="DefaultParagraphFont"/>
    <w:uiPriority w:val="99"/>
    <w:semiHidden/>
    <w:unhideWhenUsed/>
    <w:rsid w:val="004153DA"/>
    <w:rPr>
      <w:color w:val="605E5C"/>
      <w:shd w:val="clear" w:color="auto" w:fill="E1DFDD"/>
    </w:rPr>
  </w:style>
  <w:style w:type="character" w:styleId="FootnoteReference">
    <w:name w:val="footnote reference"/>
    <w:basedOn w:val="DefaultParagraphFont"/>
    <w:uiPriority w:val="99"/>
    <w:semiHidden/>
    <w:unhideWhenUsed/>
    <w:rsid w:val="00250912"/>
    <w:rPr>
      <w:vertAlign w:val="superscript"/>
    </w:rPr>
  </w:style>
  <w:style w:type="character" w:customStyle="1" w:styleId="Heading4Char">
    <w:name w:val="Heading 4 Char"/>
    <w:basedOn w:val="DefaultParagraphFont"/>
    <w:link w:val="Heading4"/>
    <w:uiPriority w:val="9"/>
    <w:semiHidden/>
    <w:rsid w:val="007F37AC"/>
    <w:rPr>
      <w:rFonts w:asciiTheme="majorHAnsi" w:eastAsiaTheme="majorEastAsia" w:hAnsiTheme="majorHAnsi" w:cstheme="majorBidi"/>
      <w:i/>
      <w:iCs/>
      <w:color w:val="00196F" w:themeColor="accent1" w:themeShade="BF"/>
      <w:sz w:val="24"/>
      <w:szCs w:val="24"/>
    </w:rPr>
  </w:style>
  <w:style w:type="paragraph" w:styleId="NormalWeb">
    <w:name w:val="Normal (Web)"/>
    <w:basedOn w:val="Normal"/>
    <w:uiPriority w:val="99"/>
    <w:semiHidden/>
    <w:unhideWhenUsed/>
    <w:rsid w:val="007F37AC"/>
    <w:pPr>
      <w:spacing w:before="100" w:beforeAutospacing="1" w:after="100" w:afterAutospacing="1" w:line="240" w:lineRule="auto"/>
    </w:pPr>
    <w:rPr>
      <w:rFonts w:ascii="Times New Roman" w:eastAsia="Times New Roman" w:hAnsi="Times New Roman" w:cs="Times New Roman"/>
    </w:rPr>
  </w:style>
  <w:style w:type="character" w:customStyle="1" w:styleId="ref-journal">
    <w:name w:val="ref-journal"/>
    <w:basedOn w:val="DefaultParagraphFont"/>
    <w:rsid w:val="00C00C01"/>
  </w:style>
  <w:style w:type="character" w:customStyle="1" w:styleId="ref-vol">
    <w:name w:val="ref-vol"/>
    <w:basedOn w:val="DefaultParagraphFont"/>
    <w:rsid w:val="00C00C01"/>
  </w:style>
  <w:style w:type="paragraph" w:customStyle="1" w:styleId="xmsolistparagraph">
    <w:name w:val="x_msolistparagraph"/>
    <w:basedOn w:val="Normal"/>
    <w:rsid w:val="004F3ED3"/>
    <w:pPr>
      <w:spacing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62194">
      <w:bodyDiv w:val="1"/>
      <w:marLeft w:val="0"/>
      <w:marRight w:val="0"/>
      <w:marTop w:val="0"/>
      <w:marBottom w:val="0"/>
      <w:divBdr>
        <w:top w:val="none" w:sz="0" w:space="0" w:color="auto"/>
        <w:left w:val="none" w:sz="0" w:space="0" w:color="auto"/>
        <w:bottom w:val="none" w:sz="0" w:space="0" w:color="auto"/>
        <w:right w:val="none" w:sz="0" w:space="0" w:color="auto"/>
      </w:divBdr>
      <w:divsChild>
        <w:div w:id="2100711971">
          <w:marLeft w:val="274"/>
          <w:marRight w:val="0"/>
          <w:marTop w:val="240"/>
          <w:marBottom w:val="0"/>
          <w:divBdr>
            <w:top w:val="none" w:sz="0" w:space="0" w:color="auto"/>
            <w:left w:val="none" w:sz="0" w:space="0" w:color="auto"/>
            <w:bottom w:val="none" w:sz="0" w:space="0" w:color="auto"/>
            <w:right w:val="none" w:sz="0" w:space="0" w:color="auto"/>
          </w:divBdr>
        </w:div>
        <w:div w:id="1055349524">
          <w:marLeft w:val="274"/>
          <w:marRight w:val="0"/>
          <w:marTop w:val="240"/>
          <w:marBottom w:val="0"/>
          <w:divBdr>
            <w:top w:val="none" w:sz="0" w:space="0" w:color="auto"/>
            <w:left w:val="none" w:sz="0" w:space="0" w:color="auto"/>
            <w:bottom w:val="none" w:sz="0" w:space="0" w:color="auto"/>
            <w:right w:val="none" w:sz="0" w:space="0" w:color="auto"/>
          </w:divBdr>
        </w:div>
        <w:div w:id="683749319">
          <w:marLeft w:val="274"/>
          <w:marRight w:val="0"/>
          <w:marTop w:val="240"/>
          <w:marBottom w:val="0"/>
          <w:divBdr>
            <w:top w:val="none" w:sz="0" w:space="0" w:color="auto"/>
            <w:left w:val="none" w:sz="0" w:space="0" w:color="auto"/>
            <w:bottom w:val="none" w:sz="0" w:space="0" w:color="auto"/>
            <w:right w:val="none" w:sz="0" w:space="0" w:color="auto"/>
          </w:divBdr>
        </w:div>
        <w:div w:id="1737119334">
          <w:marLeft w:val="274"/>
          <w:marRight w:val="0"/>
          <w:marTop w:val="240"/>
          <w:marBottom w:val="0"/>
          <w:divBdr>
            <w:top w:val="none" w:sz="0" w:space="0" w:color="auto"/>
            <w:left w:val="none" w:sz="0" w:space="0" w:color="auto"/>
            <w:bottom w:val="none" w:sz="0" w:space="0" w:color="auto"/>
            <w:right w:val="none" w:sz="0" w:space="0" w:color="auto"/>
          </w:divBdr>
        </w:div>
      </w:divsChild>
    </w:div>
    <w:div w:id="754784314">
      <w:bodyDiv w:val="1"/>
      <w:marLeft w:val="0"/>
      <w:marRight w:val="0"/>
      <w:marTop w:val="0"/>
      <w:marBottom w:val="0"/>
      <w:divBdr>
        <w:top w:val="none" w:sz="0" w:space="0" w:color="auto"/>
        <w:left w:val="none" w:sz="0" w:space="0" w:color="auto"/>
        <w:bottom w:val="none" w:sz="0" w:space="0" w:color="auto"/>
        <w:right w:val="none" w:sz="0" w:space="0" w:color="auto"/>
      </w:divBdr>
    </w:div>
    <w:div w:id="1195118949">
      <w:bodyDiv w:val="1"/>
      <w:marLeft w:val="0"/>
      <w:marRight w:val="0"/>
      <w:marTop w:val="0"/>
      <w:marBottom w:val="0"/>
      <w:divBdr>
        <w:top w:val="none" w:sz="0" w:space="0" w:color="auto"/>
        <w:left w:val="none" w:sz="0" w:space="0" w:color="auto"/>
        <w:bottom w:val="none" w:sz="0" w:space="0" w:color="auto"/>
        <w:right w:val="none" w:sz="0" w:space="0" w:color="auto"/>
      </w:divBdr>
    </w:div>
    <w:div w:id="1325549426">
      <w:bodyDiv w:val="1"/>
      <w:marLeft w:val="0"/>
      <w:marRight w:val="0"/>
      <w:marTop w:val="0"/>
      <w:marBottom w:val="0"/>
      <w:divBdr>
        <w:top w:val="none" w:sz="0" w:space="0" w:color="auto"/>
        <w:left w:val="none" w:sz="0" w:space="0" w:color="auto"/>
        <w:bottom w:val="none" w:sz="0" w:space="0" w:color="auto"/>
        <w:right w:val="none" w:sz="0" w:space="0" w:color="auto"/>
      </w:divBdr>
    </w:div>
    <w:div w:id="1533109624">
      <w:bodyDiv w:val="1"/>
      <w:marLeft w:val="0"/>
      <w:marRight w:val="0"/>
      <w:marTop w:val="0"/>
      <w:marBottom w:val="0"/>
      <w:divBdr>
        <w:top w:val="none" w:sz="0" w:space="0" w:color="auto"/>
        <w:left w:val="none" w:sz="0" w:space="0" w:color="auto"/>
        <w:bottom w:val="none" w:sz="0" w:space="0" w:color="auto"/>
        <w:right w:val="none" w:sz="0" w:space="0" w:color="auto"/>
      </w:divBdr>
    </w:div>
    <w:div w:id="1645693590">
      <w:bodyDiv w:val="1"/>
      <w:marLeft w:val="0"/>
      <w:marRight w:val="0"/>
      <w:marTop w:val="0"/>
      <w:marBottom w:val="0"/>
      <w:divBdr>
        <w:top w:val="none" w:sz="0" w:space="0" w:color="auto"/>
        <w:left w:val="none" w:sz="0" w:space="0" w:color="auto"/>
        <w:bottom w:val="none" w:sz="0" w:space="0" w:color="auto"/>
        <w:right w:val="none" w:sz="0" w:space="0" w:color="auto"/>
      </w:divBdr>
      <w:divsChild>
        <w:div w:id="1797021365">
          <w:marLeft w:val="0"/>
          <w:marRight w:val="0"/>
          <w:marTop w:val="0"/>
          <w:marBottom w:val="0"/>
          <w:divBdr>
            <w:top w:val="none" w:sz="0" w:space="0" w:color="auto"/>
            <w:left w:val="none" w:sz="0" w:space="0" w:color="auto"/>
            <w:bottom w:val="none" w:sz="0" w:space="0" w:color="auto"/>
            <w:right w:val="none" w:sz="0" w:space="0" w:color="auto"/>
          </w:divBdr>
        </w:div>
      </w:divsChild>
    </w:div>
    <w:div w:id="1665427852">
      <w:bodyDiv w:val="1"/>
      <w:marLeft w:val="0"/>
      <w:marRight w:val="0"/>
      <w:marTop w:val="0"/>
      <w:marBottom w:val="0"/>
      <w:divBdr>
        <w:top w:val="none" w:sz="0" w:space="0" w:color="auto"/>
        <w:left w:val="none" w:sz="0" w:space="0" w:color="auto"/>
        <w:bottom w:val="none" w:sz="0" w:space="0" w:color="auto"/>
        <w:right w:val="none" w:sz="0" w:space="0" w:color="auto"/>
      </w:divBdr>
    </w:div>
    <w:div w:id="1826169199">
      <w:bodyDiv w:val="1"/>
      <w:marLeft w:val="0"/>
      <w:marRight w:val="0"/>
      <w:marTop w:val="0"/>
      <w:marBottom w:val="0"/>
      <w:divBdr>
        <w:top w:val="none" w:sz="0" w:space="0" w:color="auto"/>
        <w:left w:val="none" w:sz="0" w:space="0" w:color="auto"/>
        <w:bottom w:val="none" w:sz="0" w:space="0" w:color="auto"/>
        <w:right w:val="none" w:sz="0" w:space="0" w:color="auto"/>
      </w:divBdr>
    </w:div>
    <w:div w:id="1851214844">
      <w:bodyDiv w:val="1"/>
      <w:marLeft w:val="0"/>
      <w:marRight w:val="0"/>
      <w:marTop w:val="0"/>
      <w:marBottom w:val="0"/>
      <w:divBdr>
        <w:top w:val="none" w:sz="0" w:space="0" w:color="auto"/>
        <w:left w:val="none" w:sz="0" w:space="0" w:color="auto"/>
        <w:bottom w:val="none" w:sz="0" w:space="0" w:color="auto"/>
        <w:right w:val="none" w:sz="0" w:space="0" w:color="auto"/>
      </w:divBdr>
    </w:div>
    <w:div w:id="200141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s.gov.uk/peoplepopulationandcommunity/birthsdeathsandmarriages/lifeexpectancies/bulletins/nationallifetablesunitedkingdom/2015to2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xford PharmaGenesis">
      <a:dk1>
        <a:sysClr val="windowText" lastClr="000000"/>
      </a:dk1>
      <a:lt1>
        <a:srgbClr val="FFFFFF"/>
      </a:lt1>
      <a:dk2>
        <a:srgbClr val="002395"/>
      </a:dk2>
      <a:lt2>
        <a:srgbClr val="FFFFFF"/>
      </a:lt2>
      <a:accent1>
        <a:srgbClr val="002395"/>
      </a:accent1>
      <a:accent2>
        <a:srgbClr val="E21F26"/>
      </a:accent2>
      <a:accent3>
        <a:srgbClr val="5F5F5F"/>
      </a:accent3>
      <a:accent4>
        <a:srgbClr val="405AB0"/>
      </a:accent4>
      <a:accent5>
        <a:srgbClr val="99CCFF"/>
      </a:accent5>
      <a:accent6>
        <a:srgbClr val="828282"/>
      </a:accent6>
      <a:hlink>
        <a:srgbClr val="405AB0"/>
      </a:hlink>
      <a:folHlink>
        <a:srgbClr val="C3C3C3"/>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32650-0C98-44FB-B277-80E227BED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10</Pages>
  <Words>3206</Words>
  <Characters>18278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Alexion Pharmaceuticals</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Glen</dc:creator>
  <cp:lastModifiedBy>Lisa Law</cp:lastModifiedBy>
  <cp:revision>12</cp:revision>
  <cp:lastPrinted>2019-10-22T08:47:00Z</cp:lastPrinted>
  <dcterms:created xsi:type="dcterms:W3CDTF">2020-04-01T20:22:00Z</dcterms:created>
  <dcterms:modified xsi:type="dcterms:W3CDTF">2020-04-30T07:55:00Z</dcterms:modified>
</cp:coreProperties>
</file>