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F1740F" w14:textId="77777777" w:rsidR="00225E27" w:rsidRPr="00726174" w:rsidRDefault="00225E27" w:rsidP="00225E27">
      <w:pPr>
        <w:rPr>
          <w:b/>
          <w:bCs/>
        </w:rPr>
      </w:pPr>
      <w:r w:rsidRPr="00726174">
        <w:rPr>
          <w:b/>
          <w:bCs/>
        </w:rPr>
        <w:t>An integrated pharmacokinetic-pharmacodynamic-pharmacoeconomic modelling method to evaluate treatments for adults with schizophrenia</w:t>
      </w:r>
    </w:p>
    <w:p w14:paraId="33FE586A" w14:textId="77777777" w:rsidR="00225E27" w:rsidRDefault="00225E27" w:rsidP="00225E27">
      <w:pPr>
        <w:rPr>
          <w:i/>
          <w:iCs/>
        </w:rPr>
      </w:pPr>
      <w:proofErr w:type="spellStart"/>
      <w:r>
        <w:rPr>
          <w:i/>
          <w:iCs/>
        </w:rPr>
        <w:t>PharmacoEconomics</w:t>
      </w:r>
      <w:proofErr w:type="spellEnd"/>
    </w:p>
    <w:p w14:paraId="0167706B" w14:textId="77777777" w:rsidR="00225E27" w:rsidRPr="00157F28" w:rsidRDefault="00225E27" w:rsidP="00225E27">
      <w:r w:rsidRPr="00DA479B">
        <w:t xml:space="preserve">Marjanne </w:t>
      </w:r>
      <w:r>
        <w:t xml:space="preserve">A. </w:t>
      </w:r>
      <w:r w:rsidRPr="00DA479B">
        <w:t>Piena,</w:t>
      </w:r>
      <w:r>
        <w:rPr>
          <w:vertAlign w:val="superscript"/>
        </w:rPr>
        <w:t>1</w:t>
      </w:r>
      <w:r>
        <w:t xml:space="preserve"> ORCID: </w:t>
      </w:r>
      <w:r w:rsidRPr="00A8012C">
        <w:t>0000-0001-6707-6796</w:t>
      </w:r>
    </w:p>
    <w:p w14:paraId="7850647A" w14:textId="77777777" w:rsidR="00225E27" w:rsidRDefault="00225E27" w:rsidP="00225E27">
      <w:r w:rsidRPr="00DA479B">
        <w:t>Natalie Houwing,</w:t>
      </w:r>
      <w:r>
        <w:rPr>
          <w:vertAlign w:val="superscript"/>
        </w:rPr>
        <w:t>1</w:t>
      </w:r>
    </w:p>
    <w:p w14:paraId="3F2B9196" w14:textId="77777777" w:rsidR="00225E27" w:rsidRPr="002A4C4F" w:rsidRDefault="00225E27" w:rsidP="00225E27">
      <w:r w:rsidRPr="00186E7C">
        <w:t>Carla Kraan,</w:t>
      </w:r>
      <w:r w:rsidRPr="00186E7C">
        <w:rPr>
          <w:vertAlign w:val="superscript"/>
        </w:rPr>
        <w:t>1</w:t>
      </w:r>
      <w:r>
        <w:t xml:space="preserve"> ORCID: </w:t>
      </w:r>
      <w:r w:rsidRPr="00D47E14">
        <w:t>0000-0003-1617-5158</w:t>
      </w:r>
    </w:p>
    <w:p w14:paraId="057CF0DA" w14:textId="77777777" w:rsidR="00225E27" w:rsidRPr="00ED5CCD" w:rsidRDefault="00225E27" w:rsidP="00225E27">
      <w:r w:rsidRPr="00186E7C">
        <w:t>Xiaofeng Wang,</w:t>
      </w:r>
      <w:r w:rsidRPr="00186E7C">
        <w:rPr>
          <w:vertAlign w:val="superscript"/>
        </w:rPr>
        <w:t xml:space="preserve"> 2</w:t>
      </w:r>
      <w:r>
        <w:t xml:space="preserve"> ORCID: 0000-0002-0890-3197</w:t>
      </w:r>
    </w:p>
    <w:p w14:paraId="25308801" w14:textId="77777777" w:rsidR="00225E27" w:rsidRPr="00186E7C" w:rsidRDefault="00225E27" w:rsidP="00225E27">
      <w:r w:rsidRPr="00186E7C">
        <w:t>Heidi Waters,</w:t>
      </w:r>
      <w:r w:rsidRPr="00186E7C">
        <w:rPr>
          <w:vertAlign w:val="superscript"/>
        </w:rPr>
        <w:t xml:space="preserve"> 2</w:t>
      </w:r>
      <w:r w:rsidRPr="00186E7C">
        <w:t xml:space="preserve"> </w:t>
      </w:r>
      <w:r>
        <w:t xml:space="preserve">ORCID: </w:t>
      </w:r>
      <w:r w:rsidRPr="005D63EA">
        <w:t>0000-0002-5671-3558</w:t>
      </w:r>
    </w:p>
    <w:p w14:paraId="51DE59AA" w14:textId="77777777" w:rsidR="00225E27" w:rsidRDefault="00225E27" w:rsidP="00225E27">
      <w:r w:rsidRPr="00DA479B">
        <w:t>Ruth A. Duffy,</w:t>
      </w:r>
      <w:r w:rsidRPr="00300E0C">
        <w:rPr>
          <w:vertAlign w:val="superscript"/>
        </w:rPr>
        <w:t xml:space="preserve"> </w:t>
      </w:r>
      <w:r>
        <w:rPr>
          <w:vertAlign w:val="superscript"/>
        </w:rPr>
        <w:t>2</w:t>
      </w:r>
    </w:p>
    <w:p w14:paraId="5A22BDA7" w14:textId="77777777" w:rsidR="00225E27" w:rsidRDefault="00225E27" w:rsidP="00225E27">
      <w:r w:rsidRPr="00DA479B">
        <w:t>Suresh Mallikaarjun</w:t>
      </w:r>
      <w:r>
        <w:t>,</w:t>
      </w:r>
      <w:r>
        <w:rPr>
          <w:vertAlign w:val="superscript"/>
        </w:rPr>
        <w:t>2, 3</w:t>
      </w:r>
    </w:p>
    <w:p w14:paraId="01D282EB" w14:textId="77777777" w:rsidR="00225E27" w:rsidRPr="00A8012C" w:rsidRDefault="00225E27" w:rsidP="00225E27">
      <w:r w:rsidRPr="00DA479B">
        <w:t>Craig Bennison</w:t>
      </w:r>
      <w:r w:rsidRPr="00481FD8">
        <w:rPr>
          <w:vertAlign w:val="superscript"/>
        </w:rPr>
        <w:t>4</w:t>
      </w:r>
      <w:r>
        <w:t xml:space="preserve">, ORCID: </w:t>
      </w:r>
      <w:r w:rsidRPr="00D47E14">
        <w:t>0000-0001-8658-5510</w:t>
      </w:r>
    </w:p>
    <w:p w14:paraId="19961A1E" w14:textId="77777777" w:rsidR="00225E27" w:rsidRDefault="00225E27" w:rsidP="00225E27">
      <w:r w:rsidRPr="00B62DA6">
        <w:rPr>
          <w:b/>
          <w:bCs/>
        </w:rPr>
        <w:t>Affiliations</w:t>
      </w:r>
      <w:r>
        <w:t>:</w:t>
      </w:r>
    </w:p>
    <w:p w14:paraId="2E74A14E" w14:textId="77777777" w:rsidR="00225E27" w:rsidRDefault="00225E27" w:rsidP="00225E27">
      <w:r>
        <w:rPr>
          <w:vertAlign w:val="superscript"/>
        </w:rPr>
        <w:t>1</w:t>
      </w:r>
      <w:r>
        <w:t xml:space="preserve"> OPEN Health, Rotterdam, the Netherlands</w:t>
      </w:r>
    </w:p>
    <w:p w14:paraId="4B5CEDD9" w14:textId="77777777" w:rsidR="00225E27" w:rsidRDefault="00225E27" w:rsidP="00225E27">
      <w:r>
        <w:rPr>
          <w:vertAlign w:val="superscript"/>
        </w:rPr>
        <w:t>2</w:t>
      </w:r>
      <w:r w:rsidRPr="00CD02C1">
        <w:t xml:space="preserve"> </w:t>
      </w:r>
      <w:r>
        <w:t xml:space="preserve">Otsuka </w:t>
      </w:r>
      <w:r w:rsidRPr="00300E0C">
        <w:t>Pharmaceutical Companies</w:t>
      </w:r>
      <w:r>
        <w:t>, Princeton, United States of America</w:t>
      </w:r>
    </w:p>
    <w:p w14:paraId="471D86BB" w14:textId="77777777" w:rsidR="00225E27" w:rsidRDefault="00225E27" w:rsidP="00225E27">
      <w:r w:rsidRPr="00481FD8">
        <w:rPr>
          <w:vertAlign w:val="superscript"/>
        </w:rPr>
        <w:t>3</w:t>
      </w:r>
      <w:r>
        <w:rPr>
          <w:vertAlign w:val="superscript"/>
        </w:rPr>
        <w:t xml:space="preserve"> </w:t>
      </w:r>
      <w:r w:rsidRPr="00300E0C">
        <w:t>Virginia Commonwealth University</w:t>
      </w:r>
      <w:r>
        <w:t>, Richmond, United States of America</w:t>
      </w:r>
    </w:p>
    <w:p w14:paraId="52C69929" w14:textId="77777777" w:rsidR="00225E27" w:rsidRDefault="00225E27" w:rsidP="00225E27">
      <w:r w:rsidRPr="00E561FF">
        <w:rPr>
          <w:vertAlign w:val="superscript"/>
        </w:rPr>
        <w:t>4</w:t>
      </w:r>
      <w:r>
        <w:t xml:space="preserve"> OPEN Health, York, United Kingdom</w:t>
      </w:r>
    </w:p>
    <w:p w14:paraId="27EEA2F2" w14:textId="77777777" w:rsidR="00225E27" w:rsidRDefault="00225E27" w:rsidP="00225E27">
      <w:r w:rsidRPr="002965CD">
        <w:rPr>
          <w:b/>
          <w:bCs/>
        </w:rPr>
        <w:t xml:space="preserve">Corresponding author: </w:t>
      </w:r>
      <w:r w:rsidRPr="002965CD">
        <w:t>Marjanne Piena</w:t>
      </w:r>
      <w:r>
        <w:t xml:space="preserve">, </w:t>
      </w:r>
      <w:hyperlink r:id="rId5" w:history="1">
        <w:r w:rsidRPr="00FC12C4">
          <w:rPr>
            <w:rStyle w:val="Hyperlink"/>
          </w:rPr>
          <w:t>MarjannePiena@openhealthgroup.com</w:t>
        </w:r>
      </w:hyperlink>
    </w:p>
    <w:p w14:paraId="6E3DC7A3" w14:textId="1C80F079" w:rsidR="00225E27" w:rsidRPr="00760FD8" w:rsidRDefault="00225E27" w:rsidP="00225E27">
      <w:r>
        <w:rPr>
          <w:i/>
          <w:iCs/>
        </w:rPr>
        <w:br w:type="page"/>
      </w:r>
    </w:p>
    <w:p w14:paraId="53209D4B" w14:textId="77777777" w:rsidR="00225E27" w:rsidRDefault="00225E27" w:rsidP="00225E27">
      <w:pPr>
        <w:pStyle w:val="Heading2"/>
      </w:pPr>
      <w:r w:rsidRPr="00DA479B">
        <w:lastRenderedPageBreak/>
        <w:t>PK models and model equations</w:t>
      </w:r>
    </w:p>
    <w:p w14:paraId="253F2170" w14:textId="7C8EE640" w:rsidR="00225E27" w:rsidRPr="00DA479B" w:rsidRDefault="00225E27" w:rsidP="00225E27">
      <w:r w:rsidRPr="00DA479B">
        <w:t xml:space="preserve">The </w:t>
      </w:r>
      <w:r>
        <w:t>AM</w:t>
      </w:r>
      <w:r w:rsidRPr="00DA479B">
        <w:t xml:space="preserve"> PK model is a 3-compartment model (see </w:t>
      </w:r>
      <w:r w:rsidRPr="00DA479B">
        <w:fldChar w:fldCharType="begin"/>
      </w:r>
      <w:r w:rsidRPr="00DA479B">
        <w:instrText xml:space="preserve"> REF _Ref45634494 \h </w:instrText>
      </w:r>
      <w:r w:rsidRPr="00DA479B">
        <w:fldChar w:fldCharType="separate"/>
      </w:r>
      <w:r w:rsidRPr="00DA479B">
        <w:t xml:space="preserve">Fig. </w:t>
      </w:r>
      <w:r>
        <w:rPr>
          <w:noProof/>
        </w:rPr>
        <w:t>1</w:t>
      </w:r>
      <w:r w:rsidRPr="00DA479B">
        <w:fldChar w:fldCharType="end"/>
      </w:r>
      <w:r w:rsidRPr="00DA479B">
        <w:t>), with one central compartment 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</m:oMath>
      <w:r w:rsidRPr="00DA479B">
        <w:t>) and two peripheral compartments 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4</m:t>
            </m:r>
          </m:sub>
        </m:sSub>
      </m:oMath>
      <w:r w:rsidRPr="00DA479B">
        <w:t xml:space="preserve"> 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5</m:t>
            </m:r>
          </m:sub>
        </m:sSub>
      </m:oMath>
      <w:r w:rsidRPr="00DA479B">
        <w:t xml:space="preserve">). Absorption of oral dosing is described by a sigmoid absorption model, where the oral dose enters the oral depot </w:t>
      </w:r>
      <w:r>
        <w:t xml:space="preserve">via a </w:t>
      </w:r>
      <w:proofErr w:type="gramStart"/>
      <w:r>
        <w:t>zero order</w:t>
      </w:r>
      <w:proofErr w:type="gramEnd"/>
      <w:r>
        <w:t xml:space="preserve"> process</w:t>
      </w:r>
      <w:r w:rsidRPr="00DA479B">
        <w:t xml:space="preserve"> with rate R1 and then transfers to the central compartment via a first-order process with rate </w:t>
      </w:r>
      <m:oMath>
        <m:r>
          <w:rPr>
            <w:rFonts w:ascii="Cambria Math" w:hAnsi="Cambria Math"/>
          </w:rPr>
          <m:t>K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oral</m:t>
            </m:r>
          </m:sub>
        </m:sSub>
      </m:oMath>
      <w:r w:rsidRPr="00DA479B">
        <w:t xml:space="preserve">. Absorption of IM depot dosing is described by a first-order process with rate </w:t>
      </w:r>
      <m:oMath>
        <m:r>
          <w:rPr>
            <w:rFonts w:ascii="Cambria Math" w:hAnsi="Cambria Math"/>
          </w:rPr>
          <m:t>K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IM</m:t>
            </m:r>
          </m:sub>
        </m:sSub>
      </m:oMath>
      <w:r w:rsidRPr="00DA479B">
        <w:t xml:space="preserve">.The differential equations below describe the pharmacokinetics of amounts of </w:t>
      </w:r>
      <w:bookmarkStart w:id="0" w:name="_Hlk42870616"/>
      <w:r w:rsidRPr="00DA479B">
        <w:t xml:space="preserve">aripiprazole </w:t>
      </w:r>
      <w:bookmarkEnd w:id="0"/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 w:rsidRPr="00DA479B">
        <w:t xml:space="preserve"> in each depot (</w:t>
      </w:r>
      <m:oMath>
        <m:r>
          <w:rPr>
            <w:rFonts w:ascii="Cambria Math" w:hAnsi="Cambria Math"/>
          </w:rPr>
          <m:t xml:space="preserve">i ∈1, 2) </m:t>
        </m:r>
      </m:oMath>
      <w:r w:rsidRPr="00DA479B">
        <w:t>and compartment (</w:t>
      </w:r>
      <m:oMath>
        <m:r>
          <w:rPr>
            <w:rFonts w:ascii="Cambria Math" w:hAnsi="Cambria Math"/>
          </w:rPr>
          <m:t>i ∈3,4,5)</m:t>
        </m:r>
      </m:oMath>
      <w:r w:rsidRPr="00DA479B">
        <w:t>:</w:t>
      </w:r>
    </w:p>
    <w:p w14:paraId="01F27B57" w14:textId="77777777" w:rsidR="00225E27" w:rsidRPr="00DA479B" w:rsidRDefault="00225E27" w:rsidP="00225E27"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dA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dt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=-</m:t>
          </m:r>
          <m:r>
            <w:rPr>
              <w:rFonts w:ascii="Cambria Math" w:hAnsi="Cambria Math"/>
            </w:rPr>
            <m:t>K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oral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 xml:space="preserve">∙ 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</m:sub>
          </m:sSub>
        </m:oMath>
      </m:oMathPara>
    </w:p>
    <w:p w14:paraId="4E726E2E" w14:textId="77777777" w:rsidR="00225E27" w:rsidRPr="00DA479B" w:rsidRDefault="00225E27" w:rsidP="00225E27"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dA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dt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=-</m:t>
          </m:r>
          <m:r>
            <w:rPr>
              <w:rFonts w:ascii="Cambria Math" w:hAnsi="Cambria Math"/>
            </w:rPr>
            <m:t>K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IM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 xml:space="preserve">∙ 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b>
          </m:sSub>
        </m:oMath>
      </m:oMathPara>
    </w:p>
    <w:p w14:paraId="16F9AFAF" w14:textId="77777777" w:rsidR="00225E27" w:rsidRPr="00DA479B" w:rsidRDefault="00225E27" w:rsidP="00225E27"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dA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dt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K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oral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 xml:space="preserve">∙ 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+</m:t>
          </m:r>
          <m:r>
            <w:rPr>
              <w:rFonts w:ascii="Cambria Math" w:hAnsi="Cambria Math"/>
            </w:rPr>
            <m:t>K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IM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 xml:space="preserve">∙ 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∙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IM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-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CL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r>
                <w:rPr>
                  <w:rFonts w:ascii="Cambria Math" w:hAnsi="Cambria Math"/>
                </w:rPr>
                <m:t>Q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1+</m:t>
              </m:r>
              <m:r>
                <w:rPr>
                  <w:rFonts w:ascii="Cambria Math" w:hAnsi="Cambria Math"/>
                </w:rPr>
                <m:t>Q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2)</m:t>
              </m:r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</w:rPr>
            <m:t xml:space="preserve"> ∙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3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Q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4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</w:rPr>
            <m:t>∙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4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Q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5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</w:rPr>
            <m:t>∙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5</m:t>
              </m:r>
            </m:sub>
          </m:sSub>
        </m:oMath>
      </m:oMathPara>
    </w:p>
    <w:p w14:paraId="03D5964F" w14:textId="77777777" w:rsidR="00225E27" w:rsidRPr="00DA479B" w:rsidRDefault="00225E27" w:rsidP="00225E27"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dA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4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dt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Q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</w:rPr>
            <m:t>∙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3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 xml:space="preserve">- 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Q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4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</w:rPr>
            <m:t>∙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4</m:t>
              </m:r>
            </m:sub>
          </m:sSub>
        </m:oMath>
      </m:oMathPara>
    </w:p>
    <w:p w14:paraId="33F3FDFC" w14:textId="77777777" w:rsidR="00225E27" w:rsidRPr="00DA479B" w:rsidRDefault="00225E27" w:rsidP="00225E27"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dA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5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dt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Q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</w:rPr>
            <m:t>∙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3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 xml:space="preserve">- 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Q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5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</w:rPr>
            <m:t>∙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5</m:t>
              </m:r>
            </m:sub>
          </m:sSub>
        </m:oMath>
      </m:oMathPara>
    </w:p>
    <w:p w14:paraId="3263899C" w14:textId="77777777" w:rsidR="00225E27" w:rsidRPr="00DA479B" w:rsidRDefault="00225E27" w:rsidP="00225E27">
      <w:r w:rsidRPr="00DA479B">
        <w:t xml:space="preserve">Where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Pr="00DA479B">
        <w:t xml:space="preserve">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Pr="00DA479B">
        <w:t xml:space="preserve"> denote the amounts of aripiprazole in the oral and IM depots, 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</m:oMath>
      <w:r w:rsidRPr="00DA479B">
        <w:t xml:space="preserve">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4</m:t>
            </m:r>
          </m:sub>
        </m:sSub>
        <m:r>
          <w:rPr>
            <w:rFonts w:ascii="Cambria Math" w:hAnsi="Cambria Math"/>
          </w:rPr>
          <m:t xml:space="preserve"> </m:t>
        </m:r>
      </m:oMath>
      <w:r w:rsidRPr="00DA479B">
        <w:t xml:space="preserve">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5</m:t>
            </m:r>
          </m:sub>
        </m:sSub>
      </m:oMath>
      <w:r w:rsidRPr="00DA479B">
        <w:t xml:space="preserve"> the amounts in the central, first peripheral and second peripheral compartment, respectively. The relationship between amount and concentration within a compartment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 w:rsidRPr="00DA479B">
        <w:t>, a</w:t>
      </w:r>
      <w:proofErr w:type="spellStart"/>
      <w:r w:rsidRPr="00DA479B">
        <w:t>lso</w:t>
      </w:r>
      <w:proofErr w:type="spellEnd"/>
      <w:r w:rsidRPr="00DA479B">
        <w:t xml:space="preserve"> in the </w:t>
      </w:r>
      <w:proofErr w:type="spellStart"/>
      <w:r w:rsidRPr="00DA479B">
        <w:t>Aristada</w:t>
      </w:r>
      <w:proofErr w:type="spellEnd"/>
      <w:r w:rsidRPr="00DA479B">
        <w:t xml:space="preserve"> PK model, is described by:</w:t>
      </w:r>
    </w:p>
    <w:p w14:paraId="2FA2F014" w14:textId="77777777" w:rsidR="00225E27" w:rsidRPr="00DA479B" w:rsidRDefault="00225E27" w:rsidP="00225E27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 xml:space="preserve">= 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</m:den>
          </m:f>
        </m:oMath>
      </m:oMathPara>
    </w:p>
    <w:p w14:paraId="18E0F0E8" w14:textId="77777777" w:rsidR="00225E27" w:rsidRPr="00DA479B" w:rsidRDefault="00225E27" w:rsidP="00225E27">
      <w:r w:rsidRPr="00DA479B">
        <w:t xml:space="preserve">Where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 w:rsidRPr="00DA479B">
        <w:t xml:space="preserve"> is the apparent volume in compartment </w:t>
      </w:r>
      <m:oMath>
        <m:r>
          <w:rPr>
            <w:rFonts w:ascii="Cambria Math" w:hAnsi="Cambria Math"/>
          </w:rPr>
          <m:t>i</m:t>
        </m:r>
      </m:oMath>
      <w:r w:rsidRPr="00DA479B">
        <w:t>.</w:t>
      </w:r>
    </w:p>
    <w:p w14:paraId="0886AC42" w14:textId="77777777" w:rsidR="00225E27" w:rsidRPr="00DA479B" w:rsidRDefault="00225E27" w:rsidP="00225E27"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IM</m:t>
            </m:r>
          </m:sub>
        </m:sSub>
      </m:oMath>
      <w:r w:rsidRPr="00DA479B">
        <w:t xml:space="preserve"> denotes the relative bioavailability for the IM depot; </w:t>
      </w:r>
      <m:oMath>
        <m:r>
          <w:rPr>
            <w:rFonts w:ascii="Cambria Math" w:hAnsi="Cambria Math"/>
          </w:rPr>
          <m:t xml:space="preserve">Q1 </m:t>
        </m:r>
      </m:oMath>
      <w:r w:rsidRPr="00DA479B">
        <w:t xml:space="preserve">and </w:t>
      </w:r>
      <m:oMath>
        <m:r>
          <w:rPr>
            <w:rFonts w:ascii="Cambria Math" w:hAnsi="Cambria Math"/>
          </w:rPr>
          <m:t>Q2</m:t>
        </m:r>
      </m:oMath>
      <w:r w:rsidRPr="00DA479B">
        <w:t xml:space="preserve"> denote the intercompartmental clearance (L/h) between respectively the central and first peripheral and central and second peripheral compartments; </w:t>
      </w:r>
      <m:oMath>
        <m:r>
          <w:rPr>
            <w:rFonts w:ascii="Cambria Math" w:hAnsi="Cambria Math"/>
          </w:rPr>
          <m:t>CL</m:t>
        </m:r>
      </m:oMath>
      <w:r w:rsidRPr="00DA479B">
        <w:t xml:space="preserve"> denotes the apparent clearance (L/h) from the central compartment.</w:t>
      </w:r>
    </w:p>
    <w:p w14:paraId="318B0764" w14:textId="77777777" w:rsidR="00225E27" w:rsidRPr="00DA479B" w:rsidRDefault="00225E27" w:rsidP="00225E27">
      <w:r w:rsidRPr="00DA479B">
        <w:rPr>
          <w:noProof/>
        </w:rPr>
        <w:lastRenderedPageBreak/>
        <w:drawing>
          <wp:inline distT="0" distB="0" distL="0" distR="0" wp14:anchorId="12A38BB4" wp14:editId="273331CA">
            <wp:extent cx="4320000" cy="2963312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35"/>
                    <a:stretch/>
                  </pic:blipFill>
                  <pic:spPr bwMode="auto">
                    <a:xfrm>
                      <a:off x="0" y="0"/>
                      <a:ext cx="4320000" cy="2963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A74FA2" w14:textId="3F8A3225" w:rsidR="00225E27" w:rsidRPr="00DA479B" w:rsidRDefault="00225E27" w:rsidP="00225E27">
      <w:pPr>
        <w:pStyle w:val="Caption"/>
      </w:pPr>
      <w:bookmarkStart w:id="1" w:name="_Ref45634494"/>
      <w:bookmarkStart w:id="2" w:name="_Ref45634486"/>
      <w:r w:rsidRPr="00DA479B">
        <w:t xml:space="preserve">Fig. </w:t>
      </w:r>
      <w:r>
        <w:fldChar w:fldCharType="begin"/>
      </w:r>
      <w:r>
        <w:instrText xml:space="preserve"> SEQ Fig. \* ARABIC </w:instrText>
      </w:r>
      <w: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bookmarkEnd w:id="1"/>
      <w:r w:rsidRPr="00DA479B">
        <w:t xml:space="preserve"> Diagram of the </w:t>
      </w:r>
      <w:r>
        <w:t>AM</w:t>
      </w:r>
      <w:r w:rsidRPr="00DA479B">
        <w:t xml:space="preserve"> PK model</w:t>
      </w:r>
      <w:bookmarkEnd w:id="2"/>
      <w:r>
        <w:t xml:space="preserve"> </w:t>
      </w:r>
      <w:r w:rsidRPr="00522CB9">
        <w:rPr>
          <w:b w:val="0"/>
          <w:bCs w:val="0"/>
        </w:rPr>
        <w:t>Numbers between brackets indicate the number of the compartment or depot</w:t>
      </w:r>
    </w:p>
    <w:p w14:paraId="56A6DE8E" w14:textId="77777777" w:rsidR="00225E27" w:rsidRPr="00DA479B" w:rsidRDefault="00225E27" w:rsidP="00225E27"/>
    <w:p w14:paraId="5AB4CC38" w14:textId="5CC90B5F" w:rsidR="00225E27" w:rsidRPr="00DA479B" w:rsidRDefault="00225E27" w:rsidP="00225E27">
      <w:r w:rsidRPr="00DA479B">
        <w:t>The A</w:t>
      </w:r>
      <w:r>
        <w:t>L</w:t>
      </w:r>
      <w:r w:rsidRPr="00DA479B">
        <w:t xml:space="preserve"> model </w:t>
      </w:r>
      <w:r>
        <w:t>is a 2-compartment model</w:t>
      </w:r>
      <w:r w:rsidRPr="00DA479B">
        <w:t xml:space="preserve"> with one central compartment 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</m:oMath>
      <w:r w:rsidRPr="00DA479B">
        <w:t>) and one peripheral compartment 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4</m:t>
            </m:r>
          </m:sub>
        </m:sSub>
      </m:oMath>
      <w:r w:rsidRPr="00DA479B">
        <w:t xml:space="preserve">) </w:t>
      </w:r>
      <w:r>
        <w:t xml:space="preserve">AM </w:t>
      </w:r>
      <w:r w:rsidRPr="00DA479B">
        <w:t xml:space="preserve">(see </w:t>
      </w:r>
      <w:r w:rsidRPr="00DA479B">
        <w:fldChar w:fldCharType="begin"/>
      </w:r>
      <w:r w:rsidRPr="00DA479B">
        <w:instrText xml:space="preserve"> REF _Ref45634512 \h </w:instrText>
      </w:r>
      <w:r w:rsidRPr="00DA479B">
        <w:fldChar w:fldCharType="separate"/>
      </w:r>
      <w:r w:rsidRPr="00DA479B">
        <w:t xml:space="preserve">Fig. </w:t>
      </w:r>
      <w:r>
        <w:rPr>
          <w:noProof/>
        </w:rPr>
        <w:t>2</w:t>
      </w:r>
      <w:r w:rsidRPr="00DA479B">
        <w:fldChar w:fldCharType="end"/>
      </w:r>
      <w:r w:rsidRPr="00DA479B">
        <w:t xml:space="preserve">. </w:t>
      </w:r>
      <w:r w:rsidRPr="006457FE">
        <w:t xml:space="preserve">The enzymatic conversion of (IM) aripiprazole </w:t>
      </w:r>
      <w:proofErr w:type="spellStart"/>
      <w:r w:rsidRPr="00DA479B">
        <w:t>lauroxil</w:t>
      </w:r>
      <w:proofErr w:type="spellEnd"/>
      <w:r w:rsidRPr="00DA479B">
        <w:t xml:space="preserve"> to aripiprazole and the absorption of aripiprazole are described by a zero-order process</w:t>
      </w:r>
      <w:r>
        <w:t xml:space="preserve"> with a lag time</w:t>
      </w:r>
      <w:r w:rsidRPr="00DA479B">
        <w:t xml:space="preserve">: the zero-order process </w:t>
      </w:r>
      <w:r>
        <w:t xml:space="preserve">from the IM depot to the central compartment </w:t>
      </w:r>
      <w:r w:rsidRPr="00DA479B">
        <w:t xml:space="preserve">is modelled with a duration </w:t>
      </w:r>
      <m:oMath>
        <m:r>
          <w:rPr>
            <w:rFonts w:ascii="Cambria Math" w:hAnsi="Cambria Math"/>
          </w:rPr>
          <m:t>D</m:t>
        </m:r>
      </m:oMath>
      <w:r w:rsidRPr="00DA479B">
        <w:t xml:space="preserve"> and a lag time.</w:t>
      </w:r>
      <w:r w:rsidRPr="00A87BF2">
        <w:t xml:space="preserve"> </w:t>
      </w:r>
      <w:r w:rsidRPr="00DA479B">
        <w:t xml:space="preserve">To allow the incorporation of inter-occasion variability, each IM depot is modelled separately, </w:t>
      </w:r>
      <w:proofErr w:type="gramStart"/>
      <w:r w:rsidRPr="00DA479B">
        <w:t>i.e.</w:t>
      </w:r>
      <w:proofErr w:type="gramEnd"/>
      <w:r w:rsidRPr="00DA479B">
        <w:t xml:space="preserve"> for each injection an IM depot is included. The differential equations below describe the pharmacokinetics of amounts of aripiprazole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 w:rsidRPr="00DA479B">
        <w:t xml:space="preserve"> in the oral and first IM depot (</w:t>
      </w:r>
      <m:oMath>
        <m:r>
          <w:rPr>
            <w:rFonts w:ascii="Cambria Math" w:hAnsi="Cambria Math"/>
          </w:rPr>
          <m:t>i ∈1, 2),</m:t>
        </m:r>
      </m:oMath>
      <w:r w:rsidRPr="00DA479B">
        <w:t xml:space="preserve"> central and peripheral compartment (</w:t>
      </w:r>
      <m:oMath>
        <m:r>
          <w:rPr>
            <w:rFonts w:ascii="Cambria Math" w:hAnsi="Cambria Math"/>
          </w:rPr>
          <m:t>i ∈3,4)</m:t>
        </m:r>
      </m:oMath>
      <w:r w:rsidRPr="00DA479B">
        <w:t xml:space="preserve"> and additional IM depots </w:t>
      </w:r>
      <w:r w:rsidRPr="00DA479B">
        <w:rPr>
          <w:rFonts w:ascii="Cambria Math" w:hAnsi="Cambria Math"/>
        </w:rPr>
        <w:t>(</w:t>
      </w:r>
      <m:oMath>
        <m:r>
          <w:rPr>
            <w:rFonts w:ascii="Cambria Math" w:hAnsi="Cambria Math"/>
          </w:rPr>
          <m:t>i =n+4, n∈1, 2, …, z)</m:t>
        </m:r>
      </m:oMath>
      <w:r w:rsidRPr="00DA479B">
        <w:t xml:space="preserve"> with </w:t>
      </w:r>
      <m:oMath>
        <m:r>
          <w:rPr>
            <w:rFonts w:ascii="Cambria Math" w:hAnsi="Cambria Math"/>
          </w:rPr>
          <m:t>z</m:t>
        </m:r>
      </m:oMath>
      <w:r w:rsidRPr="00DA479B">
        <w:t xml:space="preserve"> the number of modelled IM injections after the first.</w:t>
      </w:r>
    </w:p>
    <w:p w14:paraId="650B69FE" w14:textId="77777777" w:rsidR="00225E27" w:rsidRPr="00DA479B" w:rsidRDefault="00225E27" w:rsidP="00225E27"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dA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dt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=-</m:t>
          </m:r>
          <m:r>
            <w:rPr>
              <w:rFonts w:ascii="Cambria Math" w:hAnsi="Cambria Math"/>
            </w:rPr>
            <m:t>K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oral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 xml:space="preserve">∙ 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</m:sub>
          </m:sSub>
        </m:oMath>
      </m:oMathPara>
    </w:p>
    <w:p w14:paraId="01EE1376" w14:textId="77777777" w:rsidR="00225E27" w:rsidRPr="00DA479B" w:rsidRDefault="00225E27" w:rsidP="00225E27"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dA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dt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=-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</w:rPr>
            <m:t xml:space="preserve">∙ 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b>
          </m:sSub>
        </m:oMath>
      </m:oMathPara>
    </w:p>
    <w:p w14:paraId="256D55B5" w14:textId="77777777" w:rsidR="00225E27" w:rsidRPr="00DA479B" w:rsidRDefault="00225E27" w:rsidP="00225E27"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dA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dt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K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oral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 xml:space="preserve">∙ 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</w:rPr>
            <m:t xml:space="preserve">∙ 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∙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IM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-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CL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</m:t>
                  </m:r>
                  <m:r>
                    <w:rPr>
                      <w:rFonts w:ascii="Cambria Math" w:hAnsi="Cambria Math"/>
                    </w:rPr>
                    <m:t>Q</m:t>
                  </m:r>
                </m:e>
              </m:d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</w:rPr>
            <m:t xml:space="preserve"> ∙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3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Q</m:t>
              </m:r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4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</w:rPr>
            <m:t>∙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4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+1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</w:rPr>
            <m:t xml:space="preserve">∙ 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+4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∙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IM</m:t>
              </m:r>
            </m:sub>
          </m:sSub>
        </m:oMath>
      </m:oMathPara>
    </w:p>
    <w:p w14:paraId="6E7DD14D" w14:textId="77777777" w:rsidR="00225E27" w:rsidRPr="00DA479B" w:rsidRDefault="00225E27" w:rsidP="00225E27"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dA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4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dt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Q</m:t>
              </m:r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</w:rPr>
            <m:t>∙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3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 xml:space="preserve">- 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Q</m:t>
              </m:r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4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</w:rPr>
            <m:t>∙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4</m:t>
              </m:r>
            </m:sub>
          </m:sSub>
        </m:oMath>
      </m:oMathPara>
    </w:p>
    <w:p w14:paraId="6BD371ED" w14:textId="77777777" w:rsidR="00225E27" w:rsidRPr="00DA479B" w:rsidRDefault="00225E27" w:rsidP="00225E27"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dA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+4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dt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=-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+1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</w:rPr>
            <m:t xml:space="preserve">∙ 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+4</m:t>
              </m:r>
            </m:sub>
          </m:sSub>
        </m:oMath>
      </m:oMathPara>
    </w:p>
    <w:p w14:paraId="29C69426" w14:textId="77777777" w:rsidR="00225E27" w:rsidRPr="00DA479B" w:rsidRDefault="00225E27" w:rsidP="00225E27"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IM</m:t>
            </m:r>
          </m:sub>
        </m:sSub>
        <m:r>
          <w:rPr>
            <w:rFonts w:ascii="Cambria Math" w:hAnsi="Cambria Math"/>
          </w:rPr>
          <m:t xml:space="preserve"> </m:t>
        </m:r>
      </m:oMath>
      <w:r w:rsidRPr="00DA479B">
        <w:t>denotes the IM bioavailability of aripiprazole with respect to the bioavailability of oral ari</w:t>
      </w:r>
      <w:proofErr w:type="spellStart"/>
      <w:r w:rsidRPr="00DA479B">
        <w:t>piprazole</w:t>
      </w:r>
      <w:proofErr w:type="spellEnd"/>
      <w:r w:rsidRPr="00DA479B">
        <w:t xml:space="preserve">; </w:t>
      </w:r>
      <m:oMath>
        <m:r>
          <w:rPr>
            <w:rFonts w:ascii="Cambria Math" w:hAnsi="Cambria Math"/>
          </w:rPr>
          <m:t>CL</m:t>
        </m:r>
      </m:oMath>
      <w:r w:rsidRPr="00DA479B">
        <w:t xml:space="preserve"> denotes the clearance from the central compartment and </w:t>
      </w:r>
      <m:oMath>
        <m:r>
          <w:rPr>
            <w:rFonts w:ascii="Cambria Math" w:hAnsi="Cambria Math"/>
          </w:rPr>
          <m:t>Q</m:t>
        </m:r>
      </m:oMath>
      <w:r w:rsidRPr="00DA479B">
        <w:t xml:space="preserve"> the intercompartmental flow rate.</w:t>
      </w:r>
    </w:p>
    <w:p w14:paraId="422E43CE" w14:textId="77777777" w:rsidR="00225E27" w:rsidRPr="00DA479B" w:rsidRDefault="00225E27" w:rsidP="00225E27">
      <w:r w:rsidRPr="00DA479B">
        <w:rPr>
          <w:noProof/>
        </w:rPr>
        <w:drawing>
          <wp:inline distT="0" distB="0" distL="0" distR="0" wp14:anchorId="7209CB1A" wp14:editId="7CC1918A">
            <wp:extent cx="4320000" cy="3419627"/>
            <wp:effectExtent l="0" t="0" r="444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4196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EC130D" w14:textId="374ADB44" w:rsidR="00225E27" w:rsidRPr="00DA479B" w:rsidRDefault="00225E27" w:rsidP="00225E27">
      <w:pPr>
        <w:pStyle w:val="Caption"/>
      </w:pPr>
      <w:bookmarkStart w:id="3" w:name="_Ref45634512"/>
      <w:r w:rsidRPr="00DA479B">
        <w:t xml:space="preserve">Fig. </w:t>
      </w:r>
      <w:r>
        <w:fldChar w:fldCharType="begin"/>
      </w:r>
      <w:r>
        <w:instrText xml:space="preserve"> SEQ Fig. \* ARABIC </w:instrText>
      </w:r>
      <w: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  <w:bookmarkEnd w:id="3"/>
      <w:r w:rsidRPr="00DA479B">
        <w:t xml:space="preserve"> Diagram of the A</w:t>
      </w:r>
      <w:r>
        <w:t>L</w:t>
      </w:r>
      <w:r w:rsidRPr="00DA479B">
        <w:t xml:space="preserve"> PK model</w:t>
      </w:r>
      <w:r>
        <w:t xml:space="preserve">. </w:t>
      </w:r>
      <w:r w:rsidRPr="00522CB9">
        <w:rPr>
          <w:b w:val="0"/>
          <w:bCs w:val="0"/>
        </w:rPr>
        <w:t>Numbers between brackets indicate the number of the compartment or depot</w:t>
      </w:r>
    </w:p>
    <w:p w14:paraId="697E39D7" w14:textId="77777777" w:rsidR="004F5AE7" w:rsidRDefault="00225E27"/>
    <w:sectPr w:rsidR="004F5A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BB547B"/>
    <w:multiLevelType w:val="multilevel"/>
    <w:tmpl w:val="29DEA0F8"/>
    <w:lvl w:ilvl="0">
      <w:start w:val="1"/>
      <w:numFmt w:val="decimal"/>
      <w:pStyle w:val="Heading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Heading2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Heading3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27"/>
    <w:rsid w:val="000F708A"/>
    <w:rsid w:val="00225E27"/>
    <w:rsid w:val="00BA2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6B05ECD"/>
  <w15:chartTrackingRefBased/>
  <w15:docId w15:val="{231E1170-8EC6-42BA-9B63-E094F0A1F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5E27"/>
    <w:pPr>
      <w:spacing w:line="48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5E27"/>
    <w:pPr>
      <w:numPr>
        <w:numId w:val="1"/>
      </w:numPr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25E27"/>
    <w:pPr>
      <w:numPr>
        <w:ilvl w:val="1"/>
        <w:numId w:val="1"/>
      </w:numPr>
      <w:spacing w:before="240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5E27"/>
    <w:pPr>
      <w:numPr>
        <w:ilvl w:val="2"/>
        <w:numId w:val="1"/>
      </w:numPr>
      <w:spacing w:before="24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5E27"/>
    <w:rPr>
      <w:rFonts w:ascii="Times New Roman" w:hAnsi="Times New Roman" w:cs="Times New Roman"/>
      <w:b/>
      <w:bCs/>
      <w:sz w:val="20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225E27"/>
    <w:rPr>
      <w:rFonts w:ascii="Times New Roman" w:hAnsi="Times New Roman" w:cs="Times New Roman"/>
      <w:b/>
      <w:bCs/>
      <w:sz w:val="20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225E27"/>
    <w:rPr>
      <w:rFonts w:ascii="Times New Roman" w:hAnsi="Times New Roman" w:cs="Times New Roman"/>
      <w:sz w:val="20"/>
      <w:szCs w:val="20"/>
      <w:lang w:val="en-US"/>
    </w:rPr>
  </w:style>
  <w:style w:type="paragraph" w:styleId="Caption">
    <w:name w:val="caption"/>
    <w:basedOn w:val="Normal"/>
    <w:next w:val="Normal"/>
    <w:link w:val="CaptionChar"/>
    <w:unhideWhenUsed/>
    <w:qFormat/>
    <w:rsid w:val="00225E27"/>
    <w:pPr>
      <w:spacing w:after="200" w:line="240" w:lineRule="auto"/>
    </w:pPr>
    <w:rPr>
      <w:b/>
      <w:bCs/>
      <w:i/>
      <w:iCs/>
      <w:color w:val="44546A" w:themeColor="text2"/>
      <w:sz w:val="18"/>
      <w:szCs w:val="18"/>
    </w:rPr>
  </w:style>
  <w:style w:type="character" w:customStyle="1" w:styleId="CaptionChar">
    <w:name w:val="Caption Char"/>
    <w:basedOn w:val="DefaultParagraphFont"/>
    <w:link w:val="Caption"/>
    <w:rsid w:val="00225E27"/>
    <w:rPr>
      <w:rFonts w:ascii="Times New Roman" w:hAnsi="Times New Roman" w:cs="Times New Roman"/>
      <w:b/>
      <w:bCs/>
      <w:i/>
      <w:iCs/>
      <w:color w:val="44546A" w:themeColor="text2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225E2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MarjannePiena@openhealthgroup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630</Words>
  <Characters>3592</Characters>
  <Application>Microsoft Office Word</Application>
  <DocSecurity>0</DocSecurity>
  <Lines>29</Lines>
  <Paragraphs>8</Paragraphs>
  <ScaleCrop>false</ScaleCrop>
  <Company/>
  <LinksUpToDate>false</LinksUpToDate>
  <CharactersWithSpaces>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Marjanne Piena</dc:creator>
  <cp:keywords/>
  <dc:description/>
  <cp:lastModifiedBy>Marjanne Piena</cp:lastModifiedBy>
  <cp:revision>1</cp:revision>
  <dcterms:created xsi:type="dcterms:W3CDTF">2021-03-29T09:32:00Z</dcterms:created>
  <dcterms:modified xsi:type="dcterms:W3CDTF">2021-03-29T09:37:00Z</dcterms:modified>
</cp:coreProperties>
</file>