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53A1C" w14:textId="77777777" w:rsidR="00EF1B33" w:rsidRPr="009A4BFF" w:rsidRDefault="00EF1B33" w:rsidP="001201E9">
      <w:pPr>
        <w:rPr>
          <w:rFonts w:ascii="Arial" w:hAnsi="Arial" w:cs="Arial"/>
          <w:b/>
          <w:bCs/>
          <w:color w:val="000000"/>
        </w:rPr>
      </w:pPr>
      <w:r w:rsidRPr="009A4BFF">
        <w:rPr>
          <w:rFonts w:ascii="Arial" w:hAnsi="Arial" w:cs="Arial"/>
          <w:b/>
          <w:bCs/>
          <w:color w:val="000000"/>
        </w:rPr>
        <w:t>Appendix</w:t>
      </w:r>
    </w:p>
    <w:p w14:paraId="3B334786" w14:textId="77777777" w:rsidR="00EF1B33" w:rsidRPr="009A4BFF" w:rsidRDefault="00EF1B33" w:rsidP="002F58B6">
      <w:pPr>
        <w:spacing w:line="480" w:lineRule="auto"/>
        <w:rPr>
          <w:rFonts w:ascii="Arial" w:eastAsia="Arial" w:hAnsi="Arial" w:cs="Arial"/>
          <w:b/>
        </w:rPr>
      </w:pPr>
    </w:p>
    <w:p w14:paraId="394BA331" w14:textId="77777777" w:rsidR="00EF1B33" w:rsidRPr="009A4BFF" w:rsidRDefault="00EF1B33" w:rsidP="002F58B6">
      <w:pPr>
        <w:spacing w:line="480" w:lineRule="auto"/>
        <w:rPr>
          <w:rFonts w:ascii="Arial" w:eastAsia="Arial" w:hAnsi="Arial" w:cs="Arial"/>
        </w:rPr>
      </w:pPr>
      <w:r w:rsidRPr="009A4BFF">
        <w:rPr>
          <w:rFonts w:ascii="Arial" w:eastAsia="Arial" w:hAnsi="Arial" w:cs="Arial"/>
          <w:b/>
        </w:rPr>
        <w:t xml:space="preserve">Title: </w:t>
      </w:r>
      <w:r w:rsidRPr="009A4BFF">
        <w:rPr>
          <w:rFonts w:ascii="Arial" w:eastAsia="Arial" w:hAnsi="Arial" w:cs="Arial"/>
        </w:rPr>
        <w:t xml:space="preserve">Modeling the </w:t>
      </w:r>
      <w:r w:rsidRPr="009A4BFF">
        <w:rPr>
          <w:rFonts w:ascii="Arial" w:eastAsia="Arial" w:hAnsi="Arial" w:cs="Arial"/>
          <w:i/>
        </w:rPr>
        <w:t>Ex Ante</w:t>
      </w:r>
      <w:r w:rsidRPr="009A4BFF">
        <w:rPr>
          <w:rFonts w:ascii="Arial" w:eastAsia="Arial" w:hAnsi="Arial" w:cs="Arial"/>
        </w:rPr>
        <w:t xml:space="preserve"> Real Option Value in an Innovative Therapeutic Area: ALK-positive Non-Small Cell Lung Cancer </w:t>
      </w:r>
    </w:p>
    <w:p w14:paraId="25C05B87" w14:textId="77777777" w:rsidR="00EF1B33" w:rsidRPr="009A4BFF" w:rsidRDefault="00EF1B33" w:rsidP="002F58B6">
      <w:pPr>
        <w:spacing w:line="480" w:lineRule="auto"/>
        <w:rPr>
          <w:rFonts w:ascii="Arial" w:eastAsia="Arial" w:hAnsi="Arial" w:cs="Arial"/>
        </w:rPr>
      </w:pPr>
    </w:p>
    <w:p w14:paraId="5F8423E1" w14:textId="77777777" w:rsidR="00EF1B33" w:rsidRPr="009A4BFF" w:rsidRDefault="00EF1B33" w:rsidP="002F58B6">
      <w:pPr>
        <w:spacing w:line="480" w:lineRule="auto"/>
        <w:rPr>
          <w:rFonts w:ascii="Arial" w:eastAsia="Arial" w:hAnsi="Arial" w:cs="Arial"/>
          <w:vertAlign w:val="subscript"/>
        </w:rPr>
      </w:pPr>
      <w:r w:rsidRPr="009A4BFF">
        <w:rPr>
          <w:rFonts w:ascii="Arial" w:eastAsia="Arial" w:hAnsi="Arial" w:cs="Arial"/>
          <w:b/>
        </w:rPr>
        <w:t>Authors:</w:t>
      </w:r>
      <w:r w:rsidRPr="009A4BFF">
        <w:rPr>
          <w:rFonts w:ascii="Arial" w:eastAsia="Arial" w:hAnsi="Arial" w:cs="Arial"/>
        </w:rPr>
        <w:t xml:space="preserve"> </w:t>
      </w:r>
      <w:proofErr w:type="spellStart"/>
      <w:r w:rsidRPr="009A4BFF">
        <w:rPr>
          <w:rFonts w:ascii="Arial" w:eastAsia="Arial" w:hAnsi="Arial" w:cs="Arial"/>
        </w:rPr>
        <w:t>Woojung</w:t>
      </w:r>
      <w:proofErr w:type="spellEnd"/>
      <w:r w:rsidRPr="009A4BFF">
        <w:rPr>
          <w:rFonts w:ascii="Arial" w:eastAsia="Arial" w:hAnsi="Arial" w:cs="Arial"/>
        </w:rPr>
        <w:t xml:space="preserve"> Lee, Pharm D</w:t>
      </w:r>
      <w:r w:rsidRPr="009A4BFF">
        <w:rPr>
          <w:rFonts w:ascii="Arial" w:eastAsia="Arial" w:hAnsi="Arial" w:cs="Arial"/>
          <w:vertAlign w:val="superscript"/>
        </w:rPr>
        <w:t>1</w:t>
      </w:r>
      <w:r w:rsidRPr="009A4BFF">
        <w:rPr>
          <w:rFonts w:ascii="Arial" w:eastAsia="Arial" w:hAnsi="Arial" w:cs="Arial"/>
        </w:rPr>
        <w:t xml:space="preserve">, William B. Wong, </w:t>
      </w:r>
      <w:proofErr w:type="spellStart"/>
      <w:r w:rsidRPr="009A4BFF">
        <w:rPr>
          <w:rFonts w:ascii="Arial" w:eastAsia="Arial" w:hAnsi="Arial" w:cs="Arial"/>
        </w:rPr>
        <w:t>PharmD</w:t>
      </w:r>
      <w:proofErr w:type="spellEnd"/>
      <w:r w:rsidRPr="009A4BFF">
        <w:rPr>
          <w:rFonts w:ascii="Arial" w:eastAsia="Arial" w:hAnsi="Arial" w:cs="Arial"/>
        </w:rPr>
        <w:t>, MS</w:t>
      </w:r>
      <w:r w:rsidRPr="009A4BFF">
        <w:rPr>
          <w:rFonts w:ascii="Arial" w:eastAsia="Arial" w:hAnsi="Arial" w:cs="Arial"/>
          <w:vertAlign w:val="superscript"/>
        </w:rPr>
        <w:t>2</w:t>
      </w:r>
      <w:r w:rsidRPr="009A4BFF">
        <w:rPr>
          <w:rFonts w:ascii="Arial" w:eastAsia="Arial" w:hAnsi="Arial" w:cs="Arial"/>
        </w:rPr>
        <w:t>,</w:t>
      </w:r>
      <w:r w:rsidRPr="009A4BFF">
        <w:rPr>
          <w:rFonts w:ascii="Arial" w:eastAsia="Arial" w:hAnsi="Arial" w:cs="Arial"/>
          <w:vertAlign w:val="superscript"/>
        </w:rPr>
        <w:t xml:space="preserve"> </w:t>
      </w:r>
      <w:r w:rsidRPr="009A4BFF">
        <w:rPr>
          <w:rFonts w:ascii="Arial" w:eastAsia="Arial" w:hAnsi="Arial" w:cs="Arial"/>
        </w:rPr>
        <w:t xml:space="preserve">Stacey </w:t>
      </w:r>
      <w:proofErr w:type="spellStart"/>
      <w:r w:rsidRPr="009A4BFF">
        <w:rPr>
          <w:rFonts w:ascii="Arial" w:eastAsia="Arial" w:hAnsi="Arial" w:cs="Arial"/>
        </w:rPr>
        <w:t>Kowal</w:t>
      </w:r>
      <w:proofErr w:type="spellEnd"/>
      <w:r w:rsidRPr="009A4BFF">
        <w:rPr>
          <w:rFonts w:ascii="Arial" w:eastAsia="Arial" w:hAnsi="Arial" w:cs="Arial"/>
        </w:rPr>
        <w:t>, MSc</w:t>
      </w:r>
      <w:r w:rsidRPr="009A4BFF">
        <w:rPr>
          <w:rFonts w:ascii="Arial" w:eastAsia="Arial" w:hAnsi="Arial" w:cs="Arial"/>
          <w:vertAlign w:val="superscript"/>
        </w:rPr>
        <w:t>2</w:t>
      </w:r>
      <w:r w:rsidRPr="009A4BFF">
        <w:rPr>
          <w:rFonts w:ascii="Arial" w:eastAsia="Arial" w:hAnsi="Arial" w:cs="Arial"/>
        </w:rPr>
        <w:t>, Louis P. Garrison, PhD</w:t>
      </w:r>
      <w:r w:rsidRPr="009A4BFF">
        <w:rPr>
          <w:rFonts w:ascii="Arial" w:eastAsia="Arial" w:hAnsi="Arial" w:cs="Arial"/>
          <w:vertAlign w:val="superscript"/>
        </w:rPr>
        <w:t>1</w:t>
      </w:r>
      <w:r w:rsidRPr="009A4BFF">
        <w:rPr>
          <w:rFonts w:ascii="Arial" w:eastAsia="Arial" w:hAnsi="Arial" w:cs="Arial"/>
        </w:rPr>
        <w:t>,</w:t>
      </w:r>
      <w:r w:rsidRPr="009A4BFF">
        <w:rPr>
          <w:rFonts w:ascii="Arial" w:eastAsia="Arial" w:hAnsi="Arial" w:cs="Arial"/>
          <w:vertAlign w:val="superscript"/>
        </w:rPr>
        <w:t xml:space="preserve"> </w:t>
      </w:r>
      <w:r w:rsidRPr="009A4BFF">
        <w:rPr>
          <w:rFonts w:ascii="Arial" w:eastAsia="Arial" w:hAnsi="Arial" w:cs="Arial"/>
        </w:rPr>
        <w:t xml:space="preserve">David L. </w:t>
      </w:r>
      <w:proofErr w:type="spellStart"/>
      <w:r w:rsidRPr="009A4BFF">
        <w:rPr>
          <w:rFonts w:ascii="Arial" w:eastAsia="Arial" w:hAnsi="Arial" w:cs="Arial"/>
        </w:rPr>
        <w:t>Veenstra</w:t>
      </w:r>
      <w:proofErr w:type="spellEnd"/>
      <w:r w:rsidRPr="009A4BFF">
        <w:rPr>
          <w:rFonts w:ascii="Arial" w:eastAsia="Arial" w:hAnsi="Arial" w:cs="Arial"/>
        </w:rPr>
        <w:t xml:space="preserve">, </w:t>
      </w:r>
      <w:proofErr w:type="spellStart"/>
      <w:r w:rsidRPr="009A4BFF">
        <w:rPr>
          <w:rFonts w:ascii="Arial" w:eastAsia="Arial" w:hAnsi="Arial" w:cs="Arial"/>
        </w:rPr>
        <w:t>PharmD</w:t>
      </w:r>
      <w:proofErr w:type="spellEnd"/>
      <w:r w:rsidRPr="009A4BFF">
        <w:rPr>
          <w:rFonts w:ascii="Arial" w:eastAsia="Arial" w:hAnsi="Arial" w:cs="Arial"/>
        </w:rPr>
        <w:t>, PhD</w:t>
      </w:r>
      <w:r w:rsidRPr="009A4BFF">
        <w:rPr>
          <w:rFonts w:ascii="Arial" w:eastAsia="Arial" w:hAnsi="Arial" w:cs="Arial"/>
          <w:vertAlign w:val="superscript"/>
        </w:rPr>
        <w:t>1</w:t>
      </w:r>
      <w:r w:rsidRPr="009A4BFF">
        <w:rPr>
          <w:rFonts w:ascii="Arial" w:eastAsia="Arial" w:hAnsi="Arial" w:cs="Arial"/>
          <w:vertAlign w:val="subscript"/>
        </w:rPr>
        <w:t xml:space="preserve">, </w:t>
      </w:r>
      <w:proofErr w:type="spellStart"/>
      <w:r w:rsidRPr="009A4BFF">
        <w:rPr>
          <w:rFonts w:ascii="Arial" w:eastAsia="Arial" w:hAnsi="Arial" w:cs="Arial"/>
        </w:rPr>
        <w:t>Meng</w:t>
      </w:r>
      <w:proofErr w:type="spellEnd"/>
      <w:r w:rsidRPr="009A4BFF">
        <w:rPr>
          <w:rFonts w:ascii="Arial" w:eastAsia="Arial" w:hAnsi="Arial" w:cs="Arial"/>
        </w:rPr>
        <w:t xml:space="preserve"> Li, </w:t>
      </w:r>
      <w:proofErr w:type="spellStart"/>
      <w:r w:rsidRPr="009A4BFF">
        <w:rPr>
          <w:rFonts w:ascii="Arial" w:eastAsia="Arial" w:hAnsi="Arial" w:cs="Arial"/>
        </w:rPr>
        <w:t>ScM</w:t>
      </w:r>
      <w:proofErr w:type="spellEnd"/>
      <w:r w:rsidRPr="009A4BFF">
        <w:rPr>
          <w:rFonts w:ascii="Arial" w:eastAsia="Arial" w:hAnsi="Arial" w:cs="Arial"/>
        </w:rPr>
        <w:t>, PhD</w:t>
      </w:r>
      <w:r w:rsidRPr="009A4BFF">
        <w:rPr>
          <w:rFonts w:ascii="Arial" w:eastAsia="Arial" w:hAnsi="Arial" w:cs="Arial"/>
          <w:vertAlign w:val="superscript"/>
        </w:rPr>
        <w:t>3</w:t>
      </w:r>
    </w:p>
    <w:p w14:paraId="6B6166C5" w14:textId="77777777" w:rsidR="00EF1B33" w:rsidRPr="009A4BFF" w:rsidRDefault="00EF1B33" w:rsidP="002F58B6">
      <w:pPr>
        <w:tabs>
          <w:tab w:val="right" w:pos="9360"/>
        </w:tabs>
        <w:spacing w:line="480" w:lineRule="auto"/>
        <w:rPr>
          <w:rFonts w:ascii="Arial" w:eastAsia="Arial" w:hAnsi="Arial" w:cs="Arial"/>
        </w:rPr>
      </w:pPr>
      <w:r w:rsidRPr="009A4BFF">
        <w:rPr>
          <w:rFonts w:ascii="Arial" w:eastAsia="Arial" w:hAnsi="Arial" w:cs="Arial"/>
          <w:vertAlign w:val="superscript"/>
        </w:rPr>
        <w:t>1</w:t>
      </w:r>
      <w:r w:rsidRPr="009A4BFF">
        <w:rPr>
          <w:rFonts w:ascii="Arial" w:eastAsia="Arial" w:hAnsi="Arial" w:cs="Arial"/>
        </w:rPr>
        <w:t xml:space="preserve"> The CHOICE Institute, School of Pharmacy, University of Washington, Seattle, WA, USA</w:t>
      </w:r>
    </w:p>
    <w:p w14:paraId="12B09352" w14:textId="77777777" w:rsidR="00EF1B33" w:rsidRPr="009A4BFF" w:rsidRDefault="00EF1B33" w:rsidP="002F58B6">
      <w:pPr>
        <w:spacing w:line="480" w:lineRule="auto"/>
        <w:rPr>
          <w:rFonts w:ascii="Arial" w:eastAsia="Arial" w:hAnsi="Arial" w:cs="Arial"/>
        </w:rPr>
      </w:pPr>
      <w:r w:rsidRPr="009A4BFF">
        <w:rPr>
          <w:rFonts w:ascii="Arial" w:eastAsia="Arial" w:hAnsi="Arial" w:cs="Arial"/>
          <w:vertAlign w:val="superscript"/>
        </w:rPr>
        <w:t>2</w:t>
      </w:r>
      <w:r w:rsidRPr="009A4BFF">
        <w:rPr>
          <w:rFonts w:ascii="Arial" w:eastAsia="Arial" w:hAnsi="Arial" w:cs="Arial"/>
        </w:rPr>
        <w:t xml:space="preserve"> Genentech Inc., South San Francisco, CA, USA</w:t>
      </w:r>
    </w:p>
    <w:p w14:paraId="1B107F17" w14:textId="77777777" w:rsidR="00EF1B33" w:rsidRPr="009A4BFF" w:rsidRDefault="00EF1B33" w:rsidP="002F58B6">
      <w:pPr>
        <w:spacing w:line="480" w:lineRule="auto"/>
        <w:rPr>
          <w:rFonts w:ascii="Arial" w:eastAsia="Arial" w:hAnsi="Arial" w:cs="Arial"/>
        </w:rPr>
      </w:pPr>
      <w:r w:rsidRPr="009A4BFF">
        <w:rPr>
          <w:rFonts w:ascii="Arial" w:eastAsia="Arial" w:hAnsi="Arial" w:cs="Arial"/>
          <w:vertAlign w:val="superscript"/>
        </w:rPr>
        <w:t xml:space="preserve">3 </w:t>
      </w:r>
      <w:r w:rsidRPr="009A4BFF">
        <w:rPr>
          <w:rFonts w:ascii="Arial" w:eastAsia="Arial" w:hAnsi="Arial" w:cs="Arial"/>
        </w:rPr>
        <w:t>Department of Health Services Research, University of Texas MD Anderson Cancer Center, Houston, TX, USA</w:t>
      </w:r>
    </w:p>
    <w:p w14:paraId="62E86813" w14:textId="77777777" w:rsidR="00EF1B33" w:rsidRPr="009A4BFF" w:rsidRDefault="00EF1B33" w:rsidP="005131CE">
      <w:pPr>
        <w:spacing w:line="480" w:lineRule="auto"/>
        <w:rPr>
          <w:rFonts w:ascii="Arial" w:eastAsia="Arial" w:hAnsi="Arial" w:cs="Arial"/>
        </w:rPr>
      </w:pPr>
    </w:p>
    <w:p w14:paraId="08ED8F20" w14:textId="77777777" w:rsidR="00EF1B33" w:rsidRPr="009A4BFF" w:rsidRDefault="00EF1B33" w:rsidP="005131CE">
      <w:pPr>
        <w:spacing w:line="480" w:lineRule="auto"/>
        <w:rPr>
          <w:rFonts w:ascii="Arial" w:eastAsiaTheme="minorHAnsi" w:hAnsi="Arial" w:cs="Arial"/>
          <w:bCs/>
        </w:rPr>
      </w:pPr>
      <w:r w:rsidRPr="009A4BFF">
        <w:rPr>
          <w:rFonts w:ascii="Arial" w:eastAsia="Arial" w:hAnsi="Arial" w:cs="Arial"/>
          <w:b/>
        </w:rPr>
        <w:t>Corresponding author:</w:t>
      </w:r>
      <w:r w:rsidRPr="009A4BFF">
        <w:rPr>
          <w:rFonts w:ascii="Arial" w:eastAsia="Arial" w:hAnsi="Arial" w:cs="Arial"/>
          <w:bCs/>
        </w:rPr>
        <w:t xml:space="preserve"> </w:t>
      </w:r>
      <w:proofErr w:type="spellStart"/>
      <w:r w:rsidRPr="009A4BFF">
        <w:rPr>
          <w:rFonts w:ascii="Arial" w:eastAsia="Arial" w:hAnsi="Arial" w:cs="Arial"/>
          <w:bCs/>
        </w:rPr>
        <w:t>Meng</w:t>
      </w:r>
      <w:proofErr w:type="spellEnd"/>
      <w:r w:rsidRPr="009A4BFF">
        <w:rPr>
          <w:rFonts w:ascii="Arial" w:eastAsia="Arial" w:hAnsi="Arial" w:cs="Arial"/>
          <w:bCs/>
        </w:rPr>
        <w:t xml:space="preserve"> Li, </w:t>
      </w:r>
      <w:proofErr w:type="spellStart"/>
      <w:r w:rsidRPr="009A4BFF">
        <w:rPr>
          <w:rFonts w:ascii="Arial" w:eastAsia="Arial" w:hAnsi="Arial" w:cs="Arial"/>
          <w:bCs/>
        </w:rPr>
        <w:t>ScM</w:t>
      </w:r>
      <w:proofErr w:type="spellEnd"/>
      <w:r w:rsidRPr="009A4BFF">
        <w:rPr>
          <w:rFonts w:ascii="Arial" w:eastAsia="Arial" w:hAnsi="Arial" w:cs="Arial"/>
          <w:bCs/>
        </w:rPr>
        <w:t xml:space="preserve">, PhD, Department of Health Services Research, University of Texas MD Anderson Cancer Center, Houston, TX, USA, 77030, mli14@mdanderson.org, Phone 832-728-8359, Fax </w:t>
      </w:r>
      <w:r w:rsidRPr="009A4BFF">
        <w:rPr>
          <w:rFonts w:ascii="Arial" w:eastAsiaTheme="minorHAnsi" w:hAnsi="Arial" w:cs="Arial"/>
          <w:bCs/>
        </w:rPr>
        <w:t xml:space="preserve">713-563-0020 </w:t>
      </w:r>
    </w:p>
    <w:p w14:paraId="1C987985" w14:textId="77777777" w:rsidR="00EF1B33" w:rsidRPr="009A4BFF" w:rsidRDefault="00EF1B33" w:rsidP="001201E9">
      <w:pPr>
        <w:rPr>
          <w:rFonts w:ascii="Arial" w:hAnsi="Arial" w:cs="Arial"/>
          <w:b/>
          <w:bCs/>
          <w:color w:val="000000"/>
        </w:rPr>
      </w:pPr>
    </w:p>
    <w:p w14:paraId="207AB451" w14:textId="77777777" w:rsidR="00EF1B33" w:rsidRPr="009A4BFF" w:rsidRDefault="00EF1B33" w:rsidP="001201E9">
      <w:pPr>
        <w:rPr>
          <w:rFonts w:ascii="Arial" w:hAnsi="Arial" w:cs="Arial"/>
          <w:b/>
          <w:bCs/>
          <w:color w:val="000000"/>
        </w:rPr>
      </w:pPr>
    </w:p>
    <w:p w14:paraId="1E644877" w14:textId="77777777" w:rsidR="00EF1B33" w:rsidRPr="00183A52" w:rsidRDefault="00EF1B33">
      <w:pPr>
        <w:rPr>
          <w:rFonts w:ascii="Arial" w:hAnsi="Arial" w:cs="Arial"/>
          <w:b/>
          <w:bCs/>
          <w:color w:val="000000"/>
        </w:rPr>
      </w:pPr>
      <w:r w:rsidRPr="00183A52">
        <w:rPr>
          <w:rFonts w:ascii="Arial" w:hAnsi="Arial" w:cs="Arial"/>
          <w:b/>
          <w:bCs/>
          <w:color w:val="000000"/>
        </w:rPr>
        <w:br w:type="page"/>
      </w:r>
    </w:p>
    <w:p w14:paraId="083CCA30" w14:textId="77777777" w:rsidR="00EF1B33" w:rsidRDefault="00EF1B33" w:rsidP="001201E9">
      <w:pPr>
        <w:rPr>
          <w:rFonts w:ascii="Arial" w:hAnsi="Arial" w:cs="Arial"/>
          <w:b/>
          <w:bCs/>
          <w:color w:val="000000"/>
        </w:rPr>
      </w:pPr>
      <w:r w:rsidRPr="00183A52">
        <w:rPr>
          <w:rFonts w:ascii="Arial" w:hAnsi="Arial" w:cs="Arial"/>
          <w:b/>
          <w:bCs/>
          <w:color w:val="000000"/>
        </w:rPr>
        <w:lastRenderedPageBreak/>
        <w:t xml:space="preserve">Appendix </w:t>
      </w:r>
    </w:p>
    <w:p w14:paraId="6CA070FF" w14:textId="77777777" w:rsidR="001A3300" w:rsidRDefault="001A3300" w:rsidP="001A3300">
      <w:pPr>
        <w:rPr>
          <w:rFonts w:ascii="Arial" w:eastAsia="Arial" w:hAnsi="Arial" w:cs="Arial"/>
          <w:b/>
          <w:bCs/>
          <w:color w:val="000000"/>
        </w:rPr>
      </w:pPr>
      <w:r w:rsidRPr="0068580A">
        <w:rPr>
          <w:rFonts w:ascii="Arial" w:eastAsia="Arial" w:hAnsi="Arial" w:cs="Arial"/>
          <w:b/>
          <w:bCs/>
          <w:color w:val="000000"/>
        </w:rPr>
        <w:t xml:space="preserve">Appendix 1. </w:t>
      </w:r>
      <w:r>
        <w:rPr>
          <w:rFonts w:ascii="Arial" w:eastAsia="Arial" w:hAnsi="Arial" w:cs="Arial"/>
          <w:b/>
          <w:bCs/>
          <w:color w:val="000000"/>
        </w:rPr>
        <w:t>Model structure and the e</w:t>
      </w:r>
      <w:r w:rsidRPr="0068580A">
        <w:rPr>
          <w:rFonts w:ascii="Arial" w:eastAsia="Arial" w:hAnsi="Arial" w:cs="Arial"/>
          <w:b/>
          <w:bCs/>
          <w:color w:val="000000"/>
        </w:rPr>
        <w:t>stimation of the transition probabilities</w:t>
      </w:r>
    </w:p>
    <w:p w14:paraId="71808ECF" w14:textId="77777777" w:rsidR="00EF1B33" w:rsidRPr="009A4BFF" w:rsidRDefault="00EF1B33" w:rsidP="00133108">
      <w:pPr>
        <w:rPr>
          <w:rFonts w:ascii="Arial" w:eastAsia="Arial" w:hAnsi="Arial" w:cs="Arial"/>
          <w:b/>
          <w:bCs/>
          <w:color w:val="000000"/>
        </w:rPr>
      </w:pPr>
      <w:r w:rsidRPr="009A4BFF">
        <w:rPr>
          <w:rFonts w:ascii="Arial" w:eastAsia="Arial" w:hAnsi="Arial" w:cs="Arial"/>
          <w:b/>
          <w:bCs/>
          <w:color w:val="000000"/>
        </w:rPr>
        <w:t>Appendix 2. Rationale for the parametric survival curves of choice and the comparison of KM data and fitted curves</w:t>
      </w:r>
    </w:p>
    <w:p w14:paraId="6BF39C13" w14:textId="77777777" w:rsidR="00EF1B33" w:rsidRPr="009A4BFF" w:rsidRDefault="00EF1B33" w:rsidP="00133108">
      <w:pPr>
        <w:rPr>
          <w:rFonts w:ascii="Arial" w:eastAsia="Arial" w:hAnsi="Arial" w:cs="Arial"/>
          <w:b/>
          <w:bCs/>
          <w:color w:val="000000"/>
        </w:rPr>
      </w:pPr>
      <w:r w:rsidRPr="009A4BFF">
        <w:rPr>
          <w:rFonts w:ascii="Arial" w:eastAsia="Arial" w:hAnsi="Arial" w:cs="Arial"/>
          <w:b/>
          <w:bCs/>
          <w:color w:val="000000"/>
        </w:rPr>
        <w:t xml:space="preserve">Appendix 3. </w:t>
      </w:r>
      <w:r w:rsidRPr="005F273D">
        <w:rPr>
          <w:rFonts w:ascii="Arial" w:eastAsia="Arial" w:hAnsi="Arial" w:cs="Arial"/>
          <w:b/>
          <w:bCs/>
          <w:color w:val="000000"/>
        </w:rPr>
        <w:t xml:space="preserve">The incremental ROV of 1L </w:t>
      </w:r>
      <w:proofErr w:type="spellStart"/>
      <w:r w:rsidRPr="005F273D">
        <w:rPr>
          <w:rFonts w:ascii="Arial" w:eastAsia="Arial" w:hAnsi="Arial" w:cs="Arial"/>
          <w:b/>
          <w:bCs/>
          <w:color w:val="000000"/>
        </w:rPr>
        <w:t>alectinib</w:t>
      </w:r>
      <w:proofErr w:type="spellEnd"/>
      <w:r w:rsidRPr="009A4BFF">
        <w:rPr>
          <w:rFonts w:ascii="Arial" w:eastAsia="Arial" w:hAnsi="Arial" w:cs="Arial"/>
          <w:b/>
          <w:bCs/>
          <w:color w:val="000000"/>
        </w:rPr>
        <w:t xml:space="preserve"> when separate parametric curves were fitted to the PFS of 1L </w:t>
      </w:r>
      <w:proofErr w:type="spellStart"/>
      <w:r w:rsidRPr="009A4BFF">
        <w:rPr>
          <w:rFonts w:ascii="Arial" w:eastAsia="Arial" w:hAnsi="Arial" w:cs="Arial"/>
          <w:b/>
          <w:bCs/>
          <w:color w:val="000000"/>
        </w:rPr>
        <w:t>alectinib</w:t>
      </w:r>
      <w:proofErr w:type="spellEnd"/>
      <w:r w:rsidRPr="009A4BFF">
        <w:rPr>
          <w:rFonts w:ascii="Arial" w:eastAsia="Arial" w:hAnsi="Arial" w:cs="Arial"/>
          <w:b/>
          <w:bCs/>
          <w:color w:val="000000"/>
        </w:rPr>
        <w:t xml:space="preserve"> and </w:t>
      </w:r>
      <w:proofErr w:type="spellStart"/>
      <w:r w:rsidRPr="009A4BFF">
        <w:rPr>
          <w:rFonts w:ascii="Arial" w:eastAsia="Arial" w:hAnsi="Arial" w:cs="Arial"/>
          <w:b/>
          <w:bCs/>
          <w:color w:val="000000"/>
        </w:rPr>
        <w:t>crizotinib</w:t>
      </w:r>
      <w:proofErr w:type="spellEnd"/>
      <w:r w:rsidRPr="009A4BFF">
        <w:rPr>
          <w:rFonts w:ascii="Arial" w:eastAsia="Arial" w:hAnsi="Arial" w:cs="Arial"/>
          <w:b/>
          <w:bCs/>
          <w:color w:val="000000"/>
        </w:rPr>
        <w:t xml:space="preserve"> instead of using the HR of PFS</w:t>
      </w:r>
    </w:p>
    <w:p w14:paraId="7BB76EEC" w14:textId="77777777" w:rsidR="00EF1B33" w:rsidRPr="009A4BFF" w:rsidRDefault="00EF1B33" w:rsidP="00133108">
      <w:pPr>
        <w:rPr>
          <w:rFonts w:ascii="Arial" w:hAnsi="Arial" w:cs="Arial"/>
          <w:b/>
          <w:bCs/>
          <w:color w:val="000000"/>
          <w:shd w:val="clear" w:color="auto" w:fill="FFFFFF"/>
        </w:rPr>
      </w:pPr>
      <w:r w:rsidRPr="009A4BFF">
        <w:rPr>
          <w:rFonts w:ascii="Arial" w:hAnsi="Arial" w:cs="Arial"/>
          <w:b/>
          <w:bCs/>
          <w:color w:val="000000"/>
        </w:rPr>
        <w:t>Appendix 4. Structured review of Clinicaltrials.gov for likely future drugs</w:t>
      </w:r>
    </w:p>
    <w:p w14:paraId="472754D6" w14:textId="77777777" w:rsidR="00EF1B33" w:rsidRPr="009A4BFF" w:rsidRDefault="00EF1B33" w:rsidP="00133108">
      <w:pPr>
        <w:rPr>
          <w:rFonts w:ascii="Arial" w:hAnsi="Arial" w:cs="Arial"/>
          <w:b/>
          <w:bCs/>
          <w:color w:val="000000"/>
        </w:rPr>
      </w:pPr>
      <w:r w:rsidRPr="009A4BFF">
        <w:rPr>
          <w:rFonts w:ascii="Arial" w:hAnsi="Arial" w:cs="Arial"/>
          <w:b/>
          <w:bCs/>
          <w:color w:val="000000"/>
        </w:rPr>
        <w:t>Appendix 5. Estimation of the potential incremental efficacy, the likelihood of approval, and the timing of arrival of likely future drugs</w:t>
      </w:r>
    </w:p>
    <w:p w14:paraId="4AEE6E62" w14:textId="77777777" w:rsidR="00EF1B33" w:rsidRPr="009A4BFF" w:rsidRDefault="00EF1B33" w:rsidP="00133108">
      <w:pPr>
        <w:rPr>
          <w:rFonts w:ascii="Arial" w:hAnsi="Arial" w:cs="Arial"/>
          <w:b/>
          <w:bCs/>
          <w:color w:val="000000"/>
          <w:shd w:val="clear" w:color="auto" w:fill="FFFFFF"/>
        </w:rPr>
      </w:pPr>
      <w:r w:rsidRPr="009A4BFF">
        <w:rPr>
          <w:rFonts w:ascii="Arial" w:hAnsi="Arial" w:cs="Arial"/>
          <w:b/>
          <w:bCs/>
          <w:color w:val="000000"/>
          <w:shd w:val="clear" w:color="auto" w:fill="FFFFFF"/>
        </w:rPr>
        <w:t>Appendix 6. Characterization of uncertainty of ROV-related parameters</w:t>
      </w:r>
    </w:p>
    <w:p w14:paraId="6CD417B8" w14:textId="45F3F740" w:rsidR="00926EEF" w:rsidRPr="00183A52" w:rsidRDefault="00926EEF" w:rsidP="00133108">
      <w:pPr>
        <w:rPr>
          <w:rFonts w:ascii="Arial" w:hAnsi="Arial" w:cs="Arial"/>
          <w:b/>
          <w:bCs/>
          <w:color w:val="000000"/>
        </w:rPr>
      </w:pPr>
      <w:r w:rsidRPr="009A4BFF">
        <w:rPr>
          <w:rFonts w:ascii="Arial" w:hAnsi="Arial" w:cs="Arial"/>
          <w:b/>
          <w:bCs/>
          <w:color w:val="000000"/>
        </w:rPr>
        <w:t xml:space="preserve">Appendix </w:t>
      </w:r>
      <w:r>
        <w:rPr>
          <w:rFonts w:ascii="Arial" w:hAnsi="Arial" w:cs="Arial"/>
          <w:b/>
          <w:bCs/>
          <w:color w:val="000000"/>
        </w:rPr>
        <w:t>7</w:t>
      </w:r>
      <w:r w:rsidRPr="009A4BFF">
        <w:rPr>
          <w:rFonts w:ascii="Arial" w:hAnsi="Arial" w:cs="Arial"/>
          <w:b/>
          <w:bCs/>
          <w:color w:val="000000"/>
        </w:rPr>
        <w:t>. Estimation of the incremental utility for the progressed disease state with vs. without using innovative drugs as a 2L</w:t>
      </w:r>
    </w:p>
    <w:p w14:paraId="380D7ADF" w14:textId="0B2159B4" w:rsidR="00EF1B33" w:rsidRPr="00FC316C" w:rsidRDefault="00EF1B33" w:rsidP="00133108">
      <w:pPr>
        <w:rPr>
          <w:rFonts w:ascii="Arial" w:hAnsi="Arial" w:cs="Arial"/>
          <w:b/>
          <w:bCs/>
          <w:color w:val="000000"/>
        </w:rPr>
      </w:pPr>
      <w:r w:rsidRPr="009A4BFF">
        <w:rPr>
          <w:rFonts w:ascii="Arial" w:hAnsi="Arial" w:cs="Arial"/>
          <w:b/>
          <w:bCs/>
          <w:color w:val="000000"/>
          <w:shd w:val="clear" w:color="auto" w:fill="FFFFFF"/>
        </w:rPr>
        <w:t xml:space="preserve">Appendix </w:t>
      </w:r>
      <w:r w:rsidR="00926EEF">
        <w:rPr>
          <w:rFonts w:ascii="Arial" w:hAnsi="Arial" w:cs="Arial"/>
          <w:b/>
          <w:bCs/>
          <w:color w:val="000000"/>
          <w:shd w:val="clear" w:color="auto" w:fill="FFFFFF"/>
        </w:rPr>
        <w:t>8</w:t>
      </w:r>
      <w:r w:rsidRPr="009A4BFF">
        <w:rPr>
          <w:rFonts w:ascii="Arial" w:hAnsi="Arial" w:cs="Arial"/>
          <w:b/>
          <w:bCs/>
          <w:color w:val="000000"/>
          <w:shd w:val="clear" w:color="auto" w:fill="FFFFFF"/>
        </w:rPr>
        <w:t xml:space="preserve">. The incremental ROV of 1L </w:t>
      </w:r>
      <w:proofErr w:type="spellStart"/>
      <w:r w:rsidRPr="009A4BFF">
        <w:rPr>
          <w:rFonts w:ascii="Arial" w:hAnsi="Arial" w:cs="Arial"/>
          <w:b/>
          <w:bCs/>
          <w:color w:val="000000"/>
          <w:shd w:val="clear" w:color="auto" w:fill="FFFFFF"/>
        </w:rPr>
        <w:t>alectinib</w:t>
      </w:r>
      <w:proofErr w:type="spellEnd"/>
      <w:r w:rsidRPr="009A4BFF">
        <w:rPr>
          <w:rFonts w:ascii="Arial" w:hAnsi="Arial" w:cs="Arial"/>
          <w:b/>
          <w:bCs/>
          <w:color w:val="000000"/>
          <w:shd w:val="clear" w:color="auto" w:fill="FFFFFF"/>
        </w:rPr>
        <w:t xml:space="preserve"> (vs. </w:t>
      </w:r>
      <w:proofErr w:type="spellStart"/>
      <w:r w:rsidRPr="009A4BFF">
        <w:rPr>
          <w:rFonts w:ascii="Arial" w:hAnsi="Arial" w:cs="Arial"/>
          <w:b/>
          <w:bCs/>
          <w:color w:val="000000"/>
          <w:shd w:val="clear" w:color="auto" w:fill="FFFFFF"/>
        </w:rPr>
        <w:t>crizotinib</w:t>
      </w:r>
      <w:proofErr w:type="spellEnd"/>
      <w:r w:rsidRPr="009A4BFF">
        <w:rPr>
          <w:rFonts w:ascii="Arial" w:hAnsi="Arial" w:cs="Arial"/>
          <w:b/>
          <w:bCs/>
          <w:color w:val="000000"/>
          <w:shd w:val="clear" w:color="auto" w:fill="FFFFFF"/>
        </w:rPr>
        <w:t>) in QALYs across three different uptake levels</w:t>
      </w:r>
    </w:p>
    <w:p w14:paraId="530BCE44" w14:textId="77777777" w:rsidR="00EF1B33" w:rsidRPr="00183A52" w:rsidRDefault="00EF1B33" w:rsidP="001201E9">
      <w:pPr>
        <w:rPr>
          <w:rFonts w:ascii="Arial" w:hAnsi="Arial" w:cs="Arial"/>
          <w:b/>
          <w:bCs/>
          <w:color w:val="000000"/>
        </w:rPr>
      </w:pPr>
    </w:p>
    <w:p w14:paraId="06F4E471" w14:textId="77777777" w:rsidR="00EF1B33" w:rsidRPr="00183A52" w:rsidRDefault="00EF1B33" w:rsidP="001201E9">
      <w:pPr>
        <w:rPr>
          <w:rFonts w:ascii="Arial" w:hAnsi="Arial" w:cs="Arial"/>
          <w:b/>
          <w:bCs/>
          <w:color w:val="000000"/>
        </w:rPr>
      </w:pPr>
    </w:p>
    <w:p w14:paraId="7BEC7F71" w14:textId="77777777" w:rsidR="00EF1B33" w:rsidRPr="00183A52" w:rsidRDefault="00EF1B33">
      <w:pPr>
        <w:rPr>
          <w:rFonts w:ascii="Arial" w:hAnsi="Arial" w:cs="Arial"/>
          <w:b/>
          <w:bCs/>
          <w:color w:val="000000"/>
        </w:rPr>
      </w:pPr>
      <w:r w:rsidRPr="00183A52">
        <w:rPr>
          <w:rFonts w:ascii="Arial" w:hAnsi="Arial" w:cs="Arial"/>
          <w:b/>
          <w:bCs/>
          <w:color w:val="000000"/>
        </w:rPr>
        <w:br w:type="page"/>
      </w:r>
    </w:p>
    <w:p w14:paraId="3AE1FB53" w14:textId="4CC813C2" w:rsidR="00EF1B33" w:rsidRDefault="00EF1B33" w:rsidP="001201E9">
      <w:pPr>
        <w:rPr>
          <w:rFonts w:ascii="Arial" w:eastAsia="Arial" w:hAnsi="Arial" w:cs="Arial"/>
          <w:b/>
          <w:bCs/>
          <w:color w:val="000000"/>
        </w:rPr>
      </w:pPr>
      <w:r w:rsidRPr="0068580A">
        <w:rPr>
          <w:rFonts w:ascii="Arial" w:eastAsia="Arial" w:hAnsi="Arial" w:cs="Arial"/>
          <w:b/>
          <w:bCs/>
          <w:color w:val="000000"/>
        </w:rPr>
        <w:lastRenderedPageBreak/>
        <w:t xml:space="preserve">Appendix 1. </w:t>
      </w:r>
      <w:r w:rsidR="001A3300">
        <w:rPr>
          <w:rFonts w:ascii="Arial" w:eastAsia="Arial" w:hAnsi="Arial" w:cs="Arial"/>
          <w:b/>
          <w:bCs/>
          <w:color w:val="000000"/>
        </w:rPr>
        <w:t>Model structure and the e</w:t>
      </w:r>
      <w:r w:rsidRPr="0068580A">
        <w:rPr>
          <w:rFonts w:ascii="Arial" w:eastAsia="Arial" w:hAnsi="Arial" w:cs="Arial"/>
          <w:b/>
          <w:bCs/>
          <w:color w:val="000000"/>
        </w:rPr>
        <w:t>stimation of the transition probabilities</w:t>
      </w:r>
    </w:p>
    <w:p w14:paraId="0A7380F0" w14:textId="0CF84EB3" w:rsidR="00EF1B33" w:rsidRDefault="00120FC1" w:rsidP="001201E9">
      <w:pPr>
        <w:rPr>
          <w:rFonts w:ascii="Arial" w:eastAsia="Arial" w:hAnsi="Arial" w:cs="Arial"/>
          <w:color w:val="000000"/>
        </w:rPr>
      </w:pPr>
      <w:r>
        <w:rPr>
          <w:rFonts w:ascii="Arial" w:eastAsia="Arial" w:hAnsi="Arial" w:cs="Arial"/>
          <w:color w:val="000000"/>
        </w:rPr>
        <w:t>In our model, p</w:t>
      </w:r>
      <w:r w:rsidR="001A3300" w:rsidRPr="00A71388">
        <w:rPr>
          <w:rFonts w:ascii="Arial" w:eastAsia="Arial" w:hAnsi="Arial" w:cs="Arial"/>
          <w:color w:val="000000"/>
        </w:rPr>
        <w:t xml:space="preserve">atients started from the pre-progression state and could remain in the same state or move to either progressed or dead states in each cycle (1 month). </w:t>
      </w:r>
      <w:r w:rsidR="001A3300" w:rsidRPr="006B5E07">
        <w:rPr>
          <w:rFonts w:ascii="Arial" w:eastAsia="Arial" w:hAnsi="Arial" w:cs="Arial"/>
          <w:color w:val="000000"/>
        </w:rPr>
        <w:t>Before the time of arrival of future drugs, those who progressed on the 1L treatment moved to the ‘progressed without innovative drugs in the 2L’ state. After the future drugs arrived, they moved to the ‘progressed with innovative drugs in the 2L’ state</w:t>
      </w:r>
      <w:r w:rsidR="00877F76">
        <w:rPr>
          <w:rFonts w:ascii="Arial" w:eastAsia="Arial" w:hAnsi="Arial" w:cs="Arial"/>
          <w:color w:val="000000"/>
        </w:rPr>
        <w:t xml:space="preserve">. </w:t>
      </w:r>
      <w:r w:rsidR="001A3300" w:rsidRPr="00A71388">
        <w:rPr>
          <w:rFonts w:ascii="Arial" w:eastAsia="Arial" w:hAnsi="Arial" w:cs="Arial"/>
          <w:color w:val="000000"/>
        </w:rPr>
        <w:t>Those in either of the progressed states could remain there or transition to the dead state based on disease-related and all-cause mortality</w:t>
      </w:r>
      <w:r w:rsidR="001A3300" w:rsidRPr="00A71388">
        <w:rPr>
          <w:rFonts w:ascii="Arial" w:hAnsi="Arial" w:cs="Arial"/>
          <w:color w:val="000000"/>
        </w:rPr>
        <w:t>.</w:t>
      </w:r>
    </w:p>
    <w:p w14:paraId="0C262C3D" w14:textId="77777777" w:rsidR="00EF1B33" w:rsidRPr="009A4BFF" w:rsidRDefault="00EF1B33" w:rsidP="001201E9">
      <w:pPr>
        <w:rPr>
          <w:rFonts w:ascii="Arial" w:eastAsia="Arial" w:hAnsi="Arial" w:cs="Arial"/>
          <w:b/>
          <w:bCs/>
          <w:color w:val="000000"/>
        </w:rPr>
      </w:pPr>
      <w:r w:rsidRPr="009A4BFF">
        <w:rPr>
          <w:rFonts w:ascii="Arial" w:hAnsi="Arial" w:cs="Arial"/>
          <w:b/>
          <w:bCs/>
          <w:noProof/>
          <w:color w:val="000000"/>
          <w:lang w:eastAsia="en-US"/>
        </w:rPr>
        <w:drawing>
          <wp:anchor distT="0" distB="0" distL="114300" distR="114300" simplePos="0" relativeHeight="251659264" behindDoc="0" locked="0" layoutInCell="1" allowOverlap="1" wp14:anchorId="287E5556" wp14:editId="119C7DF1">
            <wp:simplePos x="0" y="0"/>
            <wp:positionH relativeFrom="margin">
              <wp:align>left</wp:align>
            </wp:positionH>
            <wp:positionV relativeFrom="paragraph">
              <wp:posOffset>358140</wp:posOffset>
            </wp:positionV>
            <wp:extent cx="6588125" cy="3390900"/>
            <wp:effectExtent l="0" t="0" r="0" b="0"/>
            <wp:wrapSquare wrapText="bothSides"/>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88125" cy="3390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Arial" w:hAnsi="Arial" w:cs="Arial"/>
          <w:color w:val="000000"/>
        </w:rPr>
        <w:t xml:space="preserve">We provided </w:t>
      </w:r>
      <w:r w:rsidRPr="00183A52">
        <w:rPr>
          <w:rFonts w:ascii="Arial" w:eastAsia="Arial" w:hAnsi="Arial" w:cs="Arial"/>
          <w:b/>
          <w:bCs/>
          <w:color w:val="000000"/>
        </w:rPr>
        <w:t>Figure S1</w:t>
      </w:r>
      <w:r>
        <w:rPr>
          <w:rFonts w:ascii="Arial" w:eastAsia="Arial" w:hAnsi="Arial" w:cs="Arial"/>
          <w:color w:val="000000"/>
        </w:rPr>
        <w:t xml:space="preserve"> to show how the transition probabilities between the health states in our Markov model were estimated. </w:t>
      </w:r>
    </w:p>
    <w:p w14:paraId="2F7BEAB7" w14:textId="77777777" w:rsidR="00EF1B33" w:rsidRPr="00183A52" w:rsidRDefault="00EF1B33" w:rsidP="001201E9">
      <w:pPr>
        <w:rPr>
          <w:rFonts w:ascii="Arial" w:hAnsi="Arial" w:cs="Arial"/>
          <w:b/>
          <w:bCs/>
          <w:color w:val="000000"/>
        </w:rPr>
      </w:pPr>
      <w:r>
        <w:rPr>
          <w:rFonts w:ascii="Arial" w:hAnsi="Arial" w:cs="Arial"/>
          <w:b/>
          <w:bCs/>
          <w:color w:val="000000"/>
        </w:rPr>
        <w:t xml:space="preserve">Figure S1. </w:t>
      </w:r>
      <w:r w:rsidRPr="00183A52">
        <w:rPr>
          <w:rFonts w:ascii="Arial" w:hAnsi="Arial" w:cs="Arial"/>
          <w:color w:val="000000"/>
        </w:rPr>
        <w:t>Estimation of the transition probabilities and the sources used to estimate them</w:t>
      </w:r>
    </w:p>
    <w:p w14:paraId="3FE83E0E" w14:textId="77777777" w:rsidR="00EF1B33" w:rsidRPr="00183A52" w:rsidRDefault="00EF1B33">
      <w:pPr>
        <w:rPr>
          <w:rFonts w:ascii="Arial" w:hAnsi="Arial" w:cs="Arial"/>
          <w:b/>
          <w:bCs/>
          <w:color w:val="000000"/>
        </w:rPr>
      </w:pPr>
      <w:r w:rsidRPr="00183A52">
        <w:rPr>
          <w:rFonts w:ascii="Arial" w:hAnsi="Arial" w:cs="Arial"/>
          <w:b/>
          <w:bCs/>
          <w:color w:val="000000"/>
        </w:rPr>
        <w:br w:type="page"/>
      </w:r>
    </w:p>
    <w:p w14:paraId="4BA1752E" w14:textId="77777777" w:rsidR="00EF1B33" w:rsidRPr="009A4BFF" w:rsidRDefault="00EF1B33">
      <w:pPr>
        <w:rPr>
          <w:rFonts w:ascii="Arial" w:eastAsia="Arial" w:hAnsi="Arial" w:cs="Arial"/>
          <w:b/>
          <w:bCs/>
          <w:color w:val="000000"/>
        </w:rPr>
      </w:pPr>
      <w:r w:rsidRPr="009A4BFF">
        <w:rPr>
          <w:rFonts w:ascii="Arial" w:eastAsia="Arial" w:hAnsi="Arial" w:cs="Arial"/>
          <w:b/>
          <w:bCs/>
          <w:color w:val="000000"/>
        </w:rPr>
        <w:lastRenderedPageBreak/>
        <w:t xml:space="preserve">Appendix 2. Rationale for the parametric survival curves of choice and the comparison of KM data and fitted curves </w:t>
      </w:r>
    </w:p>
    <w:p w14:paraId="0C19343D" w14:textId="77777777" w:rsidR="00EF1B33" w:rsidRDefault="00EF1B33" w:rsidP="00C72439">
      <w:pPr>
        <w:rPr>
          <w:rFonts w:ascii="Arial" w:hAnsi="Arial" w:cs="Arial"/>
          <w:i/>
          <w:iCs/>
          <w:color w:val="000000"/>
        </w:rPr>
      </w:pPr>
    </w:p>
    <w:p w14:paraId="3DF5C96C" w14:textId="77777777" w:rsidR="00EF1B33" w:rsidRPr="00183A52" w:rsidRDefault="00EF1B33" w:rsidP="00C72439">
      <w:pPr>
        <w:rPr>
          <w:rFonts w:ascii="Arial" w:hAnsi="Arial" w:cs="Arial"/>
          <w:i/>
          <w:iCs/>
          <w:color w:val="000000"/>
        </w:rPr>
      </w:pPr>
      <w:r w:rsidRPr="00183A52">
        <w:rPr>
          <w:rFonts w:ascii="Arial" w:hAnsi="Arial" w:cs="Arial"/>
          <w:i/>
          <w:iCs/>
          <w:color w:val="000000"/>
        </w:rPr>
        <w:t>2-1. The rationale for PFS Fit</w:t>
      </w:r>
    </w:p>
    <w:p w14:paraId="193D1618" w14:textId="77777777" w:rsidR="00EF1B33" w:rsidRDefault="00EF1B33" w:rsidP="00C72439">
      <w:pPr>
        <w:rPr>
          <w:rFonts w:ascii="Arial" w:hAnsi="Arial" w:cs="Arial"/>
          <w:color w:val="000000"/>
        </w:rPr>
      </w:pPr>
    </w:p>
    <w:p w14:paraId="578552BC" w14:textId="77777777" w:rsidR="00EF1B33" w:rsidRPr="00183A52" w:rsidRDefault="00EF1B33" w:rsidP="00561B21">
      <w:pPr>
        <w:rPr>
          <w:rFonts w:ascii="Arial" w:hAnsi="Arial" w:cs="Arial"/>
          <w:color w:val="000000"/>
        </w:rPr>
      </w:pPr>
      <w:r w:rsidRPr="00183A52">
        <w:rPr>
          <w:rFonts w:ascii="Arial" w:hAnsi="Arial" w:cs="Arial"/>
          <w:color w:val="000000"/>
        </w:rPr>
        <w:t xml:space="preserve">Our choice of the distribution </w:t>
      </w:r>
      <w:r>
        <w:rPr>
          <w:rFonts w:ascii="Arial" w:hAnsi="Arial" w:cs="Arial"/>
          <w:color w:val="000000"/>
        </w:rPr>
        <w:t xml:space="preserve">(i.e., exponential) </w:t>
      </w:r>
      <w:r w:rsidRPr="00183A52">
        <w:rPr>
          <w:rFonts w:ascii="Arial" w:hAnsi="Arial" w:cs="Arial"/>
          <w:color w:val="000000"/>
        </w:rPr>
        <w:t xml:space="preserve">was based on Carlson et al., a cost-effectiveness analysis study that compared 1L </w:t>
      </w:r>
      <w:proofErr w:type="spellStart"/>
      <w:r w:rsidRPr="00183A52">
        <w:rPr>
          <w:rFonts w:ascii="Arial" w:hAnsi="Arial" w:cs="Arial"/>
          <w:color w:val="000000"/>
        </w:rPr>
        <w:t>alectinib</w:t>
      </w:r>
      <w:proofErr w:type="spellEnd"/>
      <w:r w:rsidRPr="00183A52">
        <w:rPr>
          <w:rFonts w:ascii="Arial" w:hAnsi="Arial" w:cs="Arial"/>
          <w:color w:val="000000"/>
        </w:rPr>
        <w:t xml:space="preserve"> vs. </w:t>
      </w:r>
      <w:proofErr w:type="spellStart"/>
      <w:r w:rsidRPr="00183A52">
        <w:rPr>
          <w:rFonts w:ascii="Arial" w:hAnsi="Arial" w:cs="Arial"/>
          <w:color w:val="000000"/>
        </w:rPr>
        <w:t>crizotinib</w:t>
      </w:r>
      <w:proofErr w:type="spellEnd"/>
      <w:r w:rsidRPr="00183A52">
        <w:rPr>
          <w:rFonts w:ascii="Arial" w:hAnsi="Arial" w:cs="Arial"/>
          <w:color w:val="000000"/>
        </w:rPr>
        <w:t xml:space="preserve"> that used the same PFS curves. The authors of this study chose the distribution for the PFS curves based on clinical advice from a Lung Cancer Advisory Board meeting consisting of 12 consultant oncologists. The oncologists examined the plausibility of PFS extrapolations based on the comparison between the predicted annual % of patients in the progression-free state and the estimated proportions from clinicians’ experience and chose the exponential extrapolation as the most plausible one.</w:t>
      </w:r>
      <w:r>
        <w:rPr>
          <w:rFonts w:ascii="Arial" w:hAnsi="Arial" w:cs="Arial"/>
          <w:color w:val="000000"/>
        </w:rPr>
        <w:t xml:space="preserve"> </w:t>
      </w:r>
      <w:r w:rsidRPr="00183A52">
        <w:rPr>
          <w:rFonts w:ascii="Arial" w:hAnsi="Arial" w:cs="Arial"/>
          <w:b/>
          <w:bCs/>
          <w:color w:val="000000"/>
        </w:rPr>
        <w:t>Figure S2</w:t>
      </w:r>
      <w:r>
        <w:rPr>
          <w:rFonts w:ascii="Arial" w:hAnsi="Arial" w:cs="Arial"/>
          <w:color w:val="000000"/>
        </w:rPr>
        <w:t xml:space="preserve"> shows the KM PFS data from the ALEX trial and the fitted curves using the exponential distribution. </w:t>
      </w:r>
    </w:p>
    <w:p w14:paraId="30C3E318" w14:textId="77777777" w:rsidR="00EF1B33" w:rsidRPr="009A4BFF" w:rsidRDefault="00EF1B33" w:rsidP="00C72439">
      <w:pPr>
        <w:pStyle w:val="ListParagraph"/>
        <w:ind w:left="361"/>
        <w:rPr>
          <w:rFonts w:ascii="Arial" w:hAnsi="Arial" w:cs="Arial"/>
          <w:color w:val="000000"/>
          <w:shd w:val="clear" w:color="auto" w:fill="FFFFFF"/>
        </w:rPr>
      </w:pPr>
      <w:r w:rsidRPr="009A4BFF">
        <w:rPr>
          <w:rFonts w:ascii="Arial" w:hAnsi="Arial" w:cs="Arial"/>
          <w:noProof/>
          <w:lang w:eastAsia="en-US"/>
        </w:rPr>
        <w:drawing>
          <wp:inline distT="0" distB="0" distL="0" distR="0" wp14:anchorId="3B9834C8" wp14:editId="592DB944">
            <wp:extent cx="5623560" cy="2590800"/>
            <wp:effectExtent l="0" t="0" r="0" b="0"/>
            <wp:docPr id="2" name="Chart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533605A-A30C-4702-AA70-73B2F960D0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5EBDFAA" w14:textId="77777777" w:rsidR="00EF1B33" w:rsidRPr="009A4BFF" w:rsidRDefault="00EF1B33" w:rsidP="00C72439">
      <w:pPr>
        <w:pStyle w:val="ListParagraph"/>
        <w:ind w:left="361"/>
        <w:rPr>
          <w:rFonts w:ascii="Arial" w:hAnsi="Arial" w:cs="Arial"/>
          <w:color w:val="000000"/>
          <w:shd w:val="clear" w:color="auto" w:fill="FFFFFF"/>
        </w:rPr>
      </w:pPr>
      <w:r w:rsidRPr="009A4BFF">
        <w:rPr>
          <w:rFonts w:ascii="Arial" w:hAnsi="Arial" w:cs="Arial"/>
          <w:b/>
          <w:bCs/>
          <w:color w:val="000000"/>
          <w:shd w:val="clear" w:color="auto" w:fill="FFFFFF"/>
        </w:rPr>
        <w:t>Figure S</w:t>
      </w:r>
      <w:r>
        <w:rPr>
          <w:rFonts w:ascii="Arial" w:hAnsi="Arial" w:cs="Arial"/>
          <w:b/>
          <w:bCs/>
          <w:color w:val="000000"/>
          <w:shd w:val="clear" w:color="auto" w:fill="FFFFFF"/>
        </w:rPr>
        <w:t>2</w:t>
      </w:r>
      <w:r w:rsidRPr="009A4BFF">
        <w:rPr>
          <w:rFonts w:ascii="Arial" w:hAnsi="Arial" w:cs="Arial"/>
          <w:b/>
          <w:bCs/>
          <w:color w:val="000000"/>
          <w:shd w:val="clear" w:color="auto" w:fill="FFFFFF"/>
        </w:rPr>
        <w:t>.</w:t>
      </w:r>
      <w:r w:rsidRPr="009A4BFF">
        <w:rPr>
          <w:rFonts w:ascii="Arial" w:hAnsi="Arial" w:cs="Arial"/>
          <w:color w:val="000000"/>
          <w:shd w:val="clear" w:color="auto" w:fill="FFFFFF"/>
        </w:rPr>
        <w:t xml:space="preserve"> Kaplan Meier and fitted PFS curves for 1L </w:t>
      </w:r>
      <w:proofErr w:type="spellStart"/>
      <w:r w:rsidRPr="009A4BFF">
        <w:rPr>
          <w:rFonts w:ascii="Arial" w:hAnsi="Arial" w:cs="Arial"/>
          <w:color w:val="000000"/>
          <w:shd w:val="clear" w:color="auto" w:fill="FFFFFF"/>
        </w:rPr>
        <w:t>crizotinib</w:t>
      </w:r>
      <w:proofErr w:type="spellEnd"/>
      <w:r w:rsidRPr="009A4BFF">
        <w:rPr>
          <w:rFonts w:ascii="Arial" w:hAnsi="Arial" w:cs="Arial"/>
          <w:color w:val="000000"/>
          <w:shd w:val="clear" w:color="auto" w:fill="FFFFFF"/>
        </w:rPr>
        <w:t xml:space="preserve"> and 1L </w:t>
      </w:r>
      <w:proofErr w:type="spellStart"/>
      <w:r w:rsidRPr="009A4BFF">
        <w:rPr>
          <w:rFonts w:ascii="Arial" w:hAnsi="Arial" w:cs="Arial"/>
          <w:color w:val="000000"/>
          <w:shd w:val="clear" w:color="auto" w:fill="FFFFFF"/>
        </w:rPr>
        <w:t>alectinib</w:t>
      </w:r>
      <w:proofErr w:type="spellEnd"/>
    </w:p>
    <w:p w14:paraId="24F075B2" w14:textId="77777777" w:rsidR="00EF1B33" w:rsidRPr="00183A52" w:rsidRDefault="00EF1B33" w:rsidP="00C72439">
      <w:pPr>
        <w:rPr>
          <w:rFonts w:ascii="Arial" w:hAnsi="Arial" w:cs="Arial"/>
          <w:color w:val="000000"/>
        </w:rPr>
      </w:pPr>
    </w:p>
    <w:p w14:paraId="37DFE796" w14:textId="77777777" w:rsidR="00EF1B33" w:rsidRPr="00183A52" w:rsidRDefault="00EF1B33" w:rsidP="00C72439">
      <w:pPr>
        <w:rPr>
          <w:rFonts w:ascii="Arial" w:hAnsi="Arial" w:cs="Arial"/>
          <w:i/>
          <w:iCs/>
          <w:color w:val="000000"/>
        </w:rPr>
      </w:pPr>
      <w:r w:rsidRPr="00183A52">
        <w:rPr>
          <w:rFonts w:ascii="Arial" w:hAnsi="Arial" w:cs="Arial"/>
          <w:i/>
          <w:iCs/>
          <w:color w:val="000000"/>
        </w:rPr>
        <w:t>2-2. The rationale for OS Fit</w:t>
      </w:r>
    </w:p>
    <w:p w14:paraId="23C428A1" w14:textId="77777777" w:rsidR="00EF1B33" w:rsidRPr="00183A52" w:rsidRDefault="00EF1B33" w:rsidP="00C72439">
      <w:pPr>
        <w:rPr>
          <w:rFonts w:ascii="Arial" w:hAnsi="Arial" w:cs="Arial"/>
          <w:color w:val="000000"/>
        </w:rPr>
      </w:pPr>
    </w:p>
    <w:p w14:paraId="375778BD" w14:textId="77777777" w:rsidR="00EF1B33" w:rsidRPr="00183A52" w:rsidRDefault="00EF1B33" w:rsidP="00561B21">
      <w:pPr>
        <w:rPr>
          <w:rFonts w:ascii="Arial" w:hAnsi="Arial" w:cs="Arial"/>
          <w:color w:val="000000"/>
        </w:rPr>
      </w:pPr>
      <w:r w:rsidRPr="00183A52">
        <w:rPr>
          <w:rFonts w:ascii="Arial" w:hAnsi="Arial" w:cs="Arial"/>
          <w:color w:val="000000"/>
        </w:rPr>
        <w:t>The goodness-of-fit was not very different across the distributions although log-normal distribution had a slightly smaller AIC (AIC: 162 for log-normal and 163 for log-logistic, Weibull, and exponential). However, we thought that the long tail from the log-normal distribution is unlikely to be plausible for the longer-term OS . Exponential and log-logistic had a similar shape, while Weibull relatively underestimated the survival probability. Among the exponential and log-logistic, we chose exponential as a base-case, consistent with the distribution for the PFS curve, and examined Weibull distribution in a scenario analysis.</w:t>
      </w:r>
      <w:r>
        <w:rPr>
          <w:rFonts w:ascii="Arial" w:hAnsi="Arial" w:cs="Arial"/>
          <w:color w:val="000000"/>
        </w:rPr>
        <w:t xml:space="preserve"> </w:t>
      </w:r>
      <w:r w:rsidRPr="00FC316C">
        <w:rPr>
          <w:rFonts w:ascii="Arial" w:hAnsi="Arial" w:cs="Arial"/>
          <w:b/>
          <w:bCs/>
          <w:color w:val="000000"/>
        </w:rPr>
        <w:t>Figure S</w:t>
      </w:r>
      <w:r>
        <w:rPr>
          <w:rFonts w:ascii="Arial" w:hAnsi="Arial" w:cs="Arial"/>
          <w:b/>
          <w:bCs/>
          <w:color w:val="000000"/>
        </w:rPr>
        <w:t>3</w:t>
      </w:r>
      <w:r>
        <w:rPr>
          <w:rFonts w:ascii="Arial" w:hAnsi="Arial" w:cs="Arial"/>
          <w:color w:val="000000"/>
        </w:rPr>
        <w:t xml:space="preserve"> shows the KM PFS data from the ALTA trial and the fitted curves using the exponential distribution.</w:t>
      </w:r>
    </w:p>
    <w:p w14:paraId="31BFB2BE" w14:textId="77777777" w:rsidR="00EF1B33" w:rsidRPr="009A4BFF" w:rsidRDefault="00EF1B33" w:rsidP="00C72439">
      <w:pPr>
        <w:pStyle w:val="ListParagraph"/>
        <w:ind w:left="361"/>
        <w:rPr>
          <w:rFonts w:ascii="Arial" w:hAnsi="Arial" w:cs="Arial"/>
          <w:color w:val="000000"/>
          <w:shd w:val="clear" w:color="auto" w:fill="FFFFFF"/>
        </w:rPr>
      </w:pPr>
      <w:r w:rsidRPr="009A4BFF">
        <w:rPr>
          <w:rFonts w:ascii="Arial" w:hAnsi="Arial" w:cs="Arial"/>
          <w:noProof/>
          <w:lang w:eastAsia="en-US"/>
        </w:rPr>
        <w:lastRenderedPageBreak/>
        <w:drawing>
          <wp:inline distT="0" distB="0" distL="0" distR="0" wp14:anchorId="4A295306" wp14:editId="2E62E78B">
            <wp:extent cx="5783580" cy="2697480"/>
            <wp:effectExtent l="0" t="0" r="0" b="0"/>
            <wp:docPr id="6" name="Chart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2EE12A-755F-4211-ABB1-EAE18B78A6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238F2D3" w14:textId="77777777" w:rsidR="00EF1B33" w:rsidRDefault="00EF1B33" w:rsidP="00C72439">
      <w:pPr>
        <w:pStyle w:val="ListParagraph"/>
        <w:ind w:left="361"/>
        <w:rPr>
          <w:rFonts w:ascii="Arial" w:hAnsi="Arial" w:cs="Arial"/>
          <w:color w:val="000000"/>
          <w:shd w:val="clear" w:color="auto" w:fill="FFFFFF"/>
        </w:rPr>
      </w:pPr>
      <w:r w:rsidRPr="009A4BFF">
        <w:rPr>
          <w:rFonts w:ascii="Arial" w:hAnsi="Arial" w:cs="Arial"/>
          <w:b/>
          <w:bCs/>
          <w:color w:val="000000"/>
          <w:shd w:val="clear" w:color="auto" w:fill="FFFFFF"/>
        </w:rPr>
        <w:t>Figure S</w:t>
      </w:r>
      <w:r>
        <w:rPr>
          <w:rFonts w:ascii="Arial" w:hAnsi="Arial" w:cs="Arial"/>
          <w:b/>
          <w:bCs/>
          <w:color w:val="000000"/>
          <w:shd w:val="clear" w:color="auto" w:fill="FFFFFF"/>
        </w:rPr>
        <w:t>3</w:t>
      </w:r>
      <w:r w:rsidRPr="009A4BFF">
        <w:rPr>
          <w:rFonts w:ascii="Arial" w:hAnsi="Arial" w:cs="Arial"/>
          <w:b/>
          <w:bCs/>
          <w:color w:val="000000"/>
          <w:shd w:val="clear" w:color="auto" w:fill="FFFFFF"/>
        </w:rPr>
        <w:t>.</w:t>
      </w:r>
      <w:r w:rsidRPr="009A4BFF">
        <w:rPr>
          <w:rFonts w:ascii="Arial" w:hAnsi="Arial" w:cs="Arial"/>
          <w:color w:val="000000"/>
          <w:shd w:val="clear" w:color="auto" w:fill="FFFFFF"/>
        </w:rPr>
        <w:t xml:space="preserve"> Kaplan Meier and fitted OS curve for 2L </w:t>
      </w:r>
      <w:proofErr w:type="spellStart"/>
      <w:r w:rsidRPr="009A4BFF">
        <w:rPr>
          <w:rFonts w:ascii="Arial" w:hAnsi="Arial" w:cs="Arial"/>
          <w:color w:val="000000"/>
          <w:shd w:val="clear" w:color="auto" w:fill="FFFFFF"/>
        </w:rPr>
        <w:t>brigatinib</w:t>
      </w:r>
      <w:proofErr w:type="spellEnd"/>
    </w:p>
    <w:p w14:paraId="7DC84D49" w14:textId="77777777" w:rsidR="00EF1B33" w:rsidRDefault="00EF1B33" w:rsidP="00C72439">
      <w:pPr>
        <w:pStyle w:val="ListParagraph"/>
        <w:ind w:left="361"/>
        <w:rPr>
          <w:rFonts w:ascii="Arial" w:hAnsi="Arial" w:cs="Arial"/>
          <w:color w:val="000000"/>
          <w:shd w:val="clear" w:color="auto" w:fill="FFFFFF"/>
        </w:rPr>
      </w:pPr>
    </w:p>
    <w:p w14:paraId="0849D20C" w14:textId="77777777" w:rsidR="00EF1B33" w:rsidRDefault="00EF1B33" w:rsidP="00C72439">
      <w:pPr>
        <w:pStyle w:val="ListParagraph"/>
        <w:ind w:left="361"/>
        <w:rPr>
          <w:rFonts w:ascii="Arial" w:hAnsi="Arial" w:cs="Arial"/>
          <w:color w:val="000000"/>
          <w:shd w:val="clear" w:color="auto" w:fill="FFFFFF"/>
        </w:rPr>
      </w:pPr>
    </w:p>
    <w:p w14:paraId="130BD8D3" w14:textId="77777777" w:rsidR="00EF1B33" w:rsidRDefault="00EF1B33" w:rsidP="00CF1FDC">
      <w:pPr>
        <w:pStyle w:val="ListParagraph"/>
        <w:ind w:left="361"/>
        <w:rPr>
          <w:rFonts w:ascii="Arial" w:hAnsi="Arial" w:cs="Arial"/>
          <w:i/>
          <w:iCs/>
          <w:color w:val="000000"/>
          <w:shd w:val="clear" w:color="auto" w:fill="FFFFFF"/>
        </w:rPr>
      </w:pPr>
      <w:r w:rsidRPr="00FC316C">
        <w:rPr>
          <w:rFonts w:ascii="Arial" w:hAnsi="Arial" w:cs="Arial"/>
          <w:i/>
          <w:iCs/>
          <w:color w:val="000000"/>
          <w:shd w:val="clear" w:color="auto" w:fill="FFFFFF"/>
        </w:rPr>
        <w:t xml:space="preserve">2-3. </w:t>
      </w:r>
      <w:r>
        <w:rPr>
          <w:rFonts w:ascii="Arial" w:hAnsi="Arial" w:cs="Arial"/>
          <w:i/>
          <w:iCs/>
          <w:color w:val="000000"/>
          <w:shd w:val="clear" w:color="auto" w:fill="FFFFFF"/>
        </w:rPr>
        <w:t xml:space="preserve">Validation of the </w:t>
      </w:r>
      <w:proofErr w:type="spellStart"/>
      <w:r>
        <w:rPr>
          <w:rFonts w:ascii="Arial" w:hAnsi="Arial" w:cs="Arial"/>
          <w:i/>
          <w:iCs/>
          <w:color w:val="000000"/>
          <w:shd w:val="clear" w:color="auto" w:fill="FFFFFF"/>
        </w:rPr>
        <w:t>brigatinib</w:t>
      </w:r>
      <w:proofErr w:type="spellEnd"/>
      <w:r>
        <w:rPr>
          <w:rFonts w:ascii="Arial" w:hAnsi="Arial" w:cs="Arial"/>
          <w:i/>
          <w:iCs/>
          <w:color w:val="000000"/>
          <w:shd w:val="clear" w:color="auto" w:fill="FFFFFF"/>
        </w:rPr>
        <w:t xml:space="preserve"> OS curve using a more recent data from the ALEX trial</w:t>
      </w:r>
    </w:p>
    <w:p w14:paraId="4889CE8C" w14:textId="77777777" w:rsidR="00EF1B33" w:rsidRDefault="00EF1B33" w:rsidP="00C72439">
      <w:pPr>
        <w:pStyle w:val="ListParagraph"/>
        <w:ind w:left="361"/>
        <w:rPr>
          <w:rFonts w:ascii="Arial" w:hAnsi="Arial" w:cs="Arial"/>
          <w:color w:val="000000"/>
          <w:shd w:val="clear" w:color="auto" w:fill="FFFFFF"/>
        </w:rPr>
      </w:pPr>
    </w:p>
    <w:p w14:paraId="69C5BE07" w14:textId="77777777" w:rsidR="00EF1B33" w:rsidRDefault="00EF1B33" w:rsidP="00C72439">
      <w:pPr>
        <w:pStyle w:val="ListParagraph"/>
        <w:ind w:left="361"/>
        <w:rPr>
          <w:rFonts w:ascii="Arial" w:hAnsi="Arial" w:cs="Arial"/>
          <w:color w:val="000000"/>
          <w:shd w:val="clear" w:color="auto" w:fill="FFFFFF"/>
        </w:rPr>
      </w:pPr>
    </w:p>
    <w:p w14:paraId="62180555" w14:textId="77777777" w:rsidR="00EF1B33" w:rsidRDefault="00EF1B33" w:rsidP="00C72439">
      <w:pPr>
        <w:pStyle w:val="ListParagraph"/>
        <w:ind w:left="361"/>
        <w:rPr>
          <w:rFonts w:ascii="Arial" w:hAnsi="Arial" w:cs="Arial"/>
          <w:color w:val="000000"/>
          <w:shd w:val="clear" w:color="auto" w:fill="FFFFFF"/>
        </w:rPr>
      </w:pPr>
      <w:r>
        <w:rPr>
          <w:rFonts w:ascii="Arial" w:hAnsi="Arial" w:cs="Arial"/>
          <w:color w:val="000000"/>
          <w:shd w:val="clear" w:color="auto" w:fill="FFFFFF"/>
        </w:rPr>
        <w:t xml:space="preserve">Since we estimated ROV from an </w:t>
      </w:r>
      <w:r w:rsidRPr="00183A52">
        <w:rPr>
          <w:rFonts w:ascii="Arial" w:hAnsi="Arial" w:cs="Arial"/>
          <w:i/>
          <w:iCs/>
          <w:color w:val="000000"/>
          <w:shd w:val="clear" w:color="auto" w:fill="FFFFFF"/>
        </w:rPr>
        <w:t>Ex Ante</w:t>
      </w:r>
      <w:r>
        <w:rPr>
          <w:rFonts w:ascii="Arial" w:hAnsi="Arial" w:cs="Arial"/>
          <w:color w:val="000000"/>
          <w:shd w:val="clear" w:color="auto" w:fill="FFFFFF"/>
        </w:rPr>
        <w:t xml:space="preserve"> perspective, we used the data available as of November 2017 (i.e., the date of 1L </w:t>
      </w:r>
      <w:proofErr w:type="spellStart"/>
      <w:r>
        <w:rPr>
          <w:rFonts w:ascii="Arial" w:hAnsi="Arial" w:cs="Arial"/>
          <w:color w:val="000000"/>
          <w:shd w:val="clear" w:color="auto" w:fill="FFFFFF"/>
        </w:rPr>
        <w:t>alectinib</w:t>
      </w:r>
      <w:proofErr w:type="spellEnd"/>
      <w:r>
        <w:rPr>
          <w:rFonts w:ascii="Arial" w:hAnsi="Arial" w:cs="Arial"/>
          <w:color w:val="000000"/>
          <w:shd w:val="clear" w:color="auto" w:fill="FFFFFF"/>
        </w:rPr>
        <w:t xml:space="preserve"> approval). We validated the fitted OS fitted curve with a more recent data from the ALEX study since 2-year follow-up study has been published after then (</w:t>
      </w:r>
      <w:r w:rsidRPr="00183A52">
        <w:rPr>
          <w:rFonts w:ascii="Arial" w:hAnsi="Arial" w:cs="Arial"/>
          <w:b/>
          <w:bCs/>
          <w:color w:val="000000"/>
          <w:shd w:val="clear" w:color="auto" w:fill="FFFFFF"/>
        </w:rPr>
        <w:t>Figure S4</w:t>
      </w:r>
      <w:r>
        <w:rPr>
          <w:rFonts w:ascii="Arial" w:hAnsi="Arial" w:cs="Arial"/>
          <w:color w:val="000000"/>
          <w:shd w:val="clear" w:color="auto" w:fill="FFFFFF"/>
        </w:rPr>
        <w:t>).</w:t>
      </w:r>
      <w:r w:rsidRPr="00561B21">
        <w:t xml:space="preserve"> </w:t>
      </w:r>
      <w:r w:rsidRPr="00FC3B6C">
        <w:rPr>
          <w:rFonts w:ascii="Arial" w:hAnsi="Arial" w:cs="Arial"/>
          <w:noProof/>
          <w:color w:val="000000"/>
          <w:shd w:val="clear" w:color="auto" w:fill="FFFFFF"/>
          <w:vertAlign w:val="superscript"/>
        </w:rPr>
        <w:t>1</w:t>
      </w:r>
    </w:p>
    <w:p w14:paraId="4E917235" w14:textId="77777777" w:rsidR="00EF1B33" w:rsidRDefault="00EF1B33" w:rsidP="00C72439">
      <w:pPr>
        <w:pStyle w:val="ListParagraph"/>
        <w:ind w:left="361"/>
        <w:rPr>
          <w:rFonts w:ascii="Arial" w:hAnsi="Arial" w:cs="Arial"/>
          <w:color w:val="000000"/>
          <w:shd w:val="clear" w:color="auto" w:fill="FFFFFF"/>
        </w:rPr>
      </w:pPr>
    </w:p>
    <w:p w14:paraId="3CD73D69" w14:textId="77777777" w:rsidR="00EF1B33" w:rsidRPr="007E14A6" w:rsidRDefault="00EF1B33" w:rsidP="009A4BFF">
      <w:pPr>
        <w:pStyle w:val="ListParagraph"/>
        <w:ind w:left="361"/>
        <w:rPr>
          <w:rFonts w:ascii="Arial" w:hAnsi="Arial" w:cs="Arial"/>
          <w:color w:val="000000"/>
          <w:shd w:val="clear" w:color="auto" w:fill="FFFFFF"/>
        </w:rPr>
      </w:pPr>
      <w:r w:rsidRPr="007E14A6">
        <w:rPr>
          <w:noProof/>
          <w:lang w:eastAsia="en-US"/>
        </w:rPr>
        <w:drawing>
          <wp:inline distT="0" distB="0" distL="0" distR="0" wp14:anchorId="31360EFD" wp14:editId="01E9BC4E">
            <wp:extent cx="6149340" cy="3009900"/>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EABD7FD-9428-40C0-BA2E-BA123FAE39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85BBD0A" w14:textId="77777777" w:rsidR="00EF1B33" w:rsidRDefault="00EF1B33" w:rsidP="009A4BFF">
      <w:pPr>
        <w:pStyle w:val="ListParagraph"/>
        <w:ind w:left="361"/>
        <w:rPr>
          <w:rFonts w:ascii="Arial" w:hAnsi="Arial" w:cs="Arial"/>
          <w:color w:val="000000"/>
          <w:shd w:val="clear" w:color="auto" w:fill="FFFFFF"/>
        </w:rPr>
      </w:pPr>
    </w:p>
    <w:p w14:paraId="626FDE94" w14:textId="77777777" w:rsidR="00EF1B33" w:rsidRPr="007E14A6" w:rsidRDefault="00EF1B33" w:rsidP="009A4BFF">
      <w:pPr>
        <w:pStyle w:val="ListParagraph"/>
        <w:ind w:left="361"/>
        <w:rPr>
          <w:rFonts w:ascii="Arial" w:hAnsi="Arial" w:cs="Arial"/>
          <w:color w:val="000000"/>
          <w:shd w:val="clear" w:color="auto" w:fill="FFFFFF"/>
        </w:rPr>
      </w:pPr>
      <w:r w:rsidRPr="007E14A6">
        <w:rPr>
          <w:rFonts w:ascii="Arial" w:hAnsi="Arial" w:cs="Arial"/>
          <w:b/>
          <w:bCs/>
          <w:color w:val="000000"/>
          <w:shd w:val="clear" w:color="auto" w:fill="FFFFFF"/>
        </w:rPr>
        <w:t>Figure S</w:t>
      </w:r>
      <w:r>
        <w:rPr>
          <w:rFonts w:ascii="Arial" w:hAnsi="Arial" w:cs="Arial"/>
          <w:b/>
          <w:bCs/>
          <w:color w:val="000000"/>
          <w:shd w:val="clear" w:color="auto" w:fill="FFFFFF"/>
        </w:rPr>
        <w:t>4</w:t>
      </w:r>
      <w:r w:rsidRPr="007E14A6">
        <w:rPr>
          <w:rFonts w:ascii="Arial" w:hAnsi="Arial" w:cs="Arial"/>
          <w:b/>
          <w:bCs/>
          <w:color w:val="000000"/>
          <w:shd w:val="clear" w:color="auto" w:fill="FFFFFF"/>
        </w:rPr>
        <w:t>.</w:t>
      </w:r>
      <w:r w:rsidRPr="007E14A6">
        <w:rPr>
          <w:rFonts w:ascii="Arial" w:hAnsi="Arial" w:cs="Arial"/>
          <w:color w:val="000000"/>
          <w:shd w:val="clear" w:color="auto" w:fill="FFFFFF"/>
        </w:rPr>
        <w:t xml:space="preserve"> Kaplan Meier</w:t>
      </w:r>
      <w:r>
        <w:rPr>
          <w:rFonts w:ascii="Arial" w:hAnsi="Arial" w:cs="Arial"/>
          <w:color w:val="000000"/>
          <w:shd w:val="clear" w:color="auto" w:fill="FFFFFF"/>
        </w:rPr>
        <w:t xml:space="preserve"> from the long-term follow up of the ALTA study</w:t>
      </w:r>
      <w:r w:rsidRPr="007E14A6">
        <w:rPr>
          <w:rFonts w:ascii="Arial" w:hAnsi="Arial" w:cs="Arial"/>
          <w:color w:val="000000"/>
          <w:shd w:val="clear" w:color="auto" w:fill="FFFFFF"/>
        </w:rPr>
        <w:t xml:space="preserve"> and fitted OS curve for 2L </w:t>
      </w:r>
      <w:proofErr w:type="spellStart"/>
      <w:r w:rsidRPr="007E14A6">
        <w:rPr>
          <w:rFonts w:ascii="Arial" w:hAnsi="Arial" w:cs="Arial"/>
          <w:color w:val="000000"/>
          <w:shd w:val="clear" w:color="auto" w:fill="FFFFFF"/>
        </w:rPr>
        <w:t>brigatinib</w:t>
      </w:r>
      <w:proofErr w:type="spellEnd"/>
    </w:p>
    <w:p w14:paraId="78BACB93" w14:textId="77777777" w:rsidR="00EF1B33" w:rsidRDefault="00EF1B33" w:rsidP="00C72439">
      <w:pPr>
        <w:pStyle w:val="ListParagraph"/>
        <w:ind w:left="361"/>
        <w:rPr>
          <w:rFonts w:ascii="Arial" w:hAnsi="Arial" w:cs="Arial"/>
          <w:color w:val="000000"/>
          <w:shd w:val="clear" w:color="auto" w:fill="FFFFFF"/>
        </w:rPr>
      </w:pPr>
    </w:p>
    <w:p w14:paraId="3120B140" w14:textId="77777777" w:rsidR="00EF1B33" w:rsidRDefault="00EF1B33" w:rsidP="00CF1FDC">
      <w:pPr>
        <w:pStyle w:val="ListParagraph"/>
        <w:ind w:left="361"/>
        <w:rPr>
          <w:rFonts w:ascii="Arial" w:hAnsi="Arial" w:cs="Arial"/>
          <w:i/>
          <w:iCs/>
          <w:color w:val="000000"/>
          <w:shd w:val="clear" w:color="auto" w:fill="FFFFFF"/>
        </w:rPr>
      </w:pPr>
    </w:p>
    <w:p w14:paraId="4E3CBEFD" w14:textId="77777777" w:rsidR="00EF1B33" w:rsidRPr="00183A52" w:rsidRDefault="00EF1B33" w:rsidP="00ED3828">
      <w:pPr>
        <w:rPr>
          <w:rFonts w:ascii="Arial" w:hAnsi="Arial" w:cs="Arial"/>
          <w:i/>
          <w:iCs/>
          <w:color w:val="000000"/>
          <w:shd w:val="clear" w:color="auto" w:fill="FFFFFF"/>
        </w:rPr>
      </w:pPr>
    </w:p>
    <w:p w14:paraId="0B77C87B" w14:textId="77777777" w:rsidR="00EF1B33" w:rsidRPr="00183A52" w:rsidRDefault="00EF1B33" w:rsidP="00183A52">
      <w:pPr>
        <w:ind w:left="361"/>
        <w:rPr>
          <w:rFonts w:ascii="Arial" w:hAnsi="Arial" w:cs="Arial"/>
          <w:color w:val="000000"/>
          <w:shd w:val="clear" w:color="auto" w:fill="FFFFFF"/>
        </w:rPr>
      </w:pPr>
      <w:bookmarkStart w:id="0" w:name="_Hlk93995918"/>
      <w:r>
        <w:rPr>
          <w:rFonts w:ascii="Arial" w:hAnsi="Arial" w:cs="Arial"/>
          <w:color w:val="000000"/>
          <w:shd w:val="clear" w:color="auto" w:fill="FFFFFF"/>
        </w:rPr>
        <w:t>We found that the OS curve fitted with the exponential distribution slightly overestimates the actual OS data obtained from the recent ALTA data. Therefore, w</w:t>
      </w:r>
      <w:r w:rsidRPr="00183A52">
        <w:rPr>
          <w:rFonts w:ascii="Arial" w:hAnsi="Arial" w:cs="Arial"/>
          <w:color w:val="000000"/>
          <w:shd w:val="clear" w:color="auto" w:fill="FFFFFF"/>
        </w:rPr>
        <w:t xml:space="preserve">e </w:t>
      </w:r>
      <w:r>
        <w:rPr>
          <w:rFonts w:ascii="Arial" w:hAnsi="Arial" w:cs="Arial"/>
          <w:color w:val="000000"/>
          <w:shd w:val="clear" w:color="auto" w:fill="FFFFFF"/>
        </w:rPr>
        <w:t>examined and p</w:t>
      </w:r>
      <w:r w:rsidRPr="00183A52">
        <w:rPr>
          <w:rFonts w:ascii="Arial" w:hAnsi="Arial" w:cs="Arial"/>
          <w:color w:val="000000"/>
          <w:shd w:val="clear" w:color="auto" w:fill="FFFFFF"/>
        </w:rPr>
        <w:t>rovided the ROV for the log-normal and log-logistic distributions</w:t>
      </w:r>
      <w:r>
        <w:rPr>
          <w:rFonts w:ascii="Arial" w:hAnsi="Arial" w:cs="Arial"/>
          <w:color w:val="000000"/>
          <w:shd w:val="clear" w:color="auto" w:fill="FFFFFF"/>
        </w:rPr>
        <w:t xml:space="preserve"> to show how sensitive the results are depending on the distribution</w:t>
      </w:r>
      <w:r w:rsidRPr="00183A52">
        <w:rPr>
          <w:rFonts w:ascii="Arial" w:hAnsi="Arial" w:cs="Arial"/>
          <w:color w:val="000000"/>
          <w:shd w:val="clear" w:color="auto" w:fill="FFFFFF"/>
        </w:rPr>
        <w:t>. The ROV with log-logistic and log-normal distributions were different by around +/- 1~2 percentage points. The results with Weibull distribution are presented in the main text as scenario analysis.</w:t>
      </w:r>
    </w:p>
    <w:tbl>
      <w:tblPr>
        <w:tblStyle w:val="TableGrid"/>
        <w:tblW w:w="8640" w:type="dxa"/>
        <w:tblInd w:w="361" w:type="dxa"/>
        <w:tblLook w:val="0420" w:firstRow="1" w:lastRow="0" w:firstColumn="0" w:lastColumn="0" w:noHBand="0" w:noVBand="1"/>
      </w:tblPr>
      <w:tblGrid>
        <w:gridCol w:w="1390"/>
        <w:gridCol w:w="1610"/>
        <w:gridCol w:w="1412"/>
        <w:gridCol w:w="1403"/>
        <w:gridCol w:w="1451"/>
        <w:gridCol w:w="1374"/>
      </w:tblGrid>
      <w:tr w:rsidR="00EF1B33" w:rsidRPr="007E14A6" w14:paraId="3A67AC7C" w14:textId="77777777" w:rsidTr="00FC316C">
        <w:trPr>
          <w:trHeight w:val="20"/>
        </w:trPr>
        <w:tc>
          <w:tcPr>
            <w:tcW w:w="8640" w:type="dxa"/>
            <w:gridSpan w:val="6"/>
          </w:tcPr>
          <w:bookmarkEnd w:id="0"/>
          <w:p w14:paraId="0D52BEA0" w14:textId="77777777" w:rsidR="00EF1B33" w:rsidRPr="007E14A6" w:rsidRDefault="00EF1B33" w:rsidP="00FC316C">
            <w:pPr>
              <w:rPr>
                <w:rFonts w:ascii="Arial" w:eastAsia="Times New Roman" w:hAnsi="Arial" w:cs="Arial"/>
                <w:b/>
                <w:bCs/>
                <w:kern w:val="24"/>
              </w:rPr>
            </w:pPr>
            <w:r w:rsidRPr="00902E51">
              <w:rPr>
                <w:rFonts w:ascii="Arial" w:eastAsia="Times New Roman" w:hAnsi="Arial" w:cs="Arial"/>
                <w:b/>
                <w:bCs/>
                <w:kern w:val="24"/>
              </w:rPr>
              <w:t>Table S1.</w:t>
            </w:r>
            <w:r w:rsidRPr="007E14A6">
              <w:rPr>
                <w:rFonts w:ascii="Arial" w:eastAsia="Times New Roman" w:hAnsi="Arial" w:cs="Arial"/>
                <w:b/>
                <w:bCs/>
                <w:kern w:val="24"/>
              </w:rPr>
              <w:t xml:space="preserve"> The incremental ROV of 1L </w:t>
            </w:r>
            <w:proofErr w:type="spellStart"/>
            <w:r w:rsidRPr="007E14A6">
              <w:rPr>
                <w:rFonts w:ascii="Arial" w:eastAsia="Times New Roman" w:hAnsi="Arial" w:cs="Arial"/>
                <w:b/>
                <w:bCs/>
                <w:kern w:val="24"/>
              </w:rPr>
              <w:t>alectinib</w:t>
            </w:r>
            <w:proofErr w:type="spellEnd"/>
            <w:r w:rsidRPr="007E14A6">
              <w:rPr>
                <w:rFonts w:ascii="Arial" w:eastAsia="Times New Roman" w:hAnsi="Arial" w:cs="Arial"/>
                <w:b/>
                <w:bCs/>
                <w:kern w:val="24"/>
              </w:rPr>
              <w:t xml:space="preserve"> when log-normal and log-logistic distributions were used to extrapolate the OS curve of 2L </w:t>
            </w:r>
            <w:proofErr w:type="spellStart"/>
            <w:r w:rsidRPr="007E14A6">
              <w:rPr>
                <w:rFonts w:ascii="Arial" w:eastAsia="Times New Roman" w:hAnsi="Arial" w:cs="Arial"/>
                <w:b/>
                <w:bCs/>
                <w:kern w:val="24"/>
              </w:rPr>
              <w:t>brigatinib</w:t>
            </w:r>
            <w:proofErr w:type="spellEnd"/>
          </w:p>
        </w:tc>
      </w:tr>
      <w:tr w:rsidR="00EF1B33" w:rsidRPr="007E14A6" w14:paraId="410D4358" w14:textId="77777777" w:rsidTr="00FC316C">
        <w:trPr>
          <w:trHeight w:val="20"/>
        </w:trPr>
        <w:tc>
          <w:tcPr>
            <w:tcW w:w="1390" w:type="dxa"/>
            <w:hideMark/>
          </w:tcPr>
          <w:p w14:paraId="3650D8E7" w14:textId="77777777" w:rsidR="00EF1B33" w:rsidRPr="007E14A6" w:rsidRDefault="00EF1B33" w:rsidP="00FC316C">
            <w:pPr>
              <w:rPr>
                <w:rFonts w:ascii="Arial" w:eastAsia="Times New Roman" w:hAnsi="Arial" w:cs="Arial"/>
              </w:rPr>
            </w:pPr>
          </w:p>
        </w:tc>
        <w:tc>
          <w:tcPr>
            <w:tcW w:w="1610" w:type="dxa"/>
            <w:hideMark/>
          </w:tcPr>
          <w:p w14:paraId="569DF72D" w14:textId="77777777" w:rsidR="00EF1B33" w:rsidRPr="007E14A6" w:rsidRDefault="00EF1B33" w:rsidP="00FC316C">
            <w:pPr>
              <w:rPr>
                <w:rFonts w:ascii="Arial" w:eastAsia="Times New Roman" w:hAnsi="Arial" w:cs="Arial"/>
              </w:rPr>
            </w:pPr>
            <w:r w:rsidRPr="007E14A6">
              <w:rPr>
                <w:rFonts w:ascii="Arial" w:eastAsia="Times New Roman" w:hAnsi="Arial" w:cs="Arial"/>
                <w:b/>
                <w:bCs/>
                <w:kern w:val="24"/>
              </w:rPr>
              <w:t>Conventional value</w:t>
            </w:r>
          </w:p>
        </w:tc>
        <w:tc>
          <w:tcPr>
            <w:tcW w:w="1412" w:type="dxa"/>
            <w:hideMark/>
          </w:tcPr>
          <w:p w14:paraId="05204A59" w14:textId="77777777" w:rsidR="00EF1B33" w:rsidRPr="007E14A6" w:rsidRDefault="00EF1B33" w:rsidP="00FC316C">
            <w:pPr>
              <w:rPr>
                <w:rFonts w:ascii="Arial" w:eastAsia="Times New Roman" w:hAnsi="Arial" w:cs="Arial"/>
              </w:rPr>
            </w:pPr>
            <w:r w:rsidRPr="007E14A6">
              <w:rPr>
                <w:rFonts w:ascii="Arial" w:eastAsia="Times New Roman" w:hAnsi="Arial" w:cs="Arial"/>
                <w:b/>
                <w:bCs/>
                <w:kern w:val="24"/>
              </w:rPr>
              <w:t xml:space="preserve">ROV of </w:t>
            </w:r>
            <w:proofErr w:type="spellStart"/>
            <w:r w:rsidRPr="007E14A6">
              <w:rPr>
                <w:rFonts w:ascii="Arial" w:eastAsia="Times New Roman" w:hAnsi="Arial" w:cs="Arial"/>
                <w:b/>
                <w:bCs/>
                <w:kern w:val="24"/>
              </w:rPr>
              <w:t>crizotinib</w:t>
            </w:r>
            <w:proofErr w:type="spellEnd"/>
          </w:p>
        </w:tc>
        <w:tc>
          <w:tcPr>
            <w:tcW w:w="1403" w:type="dxa"/>
            <w:hideMark/>
          </w:tcPr>
          <w:p w14:paraId="42D0F95F" w14:textId="77777777" w:rsidR="00EF1B33" w:rsidRPr="007E14A6" w:rsidRDefault="00EF1B33" w:rsidP="00FC316C">
            <w:pPr>
              <w:rPr>
                <w:rFonts w:ascii="Arial" w:eastAsia="Times New Roman" w:hAnsi="Arial" w:cs="Arial"/>
              </w:rPr>
            </w:pPr>
            <w:r w:rsidRPr="007E14A6">
              <w:rPr>
                <w:rFonts w:ascii="Arial" w:eastAsia="Times New Roman" w:hAnsi="Arial" w:cs="Arial"/>
                <w:b/>
                <w:bCs/>
                <w:kern w:val="24"/>
              </w:rPr>
              <w:t xml:space="preserve">ROV of </w:t>
            </w:r>
            <w:proofErr w:type="spellStart"/>
            <w:r w:rsidRPr="007E14A6">
              <w:rPr>
                <w:rFonts w:ascii="Arial" w:eastAsia="Times New Roman" w:hAnsi="Arial" w:cs="Arial"/>
                <w:b/>
                <w:bCs/>
                <w:kern w:val="24"/>
              </w:rPr>
              <w:t>alectinib</w:t>
            </w:r>
            <w:proofErr w:type="spellEnd"/>
          </w:p>
        </w:tc>
        <w:tc>
          <w:tcPr>
            <w:tcW w:w="1451" w:type="dxa"/>
            <w:hideMark/>
          </w:tcPr>
          <w:p w14:paraId="65FB7E76" w14:textId="77777777" w:rsidR="00EF1B33" w:rsidRPr="007E14A6" w:rsidRDefault="00EF1B33" w:rsidP="00FC316C">
            <w:pPr>
              <w:rPr>
                <w:rFonts w:ascii="Arial" w:eastAsia="Times New Roman" w:hAnsi="Arial" w:cs="Arial"/>
              </w:rPr>
            </w:pPr>
            <w:r w:rsidRPr="007E14A6">
              <w:rPr>
                <w:rFonts w:ascii="Arial" w:eastAsia="Times New Roman" w:hAnsi="Arial" w:cs="Arial"/>
                <w:b/>
                <w:bCs/>
                <w:kern w:val="24"/>
              </w:rPr>
              <w:t xml:space="preserve">Incremental ROV of </w:t>
            </w:r>
            <w:proofErr w:type="spellStart"/>
            <w:r w:rsidRPr="007E14A6">
              <w:rPr>
                <w:rFonts w:ascii="Arial" w:eastAsia="Times New Roman" w:hAnsi="Arial" w:cs="Arial"/>
                <w:b/>
                <w:bCs/>
                <w:kern w:val="24"/>
              </w:rPr>
              <w:t>alectinib</w:t>
            </w:r>
            <w:proofErr w:type="spellEnd"/>
          </w:p>
        </w:tc>
        <w:tc>
          <w:tcPr>
            <w:tcW w:w="1374" w:type="dxa"/>
            <w:hideMark/>
          </w:tcPr>
          <w:p w14:paraId="7C2F639C" w14:textId="77777777" w:rsidR="00EF1B33" w:rsidRPr="007E14A6" w:rsidRDefault="00EF1B33" w:rsidP="00FC316C">
            <w:pPr>
              <w:rPr>
                <w:rFonts w:ascii="Arial" w:eastAsia="Times New Roman" w:hAnsi="Arial" w:cs="Arial"/>
              </w:rPr>
            </w:pPr>
            <w:r w:rsidRPr="007E14A6">
              <w:rPr>
                <w:rFonts w:ascii="Arial" w:eastAsia="Times New Roman" w:hAnsi="Arial" w:cs="Arial"/>
                <w:b/>
                <w:bCs/>
                <w:kern w:val="24"/>
              </w:rPr>
              <w:t xml:space="preserve">% of ROV </w:t>
            </w:r>
          </w:p>
        </w:tc>
      </w:tr>
      <w:tr w:rsidR="00EF1B33" w:rsidRPr="007E14A6" w14:paraId="42770DE0" w14:textId="77777777" w:rsidTr="00FC316C">
        <w:trPr>
          <w:trHeight w:val="20"/>
        </w:trPr>
        <w:tc>
          <w:tcPr>
            <w:tcW w:w="1390" w:type="dxa"/>
            <w:hideMark/>
          </w:tcPr>
          <w:p w14:paraId="34DD618F" w14:textId="77777777" w:rsidR="00EF1B33" w:rsidRPr="007E14A6" w:rsidRDefault="00EF1B33" w:rsidP="00FC316C">
            <w:pPr>
              <w:rPr>
                <w:rFonts w:ascii="Arial" w:eastAsia="Times New Roman" w:hAnsi="Arial" w:cs="Arial"/>
              </w:rPr>
            </w:pPr>
            <w:r w:rsidRPr="007E14A6">
              <w:rPr>
                <w:rFonts w:ascii="Arial" w:eastAsia="Times New Roman" w:hAnsi="Arial" w:cs="Arial"/>
                <w:b/>
                <w:bCs/>
                <w:color w:val="000000" w:themeColor="dark1"/>
                <w:kern w:val="24"/>
              </w:rPr>
              <w:t>Log-normal</w:t>
            </w:r>
          </w:p>
        </w:tc>
        <w:tc>
          <w:tcPr>
            <w:tcW w:w="1610" w:type="dxa"/>
            <w:hideMark/>
          </w:tcPr>
          <w:p w14:paraId="2BF47594" w14:textId="77777777" w:rsidR="00EF1B33" w:rsidRPr="007E14A6" w:rsidRDefault="00EF1B33" w:rsidP="00FC316C">
            <w:pPr>
              <w:rPr>
                <w:rFonts w:ascii="Arial" w:eastAsia="Times New Roman" w:hAnsi="Arial" w:cs="Arial"/>
              </w:rPr>
            </w:pPr>
          </w:p>
        </w:tc>
        <w:tc>
          <w:tcPr>
            <w:tcW w:w="1412" w:type="dxa"/>
            <w:hideMark/>
          </w:tcPr>
          <w:p w14:paraId="5C4F854E" w14:textId="77777777" w:rsidR="00EF1B33" w:rsidRPr="007E14A6" w:rsidRDefault="00EF1B33" w:rsidP="00FC316C">
            <w:pPr>
              <w:rPr>
                <w:rFonts w:ascii="Arial" w:eastAsia="Times New Roman" w:hAnsi="Arial" w:cs="Arial"/>
              </w:rPr>
            </w:pPr>
          </w:p>
        </w:tc>
        <w:tc>
          <w:tcPr>
            <w:tcW w:w="1403" w:type="dxa"/>
            <w:hideMark/>
          </w:tcPr>
          <w:p w14:paraId="71B9F9AB" w14:textId="77777777" w:rsidR="00EF1B33" w:rsidRPr="007E14A6" w:rsidRDefault="00EF1B33" w:rsidP="00FC316C">
            <w:pPr>
              <w:rPr>
                <w:rFonts w:ascii="Arial" w:eastAsia="Times New Roman" w:hAnsi="Arial" w:cs="Arial"/>
              </w:rPr>
            </w:pPr>
          </w:p>
        </w:tc>
        <w:tc>
          <w:tcPr>
            <w:tcW w:w="1451" w:type="dxa"/>
            <w:hideMark/>
          </w:tcPr>
          <w:p w14:paraId="06AC0A63" w14:textId="77777777" w:rsidR="00EF1B33" w:rsidRPr="007E14A6" w:rsidRDefault="00EF1B33" w:rsidP="00FC316C">
            <w:pPr>
              <w:rPr>
                <w:rFonts w:ascii="Arial" w:eastAsia="Times New Roman" w:hAnsi="Arial" w:cs="Arial"/>
              </w:rPr>
            </w:pPr>
          </w:p>
        </w:tc>
        <w:tc>
          <w:tcPr>
            <w:tcW w:w="1374" w:type="dxa"/>
            <w:hideMark/>
          </w:tcPr>
          <w:p w14:paraId="111735C9" w14:textId="77777777" w:rsidR="00EF1B33" w:rsidRPr="007E14A6" w:rsidRDefault="00EF1B33" w:rsidP="00FC316C">
            <w:pPr>
              <w:rPr>
                <w:rFonts w:ascii="Arial" w:eastAsia="Times New Roman" w:hAnsi="Arial" w:cs="Arial"/>
              </w:rPr>
            </w:pPr>
          </w:p>
        </w:tc>
      </w:tr>
      <w:tr w:rsidR="00EF1B33" w:rsidRPr="007E14A6" w14:paraId="32E5DD47" w14:textId="77777777" w:rsidTr="00FC316C">
        <w:trPr>
          <w:trHeight w:val="20"/>
        </w:trPr>
        <w:tc>
          <w:tcPr>
            <w:tcW w:w="1390" w:type="dxa"/>
            <w:hideMark/>
          </w:tcPr>
          <w:p w14:paraId="6C5C2A81"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LYs</w:t>
            </w:r>
          </w:p>
        </w:tc>
        <w:tc>
          <w:tcPr>
            <w:tcW w:w="1610" w:type="dxa"/>
            <w:hideMark/>
          </w:tcPr>
          <w:p w14:paraId="26D798CA"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1.54</w:t>
            </w:r>
          </w:p>
        </w:tc>
        <w:tc>
          <w:tcPr>
            <w:tcW w:w="1412" w:type="dxa"/>
            <w:hideMark/>
          </w:tcPr>
          <w:p w14:paraId="380D5606"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0.19</w:t>
            </w:r>
          </w:p>
        </w:tc>
        <w:tc>
          <w:tcPr>
            <w:tcW w:w="1403" w:type="dxa"/>
            <w:hideMark/>
          </w:tcPr>
          <w:p w14:paraId="72A9F972"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0.35</w:t>
            </w:r>
          </w:p>
        </w:tc>
        <w:tc>
          <w:tcPr>
            <w:tcW w:w="1451" w:type="dxa"/>
            <w:hideMark/>
          </w:tcPr>
          <w:p w14:paraId="7DD37F60"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0.17</w:t>
            </w:r>
          </w:p>
        </w:tc>
        <w:tc>
          <w:tcPr>
            <w:tcW w:w="1374" w:type="dxa"/>
            <w:hideMark/>
          </w:tcPr>
          <w:p w14:paraId="35CA748C"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10.5%</w:t>
            </w:r>
          </w:p>
        </w:tc>
      </w:tr>
      <w:tr w:rsidR="00EF1B33" w:rsidRPr="007E14A6" w14:paraId="3941F762" w14:textId="77777777" w:rsidTr="00FC316C">
        <w:trPr>
          <w:trHeight w:val="20"/>
        </w:trPr>
        <w:tc>
          <w:tcPr>
            <w:tcW w:w="1390" w:type="dxa"/>
            <w:hideMark/>
          </w:tcPr>
          <w:p w14:paraId="3766AC09"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QALYs</w:t>
            </w:r>
          </w:p>
        </w:tc>
        <w:tc>
          <w:tcPr>
            <w:tcW w:w="1610" w:type="dxa"/>
            <w:hideMark/>
          </w:tcPr>
          <w:p w14:paraId="78E2946E"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1.24</w:t>
            </w:r>
          </w:p>
        </w:tc>
        <w:tc>
          <w:tcPr>
            <w:tcW w:w="1412" w:type="dxa"/>
            <w:hideMark/>
          </w:tcPr>
          <w:p w14:paraId="276544E3"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0.14</w:t>
            </w:r>
          </w:p>
        </w:tc>
        <w:tc>
          <w:tcPr>
            <w:tcW w:w="1403" w:type="dxa"/>
            <w:hideMark/>
          </w:tcPr>
          <w:p w14:paraId="731074EE"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0.25</w:t>
            </w:r>
          </w:p>
        </w:tc>
        <w:tc>
          <w:tcPr>
            <w:tcW w:w="1451" w:type="dxa"/>
            <w:hideMark/>
          </w:tcPr>
          <w:p w14:paraId="5962BEB4"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0.12</w:t>
            </w:r>
          </w:p>
        </w:tc>
        <w:tc>
          <w:tcPr>
            <w:tcW w:w="1374" w:type="dxa"/>
            <w:hideMark/>
          </w:tcPr>
          <w:p w14:paraId="3C3ADD20"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9.4%</w:t>
            </w:r>
          </w:p>
        </w:tc>
      </w:tr>
      <w:tr w:rsidR="00EF1B33" w:rsidRPr="007E14A6" w14:paraId="17052839" w14:textId="77777777" w:rsidTr="00FC316C">
        <w:trPr>
          <w:trHeight w:val="20"/>
        </w:trPr>
        <w:tc>
          <w:tcPr>
            <w:tcW w:w="1390" w:type="dxa"/>
            <w:hideMark/>
          </w:tcPr>
          <w:p w14:paraId="32BC2D83" w14:textId="77777777" w:rsidR="00EF1B33" w:rsidRPr="007E14A6" w:rsidRDefault="00EF1B33" w:rsidP="00FC316C">
            <w:pPr>
              <w:rPr>
                <w:rFonts w:ascii="Arial" w:eastAsia="Times New Roman" w:hAnsi="Arial" w:cs="Arial"/>
              </w:rPr>
            </w:pPr>
            <w:r w:rsidRPr="007E14A6">
              <w:rPr>
                <w:rFonts w:ascii="Arial" w:eastAsia="Times New Roman" w:hAnsi="Arial" w:cs="Arial"/>
                <w:b/>
                <w:bCs/>
                <w:color w:val="000000" w:themeColor="dark1"/>
                <w:kern w:val="24"/>
              </w:rPr>
              <w:t>Log-logistic</w:t>
            </w:r>
          </w:p>
        </w:tc>
        <w:tc>
          <w:tcPr>
            <w:tcW w:w="1610" w:type="dxa"/>
            <w:hideMark/>
          </w:tcPr>
          <w:p w14:paraId="782ADC4B" w14:textId="77777777" w:rsidR="00EF1B33" w:rsidRPr="007E14A6" w:rsidRDefault="00EF1B33" w:rsidP="00FC316C">
            <w:pPr>
              <w:rPr>
                <w:rFonts w:ascii="Arial" w:eastAsia="Times New Roman" w:hAnsi="Arial" w:cs="Arial"/>
              </w:rPr>
            </w:pPr>
          </w:p>
        </w:tc>
        <w:tc>
          <w:tcPr>
            <w:tcW w:w="1412" w:type="dxa"/>
            <w:hideMark/>
          </w:tcPr>
          <w:p w14:paraId="1F52240E" w14:textId="77777777" w:rsidR="00EF1B33" w:rsidRPr="007E14A6" w:rsidRDefault="00EF1B33" w:rsidP="00FC316C">
            <w:pPr>
              <w:rPr>
                <w:rFonts w:ascii="Arial" w:eastAsia="Times New Roman" w:hAnsi="Arial" w:cs="Arial"/>
              </w:rPr>
            </w:pPr>
          </w:p>
        </w:tc>
        <w:tc>
          <w:tcPr>
            <w:tcW w:w="1403" w:type="dxa"/>
            <w:hideMark/>
          </w:tcPr>
          <w:p w14:paraId="2D3DFBD6" w14:textId="77777777" w:rsidR="00EF1B33" w:rsidRPr="007E14A6" w:rsidRDefault="00EF1B33" w:rsidP="00FC316C">
            <w:pPr>
              <w:rPr>
                <w:rFonts w:ascii="Arial" w:eastAsia="Times New Roman" w:hAnsi="Arial" w:cs="Arial"/>
              </w:rPr>
            </w:pPr>
          </w:p>
        </w:tc>
        <w:tc>
          <w:tcPr>
            <w:tcW w:w="1451" w:type="dxa"/>
            <w:hideMark/>
          </w:tcPr>
          <w:p w14:paraId="3DF316E9" w14:textId="77777777" w:rsidR="00EF1B33" w:rsidRPr="007E14A6" w:rsidRDefault="00EF1B33" w:rsidP="00FC316C">
            <w:pPr>
              <w:rPr>
                <w:rFonts w:ascii="Arial" w:eastAsia="Times New Roman" w:hAnsi="Arial" w:cs="Arial"/>
              </w:rPr>
            </w:pPr>
          </w:p>
        </w:tc>
        <w:tc>
          <w:tcPr>
            <w:tcW w:w="1374" w:type="dxa"/>
            <w:hideMark/>
          </w:tcPr>
          <w:p w14:paraId="31C2BE24" w14:textId="77777777" w:rsidR="00EF1B33" w:rsidRPr="007E14A6" w:rsidRDefault="00EF1B33" w:rsidP="00FC316C">
            <w:pPr>
              <w:rPr>
                <w:rFonts w:ascii="Arial" w:eastAsia="Times New Roman" w:hAnsi="Arial" w:cs="Arial"/>
              </w:rPr>
            </w:pPr>
          </w:p>
        </w:tc>
      </w:tr>
      <w:tr w:rsidR="00EF1B33" w:rsidRPr="007E14A6" w14:paraId="29AFA423" w14:textId="77777777" w:rsidTr="00FC316C">
        <w:trPr>
          <w:trHeight w:val="20"/>
        </w:trPr>
        <w:tc>
          <w:tcPr>
            <w:tcW w:w="1390" w:type="dxa"/>
            <w:hideMark/>
          </w:tcPr>
          <w:p w14:paraId="3BE4CE93"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LYs</w:t>
            </w:r>
          </w:p>
        </w:tc>
        <w:tc>
          <w:tcPr>
            <w:tcW w:w="1610" w:type="dxa"/>
            <w:hideMark/>
          </w:tcPr>
          <w:p w14:paraId="53D5BC43"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1.34</w:t>
            </w:r>
          </w:p>
        </w:tc>
        <w:tc>
          <w:tcPr>
            <w:tcW w:w="1412" w:type="dxa"/>
            <w:hideMark/>
          </w:tcPr>
          <w:p w14:paraId="49A42E88"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0.16</w:t>
            </w:r>
          </w:p>
        </w:tc>
        <w:tc>
          <w:tcPr>
            <w:tcW w:w="1403" w:type="dxa"/>
            <w:hideMark/>
          </w:tcPr>
          <w:p w14:paraId="3A99E93B"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0.33</w:t>
            </w:r>
          </w:p>
        </w:tc>
        <w:tc>
          <w:tcPr>
            <w:tcW w:w="1451" w:type="dxa"/>
            <w:hideMark/>
          </w:tcPr>
          <w:p w14:paraId="3D953D66"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0.17</w:t>
            </w:r>
          </w:p>
        </w:tc>
        <w:tc>
          <w:tcPr>
            <w:tcW w:w="1374" w:type="dxa"/>
            <w:hideMark/>
          </w:tcPr>
          <w:p w14:paraId="2161380A"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13.1%</w:t>
            </w:r>
          </w:p>
        </w:tc>
      </w:tr>
      <w:tr w:rsidR="00EF1B33" w:rsidRPr="007E14A6" w14:paraId="69B7E2A2" w14:textId="77777777" w:rsidTr="00FC316C">
        <w:trPr>
          <w:trHeight w:val="20"/>
        </w:trPr>
        <w:tc>
          <w:tcPr>
            <w:tcW w:w="1390" w:type="dxa"/>
            <w:hideMark/>
          </w:tcPr>
          <w:p w14:paraId="523897A6"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QALYs</w:t>
            </w:r>
          </w:p>
        </w:tc>
        <w:tc>
          <w:tcPr>
            <w:tcW w:w="1610" w:type="dxa"/>
            <w:hideMark/>
          </w:tcPr>
          <w:p w14:paraId="601E9957"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1.06</w:t>
            </w:r>
          </w:p>
        </w:tc>
        <w:tc>
          <w:tcPr>
            <w:tcW w:w="1412" w:type="dxa"/>
            <w:hideMark/>
          </w:tcPr>
          <w:p w14:paraId="10ED76E0"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0.12</w:t>
            </w:r>
          </w:p>
        </w:tc>
        <w:tc>
          <w:tcPr>
            <w:tcW w:w="1403" w:type="dxa"/>
            <w:hideMark/>
          </w:tcPr>
          <w:p w14:paraId="00F621CE"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0.24</w:t>
            </w:r>
          </w:p>
        </w:tc>
        <w:tc>
          <w:tcPr>
            <w:tcW w:w="1451" w:type="dxa"/>
            <w:hideMark/>
          </w:tcPr>
          <w:p w14:paraId="7D7B98AD"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0.13</w:t>
            </w:r>
          </w:p>
        </w:tc>
        <w:tc>
          <w:tcPr>
            <w:tcW w:w="1374" w:type="dxa"/>
            <w:hideMark/>
          </w:tcPr>
          <w:p w14:paraId="099D1193" w14:textId="77777777" w:rsidR="00EF1B33" w:rsidRPr="007E14A6" w:rsidRDefault="00EF1B33" w:rsidP="00FC316C">
            <w:pPr>
              <w:rPr>
                <w:rFonts w:ascii="Arial" w:eastAsia="Times New Roman" w:hAnsi="Arial" w:cs="Arial"/>
              </w:rPr>
            </w:pPr>
            <w:r w:rsidRPr="007E14A6">
              <w:rPr>
                <w:rFonts w:ascii="Arial" w:eastAsia="Times New Roman" w:hAnsi="Arial" w:cs="Arial"/>
                <w:color w:val="000000" w:themeColor="dark1"/>
                <w:kern w:val="24"/>
              </w:rPr>
              <w:t>11.8%</w:t>
            </w:r>
          </w:p>
        </w:tc>
      </w:tr>
    </w:tbl>
    <w:p w14:paraId="4E7E3D76" w14:textId="77777777" w:rsidR="00EF1B33" w:rsidRPr="007E14A6" w:rsidRDefault="00EF1B33" w:rsidP="009A4BFF">
      <w:pPr>
        <w:pStyle w:val="ListParagraph"/>
        <w:ind w:left="361"/>
        <w:rPr>
          <w:rFonts w:ascii="Arial" w:hAnsi="Arial" w:cs="Arial"/>
          <w:color w:val="000000"/>
          <w:shd w:val="clear" w:color="auto" w:fill="FFFFFF"/>
        </w:rPr>
      </w:pPr>
    </w:p>
    <w:p w14:paraId="5C08C530" w14:textId="77777777" w:rsidR="00EF1B33" w:rsidRPr="00183A52" w:rsidRDefault="00EF1B33" w:rsidP="00C72439">
      <w:pPr>
        <w:rPr>
          <w:rFonts w:ascii="Arial" w:hAnsi="Arial" w:cs="Arial"/>
          <w:b/>
          <w:bCs/>
          <w:color w:val="000000"/>
        </w:rPr>
      </w:pPr>
    </w:p>
    <w:p w14:paraId="57819CCD" w14:textId="77777777" w:rsidR="00EF1B33" w:rsidRDefault="00EF1B33">
      <w:pPr>
        <w:rPr>
          <w:rFonts w:ascii="Arial" w:hAnsi="Arial" w:cs="Arial"/>
          <w:b/>
          <w:bCs/>
          <w:color w:val="000000"/>
        </w:rPr>
      </w:pPr>
      <w:r>
        <w:rPr>
          <w:rFonts w:ascii="Arial" w:hAnsi="Arial" w:cs="Arial"/>
          <w:b/>
          <w:bCs/>
          <w:color w:val="000000"/>
        </w:rPr>
        <w:br w:type="page"/>
      </w:r>
    </w:p>
    <w:p w14:paraId="22694090" w14:textId="6886AA25" w:rsidR="00EF1B33" w:rsidRPr="009A4BFF" w:rsidRDefault="00926EEF" w:rsidP="001201E9">
      <w:pPr>
        <w:rPr>
          <w:rFonts w:ascii="Arial" w:eastAsia="Arial" w:hAnsi="Arial" w:cs="Arial"/>
          <w:b/>
          <w:bCs/>
          <w:color w:val="000000"/>
        </w:rPr>
      </w:pPr>
      <w:r>
        <w:rPr>
          <w:rFonts w:ascii="Arial" w:hAnsi="Arial" w:cs="Arial"/>
          <w:b/>
          <w:bCs/>
          <w:color w:val="000000"/>
        </w:rPr>
        <w:lastRenderedPageBreak/>
        <w:t xml:space="preserve">Appendix </w:t>
      </w:r>
      <w:r w:rsidR="00EF1B33" w:rsidRPr="00183A52">
        <w:rPr>
          <w:rFonts w:ascii="Arial" w:hAnsi="Arial" w:cs="Arial"/>
          <w:b/>
          <w:bCs/>
          <w:color w:val="000000"/>
        </w:rPr>
        <w:t xml:space="preserve">3. </w:t>
      </w:r>
      <w:r w:rsidR="00EF1B33" w:rsidRPr="009A4BFF">
        <w:rPr>
          <w:rFonts w:ascii="Arial" w:eastAsia="Arial" w:hAnsi="Arial" w:cs="Arial"/>
          <w:b/>
          <w:bCs/>
          <w:color w:val="000000"/>
        </w:rPr>
        <w:t xml:space="preserve">The incremental ROV of 1L </w:t>
      </w:r>
      <w:proofErr w:type="spellStart"/>
      <w:r w:rsidR="00EF1B33" w:rsidRPr="009A4BFF">
        <w:rPr>
          <w:rFonts w:ascii="Arial" w:eastAsia="Arial" w:hAnsi="Arial" w:cs="Arial"/>
          <w:b/>
          <w:bCs/>
          <w:color w:val="000000"/>
        </w:rPr>
        <w:t>alectinib</w:t>
      </w:r>
      <w:proofErr w:type="spellEnd"/>
      <w:r w:rsidR="00EF1B33" w:rsidRPr="009A4BFF">
        <w:rPr>
          <w:rFonts w:ascii="Arial" w:eastAsia="Arial" w:hAnsi="Arial" w:cs="Arial"/>
          <w:b/>
          <w:bCs/>
          <w:color w:val="000000"/>
        </w:rPr>
        <w:t xml:space="preserve"> when separate parametric curves were fitted to the PFS of 1L </w:t>
      </w:r>
      <w:proofErr w:type="spellStart"/>
      <w:r w:rsidR="00EF1B33" w:rsidRPr="009A4BFF">
        <w:rPr>
          <w:rFonts w:ascii="Arial" w:eastAsia="Arial" w:hAnsi="Arial" w:cs="Arial"/>
          <w:b/>
          <w:bCs/>
          <w:color w:val="000000"/>
        </w:rPr>
        <w:t>alectinib</w:t>
      </w:r>
      <w:proofErr w:type="spellEnd"/>
      <w:r w:rsidR="00EF1B33" w:rsidRPr="009A4BFF">
        <w:rPr>
          <w:rFonts w:ascii="Arial" w:eastAsia="Arial" w:hAnsi="Arial" w:cs="Arial"/>
          <w:b/>
          <w:bCs/>
          <w:color w:val="000000"/>
        </w:rPr>
        <w:t xml:space="preserve"> and </w:t>
      </w:r>
      <w:proofErr w:type="spellStart"/>
      <w:r w:rsidR="00EF1B33" w:rsidRPr="009A4BFF">
        <w:rPr>
          <w:rFonts w:ascii="Arial" w:eastAsia="Arial" w:hAnsi="Arial" w:cs="Arial"/>
          <w:b/>
          <w:bCs/>
          <w:color w:val="000000"/>
        </w:rPr>
        <w:t>crizotinib</w:t>
      </w:r>
      <w:proofErr w:type="spellEnd"/>
      <w:r w:rsidR="00EF1B33" w:rsidRPr="009A4BFF">
        <w:rPr>
          <w:rFonts w:ascii="Arial" w:eastAsia="Arial" w:hAnsi="Arial" w:cs="Arial"/>
          <w:b/>
          <w:bCs/>
          <w:color w:val="000000"/>
        </w:rPr>
        <w:t xml:space="preserve"> instead of using the HR of PFS</w:t>
      </w:r>
    </w:p>
    <w:p w14:paraId="3ADE90DB" w14:textId="77777777" w:rsidR="00EF1B33" w:rsidRPr="009A4BFF" w:rsidRDefault="00EF1B33" w:rsidP="001201E9">
      <w:pPr>
        <w:rPr>
          <w:rFonts w:ascii="Arial" w:eastAsia="Arial" w:hAnsi="Arial" w:cs="Arial"/>
          <w:b/>
          <w:bCs/>
          <w:color w:val="000000"/>
        </w:rPr>
      </w:pPr>
    </w:p>
    <w:tbl>
      <w:tblPr>
        <w:tblStyle w:val="GridTable1Light"/>
        <w:tblW w:w="0" w:type="auto"/>
        <w:tblLayout w:type="fixed"/>
        <w:tblLook w:val="04A0" w:firstRow="1" w:lastRow="0" w:firstColumn="1" w:lastColumn="0" w:noHBand="0" w:noVBand="1"/>
      </w:tblPr>
      <w:tblGrid>
        <w:gridCol w:w="1525"/>
        <w:gridCol w:w="1440"/>
        <w:gridCol w:w="1260"/>
        <w:gridCol w:w="1440"/>
        <w:gridCol w:w="1800"/>
        <w:gridCol w:w="1885"/>
      </w:tblGrid>
      <w:tr w:rsidR="00EF1B33" w:rsidRPr="00CF1FDC" w14:paraId="39CB593F" w14:textId="77777777" w:rsidTr="00AE48D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50" w:type="dxa"/>
            <w:gridSpan w:val="6"/>
          </w:tcPr>
          <w:p w14:paraId="0767F269" w14:textId="113A2C4E" w:rsidR="00EF1B33" w:rsidRPr="00183A52" w:rsidRDefault="00EF1B33" w:rsidP="00AE48D8">
            <w:pPr>
              <w:spacing w:line="276" w:lineRule="auto"/>
              <w:rPr>
                <w:rFonts w:ascii="Arial" w:eastAsia="Arial" w:hAnsi="Arial" w:cs="Arial"/>
                <w:bCs w:val="0"/>
                <w:color w:val="000000"/>
              </w:rPr>
            </w:pPr>
            <w:r w:rsidRPr="00183A52">
              <w:rPr>
                <w:rFonts w:ascii="Arial" w:eastAsia="Arial" w:hAnsi="Arial" w:cs="Arial"/>
                <w:color w:val="000000"/>
              </w:rPr>
              <w:t>Table S</w:t>
            </w:r>
            <w:r>
              <w:rPr>
                <w:rFonts w:ascii="Arial" w:eastAsia="Arial" w:hAnsi="Arial" w:cs="Arial"/>
                <w:bCs w:val="0"/>
                <w:color w:val="000000"/>
              </w:rPr>
              <w:t>2</w:t>
            </w:r>
            <w:r w:rsidRPr="00183A52">
              <w:rPr>
                <w:rFonts w:ascii="Arial" w:eastAsia="Arial" w:hAnsi="Arial" w:cs="Arial"/>
                <w:color w:val="000000"/>
              </w:rPr>
              <w:t xml:space="preserve">. Value of 1L </w:t>
            </w:r>
            <w:proofErr w:type="spellStart"/>
            <w:r w:rsidRPr="00183A52">
              <w:rPr>
                <w:rFonts w:ascii="Arial" w:eastAsia="Arial" w:hAnsi="Arial" w:cs="Arial"/>
                <w:color w:val="000000"/>
              </w:rPr>
              <w:t>alectinib</w:t>
            </w:r>
            <w:proofErr w:type="spellEnd"/>
            <w:r w:rsidRPr="00183A52">
              <w:rPr>
                <w:rFonts w:ascii="Arial" w:eastAsia="Arial" w:hAnsi="Arial" w:cs="Arial"/>
                <w:color w:val="000000"/>
              </w:rPr>
              <w:t xml:space="preserve"> in the conventional and option value scenarios when separate parametric curves were fitted to the PFS of 1L </w:t>
            </w:r>
            <w:proofErr w:type="spellStart"/>
            <w:r w:rsidRPr="00183A52">
              <w:rPr>
                <w:rFonts w:ascii="Arial" w:eastAsia="Arial" w:hAnsi="Arial" w:cs="Arial"/>
                <w:color w:val="000000"/>
              </w:rPr>
              <w:t>alectinib</w:t>
            </w:r>
            <w:proofErr w:type="spellEnd"/>
            <w:r w:rsidRPr="00183A52">
              <w:rPr>
                <w:rFonts w:ascii="Arial" w:eastAsia="Arial" w:hAnsi="Arial" w:cs="Arial"/>
                <w:color w:val="000000"/>
              </w:rPr>
              <w:t xml:space="preserve"> and </w:t>
            </w:r>
            <w:proofErr w:type="spellStart"/>
            <w:r w:rsidRPr="00183A52">
              <w:rPr>
                <w:rFonts w:ascii="Arial" w:eastAsia="Arial" w:hAnsi="Arial" w:cs="Arial"/>
                <w:color w:val="000000"/>
              </w:rPr>
              <w:t>crizotinib</w:t>
            </w:r>
            <w:proofErr w:type="spellEnd"/>
          </w:p>
        </w:tc>
      </w:tr>
      <w:tr w:rsidR="00EF1B33" w:rsidRPr="00CF1FDC" w14:paraId="277837D6" w14:textId="77777777" w:rsidTr="00AE48D8">
        <w:trPr>
          <w:trHeight w:val="20"/>
        </w:trPr>
        <w:tc>
          <w:tcPr>
            <w:cnfStyle w:val="001000000000" w:firstRow="0" w:lastRow="0" w:firstColumn="1" w:lastColumn="0" w:oddVBand="0" w:evenVBand="0" w:oddHBand="0" w:evenHBand="0" w:firstRowFirstColumn="0" w:firstRowLastColumn="0" w:lastRowFirstColumn="0" w:lastRowLastColumn="0"/>
            <w:tcW w:w="1525" w:type="dxa"/>
          </w:tcPr>
          <w:p w14:paraId="492B9B14" w14:textId="77777777" w:rsidR="00EF1B33" w:rsidRPr="00183A52" w:rsidRDefault="00EF1B33" w:rsidP="00AE48D8">
            <w:pPr>
              <w:spacing w:line="276" w:lineRule="auto"/>
              <w:jc w:val="center"/>
              <w:rPr>
                <w:rFonts w:ascii="Arial" w:eastAsia="Arial" w:hAnsi="Arial" w:cs="Arial"/>
                <w:color w:val="000000"/>
              </w:rPr>
            </w:pPr>
          </w:p>
        </w:tc>
        <w:tc>
          <w:tcPr>
            <w:tcW w:w="1440" w:type="dxa"/>
          </w:tcPr>
          <w:p w14:paraId="28E93C43"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rPr>
            </w:pPr>
            <w:proofErr w:type="spellStart"/>
            <w:r w:rsidRPr="00183A52">
              <w:rPr>
                <w:rFonts w:ascii="Arial" w:eastAsia="Arial" w:hAnsi="Arial" w:cs="Arial"/>
                <w:b/>
                <w:color w:val="000000"/>
              </w:rPr>
              <w:t>Alectinib</w:t>
            </w:r>
            <w:proofErr w:type="spellEnd"/>
          </w:p>
        </w:tc>
        <w:tc>
          <w:tcPr>
            <w:tcW w:w="1260" w:type="dxa"/>
          </w:tcPr>
          <w:p w14:paraId="16B9A2B2"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rPr>
            </w:pPr>
            <w:proofErr w:type="spellStart"/>
            <w:r w:rsidRPr="00183A52">
              <w:rPr>
                <w:rFonts w:ascii="Arial" w:eastAsia="Arial" w:hAnsi="Arial" w:cs="Arial"/>
                <w:b/>
                <w:color w:val="000000"/>
              </w:rPr>
              <w:t>Crizotinib</w:t>
            </w:r>
            <w:proofErr w:type="spellEnd"/>
          </w:p>
        </w:tc>
        <w:tc>
          <w:tcPr>
            <w:tcW w:w="1440" w:type="dxa"/>
          </w:tcPr>
          <w:p w14:paraId="6AA33DA9"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rPr>
            </w:pPr>
            <w:r w:rsidRPr="00183A52">
              <w:rPr>
                <w:rFonts w:ascii="Arial" w:eastAsia="Arial" w:hAnsi="Arial" w:cs="Arial"/>
                <w:b/>
                <w:color w:val="000000"/>
              </w:rPr>
              <w:t xml:space="preserve">Incremental value of </w:t>
            </w:r>
            <w:proofErr w:type="spellStart"/>
            <w:r w:rsidRPr="00183A52">
              <w:rPr>
                <w:rFonts w:ascii="Arial" w:eastAsia="Arial" w:hAnsi="Arial" w:cs="Arial"/>
                <w:b/>
                <w:color w:val="000000"/>
              </w:rPr>
              <w:t>alectinib</w:t>
            </w:r>
            <w:proofErr w:type="spellEnd"/>
            <w:r w:rsidRPr="00183A52">
              <w:rPr>
                <w:rFonts w:ascii="Arial" w:eastAsia="Arial" w:hAnsi="Arial" w:cs="Arial"/>
                <w:b/>
                <w:color w:val="000000"/>
              </w:rPr>
              <w:t xml:space="preserve"> vs. </w:t>
            </w:r>
            <w:proofErr w:type="spellStart"/>
            <w:r w:rsidRPr="00183A52">
              <w:rPr>
                <w:rFonts w:ascii="Arial" w:eastAsia="Arial" w:hAnsi="Arial" w:cs="Arial"/>
                <w:b/>
                <w:color w:val="000000"/>
              </w:rPr>
              <w:t>crizotinib</w:t>
            </w:r>
            <w:proofErr w:type="spellEnd"/>
          </w:p>
        </w:tc>
        <w:tc>
          <w:tcPr>
            <w:tcW w:w="1800" w:type="dxa"/>
          </w:tcPr>
          <w:p w14:paraId="138162AD"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vertAlign w:val="superscript"/>
              </w:rPr>
            </w:pPr>
            <w:r w:rsidRPr="00183A52">
              <w:rPr>
                <w:rFonts w:ascii="Arial" w:eastAsia="Arial" w:hAnsi="Arial" w:cs="Arial"/>
                <w:b/>
                <w:color w:val="000000"/>
              </w:rPr>
              <w:t xml:space="preserve">Incremental ROV of </w:t>
            </w:r>
            <w:proofErr w:type="spellStart"/>
            <w:r w:rsidRPr="00183A52">
              <w:rPr>
                <w:rFonts w:ascii="Arial" w:eastAsia="Arial" w:hAnsi="Arial" w:cs="Arial"/>
                <w:b/>
                <w:color w:val="000000"/>
              </w:rPr>
              <w:t>alectinib</w:t>
            </w:r>
            <w:proofErr w:type="spellEnd"/>
            <w:r w:rsidRPr="00183A52">
              <w:rPr>
                <w:rFonts w:ascii="Arial" w:eastAsia="Arial" w:hAnsi="Arial" w:cs="Arial"/>
                <w:b/>
                <w:color w:val="000000"/>
              </w:rPr>
              <w:t xml:space="preserve"> vs. </w:t>
            </w:r>
            <w:proofErr w:type="spellStart"/>
            <w:r w:rsidRPr="00183A52">
              <w:rPr>
                <w:rFonts w:ascii="Arial" w:eastAsia="Arial" w:hAnsi="Arial" w:cs="Arial"/>
                <w:b/>
                <w:color w:val="000000"/>
              </w:rPr>
              <w:t>crizotinib</w:t>
            </w:r>
            <w:r w:rsidRPr="00183A52">
              <w:rPr>
                <w:rFonts w:ascii="Arial" w:eastAsia="Arial" w:hAnsi="Arial" w:cs="Arial"/>
                <w:b/>
                <w:color w:val="000000"/>
                <w:vertAlign w:val="superscript"/>
              </w:rPr>
              <w:t>a</w:t>
            </w:r>
            <w:proofErr w:type="spellEnd"/>
          </w:p>
        </w:tc>
        <w:tc>
          <w:tcPr>
            <w:tcW w:w="1885" w:type="dxa"/>
          </w:tcPr>
          <w:p w14:paraId="65B33800"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vertAlign w:val="superscript"/>
              </w:rPr>
            </w:pPr>
            <w:r w:rsidRPr="00183A52">
              <w:rPr>
                <w:rFonts w:ascii="Arial" w:eastAsia="Arial" w:hAnsi="Arial" w:cs="Arial"/>
                <w:b/>
                <w:color w:val="000000"/>
              </w:rPr>
              <w:t xml:space="preserve">The proportion of incremental ROV of </w:t>
            </w:r>
            <w:proofErr w:type="spellStart"/>
            <w:r w:rsidRPr="00183A52">
              <w:rPr>
                <w:rFonts w:ascii="Arial" w:eastAsia="Arial" w:hAnsi="Arial" w:cs="Arial"/>
                <w:b/>
                <w:color w:val="000000"/>
              </w:rPr>
              <w:t>alectinib</w:t>
            </w:r>
            <w:proofErr w:type="spellEnd"/>
            <w:r w:rsidRPr="00183A52">
              <w:rPr>
                <w:rFonts w:ascii="Arial" w:eastAsia="Arial" w:hAnsi="Arial" w:cs="Arial"/>
                <w:b/>
                <w:color w:val="000000"/>
              </w:rPr>
              <w:t xml:space="preserve"> compared to the conventional </w:t>
            </w:r>
            <w:proofErr w:type="spellStart"/>
            <w:r w:rsidRPr="00183A52">
              <w:rPr>
                <w:rFonts w:ascii="Arial" w:eastAsia="Arial" w:hAnsi="Arial" w:cs="Arial"/>
                <w:b/>
                <w:color w:val="000000"/>
              </w:rPr>
              <w:t>value</w:t>
            </w:r>
            <w:r w:rsidRPr="00183A52">
              <w:rPr>
                <w:rFonts w:ascii="Arial" w:eastAsia="Arial" w:hAnsi="Arial" w:cs="Arial"/>
                <w:b/>
                <w:color w:val="000000"/>
                <w:vertAlign w:val="superscript"/>
              </w:rPr>
              <w:t>b</w:t>
            </w:r>
            <w:proofErr w:type="spellEnd"/>
          </w:p>
        </w:tc>
      </w:tr>
      <w:tr w:rsidR="00EF1B33" w:rsidRPr="00CF1FDC" w14:paraId="7D93A6E3" w14:textId="77777777" w:rsidTr="00AE48D8">
        <w:trPr>
          <w:trHeight w:val="20"/>
        </w:trPr>
        <w:tc>
          <w:tcPr>
            <w:cnfStyle w:val="001000000000" w:firstRow="0" w:lastRow="0" w:firstColumn="1" w:lastColumn="0" w:oddVBand="0" w:evenVBand="0" w:oddHBand="0" w:evenHBand="0" w:firstRowFirstColumn="0" w:firstRowLastColumn="0" w:lastRowFirstColumn="0" w:lastRowLastColumn="0"/>
            <w:tcW w:w="1525" w:type="dxa"/>
          </w:tcPr>
          <w:p w14:paraId="4A02CC6E" w14:textId="77777777" w:rsidR="00EF1B33" w:rsidRPr="00183A52" w:rsidRDefault="00EF1B33" w:rsidP="00AE48D8">
            <w:pPr>
              <w:spacing w:line="276" w:lineRule="auto"/>
              <w:jc w:val="right"/>
              <w:rPr>
                <w:rFonts w:ascii="Arial" w:eastAsia="Arial" w:hAnsi="Arial" w:cs="Arial"/>
                <w:b w:val="0"/>
                <w:color w:val="000000"/>
              </w:rPr>
            </w:pPr>
            <w:r w:rsidRPr="00183A52">
              <w:rPr>
                <w:rFonts w:ascii="Arial" w:eastAsia="Arial" w:hAnsi="Arial" w:cs="Arial"/>
                <w:color w:val="000000"/>
              </w:rPr>
              <w:t>Conventional scenario</w:t>
            </w:r>
          </w:p>
        </w:tc>
        <w:tc>
          <w:tcPr>
            <w:tcW w:w="1440" w:type="dxa"/>
          </w:tcPr>
          <w:p w14:paraId="686980EF"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c>
          <w:tcPr>
            <w:tcW w:w="1260" w:type="dxa"/>
          </w:tcPr>
          <w:p w14:paraId="32843D06"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c>
          <w:tcPr>
            <w:tcW w:w="1440" w:type="dxa"/>
          </w:tcPr>
          <w:p w14:paraId="1625CDBF"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c>
          <w:tcPr>
            <w:tcW w:w="1800" w:type="dxa"/>
          </w:tcPr>
          <w:p w14:paraId="4352E590"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c>
          <w:tcPr>
            <w:tcW w:w="1885" w:type="dxa"/>
          </w:tcPr>
          <w:p w14:paraId="5E3DA299"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r>
      <w:tr w:rsidR="00EF1B33" w:rsidRPr="00CF1FDC" w14:paraId="67BB518E" w14:textId="77777777" w:rsidTr="00AE48D8">
        <w:trPr>
          <w:trHeight w:val="20"/>
        </w:trPr>
        <w:tc>
          <w:tcPr>
            <w:cnfStyle w:val="001000000000" w:firstRow="0" w:lastRow="0" w:firstColumn="1" w:lastColumn="0" w:oddVBand="0" w:evenVBand="0" w:oddHBand="0" w:evenHBand="0" w:firstRowFirstColumn="0" w:firstRowLastColumn="0" w:lastRowFirstColumn="0" w:lastRowLastColumn="0"/>
            <w:tcW w:w="1525" w:type="dxa"/>
          </w:tcPr>
          <w:p w14:paraId="24765478" w14:textId="77777777" w:rsidR="00EF1B33" w:rsidRPr="00183A52" w:rsidRDefault="00EF1B33" w:rsidP="00AE48D8">
            <w:pPr>
              <w:spacing w:line="276" w:lineRule="auto"/>
              <w:jc w:val="right"/>
              <w:rPr>
                <w:rFonts w:ascii="Arial" w:eastAsia="Arial" w:hAnsi="Arial" w:cs="Arial"/>
                <w:color w:val="000000"/>
              </w:rPr>
            </w:pPr>
            <w:r w:rsidRPr="00183A52">
              <w:rPr>
                <w:rFonts w:ascii="Arial" w:eastAsia="Arial" w:hAnsi="Arial" w:cs="Arial"/>
                <w:color w:val="000000"/>
              </w:rPr>
              <w:t>Life-years</w:t>
            </w:r>
          </w:p>
        </w:tc>
        <w:tc>
          <w:tcPr>
            <w:tcW w:w="1440" w:type="dxa"/>
          </w:tcPr>
          <w:p w14:paraId="6A9338C3"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7.78</w:t>
            </w:r>
          </w:p>
        </w:tc>
        <w:tc>
          <w:tcPr>
            <w:tcW w:w="1260" w:type="dxa"/>
          </w:tcPr>
          <w:p w14:paraId="2CF58162"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6.75</w:t>
            </w:r>
          </w:p>
        </w:tc>
        <w:tc>
          <w:tcPr>
            <w:tcW w:w="1440" w:type="dxa"/>
          </w:tcPr>
          <w:p w14:paraId="61715FB2"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1.03</w:t>
            </w:r>
          </w:p>
        </w:tc>
        <w:tc>
          <w:tcPr>
            <w:tcW w:w="1800" w:type="dxa"/>
          </w:tcPr>
          <w:p w14:paraId="55711A5C"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c>
          <w:tcPr>
            <w:tcW w:w="1885" w:type="dxa"/>
          </w:tcPr>
          <w:p w14:paraId="6F0D2E6F"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r>
      <w:tr w:rsidR="00EF1B33" w:rsidRPr="00CF1FDC" w14:paraId="4097C7F1" w14:textId="77777777" w:rsidTr="00AE48D8">
        <w:trPr>
          <w:trHeight w:val="20"/>
        </w:trPr>
        <w:tc>
          <w:tcPr>
            <w:cnfStyle w:val="001000000000" w:firstRow="0" w:lastRow="0" w:firstColumn="1" w:lastColumn="0" w:oddVBand="0" w:evenVBand="0" w:oddHBand="0" w:evenHBand="0" w:firstRowFirstColumn="0" w:firstRowLastColumn="0" w:lastRowFirstColumn="0" w:lastRowLastColumn="0"/>
            <w:tcW w:w="1525" w:type="dxa"/>
          </w:tcPr>
          <w:p w14:paraId="1834B0E5" w14:textId="77777777" w:rsidR="00EF1B33" w:rsidRPr="00183A52" w:rsidRDefault="00EF1B33" w:rsidP="00AE48D8">
            <w:pPr>
              <w:spacing w:line="276" w:lineRule="auto"/>
              <w:jc w:val="right"/>
              <w:rPr>
                <w:rFonts w:ascii="Arial" w:eastAsia="Arial" w:hAnsi="Arial" w:cs="Arial"/>
                <w:color w:val="000000"/>
              </w:rPr>
            </w:pPr>
            <w:r w:rsidRPr="00183A52">
              <w:rPr>
                <w:rFonts w:ascii="Arial" w:eastAsia="Arial" w:hAnsi="Arial" w:cs="Arial"/>
                <w:color w:val="000000"/>
              </w:rPr>
              <w:t>QALYs</w:t>
            </w:r>
          </w:p>
        </w:tc>
        <w:tc>
          <w:tcPr>
            <w:tcW w:w="1440" w:type="dxa"/>
          </w:tcPr>
          <w:p w14:paraId="387301C8"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5.84</w:t>
            </w:r>
          </w:p>
        </w:tc>
        <w:tc>
          <w:tcPr>
            <w:tcW w:w="1260" w:type="dxa"/>
          </w:tcPr>
          <w:p w14:paraId="2F181F2A"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4.98</w:t>
            </w:r>
          </w:p>
        </w:tc>
        <w:tc>
          <w:tcPr>
            <w:tcW w:w="1440" w:type="dxa"/>
          </w:tcPr>
          <w:p w14:paraId="4B704900"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0.86</w:t>
            </w:r>
          </w:p>
        </w:tc>
        <w:tc>
          <w:tcPr>
            <w:tcW w:w="1800" w:type="dxa"/>
          </w:tcPr>
          <w:p w14:paraId="2DAD6E6D"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c>
          <w:tcPr>
            <w:tcW w:w="1885" w:type="dxa"/>
          </w:tcPr>
          <w:p w14:paraId="717214E0"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r>
      <w:tr w:rsidR="00EF1B33" w:rsidRPr="00CF1FDC" w14:paraId="20897EFA" w14:textId="77777777" w:rsidTr="00AE48D8">
        <w:trPr>
          <w:trHeight w:val="20"/>
        </w:trPr>
        <w:tc>
          <w:tcPr>
            <w:cnfStyle w:val="001000000000" w:firstRow="0" w:lastRow="0" w:firstColumn="1" w:lastColumn="0" w:oddVBand="0" w:evenVBand="0" w:oddHBand="0" w:evenHBand="0" w:firstRowFirstColumn="0" w:firstRowLastColumn="0" w:lastRowFirstColumn="0" w:lastRowLastColumn="0"/>
            <w:tcW w:w="1525" w:type="dxa"/>
          </w:tcPr>
          <w:p w14:paraId="19DE380D" w14:textId="77777777" w:rsidR="00EF1B33" w:rsidRPr="00183A52" w:rsidRDefault="00EF1B33" w:rsidP="00AE48D8">
            <w:pPr>
              <w:spacing w:line="276" w:lineRule="auto"/>
              <w:jc w:val="right"/>
              <w:rPr>
                <w:rFonts w:ascii="Arial" w:eastAsia="Arial" w:hAnsi="Arial" w:cs="Arial"/>
                <w:b w:val="0"/>
                <w:color w:val="000000"/>
              </w:rPr>
            </w:pPr>
            <w:r w:rsidRPr="00183A52">
              <w:rPr>
                <w:rFonts w:ascii="Arial" w:eastAsia="Arial" w:hAnsi="Arial" w:cs="Arial"/>
                <w:color w:val="000000"/>
              </w:rPr>
              <w:t>Option value scenario</w:t>
            </w:r>
          </w:p>
        </w:tc>
        <w:tc>
          <w:tcPr>
            <w:tcW w:w="1440" w:type="dxa"/>
          </w:tcPr>
          <w:p w14:paraId="7D1919D8"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c>
          <w:tcPr>
            <w:tcW w:w="1260" w:type="dxa"/>
          </w:tcPr>
          <w:p w14:paraId="47016C7A"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c>
          <w:tcPr>
            <w:tcW w:w="1440" w:type="dxa"/>
          </w:tcPr>
          <w:p w14:paraId="1CAB6BA6"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c>
          <w:tcPr>
            <w:tcW w:w="1800" w:type="dxa"/>
          </w:tcPr>
          <w:p w14:paraId="774D8549"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c>
          <w:tcPr>
            <w:tcW w:w="1885" w:type="dxa"/>
          </w:tcPr>
          <w:p w14:paraId="73FF3462"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r>
      <w:tr w:rsidR="00EF1B33" w:rsidRPr="00CF1FDC" w14:paraId="0BB441D9" w14:textId="77777777" w:rsidTr="00AE48D8">
        <w:trPr>
          <w:trHeight w:val="20"/>
        </w:trPr>
        <w:tc>
          <w:tcPr>
            <w:cnfStyle w:val="001000000000" w:firstRow="0" w:lastRow="0" w:firstColumn="1" w:lastColumn="0" w:oddVBand="0" w:evenVBand="0" w:oddHBand="0" w:evenHBand="0" w:firstRowFirstColumn="0" w:firstRowLastColumn="0" w:lastRowFirstColumn="0" w:lastRowLastColumn="0"/>
            <w:tcW w:w="1525" w:type="dxa"/>
          </w:tcPr>
          <w:p w14:paraId="55D8FB89" w14:textId="77777777" w:rsidR="00EF1B33" w:rsidRPr="00183A52" w:rsidRDefault="00EF1B33" w:rsidP="00AE48D8">
            <w:pPr>
              <w:spacing w:line="276" w:lineRule="auto"/>
              <w:jc w:val="right"/>
              <w:rPr>
                <w:rFonts w:ascii="Arial" w:eastAsia="Arial" w:hAnsi="Arial" w:cs="Arial"/>
                <w:color w:val="000000"/>
              </w:rPr>
            </w:pPr>
            <w:r w:rsidRPr="00183A52">
              <w:rPr>
                <w:rFonts w:ascii="Arial" w:eastAsia="Arial" w:hAnsi="Arial" w:cs="Arial"/>
                <w:color w:val="000000"/>
              </w:rPr>
              <w:t>Life-years</w:t>
            </w:r>
          </w:p>
        </w:tc>
        <w:tc>
          <w:tcPr>
            <w:tcW w:w="1440" w:type="dxa"/>
          </w:tcPr>
          <w:p w14:paraId="003691E3"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8.07</w:t>
            </w:r>
          </w:p>
        </w:tc>
        <w:tc>
          <w:tcPr>
            <w:tcW w:w="1260" w:type="dxa"/>
          </w:tcPr>
          <w:p w14:paraId="48876025"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6.91</w:t>
            </w:r>
          </w:p>
        </w:tc>
        <w:tc>
          <w:tcPr>
            <w:tcW w:w="1440" w:type="dxa"/>
          </w:tcPr>
          <w:p w14:paraId="0C804B81"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1.16</w:t>
            </w:r>
          </w:p>
        </w:tc>
        <w:tc>
          <w:tcPr>
            <w:tcW w:w="1800" w:type="dxa"/>
          </w:tcPr>
          <w:p w14:paraId="30DD507B"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0.13</w:t>
            </w:r>
          </w:p>
        </w:tc>
        <w:tc>
          <w:tcPr>
            <w:tcW w:w="1885" w:type="dxa"/>
          </w:tcPr>
          <w:p w14:paraId="35655680"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12.6%</w:t>
            </w:r>
          </w:p>
        </w:tc>
      </w:tr>
      <w:tr w:rsidR="00EF1B33" w:rsidRPr="00CF1FDC" w14:paraId="74424427" w14:textId="77777777" w:rsidTr="00AE48D8">
        <w:trPr>
          <w:trHeight w:val="20"/>
        </w:trPr>
        <w:tc>
          <w:tcPr>
            <w:cnfStyle w:val="001000000000" w:firstRow="0" w:lastRow="0" w:firstColumn="1" w:lastColumn="0" w:oddVBand="0" w:evenVBand="0" w:oddHBand="0" w:evenHBand="0" w:firstRowFirstColumn="0" w:firstRowLastColumn="0" w:lastRowFirstColumn="0" w:lastRowLastColumn="0"/>
            <w:tcW w:w="1525" w:type="dxa"/>
          </w:tcPr>
          <w:p w14:paraId="1D4ED10A" w14:textId="77777777" w:rsidR="00EF1B33" w:rsidRPr="00183A52" w:rsidRDefault="00EF1B33" w:rsidP="00AE48D8">
            <w:pPr>
              <w:spacing w:line="276" w:lineRule="auto"/>
              <w:jc w:val="right"/>
              <w:rPr>
                <w:rFonts w:ascii="Arial" w:eastAsia="Arial" w:hAnsi="Arial" w:cs="Arial"/>
                <w:color w:val="000000"/>
              </w:rPr>
            </w:pPr>
            <w:r w:rsidRPr="00183A52">
              <w:rPr>
                <w:rFonts w:ascii="Arial" w:eastAsia="Arial" w:hAnsi="Arial" w:cs="Arial"/>
                <w:color w:val="000000"/>
              </w:rPr>
              <w:t>QALYs</w:t>
            </w:r>
          </w:p>
        </w:tc>
        <w:tc>
          <w:tcPr>
            <w:tcW w:w="1440" w:type="dxa"/>
          </w:tcPr>
          <w:p w14:paraId="73B630BD"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6.06</w:t>
            </w:r>
          </w:p>
        </w:tc>
        <w:tc>
          <w:tcPr>
            <w:tcW w:w="1260" w:type="dxa"/>
          </w:tcPr>
          <w:p w14:paraId="2F78C722"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5.10</w:t>
            </w:r>
          </w:p>
        </w:tc>
        <w:tc>
          <w:tcPr>
            <w:tcW w:w="1440" w:type="dxa"/>
          </w:tcPr>
          <w:p w14:paraId="477C4296"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0.96</w:t>
            </w:r>
          </w:p>
        </w:tc>
        <w:tc>
          <w:tcPr>
            <w:tcW w:w="1800" w:type="dxa"/>
          </w:tcPr>
          <w:p w14:paraId="0513492A"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0.10</w:t>
            </w:r>
          </w:p>
        </w:tc>
        <w:tc>
          <w:tcPr>
            <w:tcW w:w="1885" w:type="dxa"/>
          </w:tcPr>
          <w:p w14:paraId="4FEA8D79" w14:textId="77777777" w:rsidR="00EF1B33" w:rsidRPr="00183A52" w:rsidRDefault="00EF1B33" w:rsidP="00AE48D8">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sidRPr="00183A52">
              <w:rPr>
                <w:rFonts w:ascii="Arial" w:eastAsia="Arial" w:hAnsi="Arial" w:cs="Arial"/>
                <w:color w:val="000000"/>
              </w:rPr>
              <w:t>11.6%</w:t>
            </w:r>
          </w:p>
        </w:tc>
      </w:tr>
    </w:tbl>
    <w:p w14:paraId="2D3D8D45" w14:textId="77777777" w:rsidR="00EF1B33" w:rsidRPr="00183A52" w:rsidRDefault="00EF1B33" w:rsidP="001201E9">
      <w:pPr>
        <w:rPr>
          <w:rFonts w:ascii="Arial" w:eastAsia="Arial" w:hAnsi="Arial" w:cs="Arial"/>
          <w:color w:val="000000"/>
        </w:rPr>
      </w:pPr>
      <w:proofErr w:type="spellStart"/>
      <w:r w:rsidRPr="00183A52">
        <w:rPr>
          <w:rFonts w:ascii="Arial" w:eastAsia="Arial" w:hAnsi="Arial" w:cs="Arial"/>
          <w:color w:val="000000"/>
          <w:vertAlign w:val="superscript"/>
        </w:rPr>
        <w:t>a</w:t>
      </w:r>
      <w:proofErr w:type="spellEnd"/>
      <w:r w:rsidRPr="00183A52">
        <w:rPr>
          <w:rFonts w:ascii="Arial" w:eastAsia="Arial" w:hAnsi="Arial" w:cs="Arial"/>
          <w:color w:val="000000"/>
          <w:vertAlign w:val="superscript"/>
        </w:rPr>
        <w:t xml:space="preserve"> </w:t>
      </w:r>
      <w:r w:rsidRPr="00183A52">
        <w:rPr>
          <w:rFonts w:ascii="Arial" w:eastAsia="Arial" w:hAnsi="Arial" w:cs="Arial"/>
          <w:color w:val="000000"/>
        </w:rPr>
        <w:t xml:space="preserve">The absolute increase of the incremental value of </w:t>
      </w:r>
      <w:proofErr w:type="spellStart"/>
      <w:r w:rsidRPr="00183A52">
        <w:rPr>
          <w:rFonts w:ascii="Arial" w:eastAsia="Arial" w:hAnsi="Arial" w:cs="Arial"/>
          <w:color w:val="000000"/>
        </w:rPr>
        <w:t>alectinib</w:t>
      </w:r>
      <w:proofErr w:type="spellEnd"/>
      <w:r w:rsidRPr="00183A52">
        <w:rPr>
          <w:rFonts w:ascii="Arial" w:eastAsia="Arial" w:hAnsi="Arial" w:cs="Arial"/>
          <w:color w:val="000000"/>
        </w:rPr>
        <w:t xml:space="preserve"> vs. </w:t>
      </w:r>
      <w:proofErr w:type="spellStart"/>
      <w:r w:rsidRPr="00183A52">
        <w:rPr>
          <w:rFonts w:ascii="Arial" w:eastAsia="Arial" w:hAnsi="Arial" w:cs="Arial"/>
          <w:color w:val="000000"/>
        </w:rPr>
        <w:t>crizotinib</w:t>
      </w:r>
      <w:proofErr w:type="spellEnd"/>
      <w:r w:rsidRPr="00183A52">
        <w:rPr>
          <w:rFonts w:ascii="Arial" w:eastAsia="Arial" w:hAnsi="Arial" w:cs="Arial"/>
          <w:color w:val="000000"/>
        </w:rPr>
        <w:t xml:space="preserve"> in the option value scenario compared to the conventional scenario; </w:t>
      </w:r>
      <w:proofErr w:type="spellStart"/>
      <w:r w:rsidRPr="00183A52">
        <w:rPr>
          <w:rFonts w:ascii="Arial" w:eastAsia="Arial" w:hAnsi="Arial" w:cs="Arial"/>
          <w:color w:val="000000"/>
          <w:vertAlign w:val="superscript"/>
        </w:rPr>
        <w:t>b</w:t>
      </w:r>
      <w:r w:rsidRPr="00183A52">
        <w:rPr>
          <w:rFonts w:ascii="Arial" w:eastAsia="Arial" w:hAnsi="Arial" w:cs="Arial"/>
          <w:color w:val="000000"/>
        </w:rPr>
        <w:t>The</w:t>
      </w:r>
      <w:proofErr w:type="spellEnd"/>
      <w:r w:rsidRPr="00183A52">
        <w:rPr>
          <w:rFonts w:ascii="Arial" w:eastAsia="Arial" w:hAnsi="Arial" w:cs="Arial"/>
          <w:color w:val="000000"/>
        </w:rPr>
        <w:t xml:space="preserve"> percent increase of the incremental value of </w:t>
      </w:r>
      <w:proofErr w:type="spellStart"/>
      <w:r w:rsidRPr="00183A52">
        <w:rPr>
          <w:rFonts w:ascii="Arial" w:eastAsia="Arial" w:hAnsi="Arial" w:cs="Arial"/>
          <w:color w:val="000000"/>
        </w:rPr>
        <w:t>alectinib</w:t>
      </w:r>
      <w:proofErr w:type="spellEnd"/>
      <w:r w:rsidRPr="00183A52">
        <w:rPr>
          <w:rFonts w:ascii="Arial" w:eastAsia="Arial" w:hAnsi="Arial" w:cs="Arial"/>
          <w:color w:val="000000"/>
        </w:rPr>
        <w:t xml:space="preserve"> vs. </w:t>
      </w:r>
      <w:proofErr w:type="spellStart"/>
      <w:r w:rsidRPr="00183A52">
        <w:rPr>
          <w:rFonts w:ascii="Arial" w:eastAsia="Arial" w:hAnsi="Arial" w:cs="Arial"/>
          <w:color w:val="000000"/>
        </w:rPr>
        <w:t>crizotinib</w:t>
      </w:r>
      <w:proofErr w:type="spellEnd"/>
      <w:r w:rsidRPr="00183A52">
        <w:rPr>
          <w:rFonts w:ascii="Arial" w:eastAsia="Arial" w:hAnsi="Arial" w:cs="Arial"/>
          <w:color w:val="000000"/>
        </w:rPr>
        <w:t xml:space="preserve"> in the option value scenario compared to the conventional scenario.</w:t>
      </w:r>
    </w:p>
    <w:p w14:paraId="2D6168B5" w14:textId="77777777" w:rsidR="00EF1B33" w:rsidRPr="009A4BFF" w:rsidRDefault="00EF1B33">
      <w:pPr>
        <w:rPr>
          <w:rFonts w:ascii="Arial" w:hAnsi="Arial" w:cs="Arial"/>
          <w:b/>
          <w:bCs/>
          <w:color w:val="000000"/>
        </w:rPr>
      </w:pPr>
      <w:r w:rsidRPr="009A4BFF">
        <w:rPr>
          <w:rFonts w:ascii="Arial" w:hAnsi="Arial" w:cs="Arial"/>
          <w:b/>
          <w:bCs/>
          <w:color w:val="000000"/>
        </w:rPr>
        <w:br w:type="page"/>
      </w:r>
    </w:p>
    <w:p w14:paraId="0CFABD07" w14:textId="7FC25E29" w:rsidR="00EF1B33" w:rsidRPr="009A4BFF" w:rsidRDefault="00926EEF" w:rsidP="00003689">
      <w:pPr>
        <w:rPr>
          <w:rFonts w:ascii="Arial" w:hAnsi="Arial" w:cs="Arial"/>
          <w:b/>
          <w:bCs/>
          <w:color w:val="000000"/>
        </w:rPr>
      </w:pPr>
      <w:r>
        <w:rPr>
          <w:rFonts w:ascii="Arial" w:hAnsi="Arial" w:cs="Arial"/>
          <w:b/>
          <w:bCs/>
          <w:color w:val="000000"/>
        </w:rPr>
        <w:lastRenderedPageBreak/>
        <w:t xml:space="preserve">Appendix </w:t>
      </w:r>
      <w:r w:rsidR="00EF1B33" w:rsidRPr="009A4BFF">
        <w:rPr>
          <w:rFonts w:ascii="Arial" w:hAnsi="Arial" w:cs="Arial"/>
          <w:b/>
          <w:bCs/>
          <w:color w:val="000000"/>
        </w:rPr>
        <w:t>4. Structured review of Clinicaltrials.gov for likely future drugs</w:t>
      </w:r>
    </w:p>
    <w:p w14:paraId="0A325DC8" w14:textId="77777777" w:rsidR="00EF1B33" w:rsidRPr="009A4BFF" w:rsidRDefault="00EF1B33" w:rsidP="001201E9">
      <w:pPr>
        <w:rPr>
          <w:rFonts w:ascii="Arial" w:hAnsi="Arial" w:cs="Arial"/>
          <w:color w:val="000000"/>
        </w:rPr>
      </w:pPr>
      <w:r w:rsidRPr="009A4BFF">
        <w:rPr>
          <w:rFonts w:ascii="Arial" w:hAnsi="Arial" w:cs="Arial"/>
          <w:color w:val="000000"/>
        </w:rPr>
        <w:t>Under the pipeline approach, we assumed that disease-specific mortality decreases only by the arrival of new innovative therapies. Therefore, we need to identify likely future drugs and then project their incremental efficacy and the likelihood and timing of arrival to estimate the incremental benefits from the future drugs.</w:t>
      </w:r>
    </w:p>
    <w:p w14:paraId="494489E3" w14:textId="77777777" w:rsidR="00EF1B33" w:rsidRPr="009A4BFF" w:rsidRDefault="00EF1B33" w:rsidP="001201E9">
      <w:pPr>
        <w:rPr>
          <w:rFonts w:ascii="Arial" w:hAnsi="Arial" w:cs="Arial"/>
          <w:color w:val="000000"/>
        </w:rPr>
      </w:pPr>
      <w:r w:rsidRPr="009A4BFF">
        <w:rPr>
          <w:rFonts w:ascii="Arial" w:hAnsi="Arial" w:cs="Arial"/>
          <w:color w:val="000000"/>
        </w:rPr>
        <w:t>We reviewed ClinicalTrials.gov, the largest registry of clinical trials run by the United States National Library of Medicines at the National Institutes of Health to identify likely future drugs. The Food and Drug Administration Amendments Act of 2007 requires that clinical trial sponsors to register and report results for clinical trials that meet the definition of an “applicable clinical trial (ACT)”.</w:t>
      </w:r>
      <w:r w:rsidRPr="00183A52">
        <w:rPr>
          <w:rFonts w:ascii="Arial" w:hAnsi="Arial" w:cs="Arial"/>
        </w:rPr>
        <w:t xml:space="preserve"> </w:t>
      </w:r>
      <w:r w:rsidRPr="00FC3B6C">
        <w:rPr>
          <w:rFonts w:ascii="Arial" w:hAnsi="Arial" w:cs="Arial"/>
          <w:noProof/>
          <w:color w:val="000000"/>
          <w:vertAlign w:val="superscript"/>
        </w:rPr>
        <w:t>2</w:t>
      </w:r>
      <w:r w:rsidRPr="009A4BFF">
        <w:rPr>
          <w:rFonts w:ascii="Arial" w:hAnsi="Arial" w:cs="Arial"/>
          <w:color w:val="000000"/>
        </w:rPr>
        <w:t xml:space="preserve"> We used the AACT database (Aggregate Analysis of ClinicalTrials.gov), a publicly available database that contains all information about every study registered in </w:t>
      </w:r>
      <w:proofErr w:type="spellStart"/>
      <w:r w:rsidRPr="009A4BFF">
        <w:rPr>
          <w:rFonts w:ascii="Arial" w:hAnsi="Arial" w:cs="Arial"/>
          <w:color w:val="000000"/>
        </w:rPr>
        <w:t>ClinicalTrial</w:t>
      </w:r>
      <w:proofErr w:type="spellEnd"/>
      <w:r w:rsidRPr="009A4BFF">
        <w:rPr>
          <w:rFonts w:ascii="Arial" w:hAnsi="Arial" w:cs="Arial"/>
          <w:color w:val="000000"/>
        </w:rPr>
        <w:t xml:space="preserve">, to review existing clinical trials less manually. The AACT dataset is refreshed daily. </w:t>
      </w:r>
    </w:p>
    <w:p w14:paraId="656AA733" w14:textId="77777777" w:rsidR="00EF1B33" w:rsidRPr="009A4BFF" w:rsidRDefault="00EF1B33" w:rsidP="001201E9">
      <w:pPr>
        <w:rPr>
          <w:rFonts w:ascii="Arial" w:hAnsi="Arial" w:cs="Arial"/>
          <w:color w:val="000000"/>
        </w:rPr>
      </w:pPr>
      <w:r w:rsidRPr="009A4BFF">
        <w:rPr>
          <w:rFonts w:ascii="Arial" w:hAnsi="Arial" w:cs="Arial"/>
          <w:color w:val="000000"/>
        </w:rPr>
        <w:t xml:space="preserve">We reviewed phase 2, 2/3, and 3 clinical trials that were ongoing in November 2017 (the time of </w:t>
      </w:r>
      <w:proofErr w:type="spellStart"/>
      <w:r w:rsidRPr="009A4BFF">
        <w:rPr>
          <w:rFonts w:ascii="Arial" w:hAnsi="Arial" w:cs="Arial"/>
          <w:color w:val="000000"/>
        </w:rPr>
        <w:t>alectinib’s</w:t>
      </w:r>
      <w:proofErr w:type="spellEnd"/>
      <w:r w:rsidRPr="009A4BFF">
        <w:rPr>
          <w:rFonts w:ascii="Arial" w:hAnsi="Arial" w:cs="Arial"/>
          <w:color w:val="000000"/>
        </w:rPr>
        <w:t xml:space="preserve"> 1L approval) or were completed close to the time of launch. The inclusion criteria included: (1) interventional studies; (2) stage 3 or 4, </w:t>
      </w:r>
      <w:proofErr w:type="spellStart"/>
      <w:r w:rsidRPr="009A4BFF">
        <w:rPr>
          <w:rFonts w:ascii="Arial" w:hAnsi="Arial" w:cs="Arial"/>
          <w:color w:val="000000"/>
        </w:rPr>
        <w:t>unresectable</w:t>
      </w:r>
      <w:proofErr w:type="spellEnd"/>
      <w:r w:rsidRPr="009A4BFF">
        <w:rPr>
          <w:rFonts w:ascii="Arial" w:hAnsi="Arial" w:cs="Arial"/>
          <w:color w:val="000000"/>
        </w:rPr>
        <w:t xml:space="preserve">, metastatic, or advanced ALK-positive NSCLC; (3) adult population (18 years of age or older); (4) phase 2, 2/3, or 3; (5) study start date between 1/1/2007 and 11/6/2017; (6) a new molecule or gene therapy (drugs that had been already approved for ALK-positive NSCLC in any line were excluded); and (7) at least one study site in the US. Exclusion criteria included: (1) stage 1 or 2, </w:t>
      </w:r>
      <w:proofErr w:type="spellStart"/>
      <w:r w:rsidRPr="009A4BFF">
        <w:rPr>
          <w:rFonts w:ascii="Arial" w:hAnsi="Arial" w:cs="Arial"/>
          <w:color w:val="000000"/>
        </w:rPr>
        <w:t>resectable</w:t>
      </w:r>
      <w:proofErr w:type="spellEnd"/>
      <w:r w:rsidRPr="009A4BFF">
        <w:rPr>
          <w:rFonts w:ascii="Arial" w:hAnsi="Arial" w:cs="Arial"/>
          <w:color w:val="000000"/>
        </w:rPr>
        <w:t xml:space="preserve">, or locally advanced ALK-positive NSCLC; (2) the study population not including ALK-positive patients or not being specific to ALK-positive patients; (3) first-line (1L) only setting; (4) adjuvant or maintenance settings; (5) studies that did not report a start date or estimated/projected completion date; (6) studies that started before 1/1/2007; (7) studies that were completed or terminated before 1/1/2016; (8) status is missing; (9) extended use study; and (10) experimental drug was </w:t>
      </w:r>
      <w:proofErr w:type="spellStart"/>
      <w:r w:rsidRPr="009A4BFF">
        <w:rPr>
          <w:rFonts w:ascii="Arial" w:hAnsi="Arial" w:cs="Arial"/>
          <w:color w:val="000000"/>
        </w:rPr>
        <w:t>alectinib</w:t>
      </w:r>
      <w:proofErr w:type="spellEnd"/>
      <w:r w:rsidRPr="009A4BFF">
        <w:rPr>
          <w:rFonts w:ascii="Arial" w:hAnsi="Arial" w:cs="Arial"/>
          <w:color w:val="000000"/>
        </w:rPr>
        <w:t>. We identified 5 clinical trials that met our inclusion and exclusion criteria (</w:t>
      </w:r>
      <w:r w:rsidRPr="009A4BFF">
        <w:rPr>
          <w:rFonts w:ascii="Arial" w:hAnsi="Arial" w:cs="Arial"/>
          <w:b/>
          <w:bCs/>
          <w:color w:val="000000"/>
        </w:rPr>
        <w:t>Table S2</w:t>
      </w:r>
      <w:r w:rsidRPr="009A4BFF">
        <w:rPr>
          <w:rFonts w:ascii="Arial" w:hAnsi="Arial" w:cs="Arial"/>
          <w:color w:val="000000"/>
        </w:rPr>
        <w:t>).</w:t>
      </w:r>
    </w:p>
    <w:tbl>
      <w:tblPr>
        <w:tblStyle w:val="GridTable1Light"/>
        <w:tblW w:w="9578" w:type="dxa"/>
        <w:tblLayout w:type="fixed"/>
        <w:tblLook w:val="0420" w:firstRow="1" w:lastRow="0" w:firstColumn="0" w:lastColumn="0" w:noHBand="0" w:noVBand="1"/>
      </w:tblPr>
      <w:tblGrid>
        <w:gridCol w:w="1345"/>
        <w:gridCol w:w="1350"/>
        <w:gridCol w:w="1530"/>
        <w:gridCol w:w="1170"/>
        <w:gridCol w:w="1800"/>
        <w:gridCol w:w="1444"/>
        <w:gridCol w:w="939"/>
      </w:tblGrid>
      <w:tr w:rsidR="00EF1B33" w:rsidRPr="00CF1FDC" w14:paraId="749EDD6D" w14:textId="77777777" w:rsidTr="00B177CC">
        <w:trPr>
          <w:cnfStyle w:val="100000000000" w:firstRow="1" w:lastRow="0" w:firstColumn="0" w:lastColumn="0" w:oddVBand="0" w:evenVBand="0" w:oddHBand="0" w:evenHBand="0" w:firstRowFirstColumn="0" w:firstRowLastColumn="0" w:lastRowFirstColumn="0" w:lastRowLastColumn="0"/>
          <w:trHeight w:val="20"/>
        </w:trPr>
        <w:tc>
          <w:tcPr>
            <w:tcW w:w="9578" w:type="dxa"/>
            <w:gridSpan w:val="7"/>
          </w:tcPr>
          <w:p w14:paraId="479D3248" w14:textId="5EA34314" w:rsidR="00EF1B33" w:rsidRPr="00183A52" w:rsidRDefault="00EF1B33" w:rsidP="00AE48D8">
            <w:pPr>
              <w:rPr>
                <w:rFonts w:ascii="Arial" w:eastAsia="Times New Roman" w:hAnsi="Arial" w:cs="Arial"/>
                <w:kern w:val="24"/>
              </w:rPr>
            </w:pPr>
            <w:r w:rsidRPr="00183A52">
              <w:rPr>
                <w:rFonts w:ascii="Arial" w:eastAsia="Times New Roman" w:hAnsi="Arial" w:cs="Arial"/>
                <w:kern w:val="24"/>
              </w:rPr>
              <w:t>Table S</w:t>
            </w:r>
            <w:r>
              <w:rPr>
                <w:rFonts w:ascii="Arial" w:eastAsia="Times New Roman" w:hAnsi="Arial" w:cs="Arial"/>
                <w:kern w:val="24"/>
              </w:rPr>
              <w:t>3</w:t>
            </w:r>
            <w:r w:rsidRPr="00183A52">
              <w:rPr>
                <w:rFonts w:ascii="Arial" w:eastAsia="Times New Roman" w:hAnsi="Arial" w:cs="Arial"/>
                <w:kern w:val="24"/>
              </w:rPr>
              <w:t>. Eligible phase 2 and 3 trials registered on ClinicalTrials.gov as of November 2017</w:t>
            </w:r>
          </w:p>
        </w:tc>
      </w:tr>
      <w:tr w:rsidR="00EF1B33" w:rsidRPr="00CF1FDC" w14:paraId="53524603" w14:textId="77777777" w:rsidTr="00AE48D8">
        <w:trPr>
          <w:trHeight w:val="20"/>
        </w:trPr>
        <w:tc>
          <w:tcPr>
            <w:tcW w:w="1345" w:type="dxa"/>
            <w:hideMark/>
          </w:tcPr>
          <w:p w14:paraId="0DA1A6AC" w14:textId="77777777" w:rsidR="00EF1B33" w:rsidRPr="00183A52" w:rsidRDefault="00EF1B33" w:rsidP="00AE48D8">
            <w:pPr>
              <w:rPr>
                <w:rFonts w:ascii="Arial" w:eastAsia="Times New Roman" w:hAnsi="Arial" w:cs="Arial"/>
              </w:rPr>
            </w:pPr>
            <w:r w:rsidRPr="00183A52">
              <w:rPr>
                <w:rFonts w:ascii="Arial" w:eastAsia="Times New Roman" w:hAnsi="Arial" w:cs="Arial"/>
                <w:b/>
                <w:bCs/>
                <w:kern w:val="24"/>
              </w:rPr>
              <w:t>Drugs</w:t>
            </w:r>
          </w:p>
        </w:tc>
        <w:tc>
          <w:tcPr>
            <w:tcW w:w="1350" w:type="dxa"/>
            <w:hideMark/>
          </w:tcPr>
          <w:p w14:paraId="0D83C292" w14:textId="77777777" w:rsidR="00EF1B33" w:rsidRPr="00183A52" w:rsidRDefault="00EF1B33" w:rsidP="00AE48D8">
            <w:pPr>
              <w:rPr>
                <w:rFonts w:ascii="Arial" w:eastAsia="Times New Roman" w:hAnsi="Arial" w:cs="Arial"/>
              </w:rPr>
            </w:pPr>
            <w:r w:rsidRPr="00183A52">
              <w:rPr>
                <w:rFonts w:ascii="Arial" w:eastAsia="Times New Roman" w:hAnsi="Arial" w:cs="Arial"/>
                <w:b/>
                <w:bCs/>
                <w:kern w:val="24"/>
              </w:rPr>
              <w:t>Comparator</w:t>
            </w:r>
          </w:p>
        </w:tc>
        <w:tc>
          <w:tcPr>
            <w:tcW w:w="1530" w:type="dxa"/>
            <w:hideMark/>
          </w:tcPr>
          <w:p w14:paraId="12CC035B" w14:textId="77777777" w:rsidR="00EF1B33" w:rsidRPr="00183A52" w:rsidRDefault="00EF1B33" w:rsidP="00AE48D8">
            <w:pPr>
              <w:rPr>
                <w:rFonts w:ascii="Arial" w:eastAsia="Times New Roman" w:hAnsi="Arial" w:cs="Arial"/>
              </w:rPr>
            </w:pPr>
            <w:r w:rsidRPr="00183A52">
              <w:rPr>
                <w:rFonts w:ascii="Arial" w:eastAsia="Times New Roman" w:hAnsi="Arial" w:cs="Arial"/>
                <w:b/>
                <w:bCs/>
                <w:kern w:val="24"/>
              </w:rPr>
              <w:t>NCT ID</w:t>
            </w:r>
          </w:p>
        </w:tc>
        <w:tc>
          <w:tcPr>
            <w:tcW w:w="1170" w:type="dxa"/>
            <w:hideMark/>
          </w:tcPr>
          <w:p w14:paraId="37A962E5" w14:textId="77777777" w:rsidR="00EF1B33" w:rsidRPr="00183A52" w:rsidRDefault="00EF1B33" w:rsidP="00AE48D8">
            <w:pPr>
              <w:rPr>
                <w:rFonts w:ascii="Arial" w:eastAsia="Times New Roman" w:hAnsi="Arial" w:cs="Arial"/>
              </w:rPr>
            </w:pPr>
            <w:r w:rsidRPr="00183A52">
              <w:rPr>
                <w:rFonts w:ascii="Arial" w:eastAsia="Times New Roman" w:hAnsi="Arial" w:cs="Arial"/>
                <w:b/>
                <w:bCs/>
                <w:kern w:val="24"/>
              </w:rPr>
              <w:t>Start date</w:t>
            </w:r>
          </w:p>
        </w:tc>
        <w:tc>
          <w:tcPr>
            <w:tcW w:w="1800" w:type="dxa"/>
            <w:hideMark/>
          </w:tcPr>
          <w:p w14:paraId="7843C4CD" w14:textId="77777777" w:rsidR="00EF1B33" w:rsidRPr="00183A52" w:rsidRDefault="00EF1B33" w:rsidP="00AE48D8">
            <w:pPr>
              <w:rPr>
                <w:rFonts w:ascii="Arial" w:eastAsia="Times New Roman" w:hAnsi="Arial" w:cs="Arial"/>
              </w:rPr>
            </w:pPr>
            <w:r w:rsidRPr="00183A52">
              <w:rPr>
                <w:rFonts w:ascii="Arial" w:eastAsia="Times New Roman" w:hAnsi="Arial" w:cs="Arial"/>
                <w:b/>
                <w:bCs/>
                <w:kern w:val="24"/>
              </w:rPr>
              <w:t>Primary completion date</w:t>
            </w:r>
          </w:p>
          <w:p w14:paraId="5AE1F5F7" w14:textId="77777777" w:rsidR="00EF1B33" w:rsidRPr="00183A52" w:rsidRDefault="00EF1B33" w:rsidP="00AE48D8">
            <w:pPr>
              <w:rPr>
                <w:rFonts w:ascii="Arial" w:eastAsia="Times New Roman" w:hAnsi="Arial" w:cs="Arial"/>
              </w:rPr>
            </w:pPr>
            <w:r w:rsidRPr="00183A52">
              <w:rPr>
                <w:rFonts w:ascii="Arial" w:eastAsia="Times New Roman" w:hAnsi="Arial" w:cs="Arial"/>
                <w:b/>
                <w:bCs/>
                <w:kern w:val="24"/>
              </w:rPr>
              <w:t>(study completion date)</w:t>
            </w:r>
          </w:p>
        </w:tc>
        <w:tc>
          <w:tcPr>
            <w:tcW w:w="1444" w:type="dxa"/>
            <w:hideMark/>
          </w:tcPr>
          <w:p w14:paraId="29A5EA8F" w14:textId="77777777" w:rsidR="00EF1B33" w:rsidRPr="00183A52" w:rsidRDefault="00EF1B33" w:rsidP="00AE48D8">
            <w:pPr>
              <w:rPr>
                <w:rFonts w:ascii="Arial" w:eastAsia="Times New Roman" w:hAnsi="Arial" w:cs="Arial"/>
              </w:rPr>
            </w:pPr>
            <w:r w:rsidRPr="00183A52">
              <w:rPr>
                <w:rFonts w:ascii="Arial" w:eastAsia="Times New Roman" w:hAnsi="Arial" w:cs="Arial"/>
                <w:b/>
                <w:bCs/>
                <w:kern w:val="24"/>
              </w:rPr>
              <w:t>Patient population</w:t>
            </w:r>
          </w:p>
        </w:tc>
        <w:tc>
          <w:tcPr>
            <w:tcW w:w="939" w:type="dxa"/>
            <w:hideMark/>
          </w:tcPr>
          <w:p w14:paraId="5D244404" w14:textId="77777777" w:rsidR="00EF1B33" w:rsidRPr="00183A52" w:rsidRDefault="00EF1B33" w:rsidP="00AE48D8">
            <w:pPr>
              <w:rPr>
                <w:rFonts w:ascii="Arial" w:eastAsia="Times New Roman" w:hAnsi="Arial" w:cs="Arial"/>
              </w:rPr>
            </w:pPr>
            <w:r w:rsidRPr="00183A52">
              <w:rPr>
                <w:rFonts w:ascii="Arial" w:eastAsia="Times New Roman" w:hAnsi="Arial" w:cs="Arial"/>
                <w:b/>
                <w:bCs/>
                <w:kern w:val="24"/>
              </w:rPr>
              <w:t>Line of therapy</w:t>
            </w:r>
          </w:p>
        </w:tc>
      </w:tr>
      <w:tr w:rsidR="00EF1B33" w:rsidRPr="00CF1FDC" w14:paraId="4D125CEF" w14:textId="77777777" w:rsidTr="00AE48D8">
        <w:trPr>
          <w:trHeight w:val="20"/>
        </w:trPr>
        <w:tc>
          <w:tcPr>
            <w:tcW w:w="9578" w:type="dxa"/>
            <w:gridSpan w:val="7"/>
          </w:tcPr>
          <w:p w14:paraId="1654C4E6" w14:textId="77777777" w:rsidR="00EF1B33" w:rsidRPr="00183A52" w:rsidRDefault="00EF1B33" w:rsidP="00AE48D8">
            <w:pPr>
              <w:rPr>
                <w:rFonts w:ascii="Arial" w:eastAsia="Times New Roman" w:hAnsi="Arial" w:cs="Arial"/>
                <w:b/>
                <w:bCs/>
                <w:kern w:val="24"/>
              </w:rPr>
            </w:pPr>
            <w:r w:rsidRPr="00183A52">
              <w:rPr>
                <w:rFonts w:ascii="Arial" w:eastAsia="Times New Roman" w:hAnsi="Arial" w:cs="Arial"/>
                <w:b/>
                <w:bCs/>
                <w:kern w:val="24"/>
              </w:rPr>
              <w:t>Phase3</w:t>
            </w:r>
          </w:p>
        </w:tc>
      </w:tr>
      <w:tr w:rsidR="00EF1B33" w:rsidRPr="00CF1FDC" w14:paraId="6FD11E58" w14:textId="77777777" w:rsidTr="00AE48D8">
        <w:trPr>
          <w:trHeight w:val="20"/>
        </w:trPr>
        <w:tc>
          <w:tcPr>
            <w:tcW w:w="1345" w:type="dxa"/>
            <w:hideMark/>
          </w:tcPr>
          <w:p w14:paraId="54840B33" w14:textId="77777777" w:rsidR="00EF1B33" w:rsidRPr="00183A52" w:rsidRDefault="00EF1B33" w:rsidP="00AE48D8">
            <w:pPr>
              <w:rPr>
                <w:rFonts w:ascii="Arial" w:eastAsia="Times New Roman" w:hAnsi="Arial" w:cs="Arial"/>
              </w:rPr>
            </w:pPr>
            <w:proofErr w:type="spellStart"/>
            <w:r w:rsidRPr="00183A52">
              <w:rPr>
                <w:rFonts w:ascii="Arial" w:eastAsia="Times New Roman" w:hAnsi="Arial" w:cs="Arial"/>
                <w:b/>
                <w:bCs/>
                <w:kern w:val="24"/>
              </w:rPr>
              <w:t>Ensartinib</w:t>
            </w:r>
            <w:proofErr w:type="spellEnd"/>
          </w:p>
        </w:tc>
        <w:tc>
          <w:tcPr>
            <w:tcW w:w="1350" w:type="dxa"/>
            <w:hideMark/>
          </w:tcPr>
          <w:p w14:paraId="68AE7D37" w14:textId="77777777" w:rsidR="00EF1B33" w:rsidRPr="00183A52" w:rsidRDefault="00EF1B33" w:rsidP="00AE48D8">
            <w:pPr>
              <w:rPr>
                <w:rFonts w:ascii="Arial" w:eastAsia="Times New Roman" w:hAnsi="Arial" w:cs="Arial"/>
              </w:rPr>
            </w:pPr>
            <w:proofErr w:type="spellStart"/>
            <w:r w:rsidRPr="00183A52">
              <w:rPr>
                <w:rFonts w:ascii="Arial" w:eastAsia="Times New Roman" w:hAnsi="Arial" w:cs="Arial"/>
                <w:kern w:val="24"/>
              </w:rPr>
              <w:t>Crizotinib</w:t>
            </w:r>
            <w:proofErr w:type="spellEnd"/>
          </w:p>
        </w:tc>
        <w:tc>
          <w:tcPr>
            <w:tcW w:w="1530" w:type="dxa"/>
            <w:hideMark/>
          </w:tcPr>
          <w:p w14:paraId="09069115"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NCT02767804</w:t>
            </w:r>
          </w:p>
        </w:tc>
        <w:tc>
          <w:tcPr>
            <w:tcW w:w="1170" w:type="dxa"/>
            <w:hideMark/>
          </w:tcPr>
          <w:p w14:paraId="5BF88DE5"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6/2016</w:t>
            </w:r>
          </w:p>
        </w:tc>
        <w:tc>
          <w:tcPr>
            <w:tcW w:w="1800" w:type="dxa"/>
            <w:hideMark/>
          </w:tcPr>
          <w:p w14:paraId="69687E07"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12//2021</w:t>
            </w:r>
          </w:p>
          <w:p w14:paraId="68B7CBB3"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(12//2021)</w:t>
            </w:r>
          </w:p>
        </w:tc>
        <w:tc>
          <w:tcPr>
            <w:tcW w:w="1444" w:type="dxa"/>
            <w:hideMark/>
          </w:tcPr>
          <w:p w14:paraId="6E0E8736"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ALK+ NSCLC</w:t>
            </w:r>
          </w:p>
        </w:tc>
        <w:tc>
          <w:tcPr>
            <w:tcW w:w="939" w:type="dxa"/>
            <w:hideMark/>
          </w:tcPr>
          <w:p w14:paraId="3E66261E"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 xml:space="preserve">2L+ </w:t>
            </w:r>
          </w:p>
        </w:tc>
      </w:tr>
      <w:tr w:rsidR="00EF1B33" w:rsidRPr="00CF1FDC" w14:paraId="63DA2CA9" w14:textId="77777777" w:rsidTr="00AE48D8">
        <w:trPr>
          <w:trHeight w:val="20"/>
        </w:trPr>
        <w:tc>
          <w:tcPr>
            <w:tcW w:w="9578" w:type="dxa"/>
            <w:gridSpan w:val="7"/>
          </w:tcPr>
          <w:p w14:paraId="448600D1" w14:textId="77777777" w:rsidR="00EF1B33" w:rsidRPr="00183A52" w:rsidRDefault="00EF1B33" w:rsidP="00AE48D8">
            <w:pPr>
              <w:rPr>
                <w:rFonts w:ascii="Arial" w:eastAsia="Times New Roman" w:hAnsi="Arial" w:cs="Arial"/>
                <w:kern w:val="24"/>
              </w:rPr>
            </w:pPr>
            <w:r w:rsidRPr="00183A52">
              <w:rPr>
                <w:rFonts w:ascii="Arial" w:eastAsia="Times New Roman" w:hAnsi="Arial" w:cs="Arial"/>
                <w:b/>
                <w:bCs/>
                <w:kern w:val="24"/>
              </w:rPr>
              <w:t>Phase 2</w:t>
            </w:r>
          </w:p>
        </w:tc>
      </w:tr>
      <w:tr w:rsidR="00EF1B33" w:rsidRPr="00CF1FDC" w14:paraId="753AB361" w14:textId="77777777" w:rsidTr="00AE48D8">
        <w:trPr>
          <w:trHeight w:val="20"/>
        </w:trPr>
        <w:tc>
          <w:tcPr>
            <w:tcW w:w="1345" w:type="dxa"/>
            <w:hideMark/>
          </w:tcPr>
          <w:p w14:paraId="43F04E53" w14:textId="77777777" w:rsidR="00EF1B33" w:rsidRPr="00183A52" w:rsidRDefault="00EF1B33" w:rsidP="00AE48D8">
            <w:pPr>
              <w:rPr>
                <w:rFonts w:ascii="Arial" w:eastAsia="Times New Roman" w:hAnsi="Arial" w:cs="Arial"/>
              </w:rPr>
            </w:pPr>
            <w:proofErr w:type="spellStart"/>
            <w:r w:rsidRPr="00183A52">
              <w:rPr>
                <w:rFonts w:ascii="Arial" w:eastAsia="Times New Roman" w:hAnsi="Arial" w:cs="Arial"/>
                <w:b/>
                <w:bCs/>
                <w:kern w:val="24"/>
              </w:rPr>
              <w:t>Lorlatinib</w:t>
            </w:r>
            <w:proofErr w:type="spellEnd"/>
          </w:p>
        </w:tc>
        <w:tc>
          <w:tcPr>
            <w:tcW w:w="1350" w:type="dxa"/>
            <w:hideMark/>
          </w:tcPr>
          <w:p w14:paraId="74F99473" w14:textId="77777777" w:rsidR="00EF1B33" w:rsidRPr="00183A52" w:rsidRDefault="00EF1B33" w:rsidP="00AE48D8">
            <w:pPr>
              <w:rPr>
                <w:rFonts w:ascii="Arial" w:eastAsia="Times New Roman" w:hAnsi="Arial" w:cs="Arial"/>
                <w:vertAlign w:val="superscript"/>
              </w:rPr>
            </w:pPr>
            <w:r w:rsidRPr="00183A52">
              <w:rPr>
                <w:rFonts w:ascii="Arial" w:eastAsia="Times New Roman" w:hAnsi="Arial" w:cs="Arial"/>
                <w:kern w:val="24"/>
              </w:rPr>
              <w:t>N/A</w:t>
            </w:r>
            <w:r w:rsidRPr="00183A52">
              <w:rPr>
                <w:rFonts w:ascii="Arial" w:eastAsia="Times New Roman" w:hAnsi="Arial" w:cs="Arial"/>
                <w:kern w:val="24"/>
                <w:vertAlign w:val="superscript"/>
              </w:rPr>
              <w:t>a</w:t>
            </w:r>
          </w:p>
        </w:tc>
        <w:tc>
          <w:tcPr>
            <w:tcW w:w="1530" w:type="dxa"/>
            <w:hideMark/>
          </w:tcPr>
          <w:p w14:paraId="25C0F8DD"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NCT02927340</w:t>
            </w:r>
          </w:p>
        </w:tc>
        <w:tc>
          <w:tcPr>
            <w:tcW w:w="1170" w:type="dxa"/>
            <w:hideMark/>
          </w:tcPr>
          <w:p w14:paraId="7717FE23"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10/2016</w:t>
            </w:r>
          </w:p>
        </w:tc>
        <w:tc>
          <w:tcPr>
            <w:tcW w:w="1800" w:type="dxa"/>
            <w:hideMark/>
          </w:tcPr>
          <w:p w14:paraId="6E7D8C55"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1/2022</w:t>
            </w:r>
          </w:p>
          <w:p w14:paraId="617D9063"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(5/2023)</w:t>
            </w:r>
          </w:p>
        </w:tc>
        <w:tc>
          <w:tcPr>
            <w:tcW w:w="1444" w:type="dxa"/>
            <w:hideMark/>
          </w:tcPr>
          <w:p w14:paraId="29191B61"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ALK+ &amp; ROS1+ NSCLC with CNS metastasis</w:t>
            </w:r>
          </w:p>
        </w:tc>
        <w:tc>
          <w:tcPr>
            <w:tcW w:w="939" w:type="dxa"/>
            <w:hideMark/>
          </w:tcPr>
          <w:p w14:paraId="433C23EA"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 xml:space="preserve">1L or 2L+ </w:t>
            </w:r>
          </w:p>
        </w:tc>
      </w:tr>
      <w:tr w:rsidR="00EF1B33" w:rsidRPr="00CF1FDC" w14:paraId="42394119" w14:textId="77777777" w:rsidTr="00AE48D8">
        <w:trPr>
          <w:trHeight w:val="20"/>
        </w:trPr>
        <w:tc>
          <w:tcPr>
            <w:tcW w:w="1345" w:type="dxa"/>
            <w:hideMark/>
          </w:tcPr>
          <w:p w14:paraId="6800753D" w14:textId="77777777" w:rsidR="00EF1B33" w:rsidRPr="00183A52" w:rsidRDefault="00EF1B33" w:rsidP="00AE48D8">
            <w:pPr>
              <w:rPr>
                <w:rFonts w:ascii="Arial" w:eastAsia="Times New Roman" w:hAnsi="Arial" w:cs="Arial"/>
              </w:rPr>
            </w:pPr>
            <w:proofErr w:type="spellStart"/>
            <w:r w:rsidRPr="00183A52">
              <w:rPr>
                <w:rFonts w:ascii="Arial" w:eastAsia="Times New Roman" w:hAnsi="Arial" w:cs="Arial"/>
                <w:b/>
                <w:bCs/>
                <w:kern w:val="24"/>
              </w:rPr>
              <w:t>Luminespib</w:t>
            </w:r>
            <w:proofErr w:type="spellEnd"/>
          </w:p>
        </w:tc>
        <w:tc>
          <w:tcPr>
            <w:tcW w:w="1350" w:type="dxa"/>
            <w:hideMark/>
          </w:tcPr>
          <w:p w14:paraId="749E9FAA"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N/A</w:t>
            </w:r>
            <w:r w:rsidRPr="00183A52">
              <w:rPr>
                <w:rFonts w:ascii="Arial" w:eastAsia="Times New Roman" w:hAnsi="Arial" w:cs="Arial"/>
                <w:kern w:val="24"/>
                <w:vertAlign w:val="superscript"/>
              </w:rPr>
              <w:t>a</w:t>
            </w:r>
          </w:p>
        </w:tc>
        <w:tc>
          <w:tcPr>
            <w:tcW w:w="1530" w:type="dxa"/>
            <w:hideMark/>
          </w:tcPr>
          <w:p w14:paraId="04603C4A"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NCT01752400</w:t>
            </w:r>
          </w:p>
        </w:tc>
        <w:tc>
          <w:tcPr>
            <w:tcW w:w="1170" w:type="dxa"/>
            <w:hideMark/>
          </w:tcPr>
          <w:p w14:paraId="7AF59C59"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1/2013</w:t>
            </w:r>
          </w:p>
        </w:tc>
        <w:tc>
          <w:tcPr>
            <w:tcW w:w="1800" w:type="dxa"/>
            <w:hideMark/>
          </w:tcPr>
          <w:p w14:paraId="3B7C0EC0"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6/2017</w:t>
            </w:r>
          </w:p>
          <w:p w14:paraId="214E9E83"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(11/2017)</w:t>
            </w:r>
          </w:p>
        </w:tc>
        <w:tc>
          <w:tcPr>
            <w:tcW w:w="1444" w:type="dxa"/>
            <w:hideMark/>
          </w:tcPr>
          <w:p w14:paraId="6023DB5C"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ALK+ NSCLC</w:t>
            </w:r>
          </w:p>
        </w:tc>
        <w:tc>
          <w:tcPr>
            <w:tcW w:w="939" w:type="dxa"/>
            <w:hideMark/>
          </w:tcPr>
          <w:p w14:paraId="5AA3351B"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 xml:space="preserve">2L+ </w:t>
            </w:r>
          </w:p>
        </w:tc>
      </w:tr>
      <w:tr w:rsidR="00EF1B33" w:rsidRPr="00CF1FDC" w14:paraId="00AFB78E" w14:textId="77777777" w:rsidTr="00AE48D8">
        <w:trPr>
          <w:trHeight w:val="20"/>
        </w:trPr>
        <w:tc>
          <w:tcPr>
            <w:tcW w:w="1345" w:type="dxa"/>
            <w:hideMark/>
          </w:tcPr>
          <w:p w14:paraId="29833254" w14:textId="77777777" w:rsidR="00EF1B33" w:rsidRPr="00183A52" w:rsidRDefault="00EF1B33" w:rsidP="00AE48D8">
            <w:pPr>
              <w:rPr>
                <w:rFonts w:ascii="Arial" w:eastAsia="Times New Roman" w:hAnsi="Arial" w:cs="Arial"/>
              </w:rPr>
            </w:pPr>
            <w:proofErr w:type="spellStart"/>
            <w:r w:rsidRPr="00183A52">
              <w:rPr>
                <w:rFonts w:ascii="Arial" w:eastAsia="Times New Roman" w:hAnsi="Arial" w:cs="Arial"/>
                <w:b/>
                <w:bCs/>
                <w:kern w:val="24"/>
              </w:rPr>
              <w:t>Entrectinib</w:t>
            </w:r>
            <w:proofErr w:type="spellEnd"/>
          </w:p>
        </w:tc>
        <w:tc>
          <w:tcPr>
            <w:tcW w:w="1350" w:type="dxa"/>
            <w:hideMark/>
          </w:tcPr>
          <w:p w14:paraId="292E769E"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N/A</w:t>
            </w:r>
            <w:r w:rsidRPr="00183A52">
              <w:rPr>
                <w:rFonts w:ascii="Arial" w:eastAsia="Times New Roman" w:hAnsi="Arial" w:cs="Arial"/>
                <w:kern w:val="24"/>
                <w:vertAlign w:val="superscript"/>
              </w:rPr>
              <w:t>a</w:t>
            </w:r>
          </w:p>
        </w:tc>
        <w:tc>
          <w:tcPr>
            <w:tcW w:w="1530" w:type="dxa"/>
            <w:hideMark/>
          </w:tcPr>
          <w:p w14:paraId="7689446A"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NCT02568267</w:t>
            </w:r>
          </w:p>
        </w:tc>
        <w:tc>
          <w:tcPr>
            <w:tcW w:w="1170" w:type="dxa"/>
            <w:hideMark/>
          </w:tcPr>
          <w:p w14:paraId="0B129F7B"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11//2015</w:t>
            </w:r>
          </w:p>
        </w:tc>
        <w:tc>
          <w:tcPr>
            <w:tcW w:w="1800" w:type="dxa"/>
            <w:hideMark/>
          </w:tcPr>
          <w:p w14:paraId="647CE6A8"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12//2022</w:t>
            </w:r>
          </w:p>
          <w:p w14:paraId="26A9A4FB"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(12//2024)</w:t>
            </w:r>
          </w:p>
        </w:tc>
        <w:tc>
          <w:tcPr>
            <w:tcW w:w="1444" w:type="dxa"/>
            <w:hideMark/>
          </w:tcPr>
          <w:p w14:paraId="552B04E1"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 xml:space="preserve">NTRK1/2/3+, ROS1+, </w:t>
            </w:r>
            <w:r w:rsidRPr="00183A52">
              <w:rPr>
                <w:rFonts w:ascii="Arial" w:eastAsia="Times New Roman" w:hAnsi="Arial" w:cs="Arial"/>
                <w:kern w:val="24"/>
              </w:rPr>
              <w:lastRenderedPageBreak/>
              <w:t>ALK+; Basket trial</w:t>
            </w:r>
          </w:p>
        </w:tc>
        <w:tc>
          <w:tcPr>
            <w:tcW w:w="939" w:type="dxa"/>
            <w:hideMark/>
          </w:tcPr>
          <w:p w14:paraId="6E670174"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lastRenderedPageBreak/>
              <w:t>2L+</w:t>
            </w:r>
          </w:p>
        </w:tc>
      </w:tr>
      <w:tr w:rsidR="00EF1B33" w:rsidRPr="00CF1FDC" w14:paraId="5A06F7EC" w14:textId="77777777" w:rsidTr="00AE48D8">
        <w:trPr>
          <w:trHeight w:val="20"/>
        </w:trPr>
        <w:tc>
          <w:tcPr>
            <w:tcW w:w="1345" w:type="dxa"/>
            <w:hideMark/>
          </w:tcPr>
          <w:p w14:paraId="7021722A" w14:textId="77777777" w:rsidR="00EF1B33" w:rsidRPr="00183A52" w:rsidRDefault="00EF1B33" w:rsidP="00AE48D8">
            <w:pPr>
              <w:rPr>
                <w:rFonts w:ascii="Arial" w:eastAsia="Times New Roman" w:hAnsi="Arial" w:cs="Arial"/>
              </w:rPr>
            </w:pPr>
            <w:proofErr w:type="spellStart"/>
            <w:r w:rsidRPr="00183A52">
              <w:rPr>
                <w:rFonts w:ascii="Arial" w:eastAsia="Times New Roman" w:hAnsi="Arial" w:cs="Arial"/>
                <w:b/>
                <w:bCs/>
                <w:kern w:val="24"/>
              </w:rPr>
              <w:t>Avelumab</w:t>
            </w:r>
            <w:proofErr w:type="spellEnd"/>
            <w:r w:rsidRPr="00183A52">
              <w:rPr>
                <w:rFonts w:ascii="Arial" w:eastAsia="Times New Roman" w:hAnsi="Arial" w:cs="Arial"/>
                <w:b/>
                <w:bCs/>
                <w:kern w:val="24"/>
              </w:rPr>
              <w:t xml:space="preserve"> + </w:t>
            </w:r>
            <w:proofErr w:type="spellStart"/>
            <w:r w:rsidRPr="00183A52">
              <w:rPr>
                <w:rFonts w:ascii="Arial" w:eastAsia="Times New Roman" w:hAnsi="Arial" w:cs="Arial"/>
                <w:b/>
                <w:bCs/>
                <w:kern w:val="24"/>
              </w:rPr>
              <w:t>crizotinib</w:t>
            </w:r>
            <w:proofErr w:type="spellEnd"/>
            <w:r w:rsidRPr="00183A52">
              <w:rPr>
                <w:rFonts w:ascii="Arial" w:eastAsia="Times New Roman" w:hAnsi="Arial" w:cs="Arial"/>
                <w:b/>
                <w:bCs/>
                <w:kern w:val="24"/>
              </w:rPr>
              <w:t>/</w:t>
            </w:r>
            <w:proofErr w:type="spellStart"/>
            <w:r w:rsidRPr="00183A52">
              <w:rPr>
                <w:rFonts w:ascii="Arial" w:eastAsia="Times New Roman" w:hAnsi="Arial" w:cs="Arial"/>
                <w:b/>
                <w:bCs/>
                <w:kern w:val="24"/>
              </w:rPr>
              <w:t>lorlatinib</w:t>
            </w:r>
            <w:proofErr w:type="spellEnd"/>
            <w:r w:rsidRPr="00183A52">
              <w:rPr>
                <w:rFonts w:ascii="Arial" w:eastAsia="Times New Roman" w:hAnsi="Arial" w:cs="Arial"/>
                <w:b/>
                <w:bCs/>
                <w:kern w:val="24"/>
                <w:position w:val="7"/>
                <w:vertAlign w:val="superscript"/>
              </w:rPr>
              <w:t xml:space="preserve"> </w:t>
            </w:r>
          </w:p>
        </w:tc>
        <w:tc>
          <w:tcPr>
            <w:tcW w:w="1350" w:type="dxa"/>
            <w:hideMark/>
          </w:tcPr>
          <w:p w14:paraId="4E259C36"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N/A</w:t>
            </w:r>
            <w:r w:rsidRPr="00183A52">
              <w:rPr>
                <w:rFonts w:ascii="Arial" w:eastAsia="Times New Roman" w:hAnsi="Arial" w:cs="Arial"/>
                <w:kern w:val="24"/>
                <w:vertAlign w:val="superscript"/>
              </w:rPr>
              <w:t>a</w:t>
            </w:r>
          </w:p>
        </w:tc>
        <w:tc>
          <w:tcPr>
            <w:tcW w:w="1530" w:type="dxa"/>
            <w:hideMark/>
          </w:tcPr>
          <w:p w14:paraId="13E698AA"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NCT02584634</w:t>
            </w:r>
          </w:p>
        </w:tc>
        <w:tc>
          <w:tcPr>
            <w:tcW w:w="1170" w:type="dxa"/>
            <w:hideMark/>
          </w:tcPr>
          <w:p w14:paraId="107B6B75"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12//2015</w:t>
            </w:r>
          </w:p>
        </w:tc>
        <w:tc>
          <w:tcPr>
            <w:tcW w:w="1800" w:type="dxa"/>
            <w:hideMark/>
          </w:tcPr>
          <w:p w14:paraId="69D615BC"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12//2021</w:t>
            </w:r>
          </w:p>
          <w:p w14:paraId="550CA9E8"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(12//2021)</w:t>
            </w:r>
          </w:p>
        </w:tc>
        <w:tc>
          <w:tcPr>
            <w:tcW w:w="1444" w:type="dxa"/>
            <w:hideMark/>
          </w:tcPr>
          <w:p w14:paraId="61DF169A"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Group A: ALK- NSCLC</w:t>
            </w:r>
          </w:p>
          <w:p w14:paraId="4672EC4F"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Group B: ALK+ NSCLC</w:t>
            </w:r>
          </w:p>
        </w:tc>
        <w:tc>
          <w:tcPr>
            <w:tcW w:w="939" w:type="dxa"/>
            <w:hideMark/>
          </w:tcPr>
          <w:p w14:paraId="41E06EC9" w14:textId="77777777" w:rsidR="00EF1B33" w:rsidRPr="00183A52" w:rsidRDefault="00EF1B33" w:rsidP="00AE48D8">
            <w:pPr>
              <w:rPr>
                <w:rFonts w:ascii="Arial" w:eastAsia="Times New Roman" w:hAnsi="Arial" w:cs="Arial"/>
              </w:rPr>
            </w:pPr>
            <w:r w:rsidRPr="00183A52">
              <w:rPr>
                <w:rFonts w:ascii="Arial" w:eastAsia="Times New Roman" w:hAnsi="Arial" w:cs="Arial"/>
                <w:kern w:val="24"/>
              </w:rPr>
              <w:t>2L+</w:t>
            </w:r>
          </w:p>
        </w:tc>
      </w:tr>
    </w:tbl>
    <w:p w14:paraId="58620FF2" w14:textId="77777777" w:rsidR="00EF1B33" w:rsidRPr="00183A52" w:rsidRDefault="00EF1B33" w:rsidP="001201E9">
      <w:pPr>
        <w:rPr>
          <w:rFonts w:ascii="Arial" w:hAnsi="Arial" w:cs="Arial"/>
          <w:color w:val="000000"/>
        </w:rPr>
      </w:pPr>
      <w:proofErr w:type="spellStart"/>
      <w:r w:rsidRPr="00183A52">
        <w:rPr>
          <w:rFonts w:ascii="Arial" w:hAnsi="Arial" w:cs="Arial"/>
          <w:color w:val="000000"/>
          <w:vertAlign w:val="superscript"/>
        </w:rPr>
        <w:t>a</w:t>
      </w:r>
      <w:proofErr w:type="spellEnd"/>
      <w:r w:rsidRPr="00183A52">
        <w:rPr>
          <w:rFonts w:ascii="Arial" w:hAnsi="Arial" w:cs="Arial"/>
          <w:color w:val="000000"/>
        </w:rPr>
        <w:t xml:space="preserve"> There was no comparator arm; ALK+ NSCLC: ALK-positive NSCLC; ALK- NSCLC: ALK-negative NSCLC; 2L+: second- or later lines. </w:t>
      </w:r>
    </w:p>
    <w:p w14:paraId="450A9061" w14:textId="77777777" w:rsidR="00EF1B33" w:rsidRPr="009A4BFF" w:rsidRDefault="00EF1B33" w:rsidP="001201E9">
      <w:pPr>
        <w:rPr>
          <w:rFonts w:ascii="Arial" w:hAnsi="Arial" w:cs="Arial"/>
          <w:color w:val="000000"/>
        </w:rPr>
      </w:pPr>
    </w:p>
    <w:p w14:paraId="4151AE6F" w14:textId="77777777" w:rsidR="00EF1B33" w:rsidRPr="009A4BFF" w:rsidRDefault="00EF1B33">
      <w:pPr>
        <w:rPr>
          <w:rFonts w:ascii="Arial" w:hAnsi="Arial" w:cs="Arial"/>
          <w:b/>
          <w:bCs/>
          <w:color w:val="000000"/>
        </w:rPr>
      </w:pPr>
      <w:r w:rsidRPr="009A4BFF">
        <w:rPr>
          <w:rFonts w:ascii="Arial" w:hAnsi="Arial" w:cs="Arial"/>
          <w:b/>
          <w:bCs/>
          <w:color w:val="000000"/>
        </w:rPr>
        <w:br w:type="page"/>
      </w:r>
    </w:p>
    <w:p w14:paraId="759D9FF4" w14:textId="38513D98" w:rsidR="00EF1B33" w:rsidRPr="009A4BFF" w:rsidRDefault="00926EEF" w:rsidP="008E08F3">
      <w:pPr>
        <w:rPr>
          <w:rFonts w:ascii="Arial" w:hAnsi="Arial" w:cs="Arial"/>
          <w:b/>
          <w:bCs/>
          <w:color w:val="000000"/>
        </w:rPr>
      </w:pPr>
      <w:r>
        <w:rPr>
          <w:rFonts w:ascii="Arial" w:hAnsi="Arial" w:cs="Arial"/>
          <w:b/>
          <w:bCs/>
          <w:color w:val="000000"/>
        </w:rPr>
        <w:lastRenderedPageBreak/>
        <w:t xml:space="preserve">Appendix </w:t>
      </w:r>
      <w:r w:rsidR="00EF1B33" w:rsidRPr="009A4BFF">
        <w:rPr>
          <w:rFonts w:ascii="Arial" w:hAnsi="Arial" w:cs="Arial"/>
          <w:b/>
          <w:bCs/>
          <w:color w:val="000000"/>
        </w:rPr>
        <w:t>5. Estimation of the potential incremental efficacy, the likelihood of approval, and the timing of arrival of likely future drugs</w:t>
      </w:r>
    </w:p>
    <w:p w14:paraId="3B0E465B" w14:textId="77777777" w:rsidR="00EF1B33" w:rsidRPr="009A4BFF" w:rsidRDefault="00EF1B33" w:rsidP="008E08F3">
      <w:pPr>
        <w:rPr>
          <w:rFonts w:ascii="Arial" w:hAnsi="Arial" w:cs="Arial"/>
          <w:color w:val="000000"/>
        </w:rPr>
      </w:pPr>
    </w:p>
    <w:p w14:paraId="2DADEE7F" w14:textId="1FB4B634" w:rsidR="00EF1B33" w:rsidRDefault="00EF1B33" w:rsidP="008E08F3">
      <w:pPr>
        <w:rPr>
          <w:rFonts w:ascii="Arial" w:hAnsi="Arial" w:cs="Arial"/>
          <w:i/>
          <w:iCs/>
          <w:color w:val="000000"/>
        </w:rPr>
      </w:pPr>
      <w:r w:rsidRPr="009A4BFF">
        <w:rPr>
          <w:rFonts w:ascii="Arial" w:hAnsi="Arial" w:cs="Arial"/>
          <w:i/>
          <w:iCs/>
          <w:color w:val="000000"/>
        </w:rPr>
        <w:t>5-1. Potential incremental efficacy of likely future drugs</w:t>
      </w:r>
    </w:p>
    <w:p w14:paraId="04A34506" w14:textId="77777777" w:rsidR="00EF1B33" w:rsidRPr="009A4BFF" w:rsidRDefault="00EF1B33" w:rsidP="008E08F3">
      <w:pPr>
        <w:rPr>
          <w:rFonts w:ascii="Arial" w:hAnsi="Arial" w:cs="Arial"/>
          <w:i/>
          <w:iCs/>
          <w:color w:val="000000"/>
        </w:rPr>
      </w:pPr>
    </w:p>
    <w:p w14:paraId="069BA437" w14:textId="77777777" w:rsidR="00EF1B33" w:rsidRPr="009A4BFF" w:rsidRDefault="00EF1B33" w:rsidP="00F70C5C">
      <w:pPr>
        <w:rPr>
          <w:rFonts w:ascii="Arial" w:hAnsi="Arial" w:cs="Arial"/>
          <w:color w:val="000000"/>
        </w:rPr>
      </w:pPr>
      <w:r w:rsidRPr="009A4BFF">
        <w:rPr>
          <w:rFonts w:ascii="Arial" w:hAnsi="Arial" w:cs="Arial"/>
          <w:color w:val="000000"/>
        </w:rPr>
        <w:t>We collected efficacy data available as of November 2017 from Clinicaltrials.Gov, press releases, published papers, conference abstracts, and presentation posters for the identified investigational molecules (</w:t>
      </w:r>
      <w:r w:rsidRPr="009A4BFF">
        <w:rPr>
          <w:rFonts w:ascii="Arial" w:hAnsi="Arial" w:cs="Arial"/>
          <w:b/>
          <w:bCs/>
          <w:color w:val="000000"/>
        </w:rPr>
        <w:t>Table S2</w:t>
      </w:r>
      <w:r w:rsidRPr="009A4BFF">
        <w:rPr>
          <w:rFonts w:ascii="Arial" w:hAnsi="Arial" w:cs="Arial"/>
          <w:color w:val="000000"/>
        </w:rPr>
        <w:t xml:space="preserve">). Among those identified, we have excluded </w:t>
      </w:r>
      <w:proofErr w:type="spellStart"/>
      <w:r w:rsidRPr="009A4BFF">
        <w:rPr>
          <w:rFonts w:ascii="Arial" w:hAnsi="Arial" w:cs="Arial"/>
          <w:color w:val="000000"/>
        </w:rPr>
        <w:t>luminespib</w:t>
      </w:r>
      <w:proofErr w:type="spellEnd"/>
      <w:r w:rsidRPr="009A4BFF">
        <w:rPr>
          <w:rFonts w:ascii="Arial" w:hAnsi="Arial" w:cs="Arial"/>
          <w:color w:val="000000"/>
        </w:rPr>
        <w:t xml:space="preserve">, </w:t>
      </w:r>
      <w:proofErr w:type="spellStart"/>
      <w:r w:rsidRPr="009A4BFF">
        <w:rPr>
          <w:rFonts w:ascii="Arial" w:hAnsi="Arial" w:cs="Arial"/>
          <w:color w:val="000000"/>
        </w:rPr>
        <w:t>entrectinib</w:t>
      </w:r>
      <w:proofErr w:type="spellEnd"/>
      <w:r w:rsidRPr="009A4BFF">
        <w:rPr>
          <w:rFonts w:ascii="Arial" w:hAnsi="Arial" w:cs="Arial"/>
          <w:color w:val="000000"/>
        </w:rPr>
        <w:t xml:space="preserve">, and </w:t>
      </w:r>
      <w:proofErr w:type="spellStart"/>
      <w:r w:rsidRPr="009A4BFF">
        <w:rPr>
          <w:rFonts w:ascii="Arial" w:hAnsi="Arial" w:cs="Arial"/>
          <w:color w:val="000000"/>
        </w:rPr>
        <w:t>avelumab</w:t>
      </w:r>
      <w:proofErr w:type="spellEnd"/>
      <w:r w:rsidRPr="009A4BFF">
        <w:rPr>
          <w:rFonts w:ascii="Arial" w:hAnsi="Arial" w:cs="Arial"/>
          <w:color w:val="000000"/>
        </w:rPr>
        <w:t xml:space="preserve"> from the consideration because (1) their efficacy data was not available, (2) the data was from a study with very small sample size, or (3) the efficacy was not better than the existing standard of care (i.e., 2L </w:t>
      </w:r>
      <w:proofErr w:type="spellStart"/>
      <w:r w:rsidRPr="009A4BFF">
        <w:rPr>
          <w:rFonts w:ascii="Arial" w:hAnsi="Arial" w:cs="Arial"/>
          <w:color w:val="000000"/>
        </w:rPr>
        <w:t>brigatinib</w:t>
      </w:r>
      <w:proofErr w:type="spellEnd"/>
      <w:r w:rsidRPr="009A4BFF">
        <w:rPr>
          <w:rFonts w:ascii="Arial" w:hAnsi="Arial" w:cs="Arial"/>
          <w:color w:val="000000"/>
        </w:rPr>
        <w:t xml:space="preserve"> with ORR of 54% </w:t>
      </w:r>
      <w:r w:rsidRPr="00FC3B6C">
        <w:rPr>
          <w:rFonts w:ascii="Arial" w:hAnsi="Arial" w:cs="Arial"/>
          <w:noProof/>
          <w:color w:val="000000"/>
          <w:vertAlign w:val="superscript"/>
        </w:rPr>
        <w:t>3</w:t>
      </w:r>
      <w:r w:rsidRPr="009A4BFF">
        <w:rPr>
          <w:rFonts w:ascii="Arial" w:hAnsi="Arial" w:cs="Arial"/>
          <w:color w:val="000000"/>
        </w:rPr>
        <w:t xml:space="preserve">). This approach is likely to give us a conservative estimate of ROV. The efficacy of future innovative drugs in the base-case was calculated based on the ORR data, which was the only data available for </w:t>
      </w:r>
      <w:proofErr w:type="spellStart"/>
      <w:r w:rsidRPr="009A4BFF">
        <w:rPr>
          <w:rFonts w:ascii="Arial" w:hAnsi="Arial" w:cs="Arial"/>
          <w:color w:val="000000"/>
        </w:rPr>
        <w:t>ensartinib</w:t>
      </w:r>
      <w:proofErr w:type="spellEnd"/>
      <w:r w:rsidRPr="009A4BFF">
        <w:rPr>
          <w:rFonts w:ascii="Arial" w:hAnsi="Arial" w:cs="Arial"/>
          <w:color w:val="000000"/>
        </w:rPr>
        <w:t xml:space="preserve"> and </w:t>
      </w:r>
      <w:proofErr w:type="spellStart"/>
      <w:r w:rsidRPr="009A4BFF">
        <w:rPr>
          <w:rFonts w:ascii="Arial" w:hAnsi="Arial" w:cs="Arial"/>
          <w:color w:val="000000"/>
        </w:rPr>
        <w:t>lorlatinib</w:t>
      </w:r>
      <w:proofErr w:type="spellEnd"/>
      <w:r w:rsidRPr="009A4BFF">
        <w:rPr>
          <w:rFonts w:ascii="Arial" w:hAnsi="Arial" w:cs="Arial"/>
          <w:color w:val="000000"/>
        </w:rPr>
        <w:t xml:space="preserve"> as of November 2017. We reviewed the ORR and OS data of existing ALK inhibitors studied in the 2L setting (i.e., </w:t>
      </w:r>
      <w:proofErr w:type="spellStart"/>
      <w:r w:rsidRPr="009A4BFF">
        <w:rPr>
          <w:rFonts w:ascii="Arial" w:hAnsi="Arial" w:cs="Arial"/>
          <w:color w:val="000000"/>
        </w:rPr>
        <w:t>brigatinib</w:t>
      </w:r>
      <w:proofErr w:type="spellEnd"/>
      <w:r w:rsidRPr="009A4BFF">
        <w:rPr>
          <w:rFonts w:ascii="Arial" w:hAnsi="Arial" w:cs="Arial"/>
          <w:color w:val="000000"/>
        </w:rPr>
        <w:t xml:space="preserve">, </w:t>
      </w:r>
      <w:proofErr w:type="spellStart"/>
      <w:r w:rsidRPr="009A4BFF">
        <w:rPr>
          <w:rFonts w:ascii="Arial" w:hAnsi="Arial" w:cs="Arial"/>
          <w:color w:val="000000"/>
        </w:rPr>
        <w:t>alectinib</w:t>
      </w:r>
      <w:proofErr w:type="spellEnd"/>
      <w:r w:rsidRPr="009A4BFF">
        <w:rPr>
          <w:rFonts w:ascii="Arial" w:hAnsi="Arial" w:cs="Arial"/>
          <w:color w:val="000000"/>
        </w:rPr>
        <w:t xml:space="preserve">, and </w:t>
      </w:r>
      <w:proofErr w:type="spellStart"/>
      <w:r w:rsidRPr="009A4BFF">
        <w:rPr>
          <w:rFonts w:ascii="Arial" w:hAnsi="Arial" w:cs="Arial"/>
          <w:color w:val="000000"/>
        </w:rPr>
        <w:t>ceritinib</w:t>
      </w:r>
      <w:proofErr w:type="spellEnd"/>
      <w:r w:rsidRPr="009A4BFF">
        <w:rPr>
          <w:rFonts w:ascii="Arial" w:hAnsi="Arial" w:cs="Arial"/>
          <w:color w:val="000000"/>
        </w:rPr>
        <w:t>) to examine how ORR was associated with OS in this specific setting (</w:t>
      </w:r>
      <w:r w:rsidRPr="00183A52">
        <w:rPr>
          <w:rFonts w:ascii="Arial" w:hAnsi="Arial" w:cs="Arial"/>
          <w:b/>
          <w:bCs/>
          <w:color w:val="000000"/>
        </w:rPr>
        <w:t>Table S4</w:t>
      </w:r>
      <w:r w:rsidRPr="009A4BFF">
        <w:rPr>
          <w:rFonts w:ascii="Arial" w:hAnsi="Arial" w:cs="Arial"/>
          <w:color w:val="000000"/>
        </w:rPr>
        <w:t>). Based on the review of the data, we observed ORR and OS were positively related among them, with drugs having better ORR having higher proportion of patients surviving at year 1. Given the findings from the review, existing literature on associations between ORR and OS in NSCLC, and the frequent use of ORR as a surrogate endpoint in cancer, we felt comfortable moving forward with ORR.</w:t>
      </w:r>
      <w:r w:rsidRPr="00E37617">
        <w:t xml:space="preserve"> </w:t>
      </w:r>
      <w:r w:rsidRPr="00FC3B6C">
        <w:rPr>
          <w:rFonts w:ascii="Arial" w:hAnsi="Arial" w:cs="Arial"/>
          <w:noProof/>
          <w:color w:val="000000"/>
          <w:vertAlign w:val="superscript"/>
        </w:rPr>
        <w:t>4</w:t>
      </w:r>
      <w:r w:rsidRPr="00E37617">
        <w:t xml:space="preserve"> </w:t>
      </w:r>
      <w:r w:rsidRPr="00FC3B6C">
        <w:rPr>
          <w:rFonts w:ascii="Arial" w:hAnsi="Arial" w:cs="Arial"/>
          <w:noProof/>
          <w:color w:val="000000"/>
          <w:vertAlign w:val="superscript"/>
        </w:rPr>
        <w:t>5</w:t>
      </w:r>
      <w:r w:rsidRPr="00E37617">
        <w:t xml:space="preserve"> </w:t>
      </w:r>
      <w:r w:rsidRPr="00FC3B6C">
        <w:rPr>
          <w:rFonts w:ascii="Arial" w:hAnsi="Arial" w:cs="Arial"/>
          <w:noProof/>
          <w:color w:val="000000"/>
          <w:vertAlign w:val="superscript"/>
        </w:rPr>
        <w:t>6</w:t>
      </w:r>
      <w:r w:rsidRPr="00E37617">
        <w:t xml:space="preserve"> </w:t>
      </w:r>
      <w:r w:rsidRPr="00FC3B6C">
        <w:rPr>
          <w:rFonts w:ascii="Arial" w:hAnsi="Arial" w:cs="Arial"/>
          <w:noProof/>
          <w:color w:val="000000"/>
          <w:vertAlign w:val="superscript"/>
        </w:rPr>
        <w:t>7</w:t>
      </w:r>
    </w:p>
    <w:tbl>
      <w:tblPr>
        <w:tblStyle w:val="TableGridLight"/>
        <w:tblW w:w="8630" w:type="dxa"/>
        <w:tblLook w:val="04A0" w:firstRow="1" w:lastRow="0" w:firstColumn="1" w:lastColumn="0" w:noHBand="0" w:noVBand="1"/>
      </w:tblPr>
      <w:tblGrid>
        <w:gridCol w:w="2183"/>
        <w:gridCol w:w="1772"/>
        <w:gridCol w:w="1710"/>
        <w:gridCol w:w="2965"/>
      </w:tblGrid>
      <w:tr w:rsidR="00EF1B33" w:rsidRPr="00CF1FDC" w14:paraId="02BC0030" w14:textId="77777777" w:rsidTr="00183A52">
        <w:tc>
          <w:tcPr>
            <w:tcW w:w="8630" w:type="dxa"/>
            <w:gridSpan w:val="4"/>
          </w:tcPr>
          <w:p w14:paraId="1BF78BD4"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b/>
                <w:bCs/>
                <w:color w:val="000000"/>
                <w:shd w:val="clear" w:color="auto" w:fill="FFFFFF"/>
              </w:rPr>
              <w:t xml:space="preserve">Table </w:t>
            </w:r>
            <w:r>
              <w:rPr>
                <w:rFonts w:ascii="Arial" w:hAnsi="Arial" w:cs="Arial"/>
                <w:b/>
                <w:bCs/>
                <w:color w:val="000000"/>
                <w:shd w:val="clear" w:color="auto" w:fill="FFFFFF"/>
              </w:rPr>
              <w:t>S4</w:t>
            </w:r>
            <w:r w:rsidRPr="009A4BFF">
              <w:rPr>
                <w:rFonts w:ascii="Arial" w:hAnsi="Arial" w:cs="Arial"/>
                <w:b/>
                <w:bCs/>
                <w:color w:val="000000"/>
                <w:shd w:val="clear" w:color="auto" w:fill="FFFFFF"/>
              </w:rPr>
              <w:t>.</w:t>
            </w:r>
            <w:r w:rsidRPr="009A4BFF">
              <w:rPr>
                <w:rFonts w:ascii="Arial" w:hAnsi="Arial" w:cs="Arial"/>
                <w:color w:val="000000"/>
                <w:shd w:val="clear" w:color="auto" w:fill="FFFFFF"/>
              </w:rPr>
              <w:t xml:space="preserve"> Response rate and overall survival data of ALK inhibitors in the second-line setting for ALK-positive NSCLC</w:t>
            </w:r>
          </w:p>
        </w:tc>
      </w:tr>
      <w:tr w:rsidR="00EF1B33" w:rsidRPr="00CF1FDC" w14:paraId="28EF2D6E" w14:textId="77777777" w:rsidTr="00183A52">
        <w:tc>
          <w:tcPr>
            <w:tcW w:w="2183" w:type="dxa"/>
          </w:tcPr>
          <w:p w14:paraId="015FDF73" w14:textId="77777777" w:rsidR="00EF1B33" w:rsidRPr="009A4BFF" w:rsidRDefault="00EF1B33" w:rsidP="007E0335">
            <w:pPr>
              <w:pStyle w:val="ListParagraph"/>
              <w:ind w:left="0"/>
              <w:rPr>
                <w:rFonts w:ascii="Arial" w:hAnsi="Arial" w:cs="Arial"/>
                <w:color w:val="000000"/>
                <w:shd w:val="clear" w:color="auto" w:fill="FFFFFF"/>
              </w:rPr>
            </w:pPr>
          </w:p>
        </w:tc>
        <w:tc>
          <w:tcPr>
            <w:tcW w:w="1772" w:type="dxa"/>
          </w:tcPr>
          <w:p w14:paraId="560BE01F"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ORR (%)</w:t>
            </w:r>
          </w:p>
        </w:tc>
        <w:tc>
          <w:tcPr>
            <w:tcW w:w="1710" w:type="dxa"/>
          </w:tcPr>
          <w:p w14:paraId="20A1EF95" w14:textId="77777777" w:rsidR="00EF1B33" w:rsidRPr="009A4BFF" w:rsidRDefault="00EF1B33" w:rsidP="007E0335">
            <w:pPr>
              <w:pStyle w:val="ListParagraph"/>
              <w:ind w:left="0"/>
              <w:rPr>
                <w:rFonts w:ascii="Arial" w:hAnsi="Arial" w:cs="Arial"/>
                <w:color w:val="000000"/>
                <w:shd w:val="clear" w:color="auto" w:fill="FFFFFF"/>
              </w:rPr>
            </w:pPr>
            <w:proofErr w:type="spellStart"/>
            <w:r w:rsidRPr="009A4BFF">
              <w:rPr>
                <w:rFonts w:ascii="Arial" w:hAnsi="Arial" w:cs="Arial"/>
                <w:color w:val="000000"/>
                <w:shd w:val="clear" w:color="auto" w:fill="FFFFFF"/>
              </w:rPr>
              <w:t>OS</w:t>
            </w:r>
            <w:r w:rsidRPr="009A4BFF">
              <w:rPr>
                <w:rFonts w:ascii="Arial" w:hAnsi="Arial" w:cs="Arial"/>
                <w:color w:val="000000"/>
                <w:shd w:val="clear" w:color="auto" w:fill="FFFFFF"/>
                <w:vertAlign w:val="superscript"/>
              </w:rPr>
              <w:t>a</w:t>
            </w:r>
            <w:proofErr w:type="spellEnd"/>
            <w:r w:rsidRPr="009A4BFF">
              <w:rPr>
                <w:rFonts w:ascii="Arial" w:hAnsi="Arial" w:cs="Arial"/>
                <w:color w:val="000000"/>
                <w:shd w:val="clear" w:color="auto" w:fill="FFFFFF"/>
              </w:rPr>
              <w:t xml:space="preserve"> (%)</w:t>
            </w:r>
          </w:p>
        </w:tc>
        <w:tc>
          <w:tcPr>
            <w:tcW w:w="2965" w:type="dxa"/>
          </w:tcPr>
          <w:p w14:paraId="7F70E431"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Study</w:t>
            </w:r>
          </w:p>
        </w:tc>
      </w:tr>
      <w:tr w:rsidR="00EF1B33" w:rsidRPr="00CF1FDC" w14:paraId="5A2BE7AC" w14:textId="77777777" w:rsidTr="00183A52">
        <w:tc>
          <w:tcPr>
            <w:tcW w:w="2183" w:type="dxa"/>
          </w:tcPr>
          <w:p w14:paraId="7AAE91B9" w14:textId="77777777" w:rsidR="00EF1B33" w:rsidRPr="009A4BFF" w:rsidRDefault="00EF1B33" w:rsidP="007E0335">
            <w:pPr>
              <w:pStyle w:val="ListParagraph"/>
              <w:ind w:left="0"/>
              <w:rPr>
                <w:rFonts w:ascii="Arial" w:hAnsi="Arial" w:cs="Arial"/>
                <w:color w:val="000000"/>
                <w:shd w:val="clear" w:color="auto" w:fill="FFFFFF"/>
              </w:rPr>
            </w:pPr>
            <w:proofErr w:type="spellStart"/>
            <w:r w:rsidRPr="009A4BFF">
              <w:rPr>
                <w:rFonts w:ascii="Arial" w:hAnsi="Arial" w:cs="Arial"/>
                <w:color w:val="000000"/>
                <w:shd w:val="clear" w:color="auto" w:fill="FFFFFF"/>
              </w:rPr>
              <w:t>Brigatinib</w:t>
            </w:r>
            <w:proofErr w:type="spellEnd"/>
            <w:r w:rsidRPr="009A4BFF">
              <w:rPr>
                <w:rFonts w:ascii="Arial" w:hAnsi="Arial" w:cs="Arial"/>
                <w:color w:val="000000"/>
                <w:shd w:val="clear" w:color="auto" w:fill="FFFFFF"/>
              </w:rPr>
              <w:t xml:space="preserve"> </w:t>
            </w:r>
          </w:p>
        </w:tc>
        <w:tc>
          <w:tcPr>
            <w:tcW w:w="1772" w:type="dxa"/>
          </w:tcPr>
          <w:p w14:paraId="16197253"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54%</w:t>
            </w:r>
          </w:p>
        </w:tc>
        <w:tc>
          <w:tcPr>
            <w:tcW w:w="1710" w:type="dxa"/>
          </w:tcPr>
          <w:p w14:paraId="6943A767"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80%</w:t>
            </w:r>
          </w:p>
        </w:tc>
        <w:tc>
          <w:tcPr>
            <w:tcW w:w="2965" w:type="dxa"/>
          </w:tcPr>
          <w:p w14:paraId="6379FEAC"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ALTA (phase 2)</w:t>
            </w:r>
          </w:p>
        </w:tc>
      </w:tr>
      <w:tr w:rsidR="00EF1B33" w:rsidRPr="00CF1FDC" w14:paraId="4BBFD829" w14:textId="77777777" w:rsidTr="00183A52">
        <w:tc>
          <w:tcPr>
            <w:tcW w:w="2183" w:type="dxa"/>
          </w:tcPr>
          <w:p w14:paraId="61638D7F" w14:textId="77777777" w:rsidR="00EF1B33" w:rsidRPr="009A4BFF" w:rsidRDefault="00EF1B33" w:rsidP="007E0335">
            <w:pPr>
              <w:pStyle w:val="ListParagraph"/>
              <w:ind w:left="0"/>
              <w:rPr>
                <w:rFonts w:ascii="Arial" w:hAnsi="Arial" w:cs="Arial"/>
                <w:color w:val="000000"/>
                <w:shd w:val="clear" w:color="auto" w:fill="FFFFFF"/>
              </w:rPr>
            </w:pPr>
            <w:proofErr w:type="spellStart"/>
            <w:r w:rsidRPr="009A4BFF">
              <w:rPr>
                <w:rFonts w:ascii="Arial" w:hAnsi="Arial" w:cs="Arial"/>
                <w:color w:val="000000"/>
                <w:shd w:val="clear" w:color="auto" w:fill="FFFFFF"/>
              </w:rPr>
              <w:t>Alectinib</w:t>
            </w:r>
            <w:proofErr w:type="spellEnd"/>
          </w:p>
        </w:tc>
        <w:tc>
          <w:tcPr>
            <w:tcW w:w="1772" w:type="dxa"/>
          </w:tcPr>
          <w:p w14:paraId="43381D13"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48%</w:t>
            </w:r>
          </w:p>
        </w:tc>
        <w:tc>
          <w:tcPr>
            <w:tcW w:w="1710" w:type="dxa"/>
          </w:tcPr>
          <w:p w14:paraId="5AC036DF"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71%</w:t>
            </w:r>
          </w:p>
        </w:tc>
        <w:tc>
          <w:tcPr>
            <w:tcW w:w="2965" w:type="dxa"/>
          </w:tcPr>
          <w:p w14:paraId="1B05E21B"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NP28751 (Phase 2)</w:t>
            </w:r>
          </w:p>
        </w:tc>
      </w:tr>
      <w:tr w:rsidR="00EF1B33" w:rsidRPr="00CF1FDC" w14:paraId="5C29CDFD" w14:textId="77777777" w:rsidTr="00183A52">
        <w:tc>
          <w:tcPr>
            <w:tcW w:w="2183" w:type="dxa"/>
          </w:tcPr>
          <w:p w14:paraId="19D47922" w14:textId="77777777" w:rsidR="00EF1B33" w:rsidRPr="009A4BFF" w:rsidRDefault="00EF1B33" w:rsidP="007E0335">
            <w:pPr>
              <w:pStyle w:val="ListParagraph"/>
              <w:ind w:left="0"/>
              <w:rPr>
                <w:rFonts w:ascii="Arial" w:hAnsi="Arial" w:cs="Arial"/>
                <w:color w:val="000000"/>
                <w:shd w:val="clear" w:color="auto" w:fill="FFFFFF"/>
              </w:rPr>
            </w:pPr>
            <w:proofErr w:type="spellStart"/>
            <w:r w:rsidRPr="009A4BFF">
              <w:rPr>
                <w:rFonts w:ascii="Arial" w:hAnsi="Arial" w:cs="Arial"/>
                <w:color w:val="000000"/>
                <w:shd w:val="clear" w:color="auto" w:fill="FFFFFF"/>
              </w:rPr>
              <w:t>Ceritinib</w:t>
            </w:r>
            <w:proofErr w:type="spellEnd"/>
          </w:p>
        </w:tc>
        <w:tc>
          <w:tcPr>
            <w:tcW w:w="1772" w:type="dxa"/>
          </w:tcPr>
          <w:p w14:paraId="0737D7D6"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39%</w:t>
            </w:r>
          </w:p>
        </w:tc>
        <w:tc>
          <w:tcPr>
            <w:tcW w:w="1710" w:type="dxa"/>
          </w:tcPr>
          <w:p w14:paraId="045FCEFD"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64%</w:t>
            </w:r>
          </w:p>
        </w:tc>
        <w:tc>
          <w:tcPr>
            <w:tcW w:w="2965" w:type="dxa"/>
          </w:tcPr>
          <w:p w14:paraId="6A9473C2"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ASCEND-2 (phase 2)</w:t>
            </w:r>
          </w:p>
        </w:tc>
      </w:tr>
    </w:tbl>
    <w:p w14:paraId="4AD04E0F" w14:textId="77777777" w:rsidR="00EF1B33" w:rsidRPr="00183A52" w:rsidRDefault="00EF1B33" w:rsidP="00183A52">
      <w:pPr>
        <w:rPr>
          <w:rFonts w:ascii="Arial" w:hAnsi="Arial" w:cs="Arial"/>
          <w:color w:val="000000"/>
          <w:shd w:val="clear" w:color="auto" w:fill="FFFFFF"/>
        </w:rPr>
      </w:pPr>
      <w:proofErr w:type="spellStart"/>
      <w:r w:rsidRPr="00183A52">
        <w:rPr>
          <w:rFonts w:ascii="Arial" w:hAnsi="Arial" w:cs="Arial"/>
          <w:color w:val="000000"/>
          <w:shd w:val="clear" w:color="auto" w:fill="FFFFFF"/>
          <w:vertAlign w:val="superscript"/>
        </w:rPr>
        <w:t>a</w:t>
      </w:r>
      <w:proofErr w:type="spellEnd"/>
      <w:r w:rsidRPr="00183A52">
        <w:rPr>
          <w:rFonts w:ascii="Arial" w:hAnsi="Arial" w:cs="Arial"/>
          <w:color w:val="000000"/>
          <w:shd w:val="clear" w:color="auto" w:fill="FFFFFF"/>
        </w:rPr>
        <w:t xml:space="preserve"> The percentage of patients who survived after one year of follow-up</w:t>
      </w:r>
    </w:p>
    <w:p w14:paraId="344F658C" w14:textId="77777777" w:rsidR="00EF1B33" w:rsidRPr="009A4BFF" w:rsidRDefault="00EF1B33" w:rsidP="00F70C5C">
      <w:pPr>
        <w:rPr>
          <w:rFonts w:ascii="Arial" w:hAnsi="Arial" w:cs="Arial"/>
          <w:color w:val="000000"/>
        </w:rPr>
      </w:pPr>
    </w:p>
    <w:p w14:paraId="64F78C5D" w14:textId="77777777" w:rsidR="00EF1B33" w:rsidRPr="009A4BFF" w:rsidRDefault="00EF1B33" w:rsidP="00F70C5C">
      <w:pPr>
        <w:rPr>
          <w:rFonts w:ascii="Arial" w:hAnsi="Arial" w:cs="Arial"/>
          <w:color w:val="000000"/>
        </w:rPr>
      </w:pPr>
      <w:r w:rsidRPr="009A4BFF">
        <w:rPr>
          <w:rFonts w:ascii="Arial" w:hAnsi="Arial" w:cs="Arial"/>
          <w:color w:val="000000"/>
        </w:rPr>
        <w:t xml:space="preserve">The ORR for </w:t>
      </w:r>
      <w:proofErr w:type="spellStart"/>
      <w:r w:rsidRPr="009A4BFF">
        <w:rPr>
          <w:rFonts w:ascii="Arial" w:hAnsi="Arial" w:cs="Arial"/>
          <w:color w:val="000000"/>
        </w:rPr>
        <w:t>ensartinib</w:t>
      </w:r>
      <w:proofErr w:type="spellEnd"/>
      <w:r w:rsidRPr="009A4BFF">
        <w:rPr>
          <w:rFonts w:ascii="Arial" w:hAnsi="Arial" w:cs="Arial"/>
          <w:color w:val="000000"/>
        </w:rPr>
        <w:t xml:space="preserve"> and </w:t>
      </w:r>
      <w:proofErr w:type="spellStart"/>
      <w:r w:rsidRPr="009A4BFF">
        <w:rPr>
          <w:rFonts w:ascii="Arial" w:hAnsi="Arial" w:cs="Arial"/>
          <w:color w:val="000000"/>
        </w:rPr>
        <w:t>lorlatinib</w:t>
      </w:r>
      <w:proofErr w:type="spellEnd"/>
      <w:r w:rsidRPr="009A4BFF">
        <w:rPr>
          <w:rFonts w:ascii="Arial" w:hAnsi="Arial" w:cs="Arial"/>
          <w:color w:val="000000"/>
        </w:rPr>
        <w:t xml:space="preserve"> was 69%, and it was 54% for the standard of care (i.e., 2L </w:t>
      </w:r>
      <w:proofErr w:type="spellStart"/>
      <w:r w:rsidRPr="009A4BFF">
        <w:rPr>
          <w:rFonts w:ascii="Arial" w:hAnsi="Arial" w:cs="Arial"/>
          <w:color w:val="000000"/>
        </w:rPr>
        <w:t>brigatinib</w:t>
      </w:r>
      <w:proofErr w:type="spellEnd"/>
      <w:r w:rsidRPr="009A4BFF">
        <w:rPr>
          <w:rFonts w:ascii="Arial" w:hAnsi="Arial" w:cs="Arial"/>
          <w:color w:val="000000"/>
        </w:rPr>
        <w:t>) based on their phase 2 studies</w:t>
      </w:r>
      <w:r>
        <w:rPr>
          <w:rFonts w:ascii="Arial" w:hAnsi="Arial" w:cs="Arial"/>
          <w:color w:val="000000"/>
        </w:rPr>
        <w:t xml:space="preserve"> (</w:t>
      </w:r>
      <w:r w:rsidRPr="00183A52">
        <w:rPr>
          <w:rFonts w:ascii="Arial" w:hAnsi="Arial" w:cs="Arial"/>
          <w:b/>
          <w:bCs/>
          <w:color w:val="000000"/>
        </w:rPr>
        <w:t>Table S5</w:t>
      </w:r>
      <w:r>
        <w:rPr>
          <w:rFonts w:ascii="Arial" w:hAnsi="Arial" w:cs="Arial"/>
          <w:color w:val="000000"/>
        </w:rPr>
        <w:t>)</w:t>
      </w:r>
      <w:r w:rsidRPr="009A4BFF">
        <w:rPr>
          <w:rFonts w:ascii="Arial" w:hAnsi="Arial" w:cs="Arial"/>
          <w:color w:val="000000"/>
        </w:rPr>
        <w:t xml:space="preserve">. Therefore, we assumed that the disease-specific mortality will be decreased by a factor of 0.78 (54%/69%) among those who use future innovative drugs vs. the standard of care. </w:t>
      </w:r>
      <w:proofErr w:type="spellStart"/>
      <w:r w:rsidRPr="009A4BFF">
        <w:rPr>
          <w:rFonts w:ascii="Arial" w:hAnsi="Arial" w:cs="Arial"/>
          <w:color w:val="000000"/>
        </w:rPr>
        <w:t>Brigatinib</w:t>
      </w:r>
      <w:proofErr w:type="spellEnd"/>
      <w:r w:rsidRPr="009A4BFF">
        <w:rPr>
          <w:rFonts w:ascii="Arial" w:hAnsi="Arial" w:cs="Arial"/>
          <w:color w:val="000000"/>
        </w:rPr>
        <w:t xml:space="preserve"> was the most efficacious drug for the treatment of ALK-positive NSCLC post 1L. Therefore, using ORR of </w:t>
      </w:r>
      <w:proofErr w:type="spellStart"/>
      <w:r w:rsidRPr="009A4BFF">
        <w:rPr>
          <w:rFonts w:ascii="Arial" w:hAnsi="Arial" w:cs="Arial"/>
          <w:color w:val="000000"/>
        </w:rPr>
        <w:t>brigatinib</w:t>
      </w:r>
      <w:proofErr w:type="spellEnd"/>
      <w:r w:rsidRPr="009A4BFF">
        <w:rPr>
          <w:rFonts w:ascii="Arial" w:hAnsi="Arial" w:cs="Arial"/>
          <w:color w:val="000000"/>
        </w:rPr>
        <w:t xml:space="preserve"> is likely to give us a conservative estimate of the potential incremental efficacy of likely future drugs.</w:t>
      </w:r>
    </w:p>
    <w:tbl>
      <w:tblPr>
        <w:tblStyle w:val="GridTable1Light"/>
        <w:tblW w:w="9625" w:type="dxa"/>
        <w:tblLook w:val="0420" w:firstRow="1" w:lastRow="0" w:firstColumn="0" w:lastColumn="0" w:noHBand="0" w:noVBand="1"/>
      </w:tblPr>
      <w:tblGrid>
        <w:gridCol w:w="2184"/>
        <w:gridCol w:w="2488"/>
        <w:gridCol w:w="2415"/>
        <w:gridCol w:w="2538"/>
      </w:tblGrid>
      <w:tr w:rsidR="00EF1B33" w:rsidRPr="00CF1FDC" w14:paraId="6FE97DAF" w14:textId="77777777" w:rsidTr="00D62EDC">
        <w:trPr>
          <w:cnfStyle w:val="100000000000" w:firstRow="1" w:lastRow="0" w:firstColumn="0" w:lastColumn="0" w:oddVBand="0" w:evenVBand="0" w:oddHBand="0" w:evenHBand="0" w:firstRowFirstColumn="0" w:firstRowLastColumn="0" w:lastRowFirstColumn="0" w:lastRowLastColumn="0"/>
          <w:trHeight w:val="287"/>
        </w:trPr>
        <w:tc>
          <w:tcPr>
            <w:tcW w:w="9625" w:type="dxa"/>
            <w:gridSpan w:val="4"/>
          </w:tcPr>
          <w:p w14:paraId="07D0CA31" w14:textId="72BEB564" w:rsidR="00EF1B33" w:rsidRPr="00183A52" w:rsidRDefault="00EF1B33" w:rsidP="00D62EDC">
            <w:pPr>
              <w:rPr>
                <w:rFonts w:ascii="Arial" w:hAnsi="Arial" w:cs="Arial"/>
                <w:color w:val="000000"/>
              </w:rPr>
            </w:pPr>
            <w:r w:rsidRPr="00183A52">
              <w:rPr>
                <w:rFonts w:ascii="Arial" w:hAnsi="Arial" w:cs="Arial"/>
                <w:color w:val="000000"/>
              </w:rPr>
              <w:t>Table S</w:t>
            </w:r>
            <w:r>
              <w:rPr>
                <w:rFonts w:ascii="Arial" w:hAnsi="Arial" w:cs="Arial"/>
                <w:color w:val="000000"/>
              </w:rPr>
              <w:t>5</w:t>
            </w:r>
            <w:r w:rsidRPr="00183A52">
              <w:rPr>
                <w:rFonts w:ascii="Arial" w:hAnsi="Arial" w:cs="Arial"/>
                <w:color w:val="000000"/>
              </w:rPr>
              <w:t>. Efficacy data of investigational new molecules available as of November 2017</w:t>
            </w:r>
          </w:p>
        </w:tc>
      </w:tr>
      <w:tr w:rsidR="00EF1B33" w:rsidRPr="00CF1FDC" w14:paraId="13063A58" w14:textId="77777777" w:rsidTr="00D62EDC">
        <w:trPr>
          <w:trHeight w:val="584"/>
        </w:trPr>
        <w:tc>
          <w:tcPr>
            <w:tcW w:w="1916" w:type="dxa"/>
            <w:hideMark/>
          </w:tcPr>
          <w:p w14:paraId="6B879224"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Investigational new molecule</w:t>
            </w:r>
          </w:p>
        </w:tc>
        <w:tc>
          <w:tcPr>
            <w:tcW w:w="2579" w:type="dxa"/>
            <w:hideMark/>
          </w:tcPr>
          <w:p w14:paraId="4AFE5AC0" w14:textId="77777777" w:rsidR="00EF1B33" w:rsidRPr="00183A52" w:rsidRDefault="00EF1B33" w:rsidP="00D62EDC">
            <w:pPr>
              <w:spacing w:after="160"/>
              <w:rPr>
                <w:rFonts w:ascii="Arial" w:hAnsi="Arial" w:cs="Arial"/>
                <w:b/>
                <w:bCs/>
                <w:color w:val="000000"/>
              </w:rPr>
            </w:pPr>
            <w:r w:rsidRPr="00183A52">
              <w:rPr>
                <w:rFonts w:ascii="Arial" w:hAnsi="Arial" w:cs="Arial"/>
                <w:b/>
                <w:bCs/>
                <w:color w:val="000000"/>
              </w:rPr>
              <w:t>ORR (prior therapy; ALK status; phase of a trial)</w:t>
            </w:r>
          </w:p>
        </w:tc>
        <w:tc>
          <w:tcPr>
            <w:tcW w:w="2495" w:type="dxa"/>
            <w:hideMark/>
          </w:tcPr>
          <w:p w14:paraId="1AEC5257" w14:textId="77777777" w:rsidR="00EF1B33" w:rsidRPr="00183A52" w:rsidRDefault="00EF1B33" w:rsidP="00D62EDC">
            <w:pPr>
              <w:spacing w:after="160"/>
              <w:rPr>
                <w:rFonts w:ascii="Arial" w:hAnsi="Arial" w:cs="Arial"/>
                <w:b/>
                <w:bCs/>
                <w:color w:val="000000"/>
              </w:rPr>
            </w:pPr>
            <w:r w:rsidRPr="00183A52">
              <w:rPr>
                <w:rFonts w:ascii="Arial" w:hAnsi="Arial" w:cs="Arial"/>
                <w:b/>
                <w:bCs/>
                <w:color w:val="000000"/>
              </w:rPr>
              <w:t>PFS (prior therapy; ALK status; phase of a trial)</w:t>
            </w:r>
          </w:p>
        </w:tc>
        <w:tc>
          <w:tcPr>
            <w:tcW w:w="2635" w:type="dxa"/>
            <w:hideMark/>
          </w:tcPr>
          <w:p w14:paraId="771F9E3B" w14:textId="77777777" w:rsidR="00EF1B33" w:rsidRPr="00183A52" w:rsidRDefault="00EF1B33" w:rsidP="00D62EDC">
            <w:pPr>
              <w:spacing w:after="160"/>
              <w:rPr>
                <w:rFonts w:ascii="Arial" w:hAnsi="Arial" w:cs="Arial"/>
                <w:b/>
                <w:bCs/>
                <w:color w:val="000000"/>
              </w:rPr>
            </w:pPr>
            <w:r w:rsidRPr="00183A52">
              <w:rPr>
                <w:rFonts w:ascii="Arial" w:hAnsi="Arial" w:cs="Arial"/>
                <w:b/>
                <w:bCs/>
                <w:color w:val="000000"/>
              </w:rPr>
              <w:t>OS (prior therapy; ALK status; phase of a trial)</w:t>
            </w:r>
          </w:p>
        </w:tc>
      </w:tr>
      <w:tr w:rsidR="00EF1B33" w:rsidRPr="00CF1FDC" w14:paraId="2AA059AE" w14:textId="77777777" w:rsidTr="00D62EDC">
        <w:trPr>
          <w:trHeight w:val="584"/>
        </w:trPr>
        <w:tc>
          <w:tcPr>
            <w:tcW w:w="1916" w:type="dxa"/>
            <w:hideMark/>
          </w:tcPr>
          <w:p w14:paraId="70F8EDA6" w14:textId="77777777" w:rsidR="00EF1B33" w:rsidRPr="00183A52" w:rsidRDefault="00EF1B33" w:rsidP="00D62EDC">
            <w:pPr>
              <w:spacing w:after="160"/>
              <w:rPr>
                <w:rFonts w:ascii="Arial" w:hAnsi="Arial" w:cs="Arial"/>
                <w:color w:val="000000"/>
              </w:rPr>
            </w:pPr>
            <w:proofErr w:type="spellStart"/>
            <w:r w:rsidRPr="00183A52">
              <w:rPr>
                <w:rFonts w:ascii="Arial" w:hAnsi="Arial" w:cs="Arial"/>
                <w:b/>
                <w:bCs/>
                <w:color w:val="000000"/>
              </w:rPr>
              <w:t>Ensartinib</w:t>
            </w:r>
            <w:proofErr w:type="spellEnd"/>
            <w:r w:rsidRPr="00183A52">
              <w:rPr>
                <w:rFonts w:ascii="Arial" w:hAnsi="Arial" w:cs="Arial"/>
                <w:b/>
                <w:bCs/>
                <w:color w:val="000000"/>
              </w:rPr>
              <w:t xml:space="preserve"> </w:t>
            </w:r>
          </w:p>
          <w:p w14:paraId="18C1F58A"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(X-396)</w:t>
            </w:r>
          </w:p>
        </w:tc>
        <w:tc>
          <w:tcPr>
            <w:tcW w:w="2579" w:type="dxa"/>
            <w:hideMark/>
          </w:tcPr>
          <w:p w14:paraId="63F568E7" w14:textId="77777777" w:rsidR="00EF1B33" w:rsidRPr="00183A52" w:rsidRDefault="00EF1B33" w:rsidP="00D62EDC">
            <w:pPr>
              <w:spacing w:after="160"/>
              <w:rPr>
                <w:rFonts w:ascii="Arial" w:hAnsi="Arial" w:cs="Arial"/>
                <w:b/>
                <w:bCs/>
                <w:color w:val="000000"/>
              </w:rPr>
            </w:pPr>
            <w:r w:rsidRPr="00183A52">
              <w:rPr>
                <w:rFonts w:ascii="Arial" w:hAnsi="Arial" w:cs="Arial"/>
                <w:b/>
                <w:bCs/>
                <w:color w:val="000000"/>
              </w:rPr>
              <w:t>69%</w:t>
            </w:r>
            <w:r w:rsidRPr="00183A52">
              <w:rPr>
                <w:rFonts w:ascii="Arial" w:hAnsi="Arial" w:cs="Arial"/>
                <w:color w:val="000000"/>
              </w:rPr>
              <w:t xml:space="preserve"> (</w:t>
            </w:r>
            <w:proofErr w:type="spellStart"/>
            <w:r w:rsidRPr="00183A52">
              <w:rPr>
                <w:rFonts w:ascii="Arial" w:hAnsi="Arial" w:cs="Arial"/>
                <w:color w:val="000000"/>
              </w:rPr>
              <w:t>crizotinib</w:t>
            </w:r>
            <w:proofErr w:type="spellEnd"/>
            <w:r w:rsidRPr="00183A52">
              <w:rPr>
                <w:rFonts w:ascii="Arial" w:hAnsi="Arial" w:cs="Arial"/>
                <w:color w:val="000000"/>
              </w:rPr>
              <w:t>; ALK+; 2)</w:t>
            </w:r>
          </w:p>
        </w:tc>
        <w:tc>
          <w:tcPr>
            <w:tcW w:w="2495" w:type="dxa"/>
            <w:hideMark/>
          </w:tcPr>
          <w:p w14:paraId="58C6417B"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NR</w:t>
            </w:r>
            <w:r w:rsidRPr="00183A52">
              <w:rPr>
                <w:rFonts w:ascii="Arial" w:hAnsi="Arial" w:cs="Arial"/>
                <w:color w:val="000000"/>
              </w:rPr>
              <w:t xml:space="preserve"> (</w:t>
            </w:r>
            <w:proofErr w:type="spellStart"/>
            <w:r w:rsidRPr="00183A52">
              <w:rPr>
                <w:rFonts w:ascii="Arial" w:hAnsi="Arial" w:cs="Arial"/>
                <w:color w:val="000000"/>
              </w:rPr>
              <w:t>crizotinib</w:t>
            </w:r>
            <w:proofErr w:type="spellEnd"/>
            <w:r w:rsidRPr="00183A52">
              <w:rPr>
                <w:rFonts w:ascii="Arial" w:hAnsi="Arial" w:cs="Arial"/>
                <w:color w:val="000000"/>
              </w:rPr>
              <w:t xml:space="preserve">; ALK+; 2) </w:t>
            </w:r>
          </w:p>
        </w:tc>
        <w:tc>
          <w:tcPr>
            <w:tcW w:w="2635" w:type="dxa"/>
            <w:hideMark/>
          </w:tcPr>
          <w:p w14:paraId="48CAE42C" w14:textId="77777777" w:rsidR="00EF1B33" w:rsidRPr="00183A52" w:rsidRDefault="00EF1B33" w:rsidP="00D62EDC">
            <w:pPr>
              <w:spacing w:after="160"/>
              <w:rPr>
                <w:rFonts w:ascii="Arial" w:hAnsi="Arial" w:cs="Arial"/>
                <w:color w:val="000000"/>
              </w:rPr>
            </w:pPr>
            <w:r w:rsidRPr="00183A52">
              <w:rPr>
                <w:rFonts w:ascii="Arial" w:hAnsi="Arial" w:cs="Arial"/>
                <w:color w:val="000000"/>
              </w:rPr>
              <w:t>n/a</w:t>
            </w:r>
          </w:p>
        </w:tc>
      </w:tr>
      <w:tr w:rsidR="00EF1B33" w:rsidRPr="00CF1FDC" w14:paraId="69CB6DCE" w14:textId="77777777" w:rsidTr="00D62EDC">
        <w:trPr>
          <w:trHeight w:val="584"/>
        </w:trPr>
        <w:tc>
          <w:tcPr>
            <w:tcW w:w="1916" w:type="dxa"/>
            <w:hideMark/>
          </w:tcPr>
          <w:p w14:paraId="649D3F0D" w14:textId="77777777" w:rsidR="00EF1B33" w:rsidRPr="00183A52" w:rsidRDefault="00EF1B33" w:rsidP="00D62EDC">
            <w:pPr>
              <w:spacing w:after="160"/>
              <w:rPr>
                <w:rFonts w:ascii="Arial" w:hAnsi="Arial" w:cs="Arial"/>
                <w:color w:val="000000"/>
              </w:rPr>
            </w:pPr>
            <w:proofErr w:type="spellStart"/>
            <w:r w:rsidRPr="00183A52">
              <w:rPr>
                <w:rFonts w:ascii="Arial" w:hAnsi="Arial" w:cs="Arial"/>
                <w:b/>
                <w:bCs/>
                <w:color w:val="000000"/>
              </w:rPr>
              <w:lastRenderedPageBreak/>
              <w:t>Lorlatinib</w:t>
            </w:r>
            <w:proofErr w:type="spellEnd"/>
          </w:p>
          <w:p w14:paraId="7F88C390"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 xml:space="preserve">(PF-06463922) </w:t>
            </w:r>
          </w:p>
        </w:tc>
        <w:tc>
          <w:tcPr>
            <w:tcW w:w="2579" w:type="dxa"/>
            <w:hideMark/>
          </w:tcPr>
          <w:p w14:paraId="3CC37674"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69%</w:t>
            </w:r>
            <w:r w:rsidRPr="00183A52">
              <w:rPr>
                <w:rFonts w:ascii="Arial" w:hAnsi="Arial" w:cs="Arial"/>
                <w:color w:val="000000"/>
              </w:rPr>
              <w:t xml:space="preserve"> (</w:t>
            </w:r>
            <w:proofErr w:type="spellStart"/>
            <w:r w:rsidRPr="00183A52">
              <w:rPr>
                <w:rFonts w:ascii="Arial" w:hAnsi="Arial" w:cs="Arial"/>
                <w:color w:val="000000"/>
              </w:rPr>
              <w:t>crizotinib</w:t>
            </w:r>
            <w:proofErr w:type="spellEnd"/>
            <w:r w:rsidRPr="00183A52">
              <w:rPr>
                <w:rFonts w:ascii="Arial" w:hAnsi="Arial" w:cs="Arial"/>
                <w:color w:val="000000"/>
              </w:rPr>
              <w:t>; ALK+; 2)</w:t>
            </w:r>
          </w:p>
          <w:p w14:paraId="31A425D2"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57%</w:t>
            </w:r>
            <w:r w:rsidRPr="00183A52">
              <w:rPr>
                <w:rFonts w:ascii="Arial" w:hAnsi="Arial" w:cs="Arial"/>
                <w:color w:val="000000"/>
              </w:rPr>
              <w:t xml:space="preserve"> (one TKI; ALK+; 1)</w:t>
            </w:r>
          </w:p>
        </w:tc>
        <w:tc>
          <w:tcPr>
            <w:tcW w:w="2495" w:type="dxa"/>
            <w:hideMark/>
          </w:tcPr>
          <w:p w14:paraId="014BAF6D" w14:textId="77777777" w:rsidR="00EF1B33" w:rsidRPr="00183A52" w:rsidRDefault="00EF1B33" w:rsidP="00D62EDC">
            <w:pPr>
              <w:spacing w:after="160"/>
              <w:rPr>
                <w:rFonts w:ascii="Arial" w:hAnsi="Arial" w:cs="Arial"/>
                <w:color w:val="000000"/>
                <w:vertAlign w:val="superscript"/>
              </w:rPr>
            </w:pPr>
            <w:r w:rsidRPr="00183A52">
              <w:rPr>
                <w:rFonts w:ascii="Arial" w:hAnsi="Arial" w:cs="Arial"/>
                <w:b/>
                <w:bCs/>
                <w:color w:val="000000"/>
              </w:rPr>
              <w:t>NR</w:t>
            </w:r>
            <w:r w:rsidRPr="00183A52">
              <w:rPr>
                <w:rFonts w:ascii="Arial" w:hAnsi="Arial" w:cs="Arial"/>
                <w:color w:val="000000"/>
              </w:rPr>
              <w:t xml:space="preserve"> (</w:t>
            </w:r>
            <w:proofErr w:type="spellStart"/>
            <w:r w:rsidRPr="00183A52">
              <w:rPr>
                <w:rFonts w:ascii="Arial" w:hAnsi="Arial" w:cs="Arial"/>
                <w:color w:val="000000"/>
              </w:rPr>
              <w:t>crizotinib</w:t>
            </w:r>
            <w:proofErr w:type="spellEnd"/>
            <w:r w:rsidRPr="00183A52">
              <w:rPr>
                <w:rFonts w:ascii="Arial" w:hAnsi="Arial" w:cs="Arial"/>
                <w:color w:val="000000"/>
              </w:rPr>
              <w:t xml:space="preserve">; ALK+; 2) </w:t>
            </w:r>
            <w:r w:rsidRPr="00183A52">
              <w:rPr>
                <w:rFonts w:ascii="Arial" w:hAnsi="Arial" w:cs="Arial"/>
                <w:color w:val="000000"/>
                <w:vertAlign w:val="superscript"/>
              </w:rPr>
              <w:t>a</w:t>
            </w:r>
          </w:p>
          <w:p w14:paraId="4F959CAC"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5.3</w:t>
            </w:r>
            <w:r w:rsidRPr="00183A52">
              <w:rPr>
                <w:rFonts w:ascii="Arial" w:hAnsi="Arial" w:cs="Arial"/>
                <w:color w:val="000000"/>
              </w:rPr>
              <w:t xml:space="preserve"> months (N/A; ALK+; 1) </w:t>
            </w:r>
          </w:p>
        </w:tc>
        <w:tc>
          <w:tcPr>
            <w:tcW w:w="2635" w:type="dxa"/>
            <w:hideMark/>
          </w:tcPr>
          <w:p w14:paraId="39A8558B"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NR</w:t>
            </w:r>
            <w:r w:rsidRPr="00183A52">
              <w:rPr>
                <w:rFonts w:ascii="Arial" w:hAnsi="Arial" w:cs="Arial"/>
                <w:color w:val="000000"/>
              </w:rPr>
              <w:t xml:space="preserve"> (</w:t>
            </w:r>
            <w:proofErr w:type="spellStart"/>
            <w:r w:rsidRPr="00183A52">
              <w:rPr>
                <w:rFonts w:ascii="Arial" w:hAnsi="Arial" w:cs="Arial"/>
                <w:color w:val="000000"/>
              </w:rPr>
              <w:t>crizotinib</w:t>
            </w:r>
            <w:proofErr w:type="spellEnd"/>
            <w:r w:rsidRPr="00183A52">
              <w:rPr>
                <w:rFonts w:ascii="Arial" w:hAnsi="Arial" w:cs="Arial"/>
                <w:color w:val="000000"/>
              </w:rPr>
              <w:t xml:space="preserve">; ALK+; 2) </w:t>
            </w:r>
            <w:r w:rsidRPr="00183A52">
              <w:rPr>
                <w:rFonts w:ascii="Arial" w:hAnsi="Arial" w:cs="Arial"/>
                <w:color w:val="000000"/>
                <w:vertAlign w:val="superscript"/>
              </w:rPr>
              <w:t>b</w:t>
            </w:r>
          </w:p>
          <w:p w14:paraId="09E67962"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22.3</w:t>
            </w:r>
            <w:r w:rsidRPr="00183A52">
              <w:rPr>
                <w:rFonts w:ascii="Arial" w:hAnsi="Arial" w:cs="Arial"/>
                <w:color w:val="000000"/>
              </w:rPr>
              <w:t xml:space="preserve"> months (N/A; ALK+; 1)</w:t>
            </w:r>
          </w:p>
        </w:tc>
      </w:tr>
      <w:tr w:rsidR="00EF1B33" w:rsidRPr="00CF1FDC" w14:paraId="7D8DD84F" w14:textId="77777777" w:rsidTr="00D62EDC">
        <w:trPr>
          <w:trHeight w:val="584"/>
        </w:trPr>
        <w:tc>
          <w:tcPr>
            <w:tcW w:w="1916" w:type="dxa"/>
            <w:hideMark/>
          </w:tcPr>
          <w:p w14:paraId="3C40636F" w14:textId="77777777" w:rsidR="00EF1B33" w:rsidRPr="00183A52" w:rsidRDefault="00EF1B33" w:rsidP="00D62EDC">
            <w:pPr>
              <w:spacing w:after="160"/>
              <w:rPr>
                <w:rFonts w:ascii="Arial" w:hAnsi="Arial" w:cs="Arial"/>
                <w:color w:val="000000"/>
              </w:rPr>
            </w:pPr>
            <w:proofErr w:type="spellStart"/>
            <w:r w:rsidRPr="00183A52">
              <w:rPr>
                <w:rFonts w:ascii="Arial" w:hAnsi="Arial" w:cs="Arial"/>
                <w:b/>
                <w:bCs/>
                <w:color w:val="000000"/>
              </w:rPr>
              <w:t>Luminespib</w:t>
            </w:r>
            <w:proofErr w:type="spellEnd"/>
            <w:r w:rsidRPr="00183A52">
              <w:rPr>
                <w:rFonts w:ascii="Arial" w:hAnsi="Arial" w:cs="Arial"/>
                <w:b/>
                <w:bCs/>
                <w:color w:val="000000"/>
              </w:rPr>
              <w:t xml:space="preserve"> (AUY922)</w:t>
            </w:r>
          </w:p>
        </w:tc>
        <w:tc>
          <w:tcPr>
            <w:tcW w:w="2579" w:type="dxa"/>
            <w:hideMark/>
          </w:tcPr>
          <w:p w14:paraId="0D336CDF"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0% (</w:t>
            </w:r>
            <w:r w:rsidRPr="00183A52">
              <w:rPr>
                <w:rFonts w:ascii="Arial" w:hAnsi="Arial" w:cs="Arial"/>
                <w:color w:val="000000"/>
              </w:rPr>
              <w:t xml:space="preserve">ALK- TKI(s); ALK+; 2) </w:t>
            </w:r>
            <w:r w:rsidRPr="00183A52">
              <w:rPr>
                <w:rFonts w:ascii="Arial" w:hAnsi="Arial" w:cs="Arial"/>
                <w:color w:val="000000"/>
                <w:vertAlign w:val="superscript"/>
              </w:rPr>
              <w:t>c</w:t>
            </w:r>
          </w:p>
          <w:p w14:paraId="08E46ECC"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31.8 %</w:t>
            </w:r>
            <w:r w:rsidRPr="00183A52">
              <w:rPr>
                <w:rFonts w:ascii="Arial" w:hAnsi="Arial" w:cs="Arial"/>
                <w:color w:val="000000"/>
              </w:rPr>
              <w:t xml:space="preserve"> (2 chemotherapies; ALK+; 2)</w:t>
            </w:r>
            <w:r w:rsidRPr="00183A52">
              <w:rPr>
                <w:rFonts w:ascii="Arial" w:hAnsi="Arial" w:cs="Arial"/>
                <w:color w:val="000000"/>
                <w:vertAlign w:val="superscript"/>
              </w:rPr>
              <w:t xml:space="preserve"> </w:t>
            </w:r>
          </w:p>
          <w:p w14:paraId="3E7B3C09"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66.7% (</w:t>
            </w:r>
            <w:r w:rsidRPr="00183A52">
              <w:rPr>
                <w:rFonts w:ascii="Arial" w:hAnsi="Arial" w:cs="Arial"/>
                <w:color w:val="000000"/>
              </w:rPr>
              <w:t>TKIs; ALK+; 1b)</w:t>
            </w:r>
            <w:r w:rsidRPr="00183A52">
              <w:rPr>
                <w:rFonts w:ascii="Arial" w:hAnsi="Arial" w:cs="Arial"/>
                <w:color w:val="000000"/>
                <w:vertAlign w:val="superscript"/>
              </w:rPr>
              <w:t xml:space="preserve"> d</w:t>
            </w:r>
          </w:p>
        </w:tc>
        <w:tc>
          <w:tcPr>
            <w:tcW w:w="2495" w:type="dxa"/>
            <w:hideMark/>
          </w:tcPr>
          <w:p w14:paraId="18BAFA64"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1.43</w:t>
            </w:r>
            <w:r w:rsidRPr="00183A52">
              <w:rPr>
                <w:rFonts w:ascii="Arial" w:hAnsi="Arial" w:cs="Arial"/>
                <w:color w:val="000000"/>
              </w:rPr>
              <w:t xml:space="preserve"> months (ALK- TKI(s); ALK+; 2) </w:t>
            </w:r>
            <w:r w:rsidRPr="00183A52">
              <w:rPr>
                <w:rFonts w:ascii="Arial" w:hAnsi="Arial" w:cs="Arial"/>
                <w:color w:val="000000"/>
                <w:vertAlign w:val="superscript"/>
              </w:rPr>
              <w:t>c</w:t>
            </w:r>
          </w:p>
          <w:p w14:paraId="58248EFD"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2.35</w:t>
            </w:r>
            <w:r w:rsidRPr="00183A52">
              <w:rPr>
                <w:rFonts w:ascii="Arial" w:hAnsi="Arial" w:cs="Arial"/>
                <w:color w:val="000000"/>
              </w:rPr>
              <w:t xml:space="preserve"> months (2 chemotherapies; ALK+; 2)</w:t>
            </w:r>
            <w:r w:rsidRPr="00183A52">
              <w:rPr>
                <w:rFonts w:ascii="Arial" w:hAnsi="Arial" w:cs="Arial"/>
                <w:color w:val="000000"/>
                <w:vertAlign w:val="superscript"/>
              </w:rPr>
              <w:t xml:space="preserve"> </w:t>
            </w:r>
          </w:p>
        </w:tc>
        <w:tc>
          <w:tcPr>
            <w:tcW w:w="2635" w:type="dxa"/>
            <w:hideMark/>
          </w:tcPr>
          <w:p w14:paraId="0D8E76C0"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26.87</w:t>
            </w:r>
            <w:r w:rsidRPr="00183A52">
              <w:rPr>
                <w:rFonts w:ascii="Arial" w:hAnsi="Arial" w:cs="Arial"/>
                <w:color w:val="000000"/>
              </w:rPr>
              <w:t xml:space="preserve"> months (ALK- TKI(s); ALK+; 2) </w:t>
            </w:r>
            <w:r w:rsidRPr="00183A52">
              <w:rPr>
                <w:rFonts w:ascii="Arial" w:hAnsi="Arial" w:cs="Arial"/>
                <w:color w:val="000000"/>
                <w:vertAlign w:val="superscript"/>
              </w:rPr>
              <w:t>b, c</w:t>
            </w:r>
          </w:p>
          <w:p w14:paraId="2D6E5A60" w14:textId="77777777" w:rsidR="00EF1B33" w:rsidRPr="00183A52" w:rsidRDefault="00EF1B33" w:rsidP="00D62EDC">
            <w:pPr>
              <w:spacing w:after="160"/>
              <w:rPr>
                <w:rFonts w:ascii="Arial" w:hAnsi="Arial" w:cs="Arial"/>
                <w:color w:val="000000"/>
              </w:rPr>
            </w:pPr>
            <w:r w:rsidRPr="00183A52">
              <w:rPr>
                <w:rFonts w:ascii="Arial" w:hAnsi="Arial" w:cs="Arial"/>
                <w:b/>
                <w:bCs/>
                <w:color w:val="000000"/>
              </w:rPr>
              <w:t>9.53</w:t>
            </w:r>
            <w:r w:rsidRPr="00183A52">
              <w:rPr>
                <w:rFonts w:ascii="Arial" w:hAnsi="Arial" w:cs="Arial"/>
                <w:color w:val="000000"/>
              </w:rPr>
              <w:t xml:space="preserve"> months (2 chemotherapies; ALK+; 2)</w:t>
            </w:r>
            <w:r w:rsidRPr="00183A52">
              <w:rPr>
                <w:rFonts w:ascii="Arial" w:hAnsi="Arial" w:cs="Arial"/>
                <w:color w:val="000000"/>
                <w:vertAlign w:val="superscript"/>
              </w:rPr>
              <w:t xml:space="preserve"> </w:t>
            </w:r>
          </w:p>
        </w:tc>
      </w:tr>
      <w:tr w:rsidR="00EF1B33" w:rsidRPr="00CF1FDC" w14:paraId="004E839B" w14:textId="77777777" w:rsidTr="00D62EDC">
        <w:trPr>
          <w:trHeight w:val="584"/>
        </w:trPr>
        <w:tc>
          <w:tcPr>
            <w:tcW w:w="1916" w:type="dxa"/>
            <w:hideMark/>
          </w:tcPr>
          <w:p w14:paraId="45B03AD2" w14:textId="77777777" w:rsidR="00EF1B33" w:rsidRPr="00183A52" w:rsidRDefault="00EF1B33" w:rsidP="00D62EDC">
            <w:pPr>
              <w:spacing w:after="160"/>
              <w:rPr>
                <w:rFonts w:ascii="Arial" w:hAnsi="Arial" w:cs="Arial"/>
                <w:color w:val="000000"/>
              </w:rPr>
            </w:pPr>
            <w:proofErr w:type="spellStart"/>
            <w:r w:rsidRPr="00183A52">
              <w:rPr>
                <w:rFonts w:ascii="Arial" w:hAnsi="Arial" w:cs="Arial"/>
                <w:b/>
                <w:bCs/>
                <w:color w:val="000000"/>
              </w:rPr>
              <w:t>Entrectinib</w:t>
            </w:r>
            <w:proofErr w:type="spellEnd"/>
          </w:p>
        </w:tc>
        <w:tc>
          <w:tcPr>
            <w:tcW w:w="2579" w:type="dxa"/>
            <w:hideMark/>
          </w:tcPr>
          <w:p w14:paraId="14CD6854" w14:textId="77777777" w:rsidR="00EF1B33" w:rsidRPr="00183A52" w:rsidRDefault="00EF1B33" w:rsidP="00D62EDC">
            <w:pPr>
              <w:spacing w:after="160"/>
              <w:rPr>
                <w:rFonts w:ascii="Arial" w:hAnsi="Arial" w:cs="Arial"/>
                <w:color w:val="000000"/>
                <w:vertAlign w:val="superscript"/>
              </w:rPr>
            </w:pPr>
            <w:r w:rsidRPr="00183A52">
              <w:rPr>
                <w:rFonts w:ascii="Arial" w:hAnsi="Arial" w:cs="Arial"/>
                <w:b/>
                <w:bCs/>
                <w:color w:val="000000"/>
              </w:rPr>
              <w:t>0%</w:t>
            </w:r>
            <w:r w:rsidRPr="00183A52">
              <w:rPr>
                <w:rFonts w:ascii="Arial" w:hAnsi="Arial" w:cs="Arial"/>
                <w:color w:val="000000"/>
              </w:rPr>
              <w:t xml:space="preserve"> (ALK-TKI(s); ALK+; 1) </w:t>
            </w:r>
            <w:r w:rsidRPr="00183A52">
              <w:rPr>
                <w:rFonts w:ascii="Arial" w:hAnsi="Arial" w:cs="Arial"/>
                <w:color w:val="000000"/>
                <w:vertAlign w:val="superscript"/>
              </w:rPr>
              <w:t>e</w:t>
            </w:r>
          </w:p>
        </w:tc>
        <w:tc>
          <w:tcPr>
            <w:tcW w:w="2495" w:type="dxa"/>
            <w:hideMark/>
          </w:tcPr>
          <w:p w14:paraId="2728106B" w14:textId="77777777" w:rsidR="00EF1B33" w:rsidRPr="00183A52" w:rsidRDefault="00EF1B33" w:rsidP="00D62EDC">
            <w:pPr>
              <w:spacing w:after="160"/>
              <w:rPr>
                <w:rFonts w:ascii="Arial" w:hAnsi="Arial" w:cs="Arial"/>
                <w:color w:val="000000"/>
              </w:rPr>
            </w:pPr>
            <w:r w:rsidRPr="00183A52">
              <w:rPr>
                <w:rFonts w:ascii="Arial" w:hAnsi="Arial" w:cs="Arial"/>
                <w:color w:val="000000"/>
              </w:rPr>
              <w:t>n/a</w:t>
            </w:r>
          </w:p>
        </w:tc>
        <w:tc>
          <w:tcPr>
            <w:tcW w:w="2635" w:type="dxa"/>
            <w:hideMark/>
          </w:tcPr>
          <w:p w14:paraId="470AB1A9" w14:textId="77777777" w:rsidR="00EF1B33" w:rsidRPr="00183A52" w:rsidRDefault="00EF1B33" w:rsidP="00D62EDC">
            <w:pPr>
              <w:spacing w:after="160"/>
              <w:rPr>
                <w:rFonts w:ascii="Arial" w:hAnsi="Arial" w:cs="Arial"/>
                <w:color w:val="000000"/>
              </w:rPr>
            </w:pPr>
            <w:r w:rsidRPr="00183A52">
              <w:rPr>
                <w:rFonts w:ascii="Arial" w:hAnsi="Arial" w:cs="Arial"/>
                <w:color w:val="000000"/>
              </w:rPr>
              <w:t>n/a</w:t>
            </w:r>
          </w:p>
        </w:tc>
      </w:tr>
      <w:tr w:rsidR="00EF1B33" w:rsidRPr="00CF1FDC" w14:paraId="274D44DE" w14:textId="77777777" w:rsidTr="00D62EDC">
        <w:trPr>
          <w:trHeight w:val="584"/>
        </w:trPr>
        <w:tc>
          <w:tcPr>
            <w:tcW w:w="1916" w:type="dxa"/>
            <w:hideMark/>
          </w:tcPr>
          <w:p w14:paraId="5F1B714D" w14:textId="77777777" w:rsidR="00EF1B33" w:rsidRPr="00183A52" w:rsidRDefault="00EF1B33" w:rsidP="00D62EDC">
            <w:pPr>
              <w:spacing w:after="160"/>
              <w:rPr>
                <w:rFonts w:ascii="Arial" w:hAnsi="Arial" w:cs="Arial"/>
                <w:color w:val="000000"/>
              </w:rPr>
            </w:pPr>
            <w:proofErr w:type="spellStart"/>
            <w:r w:rsidRPr="00183A52">
              <w:rPr>
                <w:rFonts w:ascii="Arial" w:hAnsi="Arial" w:cs="Arial"/>
                <w:b/>
                <w:bCs/>
                <w:color w:val="000000"/>
              </w:rPr>
              <w:t>Avelumab</w:t>
            </w:r>
            <w:proofErr w:type="spellEnd"/>
            <w:r w:rsidRPr="00183A52">
              <w:rPr>
                <w:rFonts w:ascii="Arial" w:hAnsi="Arial" w:cs="Arial"/>
                <w:b/>
                <w:bCs/>
                <w:color w:val="000000"/>
              </w:rPr>
              <w:t xml:space="preserve"> + </w:t>
            </w:r>
            <w:proofErr w:type="spellStart"/>
            <w:r w:rsidRPr="00183A52">
              <w:rPr>
                <w:rFonts w:ascii="Arial" w:hAnsi="Arial" w:cs="Arial"/>
                <w:b/>
                <w:bCs/>
                <w:color w:val="000000"/>
              </w:rPr>
              <w:t>crizotinib</w:t>
            </w:r>
            <w:proofErr w:type="spellEnd"/>
            <w:r w:rsidRPr="00183A52">
              <w:rPr>
                <w:rFonts w:ascii="Arial" w:hAnsi="Arial" w:cs="Arial"/>
                <w:b/>
                <w:bCs/>
                <w:color w:val="000000"/>
              </w:rPr>
              <w:t>/</w:t>
            </w:r>
            <w:proofErr w:type="spellStart"/>
            <w:r w:rsidRPr="00183A52">
              <w:rPr>
                <w:rFonts w:ascii="Arial" w:hAnsi="Arial" w:cs="Arial"/>
                <w:b/>
                <w:bCs/>
                <w:color w:val="000000"/>
              </w:rPr>
              <w:t>lorlatinib</w:t>
            </w:r>
            <w:proofErr w:type="spellEnd"/>
          </w:p>
        </w:tc>
        <w:tc>
          <w:tcPr>
            <w:tcW w:w="2579" w:type="dxa"/>
            <w:hideMark/>
          </w:tcPr>
          <w:p w14:paraId="3AD68651" w14:textId="77777777" w:rsidR="00EF1B33" w:rsidRPr="00183A52" w:rsidRDefault="00EF1B33" w:rsidP="00D62EDC">
            <w:pPr>
              <w:spacing w:after="160"/>
              <w:rPr>
                <w:rFonts w:ascii="Arial" w:hAnsi="Arial" w:cs="Arial"/>
                <w:color w:val="000000"/>
              </w:rPr>
            </w:pPr>
            <w:r w:rsidRPr="00183A52">
              <w:rPr>
                <w:rFonts w:ascii="Arial" w:hAnsi="Arial" w:cs="Arial"/>
                <w:color w:val="000000"/>
              </w:rPr>
              <w:t>n/a</w:t>
            </w:r>
          </w:p>
        </w:tc>
        <w:tc>
          <w:tcPr>
            <w:tcW w:w="2495" w:type="dxa"/>
            <w:hideMark/>
          </w:tcPr>
          <w:p w14:paraId="52EBB681" w14:textId="77777777" w:rsidR="00EF1B33" w:rsidRPr="00183A52" w:rsidRDefault="00EF1B33" w:rsidP="00D62EDC">
            <w:pPr>
              <w:spacing w:after="160"/>
              <w:rPr>
                <w:rFonts w:ascii="Arial" w:hAnsi="Arial" w:cs="Arial"/>
                <w:color w:val="000000"/>
              </w:rPr>
            </w:pPr>
            <w:r w:rsidRPr="00183A52">
              <w:rPr>
                <w:rFonts w:ascii="Arial" w:hAnsi="Arial" w:cs="Arial"/>
                <w:color w:val="000000"/>
              </w:rPr>
              <w:t>n/a</w:t>
            </w:r>
          </w:p>
        </w:tc>
        <w:tc>
          <w:tcPr>
            <w:tcW w:w="2635" w:type="dxa"/>
            <w:hideMark/>
          </w:tcPr>
          <w:p w14:paraId="37C54DFA" w14:textId="77777777" w:rsidR="00EF1B33" w:rsidRPr="00183A52" w:rsidRDefault="00EF1B33" w:rsidP="00D62EDC">
            <w:pPr>
              <w:spacing w:after="160"/>
              <w:rPr>
                <w:rFonts w:ascii="Arial" w:hAnsi="Arial" w:cs="Arial"/>
                <w:color w:val="000000"/>
              </w:rPr>
            </w:pPr>
            <w:r w:rsidRPr="00183A52">
              <w:rPr>
                <w:rFonts w:ascii="Arial" w:hAnsi="Arial" w:cs="Arial"/>
                <w:color w:val="000000"/>
              </w:rPr>
              <w:t>n/a</w:t>
            </w:r>
          </w:p>
        </w:tc>
      </w:tr>
    </w:tbl>
    <w:p w14:paraId="5A57B258" w14:textId="77777777" w:rsidR="00EF1B33" w:rsidRPr="00183A52" w:rsidRDefault="00EF1B33" w:rsidP="00F70C5C">
      <w:pPr>
        <w:rPr>
          <w:rFonts w:ascii="Arial" w:hAnsi="Arial" w:cs="Arial"/>
          <w:color w:val="000000"/>
        </w:rPr>
      </w:pPr>
      <w:r w:rsidRPr="00183A52">
        <w:rPr>
          <w:rFonts w:ascii="Arial" w:hAnsi="Arial" w:cs="Arial"/>
          <w:color w:val="000000"/>
          <w:vertAlign w:val="superscript"/>
        </w:rPr>
        <w:t>a</w:t>
      </w:r>
      <w:r w:rsidRPr="00183A52">
        <w:rPr>
          <w:rFonts w:ascii="Arial" w:hAnsi="Arial" w:cs="Arial"/>
          <w:color w:val="000000"/>
        </w:rPr>
        <w:t xml:space="preserve"> Median duration of follow-up = 6.9 months; </w:t>
      </w:r>
      <w:r w:rsidRPr="00183A52">
        <w:rPr>
          <w:rFonts w:ascii="Arial" w:hAnsi="Arial" w:cs="Arial"/>
          <w:color w:val="000000"/>
          <w:vertAlign w:val="superscript"/>
        </w:rPr>
        <w:t xml:space="preserve">b </w:t>
      </w:r>
      <w:r w:rsidRPr="00183A52">
        <w:rPr>
          <w:rFonts w:ascii="Arial" w:hAnsi="Arial" w:cs="Arial"/>
          <w:color w:val="000000"/>
        </w:rPr>
        <w:t xml:space="preserve">Small sample size: n=6; </w:t>
      </w:r>
      <w:r w:rsidRPr="00183A52">
        <w:rPr>
          <w:rFonts w:ascii="Arial" w:hAnsi="Arial" w:cs="Arial"/>
          <w:color w:val="000000"/>
          <w:vertAlign w:val="superscript"/>
        </w:rPr>
        <w:t xml:space="preserve">c </w:t>
      </w:r>
      <w:r w:rsidRPr="00183A52">
        <w:rPr>
          <w:rFonts w:ascii="Arial" w:hAnsi="Arial" w:cs="Arial"/>
          <w:color w:val="000000"/>
        </w:rPr>
        <w:t xml:space="preserve">Same as the upper bound of 95% CI, so it might be an error; </w:t>
      </w:r>
      <w:r w:rsidRPr="00183A52">
        <w:rPr>
          <w:rFonts w:ascii="Arial" w:hAnsi="Arial" w:cs="Arial"/>
          <w:color w:val="000000"/>
          <w:vertAlign w:val="superscript"/>
        </w:rPr>
        <w:t>d</w:t>
      </w:r>
      <w:r w:rsidRPr="00183A52">
        <w:rPr>
          <w:rFonts w:ascii="Arial" w:hAnsi="Arial" w:cs="Arial"/>
          <w:color w:val="000000"/>
        </w:rPr>
        <w:t xml:space="preserve"> Small sample size: n=3; </w:t>
      </w:r>
      <w:proofErr w:type="spellStart"/>
      <w:r w:rsidRPr="00183A52">
        <w:rPr>
          <w:rFonts w:ascii="Arial" w:hAnsi="Arial" w:cs="Arial"/>
          <w:color w:val="000000"/>
        </w:rPr>
        <w:t>luminespib</w:t>
      </w:r>
      <w:proofErr w:type="spellEnd"/>
      <w:r w:rsidRPr="00183A52">
        <w:rPr>
          <w:rFonts w:ascii="Arial" w:hAnsi="Arial" w:cs="Arial"/>
          <w:color w:val="000000"/>
        </w:rPr>
        <w:t xml:space="preserve"> + </w:t>
      </w:r>
      <w:proofErr w:type="spellStart"/>
      <w:r w:rsidRPr="00183A52">
        <w:rPr>
          <w:rFonts w:ascii="Arial" w:hAnsi="Arial" w:cs="Arial"/>
          <w:color w:val="000000"/>
        </w:rPr>
        <w:t>ceritinib</w:t>
      </w:r>
      <w:proofErr w:type="spellEnd"/>
      <w:r w:rsidRPr="00183A52">
        <w:rPr>
          <w:rFonts w:ascii="Arial" w:hAnsi="Arial" w:cs="Arial"/>
          <w:color w:val="000000"/>
        </w:rPr>
        <w:t xml:space="preserve">; </w:t>
      </w:r>
      <w:r w:rsidRPr="00183A52">
        <w:rPr>
          <w:rFonts w:ascii="Arial" w:hAnsi="Arial" w:cs="Arial"/>
          <w:color w:val="000000"/>
          <w:vertAlign w:val="superscript"/>
        </w:rPr>
        <w:t xml:space="preserve">e </w:t>
      </w:r>
      <w:r w:rsidRPr="00183A52">
        <w:rPr>
          <w:rFonts w:ascii="Arial" w:hAnsi="Arial" w:cs="Arial"/>
          <w:color w:val="000000"/>
        </w:rPr>
        <w:t>Basket trial (solid tumors; NTRK1-3, ROS1, ALK); ALK-TKI: anaplastic lymphoma kinase-tyrosine kinase inhibitors; NR: not reached; n/a: not available; ORR: overall response rate; PFS: progression-free survival; OS: overall survival.</w:t>
      </w:r>
    </w:p>
    <w:p w14:paraId="7161AE8F" w14:textId="77777777" w:rsidR="00EF1B33" w:rsidRPr="009A4BFF" w:rsidRDefault="00EF1B33" w:rsidP="008E08F3">
      <w:pPr>
        <w:rPr>
          <w:rFonts w:ascii="Arial" w:hAnsi="Arial" w:cs="Arial"/>
          <w:i/>
          <w:iCs/>
          <w:color w:val="000000"/>
        </w:rPr>
      </w:pPr>
    </w:p>
    <w:p w14:paraId="4B72A6EC" w14:textId="1941A8A1" w:rsidR="00EF1B33" w:rsidRPr="009A4BFF" w:rsidRDefault="00EF1B33" w:rsidP="008E08F3">
      <w:pPr>
        <w:rPr>
          <w:rFonts w:ascii="Arial" w:hAnsi="Arial" w:cs="Arial"/>
          <w:i/>
          <w:iCs/>
          <w:color w:val="000000"/>
        </w:rPr>
      </w:pPr>
      <w:r w:rsidRPr="009A4BFF">
        <w:rPr>
          <w:rFonts w:ascii="Arial" w:hAnsi="Arial" w:cs="Arial"/>
          <w:i/>
          <w:iCs/>
          <w:color w:val="000000"/>
        </w:rPr>
        <w:t>5-2. The likelihood of arrival of likely future drugs</w:t>
      </w:r>
    </w:p>
    <w:p w14:paraId="087A990F" w14:textId="77777777" w:rsidR="00EF1B33" w:rsidRPr="009A4BFF" w:rsidRDefault="00EF1B33" w:rsidP="008E08F3">
      <w:pPr>
        <w:rPr>
          <w:rFonts w:ascii="Arial" w:hAnsi="Arial" w:cs="Arial"/>
          <w:color w:val="000000"/>
        </w:rPr>
      </w:pPr>
      <w:r w:rsidRPr="009A4BFF">
        <w:rPr>
          <w:rFonts w:ascii="Arial" w:hAnsi="Arial" w:cs="Arial"/>
          <w:color w:val="000000"/>
        </w:rPr>
        <w:t xml:space="preserve">We estimated the likelihood of approval for the included investigational new molecules (i.e., </w:t>
      </w:r>
      <w:proofErr w:type="spellStart"/>
      <w:r w:rsidRPr="009A4BFF">
        <w:rPr>
          <w:rFonts w:ascii="Arial" w:hAnsi="Arial" w:cs="Arial"/>
          <w:color w:val="000000"/>
        </w:rPr>
        <w:t>ensartinib</w:t>
      </w:r>
      <w:proofErr w:type="spellEnd"/>
      <w:r w:rsidRPr="009A4BFF">
        <w:rPr>
          <w:rFonts w:ascii="Arial" w:hAnsi="Arial" w:cs="Arial"/>
          <w:color w:val="000000"/>
        </w:rPr>
        <w:t xml:space="preserve"> and </w:t>
      </w:r>
      <w:proofErr w:type="spellStart"/>
      <w:r w:rsidRPr="009A4BFF">
        <w:rPr>
          <w:rFonts w:ascii="Arial" w:hAnsi="Arial" w:cs="Arial"/>
          <w:color w:val="000000"/>
        </w:rPr>
        <w:t>lorlatinib</w:t>
      </w:r>
      <w:proofErr w:type="spellEnd"/>
      <w:r w:rsidRPr="009A4BFF">
        <w:rPr>
          <w:rFonts w:ascii="Arial" w:hAnsi="Arial" w:cs="Arial"/>
          <w:color w:val="000000"/>
        </w:rPr>
        <w:t>) based on a published data on the success rate of clinical studies.</w:t>
      </w:r>
      <w:r w:rsidRPr="00183A52">
        <w:rPr>
          <w:rFonts w:ascii="Arial" w:hAnsi="Arial" w:cs="Arial"/>
        </w:rPr>
        <w:t xml:space="preserve"> </w:t>
      </w:r>
      <w:r w:rsidRPr="00FC3B6C">
        <w:rPr>
          <w:rFonts w:ascii="Arial" w:hAnsi="Arial" w:cs="Arial"/>
          <w:noProof/>
          <w:color w:val="000000"/>
          <w:vertAlign w:val="superscript"/>
        </w:rPr>
        <w:t>8</w:t>
      </w:r>
      <w:r w:rsidRPr="009A4BFF">
        <w:rPr>
          <w:rFonts w:ascii="Arial" w:hAnsi="Arial" w:cs="Arial"/>
          <w:color w:val="000000"/>
        </w:rPr>
        <w:t xml:space="preserve"> Wong et al. estimated drug development success rates using 406,038 entries of clinical trial data for over 21,143 compounds from January 2000 to October 2015. The study showed that the probability of succeeding phase 2 and phase 3 study is 38.8% and 63.6%, respectively, for cancer biologics. As of November 2017, </w:t>
      </w:r>
      <w:proofErr w:type="spellStart"/>
      <w:r w:rsidRPr="009A4BFF">
        <w:rPr>
          <w:rFonts w:ascii="Arial" w:hAnsi="Arial" w:cs="Arial"/>
          <w:color w:val="000000"/>
        </w:rPr>
        <w:t>ensartinib</w:t>
      </w:r>
      <w:proofErr w:type="spellEnd"/>
      <w:r w:rsidRPr="009A4BFF">
        <w:rPr>
          <w:rFonts w:ascii="Arial" w:hAnsi="Arial" w:cs="Arial"/>
          <w:color w:val="000000"/>
        </w:rPr>
        <w:t xml:space="preserve"> was being studied in phase 3 clinical trial in the second- or later-line (2L+) setting. In terms of </w:t>
      </w:r>
      <w:proofErr w:type="spellStart"/>
      <w:r w:rsidRPr="009A4BFF">
        <w:rPr>
          <w:rFonts w:ascii="Arial" w:hAnsi="Arial" w:cs="Arial"/>
          <w:color w:val="000000"/>
        </w:rPr>
        <w:t>lorlatinib</w:t>
      </w:r>
      <w:proofErr w:type="spellEnd"/>
      <w:r w:rsidRPr="009A4BFF">
        <w:rPr>
          <w:rFonts w:ascii="Arial" w:hAnsi="Arial" w:cs="Arial"/>
          <w:color w:val="000000"/>
        </w:rPr>
        <w:t xml:space="preserve">, its use in the 2L+ setting was being studied in the phase 2 study, and its phase 3 study was being conducted in the 1L setting. Therefore, we assumed that </w:t>
      </w:r>
      <w:proofErr w:type="spellStart"/>
      <w:r w:rsidRPr="009A4BFF">
        <w:rPr>
          <w:rFonts w:ascii="Arial" w:hAnsi="Arial" w:cs="Arial"/>
          <w:color w:val="000000"/>
        </w:rPr>
        <w:t>ensartinib’s</w:t>
      </w:r>
      <w:proofErr w:type="spellEnd"/>
      <w:r w:rsidRPr="009A4BFF">
        <w:rPr>
          <w:rFonts w:ascii="Arial" w:hAnsi="Arial" w:cs="Arial"/>
          <w:color w:val="000000"/>
        </w:rPr>
        <w:t xml:space="preserve"> approval in the 2L+ line would be based on its phase 3 trial, and </w:t>
      </w:r>
      <w:proofErr w:type="spellStart"/>
      <w:r w:rsidRPr="009A4BFF">
        <w:rPr>
          <w:rFonts w:ascii="Arial" w:hAnsi="Arial" w:cs="Arial"/>
          <w:color w:val="000000"/>
        </w:rPr>
        <w:t>lorlatinib’s</w:t>
      </w:r>
      <w:proofErr w:type="spellEnd"/>
      <w:r w:rsidRPr="009A4BFF">
        <w:rPr>
          <w:rFonts w:ascii="Arial" w:hAnsi="Arial" w:cs="Arial"/>
          <w:color w:val="000000"/>
        </w:rPr>
        <w:t xml:space="preserve"> approval in the 2L+ line will be based on its phase 2 results. Our assumption about </w:t>
      </w:r>
      <w:proofErr w:type="spellStart"/>
      <w:r w:rsidRPr="009A4BFF">
        <w:rPr>
          <w:rFonts w:ascii="Arial" w:hAnsi="Arial" w:cs="Arial"/>
          <w:color w:val="000000"/>
        </w:rPr>
        <w:t>lorlatinib</w:t>
      </w:r>
      <w:proofErr w:type="spellEnd"/>
      <w:r w:rsidRPr="009A4BFF">
        <w:rPr>
          <w:rFonts w:ascii="Arial" w:hAnsi="Arial" w:cs="Arial"/>
          <w:color w:val="000000"/>
        </w:rPr>
        <w:t xml:space="preserve"> being approved based on its phase 2 study was also in line with the FDA approval history of other previously-approved ALK inhibitors (i.e., </w:t>
      </w:r>
      <w:proofErr w:type="spellStart"/>
      <w:r w:rsidRPr="009A4BFF">
        <w:rPr>
          <w:rFonts w:ascii="Arial" w:hAnsi="Arial" w:cs="Arial"/>
          <w:color w:val="000000"/>
        </w:rPr>
        <w:t>ceritinib</w:t>
      </w:r>
      <w:proofErr w:type="spellEnd"/>
      <w:r w:rsidRPr="009A4BFF">
        <w:rPr>
          <w:rFonts w:ascii="Arial" w:hAnsi="Arial" w:cs="Arial"/>
          <w:color w:val="000000"/>
        </w:rPr>
        <w:t xml:space="preserve">, </w:t>
      </w:r>
      <w:proofErr w:type="spellStart"/>
      <w:r w:rsidRPr="009A4BFF">
        <w:rPr>
          <w:rFonts w:ascii="Arial" w:hAnsi="Arial" w:cs="Arial"/>
          <w:color w:val="000000"/>
        </w:rPr>
        <w:t>alectinib</w:t>
      </w:r>
      <w:proofErr w:type="spellEnd"/>
      <w:r w:rsidRPr="009A4BFF">
        <w:rPr>
          <w:rFonts w:ascii="Arial" w:hAnsi="Arial" w:cs="Arial"/>
          <w:color w:val="000000"/>
        </w:rPr>
        <w:t xml:space="preserve">, and </w:t>
      </w:r>
      <w:proofErr w:type="spellStart"/>
      <w:r w:rsidRPr="009A4BFF">
        <w:rPr>
          <w:rFonts w:ascii="Arial" w:hAnsi="Arial" w:cs="Arial"/>
          <w:color w:val="000000"/>
        </w:rPr>
        <w:t>brigatinib</w:t>
      </w:r>
      <w:proofErr w:type="spellEnd"/>
      <w:r w:rsidRPr="009A4BFF">
        <w:rPr>
          <w:rFonts w:ascii="Arial" w:hAnsi="Arial" w:cs="Arial"/>
          <w:color w:val="000000"/>
        </w:rPr>
        <w:t xml:space="preserve">). The FDA approved these drugs for their use in the 2L+ line based on their phase 2 data and were later approved for the 1L use based on their phase 3 data. Therefore, the probability of any one of </w:t>
      </w:r>
      <w:proofErr w:type="spellStart"/>
      <w:r w:rsidRPr="009A4BFF">
        <w:rPr>
          <w:rFonts w:ascii="Arial" w:hAnsi="Arial" w:cs="Arial"/>
          <w:color w:val="000000"/>
        </w:rPr>
        <w:t>ensartinib</w:t>
      </w:r>
      <w:proofErr w:type="spellEnd"/>
      <w:r w:rsidRPr="009A4BFF">
        <w:rPr>
          <w:rFonts w:ascii="Arial" w:hAnsi="Arial" w:cs="Arial"/>
          <w:color w:val="000000"/>
        </w:rPr>
        <w:t xml:space="preserve"> (A) and </w:t>
      </w:r>
      <w:proofErr w:type="spellStart"/>
      <w:r w:rsidRPr="009A4BFF">
        <w:rPr>
          <w:rFonts w:ascii="Arial" w:hAnsi="Arial" w:cs="Arial"/>
          <w:color w:val="000000"/>
        </w:rPr>
        <w:t>lorlatinib</w:t>
      </w:r>
      <w:proofErr w:type="spellEnd"/>
      <w:r w:rsidRPr="009A4BFF">
        <w:rPr>
          <w:rFonts w:ascii="Arial" w:hAnsi="Arial" w:cs="Arial"/>
          <w:color w:val="000000"/>
        </w:rPr>
        <w:t xml:space="preserve"> (B) will get approved was calculated as:</w:t>
      </w:r>
    </w:p>
    <w:p w14:paraId="624E8873" w14:textId="151A5D2A" w:rsidR="00EF1B33" w:rsidRPr="009A4BFF" w:rsidRDefault="00EF1B33" w:rsidP="00F70C5C">
      <w:pPr>
        <w:jc w:val="center"/>
        <w:rPr>
          <w:rFonts w:ascii="Arial" w:hAnsi="Arial" w:cs="Arial"/>
          <w:color w:val="000000"/>
        </w:rPr>
      </w:pPr>
      <w:r w:rsidRPr="009A4BFF">
        <w:rPr>
          <w:rFonts w:ascii="Arial" w:hAnsi="Arial" w:cs="Arial"/>
          <w:color w:val="000000"/>
        </w:rPr>
        <w:t>p(A</w:t>
      </w:r>
      <w:r w:rsidRPr="009A4BFF">
        <w:rPr>
          <w:rFonts w:ascii="Cambria Math" w:hAnsi="Cambria Math" w:cs="Cambria Math"/>
          <w:color w:val="000000"/>
        </w:rPr>
        <w:t>∪</w:t>
      </w:r>
      <w:r w:rsidRPr="009A4BFF">
        <w:rPr>
          <w:rFonts w:ascii="Arial" w:hAnsi="Arial" w:cs="Arial"/>
          <w:color w:val="000000"/>
        </w:rPr>
        <w:t>B) = p(A) + p(B) – p(A∩B) = 63.6% + 38.8% - (63.6% * 38.8%) = 77.8%</w:t>
      </w:r>
    </w:p>
    <w:p w14:paraId="79D57FDC" w14:textId="77777777" w:rsidR="00EF1B33" w:rsidRPr="009A4BFF" w:rsidRDefault="00EF1B33" w:rsidP="008E08F3">
      <w:pPr>
        <w:rPr>
          <w:rFonts w:ascii="Arial" w:hAnsi="Arial" w:cs="Arial"/>
          <w:color w:val="000000"/>
        </w:rPr>
      </w:pPr>
    </w:p>
    <w:p w14:paraId="0E972432" w14:textId="2F74C6B0" w:rsidR="00EF1B33" w:rsidRPr="009A4BFF" w:rsidRDefault="00EF1B33" w:rsidP="008E08F3">
      <w:pPr>
        <w:rPr>
          <w:rFonts w:ascii="Arial" w:hAnsi="Arial" w:cs="Arial"/>
          <w:i/>
          <w:iCs/>
          <w:color w:val="000000"/>
        </w:rPr>
      </w:pPr>
      <w:r w:rsidRPr="009A4BFF">
        <w:rPr>
          <w:rFonts w:ascii="Arial" w:hAnsi="Arial" w:cs="Arial"/>
          <w:i/>
          <w:iCs/>
          <w:color w:val="000000"/>
        </w:rPr>
        <w:t>5-3. The timing of arrival of likely future drugs</w:t>
      </w:r>
    </w:p>
    <w:p w14:paraId="57543CA6" w14:textId="77777777" w:rsidR="00EF1B33" w:rsidRPr="009A4BFF" w:rsidRDefault="00EF1B33" w:rsidP="008E08F3">
      <w:pPr>
        <w:rPr>
          <w:rFonts w:ascii="Arial" w:hAnsi="Arial" w:cs="Arial"/>
          <w:b/>
          <w:bCs/>
          <w:color w:val="000000"/>
        </w:rPr>
      </w:pPr>
      <w:r w:rsidRPr="009A4BFF">
        <w:rPr>
          <w:rFonts w:ascii="Arial" w:hAnsi="Arial" w:cs="Arial"/>
          <w:color w:val="000000"/>
        </w:rPr>
        <w:lastRenderedPageBreak/>
        <w:t xml:space="preserve">We projected the timing of arrival based on the drug approval process timeline of previously approved drugs of the same class (i.e., </w:t>
      </w:r>
      <w:proofErr w:type="spellStart"/>
      <w:r w:rsidRPr="009A4BFF">
        <w:rPr>
          <w:rFonts w:ascii="Arial" w:hAnsi="Arial" w:cs="Arial"/>
          <w:color w:val="000000"/>
        </w:rPr>
        <w:t>ceritinib</w:t>
      </w:r>
      <w:proofErr w:type="spellEnd"/>
      <w:r w:rsidRPr="009A4BFF">
        <w:rPr>
          <w:rFonts w:ascii="Arial" w:hAnsi="Arial" w:cs="Arial"/>
          <w:color w:val="000000"/>
        </w:rPr>
        <w:t xml:space="preserve">, </w:t>
      </w:r>
      <w:proofErr w:type="spellStart"/>
      <w:r w:rsidRPr="009A4BFF">
        <w:rPr>
          <w:rFonts w:ascii="Arial" w:hAnsi="Arial" w:cs="Arial"/>
          <w:color w:val="000000"/>
        </w:rPr>
        <w:t>alectinib</w:t>
      </w:r>
      <w:proofErr w:type="spellEnd"/>
      <w:r w:rsidRPr="009A4BFF">
        <w:rPr>
          <w:rFonts w:ascii="Arial" w:hAnsi="Arial" w:cs="Arial"/>
          <w:color w:val="000000"/>
        </w:rPr>
        <w:t xml:space="preserve">, and </w:t>
      </w:r>
      <w:proofErr w:type="spellStart"/>
      <w:r w:rsidRPr="009A4BFF">
        <w:rPr>
          <w:rFonts w:ascii="Arial" w:hAnsi="Arial" w:cs="Arial"/>
          <w:color w:val="000000"/>
        </w:rPr>
        <w:t>brigatinib</w:t>
      </w:r>
      <w:proofErr w:type="spellEnd"/>
      <w:r w:rsidRPr="009A4BFF">
        <w:rPr>
          <w:rFonts w:ascii="Arial" w:hAnsi="Arial" w:cs="Arial"/>
          <w:color w:val="000000"/>
        </w:rPr>
        <w:t>). Although we considered using existing studies and statistics on the R&amp;D time, available data was not specific enough (e.g., data derived from chemical entities instead of biologics or not being stratified by types of cancer).</w:t>
      </w:r>
      <w:r w:rsidRPr="00183A52">
        <w:rPr>
          <w:rFonts w:ascii="Arial" w:hAnsi="Arial" w:cs="Arial"/>
        </w:rPr>
        <w:t xml:space="preserve"> </w:t>
      </w:r>
      <w:r w:rsidRPr="00FC3B6C">
        <w:rPr>
          <w:rFonts w:ascii="Arial" w:hAnsi="Arial" w:cs="Arial"/>
          <w:noProof/>
          <w:color w:val="000000"/>
          <w:vertAlign w:val="superscript"/>
        </w:rPr>
        <w:t>9, 10</w:t>
      </w:r>
      <w:r w:rsidRPr="009A4BFF">
        <w:rPr>
          <w:rFonts w:ascii="Arial" w:hAnsi="Arial" w:cs="Arial"/>
          <w:color w:val="000000"/>
        </w:rPr>
        <w:t xml:space="preserve"> We thought it is more reasonable to use more drug- and indication-specific data given the potential variation in the R&amp;D time across different drugs and indications.</w:t>
      </w:r>
    </w:p>
    <w:p w14:paraId="55A785C5" w14:textId="77777777" w:rsidR="00EF1B33" w:rsidRPr="009A4BFF" w:rsidRDefault="00EF1B33" w:rsidP="008E08F3">
      <w:pPr>
        <w:rPr>
          <w:rFonts w:ascii="Arial" w:hAnsi="Arial" w:cs="Arial"/>
          <w:color w:val="000000"/>
        </w:rPr>
      </w:pPr>
      <w:r w:rsidRPr="009A4BFF">
        <w:rPr>
          <w:rFonts w:ascii="Arial" w:hAnsi="Arial" w:cs="Arial"/>
          <w:color w:val="000000"/>
        </w:rPr>
        <w:t xml:space="preserve">We collected the data on time from the phase 3 start date to the date of FDA approval for ALK inhibitors that had been previously approved for ALK-positive NSCLC (i.e., </w:t>
      </w:r>
      <w:proofErr w:type="spellStart"/>
      <w:r w:rsidRPr="009A4BFF">
        <w:rPr>
          <w:rFonts w:ascii="Arial" w:hAnsi="Arial" w:cs="Arial"/>
          <w:color w:val="000000"/>
        </w:rPr>
        <w:t>ceritinib</w:t>
      </w:r>
      <w:proofErr w:type="spellEnd"/>
      <w:r w:rsidRPr="009A4BFF">
        <w:rPr>
          <w:rFonts w:ascii="Arial" w:hAnsi="Arial" w:cs="Arial"/>
          <w:color w:val="000000"/>
        </w:rPr>
        <w:t xml:space="preserve">, </w:t>
      </w:r>
      <w:proofErr w:type="spellStart"/>
      <w:r w:rsidRPr="009A4BFF">
        <w:rPr>
          <w:rFonts w:ascii="Arial" w:hAnsi="Arial" w:cs="Arial"/>
          <w:color w:val="000000"/>
        </w:rPr>
        <w:t>alectinib</w:t>
      </w:r>
      <w:proofErr w:type="spellEnd"/>
      <w:r w:rsidRPr="009A4BFF">
        <w:rPr>
          <w:rFonts w:ascii="Arial" w:hAnsi="Arial" w:cs="Arial"/>
          <w:color w:val="000000"/>
        </w:rPr>
        <w:t xml:space="preserve">, and </w:t>
      </w:r>
      <w:proofErr w:type="spellStart"/>
      <w:r w:rsidRPr="009A4BFF">
        <w:rPr>
          <w:rFonts w:ascii="Arial" w:hAnsi="Arial" w:cs="Arial"/>
          <w:color w:val="000000"/>
        </w:rPr>
        <w:t>brigatinib</w:t>
      </w:r>
      <w:proofErr w:type="spellEnd"/>
      <w:r w:rsidRPr="009A4BFF">
        <w:rPr>
          <w:rFonts w:ascii="Arial" w:hAnsi="Arial" w:cs="Arial"/>
          <w:color w:val="000000"/>
        </w:rPr>
        <w:t>) (</w:t>
      </w:r>
      <w:r w:rsidRPr="009A4BFF">
        <w:rPr>
          <w:rFonts w:ascii="Arial" w:hAnsi="Arial" w:cs="Arial"/>
          <w:b/>
          <w:bCs/>
          <w:color w:val="000000"/>
        </w:rPr>
        <w:t>Table S3</w:t>
      </w:r>
      <w:r w:rsidRPr="009A4BFF">
        <w:rPr>
          <w:rFonts w:ascii="Arial" w:hAnsi="Arial" w:cs="Arial"/>
          <w:color w:val="000000"/>
        </w:rPr>
        <w:t xml:space="preserve">). These ALK inhibitors were approved in the 2L+ line settings based on their phase 2 data, followed by approval in the 1L settings based on their phase 3 data. Therefore, we used the information on the time from the start date of the phase 3 study to the FDA approval in the 1L settings to estimate the arrival time of </w:t>
      </w:r>
      <w:proofErr w:type="spellStart"/>
      <w:r w:rsidRPr="009A4BFF">
        <w:rPr>
          <w:rFonts w:ascii="Arial" w:hAnsi="Arial" w:cs="Arial"/>
          <w:color w:val="000000"/>
        </w:rPr>
        <w:t>ensartinib</w:t>
      </w:r>
      <w:proofErr w:type="spellEnd"/>
      <w:r w:rsidRPr="009A4BFF">
        <w:rPr>
          <w:rFonts w:ascii="Arial" w:hAnsi="Arial" w:cs="Arial"/>
          <w:color w:val="000000"/>
        </w:rPr>
        <w:t xml:space="preserve">. Because we assumed that </w:t>
      </w:r>
      <w:proofErr w:type="spellStart"/>
      <w:r w:rsidRPr="009A4BFF">
        <w:rPr>
          <w:rFonts w:ascii="Arial" w:hAnsi="Arial" w:cs="Arial"/>
          <w:color w:val="000000"/>
        </w:rPr>
        <w:t>lorlatinib</w:t>
      </w:r>
      <w:proofErr w:type="spellEnd"/>
      <w:r w:rsidRPr="009A4BFF">
        <w:rPr>
          <w:rFonts w:ascii="Arial" w:hAnsi="Arial" w:cs="Arial"/>
          <w:color w:val="000000"/>
        </w:rPr>
        <w:t xml:space="preserve"> would receive accelerated approval, we used the data on time from the start date of phase 2 study to the FDA approval in the 2L+ setting to project </w:t>
      </w:r>
      <w:proofErr w:type="spellStart"/>
      <w:r w:rsidRPr="009A4BFF">
        <w:rPr>
          <w:rFonts w:ascii="Arial" w:hAnsi="Arial" w:cs="Arial"/>
          <w:color w:val="000000"/>
        </w:rPr>
        <w:t>lorlatinib’s</w:t>
      </w:r>
      <w:proofErr w:type="spellEnd"/>
      <w:r w:rsidRPr="009A4BFF">
        <w:rPr>
          <w:rFonts w:ascii="Arial" w:hAnsi="Arial" w:cs="Arial"/>
          <w:color w:val="000000"/>
        </w:rPr>
        <w:t xml:space="preserve"> arrival time.</w:t>
      </w:r>
    </w:p>
    <w:tbl>
      <w:tblPr>
        <w:tblStyle w:val="GridTable1Light"/>
        <w:tblW w:w="0" w:type="auto"/>
        <w:tblLook w:val="04A0" w:firstRow="1" w:lastRow="0" w:firstColumn="1" w:lastColumn="0" w:noHBand="0" w:noVBand="1"/>
      </w:tblPr>
      <w:tblGrid>
        <w:gridCol w:w="2337"/>
        <w:gridCol w:w="2068"/>
        <w:gridCol w:w="2160"/>
        <w:gridCol w:w="2785"/>
      </w:tblGrid>
      <w:tr w:rsidR="00EF1B33" w:rsidRPr="00CF1FDC" w14:paraId="6BA11F78" w14:textId="77777777" w:rsidTr="009542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tcPr>
          <w:p w14:paraId="16C3ABC3" w14:textId="2DF70AC8" w:rsidR="00EF1B33" w:rsidRPr="00183A52" w:rsidRDefault="00EF1B33" w:rsidP="008E08F3">
            <w:pPr>
              <w:rPr>
                <w:rFonts w:ascii="Arial" w:hAnsi="Arial" w:cs="Arial"/>
                <w:color w:val="000000"/>
              </w:rPr>
            </w:pPr>
            <w:r w:rsidRPr="00183A52">
              <w:rPr>
                <w:rFonts w:ascii="Arial" w:hAnsi="Arial" w:cs="Arial"/>
                <w:color w:val="000000"/>
              </w:rPr>
              <w:t>Table S</w:t>
            </w:r>
            <w:r>
              <w:rPr>
                <w:rFonts w:ascii="Arial" w:hAnsi="Arial" w:cs="Arial"/>
                <w:color w:val="000000"/>
              </w:rPr>
              <w:t>6</w:t>
            </w:r>
            <w:r w:rsidRPr="00183A52">
              <w:rPr>
                <w:rFonts w:ascii="Arial" w:hAnsi="Arial" w:cs="Arial"/>
                <w:color w:val="000000"/>
              </w:rPr>
              <w:t>. Time to arrival for previously approved ALK inhibitors</w:t>
            </w:r>
          </w:p>
        </w:tc>
      </w:tr>
      <w:tr w:rsidR="00EF1B33" w:rsidRPr="00CF1FDC" w14:paraId="1E918908" w14:textId="77777777" w:rsidTr="0095420D">
        <w:tc>
          <w:tcPr>
            <w:cnfStyle w:val="001000000000" w:firstRow="0" w:lastRow="0" w:firstColumn="1" w:lastColumn="0" w:oddVBand="0" w:evenVBand="0" w:oddHBand="0" w:evenHBand="0" w:firstRowFirstColumn="0" w:firstRowLastColumn="0" w:lastRowFirstColumn="0" w:lastRowLastColumn="0"/>
            <w:tcW w:w="2337" w:type="dxa"/>
          </w:tcPr>
          <w:p w14:paraId="1F413150" w14:textId="77777777" w:rsidR="00EF1B33" w:rsidRPr="00183A52" w:rsidRDefault="00EF1B33" w:rsidP="0095420D">
            <w:pPr>
              <w:rPr>
                <w:rFonts w:ascii="Arial" w:hAnsi="Arial" w:cs="Arial"/>
                <w:b w:val="0"/>
                <w:bCs w:val="0"/>
                <w:color w:val="000000"/>
              </w:rPr>
            </w:pPr>
          </w:p>
        </w:tc>
        <w:tc>
          <w:tcPr>
            <w:tcW w:w="2068" w:type="dxa"/>
          </w:tcPr>
          <w:p w14:paraId="230D8123"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3A52">
              <w:rPr>
                <w:rFonts w:ascii="Arial" w:hAnsi="Arial" w:cs="Arial"/>
                <w:b/>
                <w:bCs/>
              </w:rPr>
              <w:t>Start date of a study</w:t>
            </w:r>
          </w:p>
        </w:tc>
        <w:tc>
          <w:tcPr>
            <w:tcW w:w="2160" w:type="dxa"/>
          </w:tcPr>
          <w:p w14:paraId="581FE299"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3A52">
              <w:rPr>
                <w:rFonts w:ascii="Arial" w:eastAsia="Times New Roman" w:hAnsi="Arial" w:cs="Arial"/>
                <w:b/>
                <w:bCs/>
                <w:kern w:val="24"/>
              </w:rPr>
              <w:t>Date of FDA approval</w:t>
            </w:r>
          </w:p>
        </w:tc>
        <w:tc>
          <w:tcPr>
            <w:tcW w:w="2785" w:type="dxa"/>
          </w:tcPr>
          <w:p w14:paraId="5A44DAFA"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3A52">
              <w:rPr>
                <w:rFonts w:ascii="Arial" w:eastAsia="Times New Roman" w:hAnsi="Arial" w:cs="Arial"/>
                <w:b/>
                <w:bCs/>
                <w:kern w:val="24"/>
              </w:rPr>
              <w:t>Time from the study start date to the FDA approval</w:t>
            </w:r>
          </w:p>
        </w:tc>
      </w:tr>
      <w:tr w:rsidR="00EF1B33" w:rsidRPr="00CF1FDC" w14:paraId="2A031146" w14:textId="77777777" w:rsidTr="0095420D">
        <w:tc>
          <w:tcPr>
            <w:cnfStyle w:val="001000000000" w:firstRow="0" w:lastRow="0" w:firstColumn="1" w:lastColumn="0" w:oddVBand="0" w:evenVBand="0" w:oddHBand="0" w:evenHBand="0" w:firstRowFirstColumn="0" w:firstRowLastColumn="0" w:lastRowFirstColumn="0" w:lastRowLastColumn="0"/>
            <w:tcW w:w="9350" w:type="dxa"/>
            <w:gridSpan w:val="4"/>
          </w:tcPr>
          <w:p w14:paraId="5042B413" w14:textId="77777777" w:rsidR="00EF1B33" w:rsidRPr="00183A52" w:rsidRDefault="00EF1B33" w:rsidP="0095420D">
            <w:pPr>
              <w:rPr>
                <w:rFonts w:ascii="Arial" w:eastAsia="Times New Roman" w:hAnsi="Arial" w:cs="Arial"/>
                <w:color w:val="000000" w:themeColor="dark1"/>
                <w:kern w:val="24"/>
              </w:rPr>
            </w:pPr>
            <w:r w:rsidRPr="00183A52">
              <w:rPr>
                <w:rFonts w:ascii="Arial" w:hAnsi="Arial" w:cs="Arial"/>
                <w:color w:val="000000"/>
              </w:rPr>
              <w:t>Phase 3 to time to approval (in the 1L settings)</w:t>
            </w:r>
          </w:p>
        </w:tc>
      </w:tr>
      <w:tr w:rsidR="00EF1B33" w:rsidRPr="00CF1FDC" w14:paraId="14E676BC" w14:textId="77777777" w:rsidTr="0095420D">
        <w:tc>
          <w:tcPr>
            <w:cnfStyle w:val="001000000000" w:firstRow="0" w:lastRow="0" w:firstColumn="1" w:lastColumn="0" w:oddVBand="0" w:evenVBand="0" w:oddHBand="0" w:evenHBand="0" w:firstRowFirstColumn="0" w:firstRowLastColumn="0" w:lastRowFirstColumn="0" w:lastRowLastColumn="0"/>
            <w:tcW w:w="2337" w:type="dxa"/>
          </w:tcPr>
          <w:p w14:paraId="52BA7223" w14:textId="77777777" w:rsidR="00EF1B33" w:rsidRPr="00183A52" w:rsidRDefault="00EF1B33" w:rsidP="0095420D">
            <w:pPr>
              <w:rPr>
                <w:rFonts w:ascii="Arial" w:eastAsia="Times New Roman" w:hAnsi="Arial" w:cs="Arial"/>
                <w:b w:val="0"/>
                <w:bCs w:val="0"/>
                <w:color w:val="000000" w:themeColor="dark1"/>
                <w:kern w:val="24"/>
              </w:rPr>
            </w:pPr>
            <w:proofErr w:type="spellStart"/>
            <w:r w:rsidRPr="00183A52">
              <w:rPr>
                <w:rFonts w:ascii="Arial" w:eastAsia="Times New Roman" w:hAnsi="Arial" w:cs="Arial"/>
                <w:color w:val="000000" w:themeColor="dark1"/>
                <w:kern w:val="24"/>
              </w:rPr>
              <w:t>Ceritinib</w:t>
            </w:r>
            <w:proofErr w:type="spellEnd"/>
          </w:p>
        </w:tc>
        <w:tc>
          <w:tcPr>
            <w:tcW w:w="2068" w:type="dxa"/>
          </w:tcPr>
          <w:p w14:paraId="55B97C09"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dark1"/>
                <w:kern w:val="24"/>
              </w:rPr>
            </w:pPr>
            <w:r w:rsidRPr="00183A52">
              <w:rPr>
                <w:rFonts w:ascii="Arial" w:hAnsi="Arial" w:cs="Arial"/>
                <w:color w:val="000000" w:themeColor="dark1"/>
                <w:kern w:val="24"/>
              </w:rPr>
              <w:t>3/13/2013</w:t>
            </w:r>
          </w:p>
        </w:tc>
        <w:tc>
          <w:tcPr>
            <w:tcW w:w="2160" w:type="dxa"/>
          </w:tcPr>
          <w:p w14:paraId="47D83E82"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dark1"/>
                <w:kern w:val="24"/>
              </w:rPr>
            </w:pPr>
            <w:r w:rsidRPr="00183A52">
              <w:rPr>
                <w:rFonts w:ascii="Arial" w:eastAsia="Times New Roman" w:hAnsi="Arial" w:cs="Arial"/>
                <w:color w:val="000000" w:themeColor="dark1"/>
                <w:kern w:val="24"/>
              </w:rPr>
              <w:t>5/26/2017</w:t>
            </w:r>
          </w:p>
        </w:tc>
        <w:tc>
          <w:tcPr>
            <w:tcW w:w="2785" w:type="dxa"/>
          </w:tcPr>
          <w:p w14:paraId="4DE2E7E1"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dark1"/>
                <w:kern w:val="24"/>
              </w:rPr>
            </w:pPr>
            <w:r w:rsidRPr="00183A52">
              <w:rPr>
                <w:rFonts w:ascii="Arial" w:eastAsia="Times New Roman" w:hAnsi="Arial" w:cs="Arial"/>
                <w:color w:val="000000" w:themeColor="dark1"/>
                <w:kern w:val="24"/>
              </w:rPr>
              <w:t>4 years and 2 months</w:t>
            </w:r>
          </w:p>
        </w:tc>
      </w:tr>
      <w:tr w:rsidR="00EF1B33" w:rsidRPr="00CF1FDC" w14:paraId="2BA99765" w14:textId="77777777" w:rsidTr="0095420D">
        <w:tc>
          <w:tcPr>
            <w:cnfStyle w:val="001000000000" w:firstRow="0" w:lastRow="0" w:firstColumn="1" w:lastColumn="0" w:oddVBand="0" w:evenVBand="0" w:oddHBand="0" w:evenHBand="0" w:firstRowFirstColumn="0" w:firstRowLastColumn="0" w:lastRowFirstColumn="0" w:lastRowLastColumn="0"/>
            <w:tcW w:w="2337" w:type="dxa"/>
          </w:tcPr>
          <w:p w14:paraId="6865D586" w14:textId="77777777" w:rsidR="00EF1B33" w:rsidRPr="00183A52" w:rsidRDefault="00EF1B33" w:rsidP="0095420D">
            <w:pPr>
              <w:rPr>
                <w:rFonts w:ascii="Arial" w:hAnsi="Arial" w:cs="Arial"/>
                <w:b w:val="0"/>
                <w:bCs w:val="0"/>
                <w:color w:val="000000"/>
              </w:rPr>
            </w:pPr>
            <w:proofErr w:type="spellStart"/>
            <w:r w:rsidRPr="00183A52">
              <w:rPr>
                <w:rFonts w:ascii="Arial" w:eastAsia="Times New Roman" w:hAnsi="Arial" w:cs="Arial"/>
                <w:color w:val="000000" w:themeColor="dark1"/>
                <w:kern w:val="24"/>
              </w:rPr>
              <w:t>Alectinib</w:t>
            </w:r>
            <w:proofErr w:type="spellEnd"/>
          </w:p>
        </w:tc>
        <w:tc>
          <w:tcPr>
            <w:tcW w:w="2068" w:type="dxa"/>
          </w:tcPr>
          <w:p w14:paraId="25BD5D9B"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hAnsi="Arial" w:cs="Arial"/>
                <w:color w:val="000000" w:themeColor="dark1"/>
                <w:kern w:val="24"/>
              </w:rPr>
              <w:t>8/19/2014</w:t>
            </w:r>
          </w:p>
        </w:tc>
        <w:tc>
          <w:tcPr>
            <w:tcW w:w="2160" w:type="dxa"/>
          </w:tcPr>
          <w:p w14:paraId="6CBCDAAC"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hAnsi="Arial" w:cs="Arial"/>
                <w:color w:val="000000" w:themeColor="dark1"/>
                <w:kern w:val="24"/>
              </w:rPr>
              <w:t>11/6/2017</w:t>
            </w:r>
          </w:p>
        </w:tc>
        <w:tc>
          <w:tcPr>
            <w:tcW w:w="2785" w:type="dxa"/>
          </w:tcPr>
          <w:p w14:paraId="241DF0BF"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eastAsia="Times New Roman" w:hAnsi="Arial" w:cs="Arial"/>
                <w:color w:val="000000" w:themeColor="dark1"/>
                <w:kern w:val="24"/>
              </w:rPr>
              <w:t>3 years and 3 months</w:t>
            </w:r>
          </w:p>
        </w:tc>
      </w:tr>
      <w:tr w:rsidR="00EF1B33" w:rsidRPr="00CF1FDC" w14:paraId="520E03F7" w14:textId="77777777" w:rsidTr="0095420D">
        <w:tc>
          <w:tcPr>
            <w:cnfStyle w:val="001000000000" w:firstRow="0" w:lastRow="0" w:firstColumn="1" w:lastColumn="0" w:oddVBand="0" w:evenVBand="0" w:oddHBand="0" w:evenHBand="0" w:firstRowFirstColumn="0" w:firstRowLastColumn="0" w:lastRowFirstColumn="0" w:lastRowLastColumn="0"/>
            <w:tcW w:w="2337" w:type="dxa"/>
          </w:tcPr>
          <w:p w14:paraId="2421C686" w14:textId="77777777" w:rsidR="00EF1B33" w:rsidRPr="00183A52" w:rsidRDefault="00EF1B33" w:rsidP="0095420D">
            <w:pPr>
              <w:rPr>
                <w:rFonts w:ascii="Arial" w:hAnsi="Arial" w:cs="Arial"/>
                <w:b w:val="0"/>
                <w:bCs w:val="0"/>
                <w:color w:val="000000"/>
                <w:vertAlign w:val="superscript"/>
              </w:rPr>
            </w:pPr>
            <w:proofErr w:type="spellStart"/>
            <w:r w:rsidRPr="00183A52">
              <w:rPr>
                <w:rFonts w:ascii="Arial" w:eastAsia="Times New Roman" w:hAnsi="Arial" w:cs="Arial"/>
                <w:color w:val="000000" w:themeColor="dark1"/>
                <w:kern w:val="24"/>
              </w:rPr>
              <w:t>Brigatinib</w:t>
            </w:r>
            <w:proofErr w:type="spellEnd"/>
          </w:p>
        </w:tc>
        <w:tc>
          <w:tcPr>
            <w:tcW w:w="2068" w:type="dxa"/>
          </w:tcPr>
          <w:p w14:paraId="3EC9CB6F"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hAnsi="Arial" w:cs="Arial"/>
                <w:color w:val="000000" w:themeColor="dark1"/>
                <w:kern w:val="24"/>
              </w:rPr>
              <w:t>5/26/2016</w:t>
            </w:r>
          </w:p>
        </w:tc>
        <w:tc>
          <w:tcPr>
            <w:tcW w:w="2160" w:type="dxa"/>
          </w:tcPr>
          <w:p w14:paraId="5E8E4979"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eastAsia="Times New Roman" w:hAnsi="Arial" w:cs="Arial"/>
                <w:color w:val="000000" w:themeColor="dark1"/>
                <w:kern w:val="24"/>
              </w:rPr>
              <w:t>5/22/2020</w:t>
            </w:r>
          </w:p>
        </w:tc>
        <w:tc>
          <w:tcPr>
            <w:tcW w:w="2785" w:type="dxa"/>
          </w:tcPr>
          <w:p w14:paraId="13A5933B"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eastAsia="Times New Roman" w:hAnsi="Arial" w:cs="Arial"/>
                <w:color w:val="000000" w:themeColor="dark1"/>
                <w:kern w:val="24"/>
              </w:rPr>
              <w:t>4 years</w:t>
            </w:r>
          </w:p>
        </w:tc>
      </w:tr>
      <w:tr w:rsidR="00EF1B33" w:rsidRPr="00CF1FDC" w14:paraId="68813177" w14:textId="77777777" w:rsidTr="0095420D">
        <w:tc>
          <w:tcPr>
            <w:cnfStyle w:val="001000000000" w:firstRow="0" w:lastRow="0" w:firstColumn="1" w:lastColumn="0" w:oddVBand="0" w:evenVBand="0" w:oddHBand="0" w:evenHBand="0" w:firstRowFirstColumn="0" w:firstRowLastColumn="0" w:lastRowFirstColumn="0" w:lastRowLastColumn="0"/>
            <w:tcW w:w="9350" w:type="dxa"/>
            <w:gridSpan w:val="4"/>
          </w:tcPr>
          <w:p w14:paraId="7EBB0A25" w14:textId="77777777" w:rsidR="00EF1B33" w:rsidRPr="00183A52" w:rsidRDefault="00EF1B33" w:rsidP="0095420D">
            <w:pPr>
              <w:rPr>
                <w:rFonts w:ascii="Arial" w:hAnsi="Arial" w:cs="Arial"/>
                <w:color w:val="000000"/>
              </w:rPr>
            </w:pPr>
            <w:r w:rsidRPr="00183A52">
              <w:rPr>
                <w:rFonts w:ascii="Arial" w:hAnsi="Arial" w:cs="Arial"/>
                <w:color w:val="000000"/>
              </w:rPr>
              <w:t>Phase 2 to time to approval (in the 2L+ settings)</w:t>
            </w:r>
          </w:p>
        </w:tc>
      </w:tr>
      <w:tr w:rsidR="00EF1B33" w:rsidRPr="00CF1FDC" w14:paraId="5F3F713A" w14:textId="77777777" w:rsidTr="0095420D">
        <w:tc>
          <w:tcPr>
            <w:cnfStyle w:val="001000000000" w:firstRow="0" w:lastRow="0" w:firstColumn="1" w:lastColumn="0" w:oddVBand="0" w:evenVBand="0" w:oddHBand="0" w:evenHBand="0" w:firstRowFirstColumn="0" w:firstRowLastColumn="0" w:lastRowFirstColumn="0" w:lastRowLastColumn="0"/>
            <w:tcW w:w="2337" w:type="dxa"/>
          </w:tcPr>
          <w:p w14:paraId="3F537E2B" w14:textId="77777777" w:rsidR="00EF1B33" w:rsidRPr="00183A52" w:rsidRDefault="00EF1B33" w:rsidP="0095420D">
            <w:pPr>
              <w:rPr>
                <w:rFonts w:ascii="Arial" w:hAnsi="Arial" w:cs="Arial"/>
                <w:b w:val="0"/>
                <w:bCs w:val="0"/>
                <w:color w:val="000000"/>
              </w:rPr>
            </w:pPr>
            <w:proofErr w:type="spellStart"/>
            <w:r w:rsidRPr="00183A52">
              <w:rPr>
                <w:rFonts w:ascii="Arial" w:eastAsia="Times New Roman" w:hAnsi="Arial" w:cs="Arial"/>
                <w:color w:val="000000" w:themeColor="dark1"/>
                <w:kern w:val="24"/>
              </w:rPr>
              <w:t>Ceritinib</w:t>
            </w:r>
            <w:proofErr w:type="spellEnd"/>
          </w:p>
        </w:tc>
        <w:tc>
          <w:tcPr>
            <w:tcW w:w="2068" w:type="dxa"/>
          </w:tcPr>
          <w:p w14:paraId="011C0C98"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hAnsi="Arial" w:cs="Arial"/>
                <w:color w:val="000000" w:themeColor="dark1"/>
                <w:kern w:val="24"/>
              </w:rPr>
              <w:t>11/26/2012</w:t>
            </w:r>
          </w:p>
        </w:tc>
        <w:tc>
          <w:tcPr>
            <w:tcW w:w="2160" w:type="dxa"/>
          </w:tcPr>
          <w:p w14:paraId="2C1BD5F2"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eastAsia="Times New Roman" w:hAnsi="Arial" w:cs="Arial"/>
                <w:color w:val="000000" w:themeColor="dark1"/>
                <w:kern w:val="24"/>
              </w:rPr>
              <w:t>4/29/2014</w:t>
            </w:r>
          </w:p>
        </w:tc>
        <w:tc>
          <w:tcPr>
            <w:tcW w:w="2785" w:type="dxa"/>
          </w:tcPr>
          <w:p w14:paraId="42EB7DA1"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eastAsia="Times New Roman" w:hAnsi="Arial" w:cs="Arial"/>
                <w:color w:val="000000" w:themeColor="dark1"/>
                <w:kern w:val="24"/>
              </w:rPr>
              <w:t>1 year and 5 months</w:t>
            </w:r>
          </w:p>
        </w:tc>
      </w:tr>
      <w:tr w:rsidR="00EF1B33" w:rsidRPr="00CF1FDC" w14:paraId="687E8099" w14:textId="77777777" w:rsidTr="0095420D">
        <w:tc>
          <w:tcPr>
            <w:cnfStyle w:val="001000000000" w:firstRow="0" w:lastRow="0" w:firstColumn="1" w:lastColumn="0" w:oddVBand="0" w:evenVBand="0" w:oddHBand="0" w:evenHBand="0" w:firstRowFirstColumn="0" w:firstRowLastColumn="0" w:lastRowFirstColumn="0" w:lastRowLastColumn="0"/>
            <w:tcW w:w="2337" w:type="dxa"/>
          </w:tcPr>
          <w:p w14:paraId="1FE7973D" w14:textId="77777777" w:rsidR="00EF1B33" w:rsidRPr="00183A52" w:rsidRDefault="00EF1B33" w:rsidP="0095420D">
            <w:pPr>
              <w:rPr>
                <w:rFonts w:ascii="Arial" w:hAnsi="Arial" w:cs="Arial"/>
                <w:b w:val="0"/>
                <w:bCs w:val="0"/>
                <w:color w:val="000000"/>
              </w:rPr>
            </w:pPr>
            <w:proofErr w:type="spellStart"/>
            <w:r w:rsidRPr="00183A52">
              <w:rPr>
                <w:rFonts w:ascii="Arial" w:eastAsia="Times New Roman" w:hAnsi="Arial" w:cs="Arial"/>
                <w:color w:val="000000" w:themeColor="dark1"/>
                <w:kern w:val="24"/>
              </w:rPr>
              <w:t>Alectinib</w:t>
            </w:r>
            <w:proofErr w:type="spellEnd"/>
          </w:p>
        </w:tc>
        <w:tc>
          <w:tcPr>
            <w:tcW w:w="2068" w:type="dxa"/>
          </w:tcPr>
          <w:p w14:paraId="12A1B87C"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hAnsi="Arial" w:cs="Arial"/>
                <w:color w:val="000000" w:themeColor="dark1"/>
                <w:kern w:val="24"/>
              </w:rPr>
              <w:t xml:space="preserve">6/20/2013 </w:t>
            </w:r>
          </w:p>
        </w:tc>
        <w:tc>
          <w:tcPr>
            <w:tcW w:w="2160" w:type="dxa"/>
          </w:tcPr>
          <w:p w14:paraId="612F1ECC"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eastAsia="Times New Roman" w:hAnsi="Arial" w:cs="Arial"/>
                <w:color w:val="000000" w:themeColor="dark1"/>
                <w:kern w:val="24"/>
              </w:rPr>
              <w:t>12/1/2015</w:t>
            </w:r>
          </w:p>
        </w:tc>
        <w:tc>
          <w:tcPr>
            <w:tcW w:w="2785" w:type="dxa"/>
          </w:tcPr>
          <w:p w14:paraId="67BD6953"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eastAsia="Times New Roman" w:hAnsi="Arial" w:cs="Arial"/>
                <w:color w:val="000000" w:themeColor="dark1"/>
                <w:kern w:val="24"/>
              </w:rPr>
              <w:t>2 years and 6 months</w:t>
            </w:r>
          </w:p>
        </w:tc>
      </w:tr>
      <w:tr w:rsidR="00EF1B33" w:rsidRPr="00CF1FDC" w14:paraId="586EA92A" w14:textId="77777777" w:rsidTr="0095420D">
        <w:tc>
          <w:tcPr>
            <w:cnfStyle w:val="001000000000" w:firstRow="0" w:lastRow="0" w:firstColumn="1" w:lastColumn="0" w:oddVBand="0" w:evenVBand="0" w:oddHBand="0" w:evenHBand="0" w:firstRowFirstColumn="0" w:firstRowLastColumn="0" w:lastRowFirstColumn="0" w:lastRowLastColumn="0"/>
            <w:tcW w:w="2337" w:type="dxa"/>
          </w:tcPr>
          <w:p w14:paraId="5818598D" w14:textId="77777777" w:rsidR="00EF1B33" w:rsidRPr="00183A52" w:rsidRDefault="00EF1B33" w:rsidP="0095420D">
            <w:pPr>
              <w:rPr>
                <w:rFonts w:ascii="Arial" w:hAnsi="Arial" w:cs="Arial"/>
                <w:b w:val="0"/>
                <w:bCs w:val="0"/>
                <w:color w:val="000000"/>
              </w:rPr>
            </w:pPr>
            <w:proofErr w:type="spellStart"/>
            <w:r w:rsidRPr="00183A52">
              <w:rPr>
                <w:rFonts w:ascii="Arial" w:eastAsia="Times New Roman" w:hAnsi="Arial" w:cs="Arial"/>
                <w:color w:val="000000" w:themeColor="dark1"/>
                <w:kern w:val="24"/>
              </w:rPr>
              <w:t>Brigatinib</w:t>
            </w:r>
            <w:proofErr w:type="spellEnd"/>
          </w:p>
        </w:tc>
        <w:tc>
          <w:tcPr>
            <w:tcW w:w="2068" w:type="dxa"/>
          </w:tcPr>
          <w:p w14:paraId="39306C9C"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eastAsia="Times New Roman" w:hAnsi="Arial" w:cs="Arial"/>
                <w:color w:val="000000" w:themeColor="dark1"/>
                <w:kern w:val="24"/>
              </w:rPr>
              <w:t xml:space="preserve">6/4/2014 </w:t>
            </w:r>
          </w:p>
        </w:tc>
        <w:tc>
          <w:tcPr>
            <w:tcW w:w="2160" w:type="dxa"/>
          </w:tcPr>
          <w:p w14:paraId="11C37637"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eastAsia="Times New Roman" w:hAnsi="Arial" w:cs="Arial"/>
                <w:color w:val="000000" w:themeColor="dark1"/>
                <w:kern w:val="24"/>
              </w:rPr>
              <w:t>4/28/2017</w:t>
            </w:r>
          </w:p>
        </w:tc>
        <w:tc>
          <w:tcPr>
            <w:tcW w:w="2785" w:type="dxa"/>
          </w:tcPr>
          <w:p w14:paraId="129AD1C8" w14:textId="77777777" w:rsidR="00EF1B33" w:rsidRPr="00183A52" w:rsidRDefault="00EF1B33" w:rsidP="0095420D">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eastAsia="Times New Roman" w:hAnsi="Arial" w:cs="Arial"/>
                <w:color w:val="000000" w:themeColor="dark1"/>
                <w:kern w:val="24"/>
              </w:rPr>
              <w:t>2 years and 10 months</w:t>
            </w:r>
          </w:p>
        </w:tc>
      </w:tr>
    </w:tbl>
    <w:p w14:paraId="285CA359" w14:textId="77777777" w:rsidR="00EF1B33" w:rsidRPr="00183A52" w:rsidRDefault="00EF1B33" w:rsidP="008E08F3">
      <w:pPr>
        <w:rPr>
          <w:rFonts w:ascii="Arial" w:hAnsi="Arial" w:cs="Arial"/>
          <w:color w:val="000000"/>
          <w:vertAlign w:val="superscript"/>
        </w:rPr>
      </w:pPr>
    </w:p>
    <w:p w14:paraId="04F3672D" w14:textId="77777777" w:rsidR="00EF1B33" w:rsidRPr="009A4BFF" w:rsidRDefault="00EF1B33" w:rsidP="008E08F3">
      <w:pPr>
        <w:rPr>
          <w:rFonts w:ascii="Arial" w:hAnsi="Arial" w:cs="Arial"/>
          <w:color w:val="000000"/>
        </w:rPr>
      </w:pPr>
      <w:r w:rsidRPr="009A4BFF">
        <w:rPr>
          <w:rFonts w:ascii="Arial" w:hAnsi="Arial" w:cs="Arial"/>
          <w:color w:val="000000"/>
        </w:rPr>
        <w:t xml:space="preserve">The average time from the start date of the phase 3 study to the FDA approval for </w:t>
      </w:r>
      <w:proofErr w:type="spellStart"/>
      <w:r w:rsidRPr="009A4BFF">
        <w:rPr>
          <w:rFonts w:ascii="Arial" w:hAnsi="Arial" w:cs="Arial"/>
          <w:color w:val="000000"/>
        </w:rPr>
        <w:t>ceritinib</w:t>
      </w:r>
      <w:proofErr w:type="spellEnd"/>
      <w:r w:rsidRPr="009A4BFF">
        <w:rPr>
          <w:rFonts w:ascii="Arial" w:hAnsi="Arial" w:cs="Arial"/>
          <w:color w:val="000000"/>
        </w:rPr>
        <w:t xml:space="preserve"> and </w:t>
      </w:r>
      <w:proofErr w:type="spellStart"/>
      <w:r w:rsidRPr="009A4BFF">
        <w:rPr>
          <w:rFonts w:ascii="Arial" w:hAnsi="Arial" w:cs="Arial"/>
          <w:color w:val="000000"/>
        </w:rPr>
        <w:t>alectinib</w:t>
      </w:r>
      <w:proofErr w:type="spellEnd"/>
      <w:r w:rsidRPr="009A4BFF">
        <w:rPr>
          <w:rFonts w:ascii="Arial" w:hAnsi="Arial" w:cs="Arial"/>
          <w:color w:val="000000"/>
        </w:rPr>
        <w:t xml:space="preserve"> was approximately 3 years 9 months. Since the phase 3 study of </w:t>
      </w:r>
      <w:proofErr w:type="spellStart"/>
      <w:r w:rsidRPr="009A4BFF">
        <w:rPr>
          <w:rFonts w:ascii="Arial" w:hAnsi="Arial" w:cs="Arial"/>
          <w:color w:val="000000"/>
        </w:rPr>
        <w:t>ensartinib</w:t>
      </w:r>
      <w:proofErr w:type="spellEnd"/>
      <w:r w:rsidRPr="009A4BFF">
        <w:rPr>
          <w:rFonts w:ascii="Arial" w:hAnsi="Arial" w:cs="Arial"/>
          <w:color w:val="000000"/>
        </w:rPr>
        <w:t xml:space="preserve"> started in June 2016, the estimated arrival time for </w:t>
      </w:r>
      <w:proofErr w:type="spellStart"/>
      <w:r w:rsidRPr="009A4BFF">
        <w:rPr>
          <w:rFonts w:ascii="Arial" w:hAnsi="Arial" w:cs="Arial"/>
          <w:color w:val="000000"/>
        </w:rPr>
        <w:t>ensartinib</w:t>
      </w:r>
      <w:proofErr w:type="spellEnd"/>
      <w:r w:rsidRPr="009A4BFF">
        <w:rPr>
          <w:rFonts w:ascii="Arial" w:hAnsi="Arial" w:cs="Arial"/>
          <w:color w:val="000000"/>
        </w:rPr>
        <w:t xml:space="preserve"> was March 2020. The timing of arrival of </w:t>
      </w:r>
      <w:proofErr w:type="spellStart"/>
      <w:r w:rsidRPr="009A4BFF">
        <w:rPr>
          <w:rFonts w:ascii="Arial" w:hAnsi="Arial" w:cs="Arial"/>
          <w:color w:val="000000"/>
        </w:rPr>
        <w:t>lorlatinib</w:t>
      </w:r>
      <w:proofErr w:type="spellEnd"/>
      <w:r w:rsidRPr="009A4BFF">
        <w:rPr>
          <w:rFonts w:ascii="Arial" w:hAnsi="Arial" w:cs="Arial"/>
          <w:color w:val="000000"/>
        </w:rPr>
        <w:t xml:space="preserve"> was calculated similarly. The average time from the start date of the phase 2 study to the FDA accelerated approval for </w:t>
      </w:r>
      <w:proofErr w:type="spellStart"/>
      <w:r w:rsidRPr="009A4BFF">
        <w:rPr>
          <w:rFonts w:ascii="Arial" w:hAnsi="Arial" w:cs="Arial"/>
          <w:color w:val="000000"/>
        </w:rPr>
        <w:t>ceritinib</w:t>
      </w:r>
      <w:proofErr w:type="spellEnd"/>
      <w:r w:rsidRPr="009A4BFF">
        <w:rPr>
          <w:rFonts w:ascii="Arial" w:hAnsi="Arial" w:cs="Arial"/>
          <w:color w:val="000000"/>
        </w:rPr>
        <w:t xml:space="preserve">, </w:t>
      </w:r>
      <w:proofErr w:type="spellStart"/>
      <w:r w:rsidRPr="009A4BFF">
        <w:rPr>
          <w:rFonts w:ascii="Arial" w:hAnsi="Arial" w:cs="Arial"/>
          <w:color w:val="000000"/>
        </w:rPr>
        <w:t>alectinib</w:t>
      </w:r>
      <w:proofErr w:type="spellEnd"/>
      <w:r w:rsidRPr="009A4BFF">
        <w:rPr>
          <w:rFonts w:ascii="Arial" w:hAnsi="Arial" w:cs="Arial"/>
          <w:color w:val="000000"/>
        </w:rPr>
        <w:t xml:space="preserve">, and </w:t>
      </w:r>
      <w:proofErr w:type="spellStart"/>
      <w:r w:rsidRPr="009A4BFF">
        <w:rPr>
          <w:rFonts w:ascii="Arial" w:hAnsi="Arial" w:cs="Arial"/>
          <w:color w:val="000000"/>
        </w:rPr>
        <w:t>brigatinib</w:t>
      </w:r>
      <w:proofErr w:type="spellEnd"/>
      <w:r w:rsidRPr="009A4BFF">
        <w:rPr>
          <w:rFonts w:ascii="Arial" w:hAnsi="Arial" w:cs="Arial"/>
          <w:color w:val="000000"/>
        </w:rPr>
        <w:t xml:space="preserve"> was approximately 2 years and 3 months and the start date of phase 2 study of </w:t>
      </w:r>
      <w:proofErr w:type="spellStart"/>
      <w:r w:rsidRPr="009A4BFF">
        <w:rPr>
          <w:rFonts w:ascii="Arial" w:hAnsi="Arial" w:cs="Arial"/>
          <w:color w:val="000000"/>
        </w:rPr>
        <w:t>lorlatinib</w:t>
      </w:r>
      <w:proofErr w:type="spellEnd"/>
      <w:r w:rsidRPr="009A4BFF">
        <w:rPr>
          <w:rFonts w:ascii="Arial" w:hAnsi="Arial" w:cs="Arial"/>
          <w:color w:val="000000"/>
        </w:rPr>
        <w:t xml:space="preserve"> was October 2016. Therefore, the projected arrival time for </w:t>
      </w:r>
      <w:proofErr w:type="spellStart"/>
      <w:r w:rsidRPr="009A4BFF">
        <w:rPr>
          <w:rFonts w:ascii="Arial" w:hAnsi="Arial" w:cs="Arial"/>
          <w:color w:val="000000"/>
        </w:rPr>
        <w:t>lorlatinib</w:t>
      </w:r>
      <w:proofErr w:type="spellEnd"/>
      <w:r w:rsidRPr="009A4BFF">
        <w:rPr>
          <w:rFonts w:ascii="Arial" w:hAnsi="Arial" w:cs="Arial"/>
          <w:color w:val="000000"/>
        </w:rPr>
        <w:t xml:space="preserve"> was January 2019. The average estimated arrival dates for </w:t>
      </w:r>
      <w:proofErr w:type="spellStart"/>
      <w:r w:rsidRPr="009A4BFF">
        <w:rPr>
          <w:rFonts w:ascii="Arial" w:hAnsi="Arial" w:cs="Arial"/>
          <w:color w:val="000000"/>
        </w:rPr>
        <w:t>ensartinib</w:t>
      </w:r>
      <w:proofErr w:type="spellEnd"/>
      <w:r w:rsidRPr="009A4BFF">
        <w:rPr>
          <w:rFonts w:ascii="Arial" w:hAnsi="Arial" w:cs="Arial"/>
          <w:color w:val="000000"/>
        </w:rPr>
        <w:t xml:space="preserve"> and </w:t>
      </w:r>
      <w:proofErr w:type="spellStart"/>
      <w:r w:rsidRPr="009A4BFF">
        <w:rPr>
          <w:rFonts w:ascii="Arial" w:hAnsi="Arial" w:cs="Arial"/>
          <w:color w:val="000000"/>
        </w:rPr>
        <w:t>lorlatinib</w:t>
      </w:r>
      <w:proofErr w:type="spellEnd"/>
      <w:r w:rsidRPr="009A4BFF">
        <w:rPr>
          <w:rFonts w:ascii="Arial" w:hAnsi="Arial" w:cs="Arial"/>
          <w:color w:val="000000"/>
        </w:rPr>
        <w:t xml:space="preserve"> was August 2019, approximately 2 years from the date of 1L </w:t>
      </w:r>
      <w:proofErr w:type="spellStart"/>
      <w:r w:rsidRPr="009A4BFF">
        <w:rPr>
          <w:rFonts w:ascii="Arial" w:hAnsi="Arial" w:cs="Arial"/>
          <w:color w:val="000000"/>
        </w:rPr>
        <w:t>alectinib’s</w:t>
      </w:r>
      <w:proofErr w:type="spellEnd"/>
      <w:r w:rsidRPr="009A4BFF">
        <w:rPr>
          <w:rFonts w:ascii="Arial" w:hAnsi="Arial" w:cs="Arial"/>
          <w:color w:val="000000"/>
        </w:rPr>
        <w:t xml:space="preserve"> arrival (November 2017). Therefore, we used 2 years for the base-case value for the time to arrival and vary this estimate by +/- 1 year in the sensitivity analysis to address the uncertainty.  </w:t>
      </w:r>
    </w:p>
    <w:tbl>
      <w:tblPr>
        <w:tblStyle w:val="GridTable1Light"/>
        <w:tblW w:w="0" w:type="auto"/>
        <w:tblLook w:val="04A0" w:firstRow="1" w:lastRow="0" w:firstColumn="1" w:lastColumn="0" w:noHBand="0" w:noVBand="1"/>
      </w:tblPr>
      <w:tblGrid>
        <w:gridCol w:w="2337"/>
        <w:gridCol w:w="2337"/>
        <w:gridCol w:w="2338"/>
        <w:gridCol w:w="2338"/>
      </w:tblGrid>
      <w:tr w:rsidR="00EF1B33" w:rsidRPr="00CF1FDC" w14:paraId="41F00A6C" w14:textId="77777777" w:rsidTr="005F09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tcPr>
          <w:p w14:paraId="08C9D4A9" w14:textId="79656103" w:rsidR="00EF1B33" w:rsidRPr="00183A52" w:rsidRDefault="00EF1B33" w:rsidP="008E08F3">
            <w:pPr>
              <w:rPr>
                <w:rFonts w:ascii="Arial" w:hAnsi="Arial" w:cs="Arial"/>
                <w:color w:val="000000"/>
              </w:rPr>
            </w:pPr>
            <w:r w:rsidRPr="00183A52">
              <w:rPr>
                <w:rFonts w:ascii="Arial" w:hAnsi="Arial" w:cs="Arial"/>
                <w:color w:val="000000"/>
              </w:rPr>
              <w:t>Table S</w:t>
            </w:r>
            <w:r>
              <w:rPr>
                <w:rFonts w:ascii="Arial" w:hAnsi="Arial" w:cs="Arial"/>
                <w:color w:val="000000"/>
              </w:rPr>
              <w:t>7</w:t>
            </w:r>
            <w:r w:rsidRPr="00183A52">
              <w:rPr>
                <w:rFonts w:ascii="Arial" w:hAnsi="Arial" w:cs="Arial"/>
                <w:color w:val="000000"/>
              </w:rPr>
              <w:t>. Estimated time of arrival of likely future drugs</w:t>
            </w:r>
          </w:p>
        </w:tc>
      </w:tr>
      <w:tr w:rsidR="00EF1B33" w:rsidRPr="00CF1FDC" w14:paraId="00BE3818" w14:textId="77777777" w:rsidTr="005F09C5">
        <w:tc>
          <w:tcPr>
            <w:cnfStyle w:val="001000000000" w:firstRow="0" w:lastRow="0" w:firstColumn="1" w:lastColumn="0" w:oddVBand="0" w:evenVBand="0" w:oddHBand="0" w:evenHBand="0" w:firstRowFirstColumn="0" w:firstRowLastColumn="0" w:lastRowFirstColumn="0" w:lastRowLastColumn="0"/>
            <w:tcW w:w="2337" w:type="dxa"/>
          </w:tcPr>
          <w:p w14:paraId="30CC9F76" w14:textId="77777777" w:rsidR="00EF1B33" w:rsidRPr="00183A52" w:rsidRDefault="00EF1B33" w:rsidP="008E08F3">
            <w:pPr>
              <w:rPr>
                <w:rFonts w:ascii="Arial" w:hAnsi="Arial" w:cs="Arial"/>
                <w:color w:val="000000"/>
              </w:rPr>
            </w:pPr>
          </w:p>
        </w:tc>
        <w:tc>
          <w:tcPr>
            <w:tcW w:w="2337" w:type="dxa"/>
          </w:tcPr>
          <w:p w14:paraId="350E3D9F" w14:textId="77777777" w:rsidR="00EF1B33" w:rsidRPr="00183A52" w:rsidRDefault="00EF1B33" w:rsidP="008E08F3">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183A52">
              <w:rPr>
                <w:rFonts w:ascii="Arial" w:hAnsi="Arial" w:cs="Arial"/>
                <w:b/>
                <w:bCs/>
                <w:color w:val="000000"/>
              </w:rPr>
              <w:t>Estimated time from the study start date to the FDA approval</w:t>
            </w:r>
          </w:p>
        </w:tc>
        <w:tc>
          <w:tcPr>
            <w:tcW w:w="2338" w:type="dxa"/>
          </w:tcPr>
          <w:p w14:paraId="7E5EC8BC" w14:textId="77777777" w:rsidR="00EF1B33" w:rsidRPr="00183A52" w:rsidRDefault="00EF1B33" w:rsidP="008E08F3">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183A52">
              <w:rPr>
                <w:rFonts w:ascii="Arial" w:hAnsi="Arial" w:cs="Arial"/>
                <w:b/>
                <w:bCs/>
                <w:color w:val="000000"/>
              </w:rPr>
              <w:t>Start date of a clinical trial</w:t>
            </w:r>
          </w:p>
        </w:tc>
        <w:tc>
          <w:tcPr>
            <w:tcW w:w="2338" w:type="dxa"/>
          </w:tcPr>
          <w:p w14:paraId="1547DB8C" w14:textId="77777777" w:rsidR="00EF1B33" w:rsidRPr="00183A52" w:rsidRDefault="00EF1B33" w:rsidP="008E08F3">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183A52">
              <w:rPr>
                <w:rFonts w:ascii="Arial" w:hAnsi="Arial" w:cs="Arial"/>
                <w:b/>
                <w:bCs/>
                <w:color w:val="000000"/>
              </w:rPr>
              <w:t>Estimated date of arrival</w:t>
            </w:r>
          </w:p>
        </w:tc>
      </w:tr>
      <w:tr w:rsidR="00EF1B33" w:rsidRPr="00CF1FDC" w14:paraId="1C3C1864" w14:textId="77777777" w:rsidTr="005F09C5">
        <w:tc>
          <w:tcPr>
            <w:cnfStyle w:val="001000000000" w:firstRow="0" w:lastRow="0" w:firstColumn="1" w:lastColumn="0" w:oddVBand="0" w:evenVBand="0" w:oddHBand="0" w:evenHBand="0" w:firstRowFirstColumn="0" w:firstRowLastColumn="0" w:lastRowFirstColumn="0" w:lastRowLastColumn="0"/>
            <w:tcW w:w="2337" w:type="dxa"/>
          </w:tcPr>
          <w:p w14:paraId="1C7AA6F8" w14:textId="77777777" w:rsidR="00EF1B33" w:rsidRPr="00183A52" w:rsidRDefault="00EF1B33" w:rsidP="008E08F3">
            <w:pPr>
              <w:rPr>
                <w:rFonts w:ascii="Arial" w:hAnsi="Arial" w:cs="Arial"/>
                <w:color w:val="000000"/>
              </w:rPr>
            </w:pPr>
            <w:proofErr w:type="spellStart"/>
            <w:r w:rsidRPr="00183A52">
              <w:rPr>
                <w:rFonts w:ascii="Arial" w:hAnsi="Arial" w:cs="Arial"/>
                <w:color w:val="000000"/>
              </w:rPr>
              <w:t>Ensartinib</w:t>
            </w:r>
            <w:proofErr w:type="spellEnd"/>
          </w:p>
        </w:tc>
        <w:tc>
          <w:tcPr>
            <w:tcW w:w="2337" w:type="dxa"/>
          </w:tcPr>
          <w:p w14:paraId="28643F0E" w14:textId="77777777" w:rsidR="00EF1B33" w:rsidRPr="00183A52" w:rsidRDefault="00EF1B33" w:rsidP="008E08F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hAnsi="Arial" w:cs="Arial"/>
                <w:color w:val="000000"/>
              </w:rPr>
              <w:t>3 years and 9 months</w:t>
            </w:r>
          </w:p>
        </w:tc>
        <w:tc>
          <w:tcPr>
            <w:tcW w:w="2338" w:type="dxa"/>
          </w:tcPr>
          <w:p w14:paraId="28D3BB97" w14:textId="77777777" w:rsidR="00EF1B33" w:rsidRPr="00183A52" w:rsidRDefault="00EF1B33" w:rsidP="008E08F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hAnsi="Arial" w:cs="Arial"/>
                <w:color w:val="000000"/>
              </w:rPr>
              <w:t>6/2016</w:t>
            </w:r>
          </w:p>
        </w:tc>
        <w:tc>
          <w:tcPr>
            <w:tcW w:w="2338" w:type="dxa"/>
          </w:tcPr>
          <w:p w14:paraId="5DD0543A" w14:textId="77777777" w:rsidR="00EF1B33" w:rsidRPr="00183A52" w:rsidRDefault="00EF1B33" w:rsidP="008E08F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hAnsi="Arial" w:cs="Arial"/>
                <w:color w:val="000000"/>
              </w:rPr>
              <w:t>3/2020</w:t>
            </w:r>
          </w:p>
        </w:tc>
      </w:tr>
      <w:tr w:rsidR="00EF1B33" w:rsidRPr="00CF1FDC" w14:paraId="2A7E99B2" w14:textId="77777777" w:rsidTr="005F09C5">
        <w:tc>
          <w:tcPr>
            <w:cnfStyle w:val="001000000000" w:firstRow="0" w:lastRow="0" w:firstColumn="1" w:lastColumn="0" w:oddVBand="0" w:evenVBand="0" w:oddHBand="0" w:evenHBand="0" w:firstRowFirstColumn="0" w:firstRowLastColumn="0" w:lastRowFirstColumn="0" w:lastRowLastColumn="0"/>
            <w:tcW w:w="2337" w:type="dxa"/>
          </w:tcPr>
          <w:p w14:paraId="488071EB" w14:textId="77777777" w:rsidR="00EF1B33" w:rsidRPr="00183A52" w:rsidRDefault="00EF1B33" w:rsidP="008E08F3">
            <w:pPr>
              <w:rPr>
                <w:rFonts w:ascii="Arial" w:hAnsi="Arial" w:cs="Arial"/>
                <w:color w:val="000000"/>
              </w:rPr>
            </w:pPr>
            <w:proofErr w:type="spellStart"/>
            <w:r w:rsidRPr="00183A52">
              <w:rPr>
                <w:rFonts w:ascii="Arial" w:hAnsi="Arial" w:cs="Arial"/>
                <w:color w:val="000000"/>
              </w:rPr>
              <w:t>Lorlatinib</w:t>
            </w:r>
            <w:proofErr w:type="spellEnd"/>
          </w:p>
        </w:tc>
        <w:tc>
          <w:tcPr>
            <w:tcW w:w="2337" w:type="dxa"/>
          </w:tcPr>
          <w:p w14:paraId="029F2A0E" w14:textId="77777777" w:rsidR="00EF1B33" w:rsidRPr="00183A52" w:rsidRDefault="00EF1B33" w:rsidP="008E08F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hAnsi="Arial" w:cs="Arial"/>
                <w:color w:val="000000"/>
              </w:rPr>
              <w:t>2 years and 3 months</w:t>
            </w:r>
          </w:p>
        </w:tc>
        <w:tc>
          <w:tcPr>
            <w:tcW w:w="2338" w:type="dxa"/>
          </w:tcPr>
          <w:p w14:paraId="2F1CFADB" w14:textId="77777777" w:rsidR="00EF1B33" w:rsidRPr="00183A52" w:rsidRDefault="00EF1B33" w:rsidP="008E08F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hAnsi="Arial" w:cs="Arial"/>
                <w:color w:val="000000"/>
              </w:rPr>
              <w:t>10/2016</w:t>
            </w:r>
          </w:p>
        </w:tc>
        <w:tc>
          <w:tcPr>
            <w:tcW w:w="2338" w:type="dxa"/>
          </w:tcPr>
          <w:p w14:paraId="05D07E01" w14:textId="77777777" w:rsidR="00EF1B33" w:rsidRPr="00183A52" w:rsidRDefault="00EF1B33" w:rsidP="008E08F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hAnsi="Arial" w:cs="Arial"/>
                <w:color w:val="000000"/>
              </w:rPr>
              <w:t>1/2019</w:t>
            </w:r>
          </w:p>
        </w:tc>
      </w:tr>
      <w:tr w:rsidR="00EF1B33" w:rsidRPr="00CF1FDC" w14:paraId="3C5864B8" w14:textId="77777777" w:rsidTr="005F09C5">
        <w:tc>
          <w:tcPr>
            <w:cnfStyle w:val="001000000000" w:firstRow="0" w:lastRow="0" w:firstColumn="1" w:lastColumn="0" w:oddVBand="0" w:evenVBand="0" w:oddHBand="0" w:evenHBand="0" w:firstRowFirstColumn="0" w:firstRowLastColumn="0" w:lastRowFirstColumn="0" w:lastRowLastColumn="0"/>
            <w:tcW w:w="2337" w:type="dxa"/>
          </w:tcPr>
          <w:p w14:paraId="55DB1762" w14:textId="77777777" w:rsidR="00EF1B33" w:rsidRPr="00183A52" w:rsidRDefault="00EF1B33" w:rsidP="008E08F3">
            <w:pPr>
              <w:rPr>
                <w:rFonts w:ascii="Arial" w:hAnsi="Arial" w:cs="Arial"/>
                <w:color w:val="000000"/>
              </w:rPr>
            </w:pPr>
            <w:r w:rsidRPr="00183A52">
              <w:rPr>
                <w:rFonts w:ascii="Arial" w:hAnsi="Arial" w:cs="Arial"/>
                <w:color w:val="000000"/>
              </w:rPr>
              <w:t>Average</w:t>
            </w:r>
          </w:p>
        </w:tc>
        <w:tc>
          <w:tcPr>
            <w:tcW w:w="2337" w:type="dxa"/>
          </w:tcPr>
          <w:p w14:paraId="511CDCA6" w14:textId="77777777" w:rsidR="00EF1B33" w:rsidRPr="00183A52" w:rsidRDefault="00EF1B33" w:rsidP="008E08F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2338" w:type="dxa"/>
          </w:tcPr>
          <w:p w14:paraId="5B49A22C" w14:textId="77777777" w:rsidR="00EF1B33" w:rsidRPr="00183A52" w:rsidRDefault="00EF1B33" w:rsidP="008E08F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2338" w:type="dxa"/>
          </w:tcPr>
          <w:p w14:paraId="32DF51F8" w14:textId="77777777" w:rsidR="00EF1B33" w:rsidRPr="00183A52" w:rsidRDefault="00EF1B33" w:rsidP="008E08F3">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83A52">
              <w:rPr>
                <w:rFonts w:ascii="Arial" w:hAnsi="Arial" w:cs="Arial"/>
                <w:color w:val="000000"/>
              </w:rPr>
              <w:t>8/2019</w:t>
            </w:r>
          </w:p>
        </w:tc>
      </w:tr>
    </w:tbl>
    <w:p w14:paraId="261CC794" w14:textId="77777777" w:rsidR="00EF1B33" w:rsidRPr="009A4BFF" w:rsidRDefault="00EF1B33" w:rsidP="008E08F3">
      <w:pPr>
        <w:rPr>
          <w:rFonts w:ascii="Arial" w:hAnsi="Arial" w:cs="Arial"/>
          <w:color w:val="000000"/>
        </w:rPr>
      </w:pPr>
    </w:p>
    <w:p w14:paraId="39213F59" w14:textId="77777777" w:rsidR="00EF1B33" w:rsidRPr="009A4BFF" w:rsidRDefault="00EF1B33" w:rsidP="00F70C5C">
      <w:pPr>
        <w:rPr>
          <w:rFonts w:ascii="Arial" w:hAnsi="Arial" w:cs="Arial"/>
          <w:color w:val="000000"/>
        </w:rPr>
      </w:pPr>
    </w:p>
    <w:p w14:paraId="4B881738" w14:textId="41479F6F" w:rsidR="00EF1B33" w:rsidRPr="00183A52" w:rsidRDefault="00EF1B33" w:rsidP="00F70C5C">
      <w:pPr>
        <w:rPr>
          <w:rFonts w:ascii="Arial" w:hAnsi="Arial" w:cs="Arial"/>
          <w:i/>
          <w:iCs/>
          <w:color w:val="000000"/>
        </w:rPr>
      </w:pPr>
      <w:r w:rsidRPr="00183A52">
        <w:rPr>
          <w:rFonts w:ascii="Arial" w:hAnsi="Arial" w:cs="Arial"/>
          <w:i/>
          <w:iCs/>
          <w:color w:val="000000"/>
        </w:rPr>
        <w:t xml:space="preserve">5-4. The </w:t>
      </w:r>
      <w:r>
        <w:rPr>
          <w:rFonts w:ascii="Arial" w:hAnsi="Arial" w:cs="Arial"/>
          <w:i/>
          <w:iCs/>
          <w:color w:val="000000"/>
        </w:rPr>
        <w:t>uptake</w:t>
      </w:r>
      <w:r w:rsidRPr="00183A52">
        <w:rPr>
          <w:rFonts w:ascii="Arial" w:hAnsi="Arial" w:cs="Arial"/>
          <w:i/>
          <w:iCs/>
          <w:color w:val="000000"/>
        </w:rPr>
        <w:t xml:space="preserve"> level</w:t>
      </w:r>
    </w:p>
    <w:p w14:paraId="3EEF89AC" w14:textId="73BC3C2A" w:rsidR="00EF1B33" w:rsidRPr="009A4BFF" w:rsidRDefault="00EF1B33" w:rsidP="001201E9">
      <w:pPr>
        <w:rPr>
          <w:rFonts w:ascii="Arial" w:hAnsi="Arial" w:cs="Arial"/>
          <w:color w:val="000000"/>
        </w:rPr>
      </w:pPr>
      <w:r w:rsidRPr="009A4BFF">
        <w:rPr>
          <w:rFonts w:ascii="Arial" w:hAnsi="Arial" w:cs="Arial"/>
          <w:color w:val="000000"/>
        </w:rPr>
        <w:t>We assumed that the uptake level would be 75% based on the analysis of the nationwide Flatiron Health electronic health record (EHR)-derived, de-identified database. The Flatiron Health database is a longitudinal database, comprising de-identified patient-level structured and unstructured data, curated via technology-enabled abstraction, and originating from approximately 280 cancer clinics (~800 sites of care).</w:t>
      </w:r>
      <w:r w:rsidRPr="00183A52">
        <w:rPr>
          <w:rFonts w:ascii="Arial" w:hAnsi="Arial" w:cs="Arial"/>
        </w:rPr>
        <w:t xml:space="preserve"> </w:t>
      </w:r>
      <w:r w:rsidRPr="00FC3B6C">
        <w:rPr>
          <w:rFonts w:ascii="Arial" w:hAnsi="Arial" w:cs="Arial"/>
          <w:noProof/>
          <w:color w:val="000000"/>
          <w:vertAlign w:val="superscript"/>
        </w:rPr>
        <w:t>11</w:t>
      </w:r>
      <w:r w:rsidRPr="00183A52">
        <w:rPr>
          <w:rFonts w:ascii="Arial" w:hAnsi="Arial" w:cs="Arial"/>
        </w:rPr>
        <w:t xml:space="preserve"> </w:t>
      </w:r>
      <w:r w:rsidRPr="00FC3B6C">
        <w:rPr>
          <w:rFonts w:ascii="Arial" w:hAnsi="Arial" w:cs="Arial"/>
          <w:noProof/>
          <w:color w:val="000000"/>
          <w:vertAlign w:val="superscript"/>
        </w:rPr>
        <w:t>12</w:t>
      </w:r>
      <w:r w:rsidRPr="009A4BFF">
        <w:rPr>
          <w:rFonts w:ascii="Arial" w:hAnsi="Arial" w:cs="Arial"/>
          <w:color w:val="000000"/>
        </w:rPr>
        <w:t xml:space="preserve"> Ideally, we need to estimate the proportion of patients who would receive future drugs as a 2L therapy when they fail the 1L </w:t>
      </w:r>
      <w:proofErr w:type="spellStart"/>
      <w:r w:rsidRPr="009A4BFF">
        <w:rPr>
          <w:rFonts w:ascii="Arial" w:hAnsi="Arial" w:cs="Arial"/>
          <w:color w:val="000000"/>
        </w:rPr>
        <w:t>alectinib</w:t>
      </w:r>
      <w:proofErr w:type="spellEnd"/>
      <w:r w:rsidRPr="009A4BFF">
        <w:rPr>
          <w:rFonts w:ascii="Arial" w:hAnsi="Arial" w:cs="Arial"/>
          <w:color w:val="000000"/>
        </w:rPr>
        <w:t xml:space="preserve"> or </w:t>
      </w:r>
      <w:proofErr w:type="spellStart"/>
      <w:r w:rsidRPr="009A4BFF">
        <w:rPr>
          <w:rFonts w:ascii="Arial" w:hAnsi="Arial" w:cs="Arial"/>
          <w:color w:val="000000"/>
        </w:rPr>
        <w:t>crizotinib</w:t>
      </w:r>
      <w:proofErr w:type="spellEnd"/>
      <w:r w:rsidRPr="009A4BFF">
        <w:rPr>
          <w:rFonts w:ascii="Arial" w:hAnsi="Arial" w:cs="Arial"/>
          <w:color w:val="000000"/>
        </w:rPr>
        <w:t xml:space="preserve">. In the </w:t>
      </w:r>
      <w:proofErr w:type="spellStart"/>
      <w:r w:rsidRPr="009A4BFF">
        <w:rPr>
          <w:rFonts w:ascii="Arial" w:hAnsi="Arial" w:cs="Arial"/>
          <w:i/>
          <w:iCs/>
          <w:color w:val="000000"/>
        </w:rPr>
        <w:t>ex ante</w:t>
      </w:r>
      <w:proofErr w:type="spellEnd"/>
      <w:r w:rsidRPr="009A4BFF">
        <w:rPr>
          <w:rFonts w:ascii="Arial" w:hAnsi="Arial" w:cs="Arial"/>
          <w:color w:val="000000"/>
        </w:rPr>
        <w:t xml:space="preserve"> approach, however, we should only use the data that is available as of the launch date of 1L </w:t>
      </w:r>
      <w:proofErr w:type="spellStart"/>
      <w:r w:rsidRPr="009A4BFF">
        <w:rPr>
          <w:rFonts w:ascii="Arial" w:hAnsi="Arial" w:cs="Arial"/>
          <w:color w:val="000000"/>
        </w:rPr>
        <w:t>alectinib</w:t>
      </w:r>
      <w:proofErr w:type="spellEnd"/>
      <w:r w:rsidRPr="009A4BFF">
        <w:rPr>
          <w:rFonts w:ascii="Arial" w:hAnsi="Arial" w:cs="Arial"/>
          <w:color w:val="000000"/>
        </w:rPr>
        <w:t xml:space="preserve"> (November 2017). Therefore, we took the sample of patients who were treated with 1L </w:t>
      </w:r>
      <w:proofErr w:type="spellStart"/>
      <w:r w:rsidRPr="009A4BFF">
        <w:rPr>
          <w:rFonts w:ascii="Arial" w:hAnsi="Arial" w:cs="Arial"/>
          <w:color w:val="000000"/>
        </w:rPr>
        <w:t>crizotinib</w:t>
      </w:r>
      <w:proofErr w:type="spellEnd"/>
      <w:r w:rsidRPr="009A4BFF">
        <w:rPr>
          <w:rFonts w:ascii="Arial" w:hAnsi="Arial" w:cs="Arial"/>
          <w:color w:val="000000"/>
        </w:rPr>
        <w:t xml:space="preserve"> before November 2017 and examined the 2L treatment patterns in this patient population. Among patients who were diagnosed with ALK-positive NSCLC and had progressed on 1L </w:t>
      </w:r>
      <w:proofErr w:type="spellStart"/>
      <w:r w:rsidRPr="009A4BFF">
        <w:rPr>
          <w:rFonts w:ascii="Arial" w:hAnsi="Arial" w:cs="Arial"/>
          <w:color w:val="000000"/>
        </w:rPr>
        <w:t>crizotinib</w:t>
      </w:r>
      <w:proofErr w:type="spellEnd"/>
      <w:r w:rsidRPr="009A4BFF">
        <w:rPr>
          <w:rFonts w:ascii="Arial" w:hAnsi="Arial" w:cs="Arial"/>
          <w:color w:val="000000"/>
        </w:rPr>
        <w:t xml:space="preserve"> between January 2015 and November 2017, we identified 103 patients who initiated </w:t>
      </w:r>
      <w:proofErr w:type="spellStart"/>
      <w:r w:rsidRPr="009A4BFF">
        <w:rPr>
          <w:rFonts w:ascii="Arial" w:hAnsi="Arial" w:cs="Arial"/>
          <w:color w:val="000000"/>
        </w:rPr>
        <w:t>crizotinib</w:t>
      </w:r>
      <w:proofErr w:type="spellEnd"/>
      <w:r w:rsidRPr="009A4BFF">
        <w:rPr>
          <w:rFonts w:ascii="Arial" w:hAnsi="Arial" w:cs="Arial"/>
          <w:color w:val="000000"/>
        </w:rPr>
        <w:t xml:space="preserve"> as a 1L treatment before November 2017. Among 103 patients, we found that 80% (82/103) patients continued on second-line therapy. Considering that the availability of additional drugs for the second-line therapy is likely to increase the proportion of patients who receive 2L treatment and future drugs are likely more efficacious (and maybe safer) than the standard of care, we assumed the uptake level of 75% </w:t>
      </w:r>
      <w:proofErr w:type="spellStart"/>
      <w:r w:rsidRPr="009A4BFF">
        <w:rPr>
          <w:rFonts w:ascii="Arial" w:hAnsi="Arial" w:cs="Arial"/>
          <w:color w:val="000000"/>
        </w:rPr>
        <w:t>isa</w:t>
      </w:r>
      <w:proofErr w:type="spellEnd"/>
      <w:r w:rsidRPr="009A4BFF">
        <w:rPr>
          <w:rFonts w:ascii="Arial" w:hAnsi="Arial" w:cs="Arial"/>
          <w:color w:val="000000"/>
        </w:rPr>
        <w:t xml:space="preserve"> reasonable assumption.   </w:t>
      </w:r>
    </w:p>
    <w:p w14:paraId="06816C85" w14:textId="77777777" w:rsidR="00EF1B33" w:rsidRPr="009A4BFF" w:rsidRDefault="00EF1B33" w:rsidP="001201E9">
      <w:pPr>
        <w:rPr>
          <w:rFonts w:ascii="Arial" w:hAnsi="Arial" w:cs="Arial"/>
          <w:color w:val="000000"/>
        </w:rPr>
      </w:pPr>
    </w:p>
    <w:p w14:paraId="2E2CE669" w14:textId="77777777" w:rsidR="00EF1B33" w:rsidRPr="009A4BFF" w:rsidRDefault="00EF1B33" w:rsidP="00C72439">
      <w:pPr>
        <w:rPr>
          <w:rFonts w:ascii="Arial" w:hAnsi="Arial" w:cs="Arial"/>
          <w:b/>
          <w:bCs/>
          <w:color w:val="000000"/>
        </w:rPr>
      </w:pPr>
      <w:r w:rsidRPr="009A4BFF">
        <w:rPr>
          <w:rFonts w:ascii="Arial" w:hAnsi="Arial" w:cs="Arial"/>
          <w:b/>
          <w:bCs/>
          <w:color w:val="000000"/>
        </w:rPr>
        <w:br w:type="page"/>
      </w:r>
      <w:r w:rsidRPr="009A4BFF">
        <w:rPr>
          <w:rFonts w:ascii="Arial" w:hAnsi="Arial" w:cs="Arial"/>
          <w:b/>
          <w:bCs/>
          <w:color w:val="000000"/>
        </w:rPr>
        <w:lastRenderedPageBreak/>
        <w:t xml:space="preserve">Appendix 6. Characterization of uncertainty of ROV-related parameters </w:t>
      </w:r>
    </w:p>
    <w:p w14:paraId="0B90178D" w14:textId="77777777" w:rsidR="00EF1B33" w:rsidRPr="009A4BFF" w:rsidRDefault="00EF1B33" w:rsidP="00C72439">
      <w:pPr>
        <w:rPr>
          <w:rFonts w:ascii="Arial" w:hAnsi="Arial" w:cs="Arial"/>
          <w:b/>
          <w:bCs/>
          <w:color w:val="000000"/>
        </w:rPr>
      </w:pPr>
    </w:p>
    <w:p w14:paraId="31E421B0" w14:textId="77777777" w:rsidR="00EF1B33" w:rsidRDefault="00EF1B33" w:rsidP="00C72439">
      <w:pPr>
        <w:rPr>
          <w:rFonts w:ascii="Arial" w:hAnsi="Arial" w:cs="Arial"/>
          <w:i/>
          <w:iCs/>
          <w:color w:val="000000"/>
        </w:rPr>
      </w:pPr>
      <w:r w:rsidRPr="00183A52">
        <w:rPr>
          <w:rFonts w:ascii="Arial" w:hAnsi="Arial" w:cs="Arial"/>
          <w:i/>
          <w:iCs/>
          <w:color w:val="000000"/>
        </w:rPr>
        <w:t>6-1. Potential incremental efficacy of likely future drugs</w:t>
      </w:r>
    </w:p>
    <w:p w14:paraId="17ED2FE3" w14:textId="77777777" w:rsidR="00EF1B33" w:rsidRPr="00183A52" w:rsidRDefault="00EF1B33" w:rsidP="00C72439">
      <w:pPr>
        <w:rPr>
          <w:rFonts w:ascii="Arial" w:hAnsi="Arial" w:cs="Arial"/>
          <w:i/>
          <w:iCs/>
          <w:color w:val="000000"/>
        </w:rPr>
      </w:pPr>
    </w:p>
    <w:p w14:paraId="0152CDDE" w14:textId="77777777" w:rsidR="00EF1B33" w:rsidRPr="00183A52" w:rsidRDefault="00EF1B33" w:rsidP="00C72439">
      <w:pPr>
        <w:rPr>
          <w:rFonts w:ascii="Arial" w:hAnsi="Arial" w:cs="Arial"/>
          <w:color w:val="000000"/>
        </w:rPr>
      </w:pPr>
      <w:r w:rsidRPr="00183A52">
        <w:rPr>
          <w:rFonts w:ascii="Arial" w:hAnsi="Arial" w:cs="Arial"/>
          <w:color w:val="000000"/>
        </w:rPr>
        <w:t xml:space="preserve">We reviewed the efficacy data in the clinical trials of 2L ALK-inhibitors to inform the range of the efficacy of future likely drugs. Since we are using an ex ante approach, we used the data available as of 11/2017. We focused on the variance of ORR estimates because the efficacy of future innovative drugs in our model was derived from the ORR data. The efficacy data we found are shown in Table </w:t>
      </w:r>
      <w:r>
        <w:rPr>
          <w:rFonts w:ascii="Arial" w:hAnsi="Arial" w:cs="Arial"/>
          <w:color w:val="000000"/>
        </w:rPr>
        <w:t>S8</w:t>
      </w:r>
      <w:r w:rsidRPr="00183A52">
        <w:rPr>
          <w:rFonts w:ascii="Arial" w:hAnsi="Arial" w:cs="Arial"/>
          <w:color w:val="000000"/>
        </w:rPr>
        <w:t>. After reviewing the variance of ORR estimates of the ALK inhibitors (the relative ratio of upper and lower bound of the 95% CI as compared to the point estimate), we applied the widest variance to our base-case value. Based on the data, the variance of ORR could be as wide as approximately +/- 30% (data from ALUR trial). Therefore, we varied our base-case estimate of the efficacy by the same amount (point estimate 0.78, range: 0.55 – 1.01).</w:t>
      </w:r>
    </w:p>
    <w:tbl>
      <w:tblPr>
        <w:tblStyle w:val="TableGrid"/>
        <w:tblW w:w="9720" w:type="dxa"/>
        <w:tblInd w:w="-5" w:type="dxa"/>
        <w:tblLayout w:type="fixed"/>
        <w:tblLook w:val="04A0" w:firstRow="1" w:lastRow="0" w:firstColumn="1" w:lastColumn="0" w:noHBand="0" w:noVBand="1"/>
      </w:tblPr>
      <w:tblGrid>
        <w:gridCol w:w="2250"/>
        <w:gridCol w:w="1800"/>
        <w:gridCol w:w="900"/>
        <w:gridCol w:w="3060"/>
        <w:gridCol w:w="1710"/>
      </w:tblGrid>
      <w:tr w:rsidR="00EF1B33" w:rsidRPr="00CF1FDC" w14:paraId="6B32F2D5" w14:textId="77777777" w:rsidTr="00183A52">
        <w:trPr>
          <w:trHeight w:val="288"/>
        </w:trPr>
        <w:tc>
          <w:tcPr>
            <w:tcW w:w="9720" w:type="dxa"/>
            <w:gridSpan w:val="5"/>
            <w:noWrap/>
          </w:tcPr>
          <w:p w14:paraId="60B06C2D" w14:textId="77777777" w:rsidR="00EF1B33" w:rsidRPr="00183A52" w:rsidRDefault="00EF1B33" w:rsidP="007E0335">
            <w:pPr>
              <w:spacing w:after="160" w:line="259" w:lineRule="auto"/>
              <w:rPr>
                <w:rFonts w:ascii="Arial" w:hAnsi="Arial" w:cs="Arial"/>
                <w:color w:val="000000"/>
              </w:rPr>
            </w:pPr>
            <w:r w:rsidRPr="00183A52">
              <w:rPr>
                <w:rFonts w:ascii="Arial" w:hAnsi="Arial" w:cs="Arial"/>
                <w:b/>
                <w:bCs/>
                <w:color w:val="000000"/>
              </w:rPr>
              <w:t>Table</w:t>
            </w:r>
            <w:r>
              <w:rPr>
                <w:rFonts w:ascii="Arial" w:hAnsi="Arial" w:cs="Arial"/>
                <w:b/>
                <w:bCs/>
                <w:color w:val="000000"/>
              </w:rPr>
              <w:t xml:space="preserve"> S8</w:t>
            </w:r>
            <w:r w:rsidRPr="00183A52">
              <w:rPr>
                <w:rFonts w:ascii="Arial" w:hAnsi="Arial" w:cs="Arial"/>
                <w:b/>
                <w:bCs/>
                <w:color w:val="000000"/>
              </w:rPr>
              <w:t>. The efficacy data derived from clinical trials of previously approved ALK inhibitors for ALK-positive NSCLC in the 2L setting</w:t>
            </w:r>
          </w:p>
        </w:tc>
      </w:tr>
      <w:tr w:rsidR="00EF1B33" w:rsidRPr="00CF1FDC" w14:paraId="32F57072" w14:textId="77777777" w:rsidTr="00C72439">
        <w:trPr>
          <w:trHeight w:val="288"/>
        </w:trPr>
        <w:tc>
          <w:tcPr>
            <w:tcW w:w="2250" w:type="dxa"/>
            <w:noWrap/>
          </w:tcPr>
          <w:p w14:paraId="1C9ABDAE" w14:textId="77777777" w:rsidR="00EF1B33" w:rsidRPr="00183A52" w:rsidRDefault="00EF1B33" w:rsidP="007E0335">
            <w:pPr>
              <w:rPr>
                <w:rFonts w:ascii="Arial" w:hAnsi="Arial" w:cs="Arial"/>
                <w:b/>
                <w:bCs/>
                <w:color w:val="000000"/>
              </w:rPr>
            </w:pPr>
            <w:bookmarkStart w:id="1" w:name="_Hlk93873764"/>
            <w:bookmarkStart w:id="2" w:name="_Hlk93873639"/>
            <w:r w:rsidRPr="00183A52">
              <w:rPr>
                <w:rFonts w:ascii="Arial" w:hAnsi="Arial" w:cs="Arial"/>
                <w:b/>
                <w:bCs/>
                <w:color w:val="000000"/>
              </w:rPr>
              <w:t>Drug name</w:t>
            </w:r>
          </w:p>
        </w:tc>
        <w:tc>
          <w:tcPr>
            <w:tcW w:w="1800" w:type="dxa"/>
            <w:noWrap/>
          </w:tcPr>
          <w:p w14:paraId="776B900D" w14:textId="77777777" w:rsidR="00EF1B33" w:rsidRPr="00183A52" w:rsidRDefault="00EF1B33" w:rsidP="007E0335">
            <w:pPr>
              <w:rPr>
                <w:rFonts w:ascii="Arial" w:hAnsi="Arial" w:cs="Arial"/>
                <w:b/>
                <w:bCs/>
                <w:color w:val="000000"/>
              </w:rPr>
            </w:pPr>
            <w:r w:rsidRPr="00183A52">
              <w:rPr>
                <w:rFonts w:ascii="Arial" w:hAnsi="Arial" w:cs="Arial"/>
                <w:b/>
                <w:bCs/>
                <w:color w:val="000000"/>
              </w:rPr>
              <w:t>Study name</w:t>
            </w:r>
          </w:p>
        </w:tc>
        <w:tc>
          <w:tcPr>
            <w:tcW w:w="900" w:type="dxa"/>
            <w:noWrap/>
          </w:tcPr>
          <w:p w14:paraId="74824CBD" w14:textId="77777777" w:rsidR="00EF1B33" w:rsidRPr="00183A52" w:rsidRDefault="00EF1B33" w:rsidP="007E0335">
            <w:pPr>
              <w:rPr>
                <w:rFonts w:ascii="Arial" w:hAnsi="Arial" w:cs="Arial"/>
                <w:b/>
                <w:bCs/>
                <w:color w:val="000000"/>
              </w:rPr>
            </w:pPr>
            <w:r w:rsidRPr="00183A52">
              <w:rPr>
                <w:rFonts w:ascii="Arial" w:hAnsi="Arial" w:cs="Arial"/>
                <w:b/>
                <w:bCs/>
                <w:color w:val="000000"/>
              </w:rPr>
              <w:t>Phase</w:t>
            </w:r>
          </w:p>
        </w:tc>
        <w:tc>
          <w:tcPr>
            <w:tcW w:w="3060" w:type="dxa"/>
          </w:tcPr>
          <w:p w14:paraId="45C6DEFA" w14:textId="77777777" w:rsidR="00EF1B33" w:rsidRPr="00183A52" w:rsidRDefault="00EF1B33" w:rsidP="007E0335">
            <w:pPr>
              <w:rPr>
                <w:rFonts w:ascii="Arial" w:hAnsi="Arial" w:cs="Arial"/>
                <w:b/>
                <w:bCs/>
                <w:color w:val="000000"/>
              </w:rPr>
            </w:pPr>
            <w:r w:rsidRPr="00183A52">
              <w:rPr>
                <w:rFonts w:ascii="Arial" w:hAnsi="Arial" w:cs="Arial"/>
                <w:b/>
                <w:bCs/>
                <w:color w:val="000000"/>
              </w:rPr>
              <w:t xml:space="preserve">ORR (95% CI) </w:t>
            </w:r>
          </w:p>
        </w:tc>
        <w:tc>
          <w:tcPr>
            <w:tcW w:w="1710" w:type="dxa"/>
          </w:tcPr>
          <w:p w14:paraId="79650172" w14:textId="77777777" w:rsidR="00EF1B33" w:rsidRPr="00183A52" w:rsidRDefault="00EF1B33" w:rsidP="007E0335">
            <w:pPr>
              <w:rPr>
                <w:rFonts w:ascii="Arial" w:hAnsi="Arial" w:cs="Arial"/>
                <w:b/>
                <w:bCs/>
                <w:color w:val="000000"/>
              </w:rPr>
            </w:pPr>
            <w:r w:rsidRPr="00183A52">
              <w:rPr>
                <w:rFonts w:ascii="Arial" w:hAnsi="Arial" w:cs="Arial"/>
                <w:b/>
                <w:bCs/>
                <w:color w:val="000000"/>
              </w:rPr>
              <w:t>Variance</w:t>
            </w:r>
          </w:p>
        </w:tc>
      </w:tr>
      <w:tr w:rsidR="00EF1B33" w:rsidRPr="00CF1FDC" w14:paraId="26745B03" w14:textId="77777777" w:rsidTr="00C72439">
        <w:trPr>
          <w:trHeight w:val="288"/>
        </w:trPr>
        <w:tc>
          <w:tcPr>
            <w:tcW w:w="2250" w:type="dxa"/>
            <w:noWrap/>
            <w:hideMark/>
          </w:tcPr>
          <w:p w14:paraId="0CE78CF9" w14:textId="77777777" w:rsidR="00EF1B33" w:rsidRPr="00183A52" w:rsidRDefault="00EF1B33" w:rsidP="007E0335">
            <w:pPr>
              <w:rPr>
                <w:rFonts w:ascii="Arial" w:hAnsi="Arial" w:cs="Arial"/>
                <w:color w:val="000000"/>
              </w:rPr>
            </w:pPr>
            <w:proofErr w:type="spellStart"/>
            <w:r w:rsidRPr="00183A52">
              <w:rPr>
                <w:rFonts w:ascii="Arial" w:hAnsi="Arial" w:cs="Arial"/>
                <w:color w:val="000000"/>
              </w:rPr>
              <w:t>Alectinib</w:t>
            </w:r>
            <w:proofErr w:type="spellEnd"/>
          </w:p>
        </w:tc>
        <w:tc>
          <w:tcPr>
            <w:tcW w:w="1800" w:type="dxa"/>
            <w:noWrap/>
            <w:hideMark/>
          </w:tcPr>
          <w:p w14:paraId="2A17F1D8" w14:textId="77777777" w:rsidR="00EF1B33" w:rsidRPr="00183A52" w:rsidRDefault="00EF1B33" w:rsidP="007E0335">
            <w:pPr>
              <w:rPr>
                <w:rFonts w:ascii="Arial" w:hAnsi="Arial" w:cs="Arial"/>
                <w:color w:val="000000"/>
              </w:rPr>
            </w:pPr>
            <w:r w:rsidRPr="00183A52">
              <w:rPr>
                <w:rFonts w:ascii="Arial" w:hAnsi="Arial" w:cs="Arial"/>
                <w:color w:val="000000"/>
              </w:rPr>
              <w:t>NP28761</w:t>
            </w:r>
          </w:p>
        </w:tc>
        <w:tc>
          <w:tcPr>
            <w:tcW w:w="900" w:type="dxa"/>
            <w:noWrap/>
            <w:hideMark/>
          </w:tcPr>
          <w:p w14:paraId="73A5A696" w14:textId="77777777" w:rsidR="00EF1B33" w:rsidRPr="00183A52" w:rsidRDefault="00EF1B33" w:rsidP="007E0335">
            <w:pPr>
              <w:rPr>
                <w:rFonts w:ascii="Arial" w:hAnsi="Arial" w:cs="Arial"/>
                <w:color w:val="000000"/>
              </w:rPr>
            </w:pPr>
            <w:r w:rsidRPr="00183A52">
              <w:rPr>
                <w:rFonts w:ascii="Arial" w:hAnsi="Arial" w:cs="Arial"/>
                <w:color w:val="000000"/>
              </w:rPr>
              <w:t>2</w:t>
            </w:r>
          </w:p>
        </w:tc>
        <w:tc>
          <w:tcPr>
            <w:tcW w:w="3060" w:type="dxa"/>
          </w:tcPr>
          <w:p w14:paraId="34F4AE65" w14:textId="77777777" w:rsidR="00EF1B33" w:rsidRPr="00183A52" w:rsidRDefault="00EF1B33" w:rsidP="007E0335">
            <w:pPr>
              <w:rPr>
                <w:rFonts w:ascii="Arial" w:hAnsi="Arial" w:cs="Arial"/>
                <w:color w:val="000000"/>
              </w:rPr>
            </w:pPr>
            <w:r w:rsidRPr="00183A52">
              <w:rPr>
                <w:rFonts w:ascii="Arial" w:hAnsi="Arial" w:cs="Arial"/>
                <w:color w:val="000000"/>
              </w:rPr>
              <w:t>48% (95% CI: 36, 60)</w:t>
            </w:r>
          </w:p>
        </w:tc>
        <w:tc>
          <w:tcPr>
            <w:tcW w:w="1710" w:type="dxa"/>
          </w:tcPr>
          <w:p w14:paraId="29D333BB" w14:textId="77777777" w:rsidR="00EF1B33" w:rsidRPr="00183A52" w:rsidRDefault="00EF1B33" w:rsidP="007E0335">
            <w:pPr>
              <w:rPr>
                <w:rFonts w:ascii="Arial" w:hAnsi="Arial" w:cs="Arial"/>
                <w:color w:val="000000"/>
              </w:rPr>
            </w:pPr>
            <w:r w:rsidRPr="00183A52">
              <w:rPr>
                <w:rFonts w:ascii="Arial" w:hAnsi="Arial" w:cs="Arial"/>
                <w:color w:val="000000"/>
              </w:rPr>
              <w:t>+/- 25%</w:t>
            </w:r>
          </w:p>
        </w:tc>
      </w:tr>
      <w:tr w:rsidR="00EF1B33" w:rsidRPr="00CF1FDC" w14:paraId="31DBD913" w14:textId="77777777" w:rsidTr="00C72439">
        <w:trPr>
          <w:trHeight w:val="288"/>
        </w:trPr>
        <w:tc>
          <w:tcPr>
            <w:tcW w:w="2250" w:type="dxa"/>
            <w:noWrap/>
            <w:hideMark/>
          </w:tcPr>
          <w:p w14:paraId="58D43FE8" w14:textId="77777777" w:rsidR="00EF1B33" w:rsidRPr="00183A52" w:rsidRDefault="00EF1B33" w:rsidP="007E0335">
            <w:pPr>
              <w:rPr>
                <w:rFonts w:ascii="Arial" w:hAnsi="Arial" w:cs="Arial"/>
                <w:color w:val="000000"/>
              </w:rPr>
            </w:pPr>
          </w:p>
        </w:tc>
        <w:tc>
          <w:tcPr>
            <w:tcW w:w="1800" w:type="dxa"/>
            <w:noWrap/>
            <w:hideMark/>
          </w:tcPr>
          <w:p w14:paraId="61A47B80" w14:textId="77777777" w:rsidR="00EF1B33" w:rsidRPr="00183A52" w:rsidRDefault="00EF1B33" w:rsidP="007E0335">
            <w:pPr>
              <w:rPr>
                <w:rFonts w:ascii="Arial" w:hAnsi="Arial" w:cs="Arial"/>
                <w:color w:val="000000"/>
              </w:rPr>
            </w:pPr>
            <w:r w:rsidRPr="00183A52">
              <w:rPr>
                <w:rFonts w:ascii="Arial" w:hAnsi="Arial" w:cs="Arial"/>
                <w:color w:val="000000"/>
              </w:rPr>
              <w:t>NP28673</w:t>
            </w:r>
          </w:p>
        </w:tc>
        <w:tc>
          <w:tcPr>
            <w:tcW w:w="900" w:type="dxa"/>
            <w:noWrap/>
            <w:hideMark/>
          </w:tcPr>
          <w:p w14:paraId="7E22BDA1" w14:textId="77777777" w:rsidR="00EF1B33" w:rsidRPr="00183A52" w:rsidRDefault="00EF1B33" w:rsidP="007E0335">
            <w:pPr>
              <w:rPr>
                <w:rFonts w:ascii="Arial" w:hAnsi="Arial" w:cs="Arial"/>
                <w:color w:val="000000"/>
              </w:rPr>
            </w:pPr>
            <w:r w:rsidRPr="00183A52">
              <w:rPr>
                <w:rFonts w:ascii="Arial" w:hAnsi="Arial" w:cs="Arial"/>
                <w:color w:val="000000"/>
              </w:rPr>
              <w:t>2</w:t>
            </w:r>
          </w:p>
        </w:tc>
        <w:tc>
          <w:tcPr>
            <w:tcW w:w="3060" w:type="dxa"/>
          </w:tcPr>
          <w:p w14:paraId="15D1CB6B" w14:textId="77777777" w:rsidR="00EF1B33" w:rsidRPr="00183A52" w:rsidRDefault="00EF1B33" w:rsidP="007E0335">
            <w:pPr>
              <w:rPr>
                <w:rFonts w:ascii="Arial" w:hAnsi="Arial" w:cs="Arial"/>
                <w:color w:val="000000"/>
              </w:rPr>
            </w:pPr>
            <w:r w:rsidRPr="00183A52">
              <w:rPr>
                <w:rFonts w:ascii="Arial" w:hAnsi="Arial" w:cs="Arial"/>
                <w:color w:val="000000"/>
              </w:rPr>
              <w:t>50% (95% CI: 41, 59)</w:t>
            </w:r>
          </w:p>
        </w:tc>
        <w:tc>
          <w:tcPr>
            <w:tcW w:w="1710" w:type="dxa"/>
          </w:tcPr>
          <w:p w14:paraId="2C757A26" w14:textId="77777777" w:rsidR="00EF1B33" w:rsidRPr="00183A52" w:rsidRDefault="00EF1B33" w:rsidP="007E0335">
            <w:pPr>
              <w:rPr>
                <w:rFonts w:ascii="Arial" w:hAnsi="Arial" w:cs="Arial"/>
                <w:color w:val="000000"/>
              </w:rPr>
            </w:pPr>
            <w:r w:rsidRPr="00183A52">
              <w:rPr>
                <w:rFonts w:ascii="Arial" w:hAnsi="Arial" w:cs="Arial"/>
                <w:color w:val="000000"/>
              </w:rPr>
              <w:t>+/- 20%</w:t>
            </w:r>
          </w:p>
        </w:tc>
      </w:tr>
      <w:tr w:rsidR="00EF1B33" w:rsidRPr="00CF1FDC" w14:paraId="7D28F3EF" w14:textId="77777777" w:rsidTr="00C72439">
        <w:trPr>
          <w:trHeight w:val="288"/>
        </w:trPr>
        <w:tc>
          <w:tcPr>
            <w:tcW w:w="2250" w:type="dxa"/>
            <w:noWrap/>
          </w:tcPr>
          <w:p w14:paraId="5A237C80" w14:textId="77777777" w:rsidR="00EF1B33" w:rsidRPr="00183A52" w:rsidRDefault="00EF1B33" w:rsidP="007E0335">
            <w:pPr>
              <w:rPr>
                <w:rFonts w:ascii="Arial" w:hAnsi="Arial" w:cs="Arial"/>
                <w:color w:val="000000"/>
              </w:rPr>
            </w:pPr>
          </w:p>
        </w:tc>
        <w:tc>
          <w:tcPr>
            <w:tcW w:w="1800" w:type="dxa"/>
            <w:noWrap/>
          </w:tcPr>
          <w:p w14:paraId="1E6C2919" w14:textId="77777777" w:rsidR="00EF1B33" w:rsidRPr="00183A52" w:rsidRDefault="00EF1B33" w:rsidP="007E0335">
            <w:pPr>
              <w:rPr>
                <w:rFonts w:ascii="Arial" w:hAnsi="Arial" w:cs="Arial"/>
                <w:color w:val="000000"/>
              </w:rPr>
            </w:pPr>
            <w:r w:rsidRPr="00183A52">
              <w:rPr>
                <w:rFonts w:ascii="Arial" w:hAnsi="Arial" w:cs="Arial"/>
                <w:color w:val="000000"/>
              </w:rPr>
              <w:t>ALUR</w:t>
            </w:r>
          </w:p>
        </w:tc>
        <w:tc>
          <w:tcPr>
            <w:tcW w:w="900" w:type="dxa"/>
            <w:noWrap/>
          </w:tcPr>
          <w:p w14:paraId="36715B74" w14:textId="77777777" w:rsidR="00EF1B33" w:rsidRPr="00183A52" w:rsidRDefault="00EF1B33" w:rsidP="007E0335">
            <w:pPr>
              <w:rPr>
                <w:rFonts w:ascii="Arial" w:hAnsi="Arial" w:cs="Arial"/>
                <w:color w:val="000000"/>
              </w:rPr>
            </w:pPr>
          </w:p>
        </w:tc>
        <w:tc>
          <w:tcPr>
            <w:tcW w:w="3060" w:type="dxa"/>
          </w:tcPr>
          <w:p w14:paraId="35CE53E6" w14:textId="77777777" w:rsidR="00EF1B33" w:rsidRPr="00183A52" w:rsidRDefault="00EF1B33" w:rsidP="007E0335">
            <w:pPr>
              <w:rPr>
                <w:rFonts w:ascii="Arial" w:hAnsi="Arial" w:cs="Arial"/>
                <w:color w:val="000000"/>
              </w:rPr>
            </w:pPr>
            <w:r w:rsidRPr="00183A52">
              <w:rPr>
                <w:rFonts w:ascii="Arial" w:hAnsi="Arial" w:cs="Arial"/>
                <w:color w:val="000000"/>
              </w:rPr>
              <w:t>36.1% (95% CI: 25, 48</w:t>
            </w:r>
            <w:r w:rsidRPr="009A4BFF">
              <w:rPr>
                <w:rFonts w:ascii="Arial" w:hAnsi="Arial" w:cs="Arial"/>
                <w:color w:val="000000"/>
              </w:rPr>
              <w:t>)</w:t>
            </w:r>
          </w:p>
        </w:tc>
        <w:tc>
          <w:tcPr>
            <w:tcW w:w="1710" w:type="dxa"/>
          </w:tcPr>
          <w:p w14:paraId="47756177" w14:textId="77777777" w:rsidR="00EF1B33" w:rsidRPr="00183A52" w:rsidRDefault="00EF1B33" w:rsidP="007E0335">
            <w:pPr>
              <w:rPr>
                <w:rFonts w:ascii="Arial" w:hAnsi="Arial" w:cs="Arial"/>
                <w:color w:val="000000"/>
              </w:rPr>
            </w:pPr>
            <w:r w:rsidRPr="00183A52">
              <w:rPr>
                <w:rFonts w:ascii="Arial" w:hAnsi="Arial" w:cs="Arial"/>
                <w:color w:val="000000"/>
              </w:rPr>
              <w:t>+/- 30%</w:t>
            </w:r>
          </w:p>
        </w:tc>
      </w:tr>
      <w:tr w:rsidR="00EF1B33" w:rsidRPr="00CF1FDC" w14:paraId="241E5D98" w14:textId="77777777" w:rsidTr="00C72439">
        <w:trPr>
          <w:trHeight w:val="288"/>
        </w:trPr>
        <w:tc>
          <w:tcPr>
            <w:tcW w:w="2250" w:type="dxa"/>
            <w:noWrap/>
            <w:hideMark/>
          </w:tcPr>
          <w:p w14:paraId="272312A2" w14:textId="77777777" w:rsidR="00EF1B33" w:rsidRPr="00183A52" w:rsidRDefault="00EF1B33" w:rsidP="007E0335">
            <w:pPr>
              <w:rPr>
                <w:rFonts w:ascii="Arial" w:hAnsi="Arial" w:cs="Arial"/>
                <w:color w:val="000000"/>
              </w:rPr>
            </w:pPr>
            <w:proofErr w:type="spellStart"/>
            <w:r w:rsidRPr="00183A52">
              <w:rPr>
                <w:rFonts w:ascii="Arial" w:hAnsi="Arial" w:cs="Arial"/>
                <w:color w:val="000000"/>
              </w:rPr>
              <w:t>Ceritinib</w:t>
            </w:r>
            <w:proofErr w:type="spellEnd"/>
          </w:p>
        </w:tc>
        <w:tc>
          <w:tcPr>
            <w:tcW w:w="1800" w:type="dxa"/>
            <w:noWrap/>
            <w:hideMark/>
          </w:tcPr>
          <w:p w14:paraId="078E9F9B" w14:textId="77777777" w:rsidR="00EF1B33" w:rsidRPr="00183A52" w:rsidRDefault="00EF1B33" w:rsidP="007E0335">
            <w:pPr>
              <w:rPr>
                <w:rFonts w:ascii="Arial" w:hAnsi="Arial" w:cs="Arial"/>
                <w:color w:val="000000"/>
              </w:rPr>
            </w:pPr>
            <w:r w:rsidRPr="00183A52">
              <w:rPr>
                <w:rFonts w:ascii="Arial" w:hAnsi="Arial" w:cs="Arial"/>
                <w:color w:val="000000"/>
              </w:rPr>
              <w:t>ASCEND-2</w:t>
            </w:r>
          </w:p>
        </w:tc>
        <w:tc>
          <w:tcPr>
            <w:tcW w:w="900" w:type="dxa"/>
            <w:noWrap/>
            <w:hideMark/>
          </w:tcPr>
          <w:p w14:paraId="058DAD1E" w14:textId="77777777" w:rsidR="00EF1B33" w:rsidRPr="00183A52" w:rsidRDefault="00EF1B33" w:rsidP="007E0335">
            <w:pPr>
              <w:rPr>
                <w:rFonts w:ascii="Arial" w:hAnsi="Arial" w:cs="Arial"/>
                <w:color w:val="000000"/>
              </w:rPr>
            </w:pPr>
            <w:r w:rsidRPr="00183A52">
              <w:rPr>
                <w:rFonts w:ascii="Arial" w:hAnsi="Arial" w:cs="Arial"/>
                <w:color w:val="000000"/>
              </w:rPr>
              <w:t>2</w:t>
            </w:r>
          </w:p>
        </w:tc>
        <w:tc>
          <w:tcPr>
            <w:tcW w:w="3060" w:type="dxa"/>
          </w:tcPr>
          <w:p w14:paraId="27370708" w14:textId="77777777" w:rsidR="00EF1B33" w:rsidRPr="00183A52" w:rsidRDefault="00EF1B33" w:rsidP="007E0335">
            <w:pPr>
              <w:rPr>
                <w:rFonts w:ascii="Arial" w:hAnsi="Arial" w:cs="Arial"/>
                <w:color w:val="000000"/>
              </w:rPr>
            </w:pPr>
            <w:r w:rsidRPr="00183A52">
              <w:rPr>
                <w:rFonts w:ascii="Arial" w:hAnsi="Arial" w:cs="Arial"/>
                <w:color w:val="000000"/>
              </w:rPr>
              <w:t>40.7%</w:t>
            </w:r>
            <w:r w:rsidRPr="009A4BFF">
              <w:rPr>
                <w:rFonts w:ascii="Arial" w:hAnsi="Arial" w:cs="Arial"/>
                <w:color w:val="000000"/>
              </w:rPr>
              <w:t xml:space="preserve"> </w:t>
            </w:r>
            <w:r w:rsidRPr="00183A52">
              <w:rPr>
                <w:rFonts w:ascii="Arial" w:hAnsi="Arial" w:cs="Arial"/>
                <w:color w:val="000000"/>
              </w:rPr>
              <w:t>(</w:t>
            </w:r>
            <w:r w:rsidRPr="009A4BFF">
              <w:rPr>
                <w:rFonts w:ascii="Arial" w:hAnsi="Arial" w:cs="Arial"/>
                <w:color w:val="000000"/>
              </w:rPr>
              <w:t xml:space="preserve">95% CI: </w:t>
            </w:r>
            <w:r w:rsidRPr="00183A52">
              <w:rPr>
                <w:rFonts w:ascii="Arial" w:hAnsi="Arial" w:cs="Arial"/>
                <w:color w:val="000000"/>
              </w:rPr>
              <w:t>32.5</w:t>
            </w:r>
            <w:r w:rsidRPr="009A4BFF">
              <w:rPr>
                <w:rFonts w:ascii="Arial" w:hAnsi="Arial" w:cs="Arial"/>
                <w:color w:val="000000"/>
              </w:rPr>
              <w:t>,</w:t>
            </w:r>
            <w:r w:rsidRPr="00183A52">
              <w:rPr>
                <w:rFonts w:ascii="Arial" w:hAnsi="Arial" w:cs="Arial"/>
                <w:color w:val="000000"/>
              </w:rPr>
              <w:t xml:space="preserve"> 49.3)</w:t>
            </w:r>
          </w:p>
        </w:tc>
        <w:tc>
          <w:tcPr>
            <w:tcW w:w="1710" w:type="dxa"/>
          </w:tcPr>
          <w:p w14:paraId="05157B0D" w14:textId="77777777" w:rsidR="00EF1B33" w:rsidRPr="00183A52" w:rsidRDefault="00EF1B33" w:rsidP="007E0335">
            <w:pPr>
              <w:rPr>
                <w:rFonts w:ascii="Arial" w:hAnsi="Arial" w:cs="Arial"/>
                <w:color w:val="000000"/>
              </w:rPr>
            </w:pPr>
            <w:r w:rsidRPr="00183A52">
              <w:rPr>
                <w:rFonts w:ascii="Arial" w:hAnsi="Arial" w:cs="Arial"/>
                <w:color w:val="000000"/>
              </w:rPr>
              <w:t>+/- 20%</w:t>
            </w:r>
          </w:p>
        </w:tc>
      </w:tr>
      <w:tr w:rsidR="00EF1B33" w:rsidRPr="00CF1FDC" w14:paraId="1895DB87" w14:textId="77777777" w:rsidTr="00C72439">
        <w:trPr>
          <w:trHeight w:val="288"/>
        </w:trPr>
        <w:tc>
          <w:tcPr>
            <w:tcW w:w="2250" w:type="dxa"/>
            <w:noWrap/>
          </w:tcPr>
          <w:p w14:paraId="3BF948B7" w14:textId="77777777" w:rsidR="00EF1B33" w:rsidRPr="00183A52" w:rsidRDefault="00EF1B33" w:rsidP="007E0335">
            <w:pPr>
              <w:rPr>
                <w:rFonts w:ascii="Arial" w:hAnsi="Arial" w:cs="Arial"/>
                <w:color w:val="000000"/>
              </w:rPr>
            </w:pPr>
            <w:proofErr w:type="spellStart"/>
            <w:r w:rsidRPr="00183A52">
              <w:rPr>
                <w:rFonts w:ascii="Arial" w:hAnsi="Arial" w:cs="Arial"/>
                <w:color w:val="000000"/>
              </w:rPr>
              <w:t>Brigatinib</w:t>
            </w:r>
            <w:proofErr w:type="spellEnd"/>
          </w:p>
        </w:tc>
        <w:tc>
          <w:tcPr>
            <w:tcW w:w="1800" w:type="dxa"/>
            <w:noWrap/>
          </w:tcPr>
          <w:p w14:paraId="65676CAB" w14:textId="77777777" w:rsidR="00EF1B33" w:rsidRPr="00183A52" w:rsidRDefault="00EF1B33" w:rsidP="007E0335">
            <w:pPr>
              <w:rPr>
                <w:rFonts w:ascii="Arial" w:hAnsi="Arial" w:cs="Arial"/>
                <w:color w:val="000000"/>
              </w:rPr>
            </w:pPr>
            <w:r w:rsidRPr="00183A52">
              <w:rPr>
                <w:rFonts w:ascii="Arial" w:hAnsi="Arial" w:cs="Arial"/>
                <w:color w:val="000000"/>
              </w:rPr>
              <w:t>ALTA</w:t>
            </w:r>
          </w:p>
        </w:tc>
        <w:tc>
          <w:tcPr>
            <w:tcW w:w="900" w:type="dxa"/>
            <w:noWrap/>
          </w:tcPr>
          <w:p w14:paraId="4BC0D44E" w14:textId="77777777" w:rsidR="00EF1B33" w:rsidRPr="00183A52" w:rsidRDefault="00EF1B33" w:rsidP="007E0335">
            <w:pPr>
              <w:rPr>
                <w:rFonts w:ascii="Arial" w:hAnsi="Arial" w:cs="Arial"/>
                <w:color w:val="000000"/>
              </w:rPr>
            </w:pPr>
            <w:r w:rsidRPr="00183A52">
              <w:rPr>
                <w:rFonts w:ascii="Arial" w:hAnsi="Arial" w:cs="Arial"/>
                <w:color w:val="000000"/>
              </w:rPr>
              <w:t>2</w:t>
            </w:r>
          </w:p>
        </w:tc>
        <w:tc>
          <w:tcPr>
            <w:tcW w:w="3060" w:type="dxa"/>
          </w:tcPr>
          <w:p w14:paraId="3F9D9BAA" w14:textId="77777777" w:rsidR="00EF1B33" w:rsidRPr="00183A52" w:rsidRDefault="00EF1B33" w:rsidP="007E0335">
            <w:pPr>
              <w:rPr>
                <w:rFonts w:ascii="Arial" w:hAnsi="Arial" w:cs="Arial"/>
                <w:color w:val="000000"/>
              </w:rPr>
            </w:pPr>
            <w:r w:rsidRPr="00183A52">
              <w:rPr>
                <w:rFonts w:ascii="Arial" w:hAnsi="Arial" w:cs="Arial"/>
                <w:color w:val="000000"/>
              </w:rPr>
              <w:t>54% (97.5% CI: 43, 65)</w:t>
            </w:r>
          </w:p>
        </w:tc>
        <w:tc>
          <w:tcPr>
            <w:tcW w:w="1710" w:type="dxa"/>
          </w:tcPr>
          <w:p w14:paraId="1C698EBE" w14:textId="77777777" w:rsidR="00EF1B33" w:rsidRPr="00183A52" w:rsidRDefault="00EF1B33" w:rsidP="007E0335">
            <w:pPr>
              <w:rPr>
                <w:rFonts w:ascii="Arial" w:hAnsi="Arial" w:cs="Arial"/>
                <w:color w:val="000000"/>
              </w:rPr>
            </w:pPr>
            <w:r w:rsidRPr="00183A52">
              <w:rPr>
                <w:rFonts w:ascii="Arial" w:hAnsi="Arial" w:cs="Arial"/>
                <w:color w:val="000000"/>
              </w:rPr>
              <w:t>+/- 20%</w:t>
            </w:r>
          </w:p>
        </w:tc>
      </w:tr>
      <w:tr w:rsidR="00EF1B33" w:rsidRPr="00CF1FDC" w14:paraId="62109A34" w14:textId="77777777" w:rsidTr="00C72439">
        <w:trPr>
          <w:trHeight w:val="288"/>
        </w:trPr>
        <w:tc>
          <w:tcPr>
            <w:tcW w:w="2250" w:type="dxa"/>
            <w:noWrap/>
          </w:tcPr>
          <w:p w14:paraId="48138EFA" w14:textId="77777777" w:rsidR="00EF1B33" w:rsidRPr="00183A52" w:rsidRDefault="00EF1B33" w:rsidP="007E0335">
            <w:pPr>
              <w:rPr>
                <w:rFonts w:ascii="Arial" w:hAnsi="Arial" w:cs="Arial"/>
                <w:color w:val="000000"/>
              </w:rPr>
            </w:pPr>
            <w:proofErr w:type="spellStart"/>
            <w:r w:rsidRPr="00183A52">
              <w:rPr>
                <w:rFonts w:ascii="Arial" w:hAnsi="Arial" w:cs="Arial"/>
                <w:color w:val="000000"/>
              </w:rPr>
              <w:t>Lorlatinib</w:t>
            </w:r>
            <w:proofErr w:type="spellEnd"/>
          </w:p>
        </w:tc>
        <w:tc>
          <w:tcPr>
            <w:tcW w:w="1800" w:type="dxa"/>
            <w:noWrap/>
          </w:tcPr>
          <w:p w14:paraId="3160EADB" w14:textId="77777777" w:rsidR="00EF1B33" w:rsidRPr="00183A52" w:rsidRDefault="00EF1B33" w:rsidP="007E0335">
            <w:pPr>
              <w:rPr>
                <w:rFonts w:ascii="Arial" w:hAnsi="Arial" w:cs="Arial"/>
                <w:color w:val="000000"/>
              </w:rPr>
            </w:pPr>
            <w:r w:rsidRPr="00183A52">
              <w:rPr>
                <w:rFonts w:ascii="Arial" w:hAnsi="Arial" w:cs="Arial"/>
                <w:color w:val="000000"/>
              </w:rPr>
              <w:t>NCT02927340</w:t>
            </w:r>
          </w:p>
        </w:tc>
        <w:tc>
          <w:tcPr>
            <w:tcW w:w="900" w:type="dxa"/>
            <w:noWrap/>
          </w:tcPr>
          <w:p w14:paraId="6E1EABD2" w14:textId="77777777" w:rsidR="00EF1B33" w:rsidRPr="00183A52" w:rsidRDefault="00EF1B33" w:rsidP="007E0335">
            <w:pPr>
              <w:rPr>
                <w:rFonts w:ascii="Arial" w:hAnsi="Arial" w:cs="Arial"/>
                <w:color w:val="000000"/>
              </w:rPr>
            </w:pPr>
            <w:r w:rsidRPr="00183A52">
              <w:rPr>
                <w:rFonts w:ascii="Arial" w:hAnsi="Arial" w:cs="Arial"/>
                <w:color w:val="000000"/>
              </w:rPr>
              <w:t>2</w:t>
            </w:r>
          </w:p>
        </w:tc>
        <w:tc>
          <w:tcPr>
            <w:tcW w:w="3060" w:type="dxa"/>
          </w:tcPr>
          <w:p w14:paraId="29B29672" w14:textId="77777777" w:rsidR="00EF1B33" w:rsidRPr="00183A52" w:rsidRDefault="00EF1B33" w:rsidP="007E0335">
            <w:pPr>
              <w:rPr>
                <w:rFonts w:ascii="Arial" w:hAnsi="Arial" w:cs="Arial"/>
                <w:color w:val="000000"/>
              </w:rPr>
            </w:pPr>
            <w:r w:rsidRPr="00183A52">
              <w:rPr>
                <w:rFonts w:ascii="Arial" w:hAnsi="Arial" w:cs="Arial"/>
                <w:color w:val="000000"/>
              </w:rPr>
              <w:t>69% (95% CI: 56, 81)</w:t>
            </w:r>
          </w:p>
        </w:tc>
        <w:tc>
          <w:tcPr>
            <w:tcW w:w="1710" w:type="dxa"/>
          </w:tcPr>
          <w:p w14:paraId="43425055" w14:textId="77777777" w:rsidR="00EF1B33" w:rsidRPr="00183A52" w:rsidRDefault="00EF1B33" w:rsidP="007E0335">
            <w:pPr>
              <w:rPr>
                <w:rFonts w:ascii="Arial" w:hAnsi="Arial" w:cs="Arial"/>
                <w:color w:val="000000"/>
              </w:rPr>
            </w:pPr>
            <w:r w:rsidRPr="00183A52">
              <w:rPr>
                <w:rFonts w:ascii="Arial" w:hAnsi="Arial" w:cs="Arial"/>
                <w:color w:val="000000"/>
              </w:rPr>
              <w:t>+/- 20%</w:t>
            </w:r>
          </w:p>
        </w:tc>
      </w:tr>
      <w:tr w:rsidR="00EF1B33" w:rsidRPr="00CF1FDC" w14:paraId="39F7766C" w14:textId="77777777" w:rsidTr="00C72439">
        <w:trPr>
          <w:trHeight w:val="288"/>
        </w:trPr>
        <w:tc>
          <w:tcPr>
            <w:tcW w:w="2250" w:type="dxa"/>
            <w:noWrap/>
          </w:tcPr>
          <w:p w14:paraId="31F8A81D" w14:textId="77777777" w:rsidR="00EF1B33" w:rsidRPr="00183A52" w:rsidRDefault="00EF1B33" w:rsidP="007E0335">
            <w:pPr>
              <w:rPr>
                <w:rFonts w:ascii="Arial" w:hAnsi="Arial" w:cs="Arial"/>
                <w:color w:val="000000"/>
              </w:rPr>
            </w:pPr>
            <w:proofErr w:type="spellStart"/>
            <w:r w:rsidRPr="00183A52">
              <w:rPr>
                <w:rFonts w:ascii="Arial" w:hAnsi="Arial" w:cs="Arial"/>
                <w:color w:val="000000"/>
              </w:rPr>
              <w:t>Ensartinib</w:t>
            </w:r>
            <w:proofErr w:type="spellEnd"/>
          </w:p>
        </w:tc>
        <w:tc>
          <w:tcPr>
            <w:tcW w:w="1800" w:type="dxa"/>
            <w:noWrap/>
          </w:tcPr>
          <w:p w14:paraId="2B56379A" w14:textId="77777777" w:rsidR="00EF1B33" w:rsidRPr="00183A52" w:rsidRDefault="00EF1B33" w:rsidP="007E0335">
            <w:pPr>
              <w:rPr>
                <w:rFonts w:ascii="Arial" w:hAnsi="Arial" w:cs="Arial"/>
                <w:color w:val="000000"/>
              </w:rPr>
            </w:pPr>
            <w:r w:rsidRPr="00183A52">
              <w:rPr>
                <w:rFonts w:ascii="Arial" w:hAnsi="Arial" w:cs="Arial"/>
                <w:color w:val="000000"/>
              </w:rPr>
              <w:t>NCT01625234</w:t>
            </w:r>
          </w:p>
        </w:tc>
        <w:tc>
          <w:tcPr>
            <w:tcW w:w="900" w:type="dxa"/>
            <w:noWrap/>
          </w:tcPr>
          <w:p w14:paraId="259FEB55" w14:textId="77777777" w:rsidR="00EF1B33" w:rsidRPr="00183A52" w:rsidRDefault="00EF1B33" w:rsidP="007E0335">
            <w:pPr>
              <w:rPr>
                <w:rFonts w:ascii="Arial" w:hAnsi="Arial" w:cs="Arial"/>
                <w:color w:val="000000"/>
              </w:rPr>
            </w:pPr>
            <w:r w:rsidRPr="00183A52">
              <w:rPr>
                <w:rFonts w:ascii="Arial" w:hAnsi="Arial" w:cs="Arial"/>
                <w:color w:val="000000"/>
              </w:rPr>
              <w:t>2</w:t>
            </w:r>
          </w:p>
        </w:tc>
        <w:tc>
          <w:tcPr>
            <w:tcW w:w="3060" w:type="dxa"/>
          </w:tcPr>
          <w:p w14:paraId="0313F44C" w14:textId="77777777" w:rsidR="00EF1B33" w:rsidRPr="00183A52" w:rsidRDefault="00EF1B33" w:rsidP="007E0335">
            <w:pPr>
              <w:rPr>
                <w:rFonts w:ascii="Arial" w:hAnsi="Arial" w:cs="Arial"/>
                <w:color w:val="000000"/>
              </w:rPr>
            </w:pPr>
            <w:r w:rsidRPr="00183A52">
              <w:rPr>
                <w:rFonts w:ascii="Arial" w:hAnsi="Arial" w:cs="Arial"/>
                <w:color w:val="000000"/>
              </w:rPr>
              <w:t>69.0% (95% CI: 50.8, 82.7)</w:t>
            </w:r>
          </w:p>
        </w:tc>
        <w:tc>
          <w:tcPr>
            <w:tcW w:w="1710" w:type="dxa"/>
          </w:tcPr>
          <w:p w14:paraId="2F8FC7F9" w14:textId="77777777" w:rsidR="00EF1B33" w:rsidRPr="00183A52" w:rsidRDefault="00EF1B33" w:rsidP="007E0335">
            <w:pPr>
              <w:rPr>
                <w:rFonts w:ascii="Arial" w:hAnsi="Arial" w:cs="Arial"/>
                <w:color w:val="000000"/>
              </w:rPr>
            </w:pPr>
            <w:r w:rsidRPr="00183A52">
              <w:rPr>
                <w:rFonts w:ascii="Arial" w:hAnsi="Arial" w:cs="Arial"/>
                <w:color w:val="000000"/>
              </w:rPr>
              <w:t>+/- 25%</w:t>
            </w:r>
          </w:p>
        </w:tc>
      </w:tr>
      <w:bookmarkEnd w:id="1"/>
      <w:bookmarkEnd w:id="2"/>
    </w:tbl>
    <w:p w14:paraId="6586EB58" w14:textId="77777777" w:rsidR="00EF1B33" w:rsidRPr="00183A52" w:rsidRDefault="00EF1B33" w:rsidP="00C72439">
      <w:pPr>
        <w:rPr>
          <w:rFonts w:ascii="Arial" w:hAnsi="Arial" w:cs="Arial"/>
          <w:color w:val="000000"/>
        </w:rPr>
      </w:pPr>
    </w:p>
    <w:p w14:paraId="03FF6E35" w14:textId="77777777" w:rsidR="00EF1B33" w:rsidRDefault="00EF1B33" w:rsidP="00C72439">
      <w:pPr>
        <w:rPr>
          <w:rFonts w:ascii="Arial" w:hAnsi="Arial" w:cs="Arial"/>
          <w:i/>
          <w:iCs/>
          <w:color w:val="000000"/>
        </w:rPr>
      </w:pPr>
      <w:r w:rsidRPr="00183A52">
        <w:rPr>
          <w:rFonts w:ascii="Arial" w:hAnsi="Arial" w:cs="Arial"/>
          <w:i/>
          <w:iCs/>
          <w:color w:val="000000"/>
        </w:rPr>
        <w:t>6-2. The probability of arrival of likely future drugs</w:t>
      </w:r>
    </w:p>
    <w:p w14:paraId="7933958E" w14:textId="77777777" w:rsidR="00EF1B33" w:rsidRPr="00183A52" w:rsidRDefault="00EF1B33" w:rsidP="00C72439">
      <w:pPr>
        <w:rPr>
          <w:rFonts w:ascii="Arial" w:hAnsi="Arial" w:cs="Arial"/>
          <w:i/>
          <w:iCs/>
          <w:color w:val="000000"/>
        </w:rPr>
      </w:pPr>
      <w:bookmarkStart w:id="3" w:name="_GoBack"/>
      <w:bookmarkEnd w:id="3"/>
    </w:p>
    <w:p w14:paraId="4AFD7287" w14:textId="77777777" w:rsidR="00EF1B33" w:rsidRPr="00183A52" w:rsidRDefault="00EF1B33" w:rsidP="00C72439">
      <w:pPr>
        <w:rPr>
          <w:rFonts w:ascii="Arial" w:hAnsi="Arial" w:cs="Arial"/>
          <w:color w:val="000000"/>
        </w:rPr>
      </w:pPr>
      <w:r w:rsidRPr="00183A52">
        <w:rPr>
          <w:rFonts w:ascii="Arial" w:hAnsi="Arial" w:cs="Arial"/>
          <w:color w:val="000000"/>
        </w:rPr>
        <w:t>The uncertainty of the probability of arrival was based on a study that estimated clinical trial success rates for over 21,143 compounds from 2000 to 2015.</w:t>
      </w:r>
      <w:r w:rsidRPr="00904294">
        <w:t xml:space="preserve"> </w:t>
      </w:r>
      <w:r w:rsidRPr="00FC3B6C">
        <w:rPr>
          <w:rFonts w:ascii="Arial" w:hAnsi="Arial" w:cs="Arial"/>
          <w:noProof/>
          <w:color w:val="000000"/>
          <w:vertAlign w:val="superscript"/>
        </w:rPr>
        <w:t>8</w:t>
      </w:r>
      <w:r w:rsidRPr="00183A52">
        <w:rPr>
          <w:rFonts w:ascii="Arial" w:hAnsi="Arial" w:cs="Arial"/>
          <w:color w:val="000000"/>
        </w:rPr>
        <w:t xml:space="preserve"> Specifically, we used the standard error of the point estimates, which was reported in the study, to calculate the 95% CI of the point estimates. Then, we re-calculated the minimum and maximum probability of arrival using the lower and upper bound of the point estimates, respectively.</w:t>
      </w:r>
    </w:p>
    <w:p w14:paraId="781F8E50" w14:textId="77777777" w:rsidR="00EF1B33" w:rsidRPr="00183A52" w:rsidRDefault="00EF1B33" w:rsidP="00C72439">
      <w:pPr>
        <w:rPr>
          <w:rFonts w:ascii="Arial" w:hAnsi="Arial" w:cs="Arial"/>
          <w:color w:val="000000"/>
        </w:rPr>
      </w:pPr>
      <w:r w:rsidRPr="00183A52">
        <w:rPr>
          <w:rFonts w:ascii="Arial" w:hAnsi="Arial" w:cs="Arial"/>
          <w:color w:val="000000"/>
        </w:rPr>
        <w:t>The 95% CI for the probability succeeding phase 2 and phase 3 study for cancer biologics was 35.3% - 42.3% (38.8% +/- 1.96 * 1.8%) and 52.8% - 74.4% (63.6 +/- 1.96 * 5.5%), respectively.</w:t>
      </w:r>
    </w:p>
    <w:p w14:paraId="6DA39B21" w14:textId="77777777" w:rsidR="00EF1B33" w:rsidRPr="00183A52" w:rsidRDefault="00EF1B33" w:rsidP="00C72439">
      <w:pPr>
        <w:rPr>
          <w:rFonts w:ascii="Arial" w:hAnsi="Arial" w:cs="Arial"/>
          <w:color w:val="000000"/>
        </w:rPr>
      </w:pPr>
      <w:r w:rsidRPr="00183A52">
        <w:rPr>
          <w:rFonts w:ascii="Arial" w:hAnsi="Arial" w:cs="Arial"/>
          <w:color w:val="000000"/>
        </w:rPr>
        <w:t xml:space="preserve">Based on these CIs, the lower and upper bounds of the probability of any one of </w:t>
      </w:r>
      <w:proofErr w:type="spellStart"/>
      <w:r w:rsidRPr="00183A52">
        <w:rPr>
          <w:rFonts w:ascii="Arial" w:hAnsi="Arial" w:cs="Arial"/>
          <w:color w:val="000000"/>
        </w:rPr>
        <w:t>ensartinib</w:t>
      </w:r>
      <w:proofErr w:type="spellEnd"/>
      <w:r w:rsidRPr="00183A52">
        <w:rPr>
          <w:rFonts w:ascii="Arial" w:hAnsi="Arial" w:cs="Arial"/>
          <w:color w:val="000000"/>
        </w:rPr>
        <w:t xml:space="preserve"> (A) and </w:t>
      </w:r>
      <w:proofErr w:type="spellStart"/>
      <w:r w:rsidRPr="00183A52">
        <w:rPr>
          <w:rFonts w:ascii="Arial" w:hAnsi="Arial" w:cs="Arial"/>
          <w:color w:val="000000"/>
        </w:rPr>
        <w:t>lorlatinib</w:t>
      </w:r>
      <w:proofErr w:type="spellEnd"/>
      <w:r w:rsidRPr="00183A52">
        <w:rPr>
          <w:rFonts w:ascii="Arial" w:hAnsi="Arial" w:cs="Arial"/>
          <w:color w:val="000000"/>
        </w:rPr>
        <w:t xml:space="preserve"> (B) will get approved were:</w:t>
      </w:r>
    </w:p>
    <w:p w14:paraId="38833BCC" w14:textId="77777777" w:rsidR="00EF1B33" w:rsidRPr="00183A52" w:rsidRDefault="00EF1B33" w:rsidP="00C72439">
      <w:pPr>
        <w:rPr>
          <w:rFonts w:ascii="Arial" w:hAnsi="Arial" w:cs="Arial"/>
          <w:color w:val="000000"/>
        </w:rPr>
      </w:pPr>
      <w:r w:rsidRPr="00183A52">
        <w:rPr>
          <w:rFonts w:ascii="Arial" w:hAnsi="Arial" w:cs="Arial"/>
          <w:color w:val="000000"/>
        </w:rPr>
        <w:t>Lower bound: p(A</w:t>
      </w:r>
      <w:r w:rsidRPr="00183A52">
        <w:rPr>
          <w:rFonts w:ascii="Cambria Math" w:hAnsi="Cambria Math" w:cs="Cambria Math" w:hint="eastAsia"/>
          <w:color w:val="000000"/>
        </w:rPr>
        <w:t>∪</w:t>
      </w:r>
      <w:r w:rsidRPr="00183A52">
        <w:rPr>
          <w:rFonts w:ascii="Arial" w:hAnsi="Arial" w:cs="Arial"/>
          <w:color w:val="000000"/>
        </w:rPr>
        <w:t xml:space="preserve">B) = p(A) + </w:t>
      </w:r>
      <w:r w:rsidRPr="009A4BFF">
        <w:rPr>
          <w:rFonts w:ascii="Arial" w:hAnsi="Arial" w:cs="Arial"/>
          <w:color w:val="000000"/>
        </w:rPr>
        <w:t>p</w:t>
      </w:r>
      <w:r w:rsidRPr="00183A52">
        <w:rPr>
          <w:rFonts w:ascii="Arial" w:hAnsi="Arial" w:cs="Arial"/>
          <w:color w:val="000000"/>
        </w:rPr>
        <w:t xml:space="preserve">(B) </w:t>
      </w:r>
      <w:r w:rsidRPr="00183A52">
        <w:rPr>
          <w:rFonts w:ascii="Arial" w:hAnsi="Arial" w:cs="Arial" w:hint="eastAsia"/>
          <w:color w:val="000000"/>
        </w:rPr>
        <w:t>–</w:t>
      </w:r>
      <w:r w:rsidRPr="00183A52">
        <w:rPr>
          <w:rFonts w:ascii="Arial" w:hAnsi="Arial" w:cs="Arial"/>
          <w:color w:val="000000"/>
        </w:rPr>
        <w:t xml:space="preserve"> </w:t>
      </w:r>
      <w:r w:rsidRPr="009A4BFF">
        <w:rPr>
          <w:rFonts w:ascii="Arial" w:hAnsi="Arial" w:cs="Arial"/>
          <w:color w:val="000000"/>
        </w:rPr>
        <w:t>p</w:t>
      </w:r>
      <w:r w:rsidRPr="00183A52">
        <w:rPr>
          <w:rFonts w:ascii="Arial" w:hAnsi="Arial" w:cs="Arial"/>
          <w:color w:val="000000"/>
        </w:rPr>
        <w:t>(A</w:t>
      </w:r>
      <w:r w:rsidRPr="00183A52">
        <w:rPr>
          <w:rFonts w:ascii="Arial" w:hAnsi="Arial" w:cs="Arial" w:hint="eastAsia"/>
          <w:color w:val="000000"/>
        </w:rPr>
        <w:t>∩</w:t>
      </w:r>
      <w:r w:rsidRPr="00183A52">
        <w:rPr>
          <w:rFonts w:ascii="Arial" w:hAnsi="Arial" w:cs="Arial"/>
          <w:color w:val="000000"/>
        </w:rPr>
        <w:t>B) = 52.8% + 35.3% - (52.8% * 35.3%) = 69.5%</w:t>
      </w:r>
    </w:p>
    <w:p w14:paraId="1D99CFDD" w14:textId="77777777" w:rsidR="00EF1B33" w:rsidRPr="00183A52" w:rsidRDefault="00EF1B33" w:rsidP="00C72439">
      <w:pPr>
        <w:rPr>
          <w:rFonts w:ascii="Arial" w:hAnsi="Arial" w:cs="Arial"/>
          <w:color w:val="000000"/>
        </w:rPr>
      </w:pPr>
      <w:r w:rsidRPr="00183A52">
        <w:rPr>
          <w:rFonts w:ascii="Arial" w:hAnsi="Arial" w:cs="Arial"/>
          <w:color w:val="000000"/>
        </w:rPr>
        <w:t>Upper bound: p(A</w:t>
      </w:r>
      <w:r w:rsidRPr="00183A52">
        <w:rPr>
          <w:rFonts w:ascii="Cambria Math" w:hAnsi="Cambria Math" w:cs="Cambria Math" w:hint="eastAsia"/>
          <w:color w:val="000000"/>
        </w:rPr>
        <w:t>∪</w:t>
      </w:r>
      <w:r w:rsidRPr="00183A52">
        <w:rPr>
          <w:rFonts w:ascii="Arial" w:hAnsi="Arial" w:cs="Arial"/>
          <w:color w:val="000000"/>
        </w:rPr>
        <w:t xml:space="preserve">B) = p(A) + </w:t>
      </w:r>
      <w:r w:rsidRPr="009A4BFF">
        <w:rPr>
          <w:rFonts w:ascii="Arial" w:hAnsi="Arial" w:cs="Arial"/>
          <w:color w:val="000000"/>
        </w:rPr>
        <w:t>p</w:t>
      </w:r>
      <w:r w:rsidRPr="00183A52">
        <w:rPr>
          <w:rFonts w:ascii="Arial" w:hAnsi="Arial" w:cs="Arial"/>
          <w:color w:val="000000"/>
        </w:rPr>
        <w:t xml:space="preserve">(B) </w:t>
      </w:r>
      <w:r w:rsidRPr="00183A52">
        <w:rPr>
          <w:rFonts w:ascii="Arial" w:hAnsi="Arial" w:cs="Arial" w:hint="eastAsia"/>
          <w:color w:val="000000"/>
        </w:rPr>
        <w:t>–</w:t>
      </w:r>
      <w:r w:rsidRPr="00183A52">
        <w:rPr>
          <w:rFonts w:ascii="Arial" w:hAnsi="Arial" w:cs="Arial"/>
          <w:color w:val="000000"/>
        </w:rPr>
        <w:t xml:space="preserve"> </w:t>
      </w:r>
      <w:r w:rsidRPr="009A4BFF">
        <w:rPr>
          <w:rFonts w:ascii="Arial" w:hAnsi="Arial" w:cs="Arial"/>
          <w:color w:val="000000"/>
        </w:rPr>
        <w:t>p</w:t>
      </w:r>
      <w:r w:rsidRPr="00183A52">
        <w:rPr>
          <w:rFonts w:ascii="Arial" w:hAnsi="Arial" w:cs="Arial"/>
          <w:color w:val="000000"/>
        </w:rPr>
        <w:t>(A</w:t>
      </w:r>
      <w:r w:rsidRPr="00183A52">
        <w:rPr>
          <w:rFonts w:ascii="Arial" w:hAnsi="Arial" w:cs="Arial" w:hint="eastAsia"/>
          <w:color w:val="000000"/>
        </w:rPr>
        <w:t>∩</w:t>
      </w:r>
      <w:r w:rsidRPr="00183A52">
        <w:rPr>
          <w:rFonts w:ascii="Arial" w:hAnsi="Arial" w:cs="Arial"/>
          <w:color w:val="000000"/>
        </w:rPr>
        <w:t>B) = 74.4% + 42.3% - (74.4% * 42.3%) = 85.2%</w:t>
      </w:r>
    </w:p>
    <w:p w14:paraId="30C80117" w14:textId="77777777" w:rsidR="00EF1B33" w:rsidRPr="00183A52" w:rsidRDefault="00EF1B33" w:rsidP="00C72439">
      <w:pPr>
        <w:rPr>
          <w:rFonts w:ascii="Arial" w:hAnsi="Arial" w:cs="Arial"/>
          <w:color w:val="000000"/>
        </w:rPr>
      </w:pPr>
    </w:p>
    <w:p w14:paraId="03DEA4DA" w14:textId="77777777" w:rsidR="00EF1B33" w:rsidRDefault="00EF1B33" w:rsidP="00C72439">
      <w:pPr>
        <w:rPr>
          <w:rFonts w:ascii="Arial" w:hAnsi="Arial" w:cs="Arial"/>
          <w:i/>
          <w:iCs/>
          <w:color w:val="000000"/>
        </w:rPr>
      </w:pPr>
      <w:r w:rsidRPr="00183A52">
        <w:rPr>
          <w:rFonts w:ascii="Arial" w:hAnsi="Arial" w:cs="Arial"/>
          <w:i/>
          <w:iCs/>
          <w:color w:val="000000"/>
        </w:rPr>
        <w:t>6-3. The uptake level of likely future drugs</w:t>
      </w:r>
    </w:p>
    <w:p w14:paraId="0F66FC57" w14:textId="77777777" w:rsidR="00EF1B33" w:rsidRPr="00183A52" w:rsidRDefault="00EF1B33" w:rsidP="00C72439">
      <w:pPr>
        <w:rPr>
          <w:rFonts w:ascii="Arial" w:hAnsi="Arial" w:cs="Arial"/>
          <w:i/>
          <w:iCs/>
          <w:color w:val="000000"/>
        </w:rPr>
      </w:pPr>
    </w:p>
    <w:p w14:paraId="7CEB5178" w14:textId="77777777" w:rsidR="00EF1B33" w:rsidRPr="00183A52" w:rsidRDefault="00EF1B33" w:rsidP="00C72439">
      <w:pPr>
        <w:rPr>
          <w:rFonts w:ascii="Arial" w:hAnsi="Arial" w:cs="Arial"/>
          <w:color w:val="000000"/>
        </w:rPr>
      </w:pPr>
      <w:r w:rsidRPr="00183A52">
        <w:rPr>
          <w:rFonts w:ascii="Arial" w:hAnsi="Arial" w:cs="Arial"/>
          <w:color w:val="000000"/>
        </w:rPr>
        <w:t>Although we were able to derive the base-case value for the probability of patients receiving future drugs as a 2L based on the Flatiron database, the evidence to characterize the uncertainty of this estimate was lacking as of 11/2017. Therefore, we varied the base-case estimate by roughly +/- 50% to cover a wide range of the uptake level, consistent with a previous study that estimated ex ante ROV.</w:t>
      </w:r>
      <w:r w:rsidRPr="00904294">
        <w:t xml:space="preserve"> </w:t>
      </w:r>
      <w:r w:rsidRPr="00FC3B6C">
        <w:rPr>
          <w:rFonts w:ascii="Arial" w:hAnsi="Arial" w:cs="Arial"/>
          <w:noProof/>
          <w:color w:val="000000"/>
          <w:vertAlign w:val="superscript"/>
        </w:rPr>
        <w:t>13</w:t>
      </w:r>
      <w:r w:rsidRPr="00183A52">
        <w:rPr>
          <w:rFonts w:ascii="Arial" w:hAnsi="Arial" w:cs="Arial"/>
          <w:color w:val="000000"/>
        </w:rPr>
        <w:t xml:space="preserve"> The lower bound of the uptake level is approximately 40% (base-case value: 75%), which we think is low enough considering that there were only two major treatment options for ALK-positive NSCLC post 1L </w:t>
      </w:r>
      <w:proofErr w:type="spellStart"/>
      <w:r w:rsidRPr="00183A52">
        <w:rPr>
          <w:rFonts w:ascii="Arial" w:hAnsi="Arial" w:cs="Arial"/>
          <w:color w:val="000000"/>
        </w:rPr>
        <w:t>crizotinib</w:t>
      </w:r>
      <w:proofErr w:type="spellEnd"/>
      <w:r w:rsidRPr="00183A52">
        <w:rPr>
          <w:rFonts w:ascii="Arial" w:hAnsi="Arial" w:cs="Arial"/>
          <w:color w:val="000000"/>
        </w:rPr>
        <w:t xml:space="preserve"> or </w:t>
      </w:r>
      <w:proofErr w:type="spellStart"/>
      <w:r w:rsidRPr="00183A52">
        <w:rPr>
          <w:rFonts w:ascii="Arial" w:hAnsi="Arial" w:cs="Arial"/>
          <w:color w:val="000000"/>
        </w:rPr>
        <w:t>alectinib</w:t>
      </w:r>
      <w:proofErr w:type="spellEnd"/>
      <w:r w:rsidRPr="00183A52">
        <w:rPr>
          <w:rFonts w:ascii="Arial" w:hAnsi="Arial" w:cs="Arial"/>
          <w:color w:val="000000"/>
        </w:rPr>
        <w:t xml:space="preserve">: </w:t>
      </w:r>
      <w:proofErr w:type="spellStart"/>
      <w:r w:rsidRPr="00183A52">
        <w:rPr>
          <w:rFonts w:ascii="Arial" w:hAnsi="Arial" w:cs="Arial"/>
          <w:color w:val="000000"/>
        </w:rPr>
        <w:t>brigatinib</w:t>
      </w:r>
      <w:proofErr w:type="spellEnd"/>
      <w:r w:rsidRPr="00183A52">
        <w:rPr>
          <w:rFonts w:ascii="Arial" w:hAnsi="Arial" w:cs="Arial"/>
          <w:color w:val="000000"/>
        </w:rPr>
        <w:t xml:space="preserve"> and </w:t>
      </w:r>
      <w:proofErr w:type="spellStart"/>
      <w:r w:rsidRPr="00183A52">
        <w:rPr>
          <w:rFonts w:ascii="Arial" w:hAnsi="Arial" w:cs="Arial"/>
          <w:color w:val="000000"/>
        </w:rPr>
        <w:t>ceritibinib</w:t>
      </w:r>
      <w:proofErr w:type="spellEnd"/>
      <w:r w:rsidRPr="00183A52">
        <w:rPr>
          <w:rFonts w:ascii="Arial" w:hAnsi="Arial" w:cs="Arial"/>
          <w:color w:val="000000"/>
        </w:rPr>
        <w:t xml:space="preserve">.   </w:t>
      </w:r>
    </w:p>
    <w:p w14:paraId="6AA16DD0" w14:textId="77777777" w:rsidR="00EF1B33" w:rsidRPr="009A4BFF" w:rsidRDefault="00EF1B33">
      <w:pPr>
        <w:rPr>
          <w:rFonts w:ascii="Arial" w:hAnsi="Arial" w:cs="Arial"/>
          <w:b/>
          <w:bCs/>
          <w:color w:val="000000"/>
        </w:rPr>
      </w:pPr>
      <w:r w:rsidRPr="009A4BFF">
        <w:rPr>
          <w:rFonts w:ascii="Arial" w:hAnsi="Arial" w:cs="Arial"/>
          <w:b/>
          <w:bCs/>
          <w:color w:val="000000"/>
        </w:rPr>
        <w:br w:type="page"/>
      </w:r>
    </w:p>
    <w:p w14:paraId="4DFEC344" w14:textId="2DEA7F0D" w:rsidR="00EF1B33" w:rsidRPr="009A4BFF" w:rsidRDefault="009D3E6A" w:rsidP="00F70C5C">
      <w:pPr>
        <w:rPr>
          <w:rFonts w:ascii="Arial" w:hAnsi="Arial" w:cs="Arial"/>
          <w:b/>
          <w:bCs/>
          <w:color w:val="000000"/>
        </w:rPr>
      </w:pPr>
      <w:r>
        <w:rPr>
          <w:rFonts w:ascii="Arial" w:hAnsi="Arial" w:cs="Arial"/>
          <w:b/>
          <w:bCs/>
          <w:color w:val="000000"/>
        </w:rPr>
        <w:lastRenderedPageBreak/>
        <w:t xml:space="preserve">Appendix </w:t>
      </w:r>
      <w:r w:rsidR="00EF1B33" w:rsidRPr="009A4BFF">
        <w:rPr>
          <w:rFonts w:ascii="Arial" w:hAnsi="Arial" w:cs="Arial"/>
          <w:b/>
          <w:bCs/>
          <w:color w:val="000000"/>
        </w:rPr>
        <w:t>7. Estimation of the incremental utility for the progressed disease state with vs. without using innovative drugs as a 2L</w:t>
      </w:r>
    </w:p>
    <w:p w14:paraId="4195E776" w14:textId="77777777" w:rsidR="00EF1B33" w:rsidRPr="009A4BFF" w:rsidRDefault="00EF1B33" w:rsidP="001201E9">
      <w:pPr>
        <w:rPr>
          <w:rFonts w:ascii="Arial" w:hAnsi="Arial" w:cs="Arial"/>
          <w:color w:val="000000"/>
        </w:rPr>
      </w:pPr>
      <w:r w:rsidRPr="009A4BFF">
        <w:rPr>
          <w:rFonts w:ascii="Arial" w:hAnsi="Arial" w:cs="Arial"/>
          <w:color w:val="000000"/>
        </w:rPr>
        <w:t xml:space="preserve">The use of future innovative drugs as a 2L is likely to increase the health state utility because patients taking future innovative drugs are likely to stay in the 2L pre-progression state longer than those who take the standard of care. However, in the base-case, we used the same utility values for the PD state with and without using innovative drugs as a 2L, which is likely to give us a conservative estimate of ROV. In this scenario analysis, however, we estimated the incremental utility for the progressed state with vs. without using innovative drugs as a 2L to differentiate the utility for the two health states. Note that we did not explicitly model the 2L pre-progression state, and thus we adjusted the utility for the progressed state using innovative drugs as a 2L. </w:t>
      </w:r>
    </w:p>
    <w:p w14:paraId="2EDD78F4" w14:textId="1818F303" w:rsidR="00EF1B33" w:rsidRPr="009A4BFF" w:rsidRDefault="00EF1B33" w:rsidP="001201E9">
      <w:pPr>
        <w:rPr>
          <w:rFonts w:ascii="Arial" w:hAnsi="Arial" w:cs="Arial"/>
          <w:color w:val="000000"/>
        </w:rPr>
      </w:pPr>
      <w:r w:rsidRPr="009A4BFF">
        <w:rPr>
          <w:rFonts w:ascii="Arial" w:hAnsi="Arial" w:cs="Arial"/>
          <w:color w:val="000000"/>
        </w:rPr>
        <w:t xml:space="preserve">We first calculated the incremental length of stay in the 2L pre-progression state between those using innovative drugs vs. </w:t>
      </w:r>
      <w:proofErr w:type="spellStart"/>
      <w:r w:rsidRPr="009A4BFF">
        <w:rPr>
          <w:rFonts w:ascii="Arial" w:hAnsi="Arial" w:cs="Arial"/>
          <w:color w:val="000000"/>
        </w:rPr>
        <w:t>brigatinib</w:t>
      </w:r>
      <w:proofErr w:type="spellEnd"/>
      <w:r w:rsidRPr="009A4BFF">
        <w:rPr>
          <w:rFonts w:ascii="Arial" w:hAnsi="Arial" w:cs="Arial"/>
          <w:color w:val="000000"/>
        </w:rPr>
        <w:t xml:space="preserve"> as a 2L. The median PFS with 2L </w:t>
      </w:r>
      <w:proofErr w:type="spellStart"/>
      <w:r w:rsidRPr="009A4BFF">
        <w:rPr>
          <w:rFonts w:ascii="Arial" w:hAnsi="Arial" w:cs="Arial"/>
          <w:color w:val="000000"/>
        </w:rPr>
        <w:t>brigatinib</w:t>
      </w:r>
      <w:proofErr w:type="spellEnd"/>
      <w:r w:rsidRPr="009A4BFF">
        <w:rPr>
          <w:rFonts w:ascii="Arial" w:hAnsi="Arial" w:cs="Arial"/>
          <w:color w:val="000000"/>
        </w:rPr>
        <w:t xml:space="preserve"> was 1.1 years based on the ALTA trial.</w:t>
      </w:r>
      <w:r w:rsidRPr="00183A52">
        <w:rPr>
          <w:rFonts w:ascii="Arial" w:hAnsi="Arial" w:cs="Arial"/>
        </w:rPr>
        <w:t xml:space="preserve"> </w:t>
      </w:r>
      <w:r w:rsidRPr="00FC3B6C">
        <w:rPr>
          <w:rFonts w:ascii="Arial" w:hAnsi="Arial" w:cs="Arial"/>
          <w:noProof/>
          <w:color w:val="000000"/>
          <w:vertAlign w:val="superscript"/>
        </w:rPr>
        <w:t>3</w:t>
      </w:r>
      <w:r w:rsidRPr="009A4BFF">
        <w:rPr>
          <w:rFonts w:ascii="Arial" w:hAnsi="Arial" w:cs="Arial"/>
          <w:color w:val="000000"/>
        </w:rPr>
        <w:t xml:space="preserve"> Since we estimated that the HR of future drugs is 0.78 (see </w:t>
      </w:r>
      <w:r w:rsidRPr="009A4BFF">
        <w:rPr>
          <w:rFonts w:ascii="Arial" w:hAnsi="Arial" w:cs="Arial"/>
          <w:b/>
          <w:bCs/>
          <w:color w:val="000000"/>
        </w:rPr>
        <w:t xml:space="preserve">Appendix </w:t>
      </w:r>
      <w:r>
        <w:rPr>
          <w:rFonts w:ascii="Arial" w:hAnsi="Arial" w:cs="Arial"/>
          <w:b/>
          <w:bCs/>
          <w:color w:val="000000"/>
        </w:rPr>
        <w:t>5</w:t>
      </w:r>
      <w:r w:rsidRPr="009A4BFF">
        <w:rPr>
          <w:rFonts w:ascii="Arial" w:hAnsi="Arial" w:cs="Arial"/>
          <w:color w:val="000000"/>
        </w:rPr>
        <w:t xml:space="preserve">), the projected median PFS with 2L innovative drugs was estimated to be 1.34 years (1.1 * 1.22). We then multiplied the incremental utility between the pro-progression (0.81) and progressed (0.72) states to calculate the utility increment in the progressed state with vs. without using innovative drugs: (0.81 – 0.72) * (1.1 years * 0.22) = 0.02. Therefore, in the scenario analysis, the utility value for the progressed state with using innovative drugs as a 2L was 0.74 (0.72 + 0.02). </w:t>
      </w:r>
    </w:p>
    <w:p w14:paraId="0175EF61" w14:textId="77777777" w:rsidR="00EF1B33" w:rsidRPr="009A4BFF" w:rsidRDefault="00EF1B33" w:rsidP="001201E9">
      <w:pPr>
        <w:rPr>
          <w:rFonts w:ascii="Arial" w:hAnsi="Arial" w:cs="Arial"/>
          <w:color w:val="000000"/>
        </w:rPr>
      </w:pPr>
    </w:p>
    <w:p w14:paraId="246CFB56" w14:textId="77777777" w:rsidR="00EF1B33" w:rsidRPr="00183A52" w:rsidRDefault="00EF1B33">
      <w:pPr>
        <w:rPr>
          <w:rFonts w:ascii="Arial" w:hAnsi="Arial" w:cs="Arial"/>
          <w:b/>
          <w:bCs/>
        </w:rPr>
      </w:pPr>
    </w:p>
    <w:p w14:paraId="03F2D456" w14:textId="5E8CE21F" w:rsidR="00EF1B33" w:rsidRPr="009A4BFF" w:rsidRDefault="00EF1B33">
      <w:pPr>
        <w:rPr>
          <w:rFonts w:ascii="Arial" w:hAnsi="Arial" w:cs="Arial"/>
          <w:b/>
          <w:bCs/>
        </w:rPr>
      </w:pPr>
      <w:r w:rsidRPr="009A4BFF">
        <w:rPr>
          <w:rFonts w:ascii="Arial" w:hAnsi="Arial" w:cs="Arial"/>
          <w:b/>
          <w:bCs/>
        </w:rPr>
        <w:br w:type="page"/>
      </w:r>
      <w:r w:rsidR="009D3E6A">
        <w:rPr>
          <w:rFonts w:ascii="Arial" w:hAnsi="Arial" w:cs="Arial"/>
          <w:b/>
          <w:bCs/>
        </w:rPr>
        <w:lastRenderedPageBreak/>
        <w:t xml:space="preserve">Appendix </w:t>
      </w:r>
      <w:r w:rsidR="0016285E">
        <w:rPr>
          <w:rFonts w:ascii="Arial" w:hAnsi="Arial" w:cs="Arial"/>
          <w:b/>
          <w:bCs/>
        </w:rPr>
        <w:t>8</w:t>
      </w:r>
      <w:r w:rsidRPr="009A4BFF">
        <w:rPr>
          <w:rFonts w:ascii="Arial" w:hAnsi="Arial" w:cs="Arial"/>
          <w:b/>
          <w:bCs/>
        </w:rPr>
        <w:t xml:space="preserve">. The incremental ROV of 1L </w:t>
      </w:r>
      <w:proofErr w:type="spellStart"/>
      <w:r w:rsidRPr="009A4BFF">
        <w:rPr>
          <w:rFonts w:ascii="Arial" w:hAnsi="Arial" w:cs="Arial"/>
          <w:b/>
          <w:bCs/>
        </w:rPr>
        <w:t>alectinib</w:t>
      </w:r>
      <w:proofErr w:type="spellEnd"/>
      <w:r w:rsidRPr="009A4BFF">
        <w:rPr>
          <w:rFonts w:ascii="Arial" w:hAnsi="Arial" w:cs="Arial"/>
          <w:b/>
          <w:bCs/>
        </w:rPr>
        <w:t xml:space="preserve"> (vs. </w:t>
      </w:r>
      <w:proofErr w:type="spellStart"/>
      <w:r w:rsidRPr="009A4BFF">
        <w:rPr>
          <w:rFonts w:ascii="Arial" w:hAnsi="Arial" w:cs="Arial"/>
          <w:b/>
          <w:bCs/>
        </w:rPr>
        <w:t>crizotinib</w:t>
      </w:r>
      <w:proofErr w:type="spellEnd"/>
      <w:r w:rsidRPr="009A4BFF">
        <w:rPr>
          <w:rFonts w:ascii="Arial" w:hAnsi="Arial" w:cs="Arial"/>
          <w:b/>
          <w:bCs/>
        </w:rPr>
        <w:t>) in QALYs across three different uptake levels</w:t>
      </w:r>
    </w:p>
    <w:tbl>
      <w:tblPr>
        <w:tblStyle w:val="TableGrid"/>
        <w:tblW w:w="0" w:type="auto"/>
        <w:tblInd w:w="720" w:type="dxa"/>
        <w:tblLook w:val="04A0" w:firstRow="1" w:lastRow="0" w:firstColumn="1" w:lastColumn="0" w:noHBand="0" w:noVBand="1"/>
      </w:tblPr>
      <w:tblGrid>
        <w:gridCol w:w="4568"/>
        <w:gridCol w:w="4062"/>
      </w:tblGrid>
      <w:tr w:rsidR="00EF1B33" w:rsidRPr="00CF1FDC" w14:paraId="490E872C" w14:textId="77777777" w:rsidTr="007E0335">
        <w:tc>
          <w:tcPr>
            <w:tcW w:w="8856" w:type="dxa"/>
            <w:gridSpan w:val="2"/>
          </w:tcPr>
          <w:p w14:paraId="15C887CD" w14:textId="77777777" w:rsidR="00EF1B33" w:rsidRPr="009A4BFF" w:rsidRDefault="00EF1B33" w:rsidP="007E0335">
            <w:pPr>
              <w:pStyle w:val="ListParagraph"/>
              <w:ind w:left="0"/>
              <w:rPr>
                <w:rFonts w:ascii="Arial" w:hAnsi="Arial" w:cs="Arial"/>
                <w:b/>
                <w:bCs/>
                <w:color w:val="000000"/>
                <w:shd w:val="clear" w:color="auto" w:fill="FFFFFF"/>
              </w:rPr>
            </w:pPr>
            <w:r w:rsidRPr="009A4BFF">
              <w:rPr>
                <w:rFonts w:ascii="Arial" w:hAnsi="Arial" w:cs="Arial"/>
                <w:b/>
                <w:bCs/>
                <w:color w:val="000000"/>
                <w:shd w:val="clear" w:color="auto" w:fill="FFFFFF"/>
              </w:rPr>
              <w:t xml:space="preserve">Table </w:t>
            </w:r>
            <w:r>
              <w:rPr>
                <w:rFonts w:ascii="Arial" w:hAnsi="Arial" w:cs="Arial"/>
                <w:b/>
                <w:bCs/>
                <w:color w:val="000000"/>
                <w:shd w:val="clear" w:color="auto" w:fill="FFFFFF"/>
              </w:rPr>
              <w:t>S9</w:t>
            </w:r>
            <w:r w:rsidRPr="009A4BFF">
              <w:rPr>
                <w:rFonts w:ascii="Arial" w:hAnsi="Arial" w:cs="Arial"/>
                <w:b/>
                <w:bCs/>
                <w:color w:val="000000"/>
                <w:shd w:val="clear" w:color="auto" w:fill="FFFFFF"/>
              </w:rPr>
              <w:t xml:space="preserve">. </w:t>
            </w:r>
            <w:bookmarkStart w:id="4" w:name="_Hlk93228502"/>
            <w:r w:rsidRPr="009A4BFF">
              <w:rPr>
                <w:rFonts w:ascii="Arial" w:hAnsi="Arial" w:cs="Arial"/>
                <w:b/>
                <w:bCs/>
                <w:color w:val="000000"/>
                <w:shd w:val="clear" w:color="auto" w:fill="FFFFFF"/>
              </w:rPr>
              <w:t xml:space="preserve">The incremental ROV of 1L </w:t>
            </w:r>
            <w:proofErr w:type="spellStart"/>
            <w:r w:rsidRPr="009A4BFF">
              <w:rPr>
                <w:rFonts w:ascii="Arial" w:hAnsi="Arial" w:cs="Arial"/>
                <w:b/>
                <w:bCs/>
                <w:color w:val="000000"/>
                <w:shd w:val="clear" w:color="auto" w:fill="FFFFFF"/>
              </w:rPr>
              <w:t>alectinib</w:t>
            </w:r>
            <w:proofErr w:type="spellEnd"/>
            <w:r w:rsidRPr="009A4BFF">
              <w:rPr>
                <w:rFonts w:ascii="Arial" w:hAnsi="Arial" w:cs="Arial"/>
                <w:b/>
                <w:bCs/>
                <w:color w:val="000000"/>
                <w:shd w:val="clear" w:color="auto" w:fill="FFFFFF"/>
              </w:rPr>
              <w:t xml:space="preserve"> (vs. </w:t>
            </w:r>
            <w:proofErr w:type="spellStart"/>
            <w:r w:rsidRPr="009A4BFF">
              <w:rPr>
                <w:rFonts w:ascii="Arial" w:hAnsi="Arial" w:cs="Arial"/>
                <w:b/>
                <w:bCs/>
                <w:color w:val="000000"/>
                <w:shd w:val="clear" w:color="auto" w:fill="FFFFFF"/>
              </w:rPr>
              <w:t>crizotinib</w:t>
            </w:r>
            <w:proofErr w:type="spellEnd"/>
            <w:r w:rsidRPr="009A4BFF">
              <w:rPr>
                <w:rFonts w:ascii="Arial" w:hAnsi="Arial" w:cs="Arial"/>
                <w:b/>
                <w:bCs/>
                <w:color w:val="000000"/>
                <w:shd w:val="clear" w:color="auto" w:fill="FFFFFF"/>
              </w:rPr>
              <w:t>) in QALYs across three different uptake levels.</w:t>
            </w:r>
            <w:bookmarkEnd w:id="4"/>
          </w:p>
        </w:tc>
      </w:tr>
      <w:tr w:rsidR="00EF1B33" w:rsidRPr="00CF1FDC" w14:paraId="08B7AA2F" w14:textId="77777777" w:rsidTr="007E0335">
        <w:tc>
          <w:tcPr>
            <w:tcW w:w="4698" w:type="dxa"/>
          </w:tcPr>
          <w:p w14:paraId="4D646DF3" w14:textId="77777777" w:rsidR="00EF1B33" w:rsidRPr="009A4BFF" w:rsidRDefault="00EF1B33" w:rsidP="007E0335">
            <w:pPr>
              <w:pStyle w:val="ListParagraph"/>
              <w:ind w:left="0"/>
              <w:rPr>
                <w:rFonts w:ascii="Arial" w:hAnsi="Arial" w:cs="Arial"/>
                <w:b/>
                <w:bCs/>
                <w:color w:val="000000"/>
                <w:shd w:val="clear" w:color="auto" w:fill="FFFFFF"/>
              </w:rPr>
            </w:pPr>
            <w:r w:rsidRPr="009A4BFF">
              <w:rPr>
                <w:rFonts w:ascii="Arial" w:hAnsi="Arial" w:cs="Arial"/>
                <w:b/>
                <w:bCs/>
                <w:color w:val="000000"/>
                <w:shd w:val="clear" w:color="auto" w:fill="FFFFFF"/>
              </w:rPr>
              <w:t xml:space="preserve">Incremental ROV of </w:t>
            </w:r>
            <w:proofErr w:type="spellStart"/>
            <w:r w:rsidRPr="009A4BFF">
              <w:rPr>
                <w:rFonts w:ascii="Arial" w:hAnsi="Arial" w:cs="Arial"/>
                <w:b/>
                <w:bCs/>
                <w:color w:val="000000"/>
                <w:shd w:val="clear" w:color="auto" w:fill="FFFFFF"/>
              </w:rPr>
              <w:t>alectinib</w:t>
            </w:r>
            <w:proofErr w:type="spellEnd"/>
            <w:r w:rsidRPr="009A4BFF">
              <w:rPr>
                <w:rFonts w:ascii="Arial" w:hAnsi="Arial" w:cs="Arial"/>
                <w:b/>
                <w:bCs/>
                <w:color w:val="000000"/>
                <w:shd w:val="clear" w:color="auto" w:fill="FFFFFF"/>
              </w:rPr>
              <w:t xml:space="preserve"> in QALYs (months)</w:t>
            </w:r>
          </w:p>
        </w:tc>
        <w:tc>
          <w:tcPr>
            <w:tcW w:w="4158" w:type="dxa"/>
          </w:tcPr>
          <w:p w14:paraId="20DAE609" w14:textId="77777777" w:rsidR="00EF1B33" w:rsidRPr="009A4BFF" w:rsidRDefault="00EF1B33" w:rsidP="007E0335">
            <w:pPr>
              <w:pStyle w:val="ListParagraph"/>
              <w:ind w:left="0"/>
              <w:rPr>
                <w:rFonts w:ascii="Arial" w:hAnsi="Arial" w:cs="Arial"/>
                <w:b/>
                <w:bCs/>
                <w:color w:val="000000"/>
                <w:shd w:val="clear" w:color="auto" w:fill="FFFFFF"/>
              </w:rPr>
            </w:pPr>
            <w:r w:rsidRPr="009A4BFF">
              <w:rPr>
                <w:rFonts w:ascii="Arial" w:hAnsi="Arial" w:cs="Arial"/>
                <w:b/>
                <w:bCs/>
                <w:color w:val="000000"/>
                <w:shd w:val="clear" w:color="auto" w:fill="FFFFFF"/>
              </w:rPr>
              <w:t>The corresponding uptake level</w:t>
            </w:r>
          </w:p>
        </w:tc>
      </w:tr>
      <w:tr w:rsidR="00EF1B33" w:rsidRPr="00CF1FDC" w14:paraId="197E031A" w14:textId="77777777" w:rsidTr="007E0335">
        <w:tc>
          <w:tcPr>
            <w:tcW w:w="4698" w:type="dxa"/>
          </w:tcPr>
          <w:p w14:paraId="0908886C"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 xml:space="preserve">0.5 month </w:t>
            </w:r>
          </w:p>
        </w:tc>
        <w:tc>
          <w:tcPr>
            <w:tcW w:w="4158" w:type="dxa"/>
          </w:tcPr>
          <w:p w14:paraId="27664551"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30%</w:t>
            </w:r>
          </w:p>
        </w:tc>
      </w:tr>
      <w:tr w:rsidR="00EF1B33" w:rsidRPr="00CF1FDC" w14:paraId="5769F4B7" w14:textId="77777777" w:rsidTr="007E0335">
        <w:tc>
          <w:tcPr>
            <w:tcW w:w="4698" w:type="dxa"/>
          </w:tcPr>
          <w:p w14:paraId="1249CBA6"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 xml:space="preserve">1 month </w:t>
            </w:r>
          </w:p>
        </w:tc>
        <w:tc>
          <w:tcPr>
            <w:tcW w:w="4158" w:type="dxa"/>
          </w:tcPr>
          <w:p w14:paraId="3416528F"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60%</w:t>
            </w:r>
          </w:p>
        </w:tc>
      </w:tr>
      <w:tr w:rsidR="00EF1B33" w:rsidRPr="00CF1FDC" w14:paraId="0AF9D5E0" w14:textId="77777777" w:rsidTr="007E0335">
        <w:tc>
          <w:tcPr>
            <w:tcW w:w="4698" w:type="dxa"/>
          </w:tcPr>
          <w:p w14:paraId="16DDF63C"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 xml:space="preserve">1.5 month </w:t>
            </w:r>
          </w:p>
        </w:tc>
        <w:tc>
          <w:tcPr>
            <w:tcW w:w="4158" w:type="dxa"/>
          </w:tcPr>
          <w:p w14:paraId="5C3C28E6" w14:textId="77777777" w:rsidR="00EF1B33" w:rsidRPr="009A4BFF" w:rsidRDefault="00EF1B33" w:rsidP="007E0335">
            <w:pPr>
              <w:pStyle w:val="ListParagraph"/>
              <w:ind w:left="0"/>
              <w:rPr>
                <w:rFonts w:ascii="Arial" w:hAnsi="Arial" w:cs="Arial"/>
                <w:color w:val="000000"/>
                <w:shd w:val="clear" w:color="auto" w:fill="FFFFFF"/>
              </w:rPr>
            </w:pPr>
            <w:r w:rsidRPr="009A4BFF">
              <w:rPr>
                <w:rFonts w:ascii="Arial" w:hAnsi="Arial" w:cs="Arial"/>
                <w:color w:val="000000"/>
                <w:shd w:val="clear" w:color="auto" w:fill="FFFFFF"/>
              </w:rPr>
              <w:t>90%</w:t>
            </w:r>
          </w:p>
        </w:tc>
      </w:tr>
    </w:tbl>
    <w:p w14:paraId="2D8EAF71" w14:textId="77777777" w:rsidR="00EF1B33" w:rsidRPr="009A4BFF" w:rsidRDefault="00EF1B33">
      <w:pPr>
        <w:rPr>
          <w:rFonts w:ascii="Arial" w:hAnsi="Arial" w:cs="Arial"/>
          <w:b/>
          <w:bCs/>
        </w:rPr>
      </w:pPr>
    </w:p>
    <w:p w14:paraId="55ED5D50" w14:textId="77777777" w:rsidR="00EF1B33" w:rsidRPr="009A4BFF" w:rsidRDefault="00EF1B33">
      <w:pPr>
        <w:rPr>
          <w:rFonts w:ascii="Arial" w:hAnsi="Arial" w:cs="Arial"/>
          <w:b/>
          <w:bCs/>
        </w:rPr>
      </w:pPr>
    </w:p>
    <w:p w14:paraId="0E21A90C" w14:textId="77777777" w:rsidR="00EF1B33" w:rsidRDefault="00EF1B33">
      <w:pPr>
        <w:rPr>
          <w:rFonts w:ascii="Arial" w:hAnsi="Arial" w:cs="Arial"/>
          <w:b/>
          <w:bCs/>
        </w:rPr>
      </w:pPr>
      <w:r>
        <w:rPr>
          <w:rFonts w:ascii="Arial" w:hAnsi="Arial" w:cs="Arial"/>
          <w:b/>
          <w:bCs/>
        </w:rPr>
        <w:br w:type="page"/>
      </w:r>
    </w:p>
    <w:p w14:paraId="3C5EE2D0" w14:textId="77777777" w:rsidR="00EF1B33" w:rsidRPr="00EF1B33" w:rsidRDefault="00EF1B33" w:rsidP="00EF1B33">
      <w:pPr>
        <w:spacing w:line="480" w:lineRule="auto"/>
        <w:rPr>
          <w:rFonts w:ascii="Arial" w:hAnsi="Arial" w:cs="Arial"/>
          <w:b/>
          <w:bCs/>
        </w:rPr>
      </w:pPr>
      <w:r w:rsidRPr="00EF1B33">
        <w:rPr>
          <w:rFonts w:ascii="Arial" w:hAnsi="Arial" w:cs="Arial"/>
          <w:b/>
          <w:bCs/>
        </w:rPr>
        <w:lastRenderedPageBreak/>
        <w:t>References</w:t>
      </w:r>
    </w:p>
    <w:p w14:paraId="1F301AE8" w14:textId="77777777" w:rsidR="00EF1B33" w:rsidRPr="00EF1B33" w:rsidRDefault="00EF1B33" w:rsidP="00EF1B33">
      <w:pPr>
        <w:pStyle w:val="EndNoteBibliography"/>
        <w:spacing w:after="0" w:line="480" w:lineRule="auto"/>
        <w:rPr>
          <w:rFonts w:ascii="Arial" w:hAnsi="Arial" w:cs="Arial"/>
        </w:rPr>
      </w:pPr>
      <w:r w:rsidRPr="00EF1B33">
        <w:rPr>
          <w:rFonts w:ascii="Arial" w:hAnsi="Arial" w:cs="Arial"/>
        </w:rPr>
        <w:t>1.</w:t>
      </w:r>
      <w:r w:rsidRPr="00EF1B33">
        <w:rPr>
          <w:rFonts w:ascii="Arial" w:hAnsi="Arial" w:cs="Arial"/>
        </w:rPr>
        <w:tab/>
        <w:t>Huber RM, Hansen KH, Rodríguez LP-A, et al. Brigatinib in crizotinib-refractory ALK+ NSCLC: 2-year follow-up on systemic and intracranial outcomes in the phase 2 ALTA trial. Journal of Thoracic Oncology. 2020; 15: 404-15</w:t>
      </w:r>
    </w:p>
    <w:p w14:paraId="13850BDA" w14:textId="77777777" w:rsidR="00EF1B33" w:rsidRPr="00EF1B33" w:rsidRDefault="00EF1B33" w:rsidP="00EF1B33">
      <w:pPr>
        <w:pStyle w:val="EndNoteBibliography"/>
        <w:spacing w:after="0" w:line="480" w:lineRule="auto"/>
        <w:rPr>
          <w:rFonts w:ascii="Arial" w:hAnsi="Arial" w:cs="Arial"/>
        </w:rPr>
      </w:pPr>
      <w:r w:rsidRPr="00EF1B33">
        <w:rPr>
          <w:rFonts w:ascii="Arial" w:hAnsi="Arial" w:cs="Arial"/>
        </w:rPr>
        <w:t>2.</w:t>
      </w:r>
      <w:r w:rsidRPr="00EF1B33">
        <w:rPr>
          <w:rFonts w:ascii="Arial" w:hAnsi="Arial" w:cs="Arial"/>
        </w:rPr>
        <w:tab/>
        <w:t>National Institute of Health, Registering with ClinicalTrials.gov.https://www.niams.nih.gov/grants-funding/conducting-clinical-research/register-trials-gov</w:t>
      </w:r>
    </w:p>
    <w:p w14:paraId="72246E4D" w14:textId="77777777" w:rsidR="00EF1B33" w:rsidRPr="00EF1B33" w:rsidRDefault="00EF1B33" w:rsidP="00EF1B33">
      <w:pPr>
        <w:pStyle w:val="EndNoteBibliography"/>
        <w:spacing w:after="0" w:line="480" w:lineRule="auto"/>
        <w:rPr>
          <w:rFonts w:ascii="Arial" w:hAnsi="Arial" w:cs="Arial"/>
        </w:rPr>
      </w:pPr>
      <w:r w:rsidRPr="00EF1B33">
        <w:rPr>
          <w:rFonts w:ascii="Arial" w:hAnsi="Arial" w:cs="Arial"/>
        </w:rPr>
        <w:t>3.</w:t>
      </w:r>
      <w:r w:rsidRPr="00EF1B33">
        <w:rPr>
          <w:rFonts w:ascii="Arial" w:hAnsi="Arial" w:cs="Arial"/>
        </w:rPr>
        <w:tab/>
        <w:t>Kim DW, Tiseo M, Ahn MJ, et al. Brigatinib in Patients With Crizotinib-Refractory Anaplastic Lymphoma Kinase-Positive Non-Small-Cell Lung Cancer: A Randomized, Multicenter Phase II Trial. J Clin Oncol. 2017; 35: 2490-98.https://www.ncbi.nlm.nih.gov/pubmed/28475456</w:t>
      </w:r>
    </w:p>
    <w:p w14:paraId="7AA88471" w14:textId="77777777" w:rsidR="00EF1B33" w:rsidRPr="00EF1B33" w:rsidRDefault="00EF1B33" w:rsidP="00EF1B33">
      <w:pPr>
        <w:pStyle w:val="EndNoteBibliography"/>
        <w:spacing w:after="0" w:line="480" w:lineRule="auto"/>
        <w:rPr>
          <w:rFonts w:ascii="Arial" w:hAnsi="Arial" w:cs="Arial"/>
        </w:rPr>
      </w:pPr>
      <w:r w:rsidRPr="00EF1B33">
        <w:rPr>
          <w:rFonts w:ascii="Arial" w:hAnsi="Arial" w:cs="Arial"/>
        </w:rPr>
        <w:t>4.</w:t>
      </w:r>
      <w:r w:rsidRPr="00EF1B33">
        <w:rPr>
          <w:rFonts w:ascii="Arial" w:hAnsi="Arial" w:cs="Arial"/>
        </w:rPr>
        <w:tab/>
        <w:t>Tsujino K, Kawaguchi T, Kubo A, et al. Response rate is associated with prolonged survival in patients with advanced non-small cell lung cancer treated with gefitinib or erlotinib. Journal of thoracic oncology. 2009; 4: 994-1001</w:t>
      </w:r>
    </w:p>
    <w:p w14:paraId="2DEDE8A6" w14:textId="77777777" w:rsidR="00EF1B33" w:rsidRPr="00EF1B33" w:rsidRDefault="00EF1B33" w:rsidP="00EF1B33">
      <w:pPr>
        <w:pStyle w:val="EndNoteBibliography"/>
        <w:spacing w:after="0" w:line="480" w:lineRule="auto"/>
        <w:rPr>
          <w:rFonts w:ascii="Arial" w:hAnsi="Arial" w:cs="Arial"/>
        </w:rPr>
      </w:pPr>
      <w:r w:rsidRPr="00EF1B33">
        <w:rPr>
          <w:rFonts w:ascii="Arial" w:hAnsi="Arial" w:cs="Arial"/>
        </w:rPr>
        <w:t>5.</w:t>
      </w:r>
      <w:r w:rsidRPr="00EF1B33">
        <w:rPr>
          <w:rFonts w:ascii="Arial" w:hAnsi="Arial" w:cs="Arial"/>
        </w:rPr>
        <w:tab/>
        <w:t>Wang Y, Sung C, Dartois C, et al. Elucidation of relationship between tumor size and survival in non</w:t>
      </w:r>
      <w:r w:rsidRPr="00EF1B33">
        <w:rPr>
          <w:rFonts w:ascii="Cambria Math" w:hAnsi="Cambria Math" w:cs="Cambria Math"/>
        </w:rPr>
        <w:t>‐</w:t>
      </w:r>
      <w:r w:rsidRPr="00EF1B33">
        <w:rPr>
          <w:rFonts w:ascii="Arial" w:hAnsi="Arial" w:cs="Arial"/>
        </w:rPr>
        <w:t>small</w:t>
      </w:r>
      <w:r w:rsidRPr="00EF1B33">
        <w:rPr>
          <w:rFonts w:ascii="Cambria Math" w:hAnsi="Cambria Math" w:cs="Cambria Math"/>
        </w:rPr>
        <w:t>‐</w:t>
      </w:r>
      <w:r w:rsidRPr="00EF1B33">
        <w:rPr>
          <w:rFonts w:ascii="Arial" w:hAnsi="Arial" w:cs="Arial"/>
        </w:rPr>
        <w:t>cell lung cancer patients can aid early decision making in clinical drug development. Clinical Pharmacology &amp; Therapeutics. 2009; 86: 167-74</w:t>
      </w:r>
    </w:p>
    <w:p w14:paraId="1B02FD0D" w14:textId="77777777" w:rsidR="00EF1B33" w:rsidRPr="00EF1B33" w:rsidRDefault="00EF1B33" w:rsidP="00EF1B33">
      <w:pPr>
        <w:pStyle w:val="EndNoteBibliography"/>
        <w:spacing w:after="0" w:line="480" w:lineRule="auto"/>
        <w:rPr>
          <w:rFonts w:ascii="Arial" w:hAnsi="Arial" w:cs="Arial"/>
        </w:rPr>
      </w:pPr>
      <w:r w:rsidRPr="00EF1B33">
        <w:rPr>
          <w:rFonts w:ascii="Arial" w:hAnsi="Arial" w:cs="Arial"/>
        </w:rPr>
        <w:t>6.</w:t>
      </w:r>
      <w:r w:rsidRPr="00EF1B33">
        <w:rPr>
          <w:rFonts w:ascii="Arial" w:hAnsi="Arial" w:cs="Arial"/>
        </w:rPr>
        <w:tab/>
        <w:t>Blumenthal GM, Karuri SW, Zhang H, et al. Overall response rate, progression-free survival, and overall survival with targeted and standard therapies in advanced non–small-cell lung cancer: US Food and Drug Administration trial-level and patient-level analyses. Journal of Clinical Oncology. 2015; 33: 1008</w:t>
      </w:r>
    </w:p>
    <w:p w14:paraId="5CB29FE8" w14:textId="77777777" w:rsidR="00EF1B33" w:rsidRPr="00EF1B33" w:rsidRDefault="00EF1B33" w:rsidP="00EF1B33">
      <w:pPr>
        <w:pStyle w:val="EndNoteBibliography"/>
        <w:spacing w:after="0" w:line="480" w:lineRule="auto"/>
        <w:rPr>
          <w:rFonts w:ascii="Arial" w:hAnsi="Arial" w:cs="Arial"/>
        </w:rPr>
      </w:pPr>
      <w:r w:rsidRPr="00EF1B33">
        <w:rPr>
          <w:rFonts w:ascii="Arial" w:hAnsi="Arial" w:cs="Arial"/>
        </w:rPr>
        <w:t>7.</w:t>
      </w:r>
      <w:r w:rsidRPr="00EF1B33">
        <w:rPr>
          <w:rFonts w:ascii="Arial" w:hAnsi="Arial" w:cs="Arial"/>
        </w:rPr>
        <w:tab/>
        <w:t>Shukuya T, Mori K, Amann JM, et al. Relationship between overall survival and response or progression-free survival in advanced non–small cell lung cancer patients treated with anti–PD-1/PD-L1 antibodies. Journal of thoracic oncology. 2016; 11: 1927-39</w:t>
      </w:r>
    </w:p>
    <w:p w14:paraId="4BAD6C5C" w14:textId="77777777" w:rsidR="00EF1B33" w:rsidRPr="00EF1B33" w:rsidRDefault="00EF1B33" w:rsidP="00EF1B33">
      <w:pPr>
        <w:pStyle w:val="EndNoteBibliography"/>
        <w:spacing w:after="0" w:line="480" w:lineRule="auto"/>
        <w:rPr>
          <w:rFonts w:ascii="Arial" w:hAnsi="Arial" w:cs="Arial"/>
        </w:rPr>
      </w:pPr>
      <w:r w:rsidRPr="00EF1B33">
        <w:rPr>
          <w:rFonts w:ascii="Arial" w:hAnsi="Arial" w:cs="Arial"/>
        </w:rPr>
        <w:lastRenderedPageBreak/>
        <w:t>8.</w:t>
      </w:r>
      <w:r w:rsidRPr="00EF1B33">
        <w:rPr>
          <w:rFonts w:ascii="Arial" w:hAnsi="Arial" w:cs="Arial"/>
        </w:rPr>
        <w:tab/>
        <w:t>Wong CH, Siah KW, Lo AW. Estimation of clinical trial success rates and related parameters. Biostatistics. 2019; 20: 273-86</w:t>
      </w:r>
    </w:p>
    <w:p w14:paraId="5722E089" w14:textId="77777777" w:rsidR="00EF1B33" w:rsidRPr="00EF1B33" w:rsidRDefault="00EF1B33" w:rsidP="00EF1B33">
      <w:pPr>
        <w:pStyle w:val="EndNoteBibliography"/>
        <w:spacing w:after="0" w:line="480" w:lineRule="auto"/>
        <w:rPr>
          <w:rFonts w:ascii="Arial" w:hAnsi="Arial" w:cs="Arial"/>
        </w:rPr>
      </w:pPr>
      <w:r w:rsidRPr="00EF1B33">
        <w:rPr>
          <w:rFonts w:ascii="Arial" w:hAnsi="Arial" w:cs="Arial"/>
        </w:rPr>
        <w:t>9.</w:t>
      </w:r>
      <w:r w:rsidRPr="00EF1B33">
        <w:rPr>
          <w:rFonts w:ascii="Arial" w:hAnsi="Arial" w:cs="Arial"/>
        </w:rPr>
        <w:tab/>
        <w:t>DiMasi JA, Grabowski HG, Hansen RW. Innovation in the pharmaceutical industry: New estimates of R&amp;D costs. J Health Econ. 2016; 47: 20-33.https://www.ncbi.nlm.nih.gov/pubmed/26928437</w:t>
      </w:r>
    </w:p>
    <w:p w14:paraId="700CBCCF" w14:textId="77777777" w:rsidR="00EF1B33" w:rsidRPr="00EF1B33" w:rsidRDefault="00EF1B33" w:rsidP="00EF1B33">
      <w:pPr>
        <w:pStyle w:val="EndNoteBibliography"/>
        <w:spacing w:after="0" w:line="480" w:lineRule="auto"/>
        <w:rPr>
          <w:rFonts w:ascii="Arial" w:hAnsi="Arial" w:cs="Arial"/>
        </w:rPr>
      </w:pPr>
      <w:r w:rsidRPr="00EF1B33">
        <w:rPr>
          <w:rFonts w:ascii="Arial" w:hAnsi="Arial" w:cs="Arial"/>
        </w:rPr>
        <w:t>10.</w:t>
      </w:r>
      <w:r w:rsidRPr="00EF1B33">
        <w:rPr>
          <w:rFonts w:ascii="Arial" w:hAnsi="Arial" w:cs="Arial"/>
        </w:rPr>
        <w:tab/>
        <w:t>Downing NS, Aminawung JA, Shah ND, et al. Clinical trial evidence supporting FDA approval of novel therapeutic agents, 2005-2012. JAMA. 2014; 311: 368-77.https://www.ncbi.nlm.nih.gov/pubmed/24449315</w:t>
      </w:r>
    </w:p>
    <w:p w14:paraId="33B4579F" w14:textId="77777777" w:rsidR="00EF1B33" w:rsidRPr="00EF1B33" w:rsidRDefault="00EF1B33" w:rsidP="00EF1B33">
      <w:pPr>
        <w:pStyle w:val="EndNoteBibliography"/>
        <w:spacing w:after="0" w:line="480" w:lineRule="auto"/>
        <w:rPr>
          <w:rFonts w:ascii="Arial" w:hAnsi="Arial" w:cs="Arial"/>
        </w:rPr>
      </w:pPr>
      <w:r w:rsidRPr="00EF1B33">
        <w:rPr>
          <w:rFonts w:ascii="Arial" w:hAnsi="Arial" w:cs="Arial"/>
        </w:rPr>
        <w:t>11.</w:t>
      </w:r>
      <w:r w:rsidRPr="00EF1B33">
        <w:rPr>
          <w:rFonts w:ascii="Arial" w:hAnsi="Arial" w:cs="Arial"/>
        </w:rPr>
        <w:tab/>
        <w:t xml:space="preserve">Ma X, Long L, Moon S, et al. Comparison of population characteristics in real-world clinical oncology databases in the US: Flatiron Health, SEER, and NPCR. medRxiv. 2020: </w:t>
      </w:r>
    </w:p>
    <w:p w14:paraId="28924382" w14:textId="77777777" w:rsidR="00EF1B33" w:rsidRPr="00EF1B33" w:rsidRDefault="00EF1B33" w:rsidP="00EF1B33">
      <w:pPr>
        <w:pStyle w:val="EndNoteBibliography"/>
        <w:spacing w:after="0" w:line="480" w:lineRule="auto"/>
        <w:rPr>
          <w:rFonts w:ascii="Arial" w:hAnsi="Arial" w:cs="Arial"/>
        </w:rPr>
      </w:pPr>
      <w:r w:rsidRPr="00EF1B33">
        <w:rPr>
          <w:rFonts w:ascii="Arial" w:hAnsi="Arial" w:cs="Arial"/>
        </w:rPr>
        <w:t>12.</w:t>
      </w:r>
      <w:r w:rsidRPr="00EF1B33">
        <w:rPr>
          <w:rFonts w:ascii="Arial" w:hAnsi="Arial" w:cs="Arial"/>
        </w:rPr>
        <w:tab/>
        <w:t xml:space="preserve">Birnbaum B, Nussbaum N, Seidl-Rathkopf K, et al. Model-assisted cohort selection with bias analysis for generating large-scale cohorts from the EHR for oncology research. arXiv preprint arXiv:200109765. 2020: </w:t>
      </w:r>
    </w:p>
    <w:p w14:paraId="0E34966A" w14:textId="77777777" w:rsidR="00EF1B33" w:rsidRPr="00EF1B33" w:rsidRDefault="00EF1B33" w:rsidP="00EF1B33">
      <w:pPr>
        <w:pStyle w:val="EndNoteBibliography"/>
        <w:spacing w:line="480" w:lineRule="auto"/>
        <w:rPr>
          <w:rFonts w:ascii="Arial" w:hAnsi="Arial" w:cs="Arial"/>
        </w:rPr>
      </w:pPr>
      <w:r w:rsidRPr="00EF1B33">
        <w:rPr>
          <w:rFonts w:ascii="Arial" w:hAnsi="Arial" w:cs="Arial"/>
        </w:rPr>
        <w:t>13.</w:t>
      </w:r>
      <w:r w:rsidRPr="00EF1B33">
        <w:rPr>
          <w:rFonts w:ascii="Arial" w:hAnsi="Arial" w:cs="Arial"/>
        </w:rPr>
        <w:tab/>
        <w:t>Li M, Basu A, Bennette C, et al. How does option value affect the potential cost-effectiveness of a treatment? The case of ipilimumab for metastatic melanoma. Value in Health. 2019; 22: 777-84</w:t>
      </w:r>
    </w:p>
    <w:p w14:paraId="127B1F3A" w14:textId="77777777" w:rsidR="00EF1B33" w:rsidRPr="00183A52" w:rsidRDefault="00EF1B33">
      <w:pPr>
        <w:rPr>
          <w:rFonts w:ascii="Arial" w:hAnsi="Arial" w:cs="Arial"/>
        </w:rPr>
      </w:pPr>
    </w:p>
    <w:p w14:paraId="1869A8D3" w14:textId="77777777" w:rsidR="00AF7B78" w:rsidRDefault="00AF7B78"/>
    <w:sectPr w:rsidR="00AF7B78" w:rsidSect="00B24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czMDe0NDI1NrEwNzdR0lEKTi0uzszPAykwqgUA3egMIywAAAA="/>
    <w:docVar w:name="EN.InstantFormat" w:val="&lt;ENInstantFormat&gt;&lt;Enabled&gt;1&lt;/Enabled&gt;&lt;ScanUnformatted&gt;1&lt;/ScanUnformatted&gt;&lt;ScanChanges&gt;1&lt;/ScanChanges&gt;&lt;Suspended&gt;1&lt;/Suspended&gt;&lt;/ENInstantFormat&gt;"/>
  </w:docVars>
  <w:rsids>
    <w:rsidRoot w:val="00EF1B33"/>
    <w:rsid w:val="00120FC1"/>
    <w:rsid w:val="0016285E"/>
    <w:rsid w:val="00183A52"/>
    <w:rsid w:val="001A3300"/>
    <w:rsid w:val="00802391"/>
    <w:rsid w:val="00877F76"/>
    <w:rsid w:val="00926EEF"/>
    <w:rsid w:val="009D3E6A"/>
    <w:rsid w:val="00AF7B78"/>
    <w:rsid w:val="00B24646"/>
    <w:rsid w:val="00EF1B3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AB598"/>
  <w15:chartTrackingRefBased/>
  <w15:docId w15:val="{D2EECBCC-7FAA-47CC-9738-22068FD01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3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1B33"/>
    <w:pPr>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1B33"/>
    <w:rPr>
      <w:sz w:val="16"/>
      <w:szCs w:val="16"/>
    </w:rPr>
  </w:style>
  <w:style w:type="paragraph" w:styleId="CommentText">
    <w:name w:val="annotation text"/>
    <w:basedOn w:val="Normal"/>
    <w:link w:val="CommentTextChar"/>
    <w:uiPriority w:val="99"/>
    <w:semiHidden/>
    <w:unhideWhenUsed/>
    <w:rsid w:val="00EF1B33"/>
    <w:pPr>
      <w:spacing w:line="240" w:lineRule="auto"/>
    </w:pPr>
    <w:rPr>
      <w:sz w:val="20"/>
      <w:szCs w:val="20"/>
    </w:rPr>
  </w:style>
  <w:style w:type="character" w:customStyle="1" w:styleId="CommentTextChar">
    <w:name w:val="Comment Text Char"/>
    <w:basedOn w:val="DefaultParagraphFont"/>
    <w:link w:val="CommentText"/>
    <w:uiPriority w:val="99"/>
    <w:semiHidden/>
    <w:rsid w:val="00EF1B33"/>
    <w:rPr>
      <w:sz w:val="20"/>
      <w:szCs w:val="20"/>
    </w:rPr>
  </w:style>
  <w:style w:type="paragraph" w:styleId="CommentSubject">
    <w:name w:val="annotation subject"/>
    <w:basedOn w:val="CommentText"/>
    <w:next w:val="CommentText"/>
    <w:link w:val="CommentSubjectChar"/>
    <w:uiPriority w:val="99"/>
    <w:semiHidden/>
    <w:unhideWhenUsed/>
    <w:rsid w:val="00EF1B33"/>
    <w:rPr>
      <w:b/>
      <w:bCs/>
    </w:rPr>
  </w:style>
  <w:style w:type="character" w:customStyle="1" w:styleId="CommentSubjectChar">
    <w:name w:val="Comment Subject Char"/>
    <w:basedOn w:val="CommentTextChar"/>
    <w:link w:val="CommentSubject"/>
    <w:uiPriority w:val="99"/>
    <w:semiHidden/>
    <w:rsid w:val="00EF1B33"/>
    <w:rPr>
      <w:b/>
      <w:bCs/>
      <w:sz w:val="20"/>
      <w:szCs w:val="20"/>
    </w:rPr>
  </w:style>
  <w:style w:type="character" w:styleId="Hyperlink">
    <w:name w:val="Hyperlink"/>
    <w:basedOn w:val="DefaultParagraphFont"/>
    <w:uiPriority w:val="99"/>
    <w:unhideWhenUsed/>
    <w:rsid w:val="00EF1B33"/>
    <w:rPr>
      <w:color w:val="0000FF"/>
      <w:u w:val="single"/>
    </w:rPr>
  </w:style>
  <w:style w:type="paragraph" w:styleId="NormalWeb">
    <w:name w:val="Normal (Web)"/>
    <w:basedOn w:val="Normal"/>
    <w:uiPriority w:val="99"/>
    <w:semiHidden/>
    <w:unhideWhenUsed/>
    <w:rsid w:val="00EF1B33"/>
    <w:pPr>
      <w:spacing w:before="100" w:beforeAutospacing="1" w:after="100" w:afterAutospacing="1" w:line="240" w:lineRule="auto"/>
    </w:pPr>
    <w:rPr>
      <w:rFonts w:ascii="Times New Roman" w:eastAsia="Times New Roman" w:hAnsi="Times New Roman" w:cs="Times New Roman"/>
      <w:sz w:val="24"/>
      <w:szCs w:val="24"/>
    </w:rPr>
  </w:style>
  <w:style w:type="table" w:styleId="PlainTable3">
    <w:name w:val="Plain Table 3"/>
    <w:basedOn w:val="TableNormal"/>
    <w:uiPriority w:val="43"/>
    <w:rsid w:val="00EF1B3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EF1B3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EF1B3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1B3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EndNoteBibliography">
    <w:name w:val="EndNote Bibliography"/>
    <w:basedOn w:val="Normal"/>
    <w:link w:val="EndNoteBibliographyChar"/>
    <w:rsid w:val="00EF1B33"/>
    <w:pPr>
      <w:spacing w:line="240" w:lineRule="auto"/>
    </w:pPr>
    <w:rPr>
      <w:rFonts w:ascii="Calibri" w:eastAsia="Batang" w:hAnsi="Calibri" w:cs="Calibri"/>
      <w:noProof/>
    </w:rPr>
  </w:style>
  <w:style w:type="character" w:customStyle="1" w:styleId="EndNoteBibliographyChar">
    <w:name w:val="EndNote Bibliography Char"/>
    <w:basedOn w:val="DefaultParagraphFont"/>
    <w:link w:val="EndNoteBibliography"/>
    <w:rsid w:val="00EF1B33"/>
    <w:rPr>
      <w:rFonts w:ascii="Calibri" w:eastAsia="Batang" w:hAnsi="Calibri" w:cs="Calibri"/>
      <w:noProof/>
    </w:rPr>
  </w:style>
  <w:style w:type="character" w:styleId="FollowedHyperlink">
    <w:name w:val="FollowedHyperlink"/>
    <w:basedOn w:val="DefaultParagraphFont"/>
    <w:uiPriority w:val="99"/>
    <w:semiHidden/>
    <w:unhideWhenUsed/>
    <w:rsid w:val="00EF1B33"/>
    <w:rPr>
      <w:color w:val="954F72" w:themeColor="followedHyperlink"/>
      <w:u w:val="single"/>
    </w:rPr>
  </w:style>
  <w:style w:type="paragraph" w:customStyle="1" w:styleId="EndNoteBibliographyTitle">
    <w:name w:val="EndNote Bibliography Title"/>
    <w:basedOn w:val="Normal"/>
    <w:link w:val="EndNoteBibliographyTitleChar"/>
    <w:rsid w:val="00EF1B3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F1B33"/>
    <w:rPr>
      <w:rFonts w:ascii="Calibri" w:hAnsi="Calibri" w:cs="Calibri"/>
      <w:noProof/>
    </w:rPr>
  </w:style>
  <w:style w:type="paragraph" w:styleId="Revision">
    <w:name w:val="Revision"/>
    <w:hidden/>
    <w:uiPriority w:val="99"/>
    <w:semiHidden/>
    <w:rsid w:val="00EF1B33"/>
    <w:pPr>
      <w:spacing w:after="0" w:line="240" w:lineRule="auto"/>
    </w:pPr>
  </w:style>
  <w:style w:type="paragraph" w:styleId="ListParagraph">
    <w:name w:val="List Paragraph"/>
    <w:basedOn w:val="Normal"/>
    <w:link w:val="ListParagraphChar"/>
    <w:uiPriority w:val="34"/>
    <w:qFormat/>
    <w:rsid w:val="00EF1B33"/>
    <w:pPr>
      <w:ind w:left="720"/>
      <w:contextualSpacing/>
    </w:pPr>
  </w:style>
  <w:style w:type="character" w:customStyle="1" w:styleId="ListParagraphChar">
    <w:name w:val="List Paragraph Char"/>
    <w:basedOn w:val="DefaultParagraphFont"/>
    <w:link w:val="ListParagraph"/>
    <w:uiPriority w:val="34"/>
    <w:rsid w:val="00EF1B33"/>
  </w:style>
  <w:style w:type="table" w:styleId="TableGridLight">
    <w:name w:val="Grid Table Light"/>
    <w:basedOn w:val="TableNormal"/>
    <w:uiPriority w:val="40"/>
    <w:rsid w:val="00EF1B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efaultParagraphFont"/>
    <w:uiPriority w:val="99"/>
    <w:semiHidden/>
    <w:unhideWhenUsed/>
    <w:rsid w:val="00EF1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image" Target="media/image1.png"/><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wwlwj\Dropbox\Genentech%20ROV%202021\Model\ROV2_model_v19.xlsm"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wwlwj\Dropbox\Genentech%20ROV%202021\Model\ROV2_model_v19.xlsm"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wwlwj\AppData\Roaming\Microsoft\Excel\OS%20curve_brigatinib_followup%20(version%201).xlsb"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KM - PFS crizotinib</c:v>
          </c:tx>
          <c:spPr>
            <a:ln w="19050" cap="sq">
              <a:solidFill>
                <a:schemeClr val="accent2"/>
              </a:solidFill>
              <a:prstDash val="sysDash"/>
              <a:round/>
            </a:ln>
            <a:effectLst/>
          </c:spPr>
          <c:marker>
            <c:symbol val="none"/>
          </c:marker>
          <c:xVal>
            <c:numRef>
              <c:f>'KM and fitted survival data'!$A$8:$A$51</c:f>
              <c:numCache>
                <c:formatCode>0.000</c:formatCode>
                <c:ptCount val="44"/>
                <c:pt idx="0">
                  <c:v>-3.5527100000000001E-15</c:v>
                </c:pt>
                <c:pt idx="1">
                  <c:v>0.58699999999999997</c:v>
                </c:pt>
                <c:pt idx="2">
                  <c:v>1.2390000000000001</c:v>
                </c:pt>
                <c:pt idx="3">
                  <c:v>1.63</c:v>
                </c:pt>
                <c:pt idx="4">
                  <c:v>1.891</c:v>
                </c:pt>
                <c:pt idx="5">
                  <c:v>2.1520000000000001</c:v>
                </c:pt>
                <c:pt idx="6">
                  <c:v>2.8039999999999998</c:v>
                </c:pt>
                <c:pt idx="7">
                  <c:v>3.391</c:v>
                </c:pt>
                <c:pt idx="8">
                  <c:v>3.6520000000000001</c:v>
                </c:pt>
                <c:pt idx="9">
                  <c:v>3.7829999999999999</c:v>
                </c:pt>
                <c:pt idx="10">
                  <c:v>4.5</c:v>
                </c:pt>
                <c:pt idx="11">
                  <c:v>5.3479999999999999</c:v>
                </c:pt>
                <c:pt idx="12">
                  <c:v>5.4779999999999998</c:v>
                </c:pt>
                <c:pt idx="13">
                  <c:v>5.609</c:v>
                </c:pt>
                <c:pt idx="14">
                  <c:v>6.13</c:v>
                </c:pt>
                <c:pt idx="15">
                  <c:v>6.7830000000000004</c:v>
                </c:pt>
                <c:pt idx="16">
                  <c:v>7.109</c:v>
                </c:pt>
                <c:pt idx="17">
                  <c:v>7.3040000000000003</c:v>
                </c:pt>
                <c:pt idx="18">
                  <c:v>7.5650000000000004</c:v>
                </c:pt>
                <c:pt idx="19">
                  <c:v>8.2170000000000005</c:v>
                </c:pt>
                <c:pt idx="20">
                  <c:v>8.9350000000000005</c:v>
                </c:pt>
                <c:pt idx="21">
                  <c:v>9.1300000000000008</c:v>
                </c:pt>
                <c:pt idx="22">
                  <c:v>9.6519999999999992</c:v>
                </c:pt>
                <c:pt idx="23">
                  <c:v>10.63</c:v>
                </c:pt>
                <c:pt idx="24">
                  <c:v>11.087</c:v>
                </c:pt>
                <c:pt idx="25">
                  <c:v>11.804</c:v>
                </c:pt>
                <c:pt idx="26">
                  <c:v>12.587</c:v>
                </c:pt>
                <c:pt idx="27">
                  <c:v>12.848000000000001</c:v>
                </c:pt>
                <c:pt idx="28">
                  <c:v>13.109</c:v>
                </c:pt>
                <c:pt idx="29">
                  <c:v>14.542999999999999</c:v>
                </c:pt>
                <c:pt idx="30">
                  <c:v>14.87</c:v>
                </c:pt>
                <c:pt idx="31">
                  <c:v>15.782999999999999</c:v>
                </c:pt>
                <c:pt idx="32">
                  <c:v>16.37</c:v>
                </c:pt>
                <c:pt idx="33">
                  <c:v>16.826000000000001</c:v>
                </c:pt>
                <c:pt idx="34">
                  <c:v>17.87</c:v>
                </c:pt>
                <c:pt idx="35">
                  <c:v>18.326000000000001</c:v>
                </c:pt>
                <c:pt idx="36">
                  <c:v>18.587</c:v>
                </c:pt>
                <c:pt idx="37">
                  <c:v>20.087</c:v>
                </c:pt>
                <c:pt idx="38">
                  <c:v>20.413</c:v>
                </c:pt>
                <c:pt idx="39">
                  <c:v>22.042999999999999</c:v>
                </c:pt>
                <c:pt idx="40">
                  <c:v>22.565000000000001</c:v>
                </c:pt>
                <c:pt idx="41">
                  <c:v>22.826000000000001</c:v>
                </c:pt>
                <c:pt idx="42">
                  <c:v>25.565000000000001</c:v>
                </c:pt>
                <c:pt idx="43">
                  <c:v>25.696000000000002</c:v>
                </c:pt>
              </c:numCache>
            </c:numRef>
          </c:xVal>
          <c:yVal>
            <c:numRef>
              <c:f>'KM and fitted survival data'!$B$8:$B$51</c:f>
              <c:numCache>
                <c:formatCode>0.000</c:formatCode>
                <c:ptCount val="44"/>
                <c:pt idx="0">
                  <c:v>1</c:v>
                </c:pt>
                <c:pt idx="1">
                  <c:v>1</c:v>
                </c:pt>
                <c:pt idx="2">
                  <c:v>0.99117999999999995</c:v>
                </c:pt>
                <c:pt idx="3">
                  <c:v>0.98234999999999995</c:v>
                </c:pt>
                <c:pt idx="4">
                  <c:v>0.95294000000000001</c:v>
                </c:pt>
                <c:pt idx="5">
                  <c:v>0.92647000000000002</c:v>
                </c:pt>
                <c:pt idx="6">
                  <c:v>0.91176000000000001</c:v>
                </c:pt>
                <c:pt idx="7">
                  <c:v>0.90293999999999996</c:v>
                </c:pt>
                <c:pt idx="8">
                  <c:v>0.84706000000000004</c:v>
                </c:pt>
                <c:pt idx="9">
                  <c:v>0.81764999999999999</c:v>
                </c:pt>
                <c:pt idx="10">
                  <c:v>0.80881999999999998</c:v>
                </c:pt>
                <c:pt idx="11">
                  <c:v>0.80588000000000004</c:v>
                </c:pt>
                <c:pt idx="12">
                  <c:v>0.77941000000000005</c:v>
                </c:pt>
                <c:pt idx="13">
                  <c:v>0.75294000000000005</c:v>
                </c:pt>
                <c:pt idx="14">
                  <c:v>0.73234999999999995</c:v>
                </c:pt>
                <c:pt idx="15">
                  <c:v>0.71765000000000001</c:v>
                </c:pt>
                <c:pt idx="16">
                  <c:v>0.70882000000000001</c:v>
                </c:pt>
                <c:pt idx="17">
                  <c:v>0.67352999999999996</c:v>
                </c:pt>
                <c:pt idx="18">
                  <c:v>0.63824000000000003</c:v>
                </c:pt>
                <c:pt idx="19">
                  <c:v>0.62058999999999997</c:v>
                </c:pt>
                <c:pt idx="20">
                  <c:v>0.60882000000000003</c:v>
                </c:pt>
                <c:pt idx="21">
                  <c:v>0.57059000000000004</c:v>
                </c:pt>
                <c:pt idx="22">
                  <c:v>0.53824000000000005</c:v>
                </c:pt>
                <c:pt idx="23">
                  <c:v>0.52353000000000005</c:v>
                </c:pt>
                <c:pt idx="24">
                  <c:v>0.5</c:v>
                </c:pt>
                <c:pt idx="25">
                  <c:v>0.48824000000000001</c:v>
                </c:pt>
                <c:pt idx="26">
                  <c:v>0.48529</c:v>
                </c:pt>
                <c:pt idx="27">
                  <c:v>0.45</c:v>
                </c:pt>
                <c:pt idx="28">
                  <c:v>0.41765000000000002</c:v>
                </c:pt>
                <c:pt idx="29">
                  <c:v>0.41176000000000001</c:v>
                </c:pt>
                <c:pt idx="30">
                  <c:v>0.37352999999999997</c:v>
                </c:pt>
                <c:pt idx="31">
                  <c:v>0.36470999999999998</c:v>
                </c:pt>
                <c:pt idx="32">
                  <c:v>0.35293999999999998</c:v>
                </c:pt>
                <c:pt idx="33">
                  <c:v>0.33528999999999998</c:v>
                </c:pt>
                <c:pt idx="34">
                  <c:v>0.32646999999999998</c:v>
                </c:pt>
                <c:pt idx="35">
                  <c:v>0.30293999999999999</c:v>
                </c:pt>
                <c:pt idx="36">
                  <c:v>0.29117999999999999</c:v>
                </c:pt>
                <c:pt idx="37">
                  <c:v>0.28824</c:v>
                </c:pt>
                <c:pt idx="38">
                  <c:v>0.26175999999999999</c:v>
                </c:pt>
                <c:pt idx="39">
                  <c:v>0.26175999999999999</c:v>
                </c:pt>
                <c:pt idx="40">
                  <c:v>0.24118000000000001</c:v>
                </c:pt>
                <c:pt idx="41">
                  <c:v>0.22059000000000001</c:v>
                </c:pt>
                <c:pt idx="42">
                  <c:v>0.21471000000000001</c:v>
                </c:pt>
                <c:pt idx="43">
                  <c:v>0.16764999999999999</c:v>
                </c:pt>
              </c:numCache>
            </c:numRef>
          </c:yVal>
          <c:smooth val="0"/>
          <c:extLst xmlns:c16r2="http://schemas.microsoft.com/office/drawing/2015/06/chart">
            <c:ext xmlns:c16="http://schemas.microsoft.com/office/drawing/2014/chart" uri="{C3380CC4-5D6E-409C-BE32-E72D297353CC}">
              <c16:uniqueId val="{00000000-D743-452C-A476-34053FE3D3B8}"/>
            </c:ext>
          </c:extLst>
        </c:ser>
        <c:ser>
          <c:idx val="1"/>
          <c:order val="1"/>
          <c:tx>
            <c:v>KM - PFS alectinib</c:v>
          </c:tx>
          <c:spPr>
            <a:ln w="19050" cap="rnd">
              <a:solidFill>
                <a:schemeClr val="accent1"/>
              </a:solidFill>
              <a:prstDash val="sysDash"/>
              <a:round/>
            </a:ln>
            <a:effectLst/>
          </c:spPr>
          <c:marker>
            <c:symbol val="none"/>
          </c:marker>
          <c:xVal>
            <c:numRef>
              <c:f>'KM and fitted survival data'!$D$8:$D$34</c:f>
              <c:numCache>
                <c:formatCode>0.000</c:formatCode>
                <c:ptCount val="27"/>
                <c:pt idx="0">
                  <c:v>0</c:v>
                </c:pt>
                <c:pt idx="1">
                  <c:v>0.71699999999999997</c:v>
                </c:pt>
                <c:pt idx="2">
                  <c:v>1.2390000000000001</c:v>
                </c:pt>
                <c:pt idx="3">
                  <c:v>1.9570000000000001</c:v>
                </c:pt>
                <c:pt idx="4">
                  <c:v>2.8039999999999998</c:v>
                </c:pt>
                <c:pt idx="5">
                  <c:v>3.5870000000000002</c:v>
                </c:pt>
                <c:pt idx="6">
                  <c:v>3.7170000000000001</c:v>
                </c:pt>
                <c:pt idx="7">
                  <c:v>4.37</c:v>
                </c:pt>
                <c:pt idx="8">
                  <c:v>5.2169999999999996</c:v>
                </c:pt>
                <c:pt idx="9">
                  <c:v>5.9349999999999996</c:v>
                </c:pt>
                <c:pt idx="10">
                  <c:v>7.3040000000000003</c:v>
                </c:pt>
                <c:pt idx="11">
                  <c:v>7.6959999999999997</c:v>
                </c:pt>
                <c:pt idx="12">
                  <c:v>9.0649999999999995</c:v>
                </c:pt>
                <c:pt idx="13">
                  <c:v>9.4570000000000007</c:v>
                </c:pt>
                <c:pt idx="14">
                  <c:v>11.022</c:v>
                </c:pt>
                <c:pt idx="15">
                  <c:v>11.087</c:v>
                </c:pt>
                <c:pt idx="16">
                  <c:v>12.651999999999999</c:v>
                </c:pt>
                <c:pt idx="17">
                  <c:v>13.042999999999999</c:v>
                </c:pt>
                <c:pt idx="18">
                  <c:v>14.022</c:v>
                </c:pt>
                <c:pt idx="19">
                  <c:v>14.478</c:v>
                </c:pt>
                <c:pt idx="20">
                  <c:v>14.804</c:v>
                </c:pt>
                <c:pt idx="21">
                  <c:v>16.63</c:v>
                </c:pt>
                <c:pt idx="22">
                  <c:v>18.587</c:v>
                </c:pt>
                <c:pt idx="23">
                  <c:v>21.260999999999999</c:v>
                </c:pt>
                <c:pt idx="24">
                  <c:v>23.478000000000002</c:v>
                </c:pt>
                <c:pt idx="25">
                  <c:v>25.890999999999998</c:v>
                </c:pt>
                <c:pt idx="26">
                  <c:v>28.109000000000002</c:v>
                </c:pt>
              </c:numCache>
            </c:numRef>
          </c:xVal>
          <c:yVal>
            <c:numRef>
              <c:f>'KM and fitted survival data'!$E$8:$E$34</c:f>
              <c:numCache>
                <c:formatCode>0.000</c:formatCode>
                <c:ptCount val="27"/>
                <c:pt idx="0">
                  <c:v>1</c:v>
                </c:pt>
                <c:pt idx="1">
                  <c:v>0.98236999999999997</c:v>
                </c:pt>
                <c:pt idx="2">
                  <c:v>0.95882000000000001</c:v>
                </c:pt>
                <c:pt idx="3">
                  <c:v>0.93825000000000003</c:v>
                </c:pt>
                <c:pt idx="4">
                  <c:v>0.90883000000000003</c:v>
                </c:pt>
                <c:pt idx="5">
                  <c:v>0.88826000000000005</c:v>
                </c:pt>
                <c:pt idx="6">
                  <c:v>0.83221999999999996</c:v>
                </c:pt>
                <c:pt idx="7">
                  <c:v>0.80869000000000002</c:v>
                </c:pt>
                <c:pt idx="8">
                  <c:v>0.79401999999999995</c:v>
                </c:pt>
                <c:pt idx="9">
                  <c:v>0.76754999999999995</c:v>
                </c:pt>
                <c:pt idx="10">
                  <c:v>0.76473000000000002</c:v>
                </c:pt>
                <c:pt idx="11">
                  <c:v>0.74707000000000001</c:v>
                </c:pt>
                <c:pt idx="12">
                  <c:v>0.74129999999999996</c:v>
                </c:pt>
                <c:pt idx="13">
                  <c:v>0.71774000000000004</c:v>
                </c:pt>
                <c:pt idx="14">
                  <c:v>0.71494999999999997</c:v>
                </c:pt>
                <c:pt idx="15">
                  <c:v>0.69430999999999998</c:v>
                </c:pt>
                <c:pt idx="16">
                  <c:v>0.68855999999999995</c:v>
                </c:pt>
                <c:pt idx="17">
                  <c:v>0.65615000000000001</c:v>
                </c:pt>
                <c:pt idx="18">
                  <c:v>0.63560000000000005</c:v>
                </c:pt>
                <c:pt idx="19">
                  <c:v>0.62973999999999997</c:v>
                </c:pt>
                <c:pt idx="20">
                  <c:v>0.60028000000000004</c:v>
                </c:pt>
                <c:pt idx="21">
                  <c:v>0.59750999999999999</c:v>
                </c:pt>
                <c:pt idx="22">
                  <c:v>0.57999999999999996</c:v>
                </c:pt>
                <c:pt idx="23">
                  <c:v>0.58321000000000001</c:v>
                </c:pt>
                <c:pt idx="24">
                  <c:v>0.58343</c:v>
                </c:pt>
                <c:pt idx="25">
                  <c:v>0.57777000000000001</c:v>
                </c:pt>
                <c:pt idx="26">
                  <c:v>0.57799</c:v>
                </c:pt>
              </c:numCache>
            </c:numRef>
          </c:yVal>
          <c:smooth val="0"/>
          <c:extLst xmlns:c16r2="http://schemas.microsoft.com/office/drawing/2015/06/chart">
            <c:ext xmlns:c16="http://schemas.microsoft.com/office/drawing/2014/chart" uri="{C3380CC4-5D6E-409C-BE32-E72D297353CC}">
              <c16:uniqueId val="{00000001-D743-452C-A476-34053FE3D3B8}"/>
            </c:ext>
          </c:extLst>
        </c:ser>
        <c:ser>
          <c:idx val="2"/>
          <c:order val="2"/>
          <c:tx>
            <c:v>fitted - PFS crizotinib</c:v>
          </c:tx>
          <c:spPr>
            <a:ln w="19050" cap="rnd">
              <a:solidFill>
                <a:schemeClr val="accent2"/>
              </a:solidFill>
              <a:round/>
            </a:ln>
            <a:effectLst/>
          </c:spPr>
          <c:marker>
            <c:symbol val="none"/>
          </c:marker>
          <c:xVal>
            <c:numRef>
              <c:f>'Model-scenario1'!$C$10:$C$200</c:f>
              <c:numCache>
                <c:formatCode>0.0</c:formatCode>
                <c:ptCount val="1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numCache>
            </c:numRef>
          </c:xVal>
          <c:yVal>
            <c:numRef>
              <c:f>'Model-scenario1'!$F$10:$F$200</c:f>
              <c:numCache>
                <c:formatCode>0.000</c:formatCode>
                <c:ptCount val="191"/>
                <c:pt idx="0">
                  <c:v>1</c:v>
                </c:pt>
                <c:pt idx="1">
                  <c:v>0.94280025665085521</c:v>
                </c:pt>
                <c:pt idx="2">
                  <c:v>0.88887232394091842</c:v>
                </c:pt>
                <c:pt idx="3">
                  <c:v>0.83802905514134007</c:v>
                </c:pt>
                <c:pt idx="4">
                  <c:v>0.79009400826812903</c:v>
                </c:pt>
                <c:pt idx="5">
                  <c:v>0.74490083377349503</c:v>
                </c:pt>
                <c:pt idx="6">
                  <c:v>0.70229269726108712</c:v>
                </c:pt>
                <c:pt idx="7">
                  <c:v>0.66212173522177431</c:v>
                </c:pt>
                <c:pt idx="8">
                  <c:v>0.62424854190119838</c:v>
                </c:pt>
                <c:pt idx="9">
                  <c:v>0.58854168551837205</c:v>
                </c:pt>
                <c:pt idx="10">
                  <c:v>0.55487725215644801</c:v>
                </c:pt>
                <c:pt idx="11">
                  <c:v>0.5231384157428205</c:v>
                </c:pt>
                <c:pt idx="12">
                  <c:v>0.49321503262625299</c:v>
                </c:pt>
                <c:pt idx="13">
                  <c:v>0.4650032593440912</c:v>
                </c:pt>
                <c:pt idx="14">
                  <c:v>0.43840519225309338</c:v>
                </c:pt>
                <c:pt idx="15">
                  <c:v>0.41332852777328394</c:v>
                </c:pt>
                <c:pt idx="16">
                  <c:v>0.38968624206577224</c:v>
                </c:pt>
                <c:pt idx="17">
                  <c:v>0.36739628903291738</c:v>
                </c:pt>
                <c:pt idx="18">
                  <c:v>0.34638131559280627</c:v>
                </c:pt>
                <c:pt idx="19">
                  <c:v>0.32656839323995857</c:v>
                </c:pt>
                <c:pt idx="20">
                  <c:v>0.3078887649606904</c:v>
                </c:pt>
                <c:pt idx="21">
                  <c:v>0.29027760662485375</c:v>
                </c:pt>
                <c:pt idx="22">
                  <c:v>0.27367380202590813</c:v>
                </c:pt>
                <c:pt idx="23">
                  <c:v>0.25801973078864149</c:v>
                </c:pt>
                <c:pt idx="24">
                  <c:v>0.2432610684085158</c:v>
                </c:pt>
                <c:pt idx="25">
                  <c:v>0.22934659772870988</c:v>
                </c:pt>
                <c:pt idx="26">
                  <c:v>0.21622803120062814</c:v>
                </c:pt>
                <c:pt idx="27">
                  <c:v>0.20385984331106136</c:v>
                </c:pt>
                <c:pt idx="28">
                  <c:v>0.19219911259447178</c:v>
                </c:pt>
                <c:pt idx="29">
                  <c:v>0.1812053726821346</c:v>
                </c:pt>
                <c:pt idx="30">
                  <c:v>0.17084047187123036</c:v>
                </c:pt>
                <c:pt idx="31">
                  <c:v>0.16106844072654919</c:v>
                </c:pt>
                <c:pt idx="32">
                  <c:v>0.15185536725534365</c:v>
                </c:pt>
                <c:pt idx="33">
                  <c:v>0.14316927922214787</c:v>
                </c:pt>
                <c:pt idx="34">
                  <c:v>0.13498003319515897</c:v>
                </c:pt>
                <c:pt idx="35">
                  <c:v>0.12725920993913681</c:v>
                </c:pt>
                <c:pt idx="36">
                  <c:v>0.11998001579180327</c:v>
                </c:pt>
                <c:pt idx="37">
                  <c:v>0.11311718968148576</c:v>
                </c:pt>
                <c:pt idx="38">
                  <c:v>0.10664691546332823</c:v>
                </c:pt>
                <c:pt idx="39">
                  <c:v>0.10054673926984795</c:v>
                </c:pt>
                <c:pt idx="40">
                  <c:v>9.4795491589019246E-2</c:v>
                </c:pt>
                <c:pt idx="41">
                  <c:v>8.9373213799471357E-2</c:v>
                </c:pt>
                <c:pt idx="42">
                  <c:v>8.4261088907853332E-2</c:v>
                </c:pt>
                <c:pt idx="43">
                  <c:v>7.9441376248004639E-2</c:v>
                </c:pt>
                <c:pt idx="44">
                  <c:v>7.4897349915315936E-2</c:v>
                </c:pt>
                <c:pt idx="45">
                  <c:v>7.061324072262877E-2</c:v>
                </c:pt>
                <c:pt idx="46">
                  <c:v>6.6574181476243041E-2</c:v>
                </c:pt>
                <c:pt idx="47">
                  <c:v>6.2766155382122532E-2</c:v>
                </c:pt>
                <c:pt idx="48">
                  <c:v>5.9175947403252598E-2</c:v>
                </c:pt>
                <c:pt idx="49">
                  <c:v>5.5791098399344048E-2</c:v>
                </c:pt>
                <c:pt idx="50">
                  <c:v>5.259986188973468E-2</c:v>
                </c:pt>
                <c:pt idx="51">
                  <c:v>4.9591163289441402E-2</c:v>
                </c:pt>
                <c:pt idx="52">
                  <c:v>4.6754561476899818E-2</c:v>
                </c:pt>
                <c:pt idx="53">
                  <c:v>4.4080212560019344E-2</c:v>
                </c:pt>
                <c:pt idx="54">
                  <c:v>4.1558835714810484E-2</c:v>
                </c:pt>
                <c:pt idx="55">
                  <c:v>3.9181680978034046E-2</c:v>
                </c:pt>
                <c:pt idx="56">
                  <c:v>3.6940498882102442E-2</c:v>
                </c:pt>
                <c:pt idx="57">
                  <c:v>3.4827511826856804E-2</c:v>
                </c:pt>
                <c:pt idx="58">
                  <c:v>3.28353870888713E-2</c:v>
                </c:pt>
                <c:pt idx="59">
                  <c:v>3.0957211374618029E-2</c:v>
                </c:pt>
                <c:pt idx="60">
                  <c:v>2.9186466829184649E-2</c:v>
                </c:pt>
                <c:pt idx="61">
                  <c:v>2.7517008417286964E-2</c:v>
                </c:pt>
                <c:pt idx="62">
                  <c:v>2.5943042598081889E-2</c:v>
                </c:pt>
                <c:pt idx="63">
                  <c:v>2.4459107219775681E-2</c:v>
                </c:pt>
                <c:pt idx="64">
                  <c:v>2.3060052564255293E-2</c:v>
                </c:pt>
                <c:pt idx="65">
                  <c:v>2.1741023475962098E-2</c:v>
                </c:pt>
                <c:pt idx="66">
                  <c:v>2.049744251298934E-2</c:v>
                </c:pt>
                <c:pt idx="67">
                  <c:v>1.9324994061932495E-2</c:v>
                </c:pt>
                <c:pt idx="68">
                  <c:v>1.8219609361366216E-2</c:v>
                </c:pt>
                <c:pt idx="69">
                  <c:v>1.7177452381974396E-2</c:v>
                </c:pt>
                <c:pt idx="70">
                  <c:v>1.6194906514333297E-2</c:v>
                </c:pt>
                <c:pt idx="71">
                  <c:v>1.5268562018150042E-2</c:v>
                </c:pt>
                <c:pt idx="72">
                  <c:v>1.4395204189401363E-2</c:v>
                </c:pt>
                <c:pt idx="73">
                  <c:v>1.3571802204309062E-2</c:v>
                </c:pt>
                <c:pt idx="74">
                  <c:v>1.2795498601437231E-2</c:v>
                </c:pt>
                <c:pt idx="75">
                  <c:v>1.2063599365410682E-2</c:v>
                </c:pt>
                <c:pt idx="76">
                  <c:v>1.1373564577842278E-2</c:v>
                </c:pt>
                <c:pt idx="77">
                  <c:v>1.0722999603024778E-2</c:v>
                </c:pt>
                <c:pt idx="78">
                  <c:v>1.0109646777798782E-2</c:v>
                </c:pt>
                <c:pt idx="79">
                  <c:v>9.5313775767581852E-3</c:v>
                </c:pt>
                <c:pt idx="80">
                  <c:v>8.9861852256038176E-3</c:v>
                </c:pt>
                <c:pt idx="81">
                  <c:v>8.4721777370114059E-3</c:v>
                </c:pt>
                <c:pt idx="82">
                  <c:v>7.9875713448460169E-3</c:v>
                </c:pt>
                <c:pt idx="83">
                  <c:v>7.5306843139378368E-3</c:v>
                </c:pt>
                <c:pt idx="84">
                  <c:v>7.0999311039371639E-3</c:v>
                </c:pt>
                <c:pt idx="85">
                  <c:v>6.6938168669953496E-3</c:v>
                </c:pt>
                <c:pt idx="86">
                  <c:v>6.3109322601770353E-3</c:v>
                </c:pt>
                <c:pt idx="87">
                  <c:v>5.9499485546010717E-3</c:v>
                </c:pt>
                <c:pt idx="88">
                  <c:v>5.6096130243372773E-3</c:v>
                </c:pt>
                <c:pt idx="89">
                  <c:v>5.2887445990571665E-3</c:v>
                </c:pt>
                <c:pt idx="90">
                  <c:v>4.9862297653519173E-3</c:v>
                </c:pt>
                <c:pt idx="91">
                  <c:v>4.7010187024939228E-3</c:v>
                </c:pt>
                <c:pt idx="92">
                  <c:v>4.432121639231742E-3</c:v>
                </c:pt>
                <c:pt idx="93">
                  <c:v>4.1786054189754925E-3</c:v>
                </c:pt>
                <c:pt idx="94">
                  <c:v>3.9395902614527498E-3</c:v>
                </c:pt>
                <c:pt idx="95">
                  <c:v>3.7142467095968631E-3</c:v>
                </c:pt>
                <c:pt idx="96">
                  <c:v>3.5017927510725181E-3</c:v>
                </c:pt>
                <c:pt idx="97">
                  <c:v>3.3014911044492723E-3</c:v>
                </c:pt>
                <c:pt idx="98">
                  <c:v>3.1126466606052903E-3</c:v>
                </c:pt>
                <c:pt idx="99">
                  <c:v>2.9346040704820958E-3</c:v>
                </c:pt>
                <c:pt idx="100">
                  <c:v>2.7667454708191624E-3</c:v>
                </c:pt>
                <c:pt idx="101">
                  <c:v>2.6084883399758985E-3</c:v>
                </c:pt>
                <c:pt idx="102">
                  <c:v>2.459283476400041E-3</c:v>
                </c:pt>
                <c:pt idx="103">
                  <c:v>2.3186130927271647E-3</c:v>
                </c:pt>
                <c:pt idx="104">
                  <c:v>2.1859890188972043E-3</c:v>
                </c:pt>
                <c:pt idx="105">
                  <c:v>2.0609510080522361E-3</c:v>
                </c:pt>
                <c:pt idx="106">
                  <c:v>1.9430651393364873E-3</c:v>
                </c:pt>
                <c:pt idx="107">
                  <c:v>1.831922312055769E-3</c:v>
                </c:pt>
                <c:pt idx="108">
                  <c:v>1.7271368259706074E-3</c:v>
                </c:pt>
                <c:pt idx="109">
                  <c:v>1.6283450427962325E-3</c:v>
                </c:pt>
                <c:pt idx="110">
                  <c:v>1.535204124264435E-3</c:v>
                </c:pt>
                <c:pt idx="111">
                  <c:v>1.447390842367961E-3</c:v>
                </c:pt>
                <c:pt idx="112">
                  <c:v>1.3646004576586114E-3</c:v>
                </c:pt>
                <c:pt idx="113">
                  <c:v>1.2865456617064126E-3</c:v>
                </c:pt>
                <c:pt idx="114">
                  <c:v>1.2129555800498505E-3</c:v>
                </c:pt>
                <c:pt idx="115">
                  <c:v>1.1435748321770862E-3</c:v>
                </c:pt>
                <c:pt idx="116">
                  <c:v>1.0781626452760159E-3</c:v>
                </c:pt>
                <c:pt idx="117">
                  <c:v>1.0164920186775922E-3</c:v>
                </c:pt>
                <c:pt idx="118">
                  <c:v>9.5834893609278004E-4</c:v>
                </c:pt>
                <c:pt idx="119">
                  <c:v>9.0353162290934721E-4</c:v>
                </c:pt>
                <c:pt idx="120">
                  <c:v>8.5184984597109581E-4</c:v>
                </c:pt>
                <c:pt idx="121">
                  <c:v>8.0312425340954075E-4</c:v>
                </c:pt>
                <c:pt idx="122">
                  <c:v>7.5718575223704171E-4</c:v>
                </c:pt>
                <c:pt idx="123">
                  <c:v>7.1387492154145337E-4</c:v>
                </c:pt>
                <c:pt idx="124">
                  <c:v>6.7304145924589151E-4</c:v>
                </c:pt>
                <c:pt idx="125">
                  <c:v>6.3454366051369279E-4</c:v>
                </c:pt>
                <c:pt idx="126">
                  <c:v>5.9824792598848282E-4</c:v>
                </c:pt>
                <c:pt idx="127">
                  <c:v>5.6402829816278315E-4</c:v>
                </c:pt>
                <c:pt idx="128">
                  <c:v>5.3176602426621711E-4</c:v>
                </c:pt>
                <c:pt idx="129">
                  <c:v>5.0134914415639461E-4</c:v>
                </c:pt>
                <c:pt idx="130">
                  <c:v>4.726721017823351E-4</c:v>
                </c:pt>
                <c:pt idx="131">
                  <c:v>4.456353788720848E-4</c:v>
                </c:pt>
                <c:pt idx="132">
                  <c:v>4.2014514957330277E-4</c:v>
                </c:pt>
                <c:pt idx="133">
                  <c:v>3.9611295484832189E-4</c:v>
                </c:pt>
                <c:pt idx="134">
                  <c:v>3.7345539549372628E-4</c:v>
                </c:pt>
                <c:pt idx="135">
                  <c:v>3.5209384271913188E-4</c:v>
                </c:pt>
                <c:pt idx="136">
                  <c:v>3.3195416528078344E-4</c:v>
                </c:pt>
                <c:pt idx="137">
                  <c:v>3.1296647222304287E-4</c:v>
                </c:pt>
                <c:pt idx="138">
                  <c:v>2.9506487033499791E-4</c:v>
                </c:pt>
                <c:pt idx="139">
                  <c:v>2.7818723548048716E-4</c:v>
                </c:pt>
                <c:pt idx="140">
                  <c:v>2.6227499700799499E-4</c:v>
                </c:pt>
                <c:pt idx="141">
                  <c:v>2.4727293449224025E-4</c:v>
                </c:pt>
                <c:pt idx="142">
                  <c:v>2.3312898610209409E-4</c:v>
                </c:pt>
                <c:pt idx="143">
                  <c:v>2.1979406792980782E-4</c:v>
                </c:pt>
                <c:pt idx="144">
                  <c:v>2.0722190365455854E-4</c:v>
                </c:pt>
                <c:pt idx="145">
                  <c:v>1.9536886394919646E-4</c:v>
                </c:pt>
                <c:pt idx="146">
                  <c:v>1.8419381507288834E-4</c:v>
                </c:pt>
                <c:pt idx="147">
                  <c:v>1.7365797612421948E-4</c:v>
                </c:pt>
                <c:pt idx="148">
                  <c:v>1.637247844593821E-4</c:v>
                </c:pt>
                <c:pt idx="149">
                  <c:v>1.5435976880841132E-4</c:v>
                </c:pt>
                <c:pt idx="150">
                  <c:v>1.4553042964913701E-4</c:v>
                </c:pt>
                <c:pt idx="151">
                  <c:v>1.3720612642371553E-4</c:v>
                </c:pt>
                <c:pt idx="152">
                  <c:v>1.2935797120634861E-4</c:v>
                </c:pt>
                <c:pt idx="153">
                  <c:v>1.2195872845317955E-4</c:v>
                </c:pt>
                <c:pt idx="154">
                  <c:v>1.1498272048646956E-4</c:v>
                </c:pt>
                <c:pt idx="155">
                  <c:v>1.0840573838505699E-4</c:v>
                </c:pt>
                <c:pt idx="156">
                  <c:v>1.022049579718573E-4</c:v>
                </c:pt>
                <c:pt idx="157">
                  <c:v>9.6358860606856871E-5</c:v>
                </c:pt>
                <c:pt idx="158">
                  <c:v>9.0847158510728746E-5</c:v>
                </c:pt>
                <c:pt idx="159">
                  <c:v>8.5650724359915929E-5</c:v>
                </c:pt>
                <c:pt idx="160">
                  <c:v>8.0751524908860355E-5</c:v>
                </c:pt>
                <c:pt idx="161">
                  <c:v>7.6132558409021546E-5</c:v>
                </c:pt>
                <c:pt idx="162">
                  <c:v>7.1777795607511703E-5</c:v>
                </c:pt>
                <c:pt idx="163">
                  <c:v>6.767212412059462E-5</c:v>
                </c:pt>
                <c:pt idx="164">
                  <c:v>6.3801295989005205E-5</c:v>
                </c:pt>
                <c:pt idx="165">
                  <c:v>6.0151878233091252E-5</c:v>
                </c:pt>
                <c:pt idx="166">
                  <c:v>5.6711206236189387E-5</c:v>
                </c:pt>
                <c:pt idx="167">
                  <c:v>5.3467339794458997E-5</c:v>
                </c:pt>
                <c:pt idx="168">
                  <c:v>5.0409021680654394E-5</c:v>
                </c:pt>
                <c:pt idx="169">
                  <c:v>4.7525638578039456E-5</c:v>
                </c:pt>
                <c:pt idx="170">
                  <c:v>4.4807184248871436E-5</c:v>
                </c:pt>
                <c:pt idx="171">
                  <c:v>4.224422480963812E-5</c:v>
                </c:pt>
                <c:pt idx="172">
                  <c:v>3.9827865992543222E-5</c:v>
                </c:pt>
                <c:pt idx="173">
                  <c:v>3.7549722279625658E-5</c:v>
                </c:pt>
                <c:pt idx="174">
                  <c:v>3.5401887802399388E-5</c:v>
                </c:pt>
                <c:pt idx="175">
                  <c:v>3.337690890602696E-5</c:v>
                </c:pt>
                <c:pt idx="176">
                  <c:v>3.146775828281441E-5</c:v>
                </c:pt>
                <c:pt idx="177">
                  <c:v>2.9667810585264484E-5</c:v>
                </c:pt>
                <c:pt idx="178">
                  <c:v>2.7970819434056347E-5</c:v>
                </c:pt>
                <c:pt idx="179">
                  <c:v>2.6370895741163036E-5</c:v>
                </c:pt>
                <c:pt idx="180">
                  <c:v>2.4862487272881438E-5</c:v>
                </c:pt>
                <c:pt idx="181">
                  <c:v>2.344035938185127E-5</c:v>
                </c:pt>
                <c:pt idx="182">
                  <c:v>2.2099576841197644E-5</c:v>
                </c:pt>
                <c:pt idx="183">
                  <c:v>2.0835486717756423E-5</c:v>
                </c:pt>
                <c:pt idx="184">
                  <c:v>1.964370222494626E-5</c:v>
                </c:pt>
                <c:pt idx="185">
                  <c:v>1.8520087499252299E-5</c:v>
                </c:pt>
                <c:pt idx="186">
                  <c:v>1.7460743247491353E-5</c:v>
                </c:pt>
                <c:pt idx="187">
                  <c:v>1.6461993215049553E-5</c:v>
                </c:pt>
                <c:pt idx="188">
                  <c:v>1.5520371428133347E-5</c:v>
                </c:pt>
                <c:pt idx="189">
                  <c:v>1.4632610165760709E-5</c:v>
                </c:pt>
                <c:pt idx="190">
                  <c:v>1.3795628619751126E-5</c:v>
                </c:pt>
              </c:numCache>
            </c:numRef>
          </c:yVal>
          <c:smooth val="0"/>
          <c:extLst xmlns:c16r2="http://schemas.microsoft.com/office/drawing/2015/06/chart">
            <c:ext xmlns:c16="http://schemas.microsoft.com/office/drawing/2014/chart" uri="{C3380CC4-5D6E-409C-BE32-E72D297353CC}">
              <c16:uniqueId val="{00000002-D743-452C-A476-34053FE3D3B8}"/>
            </c:ext>
          </c:extLst>
        </c:ser>
        <c:ser>
          <c:idx val="3"/>
          <c:order val="3"/>
          <c:tx>
            <c:v>fitted - PFS alectinib</c:v>
          </c:tx>
          <c:spPr>
            <a:ln w="19050" cap="rnd">
              <a:solidFill>
                <a:schemeClr val="accent1"/>
              </a:solidFill>
              <a:round/>
            </a:ln>
            <a:effectLst/>
          </c:spPr>
          <c:marker>
            <c:symbol val="none"/>
          </c:marker>
          <c:xVal>
            <c:numRef>
              <c:f>'Model-scenario1'!$C$10:$C$200</c:f>
              <c:numCache>
                <c:formatCode>0.0</c:formatCode>
                <c:ptCount val="1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numCache>
            </c:numRef>
          </c:xVal>
          <c:yVal>
            <c:numRef>
              <c:f>'Model-scenario2_HR_ex_ln'!$AQ$10:$AQ$200</c:f>
              <c:numCache>
                <c:formatCode>0.000</c:formatCode>
                <c:ptCount val="191"/>
                <c:pt idx="0">
                  <c:v>1</c:v>
                </c:pt>
                <c:pt idx="1">
                  <c:v>0.97269628072190695</c:v>
                </c:pt>
                <c:pt idx="2">
                  <c:v>0.94613805453023081</c:v>
                </c:pt>
                <c:pt idx="3">
                  <c:v>0.92030496669101647</c:v>
                </c:pt>
                <c:pt idx="4">
                  <c:v>0.89517721823025009</c:v>
                </c:pt>
                <c:pt idx="5">
                  <c:v>0.87073555075954723</c:v>
                </c:pt>
                <c:pt idx="6">
                  <c:v>0.84696123171615278</c:v>
                </c:pt>
                <c:pt idx="7">
                  <c:v>0.82383604000594701</c:v>
                </c:pt>
                <c:pt idx="8">
                  <c:v>0.80134225203844889</c:v>
                </c:pt>
                <c:pt idx="9">
                  <c:v>0.77946262814311629</c:v>
                </c:pt>
                <c:pt idx="10">
                  <c:v>0.75818039935653192</c:v>
                </c:pt>
                <c:pt idx="11">
                  <c:v>0.73747925457034869</c:v>
                </c:pt>
                <c:pt idx="12">
                  <c:v>0.71734332803014267</c:v>
                </c:pt>
                <c:pt idx="13">
                  <c:v>0.69775718717559465</c:v>
                </c:pt>
                <c:pt idx="14">
                  <c:v>0.67870582081268038</c:v>
                </c:pt>
                <c:pt idx="15">
                  <c:v>0.6601746276088033</c:v>
                </c:pt>
                <c:pt idx="16">
                  <c:v>0.64214940490205297</c:v>
                </c:pt>
                <c:pt idx="17">
                  <c:v>0.62461633781601278</c:v>
                </c:pt>
                <c:pt idx="18">
                  <c:v>0.60756198867177391</c:v>
                </c:pt>
                <c:pt idx="19">
                  <c:v>0.59097328668903981</c:v>
                </c:pt>
                <c:pt idx="20">
                  <c:v>0.5748375179684303</c:v>
                </c:pt>
                <c:pt idx="21">
                  <c:v>0.55914231574730444</c:v>
                </c:pt>
                <c:pt idx="22">
                  <c:v>0.54387565092163725</c:v>
                </c:pt>
                <c:pt idx="23">
                  <c:v>0.52902582282668276</c:v>
                </c:pt>
                <c:pt idx="24">
                  <c:v>0.51458145026936086</c:v>
                </c:pt>
                <c:pt idx="25">
                  <c:v>0.50053146280549221</c:v>
                </c:pt>
                <c:pt idx="26">
                  <c:v>0.48686509225519781</c:v>
                </c:pt>
                <c:pt idx="27">
                  <c:v>0.47357186444995908</c:v>
                </c:pt>
                <c:pt idx="28">
                  <c:v>0.46064159120501424</c:v>
                </c:pt>
                <c:pt idx="29">
                  <c:v>0.44806436251093845</c:v>
                </c:pt>
                <c:pt idx="30">
                  <c:v>0.43583053893842205</c:v>
                </c:pt>
                <c:pt idx="31">
                  <c:v>0.42393074425042743</c:v>
                </c:pt>
                <c:pt idx="32">
                  <c:v>0.41235585821606069</c:v>
                </c:pt>
                <c:pt idx="33">
                  <c:v>0.40109700962065226</c:v>
                </c:pt>
                <c:pt idx="34">
                  <c:v>0.39014556946668738</c:v>
                </c:pt>
                <c:pt idx="35">
                  <c:v>0.37949314436037723</c:v>
                </c:pt>
                <c:pt idx="36">
                  <c:v>0.36913157007880071</c:v>
                </c:pt>
                <c:pt idx="37">
                  <c:v>0.35905290531268741</c:v>
                </c:pt>
                <c:pt idx="38">
                  <c:v>0.34924942558004601</c:v>
                </c:pt>
                <c:pt idx="39">
                  <c:v>0.33971361730597321</c:v>
                </c:pt>
                <c:pt idx="40">
                  <c:v>0.33043817206410536</c:v>
                </c:pt>
                <c:pt idx="41">
                  <c:v>0.32141598097530089</c:v>
                </c:pt>
                <c:pt idx="42">
                  <c:v>0.31264012925925833</c:v>
                </c:pt>
                <c:pt idx="43">
                  <c:v>0.30410389093489681</c:v>
                </c:pt>
                <c:pt idx="44">
                  <c:v>0.29580072366543458</c:v>
                </c:pt>
                <c:pt idx="45">
                  <c:v>0.28772426374421683</c:v>
                </c:pt>
                <c:pt idx="46">
                  <c:v>0.27986832121744876</c:v>
                </c:pt>
                <c:pt idx="47">
                  <c:v>0.27222687514009636</c:v>
                </c:pt>
                <c:pt idx="48">
                  <c:v>0.26479406896131874</c:v>
                </c:pt>
                <c:pt idx="49">
                  <c:v>0.25756420603589486</c:v>
                </c:pt>
                <c:pt idx="50">
                  <c:v>0.25053174525820582</c:v>
                </c:pt>
                <c:pt idx="51">
                  <c:v>0.24369129681542509</c:v>
                </c:pt>
                <c:pt idx="52">
                  <c:v>0.23703761805666224</c:v>
                </c:pt>
                <c:pt idx="53">
                  <c:v>0.23056560947489532</c:v>
                </c:pt>
                <c:pt idx="54">
                  <c:v>0.2242703107986104</c:v>
                </c:pt>
                <c:pt idx="55">
                  <c:v>0.21814689719015443</c:v>
                </c:pt>
                <c:pt idx="56">
                  <c:v>0.21219067554788745</c:v>
                </c:pt>
                <c:pt idx="57">
                  <c:v>0.20639708090929901</c:v>
                </c:pt>
                <c:pt idx="58">
                  <c:v>0.20076167295233369</c:v>
                </c:pt>
                <c:pt idx="59">
                  <c:v>0.19528013259224281</c:v>
                </c:pt>
                <c:pt idx="60">
                  <c:v>0.1899482586713554</c:v>
                </c:pt>
                <c:pt idx="61">
                  <c:v>0.18476196473923015</c:v>
                </c:pt>
                <c:pt idx="62">
                  <c:v>0.17971727592072131</c:v>
                </c:pt>
                <c:pt idx="63">
                  <c:v>0.17481032586955836</c:v>
                </c:pt>
                <c:pt idx="64">
                  <c:v>0.17003735380510396</c:v>
                </c:pt>
                <c:pt idx="65">
                  <c:v>0.1653947016300196</c:v>
                </c:pt>
                <c:pt idx="66">
                  <c:v>0.16087881112662961</c:v>
                </c:pt>
                <c:pt idx="67">
                  <c:v>0.15648622122983474</c:v>
                </c:pt>
                <c:pt idx="68">
                  <c:v>0.1522135653744858</c:v>
                </c:pt>
                <c:pt idx="69">
                  <c:v>0.14805756891518318</c:v>
                </c:pt>
                <c:pt idx="70">
                  <c:v>0.14401504661652609</c:v>
                </c:pt>
                <c:pt idx="71">
                  <c:v>0.14008290021188702</c:v>
                </c:pt>
                <c:pt idx="72">
                  <c:v>0.13625811602884055</c:v>
                </c:pt>
                <c:pt idx="73">
                  <c:v>0.13253776267942721</c:v>
                </c:pt>
                <c:pt idx="74">
                  <c:v>0.12891898881348166</c:v>
                </c:pt>
                <c:pt idx="75">
                  <c:v>0.12539902093330271</c:v>
                </c:pt>
                <c:pt idx="76">
                  <c:v>0.1219751612679921</c:v>
                </c:pt>
                <c:pt idx="77">
                  <c:v>0.1186447857058307</c:v>
                </c:pt>
                <c:pt idx="78">
                  <c:v>0.11540534178310924</c:v>
                </c:pt>
                <c:pt idx="79">
                  <c:v>0.11225434672787084</c:v>
                </c:pt>
                <c:pt idx="80">
                  <c:v>0.10918938555706732</c:v>
                </c:pt>
                <c:pt idx="81">
                  <c:v>0.10620810922566967</c:v>
                </c:pt>
                <c:pt idx="82">
                  <c:v>0.10330823282631499</c:v>
                </c:pt>
                <c:pt idx="83">
                  <c:v>0.10048753383810939</c:v>
                </c:pt>
                <c:pt idx="84">
                  <c:v>9.7743850423245765E-2</c:v>
                </c:pt>
                <c:pt idx="85">
                  <c:v>9.5075079770129578E-2</c:v>
                </c:pt>
                <c:pt idx="86">
                  <c:v>9.2479176481743613E-2</c:v>
                </c:pt>
                <c:pt idx="87">
                  <c:v>8.9954151008016889E-2</c:v>
                </c:pt>
                <c:pt idx="88">
                  <c:v>8.7498068120994796E-2</c:v>
                </c:pt>
                <c:pt idx="89">
                  <c:v>8.5109045431643729E-2</c:v>
                </c:pt>
                <c:pt idx="90">
                  <c:v>8.2785251947151653E-2</c:v>
                </c:pt>
                <c:pt idx="91">
                  <c:v>8.0524906667620411E-2</c:v>
                </c:pt>
                <c:pt idx="92">
                  <c:v>7.832627722107309E-2</c:v>
                </c:pt>
                <c:pt idx="93">
                  <c:v>7.6187678535730774E-2</c:v>
                </c:pt>
                <c:pt idx="94">
                  <c:v>7.4107471548541609E-2</c:v>
                </c:pt>
                <c:pt idx="95">
                  <c:v>7.2084061948970962E-2</c:v>
                </c:pt>
                <c:pt idx="96">
                  <c:v>7.011589895709161E-2</c:v>
                </c:pt>
                <c:pt idx="97">
                  <c:v>6.8201474135036008E-2</c:v>
                </c:pt>
                <c:pt idx="98">
                  <c:v>6.6339320230900889E-2</c:v>
                </c:pt>
                <c:pt idx="99">
                  <c:v>6.4528010054216878E-2</c:v>
                </c:pt>
                <c:pt idx="100">
                  <c:v>6.2766155382122532E-2</c:v>
                </c:pt>
                <c:pt idx="101">
                  <c:v>6.1052405895403915E-2</c:v>
                </c:pt>
                <c:pt idx="102">
                  <c:v>5.9385448143583611E-2</c:v>
                </c:pt>
                <c:pt idx="103">
                  <c:v>5.7764004538267445E-2</c:v>
                </c:pt>
                <c:pt idx="104">
                  <c:v>5.6186832373976092E-2</c:v>
                </c:pt>
                <c:pt idx="105">
                  <c:v>5.4652722875711802E-2</c:v>
                </c:pt>
                <c:pt idx="106">
                  <c:v>5.3160500272529942E-2</c:v>
                </c:pt>
                <c:pt idx="107">
                  <c:v>5.1709020896405791E-2</c:v>
                </c:pt>
                <c:pt idx="108">
                  <c:v>5.0297172305705302E-2</c:v>
                </c:pt>
                <c:pt idx="109">
                  <c:v>4.8923872432588444E-2</c:v>
                </c:pt>
                <c:pt idx="110">
                  <c:v>4.7588068753691808E-2</c:v>
                </c:pt>
                <c:pt idx="111">
                  <c:v>4.6288737483454412E-2</c:v>
                </c:pt>
                <c:pt idx="112">
                  <c:v>4.5024882789468847E-2</c:v>
                </c:pt>
                <c:pt idx="113">
                  <c:v>4.3795536029256121E-2</c:v>
                </c:pt>
                <c:pt idx="114">
                  <c:v>4.2599755007879721E-2</c:v>
                </c:pt>
                <c:pt idx="115">
                  <c:v>4.1436623255829044E-2</c:v>
                </c:pt>
                <c:pt idx="116">
                  <c:v>4.0305249326619788E-2</c:v>
                </c:pt>
                <c:pt idx="117">
                  <c:v>3.9204766113572209E-2</c:v>
                </c:pt>
                <c:pt idx="118">
                  <c:v>3.8134330185243932E-2</c:v>
                </c:pt>
                <c:pt idx="119">
                  <c:v>3.7093121139007937E-2</c:v>
                </c:pt>
                <c:pt idx="120">
                  <c:v>3.6080340972280148E-2</c:v>
                </c:pt>
                <c:pt idx="121">
                  <c:v>3.509521347091514E-2</c:v>
                </c:pt>
                <c:pt idx="122">
                  <c:v>3.4136983614300523E-2</c:v>
                </c:pt>
                <c:pt idx="123">
                  <c:v>3.3204916996694797E-2</c:v>
                </c:pt>
                <c:pt idx="124">
                  <c:v>3.2298299264364672E-2</c:v>
                </c:pt>
                <c:pt idx="125">
                  <c:v>3.1416435568090616E-2</c:v>
                </c:pt>
                <c:pt idx="126">
                  <c:v>3.0558650030621186E-2</c:v>
                </c:pt>
                <c:pt idx="127">
                  <c:v>2.9724285228667598E-2</c:v>
                </c:pt>
                <c:pt idx="128">
                  <c:v>2.89127016890421E-2</c:v>
                </c:pt>
                <c:pt idx="129">
                  <c:v>2.8123277398553245E-2</c:v>
                </c:pt>
                <c:pt idx="130">
                  <c:v>2.7355407327283206E-2</c:v>
                </c:pt>
                <c:pt idx="131">
                  <c:v>2.6608502964881188E-2</c:v>
                </c:pt>
                <c:pt idx="132">
                  <c:v>2.5881991869517763E-2</c:v>
                </c:pt>
                <c:pt idx="133">
                  <c:v>2.5175317229154569E-2</c:v>
                </c:pt>
                <c:pt idx="134">
                  <c:v>2.4487937434792783E-2</c:v>
                </c:pt>
                <c:pt idx="135">
                  <c:v>2.3819325665373703E-2</c:v>
                </c:pt>
                <c:pt idx="136">
                  <c:v>2.3168969484012859E-2</c:v>
                </c:pt>
                <c:pt idx="137">
                  <c:v>2.2536370445258667E-2</c:v>
                </c:pt>
                <c:pt idx="138">
                  <c:v>2.1921043713074219E-2</c:v>
                </c:pt>
                <c:pt idx="139">
                  <c:v>2.1322517689249632E-2</c:v>
                </c:pt>
                <c:pt idx="140">
                  <c:v>2.0740333651960187E-2</c:v>
                </c:pt>
                <c:pt idx="141">
                  <c:v>2.0174045404193087E-2</c:v>
                </c:pt>
                <c:pt idx="142">
                  <c:v>1.9623218931773493E-2</c:v>
                </c:pt>
                <c:pt idx="143">
                  <c:v>1.9087432070727779E-2</c:v>
                </c:pt>
                <c:pt idx="144">
                  <c:v>1.856627418372897E-2</c:v>
                </c:pt>
                <c:pt idx="145">
                  <c:v>1.8059345845376329E-2</c:v>
                </c:pt>
                <c:pt idx="146">
                  <c:v>1.7566258536068167E-2</c:v>
                </c:pt>
                <c:pt idx="147">
                  <c:v>1.7086634344232961E-2</c:v>
                </c:pt>
                <c:pt idx="148">
                  <c:v>1.6620105676690609E-2</c:v>
                </c:pt>
                <c:pt idx="149">
                  <c:v>1.6166314976921999E-2</c:v>
                </c:pt>
                <c:pt idx="150">
                  <c:v>1.5724914451030896E-2</c:v>
                </c:pt>
                <c:pt idx="151">
                  <c:v>1.529556580118791E-2</c:v>
                </c:pt>
                <c:pt idx="152">
                  <c:v>1.487793996635268E-2</c:v>
                </c:pt>
                <c:pt idx="153">
                  <c:v>1.4471716870075072E-2</c:v>
                </c:pt>
                <c:pt idx="154">
                  <c:v>1.4076585175182491E-2</c:v>
                </c:pt>
                <c:pt idx="155">
                  <c:v>1.3692242045165146E-2</c:v>
                </c:pt>
                <c:pt idx="156">
                  <c:v>1.331839291207626E-2</c:v>
                </c:pt>
                <c:pt idx="157">
                  <c:v>1.2954751250769577E-2</c:v>
                </c:pt>
                <c:pt idx="158">
                  <c:v>1.2601038359301046E-2</c:v>
                </c:pt>
                <c:pt idx="159">
                  <c:v>1.2256983145326212E-2</c:v>
                </c:pt>
                <c:pt idx="160">
                  <c:v>1.1922321918329901E-2</c:v>
                </c:pt>
                <c:pt idx="161">
                  <c:v>1.1596798187528769E-2</c:v>
                </c:pt>
                <c:pt idx="162">
                  <c:v>1.1280162465291779E-2</c:v>
                </c:pt>
                <c:pt idx="163">
                  <c:v>1.0972172075928174E-2</c:v>
                </c:pt>
                <c:pt idx="164">
                  <c:v>1.0672590969696104E-2</c:v>
                </c:pt>
                <c:pt idx="165">
                  <c:v>1.0381189541889605E-2</c:v>
                </c:pt>
                <c:pt idx="166">
                  <c:v>1.009774445686518E-2</c:v>
                </c:pt>
                <c:pt idx="167">
                  <c:v>9.8220384768730167E-3</c:v>
                </c:pt>
                <c:pt idx="168">
                  <c:v>9.5538602955618415E-3</c:v>
                </c:pt>
                <c:pt idx="169">
                  <c:v>9.2930043760296975E-3</c:v>
                </c:pt>
                <c:pt idx="170">
                  <c:v>9.0392707932965034E-3</c:v>
                </c:pt>
                <c:pt idx="171">
                  <c:v>8.7924650810776665E-3</c:v>
                </c:pt>
                <c:pt idx="172">
                  <c:v>8.5523980827414813E-3</c:v>
                </c:pt>
                <c:pt idx="173">
                  <c:v>8.3188858063358174E-3</c:v>
                </c:pt>
                <c:pt idx="174">
                  <c:v>8.0917492835731065E-3</c:v>
                </c:pt>
                <c:pt idx="175">
                  <c:v>7.8708144326657195E-3</c:v>
                </c:pt>
                <c:pt idx="176">
                  <c:v>7.6559119249062467E-3</c:v>
                </c:pt>
                <c:pt idx="177">
                  <c:v>7.4468770548908039E-3</c:v>
                </c:pt>
                <c:pt idx="178">
                  <c:v>7.2435496142855956E-3</c:v>
                </c:pt>
                <c:pt idx="179">
                  <c:v>7.0457737690401995E-3</c:v>
                </c:pt>
                <c:pt idx="180">
                  <c:v>6.8533979399533762E-3</c:v>
                </c:pt>
                <c:pt idx="181">
                  <c:v>6.6662746864998308E-3</c:v>
                </c:pt>
                <c:pt idx="182">
                  <c:v>6.4842605938289785E-3</c:v>
                </c:pt>
                <c:pt idx="183">
                  <c:v>6.3072161628490676E-3</c:v>
                </c:pt>
                <c:pt idx="184">
                  <c:v>6.1350057033123934E-3</c:v>
                </c:pt>
                <c:pt idx="185">
                  <c:v>5.9674972298196481E-3</c:v>
                </c:pt>
                <c:pt idx="186">
                  <c:v>5.8045623606638522E-3</c:v>
                </c:pt>
                <c:pt idx="187">
                  <c:v>5.6460762194361028E-3</c:v>
                </c:pt>
                <c:pt idx="188">
                  <c:v>5.4919173393179043E-3</c:v>
                </c:pt>
                <c:pt idx="189">
                  <c:v>5.3419675699866737E-3</c:v>
                </c:pt>
                <c:pt idx="190">
                  <c:v>5.196111987063083E-3</c:v>
                </c:pt>
              </c:numCache>
            </c:numRef>
          </c:yVal>
          <c:smooth val="0"/>
          <c:extLst xmlns:c16r2="http://schemas.microsoft.com/office/drawing/2015/06/chart">
            <c:ext xmlns:c16="http://schemas.microsoft.com/office/drawing/2014/chart" uri="{C3380CC4-5D6E-409C-BE32-E72D297353CC}">
              <c16:uniqueId val="{00000003-D743-452C-A476-34053FE3D3B8}"/>
            </c:ext>
          </c:extLst>
        </c:ser>
        <c:dLbls>
          <c:showLegendKey val="0"/>
          <c:showVal val="0"/>
          <c:showCatName val="0"/>
          <c:showSerName val="0"/>
          <c:showPercent val="0"/>
          <c:showBubbleSize val="0"/>
        </c:dLbls>
        <c:axId val="287314496"/>
        <c:axId val="287316672"/>
      </c:scatterChart>
      <c:valAx>
        <c:axId val="287314496"/>
        <c:scaling>
          <c:orientation val="minMax"/>
          <c:min val="0"/>
        </c:scaling>
        <c:delete val="0"/>
        <c:axPos val="b"/>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87316672"/>
        <c:crosses val="autoZero"/>
        <c:crossBetween val="midCat"/>
        <c:majorUnit val="25"/>
        <c:minorUnit val="1"/>
      </c:valAx>
      <c:valAx>
        <c:axId val="287316672"/>
        <c:scaling>
          <c:orientation val="minMax"/>
          <c:max val="1"/>
        </c:scaling>
        <c:delete val="0"/>
        <c:axPos val="l"/>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87314496"/>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KM - OS 2L brigatinib</c:v>
          </c:tx>
          <c:spPr>
            <a:ln w="19050" cap="rnd">
              <a:solidFill>
                <a:schemeClr val="accent6"/>
              </a:solidFill>
              <a:prstDash val="dash"/>
              <a:round/>
            </a:ln>
            <a:effectLst/>
          </c:spPr>
          <c:marker>
            <c:symbol val="none"/>
          </c:marker>
          <c:xVal>
            <c:numRef>
              <c:f>'KM and fitted survival data'!$M$7:$M$40</c:f>
              <c:numCache>
                <c:formatCode>0.000</c:formatCode>
                <c:ptCount val="34"/>
                <c:pt idx="0">
                  <c:v>0</c:v>
                </c:pt>
                <c:pt idx="1">
                  <c:v>0.28160000000000002</c:v>
                </c:pt>
                <c:pt idx="2">
                  <c:v>0.76190000000000002</c:v>
                </c:pt>
                <c:pt idx="3">
                  <c:v>1.2091000000000001</c:v>
                </c:pt>
                <c:pt idx="4">
                  <c:v>1.5734999999999999</c:v>
                </c:pt>
                <c:pt idx="5">
                  <c:v>2.1366000000000001</c:v>
                </c:pt>
                <c:pt idx="6">
                  <c:v>2.6335000000000002</c:v>
                </c:pt>
                <c:pt idx="7">
                  <c:v>3.0642</c:v>
                </c:pt>
                <c:pt idx="8">
                  <c:v>3.5941999999999998</c:v>
                </c:pt>
                <c:pt idx="9">
                  <c:v>4.0579999999999998</c:v>
                </c:pt>
                <c:pt idx="10">
                  <c:v>4.5382999999999996</c:v>
                </c:pt>
                <c:pt idx="11">
                  <c:v>4.9523999999999999</c:v>
                </c:pt>
                <c:pt idx="12">
                  <c:v>5.5983000000000001</c:v>
                </c:pt>
                <c:pt idx="13">
                  <c:v>6.0124000000000004</c:v>
                </c:pt>
                <c:pt idx="14">
                  <c:v>6.4099000000000004</c:v>
                </c:pt>
                <c:pt idx="15">
                  <c:v>6.7081</c:v>
                </c:pt>
                <c:pt idx="16">
                  <c:v>7.0228000000000002</c:v>
                </c:pt>
                <c:pt idx="17">
                  <c:v>7.5528000000000004</c:v>
                </c:pt>
                <c:pt idx="18">
                  <c:v>7.9503000000000004</c:v>
                </c:pt>
                <c:pt idx="19">
                  <c:v>8.0663</c:v>
                </c:pt>
                <c:pt idx="20">
                  <c:v>8.2650000000000006</c:v>
                </c:pt>
                <c:pt idx="21">
                  <c:v>8.3313000000000006</c:v>
                </c:pt>
                <c:pt idx="22">
                  <c:v>9.06</c:v>
                </c:pt>
                <c:pt idx="23">
                  <c:v>9.7888000000000002</c:v>
                </c:pt>
                <c:pt idx="24">
                  <c:v>10.8157</c:v>
                </c:pt>
                <c:pt idx="25">
                  <c:v>10.9482</c:v>
                </c:pt>
                <c:pt idx="26">
                  <c:v>11.8758</c:v>
                </c:pt>
                <c:pt idx="27">
                  <c:v>11.942</c:v>
                </c:pt>
                <c:pt idx="28">
                  <c:v>12.952400000000001</c:v>
                </c:pt>
                <c:pt idx="29">
                  <c:v>13.068300000000001</c:v>
                </c:pt>
                <c:pt idx="30">
                  <c:v>14.5921</c:v>
                </c:pt>
                <c:pt idx="31">
                  <c:v>16.712199999999999</c:v>
                </c:pt>
                <c:pt idx="32">
                  <c:v>19.3292</c:v>
                </c:pt>
                <c:pt idx="33">
                  <c:v>20.1739</c:v>
                </c:pt>
              </c:numCache>
            </c:numRef>
          </c:xVal>
          <c:yVal>
            <c:numRef>
              <c:f>'KM and fitted survival data'!$N$7:$N$40</c:f>
              <c:numCache>
                <c:formatCode>0.000</c:formatCode>
                <c:ptCount val="34"/>
                <c:pt idx="0">
                  <c:v>1</c:v>
                </c:pt>
                <c:pt idx="1">
                  <c:v>0.98777999999999999</c:v>
                </c:pt>
                <c:pt idx="2">
                  <c:v>0.98777999999999999</c:v>
                </c:pt>
                <c:pt idx="3">
                  <c:v>0.98777999999999999</c:v>
                </c:pt>
                <c:pt idx="4">
                  <c:v>0.98289000000000004</c:v>
                </c:pt>
                <c:pt idx="5">
                  <c:v>0.98289000000000004</c:v>
                </c:pt>
                <c:pt idx="6">
                  <c:v>0.98533000000000004</c:v>
                </c:pt>
                <c:pt idx="7">
                  <c:v>0.96821999999999997</c:v>
                </c:pt>
                <c:pt idx="8">
                  <c:v>0.96333000000000002</c:v>
                </c:pt>
                <c:pt idx="9">
                  <c:v>0.94865999999999995</c:v>
                </c:pt>
                <c:pt idx="10">
                  <c:v>0.94132000000000005</c:v>
                </c:pt>
                <c:pt idx="11">
                  <c:v>0.91442999999999997</c:v>
                </c:pt>
                <c:pt idx="12">
                  <c:v>0.91442999999999997</c:v>
                </c:pt>
                <c:pt idx="13">
                  <c:v>0.90464999999999995</c:v>
                </c:pt>
                <c:pt idx="14">
                  <c:v>0.90464999999999995</c:v>
                </c:pt>
                <c:pt idx="15">
                  <c:v>0.88997999999999999</c:v>
                </c:pt>
                <c:pt idx="16">
                  <c:v>0.88263999999999998</c:v>
                </c:pt>
                <c:pt idx="17">
                  <c:v>0.88263999999999998</c:v>
                </c:pt>
                <c:pt idx="18">
                  <c:v>0.88019999999999998</c:v>
                </c:pt>
                <c:pt idx="19">
                  <c:v>0.86553000000000002</c:v>
                </c:pt>
                <c:pt idx="20">
                  <c:v>0.86553000000000002</c:v>
                </c:pt>
                <c:pt idx="21">
                  <c:v>0.85329999999999995</c:v>
                </c:pt>
                <c:pt idx="22">
                  <c:v>0.85085999999999995</c:v>
                </c:pt>
                <c:pt idx="23">
                  <c:v>0.85085999999999995</c:v>
                </c:pt>
                <c:pt idx="24">
                  <c:v>0.84841</c:v>
                </c:pt>
                <c:pt idx="25">
                  <c:v>0.83374000000000004</c:v>
                </c:pt>
                <c:pt idx="26">
                  <c:v>0.82396000000000003</c:v>
                </c:pt>
                <c:pt idx="27">
                  <c:v>0.79706999999999995</c:v>
                </c:pt>
                <c:pt idx="28">
                  <c:v>0.79706999999999995</c:v>
                </c:pt>
                <c:pt idx="29">
                  <c:v>0.75795000000000001</c:v>
                </c:pt>
                <c:pt idx="30">
                  <c:v>0.75305999999999995</c:v>
                </c:pt>
                <c:pt idx="31">
                  <c:v>0.75305999999999995</c:v>
                </c:pt>
                <c:pt idx="32">
                  <c:v>0.75061</c:v>
                </c:pt>
                <c:pt idx="33">
                  <c:v>0.75305999999999995</c:v>
                </c:pt>
              </c:numCache>
            </c:numRef>
          </c:yVal>
          <c:smooth val="0"/>
          <c:extLst xmlns:c16r2="http://schemas.microsoft.com/office/drawing/2015/06/chart">
            <c:ext xmlns:c16="http://schemas.microsoft.com/office/drawing/2014/chart" uri="{C3380CC4-5D6E-409C-BE32-E72D297353CC}">
              <c16:uniqueId val="{00000000-F2FA-4C32-9210-6FF2DE1D92A8}"/>
            </c:ext>
          </c:extLst>
        </c:ser>
        <c:ser>
          <c:idx val="1"/>
          <c:order val="1"/>
          <c:tx>
            <c:v>Fitted - OS 2L brigatinib</c:v>
          </c:tx>
          <c:spPr>
            <a:ln w="19050" cap="rnd">
              <a:solidFill>
                <a:schemeClr val="accent6"/>
              </a:solidFill>
              <a:round/>
            </a:ln>
            <a:effectLst/>
          </c:spPr>
          <c:marker>
            <c:symbol val="none"/>
          </c:marker>
          <c:xVal>
            <c:numRef>
              <c:f>'Model-scenario2'!$C$10:$C$200</c:f>
              <c:numCache>
                <c:formatCode>0.0</c:formatCode>
                <c:ptCount val="1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numCache>
            </c:numRef>
          </c:xVal>
          <c:yVal>
            <c:numRef>
              <c:f>'Model-scenario2_HR_ex_ex'!$BF$10:$BF$376</c:f>
              <c:numCache>
                <c:formatCode>0.000</c:formatCode>
                <c:ptCount val="367"/>
                <c:pt idx="0">
                  <c:v>1</c:v>
                </c:pt>
                <c:pt idx="1">
                  <c:v>0.98797829102238643</c:v>
                </c:pt>
                <c:pt idx="2">
                  <c:v>0.97610110353151536</c:v>
                </c:pt>
                <c:pt idx="3">
                  <c:v>0.9643667001321321</c:v>
                </c:pt>
                <c:pt idx="4">
                  <c:v>0.95277336431544213</c:v>
                </c:pt>
                <c:pt idx="5">
                  <c:v>0.94131940020802018</c:v>
                </c:pt>
                <c:pt idx="6">
                  <c:v>0.93000313232373766</c:v>
                </c:pt>
                <c:pt idx="7">
                  <c:v>0.91882290531867261</c:v>
                </c:pt>
                <c:pt idx="8">
                  <c:v>0.90777708374896626</c:v>
                </c:pt>
                <c:pt idx="9">
                  <c:v>0.89686405183158946</c:v>
                </c:pt>
                <c:pt idx="10">
                  <c:v>0.88608221320798686</c:v>
                </c:pt>
                <c:pt idx="11">
                  <c:v>0.87542999071056071</c:v>
                </c:pt>
                <c:pt idx="12">
                  <c:v>0.86490582613196343</c:v>
                </c:pt>
                <c:pt idx="13">
                  <c:v>0.85450817999716255</c:v>
                </c:pt>
                <c:pt idx="14">
                  <c:v>0.84423553133824647</c:v>
                </c:pt>
                <c:pt idx="15">
                  <c:v>0.83408637747193715</c:v>
                </c:pt>
                <c:pt idx="16">
                  <c:v>0.82405923377977763</c:v>
                </c:pt>
                <c:pt idx="17">
                  <c:v>0.81415263349096201</c:v>
                </c:pt>
                <c:pt idx="18">
                  <c:v>0.804365127467776</c:v>
                </c:pt>
                <c:pt idx="19">
                  <c:v>0.79469528399361744</c:v>
                </c:pt>
                <c:pt idx="20">
                  <c:v>0.78514168856356426</c:v>
                </c:pt>
                <c:pt idx="21">
                  <c:v>0.77570294367746095</c:v>
                </c:pt>
                <c:pt idx="22">
                  <c:v>0.76637766863549239</c:v>
                </c:pt>
                <c:pt idx="23">
                  <c:v>0.75716449933621455</c:v>
                </c:pt>
                <c:pt idx="24">
                  <c:v>0.74806208807701413</c:v>
                </c:pt>
                <c:pt idx="25">
                  <c:v>0.73906910335696641</c:v>
                </c:pt>
                <c:pt idx="26">
                  <c:v>0.7301842296820632</c:v>
                </c:pt>
                <c:pt idx="27">
                  <c:v>0.72140616737278251</c:v>
                </c:pt>
                <c:pt idx="28">
                  <c:v>0.71273363237397136</c:v>
                </c:pt>
                <c:pt idx="29">
                  <c:v>0.70416535606701414</c:v>
                </c:pt>
                <c:pt idx="30">
                  <c:v>0.69570008508425885</c:v>
                </c:pt>
                <c:pt idx="31">
                  <c:v>0.68733658112567497</c:v>
                </c:pt>
                <c:pt idx="32">
                  <c:v>0.67907362077771427</c:v>
                </c:pt>
                <c:pt idx="33">
                  <c:v>0.67090999533435025</c:v>
                </c:pt>
                <c:pt idx="34">
                  <c:v>0.66284451062026872</c:v>
                </c:pt>
                <c:pt idx="35">
                  <c:v>0.6548759868161832</c:v>
                </c:pt>
                <c:pt idx="36">
                  <c:v>0.64700325828625149</c:v>
                </c:pt>
                <c:pt idx="37">
                  <c:v>0.63922517340756657</c:v>
                </c:pt>
                <c:pt idx="38">
                  <c:v>0.63154059440169619</c:v>
                </c:pt>
                <c:pt idx="39">
                  <c:v>0.6239483971682499</c:v>
                </c:pt>
                <c:pt idx="40">
                  <c:v>0.61644747112044485</c:v>
                </c:pt>
                <c:pt idx="41">
                  <c:v>0.609036719022649</c:v>
                </c:pt>
                <c:pt idx="42">
                  <c:v>0.60171505682987814</c:v>
                </c:pt>
                <c:pt idx="43">
                  <c:v>0.59448141352922124</c:v>
                </c:pt>
                <c:pt idx="44">
                  <c:v>0.58733473098317257</c:v>
                </c:pt>
                <c:pt idx="45">
                  <c:v>0.58027396377484797</c:v>
                </c:pt>
                <c:pt idx="46">
                  <c:v>0.57329807905506047</c:v>
                </c:pt>
                <c:pt idx="47">
                  <c:v>0.56640605639123565</c:v>
                </c:pt>
                <c:pt idx="48">
                  <c:v>0.55959688761814252</c:v>
                </c:pt>
                <c:pt idx="49">
                  <c:v>0.55286957669041892</c:v>
                </c:pt>
                <c:pt idx="50">
                  <c:v>0.54622313953687029</c:v>
                </c:pt>
                <c:pt idx="51">
                  <c:v>0.53965660391651971</c:v>
                </c:pt>
                <c:pt idx="52">
                  <c:v>0.533169009276388</c:v>
                </c:pt>
                <c:pt idx="53">
                  <c:v>0.52675940661098475</c:v>
                </c:pt>
                <c:pt idx="54">
                  <c:v>0.52042685832348712</c:v>
                </c:pt>
                <c:pt idx="55">
                  <c:v>0.51417043808858842</c:v>
                </c:pt>
                <c:pt idx="56">
                  <c:v>0.50798923071699542</c:v>
                </c:pt>
                <c:pt idx="57">
                  <c:v>0.50188233202155386</c:v>
                </c:pt>
                <c:pt idx="58">
                  <c:v>0.4958488486849848</c:v>
                </c:pt>
                <c:pt idx="59">
                  <c:v>0.48988789812920919</c:v>
                </c:pt>
                <c:pt idx="60">
                  <c:v>0.48399860838624503</c:v>
                </c:pt>
                <c:pt idx="61">
                  <c:v>0.47818011797065568</c:v>
                </c:pt>
                <c:pt idx="62">
                  <c:v>0.47243157575353156</c:v>
                </c:pt>
                <c:pt idx="63">
                  <c:v>0.46675214083798727</c:v>
                </c:pt>
                <c:pt idx="64">
                  <c:v>0.46114098243615487</c:v>
                </c:pt>
                <c:pt idx="65">
                  <c:v>0.45559727974765662</c:v>
                </c:pt>
                <c:pt idx="66">
                  <c:v>0.45012022183953793</c:v>
                </c:pt>
                <c:pt idx="67">
                  <c:v>0.44470900752764414</c:v>
                </c:pt>
                <c:pt idx="68">
                  <c:v>0.43936284525942348</c:v>
                </c:pt>
                <c:pt idx="69">
                  <c:v>0.43408095299813848</c:v>
                </c:pt>
                <c:pt idx="70">
                  <c:v>0.42886255810846968</c:v>
                </c:pt>
                <c:pt idx="71">
                  <c:v>0.42370689724349481</c:v>
                </c:pt>
                <c:pt idx="72">
                  <c:v>0.41861321623302594</c:v>
                </c:pt>
                <c:pt idx="73">
                  <c:v>0.41358076997328969</c:v>
                </c:pt>
                <c:pt idx="74">
                  <c:v>0.4086088223179335</c:v>
                </c:pt>
                <c:pt idx="75">
                  <c:v>0.40369664597034188</c:v>
                </c:pt>
                <c:pt idx="76">
                  <c:v>0.39884352237724779</c:v>
                </c:pt>
                <c:pt idx="77">
                  <c:v>0.39404874162362219</c:v>
                </c:pt>
                <c:pt idx="78">
                  <c:v>0.38931160232882817</c:v>
                </c:pt>
                <c:pt idx="79">
                  <c:v>0.38463141154402264</c:v>
                </c:pt>
                <c:pt idx="80">
                  <c:v>0.3800074846507917</c:v>
                </c:pt>
                <c:pt idx="81">
                  <c:v>0.37543914526100497</c:v>
                </c:pt>
                <c:pt idx="82">
                  <c:v>0.37092572511787314</c:v>
                </c:pt>
                <c:pt idx="83">
                  <c:v>0.36646656399819583</c:v>
                </c:pt>
                <c:pt idx="84">
                  <c:v>0.36206100961578352</c:v>
                </c:pt>
                <c:pt idx="85">
                  <c:v>0.35770841752604171</c:v>
                </c:pt>
                <c:pt idx="86">
                  <c:v>0.35340815103170092</c:v>
                </c:pt>
                <c:pt idx="87">
                  <c:v>0.34915958108968131</c:v>
                </c:pt>
                <c:pt idx="88">
                  <c:v>0.3449620862190757</c:v>
                </c:pt>
                <c:pt idx="89">
                  <c:v>0.34081505241023957</c:v>
                </c:pt>
                <c:pt idx="90">
                  <c:v>0.33671787303497364</c:v>
                </c:pt>
                <c:pt idx="91">
                  <c:v>0.3326699487577861</c:v>
                </c:pt>
                <c:pt idx="92">
                  <c:v>0.32867068744822242</c:v>
                </c:pt>
                <c:pt idx="93">
                  <c:v>0.32471950409424771</c:v>
                </c:pt>
                <c:pt idx="94">
                  <c:v>0.32081582071667164</c:v>
                </c:pt>
                <c:pt idx="95">
                  <c:v>0.31695906628460163</c:v>
                </c:pt>
                <c:pt idx="96">
                  <c:v>0.31314867663191204</c:v>
                </c:pt>
                <c:pt idx="97">
                  <c:v>0.30938409437471837</c:v>
                </c:pt>
                <c:pt idx="98">
                  <c:v>0.305664768829843</c:v>
                </c:pt>
                <c:pt idx="99">
                  <c:v>0.3019901559342611</c:v>
                </c:pt>
                <c:pt idx="100">
                  <c:v>0.29835971816551532</c:v>
                </c:pt>
                <c:pt idx="101">
                  <c:v>0.29477292446308667</c:v>
                </c:pt>
                <c:pt idx="102">
                  <c:v>0.29122925015071138</c:v>
                </c:pt>
                <c:pt idx="103">
                  <c:v>0.28772817685963092</c:v>
                </c:pt>
                <c:pt idx="104">
                  <c:v>0.28426919245276511</c:v>
                </c:pt>
                <c:pt idx="105">
                  <c:v>0.28085179094979684</c:v>
                </c:pt>
                <c:pt idx="106">
                  <c:v>0.27747547245315679</c:v>
                </c:pt>
                <c:pt idx="107">
                  <c:v>0.27413974307489913</c:v>
                </c:pt>
                <c:pt idx="108">
                  <c:v>0.27084411486445492</c:v>
                </c:pt>
                <c:pt idx="109">
                  <c:v>0.26758810573725511</c:v>
                </c:pt>
                <c:pt idx="110">
                  <c:v>0.26437123940421098</c:v>
                </c:pt>
                <c:pt idx="111">
                  <c:v>0.26119304530204257</c:v>
                </c:pt>
                <c:pt idx="112">
                  <c:v>0.25805305852444477</c:v>
                </c:pt>
                <c:pt idx="113">
                  <c:v>0.25495081975408085</c:v>
                </c:pt>
                <c:pt idx="114">
                  <c:v>0.25188587519539329</c:v>
                </c:pt>
                <c:pt idx="115">
                  <c:v>0.24885777650822277</c:v>
                </c:pt>
                <c:pt idx="116">
                  <c:v>0.24586608074222496</c:v>
                </c:pt>
                <c:pt idx="117">
                  <c:v>0.2429103502720755</c:v>
                </c:pt>
                <c:pt idx="118">
                  <c:v>0.23999015273345442</c:v>
                </c:pt>
                <c:pt idx="119">
                  <c:v>0.2371050609597998</c:v>
                </c:pt>
                <c:pt idx="120">
                  <c:v>0.23425465291982178</c:v>
                </c:pt>
                <c:pt idx="121">
                  <c:v>0.23143851165576787</c:v>
                </c:pt>
                <c:pt idx="122">
                  <c:v>0.2286562252224302</c:v>
                </c:pt>
                <c:pt idx="123">
                  <c:v>0.22590738662688647</c:v>
                </c:pt>
                <c:pt idx="124">
                  <c:v>0.22319159376896483</c:v>
                </c:pt>
                <c:pt idx="125">
                  <c:v>0.22050844938242459</c:v>
                </c:pt>
                <c:pt idx="126">
                  <c:v>0.21785756097684428</c:v>
                </c:pt>
                <c:pt idx="127">
                  <c:v>0.21523854078020796</c:v>
                </c:pt>
                <c:pt idx="128">
                  <c:v>0.21265100568218209</c:v>
                </c:pt>
                <c:pt idx="129">
                  <c:v>0.21009457717807406</c:v>
                </c:pt>
                <c:pt idx="130">
                  <c:v>0.20756888131346449</c:v>
                </c:pt>
                <c:pt idx="131">
                  <c:v>0.20507354862950525</c:v>
                </c:pt>
                <c:pt idx="132">
                  <c:v>0.20260821410887483</c:v>
                </c:pt>
                <c:pt idx="133">
                  <c:v>0.20017251712238393</c:v>
                </c:pt>
                <c:pt idx="134">
                  <c:v>0.19776610137622228</c:v>
                </c:pt>
                <c:pt idx="135">
                  <c:v>0.1953886148598401</c:v>
                </c:pt>
                <c:pt idx="136">
                  <c:v>0.19303970979445612</c:v>
                </c:pt>
                <c:pt idx="137">
                  <c:v>0.1907190425821842</c:v>
                </c:pt>
                <c:pt idx="138">
                  <c:v>0.18842627375577209</c:v>
                </c:pt>
                <c:pt idx="139">
                  <c:v>0.18616106792894405</c:v>
                </c:pt>
                <c:pt idx="140">
                  <c:v>0.18392309374734053</c:v>
                </c:pt>
                <c:pt idx="141">
                  <c:v>0.18171202384004773</c:v>
                </c:pt>
                <c:pt idx="142">
                  <c:v>0.17952753477170949</c:v>
                </c:pt>
                <c:pt idx="143">
                  <c:v>0.17736930699521561</c:v>
                </c:pt>
                <c:pt idx="144">
                  <c:v>0.17523702480495812</c:v>
                </c:pt>
                <c:pt idx="145">
                  <c:v>0.17313037629065006</c:v>
                </c:pt>
                <c:pt idx="146">
                  <c:v>0.17104905329169917</c:v>
                </c:pt>
                <c:pt idx="147">
                  <c:v>0.16899275135213004</c:v>
                </c:pt>
                <c:pt idx="148">
                  <c:v>0.16696116967604854</c:v>
                </c:pt>
                <c:pt idx="149">
                  <c:v>0.16495401108364113</c:v>
                </c:pt>
                <c:pt idx="150">
                  <c:v>0.16297098196770354</c:v>
                </c:pt>
                <c:pt idx="151">
                  <c:v>0.1610117922506919</c:v>
                </c:pt>
                <c:pt idx="152">
                  <c:v>0.15907615534229017</c:v>
                </c:pt>
                <c:pt idx="153">
                  <c:v>0.15716378809748749</c:v>
                </c:pt>
                <c:pt idx="154">
                  <c:v>0.15527441077516019</c:v>
                </c:pt>
                <c:pt idx="155">
                  <c:v>0.15340774699715076</c:v>
                </c:pt>
                <c:pt idx="156">
                  <c:v>0.15156352370783965</c:v>
                </c:pt>
                <c:pt idx="157">
                  <c:v>0.14974147113420241</c:v>
                </c:pt>
                <c:pt idx="158">
                  <c:v>0.1479413227463473</c:v>
                </c:pt>
                <c:pt idx="159">
                  <c:v>0.14616281521852753</c:v>
                </c:pt>
                <c:pt idx="160">
                  <c:v>0.14440568839062168</c:v>
                </c:pt>
                <c:pt idx="161">
                  <c:v>0.14266968523007767</c:v>
                </c:pt>
                <c:pt idx="162">
                  <c:v>0.14095455179431399</c:v>
                </c:pt>
                <c:pt idx="163">
                  <c:v>0.13926003719357277</c:v>
                </c:pt>
                <c:pt idx="164">
                  <c:v>0.13758589355422002</c:v>
                </c:pt>
                <c:pt idx="165">
                  <c:v>0.13593187598248627</c:v>
                </c:pt>
                <c:pt idx="166">
                  <c:v>0.13429774252864374</c:v>
                </c:pt>
                <c:pt idx="167">
                  <c:v>0.13268325415161394</c:v>
                </c:pt>
                <c:pt idx="168">
                  <c:v>0.13108817468400047</c:v>
                </c:pt>
                <c:pt idx="169">
                  <c:v>0.12951227079754288</c:v>
                </c:pt>
                <c:pt idx="170">
                  <c:v>0.12795531196898496</c:v>
                </c:pt>
                <c:pt idx="171">
                  <c:v>0.12641707044635406</c:v>
                </c:pt>
                <c:pt idx="172">
                  <c:v>0.12489732121564553</c:v>
                </c:pt>
                <c:pt idx="173">
                  <c:v>0.1233958419679075</c:v>
                </c:pt>
                <c:pt idx="174">
                  <c:v>0.12191241306672175</c:v>
                </c:pt>
                <c:pt idx="175">
                  <c:v>0.12044681751607504</c:v>
                </c:pt>
                <c:pt idx="176">
                  <c:v>0.11899884092861703</c:v>
                </c:pt>
                <c:pt idx="177">
                  <c:v>0.11756827149429989</c:v>
                </c:pt>
                <c:pt idx="178">
                  <c:v>0.11615489994939433</c:v>
                </c:pt>
                <c:pt idx="179">
                  <c:v>0.11475851954587891</c:v>
                </c:pt>
                <c:pt idx="180">
                  <c:v>0.1133789260211966</c:v>
                </c:pt>
                <c:pt idx="181">
                  <c:v>0.11201591756837538</c:v>
                </c:pt>
                <c:pt idx="182">
                  <c:v>0.11066929480650804</c:v>
                </c:pt>
                <c:pt idx="183">
                  <c:v>0.10933886075158647</c:v>
                </c:pt>
                <c:pt idx="184">
                  <c:v>0.10802442078768711</c:v>
                </c:pt>
                <c:pt idx="185">
                  <c:v>0.10672578263850228</c:v>
                </c:pt>
                <c:pt idx="186">
                  <c:v>0.10544275633921414</c:v>
                </c:pt>
                <c:pt idx="187">
                  <c:v>0.10417515420870671</c:v>
                </c:pt>
                <c:pt idx="188">
                  <c:v>0.1029227908221116</c:v>
                </c:pt>
                <c:pt idx="189">
                  <c:v>0.10168548298368441</c:v>
                </c:pt>
                <c:pt idx="190">
                  <c:v>0.1004630497000065</c:v>
                </c:pt>
                <c:pt idx="191">
                  <c:v>9.9255312153509467E-2</c:v>
                </c:pt>
                <c:pt idx="192">
                  <c:v>9.806209367631781E-2</c:v>
                </c:pt>
                <c:pt idx="193">
                  <c:v>9.6883219724405625E-2</c:v>
                </c:pt>
                <c:pt idx="194">
                  <c:v>9.5718517852064644E-2</c:v>
                </c:pt>
                <c:pt idx="195">
                  <c:v>9.4567817686678643E-2</c:v>
                </c:pt>
                <c:pt idx="196">
                  <c:v>9.3430950903801352E-2</c:v>
                </c:pt>
                <c:pt idx="197">
                  <c:v>9.2307751202534163E-2</c:v>
                </c:pt>
                <c:pt idx="198">
                  <c:v>9.1198054281199328E-2</c:v>
                </c:pt>
                <c:pt idx="199">
                  <c:v>9.0101697813306167E-2</c:v>
                </c:pt>
                <c:pt idx="200">
                  <c:v>8.901852142380573E-2</c:v>
                </c:pt>
                <c:pt idx="201">
                  <c:v>8.7948366665631272E-2</c:v>
                </c:pt>
                <c:pt idx="202">
                  <c:v>8.6891076996520614E-2</c:v>
                </c:pt>
                <c:pt idx="203">
                  <c:v>8.584649775611701E-2</c:v>
                </c:pt>
                <c:pt idx="204">
                  <c:v>8.4814476143345641E-2</c:v>
                </c:pt>
                <c:pt idx="205">
                  <c:v>8.3794861194061612E-2</c:v>
                </c:pt>
                <c:pt idx="206">
                  <c:v>8.2787503758967054E-2</c:v>
                </c:pt>
                <c:pt idx="207">
                  <c:v>8.1792256481793682E-2</c:v>
                </c:pt>
                <c:pt idx="208">
                  <c:v>8.080897377774722E-2</c:v>
                </c:pt>
                <c:pt idx="209">
                  <c:v>7.9837511812211548E-2</c:v>
                </c:pt>
                <c:pt idx="210">
                  <c:v>7.8877728479708378E-2</c:v>
                </c:pt>
                <c:pt idx="211">
                  <c:v>7.7929483383110079E-2</c:v>
                </c:pt>
                <c:pt idx="212">
                  <c:v>7.6992637813102574E-2</c:v>
                </c:pt>
                <c:pt idx="213">
                  <c:v>7.6067054727894642E-2</c:v>
                </c:pt>
                <c:pt idx="214">
                  <c:v>7.5152598733171705E-2</c:v>
                </c:pt>
                <c:pt idx="215">
                  <c:v>7.4249136062290125E-2</c:v>
                </c:pt>
                <c:pt idx="216">
                  <c:v>7.3356534556710054E-2</c:v>
                </c:pt>
                <c:pt idx="217">
                  <c:v>7.2474663646663051E-2</c:v>
                </c:pt>
                <c:pt idx="218">
                  <c:v>7.1603394332052428E-2</c:v>
                </c:pt>
                <c:pt idx="219">
                  <c:v>7.0742599163583206E-2</c:v>
                </c:pt>
                <c:pt idx="220">
                  <c:v>6.9892152224118625E-2</c:v>
                </c:pt>
                <c:pt idx="221">
                  <c:v>6.9051929110261215E-2</c:v>
                </c:pt>
                <c:pt idx="222">
                  <c:v>6.8221806914154873E-2</c:v>
                </c:pt>
                <c:pt idx="223">
                  <c:v>6.7401664205505946E-2</c:v>
                </c:pt>
                <c:pt idx="224">
                  <c:v>6.6591381013820533E-2</c:v>
                </c:pt>
                <c:pt idx="225">
                  <c:v>6.5790838810854985E-2</c:v>
                </c:pt>
                <c:pt idx="226">
                  <c:v>6.499992049327781E-2</c:v>
                </c:pt>
                <c:pt idx="227">
                  <c:v>6.4218510365539619E-2</c:v>
                </c:pt>
                <c:pt idx="228">
                  <c:v>6.344649412294924E-2</c:v>
                </c:pt>
                <c:pt idx="229">
                  <c:v>6.2683758834953279E-2</c:v>
                </c:pt>
                <c:pt idx="230">
                  <c:v>6.1930192928616547E-2</c:v>
                </c:pt>
                <c:pt idx="231">
                  <c:v>6.1185686172301273E-2</c:v>
                </c:pt>
                <c:pt idx="232">
                  <c:v>6.0450129659542287E-2</c:v>
                </c:pt>
                <c:pt idx="233">
                  <c:v>5.9723415793116248E-2</c:v>
                </c:pt>
                <c:pt idx="234">
                  <c:v>5.9005438269302407E-2</c:v>
                </c:pt>
                <c:pt idx="235">
                  <c:v>5.82960920623323E-2</c:v>
                </c:pt>
                <c:pt idx="236">
                  <c:v>5.7595273409026787E-2</c:v>
                </c:pt>
                <c:pt idx="237">
                  <c:v>5.6902879793617391E-2</c:v>
                </c:pt>
                <c:pt idx="238">
                  <c:v>5.6218809932750385E-2</c:v>
                </c:pt>
                <c:pt idx="239">
                  <c:v>5.5542963760671103E-2</c:v>
                </c:pt>
                <c:pt idx="240">
                  <c:v>5.4875242414586169E-2</c:v>
                </c:pt>
                <c:pt idx="241">
                  <c:v>5.4215548220202026E-2</c:v>
                </c:pt>
                <c:pt idx="242">
                  <c:v>5.3563784677436992E-2</c:v>
                </c:pt>
                <c:pt idx="243">
                  <c:v>5.2919856446305279E-2</c:v>
                </c:pt>
                <c:pt idx="244">
                  <c:v>5.2283669332970725E-2</c:v>
                </c:pt>
                <c:pt idx="245">
                  <c:v>5.1655130275967957E-2</c:v>
                </c:pt>
                <c:pt idx="246">
                  <c:v>5.1034147332589569E-2</c:v>
                </c:pt>
                <c:pt idx="247">
                  <c:v>5.0420629665436534E-2</c:v>
                </c:pt>
                <c:pt idx="248">
                  <c:v>4.9814487529130612E-2</c:v>
                </c:pt>
                <c:pt idx="249">
                  <c:v>4.9215632257186455E-2</c:v>
                </c:pt>
                <c:pt idx="250">
                  <c:v>4.8623976249041301E-2</c:v>
                </c:pt>
                <c:pt idx="251">
                  <c:v>4.8039432957240946E-2</c:v>
                </c:pt>
                <c:pt idx="252">
                  <c:v>4.7461916874779422E-2</c:v>
                </c:pt>
                <c:pt idx="253">
                  <c:v>4.6891343522591132E-2</c:v>
                </c:pt>
                <c:pt idx="254">
                  <c:v>4.6327629437193249E-2</c:v>
                </c:pt>
                <c:pt idx="255">
                  <c:v>4.5770692158476574E-2</c:v>
                </c:pt>
                <c:pt idx="256">
                  <c:v>4.522045021764344E-2</c:v>
                </c:pt>
                <c:pt idx="257">
                  <c:v>4.4676823125290283E-2</c:v>
                </c:pt>
                <c:pt idx="258">
                  <c:v>4.4139731359633713E-2</c:v>
                </c:pt>
                <c:pt idx="259">
                  <c:v>4.3609096354878162E-2</c:v>
                </c:pt>
                <c:pt idx="260">
                  <c:v>4.3084840489723102E-2</c:v>
                </c:pt>
                <c:pt idx="261">
                  <c:v>4.2566887076008759E-2</c:v>
                </c:pt>
                <c:pt idx="262">
                  <c:v>4.2055160347498052E-2</c:v>
                </c:pt>
                <c:pt idx="263">
                  <c:v>4.1549585448793544E-2</c:v>
                </c:pt>
                <c:pt idx="264">
                  <c:v>4.1050088424387669E-2</c:v>
                </c:pt>
                <c:pt idx="265">
                  <c:v>4.0556596207844374E-2</c:v>
                </c:pt>
                <c:pt idx="266">
                  <c:v>4.0069036611111088E-2</c:v>
                </c:pt>
                <c:pt idx="267">
                  <c:v>3.9587338313958977E-2</c:v>
                </c:pt>
                <c:pt idx="268">
                  <c:v>3.9111430853550226E-2</c:v>
                </c:pt>
                <c:pt idx="269">
                  <c:v>3.8641244614130793E-2</c:v>
                </c:pt>
                <c:pt idx="270">
                  <c:v>3.8176710816846926E-2</c:v>
                </c:pt>
                <c:pt idx="271">
                  <c:v>3.771776150968429E-2</c:v>
                </c:pt>
                <c:pt idx="272">
                  <c:v>3.7264329557527842E-2</c:v>
                </c:pt>
                <c:pt idx="273">
                  <c:v>3.6816348632341352E-2</c:v>
                </c:pt>
                <c:pt idx="274">
                  <c:v>3.637375320346499E-2</c:v>
                </c:pt>
                <c:pt idx="275">
                  <c:v>3.5936478528029385E-2</c:v>
                </c:pt>
                <c:pt idx="276">
                  <c:v>3.5504460641485165E-2</c:v>
                </c:pt>
                <c:pt idx="277">
                  <c:v>3.5077636348246108E-2</c:v>
                </c:pt>
                <c:pt idx="278">
                  <c:v>3.4655943212444924E-2</c:v>
                </c:pt>
                <c:pt idx="279">
                  <c:v>3.4239319548800218E-2</c:v>
                </c:pt>
                <c:pt idx="280">
                  <c:v>3.3827704413593014E-2</c:v>
                </c:pt>
                <c:pt idx="281">
                  <c:v>3.3421037595752073E-2</c:v>
                </c:pt>
                <c:pt idx="282">
                  <c:v>3.3019259608046067E-2</c:v>
                </c:pt>
                <c:pt idx="283">
                  <c:v>3.2622311678381866E-2</c:v>
                </c:pt>
                <c:pt idx="284">
                  <c:v>3.2230135741207359E-2</c:v>
                </c:pt>
                <c:pt idx="285">
                  <c:v>3.1842674429017573E-2</c:v>
                </c:pt>
                <c:pt idx="286">
                  <c:v>3.1459871063963037E-2</c:v>
                </c:pt>
                <c:pt idx="287">
                  <c:v>3.1081669649558833E-2</c:v>
                </c:pt>
                <c:pt idx="288">
                  <c:v>3.0708014862493506E-2</c:v>
                </c:pt>
                <c:pt idx="289">
                  <c:v>3.0338852044536384E-2</c:v>
                </c:pt>
                <c:pt idx="290">
                  <c:v>2.9974127194542084E-2</c:v>
                </c:pt>
                <c:pt idx="291">
                  <c:v>2.9613786960551332E-2</c:v>
                </c:pt>
                <c:pt idx="292">
                  <c:v>2.9257778631986545E-2</c:v>
                </c:pt>
                <c:pt idx="293">
                  <c:v>2.8906050131941356E-2</c:v>
                </c:pt>
                <c:pt idx="294">
                  <c:v>2.8558550009562856E-2</c:v>
                </c:pt>
                <c:pt idx="295">
                  <c:v>2.8215227432525261E-2</c:v>
                </c:pt>
                <c:pt idx="296">
                  <c:v>2.7876032179594269E-2</c:v>
                </c:pt>
                <c:pt idx="297">
                  <c:v>2.7540914633280605E-2</c:v>
                </c:pt>
                <c:pt idx="298">
                  <c:v>2.7209825772581998E-2</c:v>
                </c:pt>
                <c:pt idx="299">
                  <c:v>2.6882717165812454E-2</c:v>
                </c:pt>
                <c:pt idx="300">
                  <c:v>2.6559540963517557E-2</c:v>
                </c:pt>
                <c:pt idx="301">
                  <c:v>2.6240249891475147E-2</c:v>
                </c:pt>
                <c:pt idx="302">
                  <c:v>2.5924797243779971E-2</c:v>
                </c:pt>
                <c:pt idx="303">
                  <c:v>2.5613136876011616E-2</c:v>
                </c:pt>
                <c:pt idx="304">
                  <c:v>2.5305223198484428E-2</c:v>
                </c:pt>
                <c:pt idx="305">
                  <c:v>2.5001011169578688E-2</c:v>
                </c:pt>
                <c:pt idx="306">
                  <c:v>2.4700456289151951E-2</c:v>
                </c:pt>
                <c:pt idx="307">
                  <c:v>2.4403514592029496E-2</c:v>
                </c:pt>
                <c:pt idx="308">
                  <c:v>2.4110142641573178E-2</c:v>
                </c:pt>
                <c:pt idx="309">
                  <c:v>2.3820297523327441E-2</c:v>
                </c:pt>
                <c:pt idx="310">
                  <c:v>2.3533936838741824E-2</c:v>
                </c:pt>
                <c:pt idx="311">
                  <c:v>2.3251018698968933E-2</c:v>
                </c:pt>
                <c:pt idx="312">
                  <c:v>2.2971501718736874E-2</c:v>
                </c:pt>
                <c:pt idx="313">
                  <c:v>2.2695345010295475E-2</c:v>
                </c:pt>
                <c:pt idx="314">
                  <c:v>2.2422508177435175E-2</c:v>
                </c:pt>
                <c:pt idx="315">
                  <c:v>2.2152951309577881E-2</c:v>
                </c:pt>
                <c:pt idx="316">
                  <c:v>2.1886634975938898E-2</c:v>
                </c:pt>
                <c:pt idx="317">
                  <c:v>2.1623520219758899E-2</c:v>
                </c:pt>
                <c:pt idx="318">
                  <c:v>2.1363568552605419E-2</c:v>
                </c:pt>
                <c:pt idx="319">
                  <c:v>2.1106741948742704E-2</c:v>
                </c:pt>
                <c:pt idx="320">
                  <c:v>2.0853002839569326E-2</c:v>
                </c:pt>
                <c:pt idx="321">
                  <c:v>2.0602314108122681E-2</c:v>
                </c:pt>
                <c:pt idx="322">
                  <c:v>2.0354639083649442E-2</c:v>
                </c:pt>
                <c:pt idx="323">
                  <c:v>2.0109941536241453E-2</c:v>
                </c:pt>
                <c:pt idx="324">
                  <c:v>1.9868185671535941E-2</c:v>
                </c:pt>
                <c:pt idx="325">
                  <c:v>1.9629336125479541E-2</c:v>
                </c:pt>
                <c:pt idx="326">
                  <c:v>1.9393357959155273E-2</c:v>
                </c:pt>
                <c:pt idx="327">
                  <c:v>1.9160216653671618E-2</c:v>
                </c:pt>
                <c:pt idx="328">
                  <c:v>1.8929878105113158E-2</c:v>
                </c:pt>
                <c:pt idx="329">
                  <c:v>1.8702308619551793E-2</c:v>
                </c:pt>
                <c:pt idx="330">
                  <c:v>1.8477474908118022E-2</c:v>
                </c:pt>
                <c:pt idx="331">
                  <c:v>1.8255344082131468E-2</c:v>
                </c:pt>
                <c:pt idx="332">
                  <c:v>1.8035883648289886E-2</c:v>
                </c:pt>
                <c:pt idx="333">
                  <c:v>1.7819061503916052E-2</c:v>
                </c:pt>
                <c:pt idx="334">
                  <c:v>1.7604845932261779E-2</c:v>
                </c:pt>
                <c:pt idx="335">
                  <c:v>1.7393205597868409E-2</c:v>
                </c:pt>
                <c:pt idx="336">
                  <c:v>1.7184109541983024E-2</c:v>
                </c:pt>
                <c:pt idx="337">
                  <c:v>1.6977527178029875E-2</c:v>
                </c:pt>
                <c:pt idx="338">
                  <c:v>1.6773428287136079E-2</c:v>
                </c:pt>
                <c:pt idx="339">
                  <c:v>1.6571783013711261E-2</c:v>
                </c:pt>
                <c:pt idx="340">
                  <c:v>1.6372561861080267E-2</c:v>
                </c:pt>
                <c:pt idx="341">
                  <c:v>1.6175735687168374E-2</c:v>
                </c:pt>
                <c:pt idx="342">
                  <c:v>1.5981275700238443E-2</c:v>
                </c:pt>
                <c:pt idx="343">
                  <c:v>1.5789153454679173E-2</c:v>
                </c:pt>
                <c:pt idx="344">
                  <c:v>1.5599340846844141E-2</c:v>
                </c:pt>
                <c:pt idx="345">
                  <c:v>1.5411810110940784E-2</c:v>
                </c:pt>
                <c:pt idx="346">
                  <c:v>1.5226533814968803E-2</c:v>
                </c:pt>
                <c:pt idx="347">
                  <c:v>1.5043484856707458E-2</c:v>
                </c:pt>
                <c:pt idx="348">
                  <c:v>1.4862636459750988E-2</c:v>
                </c:pt>
                <c:pt idx="349">
                  <c:v>1.4683962169591796E-2</c:v>
                </c:pt>
                <c:pt idx="350">
                  <c:v>1.450743584975068E-2</c:v>
                </c:pt>
                <c:pt idx="351">
                  <c:v>1.433303167795357E-2</c:v>
                </c:pt>
                <c:pt idx="352">
                  <c:v>1.41607241423543E-2</c:v>
                </c:pt>
                <c:pt idx="353">
                  <c:v>1.3990488037802652E-2</c:v>
                </c:pt>
                <c:pt idx="354">
                  <c:v>1.3822298462157408E-2</c:v>
                </c:pt>
                <c:pt idx="355">
                  <c:v>1.3656130812643639E-2</c:v>
                </c:pt>
                <c:pt idx="356">
                  <c:v>1.3491960782253808E-2</c:v>
                </c:pt>
                <c:pt idx="357">
                  <c:v>1.3329764356192179E-2</c:v>
                </c:pt>
                <c:pt idx="358">
                  <c:v>1.3169517808361874E-2</c:v>
                </c:pt>
                <c:pt idx="359">
                  <c:v>1.3011197697894251E-2</c:v>
                </c:pt>
                <c:pt idx="360">
                  <c:v>1.2854780865719973E-2</c:v>
                </c:pt>
                <c:pt idx="361">
                  <c:v>1.2700244431181285E-2</c:v>
                </c:pt>
                <c:pt idx="362">
                  <c:v>1.2547565788685069E-2</c:v>
                </c:pt>
                <c:pt idx="363">
                  <c:v>1.2396722604396039E-2</c:v>
                </c:pt>
                <c:pt idx="364">
                  <c:v>1.224769281296979E-2</c:v>
                </c:pt>
                <c:pt idx="365">
                  <c:v>1.210045461432506E-2</c:v>
                </c:pt>
                <c:pt idx="366">
                  <c:v>1.1954986470454815E-2</c:v>
                </c:pt>
              </c:numCache>
            </c:numRef>
          </c:yVal>
          <c:smooth val="0"/>
          <c:extLst xmlns:c16r2="http://schemas.microsoft.com/office/drawing/2015/06/chart">
            <c:ext xmlns:c16="http://schemas.microsoft.com/office/drawing/2014/chart" uri="{C3380CC4-5D6E-409C-BE32-E72D297353CC}">
              <c16:uniqueId val="{00000001-F2FA-4C32-9210-6FF2DE1D92A8}"/>
            </c:ext>
          </c:extLst>
        </c:ser>
        <c:dLbls>
          <c:showLegendKey val="0"/>
          <c:showVal val="0"/>
          <c:showCatName val="0"/>
          <c:showSerName val="0"/>
          <c:showPercent val="0"/>
          <c:showBubbleSize val="0"/>
        </c:dLbls>
        <c:axId val="287317216"/>
        <c:axId val="287317760"/>
      </c:scatterChart>
      <c:valAx>
        <c:axId val="287317216"/>
        <c:scaling>
          <c:orientation val="minMax"/>
        </c:scaling>
        <c:delete val="0"/>
        <c:axPos val="b"/>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87317760"/>
        <c:crosses val="autoZero"/>
        <c:crossBetween val="midCat"/>
        <c:majorUnit val="25"/>
      </c:valAx>
      <c:valAx>
        <c:axId val="287317760"/>
        <c:scaling>
          <c:orientation val="minMax"/>
          <c:max val="1"/>
        </c:scaling>
        <c:delete val="0"/>
        <c:axPos val="l"/>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87317216"/>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KM - OS 2L brigatinib (2yr follow-up)</c:v>
          </c:tx>
          <c:spPr>
            <a:ln w="19050" cap="rnd">
              <a:solidFill>
                <a:schemeClr val="accent6"/>
              </a:solidFill>
              <a:prstDash val="dash"/>
              <a:round/>
            </a:ln>
            <a:effectLst/>
          </c:spPr>
          <c:marker>
            <c:symbol val="none"/>
          </c:marker>
          <c:xVal>
            <c:numRef>
              <c:f>'OS curve_brigatinib_followup'!$A$2:$A$23</c:f>
              <c:numCache>
                <c:formatCode>General</c:formatCode>
                <c:ptCount val="22"/>
                <c:pt idx="0">
                  <c:v>9.5200000000000007E-2</c:v>
                </c:pt>
                <c:pt idx="1">
                  <c:v>2.0085000000000002</c:v>
                </c:pt>
                <c:pt idx="2">
                  <c:v>3.5379999999999998</c:v>
                </c:pt>
                <c:pt idx="3">
                  <c:v>4.7782999999999998</c:v>
                </c:pt>
                <c:pt idx="4">
                  <c:v>6.3072999999999997</c:v>
                </c:pt>
                <c:pt idx="5">
                  <c:v>8.3131000000000004</c:v>
                </c:pt>
                <c:pt idx="6">
                  <c:v>9.8415999999999997</c:v>
                </c:pt>
                <c:pt idx="7">
                  <c:v>11.37</c:v>
                </c:pt>
                <c:pt idx="8">
                  <c:v>13.471</c:v>
                </c:pt>
                <c:pt idx="9">
                  <c:v>15.7661</c:v>
                </c:pt>
                <c:pt idx="10">
                  <c:v>17.582699999999999</c:v>
                </c:pt>
                <c:pt idx="11">
                  <c:v>18.3445</c:v>
                </c:pt>
                <c:pt idx="12">
                  <c:v>20.9282</c:v>
                </c:pt>
                <c:pt idx="13">
                  <c:v>22.456700000000001</c:v>
                </c:pt>
                <c:pt idx="14">
                  <c:v>25.2318</c:v>
                </c:pt>
                <c:pt idx="15">
                  <c:v>26.952200000000001</c:v>
                </c:pt>
                <c:pt idx="16">
                  <c:v>28.287600000000001</c:v>
                </c:pt>
                <c:pt idx="17">
                  <c:v>30.679400000000001</c:v>
                </c:pt>
                <c:pt idx="18">
                  <c:v>32.976100000000002</c:v>
                </c:pt>
                <c:pt idx="19">
                  <c:v>34.124400000000001</c:v>
                </c:pt>
                <c:pt idx="20">
                  <c:v>34.2988</c:v>
                </c:pt>
                <c:pt idx="21">
                  <c:v>39.177</c:v>
                </c:pt>
              </c:numCache>
            </c:numRef>
          </c:xVal>
          <c:yVal>
            <c:numRef>
              <c:f>'OS curve_brigatinib_followup'!$B$2:$B$23</c:f>
              <c:numCache>
                <c:formatCode>General</c:formatCode>
                <c:ptCount val="22"/>
                <c:pt idx="0">
                  <c:v>0.99443999999999999</c:v>
                </c:pt>
                <c:pt idx="1">
                  <c:v>0.98889000000000005</c:v>
                </c:pt>
                <c:pt idx="2">
                  <c:v>0.97221999999999997</c:v>
                </c:pt>
                <c:pt idx="3">
                  <c:v>0.93332999999999999</c:v>
                </c:pt>
                <c:pt idx="4">
                  <c:v>0.91110999999999998</c:v>
                </c:pt>
                <c:pt idx="5">
                  <c:v>0.87222</c:v>
                </c:pt>
                <c:pt idx="6">
                  <c:v>0.84443999999999997</c:v>
                </c:pt>
                <c:pt idx="7">
                  <c:v>0.81667000000000001</c:v>
                </c:pt>
                <c:pt idx="8">
                  <c:v>0.77222000000000002</c:v>
                </c:pt>
                <c:pt idx="9">
                  <c:v>0.75556000000000001</c:v>
                </c:pt>
                <c:pt idx="10">
                  <c:v>0.73889000000000005</c:v>
                </c:pt>
                <c:pt idx="11">
                  <c:v>0.7</c:v>
                </c:pt>
                <c:pt idx="12">
                  <c:v>0.7</c:v>
                </c:pt>
                <c:pt idx="13">
                  <c:v>0.67222000000000004</c:v>
                </c:pt>
                <c:pt idx="14">
                  <c:v>0.67222000000000004</c:v>
                </c:pt>
                <c:pt idx="15">
                  <c:v>0.65</c:v>
                </c:pt>
                <c:pt idx="16">
                  <c:v>0.60555999999999999</c:v>
                </c:pt>
                <c:pt idx="17">
                  <c:v>0.6</c:v>
                </c:pt>
                <c:pt idx="18">
                  <c:v>0.6</c:v>
                </c:pt>
                <c:pt idx="19">
                  <c:v>0.6</c:v>
                </c:pt>
                <c:pt idx="20">
                  <c:v>0.42221999999999998</c:v>
                </c:pt>
                <c:pt idx="21">
                  <c:v>0.4</c:v>
                </c:pt>
              </c:numCache>
            </c:numRef>
          </c:yVal>
          <c:smooth val="0"/>
          <c:extLst xmlns:c16r2="http://schemas.microsoft.com/office/drawing/2015/06/chart">
            <c:ext xmlns:c16="http://schemas.microsoft.com/office/drawing/2014/chart" uri="{C3380CC4-5D6E-409C-BE32-E72D297353CC}">
              <c16:uniqueId val="{00000000-E684-4B16-B95C-A2260A40CF9E}"/>
            </c:ext>
          </c:extLst>
        </c:ser>
        <c:ser>
          <c:idx val="1"/>
          <c:order val="1"/>
          <c:tx>
            <c:v>Fitted - OS 2L brigatinib</c:v>
          </c:tx>
          <c:spPr>
            <a:ln w="19050" cap="rnd">
              <a:solidFill>
                <a:schemeClr val="accent6"/>
              </a:solidFill>
              <a:round/>
            </a:ln>
            <a:effectLst/>
          </c:spPr>
          <c:marker>
            <c:symbol val="none"/>
          </c:marker>
          <c:xVal>
            <c:numRef>
              <c:f>'OS curve_brigatinib_followup'!$D$2:$D$368</c:f>
              <c:numCache>
                <c:formatCode>General</c:formatCode>
                <c:ptCount val="3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numCache>
            </c:numRef>
          </c:xVal>
          <c:yVal>
            <c:numRef>
              <c:f>'OS curve_brigatinib_followup'!$E$2:$E$368</c:f>
              <c:numCache>
                <c:formatCode>General</c:formatCode>
                <c:ptCount val="367"/>
                <c:pt idx="0">
                  <c:v>1</c:v>
                </c:pt>
                <c:pt idx="1">
                  <c:v>0.98797829102238643</c:v>
                </c:pt>
                <c:pt idx="2">
                  <c:v>0.97610110353151536</c:v>
                </c:pt>
                <c:pt idx="3">
                  <c:v>0.9643667001321321</c:v>
                </c:pt>
                <c:pt idx="4">
                  <c:v>0.95277336431544213</c:v>
                </c:pt>
                <c:pt idx="5">
                  <c:v>0.94131940020802018</c:v>
                </c:pt>
                <c:pt idx="6">
                  <c:v>0.93000313232373766</c:v>
                </c:pt>
                <c:pt idx="7">
                  <c:v>0.91882290531867261</c:v>
                </c:pt>
                <c:pt idx="8">
                  <c:v>0.90777708374896626</c:v>
                </c:pt>
                <c:pt idx="9">
                  <c:v>0.89686405183158946</c:v>
                </c:pt>
                <c:pt idx="10">
                  <c:v>0.88608221320798686</c:v>
                </c:pt>
                <c:pt idx="11">
                  <c:v>0.87542999071056071</c:v>
                </c:pt>
                <c:pt idx="12">
                  <c:v>0.86490582613196343</c:v>
                </c:pt>
                <c:pt idx="13">
                  <c:v>0.85450817999716255</c:v>
                </c:pt>
                <c:pt idx="14">
                  <c:v>0.84423553133824647</c:v>
                </c:pt>
                <c:pt idx="15">
                  <c:v>0.83408637747193715</c:v>
                </c:pt>
                <c:pt idx="16">
                  <c:v>0.82405923377977763</c:v>
                </c:pt>
                <c:pt idx="17">
                  <c:v>0.81415263349096201</c:v>
                </c:pt>
                <c:pt idx="18">
                  <c:v>0.804365127467776</c:v>
                </c:pt>
                <c:pt idx="19">
                  <c:v>0.79469528399361744</c:v>
                </c:pt>
                <c:pt idx="20">
                  <c:v>0.78514168856356426</c:v>
                </c:pt>
                <c:pt idx="21">
                  <c:v>0.77570294367746095</c:v>
                </c:pt>
                <c:pt idx="22">
                  <c:v>0.76637766863549239</c:v>
                </c:pt>
                <c:pt idx="23">
                  <c:v>0.75716449933621455</c:v>
                </c:pt>
                <c:pt idx="24">
                  <c:v>0.74806208807701413</c:v>
                </c:pt>
                <c:pt idx="25">
                  <c:v>0.73906910335696641</c:v>
                </c:pt>
                <c:pt idx="26">
                  <c:v>0.7301842296820632</c:v>
                </c:pt>
                <c:pt idx="27">
                  <c:v>0.72140616737278251</c:v>
                </c:pt>
                <c:pt idx="28">
                  <c:v>0.71273363237397136</c:v>
                </c:pt>
                <c:pt idx="29">
                  <c:v>0.70416535606701414</c:v>
                </c:pt>
                <c:pt idx="30">
                  <c:v>0.69570008508425885</c:v>
                </c:pt>
                <c:pt idx="31">
                  <c:v>0.68733658112567497</c:v>
                </c:pt>
                <c:pt idx="32">
                  <c:v>0.67907362077771427</c:v>
                </c:pt>
                <c:pt idx="33">
                  <c:v>0.67090999533435025</c:v>
                </c:pt>
                <c:pt idx="34">
                  <c:v>0.66284451062026872</c:v>
                </c:pt>
                <c:pt idx="35">
                  <c:v>0.6548759868161832</c:v>
                </c:pt>
                <c:pt idx="36">
                  <c:v>0.64700325828625149</c:v>
                </c:pt>
                <c:pt idx="37">
                  <c:v>0.63922517340756657</c:v>
                </c:pt>
                <c:pt idx="38">
                  <c:v>0.63154059440169619</c:v>
                </c:pt>
                <c:pt idx="39">
                  <c:v>0.6239483971682499</c:v>
                </c:pt>
                <c:pt idx="40">
                  <c:v>0.61644747112044485</c:v>
                </c:pt>
                <c:pt idx="41">
                  <c:v>0.609036719022649</c:v>
                </c:pt>
                <c:pt idx="42">
                  <c:v>0.60171505682987814</c:v>
                </c:pt>
                <c:pt idx="43">
                  <c:v>0.59448141352922124</c:v>
                </c:pt>
                <c:pt idx="44">
                  <c:v>0.58733473098317257</c:v>
                </c:pt>
                <c:pt idx="45">
                  <c:v>0.58027396377484797</c:v>
                </c:pt>
                <c:pt idx="46">
                  <c:v>0.57329807905506047</c:v>
                </c:pt>
                <c:pt idx="47">
                  <c:v>0.56640605639123565</c:v>
                </c:pt>
                <c:pt idx="48">
                  <c:v>0.55959688761814252</c:v>
                </c:pt>
                <c:pt idx="49">
                  <c:v>0.55286957669041892</c:v>
                </c:pt>
                <c:pt idx="50">
                  <c:v>0.54622313953687029</c:v>
                </c:pt>
                <c:pt idx="51">
                  <c:v>0.53965660391651971</c:v>
                </c:pt>
                <c:pt idx="52">
                  <c:v>0.533169009276388</c:v>
                </c:pt>
                <c:pt idx="53">
                  <c:v>0.52675940661098475</c:v>
                </c:pt>
                <c:pt idx="54">
                  <c:v>0.52042685832348712</c:v>
                </c:pt>
                <c:pt idx="55">
                  <c:v>0.51417043808858842</c:v>
                </c:pt>
                <c:pt idx="56">
                  <c:v>0.50798923071699542</c:v>
                </c:pt>
                <c:pt idx="57">
                  <c:v>0.50188233202155386</c:v>
                </c:pt>
                <c:pt idx="58">
                  <c:v>0.4958488486849848</c:v>
                </c:pt>
                <c:pt idx="59">
                  <c:v>0.48988789812920919</c:v>
                </c:pt>
                <c:pt idx="60">
                  <c:v>0.48399860838624503</c:v>
                </c:pt>
                <c:pt idx="61">
                  <c:v>0.47818011797065568</c:v>
                </c:pt>
                <c:pt idx="62">
                  <c:v>0.47243157575353156</c:v>
                </c:pt>
                <c:pt idx="63">
                  <c:v>0.46675214083798727</c:v>
                </c:pt>
                <c:pt idx="64">
                  <c:v>0.46114098243615487</c:v>
                </c:pt>
                <c:pt idx="65">
                  <c:v>0.45559727974765662</c:v>
                </c:pt>
                <c:pt idx="66">
                  <c:v>0.45012022183953793</c:v>
                </c:pt>
                <c:pt idx="67">
                  <c:v>0.44470900752764414</c:v>
                </c:pt>
                <c:pt idx="68">
                  <c:v>0.43936284525942348</c:v>
                </c:pt>
                <c:pt idx="69">
                  <c:v>0.43408095299813848</c:v>
                </c:pt>
                <c:pt idx="70">
                  <c:v>0.42886255810846968</c:v>
                </c:pt>
                <c:pt idx="71">
                  <c:v>0.42370689724349481</c:v>
                </c:pt>
                <c:pt idx="72">
                  <c:v>0.41861321623302594</c:v>
                </c:pt>
                <c:pt idx="73">
                  <c:v>0.41358076997328969</c:v>
                </c:pt>
                <c:pt idx="74">
                  <c:v>0.4086088223179335</c:v>
                </c:pt>
                <c:pt idx="75">
                  <c:v>0.40369664597034188</c:v>
                </c:pt>
                <c:pt idx="76">
                  <c:v>0.39884352237724779</c:v>
                </c:pt>
                <c:pt idx="77">
                  <c:v>0.39404874162362219</c:v>
                </c:pt>
                <c:pt idx="78">
                  <c:v>0.38931160232882817</c:v>
                </c:pt>
                <c:pt idx="79">
                  <c:v>0.38463141154402264</c:v>
                </c:pt>
                <c:pt idx="80">
                  <c:v>0.3800074846507917</c:v>
                </c:pt>
                <c:pt idx="81">
                  <c:v>0.37543914526100497</c:v>
                </c:pt>
                <c:pt idx="82">
                  <c:v>0.37092572511787314</c:v>
                </c:pt>
                <c:pt idx="83">
                  <c:v>0.36646656399819583</c:v>
                </c:pt>
                <c:pt idx="84">
                  <c:v>0.36206100961578352</c:v>
                </c:pt>
                <c:pt idx="85">
                  <c:v>0.35770841752604171</c:v>
                </c:pt>
                <c:pt idx="86">
                  <c:v>0.35340815103170092</c:v>
                </c:pt>
                <c:pt idx="87">
                  <c:v>0.34915958108968131</c:v>
                </c:pt>
                <c:pt idx="88">
                  <c:v>0.3449620862190757</c:v>
                </c:pt>
                <c:pt idx="89">
                  <c:v>0.34081505241023957</c:v>
                </c:pt>
                <c:pt idx="90">
                  <c:v>0.33671787303497364</c:v>
                </c:pt>
                <c:pt idx="91">
                  <c:v>0.3326699487577861</c:v>
                </c:pt>
                <c:pt idx="92">
                  <c:v>0.32867068744822242</c:v>
                </c:pt>
                <c:pt idx="93">
                  <c:v>0.32471950409424771</c:v>
                </c:pt>
                <c:pt idx="94">
                  <c:v>0.32081582071667164</c:v>
                </c:pt>
                <c:pt idx="95">
                  <c:v>0.31695906628460163</c:v>
                </c:pt>
                <c:pt idx="96">
                  <c:v>0.31314867663191204</c:v>
                </c:pt>
                <c:pt idx="97">
                  <c:v>0.30938409437471837</c:v>
                </c:pt>
                <c:pt idx="98">
                  <c:v>0.305664768829843</c:v>
                </c:pt>
                <c:pt idx="99">
                  <c:v>0.3019901559342611</c:v>
                </c:pt>
                <c:pt idx="100">
                  <c:v>0.29835971816551532</c:v>
                </c:pt>
                <c:pt idx="101">
                  <c:v>0.29477292446308667</c:v>
                </c:pt>
                <c:pt idx="102">
                  <c:v>0.29122925015071138</c:v>
                </c:pt>
                <c:pt idx="103">
                  <c:v>0.28772817685963092</c:v>
                </c:pt>
                <c:pt idx="104">
                  <c:v>0.28426919245276511</c:v>
                </c:pt>
                <c:pt idx="105">
                  <c:v>0.28085179094979684</c:v>
                </c:pt>
                <c:pt idx="106">
                  <c:v>0.27747547245315679</c:v>
                </c:pt>
                <c:pt idx="107">
                  <c:v>0.27413974307489913</c:v>
                </c:pt>
                <c:pt idx="108">
                  <c:v>0.27084411486445492</c:v>
                </c:pt>
                <c:pt idx="109">
                  <c:v>0.26758810573725511</c:v>
                </c:pt>
                <c:pt idx="110">
                  <c:v>0.26437123940421098</c:v>
                </c:pt>
                <c:pt idx="111">
                  <c:v>0.26119304530204257</c:v>
                </c:pt>
                <c:pt idx="112">
                  <c:v>0.25805305852444477</c:v>
                </c:pt>
                <c:pt idx="113">
                  <c:v>0.25495081975408085</c:v>
                </c:pt>
                <c:pt idx="114">
                  <c:v>0.25188587519539329</c:v>
                </c:pt>
                <c:pt idx="115">
                  <c:v>0.24885777650822277</c:v>
                </c:pt>
                <c:pt idx="116">
                  <c:v>0.24586608074222496</c:v>
                </c:pt>
                <c:pt idx="117">
                  <c:v>0.2429103502720755</c:v>
                </c:pt>
                <c:pt idx="118">
                  <c:v>0.23999015273345442</c:v>
                </c:pt>
                <c:pt idx="119">
                  <c:v>0.2371050609597998</c:v>
                </c:pt>
                <c:pt idx="120">
                  <c:v>0.23425465291982178</c:v>
                </c:pt>
                <c:pt idx="121">
                  <c:v>0.23143851165576787</c:v>
                </c:pt>
                <c:pt idx="122">
                  <c:v>0.2286562252224302</c:v>
                </c:pt>
                <c:pt idx="123">
                  <c:v>0.22590738662688647</c:v>
                </c:pt>
                <c:pt idx="124">
                  <c:v>0.22319159376896483</c:v>
                </c:pt>
                <c:pt idx="125">
                  <c:v>0.22050844938242459</c:v>
                </c:pt>
                <c:pt idx="126">
                  <c:v>0.21785756097684428</c:v>
                </c:pt>
                <c:pt idx="127">
                  <c:v>0.21523854078020796</c:v>
                </c:pt>
                <c:pt idx="128">
                  <c:v>0.21265100568218209</c:v>
                </c:pt>
                <c:pt idx="129">
                  <c:v>0.21009457717807406</c:v>
                </c:pt>
                <c:pt idx="130">
                  <c:v>0.20756888131346449</c:v>
                </c:pt>
                <c:pt idx="131">
                  <c:v>0.20507354862950525</c:v>
                </c:pt>
                <c:pt idx="132">
                  <c:v>0.20260821410887483</c:v>
                </c:pt>
                <c:pt idx="133">
                  <c:v>0.20017251712238393</c:v>
                </c:pt>
                <c:pt idx="134">
                  <c:v>0.19776610137622228</c:v>
                </c:pt>
                <c:pt idx="135">
                  <c:v>0.1953886148598401</c:v>
                </c:pt>
                <c:pt idx="136">
                  <c:v>0.19303970979445612</c:v>
                </c:pt>
                <c:pt idx="137">
                  <c:v>0.1907190425821842</c:v>
                </c:pt>
                <c:pt idx="138">
                  <c:v>0.18842627375577209</c:v>
                </c:pt>
                <c:pt idx="139">
                  <c:v>0.18616106792894405</c:v>
                </c:pt>
                <c:pt idx="140">
                  <c:v>0.18392309374734053</c:v>
                </c:pt>
                <c:pt idx="141">
                  <c:v>0.18171202384004773</c:v>
                </c:pt>
                <c:pt idx="142">
                  <c:v>0.17952753477170949</c:v>
                </c:pt>
                <c:pt idx="143">
                  <c:v>0.17736930699521561</c:v>
                </c:pt>
                <c:pt idx="144">
                  <c:v>0.17523702480495812</c:v>
                </c:pt>
                <c:pt idx="145">
                  <c:v>0.17313037629065006</c:v>
                </c:pt>
                <c:pt idx="146">
                  <c:v>0.17104905329169917</c:v>
                </c:pt>
                <c:pt idx="147">
                  <c:v>0.16899275135213004</c:v>
                </c:pt>
                <c:pt idx="148">
                  <c:v>0.16696116967604854</c:v>
                </c:pt>
                <c:pt idx="149">
                  <c:v>0.16495401108364113</c:v>
                </c:pt>
                <c:pt idx="150">
                  <c:v>0.16297098196770354</c:v>
                </c:pt>
                <c:pt idx="151">
                  <c:v>0.1610117922506919</c:v>
                </c:pt>
                <c:pt idx="152">
                  <c:v>0.15907615534229017</c:v>
                </c:pt>
                <c:pt idx="153">
                  <c:v>0.15716378809748749</c:v>
                </c:pt>
                <c:pt idx="154">
                  <c:v>0.15527441077516019</c:v>
                </c:pt>
                <c:pt idx="155">
                  <c:v>0.15340774699715076</c:v>
                </c:pt>
                <c:pt idx="156">
                  <c:v>0.15156352370783965</c:v>
                </c:pt>
                <c:pt idx="157">
                  <c:v>0.14974147113420241</c:v>
                </c:pt>
                <c:pt idx="158">
                  <c:v>0.1479413227463473</c:v>
                </c:pt>
                <c:pt idx="159">
                  <c:v>0.14616281521852753</c:v>
                </c:pt>
                <c:pt idx="160">
                  <c:v>0.14440568839062168</c:v>
                </c:pt>
                <c:pt idx="161">
                  <c:v>0.14266968523007767</c:v>
                </c:pt>
                <c:pt idx="162">
                  <c:v>0.14095455179431399</c:v>
                </c:pt>
                <c:pt idx="163">
                  <c:v>0.13926003719357277</c:v>
                </c:pt>
                <c:pt idx="164">
                  <c:v>0.13758589355422002</c:v>
                </c:pt>
                <c:pt idx="165">
                  <c:v>0.13593187598248627</c:v>
                </c:pt>
                <c:pt idx="166">
                  <c:v>0.13429774252864374</c:v>
                </c:pt>
                <c:pt idx="167">
                  <c:v>0.13268325415161394</c:v>
                </c:pt>
                <c:pt idx="168">
                  <c:v>0.13108817468400047</c:v>
                </c:pt>
                <c:pt idx="169">
                  <c:v>0.12951227079754288</c:v>
                </c:pt>
                <c:pt idx="170">
                  <c:v>0.12795531196898496</c:v>
                </c:pt>
                <c:pt idx="171">
                  <c:v>0.12641707044635406</c:v>
                </c:pt>
                <c:pt idx="172">
                  <c:v>0.12489732121564553</c:v>
                </c:pt>
                <c:pt idx="173">
                  <c:v>0.1233958419679075</c:v>
                </c:pt>
                <c:pt idx="174">
                  <c:v>0.12191241306672175</c:v>
                </c:pt>
                <c:pt idx="175">
                  <c:v>0.12044681751607504</c:v>
                </c:pt>
                <c:pt idx="176">
                  <c:v>0.11899884092861703</c:v>
                </c:pt>
                <c:pt idx="177">
                  <c:v>0.11756827149429989</c:v>
                </c:pt>
                <c:pt idx="178">
                  <c:v>0.11615489994939433</c:v>
                </c:pt>
                <c:pt idx="179">
                  <c:v>0.11475851954587891</c:v>
                </c:pt>
                <c:pt idx="180">
                  <c:v>0.1133789260211966</c:v>
                </c:pt>
                <c:pt idx="181">
                  <c:v>0.11201591756837538</c:v>
                </c:pt>
                <c:pt idx="182">
                  <c:v>0.11066929480650804</c:v>
                </c:pt>
                <c:pt idx="183">
                  <c:v>0.10933886075158647</c:v>
                </c:pt>
                <c:pt idx="184">
                  <c:v>0.10802442078768711</c:v>
                </c:pt>
                <c:pt idx="185">
                  <c:v>0.10672578263850228</c:v>
                </c:pt>
                <c:pt idx="186">
                  <c:v>0.10544275633921414</c:v>
                </c:pt>
                <c:pt idx="187">
                  <c:v>0.10417515420870671</c:v>
                </c:pt>
                <c:pt idx="188">
                  <c:v>0.1029227908221116</c:v>
                </c:pt>
                <c:pt idx="189">
                  <c:v>0.10168548298368441</c:v>
                </c:pt>
                <c:pt idx="190">
                  <c:v>0.1004630497000065</c:v>
                </c:pt>
                <c:pt idx="191">
                  <c:v>9.9255312153509467E-2</c:v>
                </c:pt>
                <c:pt idx="192">
                  <c:v>9.806209367631781E-2</c:v>
                </c:pt>
                <c:pt idx="193">
                  <c:v>9.6883219724405625E-2</c:v>
                </c:pt>
                <c:pt idx="194">
                  <c:v>9.5718517852064644E-2</c:v>
                </c:pt>
                <c:pt idx="195">
                  <c:v>9.4567817686678643E-2</c:v>
                </c:pt>
                <c:pt idx="196">
                  <c:v>9.3430950903801352E-2</c:v>
                </c:pt>
                <c:pt idx="197">
                  <c:v>9.2307751202534163E-2</c:v>
                </c:pt>
                <c:pt idx="198">
                  <c:v>9.1198054281199328E-2</c:v>
                </c:pt>
                <c:pt idx="199">
                  <c:v>9.0101697813306167E-2</c:v>
                </c:pt>
                <c:pt idx="200">
                  <c:v>8.901852142380573E-2</c:v>
                </c:pt>
                <c:pt idx="201">
                  <c:v>8.7948366665631272E-2</c:v>
                </c:pt>
                <c:pt idx="202">
                  <c:v>8.6891076996520614E-2</c:v>
                </c:pt>
                <c:pt idx="203">
                  <c:v>8.584649775611701E-2</c:v>
                </c:pt>
                <c:pt idx="204">
                  <c:v>8.4814476143345641E-2</c:v>
                </c:pt>
                <c:pt idx="205">
                  <c:v>8.3794861194061612E-2</c:v>
                </c:pt>
                <c:pt idx="206">
                  <c:v>8.2787503758967054E-2</c:v>
                </c:pt>
                <c:pt idx="207">
                  <c:v>8.1792256481793682E-2</c:v>
                </c:pt>
                <c:pt idx="208">
                  <c:v>8.080897377774722E-2</c:v>
                </c:pt>
                <c:pt idx="209">
                  <c:v>7.9837511812211548E-2</c:v>
                </c:pt>
                <c:pt idx="210">
                  <c:v>7.8877728479708378E-2</c:v>
                </c:pt>
                <c:pt idx="211">
                  <c:v>7.7929483383110079E-2</c:v>
                </c:pt>
                <c:pt idx="212">
                  <c:v>7.6992637813102574E-2</c:v>
                </c:pt>
                <c:pt idx="213">
                  <c:v>7.6067054727894642E-2</c:v>
                </c:pt>
                <c:pt idx="214">
                  <c:v>7.5152598733171705E-2</c:v>
                </c:pt>
                <c:pt idx="215">
                  <c:v>7.4249136062290125E-2</c:v>
                </c:pt>
                <c:pt idx="216">
                  <c:v>7.3356534556710054E-2</c:v>
                </c:pt>
                <c:pt idx="217">
                  <c:v>7.2474663646663051E-2</c:v>
                </c:pt>
                <c:pt idx="218">
                  <c:v>7.1603394332052428E-2</c:v>
                </c:pt>
                <c:pt idx="219">
                  <c:v>7.0742599163583206E-2</c:v>
                </c:pt>
                <c:pt idx="220">
                  <c:v>6.9892152224118625E-2</c:v>
                </c:pt>
                <c:pt idx="221">
                  <c:v>6.9051929110261215E-2</c:v>
                </c:pt>
                <c:pt idx="222">
                  <c:v>6.8221806914154873E-2</c:v>
                </c:pt>
                <c:pt idx="223">
                  <c:v>6.7401664205505946E-2</c:v>
                </c:pt>
                <c:pt idx="224">
                  <c:v>6.6591381013820533E-2</c:v>
                </c:pt>
                <c:pt idx="225">
                  <c:v>6.5790838810854985E-2</c:v>
                </c:pt>
                <c:pt idx="226">
                  <c:v>6.499992049327781E-2</c:v>
                </c:pt>
                <c:pt idx="227">
                  <c:v>6.4218510365539619E-2</c:v>
                </c:pt>
                <c:pt idx="228">
                  <c:v>6.344649412294924E-2</c:v>
                </c:pt>
                <c:pt idx="229">
                  <c:v>6.2683758834953279E-2</c:v>
                </c:pt>
                <c:pt idx="230">
                  <c:v>6.1930192928616547E-2</c:v>
                </c:pt>
                <c:pt idx="231">
                  <c:v>6.1185686172301273E-2</c:v>
                </c:pt>
                <c:pt idx="232">
                  <c:v>6.0450129659542287E-2</c:v>
                </c:pt>
                <c:pt idx="233">
                  <c:v>5.9723415793116248E-2</c:v>
                </c:pt>
                <c:pt idx="234">
                  <c:v>5.9005438269302407E-2</c:v>
                </c:pt>
                <c:pt idx="235">
                  <c:v>5.82960920623323E-2</c:v>
                </c:pt>
                <c:pt idx="236">
                  <c:v>5.7595273409026787E-2</c:v>
                </c:pt>
                <c:pt idx="237">
                  <c:v>5.6902879793617391E-2</c:v>
                </c:pt>
                <c:pt idx="238">
                  <c:v>5.6218809932750385E-2</c:v>
                </c:pt>
                <c:pt idx="239">
                  <c:v>5.5542963760671103E-2</c:v>
                </c:pt>
                <c:pt idx="240">
                  <c:v>5.4875242414586169E-2</c:v>
                </c:pt>
                <c:pt idx="241">
                  <c:v>5.4215548220202026E-2</c:v>
                </c:pt>
                <c:pt idx="242">
                  <c:v>5.3563784677436992E-2</c:v>
                </c:pt>
                <c:pt idx="243">
                  <c:v>5.2919856446305279E-2</c:v>
                </c:pt>
                <c:pt idx="244">
                  <c:v>5.2283669332970725E-2</c:v>
                </c:pt>
                <c:pt idx="245">
                  <c:v>5.1655130275967957E-2</c:v>
                </c:pt>
                <c:pt idx="246">
                  <c:v>5.1034147332589569E-2</c:v>
                </c:pt>
                <c:pt idx="247">
                  <c:v>5.0420629665436534E-2</c:v>
                </c:pt>
                <c:pt idx="248">
                  <c:v>4.9814487529130612E-2</c:v>
                </c:pt>
                <c:pt idx="249">
                  <c:v>4.9215632257186455E-2</c:v>
                </c:pt>
                <c:pt idx="250">
                  <c:v>4.8623976249041301E-2</c:v>
                </c:pt>
                <c:pt idx="251">
                  <c:v>4.8039432957240946E-2</c:v>
                </c:pt>
                <c:pt idx="252">
                  <c:v>4.7461916874779422E-2</c:v>
                </c:pt>
                <c:pt idx="253">
                  <c:v>4.6891343522591132E-2</c:v>
                </c:pt>
                <c:pt idx="254">
                  <c:v>4.6327629437193249E-2</c:v>
                </c:pt>
                <c:pt idx="255">
                  <c:v>4.5770692158476574E-2</c:v>
                </c:pt>
                <c:pt idx="256">
                  <c:v>4.522045021764344E-2</c:v>
                </c:pt>
                <c:pt idx="257">
                  <c:v>4.4676823125290283E-2</c:v>
                </c:pt>
                <c:pt idx="258">
                  <c:v>4.4139731359633713E-2</c:v>
                </c:pt>
                <c:pt idx="259">
                  <c:v>4.3609096354878162E-2</c:v>
                </c:pt>
                <c:pt idx="260">
                  <c:v>4.3084840489723102E-2</c:v>
                </c:pt>
                <c:pt idx="261">
                  <c:v>4.2566887076008759E-2</c:v>
                </c:pt>
                <c:pt idx="262">
                  <c:v>4.2055160347498052E-2</c:v>
                </c:pt>
                <c:pt idx="263">
                  <c:v>4.1549585448793544E-2</c:v>
                </c:pt>
                <c:pt idx="264">
                  <c:v>4.1050088424387669E-2</c:v>
                </c:pt>
                <c:pt idx="265">
                  <c:v>4.0556596207844374E-2</c:v>
                </c:pt>
                <c:pt idx="266">
                  <c:v>4.0069036611111088E-2</c:v>
                </c:pt>
                <c:pt idx="267">
                  <c:v>3.9587338313958977E-2</c:v>
                </c:pt>
                <c:pt idx="268">
                  <c:v>3.9111430853550226E-2</c:v>
                </c:pt>
                <c:pt idx="269">
                  <c:v>3.8641244614130793E-2</c:v>
                </c:pt>
                <c:pt idx="270">
                  <c:v>3.8176710816846926E-2</c:v>
                </c:pt>
                <c:pt idx="271">
                  <c:v>3.771776150968429E-2</c:v>
                </c:pt>
                <c:pt idx="272">
                  <c:v>3.7264329557527842E-2</c:v>
                </c:pt>
                <c:pt idx="273">
                  <c:v>3.6816348632341352E-2</c:v>
                </c:pt>
                <c:pt idx="274">
                  <c:v>3.637375320346499E-2</c:v>
                </c:pt>
                <c:pt idx="275">
                  <c:v>3.5936478528029385E-2</c:v>
                </c:pt>
                <c:pt idx="276">
                  <c:v>3.5504460641485165E-2</c:v>
                </c:pt>
                <c:pt idx="277">
                  <c:v>3.5077636348246108E-2</c:v>
                </c:pt>
                <c:pt idx="278">
                  <c:v>3.4655943212444924E-2</c:v>
                </c:pt>
                <c:pt idx="279">
                  <c:v>3.4239319548800218E-2</c:v>
                </c:pt>
                <c:pt idx="280">
                  <c:v>3.3827704413593014E-2</c:v>
                </c:pt>
                <c:pt idx="281">
                  <c:v>3.3421037595752073E-2</c:v>
                </c:pt>
                <c:pt idx="282">
                  <c:v>3.3019259608046067E-2</c:v>
                </c:pt>
                <c:pt idx="283">
                  <c:v>3.2622311678381866E-2</c:v>
                </c:pt>
                <c:pt idx="284">
                  <c:v>3.2230135741207359E-2</c:v>
                </c:pt>
                <c:pt idx="285">
                  <c:v>3.1842674429017573E-2</c:v>
                </c:pt>
                <c:pt idx="286">
                  <c:v>3.1459871063963037E-2</c:v>
                </c:pt>
                <c:pt idx="287">
                  <c:v>3.1081669649558833E-2</c:v>
                </c:pt>
                <c:pt idx="288">
                  <c:v>3.0708014862493506E-2</c:v>
                </c:pt>
                <c:pt idx="289">
                  <c:v>3.0338852044536384E-2</c:v>
                </c:pt>
                <c:pt idx="290">
                  <c:v>2.9974127194542084E-2</c:v>
                </c:pt>
                <c:pt idx="291">
                  <c:v>2.9613786960551332E-2</c:v>
                </c:pt>
                <c:pt idx="292">
                  <c:v>2.9257778631986545E-2</c:v>
                </c:pt>
                <c:pt idx="293">
                  <c:v>2.8906050131941356E-2</c:v>
                </c:pt>
                <c:pt idx="294">
                  <c:v>2.8558550009562856E-2</c:v>
                </c:pt>
                <c:pt idx="295">
                  <c:v>2.8215227432525261E-2</c:v>
                </c:pt>
                <c:pt idx="296">
                  <c:v>2.7876032179594269E-2</c:v>
                </c:pt>
                <c:pt idx="297">
                  <c:v>2.7540914633280605E-2</c:v>
                </c:pt>
                <c:pt idx="298">
                  <c:v>2.7209825772581998E-2</c:v>
                </c:pt>
                <c:pt idx="299">
                  <c:v>2.6882717165812454E-2</c:v>
                </c:pt>
                <c:pt idx="300">
                  <c:v>2.6559540963517557E-2</c:v>
                </c:pt>
                <c:pt idx="301">
                  <c:v>2.6240249891475147E-2</c:v>
                </c:pt>
                <c:pt idx="302">
                  <c:v>2.5924797243779971E-2</c:v>
                </c:pt>
                <c:pt idx="303">
                  <c:v>2.5613136876011616E-2</c:v>
                </c:pt>
                <c:pt idx="304">
                  <c:v>2.5305223198484428E-2</c:v>
                </c:pt>
                <c:pt idx="305">
                  <c:v>2.5001011169578688E-2</c:v>
                </c:pt>
                <c:pt idx="306">
                  <c:v>2.4700456289151951E-2</c:v>
                </c:pt>
                <c:pt idx="307">
                  <c:v>2.4403514592029496E-2</c:v>
                </c:pt>
                <c:pt idx="308">
                  <c:v>2.4110142641573178E-2</c:v>
                </c:pt>
                <c:pt idx="309">
                  <c:v>2.3820297523327441E-2</c:v>
                </c:pt>
                <c:pt idx="310">
                  <c:v>2.3533936838741824E-2</c:v>
                </c:pt>
                <c:pt idx="311">
                  <c:v>2.3251018698968933E-2</c:v>
                </c:pt>
                <c:pt idx="312">
                  <c:v>2.2971501718736874E-2</c:v>
                </c:pt>
                <c:pt idx="313">
                  <c:v>2.2695345010295475E-2</c:v>
                </c:pt>
                <c:pt idx="314">
                  <c:v>2.2422508177435175E-2</c:v>
                </c:pt>
                <c:pt idx="315">
                  <c:v>2.2152951309577881E-2</c:v>
                </c:pt>
                <c:pt idx="316">
                  <c:v>2.1886634975938898E-2</c:v>
                </c:pt>
                <c:pt idx="317">
                  <c:v>2.1623520219758899E-2</c:v>
                </c:pt>
                <c:pt idx="318">
                  <c:v>2.1363568552605419E-2</c:v>
                </c:pt>
                <c:pt idx="319">
                  <c:v>2.1106741948742704E-2</c:v>
                </c:pt>
                <c:pt idx="320">
                  <c:v>2.0853002839569326E-2</c:v>
                </c:pt>
                <c:pt idx="321">
                  <c:v>2.0602314108122681E-2</c:v>
                </c:pt>
                <c:pt idx="322">
                  <c:v>2.0354639083649442E-2</c:v>
                </c:pt>
                <c:pt idx="323">
                  <c:v>2.0109941536241453E-2</c:v>
                </c:pt>
                <c:pt idx="324">
                  <c:v>1.9868185671535941E-2</c:v>
                </c:pt>
                <c:pt idx="325">
                  <c:v>1.9629336125479541E-2</c:v>
                </c:pt>
                <c:pt idx="326">
                  <c:v>1.9393357959155273E-2</c:v>
                </c:pt>
                <c:pt idx="327">
                  <c:v>1.9160216653671618E-2</c:v>
                </c:pt>
                <c:pt idx="328">
                  <c:v>1.8929878105113158E-2</c:v>
                </c:pt>
                <c:pt idx="329">
                  <c:v>1.8702308619551793E-2</c:v>
                </c:pt>
                <c:pt idx="330">
                  <c:v>1.8477474908118022E-2</c:v>
                </c:pt>
                <c:pt idx="331">
                  <c:v>1.8255344082131468E-2</c:v>
                </c:pt>
                <c:pt idx="332">
                  <c:v>1.8035883648289886E-2</c:v>
                </c:pt>
                <c:pt idx="333">
                  <c:v>1.7819061503916052E-2</c:v>
                </c:pt>
                <c:pt idx="334">
                  <c:v>1.7604845932261779E-2</c:v>
                </c:pt>
                <c:pt idx="335">
                  <c:v>1.7393205597868409E-2</c:v>
                </c:pt>
                <c:pt idx="336">
                  <c:v>1.7184109541983024E-2</c:v>
                </c:pt>
                <c:pt idx="337">
                  <c:v>1.6977527178029875E-2</c:v>
                </c:pt>
                <c:pt idx="338">
                  <c:v>1.6773428287136079E-2</c:v>
                </c:pt>
                <c:pt idx="339">
                  <c:v>1.6571783013711261E-2</c:v>
                </c:pt>
                <c:pt idx="340">
                  <c:v>1.6372561861080267E-2</c:v>
                </c:pt>
                <c:pt idx="341">
                  <c:v>1.6175735687168374E-2</c:v>
                </c:pt>
                <c:pt idx="342">
                  <c:v>1.5981275700238443E-2</c:v>
                </c:pt>
                <c:pt idx="343">
                  <c:v>1.5789153454679173E-2</c:v>
                </c:pt>
                <c:pt idx="344">
                  <c:v>1.5599340846844141E-2</c:v>
                </c:pt>
                <c:pt idx="345">
                  <c:v>1.5411810110940784E-2</c:v>
                </c:pt>
                <c:pt idx="346">
                  <c:v>1.5226533814968803E-2</c:v>
                </c:pt>
                <c:pt idx="347">
                  <c:v>1.5043484856707458E-2</c:v>
                </c:pt>
                <c:pt idx="348">
                  <c:v>1.4862636459750988E-2</c:v>
                </c:pt>
                <c:pt idx="349">
                  <c:v>1.4683962169591796E-2</c:v>
                </c:pt>
                <c:pt idx="350">
                  <c:v>1.450743584975068E-2</c:v>
                </c:pt>
                <c:pt idx="351">
                  <c:v>1.433303167795357E-2</c:v>
                </c:pt>
                <c:pt idx="352">
                  <c:v>1.41607241423543E-2</c:v>
                </c:pt>
                <c:pt idx="353">
                  <c:v>1.3990488037802652E-2</c:v>
                </c:pt>
                <c:pt idx="354">
                  <c:v>1.3822298462157408E-2</c:v>
                </c:pt>
                <c:pt idx="355">
                  <c:v>1.3656130812643639E-2</c:v>
                </c:pt>
                <c:pt idx="356">
                  <c:v>1.3491960782253808E-2</c:v>
                </c:pt>
                <c:pt idx="357">
                  <c:v>1.3329764356192179E-2</c:v>
                </c:pt>
                <c:pt idx="358">
                  <c:v>1.3169517808361874E-2</c:v>
                </c:pt>
                <c:pt idx="359">
                  <c:v>1.3011197697894251E-2</c:v>
                </c:pt>
                <c:pt idx="360">
                  <c:v>1.2854780865719973E-2</c:v>
                </c:pt>
                <c:pt idx="361">
                  <c:v>1.2700244431181285E-2</c:v>
                </c:pt>
                <c:pt idx="362">
                  <c:v>1.2547565788685069E-2</c:v>
                </c:pt>
                <c:pt idx="363">
                  <c:v>1.2396722604396039E-2</c:v>
                </c:pt>
                <c:pt idx="364">
                  <c:v>1.224769281296979E-2</c:v>
                </c:pt>
                <c:pt idx="365">
                  <c:v>1.210045461432506E-2</c:v>
                </c:pt>
                <c:pt idx="366">
                  <c:v>1.1954986470454815E-2</c:v>
                </c:pt>
              </c:numCache>
            </c:numRef>
          </c:yVal>
          <c:smooth val="0"/>
          <c:extLst xmlns:c16r2="http://schemas.microsoft.com/office/drawing/2015/06/chart">
            <c:ext xmlns:c16="http://schemas.microsoft.com/office/drawing/2014/chart" uri="{C3380CC4-5D6E-409C-BE32-E72D297353CC}">
              <c16:uniqueId val="{00000001-E684-4B16-B95C-A2260A40CF9E}"/>
            </c:ext>
          </c:extLst>
        </c:ser>
        <c:dLbls>
          <c:showLegendKey val="0"/>
          <c:showVal val="0"/>
          <c:showCatName val="0"/>
          <c:showSerName val="0"/>
          <c:showPercent val="0"/>
          <c:showBubbleSize val="0"/>
        </c:dLbls>
        <c:axId val="287319936"/>
        <c:axId val="282660496"/>
      </c:scatterChart>
      <c:valAx>
        <c:axId val="287319936"/>
        <c:scaling>
          <c:orientation val="minMax"/>
          <c:max val="200"/>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82660496"/>
        <c:crosses val="autoZero"/>
        <c:crossBetween val="midCat"/>
        <c:majorUnit val="25"/>
      </c:valAx>
      <c:valAx>
        <c:axId val="282660496"/>
        <c:scaling>
          <c:orientation val="minMax"/>
          <c:max val="1"/>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87319936"/>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4191</Words>
  <Characters>23890</Characters>
  <Application>Microsoft Office Word</Application>
  <DocSecurity>0</DocSecurity>
  <Lines>199</Lines>
  <Paragraphs>56</Paragraphs>
  <ScaleCrop>false</ScaleCrop>
  <Company/>
  <LinksUpToDate>false</LinksUpToDate>
  <CharactersWithSpaces>28025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Woojung Lee</dc:creator>
  <cp:keywords/>
  <dc:description/>
  <cp:lastModifiedBy>Vanitha M.</cp:lastModifiedBy>
  <cp:revision>10</cp:revision>
  <dcterms:created xsi:type="dcterms:W3CDTF">2022-01-25T17:59:00Z</dcterms:created>
  <dcterms:modified xsi:type="dcterms:W3CDTF">2022-04-21T16:49:00Z</dcterms:modified>
</cp:coreProperties>
</file>