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F70A0" w14:textId="77777777" w:rsidR="00DC41EF" w:rsidRDefault="00DC41EF" w:rsidP="00DC41EF">
      <w:pPr>
        <w:pStyle w:val="berschrift1"/>
        <w:pageBreakBefore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>Supplementary material</w:t>
      </w:r>
    </w:p>
    <w:p w14:paraId="67B07188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  <w:r>
        <w:rPr>
          <w:rFonts w:cs="Times New Roman"/>
          <w:b/>
          <w:szCs w:val="20"/>
          <w:lang w:val="en-US"/>
        </w:rPr>
        <w:t>Title</w:t>
      </w:r>
    </w:p>
    <w:p w14:paraId="77004C37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Vaccinating the German population aged 60 years and over with a quadrivalent high-dose inactivated influenza vaccine compared to standard vaccines: a transmission and budget impact model. </w:t>
      </w:r>
    </w:p>
    <w:p w14:paraId="6178C3B4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</w:p>
    <w:p w14:paraId="70F8B59E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</w:rPr>
      </w:pPr>
      <w:r>
        <w:rPr>
          <w:rFonts w:cs="Times New Roman"/>
          <w:b/>
          <w:szCs w:val="20"/>
        </w:rPr>
        <w:t>Authors</w:t>
      </w:r>
    </w:p>
    <w:p w14:paraId="105C5773" w14:textId="77777777" w:rsidR="00DC41EF" w:rsidRDefault="00DC41EF" w:rsidP="00DC41EF">
      <w:pPr>
        <w:spacing w:line="240" w:lineRule="auto"/>
        <w:rPr>
          <w:rFonts w:cs="Times New Roman"/>
          <w:szCs w:val="20"/>
          <w:vertAlign w:val="superscript"/>
        </w:rPr>
      </w:pPr>
      <w:r>
        <w:rPr>
          <w:rFonts w:cs="Times New Roman"/>
          <w:szCs w:val="20"/>
        </w:rPr>
        <w:t>Kathrin Pahmeier</w:t>
      </w:r>
      <w:r>
        <w:rPr>
          <w:rFonts w:cs="Times New Roman"/>
          <w:szCs w:val="20"/>
          <w:vertAlign w:val="superscript"/>
        </w:rPr>
        <w:t>1</w:t>
      </w:r>
      <w:r>
        <w:rPr>
          <w:rFonts w:cs="Times New Roman"/>
          <w:szCs w:val="20"/>
          <w:vertAlign w:val="superscript"/>
          <w:lang w:val="en-US"/>
        </w:rPr>
        <w:t>ⱡ</w:t>
      </w:r>
      <w:r>
        <w:rPr>
          <w:rFonts w:cs="Times New Roman"/>
          <w:szCs w:val="20"/>
        </w:rPr>
        <w:t xml:space="preserve"> (0000-0001-7259-5769), Christian Speckemeier</w:t>
      </w:r>
      <w:r>
        <w:rPr>
          <w:rFonts w:cs="Times New Roman"/>
          <w:szCs w:val="20"/>
          <w:vertAlign w:val="superscript"/>
        </w:rPr>
        <w:t>2</w:t>
      </w:r>
      <w:r>
        <w:rPr>
          <w:rFonts w:cs="Times New Roman"/>
          <w:szCs w:val="20"/>
          <w:vertAlign w:val="superscript"/>
          <w:lang w:val="en-US"/>
        </w:rPr>
        <w:t>ⱡ</w:t>
      </w:r>
      <w:r>
        <w:rPr>
          <w:rFonts w:cs="Times New Roman"/>
          <w:szCs w:val="20"/>
        </w:rPr>
        <w:t xml:space="preserve"> (0000-0001-7507-4432), Silke Neusser</w:t>
      </w:r>
      <w:r>
        <w:rPr>
          <w:rFonts w:cs="Times New Roman"/>
          <w:szCs w:val="20"/>
          <w:vertAlign w:val="superscript"/>
        </w:rPr>
        <w:t>2</w:t>
      </w:r>
      <w:r>
        <w:rPr>
          <w:rFonts w:cs="Times New Roman"/>
          <w:szCs w:val="20"/>
        </w:rPr>
        <w:t>, Jürgen Wasem</w:t>
      </w:r>
      <w:r>
        <w:rPr>
          <w:rFonts w:cs="Times New Roman"/>
          <w:szCs w:val="20"/>
          <w:vertAlign w:val="superscript"/>
        </w:rPr>
        <w:t>1</w:t>
      </w:r>
      <w:r>
        <w:rPr>
          <w:rFonts w:cs="Times New Roman"/>
          <w:szCs w:val="20"/>
        </w:rPr>
        <w:t xml:space="preserve"> (0000-0001-9653-168X), Janine Biermann-Stallwitz (</w:t>
      </w:r>
      <w:r>
        <w:t>0000-0001-5683-3747)</w:t>
      </w:r>
      <w:r>
        <w:rPr>
          <w:rFonts w:cs="Times New Roman"/>
          <w:szCs w:val="20"/>
          <w:vertAlign w:val="superscript"/>
        </w:rPr>
        <w:t>2</w:t>
      </w:r>
    </w:p>
    <w:p w14:paraId="4193A3BB" w14:textId="77777777" w:rsidR="00DC41EF" w:rsidRDefault="00DC41EF" w:rsidP="00DC41EF">
      <w:pPr>
        <w:spacing w:after="0" w:line="240" w:lineRule="auto"/>
        <w:rPr>
          <w:rFonts w:cs="Times New Roman"/>
          <w:szCs w:val="20"/>
        </w:rPr>
      </w:pPr>
    </w:p>
    <w:p w14:paraId="57FD0550" w14:textId="77777777" w:rsidR="00DC41EF" w:rsidRDefault="00DC41EF" w:rsidP="00DC41EF">
      <w:pPr>
        <w:tabs>
          <w:tab w:val="left" w:pos="113"/>
        </w:tabs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vertAlign w:val="superscript"/>
          <w:lang w:val="en-US"/>
        </w:rPr>
        <w:t>1</w:t>
      </w:r>
      <w:r>
        <w:rPr>
          <w:rFonts w:cs="Times New Roman"/>
          <w:szCs w:val="20"/>
          <w:lang w:val="en-US"/>
        </w:rPr>
        <w:tab/>
        <w:t xml:space="preserve">Institute for Healthcare Management and Research, University of Duisburg-Essen, Essen, Germany </w:t>
      </w:r>
    </w:p>
    <w:p w14:paraId="20C1B9BD" w14:textId="77777777" w:rsidR="00DC41EF" w:rsidRDefault="00DC41EF" w:rsidP="00DC41EF">
      <w:pPr>
        <w:tabs>
          <w:tab w:val="left" w:pos="113"/>
        </w:tabs>
        <w:spacing w:after="0" w:line="240" w:lineRule="auto"/>
        <w:rPr>
          <w:rFonts w:cs="Times New Roman"/>
          <w:szCs w:val="20"/>
        </w:rPr>
      </w:pPr>
      <w:r>
        <w:rPr>
          <w:rFonts w:cs="Times New Roman"/>
          <w:szCs w:val="20"/>
          <w:vertAlign w:val="superscript"/>
        </w:rPr>
        <w:t>2</w:t>
      </w:r>
      <w:r>
        <w:rPr>
          <w:rFonts w:cs="Times New Roman"/>
          <w:szCs w:val="20"/>
        </w:rPr>
        <w:tab/>
        <w:t>Essener Forschungsinstitut für Medizinmanagement (EsFoMed) GmbH, Essen, Germany</w:t>
      </w:r>
    </w:p>
    <w:p w14:paraId="42FF3BCF" w14:textId="77777777" w:rsidR="00DC41EF" w:rsidRDefault="00DC41EF" w:rsidP="00DC41EF">
      <w:pPr>
        <w:tabs>
          <w:tab w:val="left" w:pos="113"/>
        </w:tabs>
        <w:spacing w:after="0"/>
        <w:rPr>
          <w:rFonts w:cs="Times New Roman"/>
          <w:szCs w:val="20"/>
          <w:lang w:val="en-US"/>
        </w:rPr>
      </w:pPr>
      <w:r>
        <w:rPr>
          <w:rFonts w:cs="Times New Roman"/>
          <w:szCs w:val="20"/>
          <w:vertAlign w:val="superscript"/>
          <w:lang w:val="en-US"/>
        </w:rPr>
        <w:t xml:space="preserve">ⱡ </w:t>
      </w:r>
      <w:r>
        <w:rPr>
          <w:rFonts w:cs="Times New Roman"/>
          <w:szCs w:val="20"/>
          <w:lang w:val="en-US"/>
        </w:rPr>
        <w:t>shared first authorship</w:t>
      </w:r>
    </w:p>
    <w:p w14:paraId="54A65E39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</w:p>
    <w:p w14:paraId="0D798B60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  <w:r>
        <w:rPr>
          <w:rFonts w:cs="Times New Roman"/>
          <w:b/>
          <w:szCs w:val="20"/>
          <w:lang w:val="en-US"/>
        </w:rPr>
        <w:t>Corresponding author</w:t>
      </w:r>
    </w:p>
    <w:p w14:paraId="0AE48D1D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>Kathrin Pahmeier</w:t>
      </w:r>
    </w:p>
    <w:p w14:paraId="7D063D97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Institute for Healthcare Management and Research </w:t>
      </w:r>
    </w:p>
    <w:p w14:paraId="7375C290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>University of Duisburg-Essen</w:t>
      </w:r>
    </w:p>
    <w:p w14:paraId="07B60022" w14:textId="77777777" w:rsidR="00DC41EF" w:rsidRDefault="00DC41EF" w:rsidP="00DC41EF">
      <w:pPr>
        <w:spacing w:after="0" w:line="240" w:lineRule="auto"/>
        <w:rPr>
          <w:rFonts w:cs="Times New Roman"/>
          <w:szCs w:val="20"/>
        </w:rPr>
      </w:pPr>
      <w:r>
        <w:rPr>
          <w:rFonts w:cs="Times New Roman"/>
          <w:szCs w:val="20"/>
          <w:lang w:val="en-US"/>
        </w:rPr>
        <w:t xml:space="preserve">Thea-Leymann-Str. </w:t>
      </w:r>
      <w:r>
        <w:rPr>
          <w:rFonts w:cs="Times New Roman"/>
          <w:szCs w:val="20"/>
        </w:rPr>
        <w:t>9, 45127 Essen, Germany</w:t>
      </w:r>
    </w:p>
    <w:p w14:paraId="6C2FC887" w14:textId="77777777" w:rsidR="00DC41EF" w:rsidRDefault="00BE580A" w:rsidP="00DC41EF">
      <w:pPr>
        <w:spacing w:after="0" w:line="240" w:lineRule="auto"/>
        <w:rPr>
          <w:rFonts w:cs="Times New Roman"/>
          <w:szCs w:val="20"/>
        </w:rPr>
      </w:pPr>
      <w:hyperlink r:id="rId4" w:history="1">
        <w:r w:rsidR="00DC41EF">
          <w:rPr>
            <w:rStyle w:val="Hyperlink"/>
            <w:rFonts w:cs="Times New Roman"/>
            <w:szCs w:val="20"/>
          </w:rPr>
          <w:t>kathrin.pahmeier@medman.uni-due.de</w:t>
        </w:r>
      </w:hyperlink>
    </w:p>
    <w:p w14:paraId="002CDB62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>Phone number: +49 201 18-34027</w:t>
      </w:r>
    </w:p>
    <w:p w14:paraId="53E8E749" w14:textId="77777777" w:rsidR="00DC41EF" w:rsidRDefault="00DC41EF" w:rsidP="00DC41EF">
      <w:pPr>
        <w:spacing w:after="0" w:line="240" w:lineRule="auto"/>
        <w:rPr>
          <w:rFonts w:cs="Times New Roman"/>
          <w:bCs/>
          <w:iCs/>
          <w:spacing w:val="5"/>
          <w:szCs w:val="20"/>
          <w:lang w:val="en-US"/>
        </w:rPr>
      </w:pPr>
      <w:r>
        <w:rPr>
          <w:rFonts w:cs="Times New Roman"/>
          <w:szCs w:val="20"/>
          <w:lang w:val="en-US"/>
        </w:rPr>
        <w:t>ORCID: 0000-0001-7259-5769</w:t>
      </w:r>
    </w:p>
    <w:p w14:paraId="28FDCD90" w14:textId="77777777" w:rsidR="00DC41EF" w:rsidRPr="00DC41EF" w:rsidRDefault="00DC41EF" w:rsidP="00DC41EF">
      <w:pPr>
        <w:rPr>
          <w:lang w:val="en-US"/>
        </w:rPr>
      </w:pPr>
    </w:p>
    <w:p w14:paraId="2BC3E0B6" w14:textId="2C726D76" w:rsidR="00E7587D" w:rsidRDefault="00BE580A" w:rsidP="00E7587D">
      <w:pPr>
        <w:pStyle w:val="berschrift1"/>
        <w:pageBreakBefore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lastRenderedPageBreak/>
        <w:t xml:space="preserve">Electronic Supplementary Material </w:t>
      </w:r>
      <w:r>
        <w:rPr>
          <w:rFonts w:cs="Times New Roman"/>
          <w:szCs w:val="20"/>
          <w:lang w:val="en-US"/>
        </w:rPr>
        <w:t>2</w:t>
      </w:r>
      <w:r>
        <w:rPr>
          <w:rFonts w:cs="Times New Roman"/>
          <w:szCs w:val="20"/>
          <w:lang w:val="en-US"/>
        </w:rPr>
        <w:t>:</w:t>
      </w:r>
      <w:r w:rsidR="00E7587D">
        <w:rPr>
          <w:rFonts w:cs="Times New Roman"/>
          <w:szCs w:val="20"/>
          <w:lang w:val="en-US"/>
        </w:rPr>
        <w:t xml:space="preserve"> Probabilities used in the budget impact model</w:t>
      </w:r>
    </w:p>
    <w:tbl>
      <w:tblPr>
        <w:tblStyle w:val="Tabellenraster"/>
        <w:tblW w:w="9209" w:type="dxa"/>
        <w:tblInd w:w="0" w:type="dxa"/>
        <w:tblLook w:val="04A0" w:firstRow="1" w:lastRow="0" w:firstColumn="1" w:lastColumn="0" w:noHBand="0" w:noVBand="1"/>
      </w:tblPr>
      <w:tblGrid>
        <w:gridCol w:w="4815"/>
        <w:gridCol w:w="2551"/>
        <w:gridCol w:w="1843"/>
      </w:tblGrid>
      <w:tr w:rsidR="00E7587D" w14:paraId="139C5CCF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905FF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Parameter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BE42E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Value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1945EC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Source</w:t>
            </w:r>
          </w:p>
        </w:tc>
      </w:tr>
      <w:tr w:rsidR="00E7587D" w:rsidRPr="00BE580A" w14:paraId="1A2BC768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13528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Risk-distribution of persons with influenza (HR; LR)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813611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0411CD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5DF8ADC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DA3C5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0-1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07EE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54.01%; 45.99%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4E0F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Haas et al. (2016)</w:t>
            </w:r>
          </w:p>
        </w:tc>
      </w:tr>
      <w:tr w:rsidR="00E7587D" w14:paraId="2DDCE0D1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DF176E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2-6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2940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57.32%; 42.68%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ABCF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192DA0F5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989BF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7-12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6135E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45.14%; 54.86%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D2B8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2652E390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48EC1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13-17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53AFC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43.89%; 56.11%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AA38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088FF1C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F0CE26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18-34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21628B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51.00%; 49.00%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470F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71DA336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AFCE41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35-59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881D5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67.93%; 32.07%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A9A3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1A642297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3605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60-85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2AC5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93.79%; 6.21%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8FF2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28EBDD16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AF02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Fraction of infected who become symptomatic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A363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66.90%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E7A0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Carrat et al. (2008)</w:t>
            </w:r>
          </w:p>
        </w:tc>
      </w:tr>
      <w:tr w:rsidR="00E7587D" w:rsidRPr="00BE580A" w14:paraId="50DF19F7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D677C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Fraction of symptomatic persons who receive medical help (HR; LR)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C7FFB9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AA49D3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3DEA4C8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F3EB4E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6C94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36.36%; 19.62%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AC1C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Ryan et al. (2006)</w:t>
            </w:r>
          </w:p>
        </w:tc>
      </w:tr>
      <w:tr w:rsidR="00E7587D" w14:paraId="596A6F9F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47B1A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5-49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36466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36.36%; 27.72%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4944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374E08FD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491042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50-64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1AA98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36.36%; 36.36%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2AF0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44E8ECF8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968B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65-85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3B06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36.36%; 15.9%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1791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DEC05AB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C807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Proportion of antiviral prescription (HR; LR)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7788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20.00%; 15.00%</w:t>
            </w:r>
          </w:p>
          <w:p w14:paraId="11F35EB9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for &gt;1 years old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892B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Aballéa et al. (2007)</w:t>
            </w:r>
          </w:p>
        </w:tc>
      </w:tr>
      <w:tr w:rsidR="00E7587D" w:rsidRPr="00BE580A" w14:paraId="67F413E5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A2632A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Market shares of antiviral treatment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C30744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FAA0B5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C1769D5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C37B9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0-12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E26D86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Oseltamivir: 100.00%</w:t>
            </w:r>
          </w:p>
          <w:p w14:paraId="4F90AC28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Zanamivir: 0.00%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6BBF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Damm et al. (2015)</w:t>
            </w:r>
          </w:p>
        </w:tc>
      </w:tr>
      <w:tr w:rsidR="00E7587D" w14:paraId="78505473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FC81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13-85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987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Oseltamivir: 90.00%</w:t>
            </w:r>
          </w:p>
          <w:p w14:paraId="32F7B82A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Zanamivir: 10.00%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002B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9F02C18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B005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Oseltamivir resistance indicating a not effective treatment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8D8D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2.60%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3CFB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Thorlund et al. (2011)</w:t>
            </w:r>
          </w:p>
        </w:tc>
      </w:tr>
      <w:tr w:rsidR="00E7587D" w:rsidRPr="00BE580A" w14:paraId="3FF3E18E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D8766C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Fraction of persons having complications (HR; LR)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44080B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55CBE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67238FF7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0DA15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0-14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B14C6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17.6%; 13.4%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ABCD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Meier et al. (2000)</w:t>
            </w:r>
          </w:p>
        </w:tc>
      </w:tr>
      <w:tr w:rsidR="00E7587D" w14:paraId="7D38E1CE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56F548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15-49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CC35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12.2%; 7.5%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C7EE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2B3BD98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3B8EB4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50-64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E546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12.4%; 7.8%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B20F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F299411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4962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65-85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1448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12.6%; 9.7%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0CA2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:rsidRPr="00BE580A" w14:paraId="199480FC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223B9F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Probability of different complications among people having complications (0-17; 18-85)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562EE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517223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:rsidRPr="00BE580A" w14:paraId="20A85BE1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4F5F9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Bronchitis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FD34AA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23.81%; 36.23%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241D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Ehlken et al. (2015); normalized to 100%</w:t>
            </w:r>
          </w:p>
        </w:tc>
      </w:tr>
      <w:tr w:rsidR="00E7587D" w14:paraId="6857D5F9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D99D6D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Acute upper respiratory tract infection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964DF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26.16%; 32.95%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85AC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AC5A6C6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89E08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Sinusitis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9353F4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11.25%; 13.67%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7037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75EED6A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9BEDFE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Tonsillitis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0610F9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9.84%; 5.36%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0947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47DFCCF3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6E8D5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Laryngitis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EE774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5.22%; 5.28%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3031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28E2D513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C65792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Pneumonia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1A7F51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6.74%; 3.61%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02E5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2CE450A2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14F120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Otitis media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32D7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16.89%; 2.04%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3991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68785B97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F63257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Cardiovascular disorder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60520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0.00%; 0.56%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8E72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63A55E79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EA830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Cerebrovascular disorder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672EB4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0.00%; 0.24%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6D35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6381959D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2817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Neurological disorder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D5EC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0.09%; 0.06%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70DD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:rsidRPr="00BE580A" w14:paraId="36A9646C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55A53D" w14:textId="77777777" w:rsidR="00E7587D" w:rsidRDefault="00E7587D" w:rsidP="00595298">
            <w:pPr>
              <w:keepNext/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Probability of hospital treatment of complication (HR; LR)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B10301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CD224A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153EEB4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E60AC" w14:textId="77777777" w:rsidR="00E7587D" w:rsidRDefault="00E7587D" w:rsidP="00595298">
            <w:pPr>
              <w:keepNext/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4F6D5E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9.29%; 12.10%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828B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Dolk et al. (2016) Supplement</w:t>
            </w:r>
          </w:p>
        </w:tc>
      </w:tr>
      <w:tr w:rsidR="00E7587D" w14:paraId="41771946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951ED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5-17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89F1B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4.37%; 5.69%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9685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2696BF54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16BAC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18-49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C65C5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3.25%; 5.26%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30ED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7CA0110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6BB15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50-64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3C5A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3.18%; 5.03%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A9BF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139AE85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CC9C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65-85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31A6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71.22%; 42.55%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70E4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1B7C9F0C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E92066" w14:textId="77777777" w:rsidR="00E7587D" w:rsidRDefault="00E7587D" w:rsidP="00595298">
            <w:pPr>
              <w:keepNext/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lastRenderedPageBreak/>
              <w:t>Probabilities of medication use (0-17; 18-85)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8CBB1A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F2AA4F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0DC360C0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E5D10" w14:textId="77777777" w:rsidR="00E7587D" w:rsidRDefault="00E7587D" w:rsidP="00595298">
            <w:pPr>
              <w:keepNext/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Analgesics (available on prescription)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74F026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0.17%; 4.75%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CAA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Ehlken et al. (2015)</w:t>
            </w:r>
          </w:p>
        </w:tc>
      </w:tr>
      <w:tr w:rsidR="00E7587D" w14:paraId="128A1E0D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36C8F" w14:textId="77777777" w:rsidR="00E7587D" w:rsidRDefault="00E7587D" w:rsidP="00595298">
            <w:pPr>
              <w:keepNext/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Tetracyclines and combinations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87660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0.13%; 2.41%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2535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4E6BAB53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AF8A40" w14:textId="77777777" w:rsidR="00E7587D" w:rsidRDefault="00E7587D" w:rsidP="00595298">
            <w:pPr>
              <w:keepNext/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Broad spectrum penicillin oral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79591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3.24%; 3.13%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86C3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C82DA96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9869BE" w14:textId="77777777" w:rsidR="00E7587D" w:rsidRDefault="00E7587D" w:rsidP="00595298">
            <w:pPr>
              <w:keepNext/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Cephalosporins oral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D68A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5.47%; 2.66%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4A536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1973ED7A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8A1C2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Macrolides &amp; similar type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324D38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3.69%; 7.66%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2A99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300A74E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A1626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Oral fluoroquinolones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06573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0.00%; 3.24%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EF15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66841C65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1F61C2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Analgesics (non-prescription)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63B25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25.57%; 4.90%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FB64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39D88010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422C33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Antirheumatics non-steroid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694BF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0.51%; 3.32%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0C5F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1545D4C7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5C0B3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Nasal decongestants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AE798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17.67%; 1.81%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1C76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07F9BB67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009E13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Antitussives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BD1931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4.95%; 5.95%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41EC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189753BB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970888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Cold preparations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F000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0.34%; 3.82%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F657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7AFF3C9E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E49C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Expectorants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E69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18.18%; 12.35%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6E31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:rsidRPr="00BE580A" w14:paraId="768F0AB0" w14:textId="77777777" w:rsidTr="00595298">
        <w:trPr>
          <w:trHeight w:val="28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56C0A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Probability of influenza death after hospitalization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E922D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CA9A53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1BDEA6A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99E60A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1B013F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0.41%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B223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</w:rPr>
              <w:t xml:space="preserve">von der Beck et al. </w:t>
            </w:r>
            <w:r>
              <w:rPr>
                <w:rFonts w:cs="Times New Roman"/>
                <w:szCs w:val="20"/>
                <w:lang w:val="en-US"/>
              </w:rPr>
              <w:t>(2017)</w:t>
            </w:r>
          </w:p>
        </w:tc>
      </w:tr>
      <w:tr w:rsidR="00E7587D" w14:paraId="67D8E6E0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D6CE87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5-14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BE1212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0.52%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80E48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4B6A4F51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E0FFF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15-34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85D57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1.56%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92D3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3C6AF08B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1A5C6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35-59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1847B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6.06%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3D93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14:paraId="5A1BCD7D" w14:textId="77777777" w:rsidTr="00595298">
        <w:trPr>
          <w:trHeight w:val="28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CA8D" w14:textId="77777777" w:rsidR="00E7587D" w:rsidRDefault="00E7587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60-85 years of age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7D0E" w14:textId="77777777" w:rsidR="00E7587D" w:rsidRDefault="00E7587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8.28%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696A" w14:textId="77777777" w:rsidR="00E7587D" w:rsidRDefault="00E7587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E7587D" w:rsidRPr="00BE580A" w14:paraId="629A93BA" w14:textId="77777777" w:rsidTr="00595298">
        <w:trPr>
          <w:trHeight w:val="283"/>
        </w:trPr>
        <w:tc>
          <w:tcPr>
            <w:tcW w:w="92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A72746" w14:textId="77777777" w:rsidR="00E7587D" w:rsidRDefault="00E7587D" w:rsidP="00595298">
            <w:pPr>
              <w:pStyle w:val="Legende"/>
              <w:rPr>
                <w:rFonts w:cstheme="minorBidi"/>
                <w:highlight w:val="yellow"/>
              </w:rPr>
            </w:pPr>
            <w:r>
              <w:t>HR: High risk; LH: Low risk; SHI: Statutory health insurance.</w:t>
            </w:r>
          </w:p>
        </w:tc>
      </w:tr>
    </w:tbl>
    <w:p w14:paraId="5F22249B" w14:textId="77777777" w:rsidR="00E7587D" w:rsidRDefault="00E7587D" w:rsidP="00E7587D">
      <w:pPr>
        <w:spacing w:before="240"/>
        <w:rPr>
          <w:b/>
          <w:lang w:val="en-US"/>
        </w:rPr>
      </w:pPr>
      <w:r>
        <w:rPr>
          <w:b/>
          <w:lang w:val="en-US"/>
        </w:rPr>
        <w:t>References</w:t>
      </w:r>
    </w:p>
    <w:p w14:paraId="3BE32693" w14:textId="77777777" w:rsidR="00E7587D" w:rsidRDefault="00E7587D" w:rsidP="00E7587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Aballéa S, Chancellor J, Martin M, et al. The cost-effectiveness of influenza vaccination for people aged 50 to 64 years: an international model. Value Health. 2007 Mar-Apr;10(2):98-116. </w:t>
      </w:r>
      <w:hyperlink r:id="rId5" w:history="1">
        <w:r>
          <w:rPr>
            <w:rStyle w:val="Hyperlink"/>
            <w:rFonts w:cs="Times New Roman"/>
            <w:szCs w:val="20"/>
            <w:lang w:val="en-US"/>
          </w:rPr>
          <w:t>https://doi.org/10.1111/j.1524-4733.2006.00157.x</w:t>
        </w:r>
      </w:hyperlink>
      <w:r>
        <w:rPr>
          <w:rFonts w:cs="Times New Roman"/>
          <w:szCs w:val="20"/>
          <w:lang w:val="en-US"/>
        </w:rPr>
        <w:t>.</w:t>
      </w:r>
    </w:p>
    <w:p w14:paraId="144BAE32" w14:textId="77777777" w:rsidR="00E7587D" w:rsidRDefault="00E7587D" w:rsidP="00E7587D">
      <w:pPr>
        <w:rPr>
          <w:rFonts w:cs="Times New Roman"/>
          <w:szCs w:val="20"/>
        </w:rPr>
      </w:pPr>
      <w:r>
        <w:rPr>
          <w:rFonts w:cs="Times New Roman"/>
          <w:szCs w:val="20"/>
          <w:lang w:val="en-US"/>
        </w:rPr>
        <w:t xml:space="preserve">Carrat F, Vergu E, Ferguson NM, et al. Time lines of infection and disease in human influenza: a review of volunteer challenge studies. </w:t>
      </w:r>
      <w:r>
        <w:rPr>
          <w:rFonts w:cs="Times New Roman"/>
          <w:szCs w:val="20"/>
        </w:rPr>
        <w:t xml:space="preserve">Am J Epidemiol. 2008 Apr 1;167(7):775-85. </w:t>
      </w:r>
      <w:hyperlink r:id="rId6" w:history="1">
        <w:r>
          <w:rPr>
            <w:rStyle w:val="Hyperlink"/>
            <w:rFonts w:cs="Times New Roman"/>
            <w:szCs w:val="20"/>
          </w:rPr>
          <w:t>https://doi.org/10.1093/aje/kwm375</w:t>
        </w:r>
      </w:hyperlink>
      <w:r>
        <w:rPr>
          <w:rFonts w:cs="Times New Roman"/>
          <w:szCs w:val="20"/>
        </w:rPr>
        <w:t>.</w:t>
      </w:r>
    </w:p>
    <w:p w14:paraId="36667102" w14:textId="77777777" w:rsidR="00E7587D" w:rsidRDefault="00E7587D" w:rsidP="00E7587D">
      <w:pPr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Damm O, Eichner M, Rose MA, et al. </w:t>
      </w:r>
      <w:r>
        <w:rPr>
          <w:rFonts w:cs="Times New Roman"/>
          <w:szCs w:val="20"/>
          <w:lang w:val="en-US"/>
        </w:rPr>
        <w:t xml:space="preserve">Public health impact and cost-effectiveness of intranasal live attenuated influenza vaccination of children in Germany. </w:t>
      </w:r>
      <w:r>
        <w:rPr>
          <w:rFonts w:cs="Times New Roman"/>
          <w:szCs w:val="20"/>
        </w:rPr>
        <w:t xml:space="preserve">Eur J Health Econ. 2015 Jun;16(5):471-88. </w:t>
      </w:r>
      <w:hyperlink r:id="rId7" w:history="1">
        <w:r>
          <w:rPr>
            <w:rStyle w:val="Hyperlink"/>
            <w:rFonts w:cs="Times New Roman"/>
            <w:szCs w:val="20"/>
          </w:rPr>
          <w:t>https://doi.org/10.1007/s10198-014-0586-4</w:t>
        </w:r>
      </w:hyperlink>
      <w:r>
        <w:rPr>
          <w:rFonts w:cs="Times New Roman"/>
          <w:szCs w:val="20"/>
        </w:rPr>
        <w:t>.</w:t>
      </w:r>
    </w:p>
    <w:p w14:paraId="130A2016" w14:textId="77777777" w:rsidR="00E7587D" w:rsidRDefault="00E7587D" w:rsidP="00E7587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</w:rPr>
        <w:t xml:space="preserve">Dolk C, Eichner M, Welte R, et al. </w:t>
      </w:r>
      <w:r>
        <w:rPr>
          <w:rFonts w:cs="Times New Roman"/>
          <w:szCs w:val="20"/>
          <w:lang w:val="en-US"/>
        </w:rPr>
        <w:t xml:space="preserve">Cost-Utility of Quadrivalent Versus Trivalent Influenza Vaccine in Germany, Using an Individual-Based Dynamic Transmission Model. Pharmacoeconomics. 2016 Dec;34(12):1299-1308. </w:t>
      </w:r>
      <w:hyperlink r:id="rId8" w:history="1">
        <w:r>
          <w:rPr>
            <w:rStyle w:val="Hyperlink"/>
            <w:rFonts w:cs="Times New Roman"/>
            <w:szCs w:val="20"/>
            <w:lang w:val="en-US"/>
          </w:rPr>
          <w:t>https://doi.org/10.1007/s40273-016-0443-7</w:t>
        </w:r>
      </w:hyperlink>
      <w:r>
        <w:rPr>
          <w:rFonts w:cs="Times New Roman"/>
          <w:szCs w:val="20"/>
          <w:lang w:val="en-US"/>
        </w:rPr>
        <w:t>.</w:t>
      </w:r>
    </w:p>
    <w:p w14:paraId="067DB4FA" w14:textId="77777777" w:rsidR="00E7587D" w:rsidRDefault="00E7587D" w:rsidP="00E7587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Ehlken B, Anastassopoulou A, Hain J, Schröder C, Wahle K. Cost for physician-diagnosed influenza and influenza-like illnesses on primary care level in Germany--results of a database analysis from May 2010 to April 2012. BMC Public Health. 2015 Jun 21;15:578. </w:t>
      </w:r>
      <w:hyperlink r:id="rId9" w:history="1">
        <w:r>
          <w:rPr>
            <w:rStyle w:val="Hyperlink"/>
            <w:rFonts w:cs="Times New Roman"/>
            <w:szCs w:val="20"/>
            <w:lang w:val="en-US"/>
          </w:rPr>
          <w:t>https://doi.org/10.1186/s12889-015-1885-0</w:t>
        </w:r>
      </w:hyperlink>
      <w:r>
        <w:rPr>
          <w:rFonts w:cs="Times New Roman"/>
          <w:szCs w:val="20"/>
          <w:lang w:val="en-US"/>
        </w:rPr>
        <w:t>.</w:t>
      </w:r>
    </w:p>
    <w:p w14:paraId="1F948B27" w14:textId="77777777" w:rsidR="00E7587D" w:rsidRDefault="00E7587D" w:rsidP="00E7587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lastRenderedPageBreak/>
        <w:t xml:space="preserve">Haas J, Braun S, Wutzler P. Burden of influenza in Germany: a retrospective claims database analysis for the influenza season 2012/2013. Eur J Health Econ. 2016 Jul;17(6):669-79. </w:t>
      </w:r>
      <w:hyperlink r:id="rId10" w:history="1">
        <w:r>
          <w:rPr>
            <w:rStyle w:val="Hyperlink"/>
            <w:rFonts w:cs="Times New Roman"/>
            <w:szCs w:val="20"/>
            <w:lang w:val="en-US"/>
          </w:rPr>
          <w:t>https://doi.org/10.1007/s10198-015-0708-7</w:t>
        </w:r>
      </w:hyperlink>
      <w:r>
        <w:rPr>
          <w:rFonts w:cs="Times New Roman"/>
          <w:szCs w:val="20"/>
          <w:lang w:val="en-US"/>
        </w:rPr>
        <w:t>.</w:t>
      </w:r>
    </w:p>
    <w:p w14:paraId="20AB10B7" w14:textId="77777777" w:rsidR="00E7587D" w:rsidRDefault="00E7587D" w:rsidP="00E7587D">
      <w:pPr>
        <w:rPr>
          <w:rFonts w:cs="Times New Roman"/>
          <w:szCs w:val="20"/>
          <w:lang w:val="en-US"/>
        </w:rPr>
      </w:pPr>
      <w:r w:rsidRPr="00BE580A">
        <w:rPr>
          <w:rFonts w:cs="Times New Roman"/>
          <w:szCs w:val="20"/>
        </w:rPr>
        <w:t xml:space="preserve">Meier CR, Napalkov PN, Wegmüller Y, et al. </w:t>
      </w:r>
      <w:r>
        <w:rPr>
          <w:rFonts w:cs="Times New Roman"/>
          <w:szCs w:val="20"/>
          <w:lang w:val="en-US"/>
        </w:rPr>
        <w:t xml:space="preserve">Population-based study to incidence, risk factors, clinical complications and drug utilisation associated with influenza in the United Kingdom. Eur J Clin Microbiol Infect Dis. 2000 Nov; 19(11):834-42. </w:t>
      </w:r>
      <w:hyperlink r:id="rId11" w:history="1">
        <w:r>
          <w:rPr>
            <w:rStyle w:val="Hyperlink"/>
            <w:rFonts w:cs="Times New Roman"/>
            <w:szCs w:val="20"/>
            <w:lang w:val="en-US"/>
          </w:rPr>
          <w:t>https://doi.org/10.1007/s100960000376</w:t>
        </w:r>
      </w:hyperlink>
      <w:r>
        <w:rPr>
          <w:rFonts w:cs="Times New Roman"/>
          <w:szCs w:val="20"/>
          <w:lang w:val="en-US"/>
        </w:rPr>
        <w:t>.</w:t>
      </w:r>
    </w:p>
    <w:p w14:paraId="5DAD0323" w14:textId="77777777" w:rsidR="00E7587D" w:rsidRDefault="00E7587D" w:rsidP="00E7587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Ryan J, Zoellner Y, Gradl, et al. Establishing the health and economic impact of influenza vaccination within the European Union 25 countries. Vaccine. 2006 Nov 17;24(47-48):6812-22. </w:t>
      </w:r>
      <w:hyperlink r:id="rId12" w:history="1">
        <w:r>
          <w:rPr>
            <w:rStyle w:val="Hyperlink"/>
            <w:rFonts w:cs="Times New Roman"/>
            <w:szCs w:val="20"/>
            <w:lang w:val="en-US"/>
          </w:rPr>
          <w:t>https://doi.org/10.1016/j.vaccine.2006.07.042</w:t>
        </w:r>
      </w:hyperlink>
      <w:r>
        <w:rPr>
          <w:rFonts w:cs="Times New Roman"/>
          <w:szCs w:val="20"/>
          <w:lang w:val="en-US"/>
        </w:rPr>
        <w:t>.</w:t>
      </w:r>
    </w:p>
    <w:p w14:paraId="515E3A91" w14:textId="77777777" w:rsidR="00E7587D" w:rsidRDefault="00E7587D" w:rsidP="00E7587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Thorlund K, Awad T, Boivin G, Thabane L. Systematic review of influenza resistance to the neuraminidase Inhibitors. BMC Infect Dis. 2011 May 19;11:134. </w:t>
      </w:r>
      <w:hyperlink r:id="rId13" w:history="1">
        <w:r>
          <w:rPr>
            <w:rStyle w:val="Hyperlink"/>
            <w:rFonts w:cs="Times New Roman"/>
            <w:szCs w:val="20"/>
            <w:lang w:val="en-US"/>
          </w:rPr>
          <w:t>https://doi.org/10.1186/1471-2334-11-134</w:t>
        </w:r>
      </w:hyperlink>
      <w:r>
        <w:rPr>
          <w:rFonts w:cs="Times New Roman"/>
          <w:szCs w:val="20"/>
          <w:lang w:val="en-US"/>
        </w:rPr>
        <w:t>.</w:t>
      </w:r>
    </w:p>
    <w:p w14:paraId="26F9B940" w14:textId="77777777" w:rsidR="00DC41EF" w:rsidRDefault="00E7587D" w:rsidP="00E7587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von der Beck D, Seeger W, Herold S, Günther A, Löh B. Characteristics and outcomes of a cohort hospitalized for pandemic and seasonal influenza in Germany based on nationwide inpatient data. PLoS One. 2017 Jul 14;12(7):e0180920. </w:t>
      </w:r>
      <w:hyperlink r:id="rId14" w:history="1">
        <w:r>
          <w:rPr>
            <w:rStyle w:val="Hyperlink"/>
            <w:rFonts w:cs="Times New Roman"/>
            <w:szCs w:val="20"/>
            <w:lang w:val="en-US"/>
          </w:rPr>
          <w:t>https://doi.org/10.1371/journal.pone.0180920</w:t>
        </w:r>
      </w:hyperlink>
      <w:r>
        <w:rPr>
          <w:rFonts w:cs="Times New Roman"/>
          <w:szCs w:val="20"/>
          <w:lang w:val="en-US"/>
        </w:rPr>
        <w:t>.</w:t>
      </w:r>
    </w:p>
    <w:sectPr w:rsidR="00DC41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EF"/>
    <w:rsid w:val="000E26B4"/>
    <w:rsid w:val="002E7444"/>
    <w:rsid w:val="004C3592"/>
    <w:rsid w:val="008374E4"/>
    <w:rsid w:val="00913ED3"/>
    <w:rsid w:val="009E23CA"/>
    <w:rsid w:val="00A2742B"/>
    <w:rsid w:val="00B12067"/>
    <w:rsid w:val="00BE580A"/>
    <w:rsid w:val="00D929FA"/>
    <w:rsid w:val="00DC41EF"/>
    <w:rsid w:val="00E7587D"/>
    <w:rsid w:val="00FA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7272E"/>
  <w15:chartTrackingRefBased/>
  <w15:docId w15:val="{BDB39FA7-C58D-42EF-B9C8-74CCE937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41EF"/>
    <w:pPr>
      <w:spacing w:line="480" w:lineRule="auto"/>
      <w:jc w:val="both"/>
    </w:pPr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C41EF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41EF"/>
    <w:rPr>
      <w:rFonts w:ascii="Times New Roman" w:eastAsiaTheme="majorEastAsia" w:hAnsi="Times New Roman" w:cstheme="majorBidi"/>
      <w:b/>
      <w:sz w:val="20"/>
      <w:szCs w:val="32"/>
    </w:rPr>
  </w:style>
  <w:style w:type="character" w:styleId="Hyperlink">
    <w:name w:val="Hyperlink"/>
    <w:basedOn w:val="Absatz-Standardschriftart"/>
    <w:uiPriority w:val="99"/>
    <w:semiHidden/>
    <w:unhideWhenUsed/>
    <w:rsid w:val="00DC41EF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C41EF"/>
    <w:rPr>
      <w:color w:val="954F72" w:themeColor="followedHyperlink"/>
      <w:u w:val="single"/>
    </w:rPr>
  </w:style>
  <w:style w:type="paragraph" w:customStyle="1" w:styleId="msonormal0">
    <w:name w:val="msonormal"/>
    <w:basedOn w:val="Standard"/>
    <w:rsid w:val="00DC41EF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de-DE"/>
    </w:rPr>
  </w:style>
  <w:style w:type="character" w:customStyle="1" w:styleId="LegendeZchn">
    <w:name w:val="Legende Zchn"/>
    <w:basedOn w:val="Absatz-Standardschriftart"/>
    <w:link w:val="Legende"/>
    <w:locked/>
    <w:rsid w:val="00DC41EF"/>
    <w:rPr>
      <w:rFonts w:ascii="Times New Roman" w:hAnsi="Times New Roman" w:cs="Times New Roman"/>
      <w:i/>
      <w:sz w:val="18"/>
      <w:lang w:val="en-US"/>
    </w:rPr>
  </w:style>
  <w:style w:type="paragraph" w:customStyle="1" w:styleId="Legende">
    <w:name w:val="Legende"/>
    <w:basedOn w:val="Standard"/>
    <w:link w:val="LegendeZchn"/>
    <w:qFormat/>
    <w:rsid w:val="00DC41EF"/>
    <w:pPr>
      <w:spacing w:before="40" w:after="360" w:line="240" w:lineRule="auto"/>
      <w:contextualSpacing/>
    </w:pPr>
    <w:rPr>
      <w:rFonts w:cs="Times New Roman"/>
      <w:i/>
      <w:sz w:val="18"/>
      <w:lang w:val="en-US"/>
    </w:rPr>
  </w:style>
  <w:style w:type="table" w:styleId="Tabellenraster">
    <w:name w:val="Table Grid"/>
    <w:basedOn w:val="NormaleTabelle"/>
    <w:uiPriority w:val="39"/>
    <w:rsid w:val="00DC41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4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4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3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40273-016-0443-7" TargetMode="External"/><Relationship Id="rId13" Type="http://schemas.openxmlformats.org/officeDocument/2006/relationships/hyperlink" Target="https://doi.org/10.1186/1471-2334-11-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07/s10198-014-0586-4" TargetMode="External"/><Relationship Id="rId12" Type="http://schemas.openxmlformats.org/officeDocument/2006/relationships/hyperlink" Target="https://doi.org/10.1016/j.vaccine.2006.07.04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1093/aje/kwm375" TargetMode="External"/><Relationship Id="rId11" Type="http://schemas.openxmlformats.org/officeDocument/2006/relationships/hyperlink" Target="https://doi.org/10.1007/s100960000376" TargetMode="External"/><Relationship Id="rId5" Type="http://schemas.openxmlformats.org/officeDocument/2006/relationships/hyperlink" Target="https://doi.org/10.1111/j.1524-4733.2006.00157.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1007/s10198-015-0708-7" TargetMode="External"/><Relationship Id="rId4" Type="http://schemas.openxmlformats.org/officeDocument/2006/relationships/hyperlink" Target="mailto:kathrin.pahmeier@medman.uni-due.de" TargetMode="External"/><Relationship Id="rId9" Type="http://schemas.openxmlformats.org/officeDocument/2006/relationships/hyperlink" Target="https://doi.org/10.1186/s12889-015-1885-0" TargetMode="External"/><Relationship Id="rId14" Type="http://schemas.openxmlformats.org/officeDocument/2006/relationships/hyperlink" Target="https://doi.org/10.1371/journal.pone.018092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Pahmeier, Kathrin</dc:creator>
  <cp:keywords/>
  <dc:description/>
  <cp:lastModifiedBy>Speckemeier, Christian</cp:lastModifiedBy>
  <cp:revision>4</cp:revision>
  <dcterms:created xsi:type="dcterms:W3CDTF">2023-01-26T18:05:00Z</dcterms:created>
  <dcterms:modified xsi:type="dcterms:W3CDTF">2023-05-31T06:59:00Z</dcterms:modified>
</cp:coreProperties>
</file>