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97DA1" w14:textId="77777777" w:rsidR="00DC41EF" w:rsidRDefault="00DC41EF" w:rsidP="00DC41EF">
      <w:pPr>
        <w:pStyle w:val="berschrift1"/>
        <w:pageBreakBefore/>
        <w:rPr>
          <w:rFonts w:cs="Times New Roman"/>
          <w:szCs w:val="20"/>
          <w:lang w:val="en-US"/>
        </w:rPr>
      </w:pPr>
      <w:r>
        <w:rPr>
          <w:rFonts w:cs="Times New Roman"/>
          <w:szCs w:val="20"/>
          <w:lang w:val="en-US"/>
        </w:rPr>
        <w:t>Supplementary material</w:t>
      </w:r>
    </w:p>
    <w:p w14:paraId="32254A87" w14:textId="77777777" w:rsidR="00DC41EF" w:rsidRDefault="00DC41EF" w:rsidP="00DC41EF">
      <w:pPr>
        <w:spacing w:after="0" w:line="240" w:lineRule="auto"/>
        <w:rPr>
          <w:rFonts w:cs="Times New Roman"/>
          <w:b/>
          <w:szCs w:val="20"/>
          <w:lang w:val="en-US"/>
        </w:rPr>
      </w:pPr>
      <w:r>
        <w:rPr>
          <w:rFonts w:cs="Times New Roman"/>
          <w:b/>
          <w:szCs w:val="20"/>
          <w:lang w:val="en-US"/>
        </w:rPr>
        <w:t>Title</w:t>
      </w:r>
    </w:p>
    <w:p w14:paraId="5BA8E9FE" w14:textId="77777777" w:rsidR="00DC41EF" w:rsidRDefault="00DC41EF" w:rsidP="00DC41EF">
      <w:pPr>
        <w:spacing w:after="0" w:line="240" w:lineRule="auto"/>
        <w:rPr>
          <w:rFonts w:cs="Times New Roman"/>
          <w:b/>
          <w:szCs w:val="20"/>
          <w:lang w:val="en-US"/>
        </w:rPr>
      </w:pPr>
      <w:r>
        <w:rPr>
          <w:rFonts w:cs="Times New Roman"/>
          <w:szCs w:val="20"/>
          <w:lang w:val="en-US"/>
        </w:rPr>
        <w:t xml:space="preserve">Vaccinating the German population aged 60 years and over with a quadrivalent high-dose inactivated influenza vaccine compared to standard vaccines: a transmission and budget impact model. </w:t>
      </w:r>
    </w:p>
    <w:p w14:paraId="7A25A404" w14:textId="77777777" w:rsidR="00DC41EF" w:rsidRDefault="00DC41EF" w:rsidP="00DC41EF">
      <w:pPr>
        <w:spacing w:after="0" w:line="240" w:lineRule="auto"/>
        <w:rPr>
          <w:rFonts w:cs="Times New Roman"/>
          <w:b/>
          <w:szCs w:val="20"/>
          <w:lang w:val="en-US"/>
        </w:rPr>
      </w:pPr>
    </w:p>
    <w:p w14:paraId="11121921" w14:textId="77777777" w:rsidR="00DC41EF" w:rsidRDefault="00DC41EF" w:rsidP="00DC41EF">
      <w:pPr>
        <w:spacing w:after="0" w:line="240" w:lineRule="auto"/>
        <w:rPr>
          <w:rFonts w:cs="Times New Roman"/>
          <w:b/>
          <w:szCs w:val="20"/>
        </w:rPr>
      </w:pPr>
      <w:proofErr w:type="spellStart"/>
      <w:r>
        <w:rPr>
          <w:rFonts w:cs="Times New Roman"/>
          <w:b/>
          <w:szCs w:val="20"/>
        </w:rPr>
        <w:t>Authors</w:t>
      </w:r>
      <w:proofErr w:type="spellEnd"/>
    </w:p>
    <w:p w14:paraId="7E5ABB36" w14:textId="77777777" w:rsidR="00DC41EF" w:rsidRDefault="00DC41EF" w:rsidP="00DC41EF">
      <w:pPr>
        <w:spacing w:line="240" w:lineRule="auto"/>
        <w:rPr>
          <w:rFonts w:cs="Times New Roman"/>
          <w:szCs w:val="20"/>
          <w:vertAlign w:val="superscript"/>
        </w:rPr>
      </w:pPr>
      <w:r>
        <w:rPr>
          <w:rFonts w:cs="Times New Roman"/>
          <w:szCs w:val="20"/>
        </w:rPr>
        <w:t>Kathrin Pahmeier</w:t>
      </w:r>
      <w:r>
        <w:rPr>
          <w:rFonts w:cs="Times New Roman"/>
          <w:szCs w:val="20"/>
          <w:vertAlign w:val="superscript"/>
        </w:rPr>
        <w:t>1</w:t>
      </w:r>
      <w:r>
        <w:rPr>
          <w:rFonts w:cs="Times New Roman"/>
          <w:szCs w:val="20"/>
          <w:vertAlign w:val="superscript"/>
          <w:lang w:val="en-US"/>
        </w:rPr>
        <w:t>ⱡ</w:t>
      </w:r>
      <w:r>
        <w:rPr>
          <w:rFonts w:cs="Times New Roman"/>
          <w:szCs w:val="20"/>
        </w:rPr>
        <w:t xml:space="preserve"> (0000-0001-7259-5769), Christian Speckemeier</w:t>
      </w:r>
      <w:r>
        <w:rPr>
          <w:rFonts w:cs="Times New Roman"/>
          <w:szCs w:val="20"/>
          <w:vertAlign w:val="superscript"/>
        </w:rPr>
        <w:t>2</w:t>
      </w:r>
      <w:r>
        <w:rPr>
          <w:rFonts w:cs="Times New Roman"/>
          <w:szCs w:val="20"/>
          <w:vertAlign w:val="superscript"/>
          <w:lang w:val="en-US"/>
        </w:rPr>
        <w:t>ⱡ</w:t>
      </w:r>
      <w:r>
        <w:rPr>
          <w:rFonts w:cs="Times New Roman"/>
          <w:szCs w:val="20"/>
        </w:rPr>
        <w:t xml:space="preserve"> (0000-0001-7507-4432), Silke Neusser</w:t>
      </w:r>
      <w:r>
        <w:rPr>
          <w:rFonts w:cs="Times New Roman"/>
          <w:szCs w:val="20"/>
          <w:vertAlign w:val="superscript"/>
        </w:rPr>
        <w:t>2</w:t>
      </w:r>
      <w:r>
        <w:rPr>
          <w:rFonts w:cs="Times New Roman"/>
          <w:szCs w:val="20"/>
        </w:rPr>
        <w:t>, Jürgen Wasem</w:t>
      </w:r>
      <w:r>
        <w:rPr>
          <w:rFonts w:cs="Times New Roman"/>
          <w:szCs w:val="20"/>
          <w:vertAlign w:val="superscript"/>
        </w:rPr>
        <w:t>1</w:t>
      </w:r>
      <w:r>
        <w:rPr>
          <w:rFonts w:cs="Times New Roman"/>
          <w:szCs w:val="20"/>
        </w:rPr>
        <w:t xml:space="preserve"> (0000-0001-9653-168X), Janine Biermann-Stallwitz (</w:t>
      </w:r>
      <w:r>
        <w:t>0000-0001-5683-3747)</w:t>
      </w:r>
      <w:r>
        <w:rPr>
          <w:rFonts w:cs="Times New Roman"/>
          <w:szCs w:val="20"/>
          <w:vertAlign w:val="superscript"/>
        </w:rPr>
        <w:t>2</w:t>
      </w:r>
    </w:p>
    <w:p w14:paraId="79CCF79B" w14:textId="77777777" w:rsidR="00DC41EF" w:rsidRDefault="00DC41EF" w:rsidP="00DC41EF">
      <w:pPr>
        <w:spacing w:after="0" w:line="240" w:lineRule="auto"/>
        <w:rPr>
          <w:rFonts w:cs="Times New Roman"/>
          <w:szCs w:val="20"/>
        </w:rPr>
      </w:pPr>
    </w:p>
    <w:p w14:paraId="4743F237" w14:textId="77777777" w:rsidR="00DC41EF" w:rsidRDefault="00DC41EF" w:rsidP="00DC41EF">
      <w:pPr>
        <w:tabs>
          <w:tab w:val="left" w:pos="113"/>
        </w:tabs>
        <w:spacing w:after="0" w:line="240" w:lineRule="auto"/>
        <w:rPr>
          <w:rFonts w:cs="Times New Roman"/>
          <w:szCs w:val="20"/>
          <w:lang w:val="en-US"/>
        </w:rPr>
      </w:pPr>
      <w:r>
        <w:rPr>
          <w:rFonts w:cs="Times New Roman"/>
          <w:szCs w:val="20"/>
          <w:vertAlign w:val="superscript"/>
          <w:lang w:val="en-US"/>
        </w:rPr>
        <w:t>1</w:t>
      </w:r>
      <w:r>
        <w:rPr>
          <w:rFonts w:cs="Times New Roman"/>
          <w:szCs w:val="20"/>
          <w:lang w:val="en-US"/>
        </w:rPr>
        <w:tab/>
        <w:t xml:space="preserve">Institute for Healthcare Management and Research, University of Duisburg-Essen, Essen, Germany </w:t>
      </w:r>
    </w:p>
    <w:p w14:paraId="14AFFA08" w14:textId="77777777" w:rsidR="00DC41EF" w:rsidRDefault="00DC41EF" w:rsidP="00DC41EF">
      <w:pPr>
        <w:tabs>
          <w:tab w:val="left" w:pos="113"/>
        </w:tabs>
        <w:spacing w:after="0" w:line="240" w:lineRule="auto"/>
        <w:rPr>
          <w:rFonts w:cs="Times New Roman"/>
          <w:szCs w:val="20"/>
        </w:rPr>
      </w:pPr>
      <w:r>
        <w:rPr>
          <w:rFonts w:cs="Times New Roman"/>
          <w:szCs w:val="20"/>
          <w:vertAlign w:val="superscript"/>
        </w:rPr>
        <w:t>2</w:t>
      </w:r>
      <w:r>
        <w:rPr>
          <w:rFonts w:cs="Times New Roman"/>
          <w:szCs w:val="20"/>
        </w:rPr>
        <w:tab/>
        <w:t>Essener Forschungsinstitut für Medizinmanagement (</w:t>
      </w:r>
      <w:proofErr w:type="spellStart"/>
      <w:r>
        <w:rPr>
          <w:rFonts w:cs="Times New Roman"/>
          <w:szCs w:val="20"/>
        </w:rPr>
        <w:t>EsFoMed</w:t>
      </w:r>
      <w:proofErr w:type="spellEnd"/>
      <w:r>
        <w:rPr>
          <w:rFonts w:cs="Times New Roman"/>
          <w:szCs w:val="20"/>
        </w:rPr>
        <w:t>) GmbH, Essen, Germany</w:t>
      </w:r>
    </w:p>
    <w:p w14:paraId="3E17B469" w14:textId="77777777" w:rsidR="00DC41EF" w:rsidRDefault="00DC41EF" w:rsidP="00DC41EF">
      <w:pPr>
        <w:tabs>
          <w:tab w:val="left" w:pos="113"/>
        </w:tabs>
        <w:spacing w:after="0"/>
        <w:rPr>
          <w:rFonts w:cs="Times New Roman"/>
          <w:szCs w:val="20"/>
          <w:lang w:val="en-US"/>
        </w:rPr>
      </w:pPr>
      <w:r>
        <w:rPr>
          <w:rFonts w:cs="Times New Roman"/>
          <w:szCs w:val="20"/>
          <w:vertAlign w:val="superscript"/>
          <w:lang w:val="en-US"/>
        </w:rPr>
        <w:t xml:space="preserve">ⱡ </w:t>
      </w:r>
      <w:r>
        <w:rPr>
          <w:rFonts w:cs="Times New Roman"/>
          <w:szCs w:val="20"/>
          <w:lang w:val="en-US"/>
        </w:rPr>
        <w:t>shared first authorship</w:t>
      </w:r>
    </w:p>
    <w:p w14:paraId="2E710021" w14:textId="77777777" w:rsidR="00DC41EF" w:rsidRDefault="00DC41EF" w:rsidP="00DC41EF">
      <w:pPr>
        <w:spacing w:after="0" w:line="240" w:lineRule="auto"/>
        <w:rPr>
          <w:rFonts w:cs="Times New Roman"/>
          <w:szCs w:val="20"/>
          <w:lang w:val="en-US"/>
        </w:rPr>
      </w:pPr>
    </w:p>
    <w:p w14:paraId="401EBF9D" w14:textId="77777777" w:rsidR="00DC41EF" w:rsidRDefault="00DC41EF" w:rsidP="00DC41EF">
      <w:pPr>
        <w:spacing w:after="0" w:line="240" w:lineRule="auto"/>
        <w:rPr>
          <w:rFonts w:cs="Times New Roman"/>
          <w:b/>
          <w:szCs w:val="20"/>
          <w:lang w:val="en-US"/>
        </w:rPr>
      </w:pPr>
      <w:r>
        <w:rPr>
          <w:rFonts w:cs="Times New Roman"/>
          <w:b/>
          <w:szCs w:val="20"/>
          <w:lang w:val="en-US"/>
        </w:rPr>
        <w:t>Corresponding author</w:t>
      </w:r>
    </w:p>
    <w:p w14:paraId="76A9CAC4" w14:textId="77777777" w:rsidR="00DC41EF" w:rsidRDefault="00DC41EF" w:rsidP="00DC41EF">
      <w:pPr>
        <w:spacing w:after="0" w:line="240" w:lineRule="auto"/>
        <w:rPr>
          <w:rFonts w:cs="Times New Roman"/>
          <w:szCs w:val="20"/>
          <w:lang w:val="en-US"/>
        </w:rPr>
      </w:pPr>
      <w:r>
        <w:rPr>
          <w:rFonts w:cs="Times New Roman"/>
          <w:szCs w:val="20"/>
          <w:lang w:val="en-US"/>
        </w:rPr>
        <w:t xml:space="preserve">Kathrin </w:t>
      </w:r>
      <w:proofErr w:type="spellStart"/>
      <w:r>
        <w:rPr>
          <w:rFonts w:cs="Times New Roman"/>
          <w:szCs w:val="20"/>
          <w:lang w:val="en-US"/>
        </w:rPr>
        <w:t>Pahmeier</w:t>
      </w:r>
      <w:proofErr w:type="spellEnd"/>
    </w:p>
    <w:p w14:paraId="6AD4AE26" w14:textId="77777777" w:rsidR="00DC41EF" w:rsidRDefault="00DC41EF" w:rsidP="00DC41EF">
      <w:pPr>
        <w:spacing w:after="0" w:line="240" w:lineRule="auto"/>
        <w:rPr>
          <w:rFonts w:cs="Times New Roman"/>
          <w:szCs w:val="20"/>
          <w:lang w:val="en-US"/>
        </w:rPr>
      </w:pPr>
      <w:r>
        <w:rPr>
          <w:rFonts w:cs="Times New Roman"/>
          <w:szCs w:val="20"/>
          <w:lang w:val="en-US"/>
        </w:rPr>
        <w:t xml:space="preserve">Institute for Healthcare Management and Research </w:t>
      </w:r>
    </w:p>
    <w:p w14:paraId="7C29C5D6" w14:textId="77777777" w:rsidR="00DC41EF" w:rsidRDefault="00DC41EF" w:rsidP="00DC41EF">
      <w:pPr>
        <w:spacing w:after="0" w:line="240" w:lineRule="auto"/>
        <w:rPr>
          <w:rFonts w:cs="Times New Roman"/>
          <w:szCs w:val="20"/>
          <w:lang w:val="en-US"/>
        </w:rPr>
      </w:pPr>
      <w:r>
        <w:rPr>
          <w:rFonts w:cs="Times New Roman"/>
          <w:szCs w:val="20"/>
          <w:lang w:val="en-US"/>
        </w:rPr>
        <w:t>University of Duisburg-Essen</w:t>
      </w:r>
    </w:p>
    <w:p w14:paraId="6997A172" w14:textId="77777777" w:rsidR="00DC41EF" w:rsidRDefault="00DC41EF" w:rsidP="00DC41EF">
      <w:pPr>
        <w:spacing w:after="0" w:line="240" w:lineRule="auto"/>
        <w:rPr>
          <w:rFonts w:cs="Times New Roman"/>
          <w:szCs w:val="20"/>
        </w:rPr>
      </w:pPr>
      <w:r>
        <w:rPr>
          <w:rFonts w:cs="Times New Roman"/>
          <w:szCs w:val="20"/>
          <w:lang w:val="en-US"/>
        </w:rPr>
        <w:t>Thea-</w:t>
      </w:r>
      <w:proofErr w:type="spellStart"/>
      <w:r>
        <w:rPr>
          <w:rFonts w:cs="Times New Roman"/>
          <w:szCs w:val="20"/>
          <w:lang w:val="en-US"/>
        </w:rPr>
        <w:t>Leymann</w:t>
      </w:r>
      <w:proofErr w:type="spellEnd"/>
      <w:r>
        <w:rPr>
          <w:rFonts w:cs="Times New Roman"/>
          <w:szCs w:val="20"/>
          <w:lang w:val="en-US"/>
        </w:rPr>
        <w:t xml:space="preserve">-Str. </w:t>
      </w:r>
      <w:r>
        <w:rPr>
          <w:rFonts w:cs="Times New Roman"/>
          <w:szCs w:val="20"/>
        </w:rPr>
        <w:t>9, 45127 Essen, Germany</w:t>
      </w:r>
    </w:p>
    <w:p w14:paraId="7919723F" w14:textId="77777777" w:rsidR="00DC41EF" w:rsidRDefault="00F625E5" w:rsidP="00DC41EF">
      <w:pPr>
        <w:spacing w:after="0" w:line="240" w:lineRule="auto"/>
        <w:rPr>
          <w:rFonts w:cs="Times New Roman"/>
          <w:szCs w:val="20"/>
        </w:rPr>
      </w:pPr>
      <w:hyperlink r:id="rId4" w:history="1">
        <w:r w:rsidR="00DC41EF">
          <w:rPr>
            <w:rStyle w:val="Hyperlink"/>
            <w:rFonts w:cs="Times New Roman"/>
            <w:szCs w:val="20"/>
          </w:rPr>
          <w:t>kathrin.pahmeier@medman.uni-due.de</w:t>
        </w:r>
      </w:hyperlink>
    </w:p>
    <w:p w14:paraId="6040C0F0" w14:textId="77777777" w:rsidR="00DC41EF" w:rsidRDefault="00DC41EF" w:rsidP="00DC41EF">
      <w:pPr>
        <w:spacing w:after="0" w:line="240" w:lineRule="auto"/>
        <w:rPr>
          <w:rFonts w:cs="Times New Roman"/>
          <w:szCs w:val="20"/>
          <w:lang w:val="en-US"/>
        </w:rPr>
      </w:pPr>
      <w:r>
        <w:rPr>
          <w:rFonts w:cs="Times New Roman"/>
          <w:szCs w:val="20"/>
          <w:lang w:val="en-US"/>
        </w:rPr>
        <w:t>Phone number: +49 201 18-34027</w:t>
      </w:r>
    </w:p>
    <w:p w14:paraId="2F36A050" w14:textId="77777777" w:rsidR="00DC41EF" w:rsidRDefault="00DC41EF" w:rsidP="00DC41EF">
      <w:pPr>
        <w:spacing w:after="0" w:line="240" w:lineRule="auto"/>
        <w:rPr>
          <w:rFonts w:cs="Times New Roman"/>
          <w:bCs/>
          <w:iCs/>
          <w:spacing w:val="5"/>
          <w:szCs w:val="20"/>
          <w:lang w:val="en-US"/>
        </w:rPr>
      </w:pPr>
      <w:r>
        <w:rPr>
          <w:rFonts w:cs="Times New Roman"/>
          <w:szCs w:val="20"/>
          <w:lang w:val="en-US"/>
        </w:rPr>
        <w:t>ORCID: 0000-0001-7259-5769</w:t>
      </w:r>
    </w:p>
    <w:p w14:paraId="5DB0F0D5" w14:textId="77777777" w:rsidR="00DC41EF" w:rsidRPr="00DC41EF" w:rsidRDefault="00DC41EF" w:rsidP="00DC41EF">
      <w:pPr>
        <w:rPr>
          <w:lang w:val="en-US"/>
        </w:rPr>
      </w:pPr>
    </w:p>
    <w:p w14:paraId="6813F810" w14:textId="10AB1FF8" w:rsidR="0076691D" w:rsidRDefault="00C8312A" w:rsidP="0076691D">
      <w:pPr>
        <w:pStyle w:val="berschrift1"/>
        <w:pageBreakBefore/>
        <w:rPr>
          <w:rFonts w:cs="Times New Roman"/>
          <w:szCs w:val="20"/>
          <w:lang w:val="en-US"/>
        </w:rPr>
      </w:pPr>
      <w:r>
        <w:rPr>
          <w:rFonts w:cs="Times New Roman"/>
          <w:szCs w:val="20"/>
          <w:lang w:val="en-US"/>
        </w:rPr>
        <w:lastRenderedPageBreak/>
        <w:t>Electronic Supplementary Material 4</w:t>
      </w:r>
      <w:r w:rsidR="0076691D">
        <w:rPr>
          <w:rFonts w:cs="Times New Roman"/>
          <w:szCs w:val="20"/>
          <w:lang w:val="en-US"/>
        </w:rPr>
        <w:t>: Cost input parameters for the budget impact model (societal perspective)</w:t>
      </w:r>
    </w:p>
    <w:tbl>
      <w:tblPr>
        <w:tblStyle w:val="Tabellenraster"/>
        <w:tblW w:w="9634" w:type="dxa"/>
        <w:tblInd w:w="0" w:type="dxa"/>
        <w:tblLook w:val="04A0" w:firstRow="1" w:lastRow="0" w:firstColumn="1" w:lastColumn="0" w:noHBand="0" w:noVBand="1"/>
      </w:tblPr>
      <w:tblGrid>
        <w:gridCol w:w="4248"/>
        <w:gridCol w:w="1559"/>
        <w:gridCol w:w="1559"/>
        <w:gridCol w:w="2268"/>
      </w:tblGrid>
      <w:tr w:rsidR="0076691D" w14:paraId="1F290171" w14:textId="77777777" w:rsidTr="00595298">
        <w:trPr>
          <w:trHeight w:val="312"/>
          <w:tblHeader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1207219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b/>
                <w:szCs w:val="20"/>
                <w:lang w:val="en-US"/>
              </w:rPr>
              <w:t>Parameter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4C625B0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b/>
                <w:szCs w:val="20"/>
                <w:lang w:val="en-US"/>
              </w:rPr>
              <w:t>Value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0A0AD66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b/>
                <w:szCs w:val="20"/>
                <w:lang w:val="en-US"/>
              </w:rPr>
              <w:t>Source</w:t>
            </w:r>
          </w:p>
        </w:tc>
      </w:tr>
      <w:tr w:rsidR="0076691D" w14:paraId="5FC16FF6" w14:textId="77777777" w:rsidTr="00595298">
        <w:trPr>
          <w:trHeight w:val="31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29084C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b/>
                <w:szCs w:val="20"/>
                <w:lang w:val="en-US"/>
              </w:rPr>
              <w:t>Vaccine costs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300095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933E14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66B41AC3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F12362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IIV4-SD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E73979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€12.51*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4ACC0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LAUER-TAXE®</w:t>
            </w:r>
          </w:p>
        </w:tc>
      </w:tr>
      <w:tr w:rsidR="0076691D" w14:paraId="0DEF54EB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3A2F4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IIV4-HD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F24A3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€40.51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D4B52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:rsidRPr="00F625E5" w14:paraId="5118A69D" w14:textId="77777777" w:rsidTr="00595298">
        <w:trPr>
          <w:trHeight w:val="31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983D4" w14:textId="77777777" w:rsidR="0076691D" w:rsidRDefault="0076691D" w:rsidP="00595298">
            <w:pPr>
              <w:spacing w:line="240" w:lineRule="auto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b/>
                <w:szCs w:val="20"/>
                <w:lang w:val="en-US"/>
              </w:rPr>
              <w:t>Vaccine administration costs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3284A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€7.99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D9BA4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Catalogue of doctor’s fee scale (EBM 2019)</w:t>
            </w:r>
          </w:p>
        </w:tc>
      </w:tr>
      <w:tr w:rsidR="0076691D" w:rsidRPr="00F625E5" w14:paraId="6F54F1BF" w14:textId="77777777" w:rsidTr="00595298">
        <w:trPr>
          <w:trHeight w:val="31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BCAC2D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b/>
                <w:szCs w:val="20"/>
                <w:lang w:val="en-US"/>
              </w:rPr>
              <w:t>Consultation of general practitioner (SHI insured; privately insured)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6261DB5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F4E56AF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605EAE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  <w:p w14:paraId="0B1CEA4B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</w:tr>
      <w:tr w:rsidR="0076691D" w:rsidRPr="00F625E5" w14:paraId="1A1970C5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CB1690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0-4 years of age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2D54A1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€25.54; €37.98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44E72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Catalogue of doctor’s fee scale (EBM 2019),</w:t>
            </w:r>
          </w:p>
          <w:p w14:paraId="561260D3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Bock et al. 2015 (updated to price level of 2019)</w:t>
            </w:r>
          </w:p>
        </w:tc>
      </w:tr>
      <w:tr w:rsidR="0076691D" w14:paraId="23F0D31F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08018B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5-17 years of age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301262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€16.23; €37.98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DE7C2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1606922A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E01756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18-54 years of age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EC3E97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€13.20; €22.19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A2CD4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140541B1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22243C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55-75 years of age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D4D681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€16.99; €22.19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6025B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2BE5CF9C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5D49B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76-85 years of age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A05B7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€22.84; €22.19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A1B4B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:rsidRPr="00F625E5" w14:paraId="0FDB9DF7" w14:textId="77777777" w:rsidTr="00595298">
        <w:trPr>
          <w:trHeight w:val="31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5A5277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b/>
                <w:szCs w:val="20"/>
                <w:lang w:val="en-US"/>
              </w:rPr>
              <w:t>Revenue for complications treated in the inpatient sector (all age groups)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1A5AF2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1FED34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</w:tr>
      <w:tr w:rsidR="0076691D" w:rsidRPr="00F625E5" w14:paraId="1E8E9CC9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47B770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Bronchitis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55320F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€2,611.92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E325C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proofErr w:type="spellStart"/>
            <w:r>
              <w:rPr>
                <w:rFonts w:cs="Times New Roman"/>
                <w:szCs w:val="20"/>
                <w:lang w:val="en-US"/>
              </w:rPr>
              <w:t>aG</w:t>
            </w:r>
            <w:proofErr w:type="spellEnd"/>
            <w:r>
              <w:rPr>
                <w:rFonts w:cs="Times New Roman"/>
                <w:szCs w:val="20"/>
                <w:lang w:val="en-US"/>
              </w:rPr>
              <w:t>-DRG Report Browser 2021 (</w:t>
            </w:r>
            <w:proofErr w:type="spellStart"/>
            <w:r>
              <w:rPr>
                <w:rFonts w:cs="Times New Roman"/>
                <w:szCs w:val="20"/>
                <w:lang w:val="en-US"/>
              </w:rPr>
              <w:t>InEK</w:t>
            </w:r>
            <w:proofErr w:type="spellEnd"/>
            <w:r>
              <w:rPr>
                <w:rFonts w:cs="Times New Roman"/>
                <w:szCs w:val="20"/>
                <w:lang w:val="en-US"/>
              </w:rPr>
              <w:t xml:space="preserve"> 2021); diagnosis related groups catalogue (</w:t>
            </w:r>
            <w:proofErr w:type="spellStart"/>
            <w:r>
              <w:rPr>
                <w:rFonts w:cs="Times New Roman"/>
                <w:szCs w:val="20"/>
                <w:lang w:val="en-US"/>
              </w:rPr>
              <w:t>InEK</w:t>
            </w:r>
            <w:proofErr w:type="spellEnd"/>
            <w:r>
              <w:rPr>
                <w:rFonts w:cs="Times New Roman"/>
                <w:szCs w:val="20"/>
                <w:lang w:val="en-US"/>
              </w:rPr>
              <w:t xml:space="preserve"> 2018); Bock et al. 2015 (updated to price level of 2019)</w:t>
            </w:r>
          </w:p>
        </w:tc>
      </w:tr>
      <w:tr w:rsidR="0076691D" w14:paraId="781695F0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2188AF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Acute upper respiratory tract infection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8599BA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€2,027.02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71ED4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1FC5ABF2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83055C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Sinusitis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7166EC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€3,201.00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65708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49C2172A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6214D0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Tonsillitis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C56EB7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€1,845.21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545C3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3E01F321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FF917B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Laryngitis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7CF2C1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€1,771.60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98C23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3427DC5C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D91FB6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Pneumonia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A28A73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€3,802.46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5FEAD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0CE2D963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3D8105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Otitis media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8BA795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€2,653.32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8E842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5D104383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BA6149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Cardiovascular disorder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3321D0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€3,900.91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4D871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7B3276C0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FAD7F9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Cerebrovascular disorder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3C4E10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€8,231.34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B9726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20DA690A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29DF5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Neurological disorder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2A3BC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€5,765.78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03413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:rsidRPr="00F625E5" w14:paraId="6C2EE7BC" w14:textId="77777777" w:rsidTr="00595298">
        <w:trPr>
          <w:trHeight w:val="31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FC5795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b/>
                <w:szCs w:val="20"/>
                <w:lang w:val="en-US"/>
              </w:rPr>
              <w:t>Costs for complications treated in the outpatient sector (0-17; 18-85)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B8DCBF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AF981B4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F182AD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</w:tr>
      <w:tr w:rsidR="0076691D" w:rsidRPr="00F625E5" w14:paraId="1908F267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7CFCAC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Bronchitis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F6498B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€63.94; €58.86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04B63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proofErr w:type="spellStart"/>
            <w:r>
              <w:rPr>
                <w:rFonts w:cs="Times New Roman"/>
                <w:szCs w:val="20"/>
                <w:lang w:val="en-US"/>
              </w:rPr>
              <w:t>Dolk</w:t>
            </w:r>
            <w:proofErr w:type="spellEnd"/>
            <w:r>
              <w:rPr>
                <w:rFonts w:cs="Times New Roman"/>
                <w:szCs w:val="20"/>
                <w:lang w:val="en-US"/>
              </w:rPr>
              <w:t xml:space="preserve"> et al. (updated to price level of 2019)</w:t>
            </w:r>
          </w:p>
        </w:tc>
      </w:tr>
      <w:tr w:rsidR="0076691D" w14:paraId="779C8896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48204E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Acute upper respiratory tract infection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0BFD5D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€71.93; €66.64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3DF5B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1BBCAE0F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30DD39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Sinusitis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A3C1EE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€71.93; €66.64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3825B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0498E4EF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6E367D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Tonsillitis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2D265D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€71.93; €66.64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5862A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4F32CECD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9358F9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Laryngitis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C9327B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€71.93; €66.64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2736D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1DB985F0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345CC5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Pneumonia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D7EAA6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€113.24; €107.95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1D086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21FF65D0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54192F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Otitis media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57077A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€65.87; €62.65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6A046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259D6C0E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F1A1DF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Cardiovascular disorder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DBC287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€394.30; €389.01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278B5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01C6D801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4726AF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Cerebrovascular disorder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A3D9FE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€394.30; €389.01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EDDFB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6B192BF8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94E78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Neurological disorder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41C9A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€394.30; €389.01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A039B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:rsidRPr="00F625E5" w14:paraId="6F2C7DAB" w14:textId="77777777" w:rsidTr="00595298">
        <w:trPr>
          <w:trHeight w:val="31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B8C10E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b/>
                <w:szCs w:val="20"/>
                <w:lang w:val="en-US"/>
              </w:rPr>
              <w:t xml:space="preserve">Antiviral treatment </w:t>
            </w:r>
            <w:r>
              <w:rPr>
                <w:rFonts w:cs="Times New Roman"/>
                <w:szCs w:val="20"/>
                <w:lang w:val="en-US"/>
              </w:rPr>
              <w:t>(average prices used if more than one product on market)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D30895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FD1572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031C6B0A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DDFF5C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Oseltamivir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9A382D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€30.03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9E254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LAUER-TAXE®</w:t>
            </w:r>
          </w:p>
        </w:tc>
      </w:tr>
      <w:tr w:rsidR="0076691D" w14:paraId="57FEB00C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30CC9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Zanamivir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E7707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€34.81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929A0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:rsidRPr="00F625E5" w14:paraId="21509471" w14:textId="77777777" w:rsidTr="00595298">
        <w:trPr>
          <w:trHeight w:val="31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B49CCA" w14:textId="77777777" w:rsidR="0076691D" w:rsidRDefault="0076691D" w:rsidP="00595298">
            <w:pPr>
              <w:keepNext/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b/>
                <w:szCs w:val="20"/>
                <w:lang w:val="en-US"/>
              </w:rPr>
              <w:lastRenderedPageBreak/>
              <w:t>Other medication</w:t>
            </w:r>
            <w:r>
              <w:rPr>
                <w:rFonts w:cs="Times New Roman"/>
                <w:szCs w:val="20"/>
                <w:lang w:val="en-US"/>
              </w:rPr>
              <w:t xml:space="preserve"> (average prices used if more than one product on market)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EFE8D2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C3884C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14FDADE7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5B7BCF" w14:textId="77777777" w:rsidR="0076691D" w:rsidRDefault="0076691D" w:rsidP="00595298">
            <w:pPr>
              <w:keepNext/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Analgesics (available on prescription)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A975FC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€11.77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030D1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LAUER-TAXE®</w:t>
            </w:r>
          </w:p>
        </w:tc>
      </w:tr>
      <w:tr w:rsidR="0076691D" w14:paraId="4B97ED03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052094" w14:textId="77777777" w:rsidR="0076691D" w:rsidRDefault="0076691D" w:rsidP="00595298">
            <w:pPr>
              <w:keepNext/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Tetracyclines and combinations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BFA74E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€11.46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23780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07EC55C5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6C58D2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Broad spectrum penicillin oral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9823C4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€12.50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0E7E1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1191C664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A30E6E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Cephalosporins oral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6D5DB6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€13.72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10176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625D023A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74987C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Macrolides &amp; similar type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0AA2B1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€12.55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02B62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13DABBC4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B4AAE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Oral fluoroquinolones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CC65D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€11.42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28666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:rsidRPr="00F625E5" w14:paraId="19F7BE9A" w14:textId="77777777" w:rsidTr="00595298">
        <w:trPr>
          <w:trHeight w:val="31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621755" w14:textId="77777777" w:rsidR="0076691D" w:rsidRDefault="0076691D" w:rsidP="00595298">
            <w:pPr>
              <w:keepNext/>
              <w:spacing w:line="240" w:lineRule="auto"/>
              <w:jc w:val="left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b/>
                <w:szCs w:val="20"/>
                <w:lang w:val="en-US"/>
              </w:rPr>
              <w:t>Over-the-counter medication</w:t>
            </w:r>
            <w:r>
              <w:rPr>
                <w:rFonts w:cs="Times New Roman"/>
                <w:szCs w:val="20"/>
                <w:lang w:val="en-US"/>
              </w:rPr>
              <w:t xml:space="preserve"> (average prices used if more than one product on market)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25FC82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54DEE4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127D89A9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57D177" w14:textId="77777777" w:rsidR="0076691D" w:rsidRDefault="0076691D" w:rsidP="00595298">
            <w:pPr>
              <w:keepNext/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Analgesics (non-prescription)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0BB2EC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€1.11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BE8C4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LAUER-TAXE®</w:t>
            </w:r>
          </w:p>
        </w:tc>
      </w:tr>
      <w:tr w:rsidR="0076691D" w14:paraId="60D6D51C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16E5CB" w14:textId="77777777" w:rsidR="0076691D" w:rsidRDefault="0076691D" w:rsidP="00595298">
            <w:pPr>
              <w:keepNext/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Antirheumatics non-steroid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7A8EF1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€2.29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A6023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17686F18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BA8E6E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Nasal decongestants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F6E416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€1.94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8D678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4EAE4F5B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7AB9B9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Antitussives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33A50E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€5.83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FE26C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746569B0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27354C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Cold preparations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3452EA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€4.73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DBE97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18A10180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48609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Expectorants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70645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€2.40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880C5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1E6C5380" w14:textId="77777777" w:rsidTr="00595298">
        <w:trPr>
          <w:trHeight w:val="31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C34F9B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b/>
                <w:szCs w:val="20"/>
                <w:lang w:val="en-US"/>
              </w:rPr>
              <w:t>Absenteeism (indirect costs)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D1F1C9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3564E3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</w:tr>
      <w:tr w:rsidR="0076691D" w:rsidRPr="00F625E5" w14:paraId="37FB72EB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CC12B8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b/>
                <w:szCs w:val="20"/>
                <w:lang w:val="en-US"/>
              </w:rPr>
              <w:t>Labor costs per day including employment rate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F6DFAD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EFF0F3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5E6C4E46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7476A4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0-14 years of age</w:t>
            </w:r>
          </w:p>
          <w:p w14:paraId="42F8402E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(</w:t>
            </w:r>
            <w:proofErr w:type="gramStart"/>
            <w:r>
              <w:rPr>
                <w:rFonts w:cs="Times New Roman"/>
                <w:szCs w:val="20"/>
                <w:lang w:val="en-US"/>
              </w:rPr>
              <w:t>assuming</w:t>
            </w:r>
            <w:proofErr w:type="gramEnd"/>
            <w:r>
              <w:rPr>
                <w:rFonts w:cs="Times New Roman"/>
                <w:szCs w:val="20"/>
                <w:lang w:val="en-US"/>
              </w:rPr>
              <w:t xml:space="preserve"> costs of parents for childcare) 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C2ECF1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€121.25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8B748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Eurostat 2022a, Eurostat 2022b, DESTATIS 2022</w:t>
            </w:r>
          </w:p>
        </w:tc>
      </w:tr>
      <w:tr w:rsidR="0076691D" w14:paraId="5B836FDD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03BCDA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15-24 years of age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670E6D7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€119.98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49276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</w:rPr>
            </w:pPr>
          </w:p>
        </w:tc>
      </w:tr>
      <w:tr w:rsidR="0076691D" w14:paraId="65BEB4E2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675790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24-54 years of age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39706D5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€121.25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DD2D9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</w:rPr>
            </w:pPr>
          </w:p>
        </w:tc>
      </w:tr>
      <w:tr w:rsidR="0076691D" w14:paraId="2AC25845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E2B13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55-64 years of age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76419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€103.22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7F802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</w:rPr>
            </w:pPr>
          </w:p>
        </w:tc>
      </w:tr>
      <w:tr w:rsidR="0076691D" w14:paraId="4AD4A9CA" w14:textId="77777777" w:rsidTr="00595298">
        <w:trPr>
          <w:trHeight w:val="31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C10623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b/>
                <w:szCs w:val="20"/>
                <w:lang w:val="en-US"/>
              </w:rPr>
              <w:t>Costs of deceased persons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1559F7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2905EA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51CB39EE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8284AC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b/>
                <w:szCs w:val="20"/>
                <w:lang w:val="en-US"/>
              </w:rPr>
              <w:t>Friction cost approach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288F9B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19EDF8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0BB146EF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7A3C72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 xml:space="preserve">0-14 years of age 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  <w:vAlign w:val="center"/>
            <w:hideMark/>
          </w:tcPr>
          <w:p w14:paraId="786DCB36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€0.00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  <w:hideMark/>
          </w:tcPr>
          <w:p w14:paraId="2719C2BE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IAB 2022</w:t>
            </w:r>
          </w:p>
          <w:p w14:paraId="2250AAB3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Eurostat 2022a, Eurostat 2022b</w:t>
            </w:r>
          </w:p>
        </w:tc>
      </w:tr>
      <w:tr w:rsidR="0076691D" w14:paraId="5DAABC57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FAF141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15-24 years of age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  <w:vAlign w:val="center"/>
            <w:hideMark/>
          </w:tcPr>
          <w:p w14:paraId="78060774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€11,037.84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  <w:hideMark/>
          </w:tcPr>
          <w:p w14:paraId="1A58D9DD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3894130A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083343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24-54 years of age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  <w:vAlign w:val="center"/>
            <w:hideMark/>
          </w:tcPr>
          <w:p w14:paraId="27A3937E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€11,155.40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  <w:hideMark/>
          </w:tcPr>
          <w:p w14:paraId="495E0FE1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1AC5F5D2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AB3A7B" w14:textId="77777777" w:rsidR="0076691D" w:rsidRDefault="0076691D" w:rsidP="00595298">
            <w:pPr>
              <w:spacing w:line="240" w:lineRule="auto"/>
              <w:jc w:val="right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55-64 years of age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  <w:vAlign w:val="center"/>
            <w:hideMark/>
          </w:tcPr>
          <w:p w14:paraId="7AEF3DF9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€9,496.46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  <w:hideMark/>
          </w:tcPr>
          <w:p w14:paraId="472969A0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szCs w:val="20"/>
                <w:lang w:val="en-US"/>
              </w:rPr>
            </w:pPr>
          </w:p>
        </w:tc>
      </w:tr>
      <w:tr w:rsidR="0076691D" w14:paraId="7AE955A8" w14:textId="77777777" w:rsidTr="00595298">
        <w:trPr>
          <w:trHeight w:val="312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432D6" w14:textId="77777777" w:rsidR="0076691D" w:rsidRDefault="0076691D" w:rsidP="00595298">
            <w:pPr>
              <w:spacing w:line="240" w:lineRule="auto"/>
              <w:jc w:val="left"/>
              <w:rPr>
                <w:rFonts w:cs="Times New Roman"/>
                <w:b/>
                <w:szCs w:val="20"/>
                <w:lang w:val="en-US"/>
              </w:rPr>
            </w:pPr>
            <w:r>
              <w:rPr>
                <w:rFonts w:cs="Times New Roman"/>
                <w:b/>
                <w:szCs w:val="20"/>
                <w:lang w:val="en-US"/>
              </w:rPr>
              <w:t>Human capital approach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F0265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age-specific</w:t>
            </w:r>
          </w:p>
          <w:p w14:paraId="439BE7E9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(€0.00 - €1,470,516.00)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C9C00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DESTATIS 2022</w:t>
            </w:r>
          </w:p>
          <w:p w14:paraId="17999B59" w14:textId="77777777" w:rsidR="0076691D" w:rsidRDefault="0076691D" w:rsidP="00595298">
            <w:pPr>
              <w:spacing w:line="240" w:lineRule="auto"/>
              <w:jc w:val="center"/>
              <w:rPr>
                <w:rFonts w:cs="Times New Roman"/>
                <w:szCs w:val="20"/>
                <w:lang w:val="en-US"/>
              </w:rPr>
            </w:pPr>
            <w:r>
              <w:rPr>
                <w:rFonts w:cs="Times New Roman"/>
                <w:szCs w:val="20"/>
                <w:lang w:val="en-US"/>
              </w:rPr>
              <w:t>Eurostat 2022a, Eurostat 2022b</w:t>
            </w:r>
          </w:p>
        </w:tc>
      </w:tr>
      <w:tr w:rsidR="0076691D" w:rsidRPr="00F625E5" w14:paraId="66358720" w14:textId="77777777" w:rsidTr="00595298">
        <w:trPr>
          <w:trHeight w:val="312"/>
        </w:trPr>
        <w:tc>
          <w:tcPr>
            <w:tcW w:w="963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488144D" w14:textId="77777777" w:rsidR="0076691D" w:rsidRDefault="0076691D" w:rsidP="00595298">
            <w:pPr>
              <w:pStyle w:val="Legende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IIV4-HD: Quadrivalent high-dose inactivated influenza vaccine; IIV4-SD: Quadrivalent standard-dose influenza vaccine; SHI: Statutory health insurance.</w:t>
            </w:r>
          </w:p>
          <w:p w14:paraId="537FBAFE" w14:textId="77777777" w:rsidR="0076691D" w:rsidRDefault="0076691D" w:rsidP="00595298">
            <w:pPr>
              <w:pStyle w:val="Legende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* The application-weighted average price for IIV4-SD was calculated based on the price data from the LAUER-TAXE® and market shares according to IQVIA </w:t>
            </w:r>
            <w:proofErr w:type="spellStart"/>
            <w:r>
              <w:rPr>
                <w:sz w:val="20"/>
                <w:szCs w:val="20"/>
              </w:rPr>
              <w:t>PharmaScope</w:t>
            </w:r>
            <w:proofErr w:type="spellEnd"/>
            <w:r>
              <w:rPr>
                <w:sz w:val="20"/>
                <w:szCs w:val="20"/>
              </w:rPr>
              <w:t xml:space="preserve">® retail sell-out national, J07E1, August 2019 to March 2020, August 2020 to March 2021 and August 2021 to December 2022. </w:t>
            </w:r>
          </w:p>
        </w:tc>
      </w:tr>
    </w:tbl>
    <w:p w14:paraId="2E8DC333" w14:textId="77777777" w:rsidR="0076691D" w:rsidRDefault="0076691D" w:rsidP="0076691D">
      <w:pPr>
        <w:spacing w:before="240"/>
        <w:rPr>
          <w:b/>
        </w:rPr>
      </w:pPr>
      <w:r>
        <w:rPr>
          <w:b/>
        </w:rPr>
        <w:t>References</w:t>
      </w:r>
    </w:p>
    <w:p w14:paraId="0F863693" w14:textId="77777777" w:rsidR="0076691D" w:rsidRDefault="0076691D" w:rsidP="0076691D">
      <w:pPr>
        <w:rPr>
          <w:rFonts w:cs="Times New Roman"/>
          <w:szCs w:val="20"/>
        </w:rPr>
      </w:pPr>
      <w:r>
        <w:rPr>
          <w:rFonts w:cs="Times New Roman"/>
          <w:szCs w:val="20"/>
        </w:rPr>
        <w:t xml:space="preserve">Bock JO, Brettschneider C, Seidl H, et al. </w:t>
      </w:r>
      <w:r>
        <w:rPr>
          <w:rFonts w:cs="Times New Roman"/>
          <w:szCs w:val="20"/>
          <w:lang w:val="en-US"/>
        </w:rPr>
        <w:t xml:space="preserve">Calculation of </w:t>
      </w:r>
      <w:proofErr w:type="spellStart"/>
      <w:r>
        <w:rPr>
          <w:rFonts w:cs="Times New Roman"/>
          <w:szCs w:val="20"/>
          <w:lang w:val="en-US"/>
        </w:rPr>
        <w:t>standardised</w:t>
      </w:r>
      <w:proofErr w:type="spellEnd"/>
      <w:r>
        <w:rPr>
          <w:rFonts w:cs="Times New Roman"/>
          <w:szCs w:val="20"/>
          <w:lang w:val="en-US"/>
        </w:rPr>
        <w:t xml:space="preserve"> unit costs from a societal perspective for health economic evaluation. </w:t>
      </w:r>
      <w:r w:rsidRPr="00F625E5">
        <w:rPr>
          <w:rFonts w:cs="Times New Roman"/>
          <w:szCs w:val="20"/>
        </w:rPr>
        <w:t xml:space="preserve">Gesundheitswesen. 2015 Jan;77(1):53-61. </w:t>
      </w:r>
      <w:r w:rsidR="00F625E5">
        <w:fldChar w:fldCharType="begin"/>
      </w:r>
      <w:r w:rsidR="00F625E5">
        <w:instrText xml:space="preserve"> HYPERLINK "https://doi.org/10.1055/s-0034-1374621" </w:instrText>
      </w:r>
      <w:r w:rsidR="00F625E5">
        <w:fldChar w:fldCharType="separate"/>
      </w:r>
      <w:r>
        <w:rPr>
          <w:rStyle w:val="Hyperlink"/>
          <w:rFonts w:cs="Times New Roman"/>
          <w:szCs w:val="20"/>
        </w:rPr>
        <w:t>https://doi.org/10.1055/s-0034-1374621</w:t>
      </w:r>
      <w:r w:rsidR="00F625E5">
        <w:rPr>
          <w:rStyle w:val="Hyperlink"/>
          <w:rFonts w:cs="Times New Roman"/>
          <w:szCs w:val="20"/>
        </w:rPr>
        <w:fldChar w:fldCharType="end"/>
      </w:r>
      <w:r>
        <w:rPr>
          <w:rFonts w:cs="Times New Roman"/>
          <w:szCs w:val="20"/>
        </w:rPr>
        <w:t>.</w:t>
      </w:r>
    </w:p>
    <w:p w14:paraId="0C18633A" w14:textId="7D186EB9" w:rsidR="006C48C4" w:rsidRPr="00F625E5" w:rsidRDefault="006C48C4" w:rsidP="006C48C4">
      <w:pPr>
        <w:jc w:val="left"/>
      </w:pPr>
      <w:r w:rsidRPr="00F625E5">
        <w:t xml:space="preserve">DESTATIS. </w:t>
      </w:r>
      <w:r w:rsidRPr="00F625E5">
        <w:rPr>
          <w:bCs/>
        </w:rPr>
        <w:t xml:space="preserve">Wöchentliche Arbeitszeit. Online: </w:t>
      </w:r>
      <w:r>
        <w:fldChar w:fldCharType="begin"/>
      </w:r>
      <w:r>
        <w:instrText xml:space="preserve"> HYPERLINK "https://www.destatis.de/DE/Themen/Arbeit/Arbeitsmarkt/Qualitaet-Arbeit/Dimension-3/woechentliche-arbeitszeitl.html" \l ":~:text=34%2C8%20Stunden%20betrug%20die,jedoch%20getrennt%20voneinander%20betrachtet%20werden" </w:instrText>
      </w:r>
      <w:r>
        <w:fldChar w:fldCharType="separate"/>
      </w:r>
      <w:r w:rsidRPr="00F625E5">
        <w:rPr>
          <w:rStyle w:val="Hyperlink"/>
        </w:rPr>
        <w:t>https://www.destatis.de/</w:t>
      </w:r>
      <w:r>
        <w:rPr>
          <w:rStyle w:val="Hyperlink"/>
          <w:lang w:val="en-US"/>
        </w:rPr>
        <w:fldChar w:fldCharType="end"/>
      </w:r>
      <w:r w:rsidRPr="00F625E5">
        <w:t>, accessed on September 20th, 2022.</w:t>
      </w:r>
    </w:p>
    <w:p w14:paraId="2F69F89E" w14:textId="77777777" w:rsidR="0076691D" w:rsidRDefault="0076691D" w:rsidP="0076691D">
      <w:pPr>
        <w:rPr>
          <w:rFonts w:cs="Times New Roman"/>
          <w:szCs w:val="20"/>
          <w:lang w:val="en-US"/>
        </w:rPr>
      </w:pPr>
      <w:proofErr w:type="spellStart"/>
      <w:r>
        <w:rPr>
          <w:rFonts w:cs="Times New Roman"/>
          <w:szCs w:val="20"/>
        </w:rPr>
        <w:lastRenderedPageBreak/>
        <w:t>Dolk</w:t>
      </w:r>
      <w:proofErr w:type="spellEnd"/>
      <w:r>
        <w:rPr>
          <w:rFonts w:cs="Times New Roman"/>
          <w:szCs w:val="20"/>
        </w:rPr>
        <w:t xml:space="preserve"> C, Eichner M, Welte R, et al. </w:t>
      </w:r>
      <w:r>
        <w:rPr>
          <w:rFonts w:cs="Times New Roman"/>
          <w:szCs w:val="20"/>
          <w:lang w:val="en-US"/>
        </w:rPr>
        <w:t xml:space="preserve">Cost-Utility of Quadrivalent Versus Trivalent Influenza Vaccine in Germany, Using an Individual-Based Dynamic Transmission Model. Pharmacoeconomics. 2016 Dec;34(12):1299-1308. </w:t>
      </w:r>
      <w:r w:rsidR="00F625E5">
        <w:fldChar w:fldCharType="begin"/>
      </w:r>
      <w:r w:rsidR="00F625E5" w:rsidRPr="00F625E5">
        <w:rPr>
          <w:lang w:val="en-US"/>
        </w:rPr>
        <w:instrText xml:space="preserve"> HYPERLINK "https://doi.org/10.1007/s40273-016-0443-7" </w:instrText>
      </w:r>
      <w:r w:rsidR="00F625E5">
        <w:fldChar w:fldCharType="separate"/>
      </w:r>
      <w:r>
        <w:rPr>
          <w:rStyle w:val="Hyperlink"/>
          <w:rFonts w:cs="Times New Roman"/>
          <w:szCs w:val="20"/>
          <w:lang w:val="en-US"/>
        </w:rPr>
        <w:t>https://doi.org/10.1007/s40273-016-0443-7</w:t>
      </w:r>
      <w:r w:rsidR="00F625E5">
        <w:rPr>
          <w:rStyle w:val="Hyperlink"/>
          <w:rFonts w:cs="Times New Roman"/>
          <w:szCs w:val="20"/>
          <w:lang w:val="en-US"/>
        </w:rPr>
        <w:fldChar w:fldCharType="end"/>
      </w:r>
      <w:r>
        <w:rPr>
          <w:rFonts w:cs="Times New Roman"/>
          <w:szCs w:val="20"/>
          <w:lang w:val="en-US"/>
        </w:rPr>
        <w:t>.</w:t>
      </w:r>
    </w:p>
    <w:p w14:paraId="0F73931A" w14:textId="77777777" w:rsidR="0076691D" w:rsidRDefault="0076691D" w:rsidP="0076691D">
      <w:pPr>
        <w:rPr>
          <w:rFonts w:cs="Times New Roman"/>
          <w:szCs w:val="20"/>
          <w:lang w:val="en-US"/>
        </w:rPr>
      </w:pPr>
      <w:r>
        <w:rPr>
          <w:rFonts w:cs="Times New Roman"/>
          <w:szCs w:val="20"/>
          <w:lang w:val="en-US"/>
        </w:rPr>
        <w:t xml:space="preserve">Eurostat. Employment and activity by sex and age (1992-2020) - annual data. Online: </w:t>
      </w:r>
      <w:r w:rsidR="00F625E5">
        <w:fldChar w:fldCharType="begin"/>
      </w:r>
      <w:r w:rsidR="00F625E5" w:rsidRPr="00F625E5">
        <w:rPr>
          <w:lang w:val="en-US"/>
        </w:rPr>
        <w:instrText xml:space="preserve"> HYPERLINK "https://ec.europa.eu/eurostat/databrowser/view/lfsi_emp_a_h/default/table?lang=en" </w:instrText>
      </w:r>
      <w:r w:rsidR="00F625E5">
        <w:fldChar w:fldCharType="separate"/>
      </w:r>
      <w:r>
        <w:rPr>
          <w:rStyle w:val="Hyperlink"/>
          <w:rFonts w:cs="Times New Roman"/>
          <w:szCs w:val="20"/>
          <w:lang w:val="en-US"/>
        </w:rPr>
        <w:t>https://ec.europa.eu/eurostat/databrowser/view/lfsi_emp_a_h/default/table?lang=en</w:t>
      </w:r>
      <w:r w:rsidR="00F625E5">
        <w:rPr>
          <w:rStyle w:val="Hyperlink"/>
          <w:rFonts w:cs="Times New Roman"/>
          <w:szCs w:val="20"/>
          <w:lang w:val="en-US"/>
        </w:rPr>
        <w:fldChar w:fldCharType="end"/>
      </w:r>
      <w:r>
        <w:rPr>
          <w:rFonts w:cs="Times New Roman"/>
          <w:szCs w:val="20"/>
          <w:lang w:val="en-US"/>
        </w:rPr>
        <w:t>, accessed September 20th, 2022a.</w:t>
      </w:r>
    </w:p>
    <w:p w14:paraId="5FDF0DC8" w14:textId="77777777" w:rsidR="0076691D" w:rsidRDefault="0076691D" w:rsidP="0076691D">
      <w:pPr>
        <w:rPr>
          <w:rFonts w:cs="Times New Roman"/>
          <w:szCs w:val="20"/>
          <w:lang w:val="en-US"/>
        </w:rPr>
      </w:pPr>
      <w:r>
        <w:rPr>
          <w:rFonts w:cs="Times New Roman"/>
          <w:szCs w:val="20"/>
          <w:lang w:val="en-US"/>
        </w:rPr>
        <w:t xml:space="preserve">Eurostat. Employment and unemployment. Online: </w:t>
      </w:r>
      <w:r w:rsidR="00F625E5">
        <w:fldChar w:fldCharType="begin"/>
      </w:r>
      <w:r w:rsidR="00F625E5" w:rsidRPr="00F625E5">
        <w:rPr>
          <w:lang w:val="en-US"/>
        </w:rPr>
        <w:instrText xml:space="preserve"> HYPERLINK "https://ec.europa.eu/eurostat/web/lfs/data/database" </w:instrText>
      </w:r>
      <w:r w:rsidR="00F625E5">
        <w:fldChar w:fldCharType="separate"/>
      </w:r>
      <w:r>
        <w:rPr>
          <w:rStyle w:val="Hyperlink"/>
          <w:rFonts w:cs="Times New Roman"/>
          <w:szCs w:val="20"/>
          <w:lang w:val="en-US"/>
        </w:rPr>
        <w:t>https://ec.europa.eu/eurostat/web/lfs/data/database</w:t>
      </w:r>
      <w:r w:rsidR="00F625E5">
        <w:rPr>
          <w:rStyle w:val="Hyperlink"/>
          <w:rFonts w:cs="Times New Roman"/>
          <w:szCs w:val="20"/>
          <w:lang w:val="en-US"/>
        </w:rPr>
        <w:fldChar w:fldCharType="end"/>
      </w:r>
      <w:r>
        <w:rPr>
          <w:rFonts w:cs="Times New Roman"/>
          <w:szCs w:val="20"/>
          <w:lang w:val="en-US"/>
        </w:rPr>
        <w:t>, accessed September 20th, 2022b.</w:t>
      </w:r>
    </w:p>
    <w:p w14:paraId="0B209A7C" w14:textId="77777777" w:rsidR="0076691D" w:rsidRDefault="0076691D" w:rsidP="0076691D">
      <w:pPr>
        <w:rPr>
          <w:rFonts w:cs="Times New Roman"/>
          <w:szCs w:val="20"/>
          <w:lang w:val="en-US"/>
        </w:rPr>
      </w:pPr>
      <w:r>
        <w:rPr>
          <w:rFonts w:cs="Times New Roman"/>
          <w:szCs w:val="20"/>
        </w:rPr>
        <w:t xml:space="preserve">IAB. Institut für Arbeitsmarkt- und Berufsforschung. </w:t>
      </w:r>
      <w:r>
        <w:rPr>
          <w:rFonts w:cs="Times New Roman"/>
          <w:szCs w:val="20"/>
          <w:lang w:val="en-US"/>
        </w:rPr>
        <w:t>IAB-</w:t>
      </w:r>
      <w:proofErr w:type="spellStart"/>
      <w:r>
        <w:rPr>
          <w:rFonts w:cs="Times New Roman"/>
          <w:szCs w:val="20"/>
          <w:lang w:val="en-US"/>
        </w:rPr>
        <w:t>Stellenerhebung</w:t>
      </w:r>
      <w:proofErr w:type="spellEnd"/>
      <w:r>
        <w:rPr>
          <w:rFonts w:cs="Times New Roman"/>
          <w:szCs w:val="20"/>
          <w:lang w:val="en-US"/>
        </w:rPr>
        <w:t xml:space="preserve">. Online: </w:t>
      </w:r>
      <w:r w:rsidR="00F625E5">
        <w:fldChar w:fldCharType="begin"/>
      </w:r>
      <w:r w:rsidR="00F625E5" w:rsidRPr="00F625E5">
        <w:rPr>
          <w:lang w:val="en-US"/>
        </w:rPr>
        <w:instrText xml:space="preserve"> HYPERLINK "https://iab.de/das-iab/befragungen/iab-stellenerhebung/" </w:instrText>
      </w:r>
      <w:r w:rsidR="00F625E5">
        <w:fldChar w:fldCharType="separate"/>
      </w:r>
      <w:r>
        <w:rPr>
          <w:rStyle w:val="Hyperlink"/>
          <w:rFonts w:cs="Times New Roman"/>
          <w:szCs w:val="20"/>
          <w:lang w:val="en-US"/>
        </w:rPr>
        <w:t>https://iab.de/das-iab/befragungen/iab-stellenerhebung/</w:t>
      </w:r>
      <w:r w:rsidR="00F625E5">
        <w:rPr>
          <w:rStyle w:val="Hyperlink"/>
          <w:rFonts w:cs="Times New Roman"/>
          <w:szCs w:val="20"/>
          <w:lang w:val="en-US"/>
        </w:rPr>
        <w:fldChar w:fldCharType="end"/>
      </w:r>
      <w:r>
        <w:rPr>
          <w:rFonts w:cs="Times New Roman"/>
          <w:szCs w:val="20"/>
          <w:lang w:val="en-US"/>
        </w:rPr>
        <w:t>, accessed September 20</w:t>
      </w:r>
      <w:r>
        <w:rPr>
          <w:rFonts w:cs="Times New Roman"/>
          <w:szCs w:val="20"/>
          <w:vertAlign w:val="superscript"/>
          <w:lang w:val="en-US"/>
        </w:rPr>
        <w:t>th</w:t>
      </w:r>
      <w:r>
        <w:rPr>
          <w:rFonts w:cs="Times New Roman"/>
          <w:szCs w:val="20"/>
          <w:lang w:val="en-US"/>
        </w:rPr>
        <w:t xml:space="preserve">, 2022. </w:t>
      </w:r>
    </w:p>
    <w:p w14:paraId="7CD33EF1" w14:textId="77777777" w:rsidR="0076691D" w:rsidRDefault="0076691D" w:rsidP="0076691D">
      <w:pPr>
        <w:rPr>
          <w:rFonts w:cs="Times New Roman"/>
          <w:szCs w:val="20"/>
        </w:rPr>
      </w:pPr>
      <w:proofErr w:type="spellStart"/>
      <w:r>
        <w:rPr>
          <w:rFonts w:cs="Times New Roman"/>
          <w:szCs w:val="20"/>
        </w:rPr>
        <w:t>InEK</w:t>
      </w:r>
      <w:proofErr w:type="spellEnd"/>
      <w:r>
        <w:rPr>
          <w:rFonts w:cs="Times New Roman"/>
          <w:szCs w:val="20"/>
        </w:rPr>
        <w:t xml:space="preserve"> GmbH. aG-DRG-Report-Browser Version 2021.3. 2021.</w:t>
      </w:r>
    </w:p>
    <w:p w14:paraId="4F2290B9" w14:textId="77777777" w:rsidR="0076691D" w:rsidRDefault="0076691D" w:rsidP="0076691D">
      <w:pPr>
        <w:rPr>
          <w:rFonts w:cs="Times New Roman"/>
          <w:szCs w:val="20"/>
        </w:rPr>
      </w:pPr>
      <w:proofErr w:type="spellStart"/>
      <w:r>
        <w:rPr>
          <w:rFonts w:cs="Times New Roman"/>
          <w:szCs w:val="20"/>
        </w:rPr>
        <w:t>InEK</w:t>
      </w:r>
      <w:proofErr w:type="spellEnd"/>
      <w:r>
        <w:rPr>
          <w:rFonts w:cs="Times New Roman"/>
          <w:szCs w:val="20"/>
        </w:rPr>
        <w:t xml:space="preserve"> GmbH. </w:t>
      </w:r>
      <w:proofErr w:type="spellStart"/>
      <w:r>
        <w:rPr>
          <w:rFonts w:cs="Times New Roman"/>
          <w:szCs w:val="20"/>
        </w:rPr>
        <w:t>Fallpauschalenkatalog</w:t>
      </w:r>
      <w:proofErr w:type="spellEnd"/>
      <w:r>
        <w:rPr>
          <w:rFonts w:cs="Times New Roman"/>
          <w:szCs w:val="20"/>
        </w:rPr>
        <w:t xml:space="preserve"> 2019. 2018.</w:t>
      </w:r>
    </w:p>
    <w:p w14:paraId="7C16D5B5" w14:textId="77777777" w:rsidR="0076691D" w:rsidRPr="006C48C4" w:rsidRDefault="0076691D" w:rsidP="0076691D">
      <w:pPr>
        <w:rPr>
          <w:rFonts w:cs="Times New Roman"/>
          <w:szCs w:val="20"/>
          <w:lang w:val="en-US"/>
        </w:rPr>
      </w:pPr>
      <w:r>
        <w:rPr>
          <w:rFonts w:cs="Times New Roman"/>
          <w:szCs w:val="20"/>
        </w:rPr>
        <w:t xml:space="preserve">Kassenärztliche Bundesvereinigung. </w:t>
      </w:r>
      <w:r w:rsidRPr="006C48C4">
        <w:rPr>
          <w:rFonts w:cs="Times New Roman"/>
          <w:szCs w:val="20"/>
          <w:lang w:val="en-US"/>
        </w:rPr>
        <w:t xml:space="preserve">EBM Catalogue 2019. Online: </w:t>
      </w:r>
      <w:hyperlink r:id="rId5" w:history="1">
        <w:r w:rsidRPr="006C48C4">
          <w:rPr>
            <w:rStyle w:val="Hyperlink"/>
            <w:rFonts w:cs="Times New Roman"/>
            <w:szCs w:val="20"/>
            <w:lang w:val="en-US"/>
          </w:rPr>
          <w:t>https://www.kbv.de/media/sp/EBM_Gesamt_-_Stand_1._Quartal_2019.pdf</w:t>
        </w:r>
      </w:hyperlink>
      <w:r w:rsidRPr="006C48C4">
        <w:rPr>
          <w:rFonts w:cs="Times New Roman"/>
          <w:szCs w:val="20"/>
          <w:lang w:val="en-US"/>
        </w:rPr>
        <w:t>, accessed August 16</w:t>
      </w:r>
      <w:r w:rsidRPr="006C48C4">
        <w:rPr>
          <w:rFonts w:cs="Times New Roman"/>
          <w:szCs w:val="20"/>
          <w:vertAlign w:val="superscript"/>
          <w:lang w:val="en-US"/>
        </w:rPr>
        <w:t>th</w:t>
      </w:r>
      <w:r w:rsidRPr="006C48C4">
        <w:rPr>
          <w:rFonts w:cs="Times New Roman"/>
          <w:szCs w:val="20"/>
          <w:lang w:val="en-US"/>
        </w:rPr>
        <w:t>, 2022.</w:t>
      </w:r>
    </w:p>
    <w:p w14:paraId="13116C0E" w14:textId="77777777" w:rsidR="0076691D" w:rsidRDefault="0076691D" w:rsidP="0076691D">
      <w:pPr>
        <w:rPr>
          <w:rFonts w:cs="Times New Roman"/>
          <w:szCs w:val="20"/>
        </w:rPr>
      </w:pPr>
      <w:r>
        <w:rPr>
          <w:rFonts w:cs="Times New Roman"/>
          <w:szCs w:val="20"/>
        </w:rPr>
        <w:t>LAUER-TAXE. LAUER-FISCHER GmbH; 2022.</w:t>
      </w:r>
    </w:p>
    <w:sectPr w:rsidR="0076691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1EF"/>
    <w:rsid w:val="000E26B4"/>
    <w:rsid w:val="002E7444"/>
    <w:rsid w:val="004C3592"/>
    <w:rsid w:val="006C48C4"/>
    <w:rsid w:val="0076691D"/>
    <w:rsid w:val="008374E4"/>
    <w:rsid w:val="00913ED3"/>
    <w:rsid w:val="009E23CA"/>
    <w:rsid w:val="00A2742B"/>
    <w:rsid w:val="00B12067"/>
    <w:rsid w:val="00C8312A"/>
    <w:rsid w:val="00D929FA"/>
    <w:rsid w:val="00DC41EF"/>
    <w:rsid w:val="00DD133E"/>
    <w:rsid w:val="00E7587D"/>
    <w:rsid w:val="00F625E5"/>
    <w:rsid w:val="00FA2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546BF"/>
  <w15:chartTrackingRefBased/>
  <w15:docId w15:val="{BDB39FA7-C58D-42EF-B9C8-74CCE9371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41EF"/>
    <w:pPr>
      <w:spacing w:line="480" w:lineRule="auto"/>
      <w:jc w:val="both"/>
    </w:pPr>
    <w:rPr>
      <w:rFonts w:ascii="Times New Roman" w:hAnsi="Times New Roman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C41EF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C41EF"/>
    <w:rPr>
      <w:rFonts w:ascii="Times New Roman" w:eastAsiaTheme="majorEastAsia" w:hAnsi="Times New Roman" w:cstheme="majorBidi"/>
      <w:b/>
      <w:sz w:val="20"/>
      <w:szCs w:val="32"/>
    </w:rPr>
  </w:style>
  <w:style w:type="character" w:styleId="Hyperlink">
    <w:name w:val="Hyperlink"/>
    <w:basedOn w:val="Absatz-Standardschriftart"/>
    <w:uiPriority w:val="99"/>
    <w:unhideWhenUsed/>
    <w:rsid w:val="00DC41EF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DC41EF"/>
    <w:rPr>
      <w:color w:val="954F72" w:themeColor="followedHyperlink"/>
      <w:u w:val="single"/>
    </w:rPr>
  </w:style>
  <w:style w:type="paragraph" w:customStyle="1" w:styleId="msonormal0">
    <w:name w:val="msonormal"/>
    <w:basedOn w:val="Standard"/>
    <w:rsid w:val="00DC41EF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de-DE"/>
    </w:rPr>
  </w:style>
  <w:style w:type="character" w:customStyle="1" w:styleId="LegendeZchn">
    <w:name w:val="Legende Zchn"/>
    <w:basedOn w:val="Absatz-Standardschriftart"/>
    <w:link w:val="Legende"/>
    <w:locked/>
    <w:rsid w:val="00DC41EF"/>
    <w:rPr>
      <w:rFonts w:ascii="Times New Roman" w:hAnsi="Times New Roman" w:cs="Times New Roman"/>
      <w:i/>
      <w:sz w:val="18"/>
      <w:lang w:val="en-US"/>
    </w:rPr>
  </w:style>
  <w:style w:type="paragraph" w:customStyle="1" w:styleId="Legende">
    <w:name w:val="Legende"/>
    <w:basedOn w:val="Standard"/>
    <w:link w:val="LegendeZchn"/>
    <w:qFormat/>
    <w:rsid w:val="00DC41EF"/>
    <w:pPr>
      <w:spacing w:before="40" w:after="360" w:line="240" w:lineRule="auto"/>
      <w:contextualSpacing/>
    </w:pPr>
    <w:rPr>
      <w:rFonts w:cs="Times New Roman"/>
      <w:i/>
      <w:sz w:val="18"/>
      <w:lang w:val="en-US"/>
    </w:rPr>
  </w:style>
  <w:style w:type="table" w:styleId="Tabellenraster">
    <w:name w:val="Table Grid"/>
    <w:basedOn w:val="NormaleTabelle"/>
    <w:uiPriority w:val="39"/>
    <w:rsid w:val="00DC41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C41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C41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3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kbv.de/media/sp/EBM_Gesamt_-_Stand_1._Quartal_2019.pdf" TargetMode="External"/><Relationship Id="rId4" Type="http://schemas.openxmlformats.org/officeDocument/2006/relationships/hyperlink" Target="mailto:kathrin.pahmeier@medman.uni-due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870</Words>
  <Characters>5482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Pahmeier, Kathrin</dc:creator>
  <cp:keywords/>
  <dc:description/>
  <cp:lastModifiedBy>Speckemeier, Christian</cp:lastModifiedBy>
  <cp:revision>7</cp:revision>
  <dcterms:created xsi:type="dcterms:W3CDTF">2023-01-26T18:05:00Z</dcterms:created>
  <dcterms:modified xsi:type="dcterms:W3CDTF">2023-06-16T09:32:00Z</dcterms:modified>
</cp:coreProperties>
</file>