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8C796" w14:textId="77777777" w:rsidR="009C0203" w:rsidRPr="009C0203" w:rsidRDefault="009C0203" w:rsidP="009C0203">
      <w:pPr>
        <w:rPr>
          <w:b/>
          <w:bCs/>
          <w:sz w:val="28"/>
          <w:szCs w:val="28"/>
          <w:shd w:val="clear" w:color="auto" w:fill="FFFFFF"/>
        </w:rPr>
      </w:pPr>
      <w:r w:rsidRPr="009C0203">
        <w:rPr>
          <w:b/>
          <w:bCs/>
          <w:sz w:val="28"/>
          <w:szCs w:val="28"/>
          <w:shd w:val="clear" w:color="auto" w:fill="FFFFFF"/>
        </w:rPr>
        <w:t>Systematic review of the evidence on the social value of a child health versus adult health</w:t>
      </w:r>
    </w:p>
    <w:p w14:paraId="397B6E58" w14:textId="67C964E8" w:rsidR="003B3EE0" w:rsidRPr="009C0203" w:rsidRDefault="003B3EE0" w:rsidP="003B3EE0">
      <w:pPr>
        <w:rPr>
          <w:b/>
          <w:bCs/>
          <w:sz w:val="28"/>
          <w:szCs w:val="28"/>
        </w:rPr>
      </w:pPr>
      <w:r w:rsidRPr="009C0203">
        <w:rPr>
          <w:b/>
          <w:bCs/>
          <w:sz w:val="28"/>
          <w:szCs w:val="28"/>
        </w:rPr>
        <w:t>SUPPLEMENTARY APPENDIX II</w:t>
      </w:r>
    </w:p>
    <w:p w14:paraId="5B1507F4" w14:textId="37B85565" w:rsidR="003B3EE0" w:rsidRPr="009C0203" w:rsidRDefault="003B3EE0" w:rsidP="003B3EE0">
      <w:pPr>
        <w:rPr>
          <w:b/>
          <w:bCs/>
          <w:sz w:val="28"/>
          <w:szCs w:val="28"/>
        </w:rPr>
      </w:pPr>
      <w:r w:rsidRPr="009C0203">
        <w:rPr>
          <w:b/>
          <w:bCs/>
          <w:sz w:val="28"/>
          <w:szCs w:val="28"/>
        </w:rPr>
        <w:t>Review results overview by study type</w:t>
      </w:r>
    </w:p>
    <w:p w14:paraId="64B37353" w14:textId="77777777" w:rsidR="003B3EE0" w:rsidRDefault="003B3EE0" w:rsidP="003B3EE0"/>
    <w:sdt>
      <w:sdtPr>
        <w:rPr>
          <w:rFonts w:asciiTheme="minorHAnsi" w:eastAsiaTheme="minorHAnsi" w:hAnsiTheme="minorHAnsi" w:cstheme="minorBidi"/>
          <w:color w:val="auto"/>
          <w:sz w:val="22"/>
          <w:szCs w:val="22"/>
          <w:lang w:eastAsia="zh-CN"/>
        </w:rPr>
        <w:id w:val="-223302203"/>
        <w:docPartObj>
          <w:docPartGallery w:val="Table of Contents"/>
          <w:docPartUnique/>
        </w:docPartObj>
      </w:sdtPr>
      <w:sdtEndPr>
        <w:rPr>
          <w:b/>
          <w:bCs/>
          <w:noProof/>
        </w:rPr>
      </w:sdtEndPr>
      <w:sdtContent>
        <w:p w14:paraId="1FFC19C9" w14:textId="7EC0197B" w:rsidR="003B3EE0" w:rsidRDefault="003B3EE0">
          <w:pPr>
            <w:pStyle w:val="TOCHeading"/>
          </w:pPr>
          <w:r>
            <w:t>Contents</w:t>
          </w:r>
        </w:p>
        <w:p w14:paraId="6AB029AC" w14:textId="373C907E" w:rsidR="003B3EE0" w:rsidRDefault="003B3EE0">
          <w:pPr>
            <w:pStyle w:val="TOC2"/>
            <w:tabs>
              <w:tab w:val="right" w:leader="dot" w:pos="9350"/>
            </w:tabs>
            <w:rPr>
              <w:rFonts w:eastAsiaTheme="minorEastAsia"/>
              <w:noProof/>
              <w:lang w:eastAsia="en-US"/>
            </w:rPr>
          </w:pPr>
          <w:r>
            <w:fldChar w:fldCharType="begin"/>
          </w:r>
          <w:r>
            <w:instrText xml:space="preserve"> TOC \o "1-3" \h \z \u </w:instrText>
          </w:r>
          <w:r>
            <w:fldChar w:fldCharType="separate"/>
          </w:r>
          <w:hyperlink w:anchor="_Toc112751579" w:history="1">
            <w:r w:rsidRPr="00B8498E">
              <w:rPr>
                <w:rStyle w:val="Hyperlink"/>
                <w:noProof/>
              </w:rPr>
              <w:t>Matching studies</w:t>
            </w:r>
            <w:r>
              <w:rPr>
                <w:noProof/>
                <w:webHidden/>
              </w:rPr>
              <w:tab/>
            </w:r>
            <w:r>
              <w:rPr>
                <w:noProof/>
                <w:webHidden/>
              </w:rPr>
              <w:fldChar w:fldCharType="begin"/>
            </w:r>
            <w:r>
              <w:rPr>
                <w:noProof/>
                <w:webHidden/>
              </w:rPr>
              <w:instrText xml:space="preserve"> PAGEREF _Toc112751579 \h </w:instrText>
            </w:r>
            <w:r>
              <w:rPr>
                <w:noProof/>
                <w:webHidden/>
              </w:rPr>
            </w:r>
            <w:r>
              <w:rPr>
                <w:noProof/>
                <w:webHidden/>
              </w:rPr>
              <w:fldChar w:fldCharType="separate"/>
            </w:r>
            <w:r>
              <w:rPr>
                <w:noProof/>
                <w:webHidden/>
              </w:rPr>
              <w:t>1</w:t>
            </w:r>
            <w:r>
              <w:rPr>
                <w:noProof/>
                <w:webHidden/>
              </w:rPr>
              <w:fldChar w:fldCharType="end"/>
            </w:r>
          </w:hyperlink>
        </w:p>
        <w:p w14:paraId="033BA386" w14:textId="13AAE42F" w:rsidR="003B3EE0" w:rsidRDefault="00F41EFF">
          <w:pPr>
            <w:pStyle w:val="TOC2"/>
            <w:tabs>
              <w:tab w:val="right" w:leader="dot" w:pos="9350"/>
            </w:tabs>
            <w:rPr>
              <w:rFonts w:eastAsiaTheme="minorEastAsia"/>
              <w:noProof/>
              <w:lang w:eastAsia="en-US"/>
            </w:rPr>
          </w:pPr>
          <w:hyperlink w:anchor="_Toc112751580" w:history="1">
            <w:r w:rsidR="003B3EE0" w:rsidRPr="00B8498E">
              <w:rPr>
                <w:rStyle w:val="Hyperlink"/>
                <w:noProof/>
              </w:rPr>
              <w:t>Willingness to Pay studies</w:t>
            </w:r>
            <w:r w:rsidR="003B3EE0">
              <w:rPr>
                <w:noProof/>
                <w:webHidden/>
              </w:rPr>
              <w:tab/>
            </w:r>
            <w:r w:rsidR="003B3EE0">
              <w:rPr>
                <w:noProof/>
                <w:webHidden/>
              </w:rPr>
              <w:fldChar w:fldCharType="begin"/>
            </w:r>
            <w:r w:rsidR="003B3EE0">
              <w:rPr>
                <w:noProof/>
                <w:webHidden/>
              </w:rPr>
              <w:instrText xml:space="preserve"> PAGEREF _Toc112751580 \h </w:instrText>
            </w:r>
            <w:r w:rsidR="003B3EE0">
              <w:rPr>
                <w:noProof/>
                <w:webHidden/>
              </w:rPr>
            </w:r>
            <w:r w:rsidR="003B3EE0">
              <w:rPr>
                <w:noProof/>
                <w:webHidden/>
              </w:rPr>
              <w:fldChar w:fldCharType="separate"/>
            </w:r>
            <w:r w:rsidR="003B3EE0">
              <w:rPr>
                <w:noProof/>
                <w:webHidden/>
              </w:rPr>
              <w:t>2</w:t>
            </w:r>
            <w:r w:rsidR="003B3EE0">
              <w:rPr>
                <w:noProof/>
                <w:webHidden/>
              </w:rPr>
              <w:fldChar w:fldCharType="end"/>
            </w:r>
          </w:hyperlink>
        </w:p>
        <w:p w14:paraId="21FCFEB5" w14:textId="41E53CE5" w:rsidR="003B3EE0" w:rsidRDefault="00F41EFF">
          <w:pPr>
            <w:pStyle w:val="TOC2"/>
            <w:tabs>
              <w:tab w:val="right" w:leader="dot" w:pos="9350"/>
            </w:tabs>
            <w:rPr>
              <w:rFonts w:eastAsiaTheme="minorEastAsia"/>
              <w:noProof/>
              <w:lang w:eastAsia="en-US"/>
            </w:rPr>
          </w:pPr>
          <w:hyperlink w:anchor="_Toc112751581" w:history="1">
            <w:r w:rsidR="003B3EE0" w:rsidRPr="00B8498E">
              <w:rPr>
                <w:rStyle w:val="Hyperlink"/>
                <w:rFonts w:eastAsia="Calibri"/>
                <w:noProof/>
              </w:rPr>
              <w:t>Discrete Choice Experiments</w:t>
            </w:r>
            <w:r w:rsidR="003B3EE0">
              <w:rPr>
                <w:noProof/>
                <w:webHidden/>
              </w:rPr>
              <w:tab/>
            </w:r>
            <w:r w:rsidR="003B3EE0">
              <w:rPr>
                <w:noProof/>
                <w:webHidden/>
              </w:rPr>
              <w:fldChar w:fldCharType="begin"/>
            </w:r>
            <w:r w:rsidR="003B3EE0">
              <w:rPr>
                <w:noProof/>
                <w:webHidden/>
              </w:rPr>
              <w:instrText xml:space="preserve"> PAGEREF _Toc112751581 \h </w:instrText>
            </w:r>
            <w:r w:rsidR="003B3EE0">
              <w:rPr>
                <w:noProof/>
                <w:webHidden/>
              </w:rPr>
            </w:r>
            <w:r w:rsidR="003B3EE0">
              <w:rPr>
                <w:noProof/>
                <w:webHidden/>
              </w:rPr>
              <w:fldChar w:fldCharType="separate"/>
            </w:r>
            <w:r w:rsidR="003B3EE0">
              <w:rPr>
                <w:noProof/>
                <w:webHidden/>
              </w:rPr>
              <w:t>3</w:t>
            </w:r>
            <w:r w:rsidR="003B3EE0">
              <w:rPr>
                <w:noProof/>
                <w:webHidden/>
              </w:rPr>
              <w:fldChar w:fldCharType="end"/>
            </w:r>
          </w:hyperlink>
        </w:p>
        <w:p w14:paraId="01C433FC" w14:textId="5F2BA6E2" w:rsidR="003B3EE0" w:rsidRDefault="00F41EFF">
          <w:pPr>
            <w:pStyle w:val="TOC2"/>
            <w:tabs>
              <w:tab w:val="right" w:leader="dot" w:pos="9350"/>
            </w:tabs>
            <w:rPr>
              <w:rFonts w:eastAsiaTheme="minorEastAsia"/>
              <w:noProof/>
              <w:lang w:eastAsia="en-US"/>
            </w:rPr>
          </w:pPr>
          <w:hyperlink w:anchor="_Toc112751582" w:history="1">
            <w:r w:rsidR="003B3EE0" w:rsidRPr="00B8498E">
              <w:rPr>
                <w:rStyle w:val="Hyperlink"/>
                <w:noProof/>
              </w:rPr>
              <w:t>Opinion Survey</w:t>
            </w:r>
            <w:r w:rsidR="003B3EE0">
              <w:rPr>
                <w:noProof/>
                <w:webHidden/>
              </w:rPr>
              <w:tab/>
            </w:r>
            <w:r w:rsidR="003B3EE0">
              <w:rPr>
                <w:noProof/>
                <w:webHidden/>
              </w:rPr>
              <w:fldChar w:fldCharType="begin"/>
            </w:r>
            <w:r w:rsidR="003B3EE0">
              <w:rPr>
                <w:noProof/>
                <w:webHidden/>
              </w:rPr>
              <w:instrText xml:space="preserve"> PAGEREF _Toc112751582 \h </w:instrText>
            </w:r>
            <w:r w:rsidR="003B3EE0">
              <w:rPr>
                <w:noProof/>
                <w:webHidden/>
              </w:rPr>
            </w:r>
            <w:r w:rsidR="003B3EE0">
              <w:rPr>
                <w:noProof/>
                <w:webHidden/>
              </w:rPr>
              <w:fldChar w:fldCharType="separate"/>
            </w:r>
            <w:r w:rsidR="003B3EE0">
              <w:rPr>
                <w:noProof/>
                <w:webHidden/>
              </w:rPr>
              <w:t>4</w:t>
            </w:r>
            <w:r w:rsidR="003B3EE0">
              <w:rPr>
                <w:noProof/>
                <w:webHidden/>
              </w:rPr>
              <w:fldChar w:fldCharType="end"/>
            </w:r>
          </w:hyperlink>
        </w:p>
        <w:p w14:paraId="2575ECBE" w14:textId="5F0B06F0" w:rsidR="003B3EE0" w:rsidRDefault="003B3EE0">
          <w:r>
            <w:rPr>
              <w:b/>
              <w:bCs/>
              <w:noProof/>
            </w:rPr>
            <w:fldChar w:fldCharType="end"/>
          </w:r>
        </w:p>
      </w:sdtContent>
    </w:sdt>
    <w:p w14:paraId="5E410551" w14:textId="30E12151" w:rsidR="003B3EE0" w:rsidRDefault="003B3EE0" w:rsidP="003B3EE0">
      <w:pPr>
        <w:pStyle w:val="Heading2"/>
      </w:pPr>
      <w:bookmarkStart w:id="0" w:name="_Toc112751579"/>
      <w:r>
        <w:t>M</w:t>
      </w:r>
      <w:r w:rsidRPr="4F74F681">
        <w:t>atching studies</w:t>
      </w:r>
      <w:bookmarkEnd w:id="0"/>
    </w:p>
    <w:p w14:paraId="7F75DBE6" w14:textId="77777777" w:rsidR="003B3EE0" w:rsidRPr="00E90399" w:rsidRDefault="003B3EE0" w:rsidP="003B3EE0">
      <w:pPr>
        <w:spacing w:after="240" w:line="257" w:lineRule="auto"/>
        <w:rPr>
          <w:rFonts w:ascii="Calibri" w:eastAsia="Calibri" w:hAnsi="Calibri" w:cs="Calibri"/>
        </w:rPr>
      </w:pPr>
      <w:r w:rsidRPr="3102F867">
        <w:rPr>
          <w:rFonts w:ascii="Calibri" w:eastAsia="Calibri" w:hAnsi="Calibri" w:cs="Calibri"/>
        </w:rPr>
        <w:t>There were 12 matching studies providing 14 of our findings. In these studies</w:t>
      </w:r>
      <w:r>
        <w:rPr>
          <w:rFonts w:ascii="Calibri" w:eastAsia="Calibri" w:hAnsi="Calibri" w:cs="Calibri"/>
        </w:rPr>
        <w:t>,</w:t>
      </w:r>
      <w:r w:rsidRPr="3102F867">
        <w:rPr>
          <w:rFonts w:ascii="Calibri" w:eastAsia="Calibri" w:hAnsi="Calibri" w:cs="Calibri"/>
        </w:rPr>
        <w:t xml:space="preserve"> responders </w:t>
      </w:r>
      <w:r>
        <w:rPr>
          <w:rFonts w:ascii="Calibri" w:eastAsia="Calibri" w:hAnsi="Calibri" w:cs="Calibri"/>
        </w:rPr>
        <w:t>were</w:t>
      </w:r>
      <w:r w:rsidRPr="3102F867">
        <w:rPr>
          <w:rFonts w:ascii="Calibri" w:eastAsia="Calibri" w:hAnsi="Calibri" w:cs="Calibri"/>
        </w:rPr>
        <w:t xml:space="preserve"> asked to state the number of outcomes of one kind they consider</w:t>
      </w:r>
      <w:r>
        <w:rPr>
          <w:rFonts w:ascii="Calibri" w:eastAsia="Calibri" w:hAnsi="Calibri" w:cs="Calibri"/>
        </w:rPr>
        <w:t>ed</w:t>
      </w:r>
      <w:r w:rsidRPr="3102F867">
        <w:rPr>
          <w:rFonts w:ascii="Calibri" w:eastAsia="Calibri" w:hAnsi="Calibri" w:cs="Calibri"/>
        </w:rPr>
        <w:t xml:space="preserve"> to be just as good as a specified number of outcomes of another kind. This included six </w:t>
      </w:r>
      <w:r>
        <w:rPr>
          <w:rFonts w:ascii="Calibri" w:eastAsia="Calibri" w:hAnsi="Calibri" w:cs="Calibri"/>
        </w:rPr>
        <w:t>p</w:t>
      </w:r>
      <w:r w:rsidRPr="3102F867">
        <w:rPr>
          <w:rFonts w:ascii="Calibri" w:eastAsia="Calibri" w:hAnsi="Calibri" w:cs="Calibri"/>
        </w:rPr>
        <w:t xml:space="preserve">erson </w:t>
      </w:r>
      <w:r>
        <w:rPr>
          <w:rFonts w:ascii="Calibri" w:eastAsia="Calibri" w:hAnsi="Calibri" w:cs="Calibri"/>
        </w:rPr>
        <w:t>t</w:t>
      </w:r>
      <w:r w:rsidRPr="3102F867">
        <w:rPr>
          <w:rFonts w:ascii="Calibri" w:eastAsia="Calibri" w:hAnsi="Calibri" w:cs="Calibri"/>
        </w:rPr>
        <w:t>rade</w:t>
      </w:r>
      <w:r>
        <w:rPr>
          <w:rFonts w:ascii="Calibri" w:eastAsia="Calibri" w:hAnsi="Calibri" w:cs="Calibri"/>
        </w:rPr>
        <w:t>-o</w:t>
      </w:r>
      <w:r w:rsidRPr="3102F867">
        <w:rPr>
          <w:rFonts w:ascii="Calibri" w:eastAsia="Calibri" w:hAnsi="Calibri" w:cs="Calibri"/>
        </w:rPr>
        <w:t>ff (PTO) studies in which the</w:t>
      </w:r>
      <w:r w:rsidRPr="3102F867">
        <w:rPr>
          <w:rFonts w:ascii="Calibri" w:eastAsia="Calibri" w:hAnsi="Calibri" w:cs="Calibri"/>
          <w:color w:val="000000" w:themeColor="text1"/>
        </w:rPr>
        <w:t xml:space="preserve"> number of people in one group of a stated age compared to the number of people in another group of a different age, both of which receive</w:t>
      </w:r>
      <w:r>
        <w:rPr>
          <w:rFonts w:ascii="Calibri" w:eastAsia="Calibri" w:hAnsi="Calibri" w:cs="Calibri"/>
          <w:color w:val="000000" w:themeColor="text1"/>
        </w:rPr>
        <w:t>d</w:t>
      </w:r>
      <w:r w:rsidRPr="3102F867">
        <w:rPr>
          <w:rFonts w:ascii="Calibri" w:eastAsia="Calibri" w:hAnsi="Calibri" w:cs="Calibri"/>
          <w:color w:val="000000" w:themeColor="text1"/>
        </w:rPr>
        <w:t xml:space="preserve"> the same treatment or health gain (Nord, 1995). Five studies used a related </w:t>
      </w:r>
      <w:r>
        <w:rPr>
          <w:rFonts w:ascii="Calibri" w:eastAsia="Calibri" w:hAnsi="Calibri" w:cs="Calibri"/>
          <w:color w:val="000000" w:themeColor="text1"/>
        </w:rPr>
        <w:t xml:space="preserve">gain trade off (GTO) </w:t>
      </w:r>
      <w:r w:rsidRPr="3102F867">
        <w:rPr>
          <w:rFonts w:ascii="Calibri" w:eastAsia="Calibri" w:hAnsi="Calibri" w:cs="Calibri"/>
          <w:color w:val="000000" w:themeColor="text1"/>
        </w:rPr>
        <w:t xml:space="preserve">approach of varying the health gain between </w:t>
      </w:r>
      <w:r>
        <w:rPr>
          <w:rFonts w:ascii="Calibri" w:eastAsia="Calibri" w:hAnsi="Calibri" w:cs="Calibri"/>
          <w:color w:val="000000" w:themeColor="text1"/>
        </w:rPr>
        <w:t xml:space="preserve">similar sized </w:t>
      </w:r>
      <w:r w:rsidRPr="3102F867">
        <w:rPr>
          <w:rFonts w:ascii="Calibri" w:eastAsia="Calibri" w:hAnsi="Calibri" w:cs="Calibri"/>
          <w:color w:val="000000" w:themeColor="text1"/>
        </w:rPr>
        <w:t xml:space="preserve">groups of different ages until the perceived value of the benefit </w:t>
      </w:r>
      <w:r>
        <w:rPr>
          <w:rFonts w:ascii="Calibri" w:eastAsia="Calibri" w:hAnsi="Calibri" w:cs="Calibri"/>
          <w:color w:val="000000" w:themeColor="text1"/>
        </w:rPr>
        <w:t>was</w:t>
      </w:r>
      <w:r w:rsidRPr="3102F867">
        <w:rPr>
          <w:rFonts w:ascii="Calibri" w:eastAsia="Calibri" w:hAnsi="Calibri" w:cs="Calibri"/>
          <w:color w:val="000000" w:themeColor="text1"/>
        </w:rPr>
        <w:t xml:space="preserve"> equivalent </w:t>
      </w:r>
    </w:p>
    <w:p w14:paraId="678200D6" w14:textId="77777777" w:rsidR="003B3EE0" w:rsidRDefault="003B3EE0" w:rsidP="003B3EE0">
      <w:pPr>
        <w:spacing w:after="240" w:line="257" w:lineRule="auto"/>
        <w:rPr>
          <w:rFonts w:ascii="Calibri" w:eastAsia="Calibri" w:hAnsi="Calibri" w:cs="Calibri"/>
          <w:color w:val="000000" w:themeColor="text1"/>
        </w:rPr>
      </w:pPr>
      <w:r w:rsidRPr="15213910">
        <w:rPr>
          <w:rFonts w:ascii="Calibri" w:eastAsia="Calibri" w:hAnsi="Calibri" w:cs="Calibri"/>
          <w:color w:val="000000" w:themeColor="text1"/>
        </w:rPr>
        <w:t>For most matching studies</w:t>
      </w:r>
      <w:r>
        <w:rPr>
          <w:rFonts w:ascii="Calibri" w:eastAsia="Calibri" w:hAnsi="Calibri" w:cs="Calibri"/>
          <w:color w:val="000000" w:themeColor="text1"/>
        </w:rPr>
        <w:t>,</w:t>
      </w:r>
      <w:r w:rsidRPr="15213910">
        <w:rPr>
          <w:rFonts w:ascii="Calibri" w:eastAsia="Calibri" w:hAnsi="Calibri" w:cs="Calibri"/>
          <w:color w:val="000000" w:themeColor="text1"/>
        </w:rPr>
        <w:t xml:space="preserve"> the only difference between the patient groups </w:t>
      </w:r>
      <w:r>
        <w:rPr>
          <w:rFonts w:ascii="Calibri" w:eastAsia="Calibri" w:hAnsi="Calibri" w:cs="Calibri"/>
          <w:color w:val="000000" w:themeColor="text1"/>
        </w:rPr>
        <w:t>was</w:t>
      </w:r>
      <w:r w:rsidRPr="15213910">
        <w:rPr>
          <w:rFonts w:ascii="Calibri" w:eastAsia="Calibri" w:hAnsi="Calibri" w:cs="Calibri"/>
          <w:color w:val="000000" w:themeColor="text1"/>
        </w:rPr>
        <w:t xml:space="preserve"> age. Reckers-Droog (2019) and Baker (2010) var</w:t>
      </w:r>
      <w:r>
        <w:rPr>
          <w:rFonts w:ascii="Calibri" w:eastAsia="Calibri" w:hAnsi="Calibri" w:cs="Calibri"/>
          <w:color w:val="000000" w:themeColor="text1"/>
        </w:rPr>
        <w:t>ied</w:t>
      </w:r>
      <w:r w:rsidRPr="15213910">
        <w:rPr>
          <w:rFonts w:ascii="Calibri" w:eastAsia="Calibri" w:hAnsi="Calibri" w:cs="Calibri"/>
          <w:color w:val="000000" w:themeColor="text1"/>
        </w:rPr>
        <w:t xml:space="preserve"> both age and severity of health condition within the trade-offs. Richardson et al., 2017 adopt</w:t>
      </w:r>
      <w:r>
        <w:rPr>
          <w:rFonts w:ascii="Calibri" w:eastAsia="Calibri" w:hAnsi="Calibri" w:cs="Calibri"/>
          <w:color w:val="000000" w:themeColor="text1"/>
        </w:rPr>
        <w:t>ed</w:t>
      </w:r>
      <w:r w:rsidRPr="15213910">
        <w:rPr>
          <w:rFonts w:ascii="Calibri" w:eastAsia="Calibri" w:hAnsi="Calibri" w:cs="Calibri"/>
          <w:color w:val="000000" w:themeColor="text1"/>
        </w:rPr>
        <w:t xml:space="preserve"> a slightly different approach and ask</w:t>
      </w:r>
      <w:r>
        <w:rPr>
          <w:rFonts w:ascii="Calibri" w:eastAsia="Calibri" w:hAnsi="Calibri" w:cs="Calibri"/>
          <w:color w:val="000000" w:themeColor="text1"/>
        </w:rPr>
        <w:t>ed</w:t>
      </w:r>
      <w:r w:rsidRPr="15213910">
        <w:rPr>
          <w:rFonts w:ascii="Calibri" w:eastAsia="Calibri" w:hAnsi="Calibri" w:cs="Calibri"/>
          <w:color w:val="000000" w:themeColor="text1"/>
        </w:rPr>
        <w:t xml:space="preserve"> respondents to allocate a fixed monetary amount between patient groups </w:t>
      </w:r>
      <w:r>
        <w:rPr>
          <w:rFonts w:ascii="Calibri" w:eastAsia="Calibri" w:hAnsi="Calibri" w:cs="Calibri"/>
          <w:color w:val="000000" w:themeColor="text1"/>
        </w:rPr>
        <w:t>that differed</w:t>
      </w:r>
      <w:r w:rsidRPr="15213910">
        <w:rPr>
          <w:rFonts w:ascii="Calibri" w:eastAsia="Calibri" w:hAnsi="Calibri" w:cs="Calibri"/>
          <w:color w:val="000000" w:themeColor="text1"/>
        </w:rPr>
        <w:t xml:space="preserve"> in both age and type of gain (years of life, mental health improvement or physical health improvement). Nord (1996) ask</w:t>
      </w:r>
      <w:r>
        <w:rPr>
          <w:rFonts w:ascii="Calibri" w:eastAsia="Calibri" w:hAnsi="Calibri" w:cs="Calibri"/>
          <w:color w:val="000000" w:themeColor="text1"/>
        </w:rPr>
        <w:t>ed</w:t>
      </w:r>
      <w:r w:rsidRPr="15213910">
        <w:rPr>
          <w:rFonts w:ascii="Calibri" w:eastAsia="Calibri" w:hAnsi="Calibri" w:cs="Calibri"/>
          <w:color w:val="000000" w:themeColor="text1"/>
        </w:rPr>
        <w:t xml:space="preserve"> repeated questions with </w:t>
      </w:r>
      <w:r>
        <w:rPr>
          <w:rFonts w:ascii="Calibri" w:eastAsia="Calibri" w:hAnsi="Calibri" w:cs="Calibri"/>
          <w:color w:val="000000" w:themeColor="text1"/>
        </w:rPr>
        <w:t xml:space="preserve">a </w:t>
      </w:r>
      <w:r w:rsidRPr="15213910">
        <w:rPr>
          <w:rFonts w:ascii="Calibri" w:eastAsia="Calibri" w:hAnsi="Calibri" w:cs="Calibri"/>
          <w:color w:val="000000" w:themeColor="text1"/>
        </w:rPr>
        <w:t xml:space="preserve">slightly different context, some framed as improvements in quality of life others as length of life. </w:t>
      </w:r>
    </w:p>
    <w:p w14:paraId="0166FC5F" w14:textId="77777777" w:rsidR="003B3EE0" w:rsidRPr="00351EB2" w:rsidRDefault="003B3EE0" w:rsidP="003B3EE0">
      <w:pPr>
        <w:spacing w:after="240"/>
      </w:pPr>
      <w:r w:rsidRPr="00351EB2">
        <w:t>Matching studies f</w:t>
      </w:r>
      <w:r>
        <w:t>ou</w:t>
      </w:r>
      <w:r w:rsidRPr="00351EB2">
        <w:t xml:space="preserve">nd that older adults are consistently </w:t>
      </w:r>
      <w:proofErr w:type="spellStart"/>
      <w:r w:rsidRPr="00351EB2">
        <w:t>disfavoured</w:t>
      </w:r>
      <w:proofErr w:type="spellEnd"/>
      <w:r w:rsidRPr="00351EB2">
        <w:t>, often with very low weights for older (60+ adults)</w:t>
      </w:r>
      <w:r>
        <w:t>];</w:t>
      </w:r>
      <w:r w:rsidRPr="00351EB2">
        <w:t xml:space="preserve"> however, there is variability in the weight attached to children and younger adults.  </w:t>
      </w:r>
      <w:r>
        <w:t>Over two thirds</w:t>
      </w:r>
      <w:r w:rsidRPr="00351EB2">
        <w:t xml:space="preserve"> of the matching studies</w:t>
      </w:r>
      <w:r>
        <w:t xml:space="preserve"> (10/14)</w:t>
      </w:r>
      <w:r w:rsidRPr="00351EB2">
        <w:t xml:space="preserve"> f</w:t>
      </w:r>
      <w:r>
        <w:t>ou</w:t>
      </w:r>
      <w:r w:rsidRPr="00351EB2">
        <w:t xml:space="preserve">nd that respondents </w:t>
      </w:r>
      <w:proofErr w:type="spellStart"/>
      <w:r w:rsidRPr="00351EB2">
        <w:t>favour</w:t>
      </w:r>
      <w:r>
        <w:t>ed</w:t>
      </w:r>
      <w:proofErr w:type="spellEnd"/>
      <w:r w:rsidRPr="00351EB2">
        <w:t xml:space="preserve"> children</w:t>
      </w:r>
      <w:r>
        <w:t>;</w:t>
      </w:r>
      <w:r w:rsidRPr="00351EB2">
        <w:t xml:space="preserve"> </w:t>
      </w:r>
      <w:r>
        <w:t>3</w:t>
      </w:r>
      <w:r w:rsidRPr="00351EB2">
        <w:t xml:space="preserve"> of the 1</w:t>
      </w:r>
      <w:r>
        <w:t>4</w:t>
      </w:r>
      <w:r w:rsidRPr="00351EB2">
        <w:t xml:space="preserve"> </w:t>
      </w:r>
      <w:r>
        <w:t xml:space="preserve">findings </w:t>
      </w:r>
      <w:r w:rsidRPr="00351EB2">
        <w:t>suggest</w:t>
      </w:r>
      <w:r>
        <w:t>ed</w:t>
      </w:r>
      <w:r w:rsidRPr="00351EB2">
        <w:t xml:space="preserve"> a greater weight to young adults</w:t>
      </w:r>
      <w:r>
        <w:t xml:space="preserve"> than children</w:t>
      </w:r>
      <w:r w:rsidRPr="00351EB2">
        <w:t xml:space="preserve"> (</w:t>
      </w:r>
      <w:r w:rsidRPr="00351EB2">
        <w:rPr>
          <w:rStyle w:val="normaltextrun"/>
          <w:rFonts w:ascii="Calibri" w:hAnsi="Calibri"/>
          <w:color w:val="000000"/>
          <w:shd w:val="clear" w:color="auto" w:fill="FFFFFF"/>
        </w:rPr>
        <w:t>Rodríguez, 2000;</w:t>
      </w:r>
      <w:r w:rsidRPr="00351EB2">
        <w:rPr>
          <w:rStyle w:val="eop"/>
          <w:rFonts w:ascii="Calibri" w:hAnsi="Calibri"/>
          <w:color w:val="000000"/>
          <w:shd w:val="clear" w:color="auto" w:fill="FFFFFF"/>
        </w:rPr>
        <w:t> </w:t>
      </w:r>
      <w:proofErr w:type="spellStart"/>
      <w:r w:rsidRPr="00351EB2">
        <w:rPr>
          <w:rStyle w:val="normaltextrun"/>
          <w:rFonts w:ascii="Calibri" w:hAnsi="Calibri"/>
          <w:color w:val="000000"/>
          <w:shd w:val="clear" w:color="auto" w:fill="FFFFFF"/>
        </w:rPr>
        <w:t>Maestad</w:t>
      </w:r>
      <w:proofErr w:type="spellEnd"/>
      <w:r w:rsidRPr="00351EB2">
        <w:rPr>
          <w:rStyle w:val="normaltextrun"/>
          <w:rFonts w:ascii="Calibri" w:hAnsi="Calibri"/>
          <w:color w:val="000000"/>
          <w:shd w:val="clear" w:color="auto" w:fill="FFFFFF"/>
        </w:rPr>
        <w:t>, 2009</w:t>
      </w:r>
      <w:r w:rsidRPr="00351EB2">
        <w:rPr>
          <w:rStyle w:val="eop"/>
          <w:rFonts w:ascii="Calibri" w:hAnsi="Calibri"/>
          <w:color w:val="000000"/>
          <w:shd w:val="clear" w:color="auto" w:fill="FFFFFF"/>
        </w:rPr>
        <w:t xml:space="preserve">; </w:t>
      </w:r>
      <w:r w:rsidRPr="00351EB2">
        <w:rPr>
          <w:rStyle w:val="normaltextrun"/>
          <w:rFonts w:ascii="Calibri" w:hAnsi="Calibri"/>
          <w:color w:val="000000"/>
          <w:shd w:val="clear" w:color="auto" w:fill="FFFFFF"/>
        </w:rPr>
        <w:t>Baker, 2010</w:t>
      </w:r>
      <w:r w:rsidRPr="00351EB2">
        <w:rPr>
          <w:rStyle w:val="eop"/>
          <w:rFonts w:ascii="Calibri" w:hAnsi="Calibri"/>
          <w:color w:val="000000"/>
          <w:shd w:val="clear" w:color="auto" w:fill="FFFFFF"/>
        </w:rPr>
        <w:t>), and one study (Tsuchiya</w:t>
      </w:r>
      <w:r>
        <w:rPr>
          <w:rStyle w:val="eop"/>
          <w:rFonts w:ascii="Calibri" w:hAnsi="Calibri"/>
          <w:color w:val="000000"/>
          <w:shd w:val="clear" w:color="auto" w:fill="FFFFFF"/>
        </w:rPr>
        <w:t>,</w:t>
      </w:r>
      <w:r w:rsidRPr="00351EB2">
        <w:rPr>
          <w:rStyle w:val="eop"/>
          <w:rFonts w:ascii="Calibri" w:hAnsi="Calibri"/>
          <w:color w:val="000000"/>
          <w:shd w:val="clear" w:color="auto" w:fill="FFFFFF"/>
        </w:rPr>
        <w:t xml:space="preserve"> 2001) </w:t>
      </w:r>
      <w:r>
        <w:rPr>
          <w:rStyle w:val="eop"/>
          <w:rFonts w:ascii="Calibri" w:hAnsi="Calibri"/>
          <w:color w:val="000000"/>
          <w:shd w:val="clear" w:color="auto" w:fill="FFFFFF"/>
        </w:rPr>
        <w:t>had</w:t>
      </w:r>
      <w:r w:rsidRPr="00351EB2">
        <w:rPr>
          <w:rStyle w:val="eop"/>
          <w:rFonts w:ascii="Calibri" w:hAnsi="Calibri"/>
          <w:color w:val="000000"/>
          <w:shd w:val="clear" w:color="auto" w:fill="FFFFFF"/>
        </w:rPr>
        <w:t xml:space="preserve"> mixed results which </w:t>
      </w:r>
      <w:r>
        <w:rPr>
          <w:rStyle w:val="eop"/>
          <w:rFonts w:ascii="Calibri" w:hAnsi="Calibri"/>
          <w:color w:val="000000"/>
          <w:shd w:val="clear" w:color="auto" w:fill="FFFFFF"/>
        </w:rPr>
        <w:t xml:space="preserve">suggested lower priority towards </w:t>
      </w:r>
      <w:r w:rsidRPr="00351EB2">
        <w:rPr>
          <w:rStyle w:val="eop"/>
          <w:rFonts w:ascii="Calibri" w:hAnsi="Calibri"/>
          <w:color w:val="000000"/>
          <w:shd w:val="clear" w:color="auto" w:fill="FFFFFF"/>
        </w:rPr>
        <w:t xml:space="preserve">older adults but no clear finding relating to children. </w:t>
      </w:r>
    </w:p>
    <w:p w14:paraId="66EC67D4" w14:textId="77777777" w:rsidR="003B3EE0" w:rsidRPr="00CC62AA" w:rsidRDefault="003B3EE0" w:rsidP="003B3EE0">
      <w:pPr>
        <w:spacing w:after="240"/>
      </w:pPr>
      <w:r>
        <w:t xml:space="preserve">Of the findings relating to comparisons </w:t>
      </w:r>
      <w:r w:rsidRPr="3102F867">
        <w:rPr>
          <w:rFonts w:ascii="Calibri" w:eastAsia="Calibri" w:hAnsi="Calibri" w:cs="Calibri"/>
        </w:rPr>
        <w:t>between child</w:t>
      </w:r>
      <w:r>
        <w:rPr>
          <w:rFonts w:ascii="Calibri" w:eastAsia="Calibri" w:hAnsi="Calibri" w:cs="Calibri"/>
        </w:rPr>
        <w:t xml:space="preserve">ren of different </w:t>
      </w:r>
      <w:r w:rsidRPr="3102F867">
        <w:rPr>
          <w:rFonts w:ascii="Calibri" w:eastAsia="Calibri" w:hAnsi="Calibri" w:cs="Calibri"/>
        </w:rPr>
        <w:t>ages,</w:t>
      </w:r>
      <w:r>
        <w:t xml:space="preserve"> most (5 out of 7) found a lower weight was given to very young children. This included length of life extensions for newborns or babies (</w:t>
      </w:r>
      <w:proofErr w:type="spellStart"/>
      <w:r>
        <w:t>Petrou</w:t>
      </w:r>
      <w:proofErr w:type="spellEnd"/>
      <w:r>
        <w:t xml:space="preserve">, 2013; </w:t>
      </w:r>
      <w:proofErr w:type="spellStart"/>
      <w:r>
        <w:t>Maestad</w:t>
      </w:r>
      <w:proofErr w:type="spellEnd"/>
      <w:r>
        <w:t xml:space="preserve"> 09; </w:t>
      </w:r>
      <w:r w:rsidRPr="3102F867">
        <w:rPr>
          <w:rFonts w:ascii="Calibri" w:eastAsia="Calibri" w:hAnsi="Calibri" w:cs="Calibri"/>
          <w:color w:val="000000" w:themeColor="text1"/>
        </w:rPr>
        <w:t>Rodríguez, 2020</w:t>
      </w:r>
      <w:r>
        <w:t>) or quality of life improvement for 5-year-olds (</w:t>
      </w:r>
      <w:proofErr w:type="spellStart"/>
      <w:r w:rsidRPr="3102F867">
        <w:rPr>
          <w:rFonts w:ascii="Calibri" w:eastAsia="Calibri" w:hAnsi="Calibri" w:cs="Calibri"/>
          <w:color w:val="000000" w:themeColor="text1"/>
        </w:rPr>
        <w:t>Busschbach</w:t>
      </w:r>
      <w:proofErr w:type="spellEnd"/>
      <w:r w:rsidRPr="3102F867">
        <w:rPr>
          <w:rFonts w:ascii="Calibri" w:eastAsia="Calibri" w:hAnsi="Calibri" w:cs="Calibri"/>
          <w:color w:val="000000" w:themeColor="text1"/>
        </w:rPr>
        <w:t>, 1993)</w:t>
      </w:r>
      <w:r>
        <w:t xml:space="preserve">. Richardson (2017) and Tsuchiya (2001) found diverse views on this topic.  </w:t>
      </w:r>
    </w:p>
    <w:p w14:paraId="16582D60" w14:textId="57877270" w:rsidR="003B3EE0" w:rsidRDefault="003B3EE0" w:rsidP="003B3EE0">
      <w:pPr>
        <w:spacing w:after="240" w:line="257" w:lineRule="auto"/>
        <w:rPr>
          <w:rFonts w:ascii="Calibri" w:eastAsia="Calibri" w:hAnsi="Calibri" w:cs="Calibri"/>
        </w:rPr>
      </w:pPr>
      <w:r w:rsidRPr="15213910">
        <w:rPr>
          <w:rFonts w:ascii="Calibri" w:eastAsia="Calibri" w:hAnsi="Calibri" w:cs="Calibri"/>
        </w:rPr>
        <w:lastRenderedPageBreak/>
        <w:t>Eight of the findings from matching studies involve</w:t>
      </w:r>
      <w:r>
        <w:rPr>
          <w:rFonts w:ascii="Calibri" w:eastAsia="Calibri" w:hAnsi="Calibri" w:cs="Calibri"/>
        </w:rPr>
        <w:t>d</w:t>
      </w:r>
      <w:r w:rsidRPr="15213910">
        <w:rPr>
          <w:rFonts w:ascii="Calibri" w:eastAsia="Calibri" w:hAnsi="Calibri" w:cs="Calibri"/>
        </w:rPr>
        <w:t xml:space="preserve"> a HRQoL gain with six framing the gain around years of life.  There</w:t>
      </w:r>
      <w:r>
        <w:rPr>
          <w:rFonts w:ascii="Calibri" w:eastAsia="Calibri" w:hAnsi="Calibri" w:cs="Calibri"/>
        </w:rPr>
        <w:t xml:space="preserve"> was</w:t>
      </w:r>
      <w:r w:rsidRPr="15213910">
        <w:rPr>
          <w:rFonts w:ascii="Calibri" w:eastAsia="Calibri" w:hAnsi="Calibri" w:cs="Calibri"/>
        </w:rPr>
        <w:t xml:space="preserve"> no clear pattern in the difference between improvements in length of life versus HRQoL either within studies where both framings </w:t>
      </w:r>
      <w:r>
        <w:rPr>
          <w:rFonts w:ascii="Calibri" w:eastAsia="Calibri" w:hAnsi="Calibri" w:cs="Calibri"/>
        </w:rPr>
        <w:t>we</w:t>
      </w:r>
      <w:r w:rsidRPr="15213910">
        <w:rPr>
          <w:rFonts w:ascii="Calibri" w:eastAsia="Calibri" w:hAnsi="Calibri" w:cs="Calibri"/>
        </w:rPr>
        <w:t>re included (</w:t>
      </w:r>
      <w:bookmarkStart w:id="1" w:name="_Int_ClEN5gVx"/>
      <w:r w:rsidRPr="15213910">
        <w:rPr>
          <w:rFonts w:ascii="Calibri" w:eastAsia="Calibri" w:hAnsi="Calibri" w:cs="Calibri"/>
        </w:rPr>
        <w:t>e.g.</w:t>
      </w:r>
      <w:bookmarkEnd w:id="1"/>
      <w:r w:rsidRPr="15213910">
        <w:rPr>
          <w:rFonts w:ascii="Calibri" w:eastAsia="Calibri" w:hAnsi="Calibri" w:cs="Calibri"/>
        </w:rPr>
        <w:t xml:space="preserve"> Nord 1996; Richardson 2017) or between studies. The studies using additional years of life consider</w:t>
      </w:r>
      <w:r>
        <w:rPr>
          <w:rFonts w:ascii="Calibri" w:eastAsia="Calibri" w:hAnsi="Calibri" w:cs="Calibri"/>
        </w:rPr>
        <w:t>ed</w:t>
      </w:r>
      <w:r w:rsidRPr="15213910">
        <w:rPr>
          <w:rFonts w:ascii="Calibri" w:eastAsia="Calibri" w:hAnsi="Calibri" w:cs="Calibri"/>
        </w:rPr>
        <w:t xml:space="preserve"> gains ranging from an additional 1 year (Reckers-Droog, 2018) up to 40 years (Rodriguez 2020) during which time the patients </w:t>
      </w:r>
      <w:r>
        <w:rPr>
          <w:rFonts w:ascii="Calibri" w:eastAsia="Calibri" w:hAnsi="Calibri" w:cs="Calibri"/>
        </w:rPr>
        <w:t xml:space="preserve">within the groups </w:t>
      </w:r>
      <w:r w:rsidRPr="15213910">
        <w:rPr>
          <w:rFonts w:ascii="Calibri" w:eastAsia="Calibri" w:hAnsi="Calibri" w:cs="Calibri"/>
        </w:rPr>
        <w:t>would have aged</w:t>
      </w:r>
      <w:r>
        <w:rPr>
          <w:rFonts w:ascii="Calibri" w:eastAsia="Calibri" w:hAnsi="Calibri" w:cs="Calibri"/>
        </w:rPr>
        <w:t>.</w:t>
      </w:r>
      <w:r w:rsidRPr="15213910">
        <w:rPr>
          <w:rFonts w:ascii="Calibri" w:eastAsia="Calibri" w:hAnsi="Calibri" w:cs="Calibri"/>
        </w:rPr>
        <w:t xml:space="preserve"> </w:t>
      </w:r>
      <w:r>
        <w:rPr>
          <w:rFonts w:ascii="Calibri" w:eastAsia="Calibri" w:hAnsi="Calibri" w:cs="Calibri"/>
        </w:rPr>
        <w:t>H</w:t>
      </w:r>
      <w:r w:rsidRPr="15213910">
        <w:rPr>
          <w:rFonts w:ascii="Calibri" w:eastAsia="Calibri" w:hAnsi="Calibri" w:cs="Calibri"/>
        </w:rPr>
        <w:t xml:space="preserve">owever, </w:t>
      </w:r>
      <w:r w:rsidR="006369C0">
        <w:rPr>
          <w:rFonts w:ascii="Calibri" w:eastAsia="Calibri" w:hAnsi="Calibri" w:cs="Calibri"/>
        </w:rPr>
        <w:t xml:space="preserve">it is not clear what respondents focus on when patients of a stated age gain years of life. For example, if a 10 year old gains 3 years of life do respondents always think about a 10 year old or do they consider a 10, 11, and 12 year old? No studies </w:t>
      </w:r>
      <w:r w:rsidRPr="15213910">
        <w:rPr>
          <w:rFonts w:ascii="Calibri" w:eastAsia="Calibri" w:hAnsi="Calibri" w:cs="Calibri"/>
        </w:rPr>
        <w:t xml:space="preserve">with duration gains above 1 year </w:t>
      </w:r>
      <w:r w:rsidR="006369C0">
        <w:rPr>
          <w:rFonts w:ascii="Calibri" w:eastAsia="Calibri" w:hAnsi="Calibri" w:cs="Calibri"/>
        </w:rPr>
        <w:t>explored this issue</w:t>
      </w:r>
      <w:r w:rsidRPr="15213910">
        <w:rPr>
          <w:rFonts w:ascii="Calibri" w:eastAsia="Calibri" w:hAnsi="Calibri" w:cs="Calibri"/>
        </w:rPr>
        <w:t>.</w:t>
      </w:r>
    </w:p>
    <w:p w14:paraId="4FD17665" w14:textId="77777777" w:rsidR="003B3EE0" w:rsidRDefault="003B3EE0" w:rsidP="003B3EE0">
      <w:pPr>
        <w:spacing w:after="240"/>
      </w:pPr>
      <w:r>
        <w:t>Most matching studies report results using means. Some studies found substantial differences between results based on calculations using the ratio of the means compared with the median of the ratios (</w:t>
      </w:r>
      <w:bookmarkStart w:id="2" w:name="_Int_7L34ylz8"/>
      <w:r>
        <w:t>e.g.</w:t>
      </w:r>
      <w:bookmarkEnd w:id="2"/>
      <w:r>
        <w:t xml:space="preserve"> Reckers-Droog, 2019). When asking repeated dichotomous matching questions, most adopted a process by which the respondent’s least preferred group was held constant in terms of number of people benefiting and the number of beneficiaries in the preferred group was reduced. Two studies (</w:t>
      </w:r>
      <w:proofErr w:type="spellStart"/>
      <w:r>
        <w:t>Jelmsa</w:t>
      </w:r>
      <w:proofErr w:type="spellEnd"/>
      <w:r>
        <w:t xml:space="preserve">, 2002 and </w:t>
      </w:r>
      <w:proofErr w:type="spellStart"/>
      <w:r>
        <w:t>Reckers-Droog</w:t>
      </w:r>
      <w:proofErr w:type="spellEnd"/>
      <w:r>
        <w:t>, 2019) held the most preferred group constant and for subsequent choices increased the number of beneficiaries in the least preferred group. Both these studies have results with a long tail of values resulting in the authors recommending a focus on the results for medians or trimmed means.</w:t>
      </w:r>
    </w:p>
    <w:p w14:paraId="31B7D536" w14:textId="77777777" w:rsidR="003B3EE0" w:rsidRDefault="003B3EE0" w:rsidP="003B3EE0">
      <w:pPr>
        <w:spacing w:after="240"/>
        <w:rPr>
          <w:rFonts w:ascii="Calibri" w:eastAsia="Calibri" w:hAnsi="Calibri" w:cs="Calibri"/>
        </w:rPr>
      </w:pPr>
      <w:r>
        <w:t xml:space="preserve">About half of the matching studies forced the initial choice between groups, thereby not allowing respondents to express equivalence of value between the two age groups. Although we might expect this to result in potential framing effects, the variability in methods across studies makes it difficult to see any clear pattern between the findings from forced versus unforced initial choices. </w:t>
      </w:r>
    </w:p>
    <w:p w14:paraId="747B4E42" w14:textId="77777777" w:rsidR="003B3EE0" w:rsidRDefault="003B3EE0" w:rsidP="003B3EE0">
      <w:pPr>
        <w:spacing w:after="240"/>
        <w:rPr>
          <w:rFonts w:ascii="Calibri" w:eastAsia="Calibri" w:hAnsi="Calibri" w:cs="Calibri"/>
        </w:rPr>
      </w:pPr>
      <w:r w:rsidRPr="15213910">
        <w:rPr>
          <w:rFonts w:ascii="Calibri" w:eastAsia="Calibri" w:hAnsi="Calibri" w:cs="Calibri"/>
        </w:rPr>
        <w:t>Previous work has identified order effects relating to numerical anchoring and the order of questions influencing the moral values that are salient to respondents (Ubel et al, 2002) however, it was not possible to identify any impact of order effects on the relative weights between children and adults.</w:t>
      </w:r>
    </w:p>
    <w:p w14:paraId="39762B6B" w14:textId="41588F2B" w:rsidR="003B3EE0" w:rsidRDefault="003B3EE0" w:rsidP="003B3EE0">
      <w:pPr>
        <w:spacing w:after="240" w:line="257" w:lineRule="auto"/>
      </w:pPr>
      <w:r w:rsidRPr="15213910">
        <w:rPr>
          <w:rFonts w:ascii="Calibri" w:eastAsia="Calibri" w:hAnsi="Calibri" w:cs="Calibri"/>
        </w:rPr>
        <w:t>Most PTO studies involved questions with groups of 100 (Baker, Eisenburg, Recker-Droog) or 10 patients (Jemsa</w:t>
      </w:r>
      <w:r w:rsidR="00B337AD">
        <w:rPr>
          <w:rFonts w:ascii="Calibri" w:eastAsia="Calibri" w:hAnsi="Calibri" w:cs="Calibri"/>
        </w:rPr>
        <w:t xml:space="preserve"> 2002</w:t>
      </w:r>
      <w:r w:rsidRPr="15213910">
        <w:rPr>
          <w:rFonts w:ascii="Calibri" w:eastAsia="Calibri" w:hAnsi="Calibri" w:cs="Calibri"/>
        </w:rPr>
        <w:t>, Nord</w:t>
      </w:r>
      <w:r w:rsidR="00B337AD">
        <w:rPr>
          <w:rFonts w:ascii="Calibri" w:eastAsia="Calibri" w:hAnsi="Calibri" w:cs="Calibri"/>
        </w:rPr>
        <w:t xml:space="preserve"> 1996</w:t>
      </w:r>
      <w:r w:rsidRPr="15213910">
        <w:rPr>
          <w:rFonts w:ascii="Calibri" w:eastAsia="Calibri" w:hAnsi="Calibri" w:cs="Calibri"/>
        </w:rPr>
        <w:t>); Petrou (2013) tested the impact of a PTO with 100 versus 1000 people and found this to have minimal impact upon the estimated weights.</w:t>
      </w:r>
    </w:p>
    <w:p w14:paraId="056C8204" w14:textId="77777777" w:rsidR="003B3EE0" w:rsidRDefault="003B3EE0" w:rsidP="003B3EE0">
      <w:pPr>
        <w:pStyle w:val="Heading2"/>
      </w:pPr>
      <w:bookmarkStart w:id="3" w:name="_Toc112751580"/>
      <w:r w:rsidRPr="5DAED4A4">
        <w:t>W</w:t>
      </w:r>
      <w:r>
        <w:t xml:space="preserve">illingness to Pay </w:t>
      </w:r>
      <w:r w:rsidRPr="5DAED4A4">
        <w:t>studies</w:t>
      </w:r>
      <w:bookmarkEnd w:id="3"/>
    </w:p>
    <w:p w14:paraId="2EC47446" w14:textId="77777777" w:rsidR="003B3EE0" w:rsidRDefault="003B3EE0" w:rsidP="003B3EE0">
      <w:pPr>
        <w:spacing w:after="240"/>
      </w:pPr>
      <w:r>
        <w:t xml:space="preserve">There were nine studies that estimated WTP without a DCE design providing 13 findings. Nine of these findings showed a greater willingness to pay to avoid ill health in children with respondents willing to pay around 1.5 to 3 times as much to protect the health of children compared with that of adults (which in most cases referred to the respondent themselves). Most of these relied upon responses to WTP questions relating to avoiding a temporary health condition for the respondent compared with avoiding the same condition for the respondent’s child, or in the case of Prosser (2011 and 2005) a hypothetical relative of a similar age to an actual child relative. Prosser (2011), in both the WTP and the TTO questions, found mixed results with differences between mean and median results. Prosser (2005) found that the older children (14 years) were </w:t>
      </w:r>
      <w:proofErr w:type="spellStart"/>
      <w:r>
        <w:t>favoured</w:t>
      </w:r>
      <w:proofErr w:type="spellEnd"/>
      <w:r>
        <w:t xml:space="preserve"> compared to 1-year olds in the TTO questions, but the younger children were </w:t>
      </w:r>
      <w:proofErr w:type="spellStart"/>
      <w:r>
        <w:t>favoured</w:t>
      </w:r>
      <w:proofErr w:type="spellEnd"/>
      <w:r>
        <w:t xml:space="preserve"> in the WTP questions.</w:t>
      </w:r>
    </w:p>
    <w:p w14:paraId="41AD6A56" w14:textId="77777777" w:rsidR="003B3EE0" w:rsidRDefault="003B3EE0" w:rsidP="003B3EE0">
      <w:pPr>
        <w:spacing w:after="240"/>
        <w:rPr>
          <w:rFonts w:ascii="Calibri" w:eastAsia="Calibri" w:hAnsi="Calibri" w:cs="Calibri"/>
        </w:rPr>
      </w:pPr>
      <w:r>
        <w:lastRenderedPageBreak/>
        <w:t>Only one study included a comparison with another adult in the household (Hammit et al, 2017); finding that respondents gave twice the WTP for another adult than themselves, making the child value only about 20% higher than that for other adults. However, this was also the only study that framed the WTP question as a reduction in the risk of health loss requiring interpretation of very small changes in risk (1 to 4 in 10,000) which is likely to have challenged respondent comprehension; furthermore, the analysis was based on only a sub-set of results taken from the early questions in the survey due to respondents becoming “le</w:t>
      </w:r>
      <w:r w:rsidRPr="063DA71A">
        <w:rPr>
          <w:rFonts w:ascii="Calibri" w:eastAsia="Calibri" w:hAnsi="Calibri" w:cs="Calibri"/>
          <w:i/>
          <w:iCs/>
        </w:rPr>
        <w:t xml:space="preserve">ss attentive to the magnitude of the risk reduction as the survey progressed”. </w:t>
      </w:r>
      <w:r w:rsidRPr="063DA71A">
        <w:rPr>
          <w:rFonts w:ascii="Calibri" w:eastAsia="Calibri" w:hAnsi="Calibri" w:cs="Calibri"/>
        </w:rPr>
        <w:t>Additionally, respondent risk aversion may differ when applied to others’ health loss</w:t>
      </w:r>
      <w:r>
        <w:rPr>
          <w:rFonts w:ascii="Calibri" w:eastAsia="Calibri" w:hAnsi="Calibri" w:cs="Calibri"/>
        </w:rPr>
        <w:t>, or child health loss,</w:t>
      </w:r>
      <w:r w:rsidRPr="063DA71A">
        <w:rPr>
          <w:rFonts w:ascii="Calibri" w:eastAsia="Calibri" w:hAnsi="Calibri" w:cs="Calibri"/>
        </w:rPr>
        <w:t xml:space="preserve"> which would undermine </w:t>
      </w:r>
      <w:r>
        <w:rPr>
          <w:rFonts w:ascii="Calibri" w:eastAsia="Calibri" w:hAnsi="Calibri" w:cs="Calibri"/>
        </w:rPr>
        <w:t xml:space="preserve">the </w:t>
      </w:r>
      <w:r w:rsidRPr="063DA71A">
        <w:rPr>
          <w:rFonts w:ascii="Calibri" w:eastAsia="Calibri" w:hAnsi="Calibri" w:cs="Calibri"/>
        </w:rPr>
        <w:t>comparison of values.</w:t>
      </w:r>
    </w:p>
    <w:p w14:paraId="34D534F8" w14:textId="77777777" w:rsidR="003B3EE0" w:rsidRDefault="003B3EE0" w:rsidP="003B3EE0">
      <w:pPr>
        <w:spacing w:after="240"/>
      </w:pPr>
      <w:r>
        <w:t xml:space="preserve">An alternative framing is adopted by </w:t>
      </w:r>
      <w:proofErr w:type="spellStart"/>
      <w:r>
        <w:t>Reckers-Droog</w:t>
      </w:r>
      <w:proofErr w:type="spellEnd"/>
      <w:r>
        <w:t xml:space="preserve"> (2021 </w:t>
      </w:r>
      <w:proofErr w:type="spellStart"/>
      <w:r>
        <w:t>a&amp;b</w:t>
      </w:r>
      <w:proofErr w:type="spellEnd"/>
      <w:r>
        <w:t xml:space="preserve">) in which respondents were asked to adopt a citizen perspective by reporting their WTP to enable the Dutch national health insurance scheme to cover treatments for patient groups of different ages and health severity. These studies find broadly similar results to other WTP with 10 year olds </w:t>
      </w:r>
      <w:proofErr w:type="spellStart"/>
      <w:r>
        <w:t>favoured</w:t>
      </w:r>
      <w:proofErr w:type="spellEnd"/>
      <w:r>
        <w:t xml:space="preserve"> over 20, 40 and 70 year olds. </w:t>
      </w:r>
    </w:p>
    <w:p w14:paraId="725DCBC2" w14:textId="77777777" w:rsidR="003B3EE0" w:rsidRDefault="003B3EE0" w:rsidP="003B3EE0">
      <w:pPr>
        <w:pStyle w:val="Heading2"/>
        <w:rPr>
          <w:rFonts w:eastAsia="Calibri"/>
        </w:rPr>
      </w:pPr>
      <w:bookmarkStart w:id="4" w:name="_Toc112751581"/>
      <w:r w:rsidRPr="683A37C7">
        <w:rPr>
          <w:rFonts w:eastAsia="Calibri"/>
        </w:rPr>
        <w:t>D</w:t>
      </w:r>
      <w:r>
        <w:rPr>
          <w:rFonts w:eastAsia="Calibri"/>
        </w:rPr>
        <w:t>iscrete Choice Experiments</w:t>
      </w:r>
      <w:bookmarkEnd w:id="4"/>
    </w:p>
    <w:p w14:paraId="135EBE20" w14:textId="77777777" w:rsidR="003B3EE0" w:rsidRDefault="003B3EE0" w:rsidP="003B3EE0">
      <w:pPr>
        <w:spacing w:after="240"/>
      </w:pPr>
      <w:r>
        <w:t>There were 29 studies that used DCE methods to address preferences where age was included as an attribute. Of these most studies (26 or 90%) included attributes referring to generic health conditions, services or programs. In the remaining three attributes described deceased donor organ allocation [ref], vaccination [ref] and prevention of influenza [ref]. The health benefits described by attributes were varyingly framed as QoL in 6 (21%) studies, length of life in 2 (7%), and both QoL and LL in 8 (28%) studies. In 12 (41%) studies it was unclear from the attribute descriptions whether the health gain/benefit was associated with length of life or quality of life or both.</w:t>
      </w:r>
    </w:p>
    <w:p w14:paraId="34B093CA" w14:textId="77777777" w:rsidR="003B3EE0" w:rsidRDefault="003B3EE0" w:rsidP="003B3EE0">
      <w:pPr>
        <w:spacing w:after="240"/>
      </w:pPr>
      <w:r>
        <w:t xml:space="preserve">The inclusion of age as an attribute or attribute level was highly varied (Figure 3c). The majority (17 or 59%) used ranges to define age groups, with both contiguous and separate groups. Across the studies children were identified as &lt;18 years or &lt;15 years with or without further sub-groups above and below.  In 10 (34%) studies discrete ages were used rather than ranges with the number of ages varying from 3 to 8 and youngest age being 1 year (refer to Figure 3c). The remaining 2 studies described age in words (e.g. </w:t>
      </w:r>
      <w:proofErr w:type="spellStart"/>
      <w:r>
        <w:t>paediatric</w:t>
      </w:r>
      <w:proofErr w:type="spellEnd"/>
      <w:r>
        <w:t xml:space="preserve"> versus non-</w:t>
      </w:r>
      <w:proofErr w:type="spellStart"/>
      <w:r>
        <w:t>paediatric</w:t>
      </w:r>
      <w:proofErr w:type="spellEnd"/>
      <w:r>
        <w:t xml:space="preserve">). </w:t>
      </w:r>
    </w:p>
    <w:p w14:paraId="75226EC4" w14:textId="77777777" w:rsidR="003B3EE0" w:rsidRDefault="003B3EE0" w:rsidP="003B3EE0">
      <w:pPr>
        <w:spacing w:after="240"/>
      </w:pPr>
      <w:r w:rsidRPr="683A37C7">
        <w:t>The majority of the studies (17 or 59%) report</w:t>
      </w:r>
      <w:r>
        <w:t>ed</w:t>
      </w:r>
      <w:r w:rsidRPr="683A37C7">
        <w:t xml:space="preserve"> a preference for children over adults while a preference for adults over children was reported in 7 (24%). In the remaining 5 studies there was no </w:t>
      </w:r>
      <w:bookmarkStart w:id="5" w:name="_GoBack"/>
      <w:bookmarkEnd w:id="5"/>
      <w:r w:rsidRPr="683A37C7">
        <w:t>preference for any age group. Given the highly varied approach to defining age groups, it is not possible to identify specific age groups within either children or adults that were preferred. Where multiple age categories were included for children there was no apparent preference for younger or older children across the studies. For example, some reported preference for the very young (1 or &lt;1 year) [ref] while others reported a preference for older children (e.g. 13-17 years [ref]). Where a preference was reported for adults over children, this applied to either a broad age group ranging from 15 or 18 to 59 or 65 years described as middle aged [ref] or working age {ref] or to younger adults (e.g. 20 to 30 years [ref]). Only the Prosser 2013 study framed around influenza reported one scenario where elderly adults (85 years) were preferred over other age groups.</w:t>
      </w:r>
    </w:p>
    <w:p w14:paraId="450052DC" w14:textId="77777777" w:rsidR="003B3EE0" w:rsidRDefault="003B3EE0" w:rsidP="003B3EE0">
      <w:pPr>
        <w:spacing w:after="240" w:line="257" w:lineRule="auto"/>
      </w:pPr>
      <w:r>
        <w:t xml:space="preserve">The distinguishing feature of the DCEs is the high variation in design including number and type of attributes and the description of health states and/or health benefit. Furthermore, age has been </w:t>
      </w:r>
      <w:r>
        <w:lastRenderedPageBreak/>
        <w:t xml:space="preserve">included as a variable number of discrete values, and as contiguous and non-contiguous ranges also of varying values. The advantage of a DCE is that it incorporates a range of attributes describing health programs, health conditions or benefits and interventions. Similarly, age can be included as a single attribute or across multiple attributes describing the age-related aspects of the intervention and benefits. Whilst this allows for a more realistic choice it also has disadvantages. Firstly, the focus of the choice is taken away from age as a key determinant. Secondly, with increasing complexity and mix of concepts there is higher cognitive burden and likelihood that participants will either gloss over or misunderstand the consequences of an attribute. As an example, the Luyten 2015 reported the 20 to 30 year old age group to be favored over children &lt;10 years. The DCE included 7 attributes including type of intervention, effectiveness, adverse effects, severity of illness, time to effect and whether the illness was linked to the patient’s lifestyle. In this example the description of the health benefit was therefore spread across 5 attributes and the most important attribute was lifestyle of the patient and whether this is a true reflection of priorities is questionable. </w:t>
      </w:r>
    </w:p>
    <w:p w14:paraId="38778CED" w14:textId="77777777" w:rsidR="003B3EE0" w:rsidRDefault="003B3EE0" w:rsidP="003B3EE0">
      <w:pPr>
        <w:spacing w:after="240" w:line="257" w:lineRule="auto"/>
      </w:pPr>
      <w:r>
        <w:t>Nonetheless, most studies reported a preference for children over adults which generally extended to the youngest ages included (although only a small number explicitly included ages less than 5 years). Given the mix of framing of health benefits it is not possible to identify key components or elements that influence favoring children over adults. Of note 3 of the studies not favoring children recruited decision makers or experts (</w:t>
      </w:r>
      <w:proofErr w:type="spellStart"/>
      <w:r>
        <w:t>Mentzakis</w:t>
      </w:r>
      <w:proofErr w:type="spellEnd"/>
      <w:r>
        <w:t xml:space="preserve"> 2014, </w:t>
      </w:r>
      <w:proofErr w:type="spellStart"/>
      <w:r>
        <w:t>Baji</w:t>
      </w:r>
      <w:proofErr w:type="spellEnd"/>
      <w:r>
        <w:t xml:space="preserve"> 2016, Lopez-Bastida 2019) rather than the general public or non-expert adults. </w:t>
      </w:r>
    </w:p>
    <w:p w14:paraId="5D66331E" w14:textId="77777777" w:rsidR="003B3EE0" w:rsidRDefault="003B3EE0" w:rsidP="003B3EE0">
      <w:pPr>
        <w:pStyle w:val="Heading2"/>
      </w:pPr>
      <w:bookmarkStart w:id="6" w:name="_Toc112751582"/>
      <w:r w:rsidRPr="2B13B468">
        <w:t>Opinion Survey</w:t>
      </w:r>
      <w:bookmarkEnd w:id="6"/>
    </w:p>
    <w:p w14:paraId="34C3E9A1" w14:textId="4220A341" w:rsidR="003B3EE0" w:rsidRDefault="003B3EE0" w:rsidP="003B3EE0">
      <w:pPr>
        <w:spacing w:after="240"/>
      </w:pPr>
      <w:r>
        <w:t>Twenty-</w:t>
      </w:r>
      <w:r w:rsidR="00B15BC7">
        <w:t xml:space="preserve">two </w:t>
      </w:r>
      <w:r>
        <w:t xml:space="preserve">studies were </w:t>
      </w:r>
      <w:proofErr w:type="spellStart"/>
      <w:r>
        <w:t>categorised</w:t>
      </w:r>
      <w:proofErr w:type="spellEnd"/>
      <w:r>
        <w:t xml:space="preserve"> as Opinion Surveys, providing </w:t>
      </w:r>
      <w:r w:rsidR="00B15BC7">
        <w:t xml:space="preserve">23 </w:t>
      </w:r>
      <w:r>
        <w:t>findings. Opinion Surveys cover different methods including individual Q-sort/Q-block (</w:t>
      </w:r>
      <w:r w:rsidR="00B15BC7">
        <w:t xml:space="preserve">3 </w:t>
      </w:r>
      <w:r>
        <w:t>studies), ranking across statements relating to treatments or criteria for prioritisation (5 studies), ranking prioritisation of treatments for different age patients (2 studies), the extent of agreement with statements relating to prioritisation (7 studies), and questions asking respondents to choose between treating groups of different ages. In many cases, studies explored other potential prioritisation criteria as well as age. No studies categorised here as ‘Opinion Surveys’ have results that could be presented as relative weights.</w:t>
      </w:r>
    </w:p>
    <w:p w14:paraId="5AE69642" w14:textId="6DC54909" w:rsidR="003B3EE0" w:rsidRDefault="003B3EE0" w:rsidP="003B3EE0">
      <w:pPr>
        <w:spacing w:after="240"/>
      </w:pPr>
      <w:r>
        <w:t xml:space="preserve">Opinion Surveys present a diverse range of views towards the relative social value of child to adult health and the appropriateness of using age as a criterion for health care prioritisation.  Of the </w:t>
      </w:r>
      <w:r w:rsidR="00B15BC7">
        <w:t xml:space="preserve">20 </w:t>
      </w:r>
      <w:r>
        <w:t xml:space="preserve">findings providing adult-child comparisons that are not only lifesaving, 4 </w:t>
      </w:r>
      <w:proofErr w:type="spellStart"/>
      <w:r>
        <w:t>favoured</w:t>
      </w:r>
      <w:proofErr w:type="spellEnd"/>
      <w:r>
        <w:t xml:space="preserve"> children over adults, </w:t>
      </w:r>
      <w:r w:rsidR="00B15BC7">
        <w:t xml:space="preserve">6 </w:t>
      </w:r>
      <w:proofErr w:type="spellStart"/>
      <w:r>
        <w:t>favoured</w:t>
      </w:r>
      <w:proofErr w:type="spellEnd"/>
      <w:r>
        <w:t xml:space="preserve"> equality, 1 </w:t>
      </w:r>
      <w:proofErr w:type="spellStart"/>
      <w:r>
        <w:t>favoured</w:t>
      </w:r>
      <w:proofErr w:type="spellEnd"/>
      <w:r>
        <w:t xml:space="preserve"> young adults, and 9 reported diverse views or findings that were unclear.  </w:t>
      </w:r>
    </w:p>
    <w:p w14:paraId="5B1F5AD6" w14:textId="77777777" w:rsidR="003B3EE0" w:rsidRPr="00716A05" w:rsidRDefault="003B3EE0" w:rsidP="003B3EE0">
      <w:pPr>
        <w:spacing w:after="240"/>
      </w:pPr>
      <w:r>
        <w:t xml:space="preserve">Some studies found a strong preference for equal treatment regardless of age, which holds even for lifesaving interventions that would bring a larger survival gain to children (e.g. </w:t>
      </w:r>
      <w:proofErr w:type="spellStart"/>
      <w:r>
        <w:t>Werntoft</w:t>
      </w:r>
      <w:proofErr w:type="spellEnd"/>
      <w:r>
        <w:t xml:space="preserve"> 05 &amp; 07 across an elderly sample; Nord 1995). However, studies which only quantified respondents’ willingness to prioritise lifesaving interventions between children and adults did not meet the review inclusion criteria. Therefore, whilst some of the included studies did show a strong preference for saving the lives of children over older aged people (e.g. </w:t>
      </w:r>
      <w:r w:rsidRPr="3102F867">
        <w:rPr>
          <w:rFonts w:ascii="Calibri" w:eastAsia="Calibri" w:hAnsi="Calibri" w:cs="Calibri"/>
          <w:color w:val="000000" w:themeColor="text1"/>
        </w:rPr>
        <w:t>Charney, 1989</w:t>
      </w:r>
      <w:r>
        <w:t xml:space="preserve">), there may be many more supporting this finding that are not included here. </w:t>
      </w:r>
    </w:p>
    <w:p w14:paraId="5CEC9D0E" w14:textId="77777777" w:rsidR="003B3EE0" w:rsidRDefault="003B3EE0" w:rsidP="003B3EE0">
      <w:pPr>
        <w:spacing w:after="240"/>
      </w:pPr>
      <w:r w:rsidRPr="00716A05">
        <w:t>Where respondents rank criteria or</w:t>
      </w:r>
      <w:r>
        <w:t xml:space="preserve"> statements that could be used to prioritise treatments, those targeting children (</w:t>
      </w:r>
      <w:proofErr w:type="spellStart"/>
      <w:r>
        <w:t>Chim</w:t>
      </w:r>
      <w:proofErr w:type="spellEnd"/>
      <w:r>
        <w:t xml:space="preserve">, 2019; </w:t>
      </w:r>
      <w:proofErr w:type="spellStart"/>
      <w:r>
        <w:t>Neurberger</w:t>
      </w:r>
      <w:proofErr w:type="spellEnd"/>
      <w:r>
        <w:t xml:space="preserve"> 98, </w:t>
      </w:r>
      <w:proofErr w:type="spellStart"/>
      <w:r>
        <w:t>Mak</w:t>
      </w:r>
      <w:proofErr w:type="spellEnd"/>
      <w:r>
        <w:t xml:space="preserve"> 1999, Tong 2012) or addressing life threatening </w:t>
      </w:r>
      <w:r>
        <w:lastRenderedPageBreak/>
        <w:t xml:space="preserve">conditions for children (Bowling, 1996) or targeting younger age patient groups (Ottersen 2008; Tsuchiya 2003) tend to be ranked highly.  </w:t>
      </w:r>
    </w:p>
    <w:p w14:paraId="7C520FB4" w14:textId="448FC54C" w:rsidR="003B3EE0" w:rsidRDefault="003B3EE0" w:rsidP="003B3EE0">
      <w:pPr>
        <w:spacing w:after="240"/>
      </w:pPr>
      <w:r>
        <w:t xml:space="preserve">In two studies the majority of respondents preferred saving the lives of older children over infants. Nord (1995) found that more respondents </w:t>
      </w:r>
      <w:proofErr w:type="spellStart"/>
      <w:r>
        <w:t>favoured</w:t>
      </w:r>
      <w:proofErr w:type="spellEnd"/>
      <w:r>
        <w:t xml:space="preserve"> treating a child over a newborn and Charney (1989) found that more respondents </w:t>
      </w:r>
      <w:proofErr w:type="spellStart"/>
      <w:r>
        <w:t>favoured</w:t>
      </w:r>
      <w:proofErr w:type="spellEnd"/>
      <w:r>
        <w:t xml:space="preserve"> saving the life of an 8-year-old over a 2-year-old. The lower priority for infants did not always hold, for example, Ottersen (2008) found slightly more respondents ranked patients aged 0 first than ranked patients aged 15 first when considering priorities for a treatment providing an additional 15 years of life.  </w:t>
      </w:r>
    </w:p>
    <w:p w14:paraId="733162A0" w14:textId="77777777" w:rsidR="003B3EE0" w:rsidRDefault="003B3EE0" w:rsidP="003B3EE0">
      <w:pPr>
        <w:spacing w:after="240"/>
      </w:pPr>
      <w:r>
        <w:t xml:space="preserve">Two studies built in a reliability test and both found respondent views to be fairly malleable. Denburg incorporated a moral reasoning task for a random half of respondents and found this reduced the respondent willingness to </w:t>
      </w:r>
      <w:proofErr w:type="spellStart"/>
      <w:r>
        <w:t>favour</w:t>
      </w:r>
      <w:proofErr w:type="spellEnd"/>
      <w:r>
        <w:t xml:space="preserve"> children. Tsuchiya (2003) compared willingness to prioritise children for a fixed duration of life extension for respondents who were first asked to prioritise lifesaving interventions and those who did not complete this prior task. They found that less weight was allocated to children for a fixed duration health gain among respondents who had previously considered the lifesaving intervention. This suggests that without the initial question which helps respondents to clearly distinguish between lifesaving (in which children have more years to gain) and a fixed duration of life extension questions about a fixed duration may still be perceived as offering a greater quantity of health to children. </w:t>
      </w:r>
    </w:p>
    <w:p w14:paraId="48A1863E" w14:textId="77777777" w:rsidR="003B3EE0" w:rsidRDefault="003B3EE0" w:rsidP="003B3EE0">
      <w:pPr>
        <w:spacing w:after="240"/>
      </w:pPr>
      <w:r>
        <w:t xml:space="preserve">Opinion Surveys can be difficult to interpret as only three studies asked questions about the same health gain for different ages hence responses </w:t>
      </w:r>
      <w:proofErr w:type="spellStart"/>
      <w:r>
        <w:t>favouring</w:t>
      </w:r>
      <w:proofErr w:type="spellEnd"/>
      <w:r>
        <w:t xml:space="preserve"> children could be driven by efficiency or fairness criteria. For example, Denburg (2020) found respondents gave greater weight to treating eating disorders for children, but this could be explained by different long term health gains from treatment. Likewise, Tong (2012) noted that the preference for getting younger people off dialysis may be driven by respondents' knowledge of the impact of dialysis on the growth of children.  </w:t>
      </w:r>
    </w:p>
    <w:p w14:paraId="77A7C493" w14:textId="205C12D6" w:rsidR="003B3EE0" w:rsidRDefault="003B3EE0" w:rsidP="003B3EE0">
      <w:pPr>
        <w:spacing w:after="240"/>
      </w:pPr>
      <w:r>
        <w:t>Some studies identified respondents who were reluctant to acknowledge scarcity (e.g. Wouters, 2007</w:t>
      </w:r>
      <w:r w:rsidR="00147854">
        <w:t>; Reckers-Droog et al, 2020</w:t>
      </w:r>
      <w:r>
        <w:t>); where expressions of reluctance to prioritise based on age are given it can be difficult to distinguish between a lack of willingness to accept any prioritisation versus are lack of willingness to use age as a criterion. In some Opinion Surveys the opportunity cost of choices is not made explicit to responders, making interpretation difficult. For example, in Diederich (2011) 72.5% of respondents considered it justifiable to treat children in preference to all others yet at the same time 50.2% thought it was justifiable to treat senior citizens in preference to all others.</w:t>
      </w:r>
    </w:p>
    <w:p w14:paraId="7A2D2340" w14:textId="54E05FEE" w:rsidR="003B3EE0" w:rsidRDefault="003B3EE0" w:rsidP="003B3EE0">
      <w:pPr>
        <w:spacing w:after="240"/>
      </w:pPr>
      <w:r>
        <w:t>Respondent willingness to prioritise one group over another may be linked to their interpretation of access to care of the non-</w:t>
      </w:r>
      <w:proofErr w:type="spellStart"/>
      <w:r>
        <w:t>prioritised</w:t>
      </w:r>
      <w:proofErr w:type="spellEnd"/>
      <w:r>
        <w:t xml:space="preserve"> group. Tong (2012) notes that respondents were unwilling to continue to prioritise children for receipt of transplant organs if it meant that older patients would never be in a position to receive a donor organ.</w:t>
      </w:r>
    </w:p>
    <w:p w14:paraId="3ECD12C4" w14:textId="0A1BB4AC" w:rsidR="00593E54" w:rsidRDefault="00593E54" w:rsidP="003B3EE0">
      <w:pPr>
        <w:spacing w:after="240"/>
      </w:pPr>
      <w:r>
        <w:t xml:space="preserve">Q-sort studies (Wouters, 2007; Reckers-Droog 2020) reveal three main viewpoints that appear “incommensurable” (Wouters 2007: pp 116): those who morally object to priority setting and consider access to health care a universal right; those who accept the need for </w:t>
      </w:r>
      <w:proofErr w:type="spellStart"/>
      <w:r>
        <w:t>priorisation</w:t>
      </w:r>
      <w:proofErr w:type="spellEnd"/>
      <w:r>
        <w:t xml:space="preserve"> but do not think it should be based on patient characteristics such as age; and those who accept the need for </w:t>
      </w:r>
      <w:proofErr w:type="spellStart"/>
      <w:r>
        <w:t>prioritising</w:t>
      </w:r>
      <w:proofErr w:type="spellEnd"/>
      <w:r>
        <w:t xml:space="preserve"> </w:t>
      </w:r>
      <w:r>
        <w:lastRenderedPageBreak/>
        <w:t>including doing so based on age. Reckers-Droog (2020) found that the most of their participants held</w:t>
      </w:r>
      <w:r w:rsidR="000059A0">
        <w:t xml:space="preserve"> one of</w:t>
      </w:r>
      <w:r>
        <w:t xml:space="preserve"> the first two views, and these views were robust to deliberation and discussion. </w:t>
      </w:r>
    </w:p>
    <w:p w14:paraId="30AE452A" w14:textId="77777777" w:rsidR="003B3EE0" w:rsidRDefault="003B3EE0" w:rsidP="003B3EE0"/>
    <w:p w14:paraId="0A07D8A9" w14:textId="77777777" w:rsidR="007A6C63" w:rsidRDefault="007A6C63"/>
    <w:sectPr w:rsidR="007A6C63" w:rsidSect="00F41E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B1156" w14:textId="77777777" w:rsidR="000458F1" w:rsidRDefault="000458F1">
      <w:pPr>
        <w:spacing w:after="0" w:line="240" w:lineRule="auto"/>
      </w:pPr>
      <w:r>
        <w:separator/>
      </w:r>
    </w:p>
  </w:endnote>
  <w:endnote w:type="continuationSeparator" w:id="0">
    <w:p w14:paraId="611EC795" w14:textId="77777777" w:rsidR="000458F1" w:rsidRDefault="00045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068476"/>
      <w:docPartObj>
        <w:docPartGallery w:val="Page Numbers (Bottom of Page)"/>
        <w:docPartUnique/>
      </w:docPartObj>
    </w:sdtPr>
    <w:sdtEndPr>
      <w:rPr>
        <w:noProof/>
      </w:rPr>
    </w:sdtEndPr>
    <w:sdtContent>
      <w:p w14:paraId="69342153" w14:textId="77777777" w:rsidR="007A6C63" w:rsidRDefault="00072B72">
        <w:pPr>
          <w:pStyle w:val="Footer"/>
          <w:jc w:val="right"/>
        </w:pPr>
        <w:r>
          <w:fldChar w:fldCharType="begin"/>
        </w:r>
        <w:r>
          <w:instrText xml:space="preserve"> PAGE   \* MERGEFORMAT </w:instrText>
        </w:r>
        <w:r>
          <w:fldChar w:fldCharType="separate"/>
        </w:r>
        <w:r w:rsidR="00F41EFF">
          <w:rPr>
            <w:noProof/>
          </w:rPr>
          <w:t>4</w:t>
        </w:r>
        <w:r>
          <w:rPr>
            <w:noProof/>
          </w:rPr>
          <w:fldChar w:fldCharType="end"/>
        </w:r>
      </w:p>
    </w:sdtContent>
  </w:sdt>
  <w:p w14:paraId="0FEF669D" w14:textId="77777777" w:rsidR="007A6C63" w:rsidRDefault="007A6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EC960" w14:textId="77777777" w:rsidR="000458F1" w:rsidRDefault="000458F1">
      <w:pPr>
        <w:spacing w:after="0" w:line="240" w:lineRule="auto"/>
      </w:pPr>
      <w:r>
        <w:separator/>
      </w:r>
    </w:p>
  </w:footnote>
  <w:footnote w:type="continuationSeparator" w:id="0">
    <w:p w14:paraId="7320CDB3" w14:textId="77777777" w:rsidR="000458F1" w:rsidRDefault="000458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EE0"/>
    <w:rsid w:val="000059A0"/>
    <w:rsid w:val="000458F1"/>
    <w:rsid w:val="00072B72"/>
    <w:rsid w:val="000C3ADB"/>
    <w:rsid w:val="00147854"/>
    <w:rsid w:val="003B3EE0"/>
    <w:rsid w:val="00593E54"/>
    <w:rsid w:val="006369C0"/>
    <w:rsid w:val="00792475"/>
    <w:rsid w:val="007A6C63"/>
    <w:rsid w:val="0098683A"/>
    <w:rsid w:val="009C0203"/>
    <w:rsid w:val="00AD6A41"/>
    <w:rsid w:val="00B15BC7"/>
    <w:rsid w:val="00B337AD"/>
    <w:rsid w:val="00CE2771"/>
    <w:rsid w:val="00DE6A7C"/>
    <w:rsid w:val="00F41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41C8C"/>
  <w15:chartTrackingRefBased/>
  <w15:docId w15:val="{287198E3-D346-4091-8A0E-94054EA6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EE0"/>
  </w:style>
  <w:style w:type="paragraph" w:styleId="Heading1">
    <w:name w:val="heading 1"/>
    <w:basedOn w:val="Normal"/>
    <w:next w:val="Normal"/>
    <w:link w:val="Heading1Char"/>
    <w:uiPriority w:val="9"/>
    <w:qFormat/>
    <w:rsid w:val="003B3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3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3E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B3EE0"/>
  </w:style>
  <w:style w:type="character" w:customStyle="1" w:styleId="eop">
    <w:name w:val="eop"/>
    <w:basedOn w:val="DefaultParagraphFont"/>
    <w:rsid w:val="003B3EE0"/>
  </w:style>
  <w:style w:type="paragraph" w:styleId="Footer">
    <w:name w:val="footer"/>
    <w:basedOn w:val="Normal"/>
    <w:link w:val="FooterChar"/>
    <w:uiPriority w:val="99"/>
    <w:unhideWhenUsed/>
    <w:rsid w:val="003B3E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EE0"/>
  </w:style>
  <w:style w:type="character" w:styleId="CommentReference">
    <w:name w:val="annotation reference"/>
    <w:basedOn w:val="DefaultParagraphFont"/>
    <w:uiPriority w:val="99"/>
    <w:semiHidden/>
    <w:unhideWhenUsed/>
    <w:rsid w:val="003B3EE0"/>
    <w:rPr>
      <w:sz w:val="16"/>
      <w:szCs w:val="16"/>
    </w:rPr>
  </w:style>
  <w:style w:type="paragraph" w:styleId="CommentText">
    <w:name w:val="annotation text"/>
    <w:basedOn w:val="Normal"/>
    <w:link w:val="CommentTextChar"/>
    <w:uiPriority w:val="99"/>
    <w:unhideWhenUsed/>
    <w:rsid w:val="003B3EE0"/>
    <w:pPr>
      <w:spacing w:line="240" w:lineRule="auto"/>
    </w:pPr>
    <w:rPr>
      <w:sz w:val="20"/>
      <w:szCs w:val="20"/>
      <w:lang w:val="en-AU" w:eastAsia="en-US"/>
    </w:rPr>
  </w:style>
  <w:style w:type="character" w:customStyle="1" w:styleId="CommentTextChar">
    <w:name w:val="Comment Text Char"/>
    <w:basedOn w:val="DefaultParagraphFont"/>
    <w:link w:val="CommentText"/>
    <w:uiPriority w:val="99"/>
    <w:rsid w:val="003B3EE0"/>
    <w:rPr>
      <w:sz w:val="20"/>
      <w:szCs w:val="20"/>
      <w:lang w:val="en-AU" w:eastAsia="en-US"/>
    </w:rPr>
  </w:style>
  <w:style w:type="character" w:customStyle="1" w:styleId="Heading2Char">
    <w:name w:val="Heading 2 Char"/>
    <w:basedOn w:val="DefaultParagraphFont"/>
    <w:link w:val="Heading2"/>
    <w:uiPriority w:val="9"/>
    <w:rsid w:val="003B3E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3EE0"/>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B3EE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3EE0"/>
    <w:pPr>
      <w:outlineLvl w:val="9"/>
    </w:pPr>
    <w:rPr>
      <w:lang w:eastAsia="en-US"/>
    </w:rPr>
  </w:style>
  <w:style w:type="paragraph" w:styleId="TOC2">
    <w:name w:val="toc 2"/>
    <w:basedOn w:val="Normal"/>
    <w:next w:val="Normal"/>
    <w:autoRedefine/>
    <w:uiPriority w:val="39"/>
    <w:unhideWhenUsed/>
    <w:rsid w:val="003B3EE0"/>
    <w:pPr>
      <w:spacing w:after="100"/>
      <w:ind w:left="220"/>
    </w:pPr>
  </w:style>
  <w:style w:type="paragraph" w:styleId="TOC3">
    <w:name w:val="toc 3"/>
    <w:basedOn w:val="Normal"/>
    <w:next w:val="Normal"/>
    <w:autoRedefine/>
    <w:uiPriority w:val="39"/>
    <w:unhideWhenUsed/>
    <w:rsid w:val="003B3EE0"/>
    <w:pPr>
      <w:spacing w:after="100"/>
      <w:ind w:left="440"/>
    </w:pPr>
  </w:style>
  <w:style w:type="character" w:styleId="Hyperlink">
    <w:name w:val="Hyperlink"/>
    <w:basedOn w:val="DefaultParagraphFont"/>
    <w:uiPriority w:val="99"/>
    <w:unhideWhenUsed/>
    <w:rsid w:val="003B3EE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B15BC7"/>
    <w:rPr>
      <w:b/>
      <w:bCs/>
      <w:lang w:val="en-US" w:eastAsia="zh-CN"/>
    </w:rPr>
  </w:style>
  <w:style w:type="character" w:customStyle="1" w:styleId="CommentSubjectChar">
    <w:name w:val="Comment Subject Char"/>
    <w:basedOn w:val="CommentTextChar"/>
    <w:link w:val="CommentSubject"/>
    <w:uiPriority w:val="99"/>
    <w:semiHidden/>
    <w:rsid w:val="00B15BC7"/>
    <w:rPr>
      <w:b/>
      <w:bCs/>
      <w:sz w:val="20"/>
      <w:szCs w:val="20"/>
      <w:lang w:val="en-AU" w:eastAsia="en-US"/>
    </w:rPr>
  </w:style>
  <w:style w:type="paragraph" w:styleId="Revision">
    <w:name w:val="Revision"/>
    <w:hidden/>
    <w:uiPriority w:val="99"/>
    <w:semiHidden/>
    <w:rsid w:val="007A6C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8E1F7CD5-57D2-431C-BDF0-A1AD03DE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2669</Words>
  <Characters>15215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Peasgood</dc:creator>
  <cp:keywords/>
  <dc:description/>
  <cp:lastModifiedBy>Sheela Devi R.</cp:lastModifiedBy>
  <cp:revision>4</cp:revision>
  <dcterms:created xsi:type="dcterms:W3CDTF">2023-09-25T17:18:00Z</dcterms:created>
  <dcterms:modified xsi:type="dcterms:W3CDTF">2023-10-24T11:30:00Z</dcterms:modified>
</cp:coreProperties>
</file>