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0C3434" w14:textId="2DB92C7A" w:rsidR="00E83A98" w:rsidRDefault="00B02334">
      <w:pPr>
        <w:rPr>
          <w:rFonts w:ascii="Times New Roman" w:hAnsi="Times New Roman" w:cs="Times New Roman"/>
          <w:b/>
        </w:rPr>
      </w:pPr>
      <w:r w:rsidRPr="003446DA">
        <w:rPr>
          <w:rFonts w:ascii="Times New Roman" w:hAnsi="Times New Roman" w:cs="Times New Roman"/>
          <w:b/>
        </w:rPr>
        <w:t>Supplementa</w:t>
      </w:r>
      <w:r w:rsidR="00A77862">
        <w:rPr>
          <w:rFonts w:ascii="Times New Roman" w:hAnsi="Times New Roman" w:cs="Times New Roman"/>
          <w:b/>
        </w:rPr>
        <w:t>ry</w:t>
      </w:r>
      <w:r w:rsidRPr="003446DA">
        <w:rPr>
          <w:rFonts w:ascii="Times New Roman" w:hAnsi="Times New Roman" w:cs="Times New Roman"/>
          <w:b/>
        </w:rPr>
        <w:t xml:space="preserve"> materials</w:t>
      </w:r>
    </w:p>
    <w:p w14:paraId="675F14AA" w14:textId="77777777" w:rsidR="00366676" w:rsidRPr="003446DA" w:rsidRDefault="00366676">
      <w:pPr>
        <w:rPr>
          <w:rFonts w:ascii="Times New Roman" w:hAnsi="Times New Roman" w:cs="Times New Roman"/>
          <w:b/>
        </w:rPr>
      </w:pPr>
    </w:p>
    <w:p w14:paraId="32932257" w14:textId="77777777" w:rsidR="002D0BB2" w:rsidRDefault="002D0BB2">
      <w:pPr>
        <w:rPr>
          <w:rFonts w:ascii="Times New Roman" w:hAnsi="Times New Roman" w:cs="Times New Roman"/>
          <w:b/>
        </w:rPr>
      </w:pPr>
      <w:r>
        <w:rPr>
          <w:rFonts w:ascii="Times New Roman" w:hAnsi="Times New Roman" w:cs="Times New Roman"/>
          <w:b/>
        </w:rPr>
        <w:t>S1. Search strategy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2D0BB2" w14:paraId="64677BB0" w14:textId="77777777" w:rsidTr="002D0BB2">
        <w:tc>
          <w:tcPr>
            <w:tcW w:w="2337" w:type="dxa"/>
            <w:tcBorders>
              <w:top w:val="single" w:sz="4" w:space="0" w:color="auto"/>
              <w:bottom w:val="single" w:sz="4" w:space="0" w:color="auto"/>
            </w:tcBorders>
          </w:tcPr>
          <w:p w14:paraId="3E42DC78" w14:textId="77777777" w:rsidR="002D0BB2" w:rsidRDefault="002D0BB2">
            <w:pPr>
              <w:rPr>
                <w:rFonts w:ascii="Times New Roman" w:hAnsi="Times New Roman" w:cs="Times New Roman"/>
                <w:b/>
              </w:rPr>
            </w:pPr>
          </w:p>
        </w:tc>
        <w:tc>
          <w:tcPr>
            <w:tcW w:w="2337" w:type="dxa"/>
            <w:tcBorders>
              <w:top w:val="single" w:sz="4" w:space="0" w:color="auto"/>
              <w:bottom w:val="single" w:sz="4" w:space="0" w:color="auto"/>
            </w:tcBorders>
          </w:tcPr>
          <w:p w14:paraId="2610CD93" w14:textId="74BBA9AA" w:rsidR="002D0BB2" w:rsidRDefault="002D0BB2">
            <w:pPr>
              <w:rPr>
                <w:rFonts w:ascii="Times New Roman" w:hAnsi="Times New Roman" w:cs="Times New Roman"/>
                <w:b/>
              </w:rPr>
            </w:pPr>
            <w:r>
              <w:rPr>
                <w:rFonts w:ascii="Times New Roman" w:hAnsi="Times New Roman" w:cs="Times New Roman"/>
                <w:b/>
              </w:rPr>
              <w:t>PubMed (Medline)</w:t>
            </w:r>
          </w:p>
        </w:tc>
        <w:tc>
          <w:tcPr>
            <w:tcW w:w="2338" w:type="dxa"/>
            <w:tcBorders>
              <w:top w:val="single" w:sz="4" w:space="0" w:color="auto"/>
              <w:bottom w:val="single" w:sz="4" w:space="0" w:color="auto"/>
            </w:tcBorders>
          </w:tcPr>
          <w:p w14:paraId="6DAB3C0B" w14:textId="5B9634B7" w:rsidR="002D0BB2" w:rsidRDefault="002D0BB2">
            <w:pPr>
              <w:rPr>
                <w:rFonts w:ascii="Times New Roman" w:hAnsi="Times New Roman" w:cs="Times New Roman"/>
                <w:b/>
              </w:rPr>
            </w:pPr>
            <w:r>
              <w:rPr>
                <w:rFonts w:ascii="Times New Roman" w:hAnsi="Times New Roman" w:cs="Times New Roman"/>
                <w:b/>
              </w:rPr>
              <w:t>Web of Science</w:t>
            </w:r>
          </w:p>
        </w:tc>
        <w:tc>
          <w:tcPr>
            <w:tcW w:w="2338" w:type="dxa"/>
            <w:tcBorders>
              <w:top w:val="single" w:sz="4" w:space="0" w:color="auto"/>
              <w:bottom w:val="single" w:sz="4" w:space="0" w:color="auto"/>
            </w:tcBorders>
          </w:tcPr>
          <w:p w14:paraId="5D2B6250" w14:textId="536F3B5A" w:rsidR="002D0BB2" w:rsidRDefault="002D0BB2">
            <w:pPr>
              <w:rPr>
                <w:rFonts w:ascii="Times New Roman" w:hAnsi="Times New Roman" w:cs="Times New Roman"/>
                <w:b/>
              </w:rPr>
            </w:pPr>
            <w:r>
              <w:rPr>
                <w:rFonts w:ascii="Times New Roman" w:hAnsi="Times New Roman" w:cs="Times New Roman"/>
                <w:b/>
              </w:rPr>
              <w:t>Scopus</w:t>
            </w:r>
          </w:p>
        </w:tc>
      </w:tr>
      <w:tr w:rsidR="002D0BB2" w14:paraId="53D72B47" w14:textId="77777777" w:rsidTr="00B705C3">
        <w:trPr>
          <w:trHeight w:val="737"/>
        </w:trPr>
        <w:tc>
          <w:tcPr>
            <w:tcW w:w="2337" w:type="dxa"/>
            <w:tcBorders>
              <w:top w:val="single" w:sz="4" w:space="0" w:color="auto"/>
              <w:bottom w:val="single" w:sz="4" w:space="0" w:color="auto"/>
            </w:tcBorders>
          </w:tcPr>
          <w:p w14:paraId="71010CF7" w14:textId="5082C05E" w:rsidR="002D0BB2" w:rsidRDefault="002D0BB2">
            <w:pPr>
              <w:rPr>
                <w:rFonts w:ascii="Times New Roman" w:hAnsi="Times New Roman" w:cs="Times New Roman"/>
                <w:b/>
              </w:rPr>
            </w:pPr>
            <w:r>
              <w:rPr>
                <w:rFonts w:ascii="Times New Roman" w:hAnsi="Times New Roman" w:cs="Times New Roman"/>
                <w:b/>
              </w:rPr>
              <w:t>Search block 1</w:t>
            </w:r>
          </w:p>
        </w:tc>
        <w:tc>
          <w:tcPr>
            <w:tcW w:w="7013" w:type="dxa"/>
            <w:gridSpan w:val="3"/>
            <w:tcBorders>
              <w:top w:val="single" w:sz="4" w:space="0" w:color="auto"/>
              <w:bottom w:val="single" w:sz="4" w:space="0" w:color="auto"/>
            </w:tcBorders>
          </w:tcPr>
          <w:p w14:paraId="2A10714C" w14:textId="61846D12" w:rsidR="002D0BB2" w:rsidRPr="002D0BB2" w:rsidRDefault="002D0BB2">
            <w:pPr>
              <w:rPr>
                <w:rFonts w:ascii="Times New Roman" w:hAnsi="Times New Roman" w:cs="Times New Roman"/>
              </w:rPr>
            </w:pPr>
            <w:proofErr w:type="spellStart"/>
            <w:r w:rsidRPr="002D0BB2">
              <w:rPr>
                <w:rFonts w:ascii="Times New Roman" w:hAnsi="Times New Roman" w:cs="Times New Roman"/>
              </w:rPr>
              <w:t>reimburs</w:t>
            </w:r>
            <w:proofErr w:type="spellEnd"/>
            <w:r w:rsidRPr="002D0BB2">
              <w:rPr>
                <w:rFonts w:ascii="Times New Roman" w:hAnsi="Times New Roman" w:cs="Times New Roman"/>
              </w:rPr>
              <w:t xml:space="preserve">* OR </w:t>
            </w:r>
            <w:proofErr w:type="spellStart"/>
            <w:r w:rsidRPr="002D0BB2">
              <w:rPr>
                <w:rFonts w:ascii="Times New Roman" w:hAnsi="Times New Roman" w:cs="Times New Roman"/>
              </w:rPr>
              <w:t>pric</w:t>
            </w:r>
            <w:proofErr w:type="spellEnd"/>
            <w:r w:rsidRPr="002D0BB2">
              <w:rPr>
                <w:rFonts w:ascii="Times New Roman" w:hAnsi="Times New Roman" w:cs="Times New Roman"/>
              </w:rPr>
              <w:t>* OR payment OR coverage OR rebate OR discount OR subscription OR fee OR installment OR tariff OR financing model</w:t>
            </w:r>
          </w:p>
        </w:tc>
      </w:tr>
      <w:tr w:rsidR="002D0BB2" w14:paraId="3F0ED88A" w14:textId="77777777" w:rsidTr="00B705C3">
        <w:trPr>
          <w:trHeight w:val="1191"/>
        </w:trPr>
        <w:tc>
          <w:tcPr>
            <w:tcW w:w="2337" w:type="dxa"/>
            <w:tcBorders>
              <w:top w:val="single" w:sz="4" w:space="0" w:color="auto"/>
              <w:bottom w:val="single" w:sz="4" w:space="0" w:color="auto"/>
            </w:tcBorders>
          </w:tcPr>
          <w:p w14:paraId="00A42541" w14:textId="23B719FB" w:rsidR="002D0BB2" w:rsidRDefault="002D0BB2">
            <w:pPr>
              <w:rPr>
                <w:rFonts w:ascii="Times New Roman" w:hAnsi="Times New Roman" w:cs="Times New Roman"/>
                <w:b/>
              </w:rPr>
            </w:pPr>
            <w:r>
              <w:rPr>
                <w:rFonts w:ascii="Times New Roman" w:hAnsi="Times New Roman" w:cs="Times New Roman"/>
                <w:b/>
              </w:rPr>
              <w:t>Search block 2</w:t>
            </w:r>
          </w:p>
        </w:tc>
        <w:tc>
          <w:tcPr>
            <w:tcW w:w="7013" w:type="dxa"/>
            <w:gridSpan w:val="3"/>
            <w:tcBorders>
              <w:top w:val="single" w:sz="4" w:space="0" w:color="auto"/>
              <w:bottom w:val="single" w:sz="4" w:space="0" w:color="auto"/>
            </w:tcBorders>
          </w:tcPr>
          <w:p w14:paraId="3C8E6D96" w14:textId="484B17FC" w:rsidR="002D0BB2" w:rsidRPr="002D0BB2" w:rsidRDefault="002D0BB2">
            <w:pPr>
              <w:rPr>
                <w:rFonts w:ascii="Times New Roman" w:hAnsi="Times New Roman" w:cs="Times New Roman"/>
              </w:rPr>
            </w:pPr>
            <w:r w:rsidRPr="002D0BB2">
              <w:rPr>
                <w:rFonts w:ascii="Times New Roman" w:hAnsi="Times New Roman" w:cs="Times New Roman"/>
              </w:rPr>
              <w:t xml:space="preserve">performance-based OR performance-oriented OR outcome-based OR outcome-oriented OR result-driven OR value-based OR evidence-based OR financial-based OR managed OR risk-sharing OR adaptive OR </w:t>
            </w:r>
            <w:proofErr w:type="spellStart"/>
            <w:r w:rsidRPr="002D0BB2">
              <w:rPr>
                <w:rFonts w:ascii="Times New Roman" w:hAnsi="Times New Roman" w:cs="Times New Roman"/>
              </w:rPr>
              <w:t>innov</w:t>
            </w:r>
            <w:proofErr w:type="spellEnd"/>
            <w:r w:rsidRPr="002D0BB2">
              <w:rPr>
                <w:rFonts w:ascii="Times New Roman" w:hAnsi="Times New Roman" w:cs="Times New Roman"/>
              </w:rPr>
              <w:t>* OR new OR promising OR dynamic</w:t>
            </w:r>
          </w:p>
        </w:tc>
      </w:tr>
      <w:tr w:rsidR="002D0BB2" w14:paraId="1B14267A" w14:textId="77777777" w:rsidTr="002D0BB2">
        <w:tc>
          <w:tcPr>
            <w:tcW w:w="2337" w:type="dxa"/>
            <w:tcBorders>
              <w:top w:val="single" w:sz="4" w:space="0" w:color="auto"/>
              <w:bottom w:val="single" w:sz="4" w:space="0" w:color="auto"/>
            </w:tcBorders>
          </w:tcPr>
          <w:p w14:paraId="3795FB67" w14:textId="6EFE93B1" w:rsidR="002D0BB2" w:rsidRDefault="002D0BB2">
            <w:pPr>
              <w:rPr>
                <w:rFonts w:ascii="Times New Roman" w:hAnsi="Times New Roman" w:cs="Times New Roman"/>
                <w:b/>
              </w:rPr>
            </w:pPr>
            <w:r>
              <w:rPr>
                <w:rFonts w:ascii="Times New Roman" w:hAnsi="Times New Roman" w:cs="Times New Roman"/>
                <w:b/>
              </w:rPr>
              <w:t>Database-specific addendums</w:t>
            </w:r>
          </w:p>
        </w:tc>
        <w:tc>
          <w:tcPr>
            <w:tcW w:w="2337" w:type="dxa"/>
            <w:tcBorders>
              <w:top w:val="single" w:sz="4" w:space="0" w:color="auto"/>
              <w:bottom w:val="single" w:sz="4" w:space="0" w:color="auto"/>
            </w:tcBorders>
          </w:tcPr>
          <w:p w14:paraId="3D47F10F" w14:textId="77777777" w:rsidR="002D0BB2" w:rsidRPr="002D0BB2" w:rsidRDefault="002D0BB2" w:rsidP="002D0BB2">
            <w:pPr>
              <w:rPr>
                <w:rFonts w:ascii="Times New Roman" w:hAnsi="Times New Roman" w:cs="Times New Roman"/>
                <w:b/>
              </w:rPr>
            </w:pPr>
            <w:r w:rsidRPr="002D0BB2">
              <w:rPr>
                <w:rFonts w:ascii="Times New Roman" w:hAnsi="Times New Roman" w:cs="Times New Roman"/>
                <w:b/>
              </w:rPr>
              <w:t>Mesh terms:</w:t>
            </w:r>
          </w:p>
          <w:p w14:paraId="0BF79CA0" w14:textId="77777777" w:rsidR="002D0BB2" w:rsidRPr="002D0BB2" w:rsidRDefault="002D0BB2" w:rsidP="002D0BB2">
            <w:pPr>
              <w:rPr>
                <w:rFonts w:ascii="Times New Roman" w:hAnsi="Times New Roman" w:cs="Times New Roman"/>
                <w:b/>
              </w:rPr>
            </w:pPr>
          </w:p>
          <w:p w14:paraId="0FDA6D05" w14:textId="3540673D" w:rsidR="002D0BB2" w:rsidRPr="002D0BB2" w:rsidRDefault="002D0BB2" w:rsidP="002D0BB2">
            <w:pPr>
              <w:rPr>
                <w:rFonts w:ascii="Times New Roman" w:hAnsi="Times New Roman" w:cs="Times New Roman"/>
              </w:rPr>
            </w:pPr>
            <w:r w:rsidRPr="002D0BB2">
              <w:rPr>
                <w:rFonts w:ascii="Times New Roman" w:hAnsi="Times New Roman" w:cs="Times New Roman"/>
              </w:rPr>
              <w:t>Economics, pharmaceutical OR economics, medical OR insurance, health, reimbursement OR costs and cost analysis OR drug costs</w:t>
            </w:r>
          </w:p>
        </w:tc>
        <w:tc>
          <w:tcPr>
            <w:tcW w:w="2338" w:type="dxa"/>
            <w:tcBorders>
              <w:top w:val="single" w:sz="4" w:space="0" w:color="auto"/>
              <w:bottom w:val="single" w:sz="4" w:space="0" w:color="auto"/>
            </w:tcBorders>
          </w:tcPr>
          <w:p w14:paraId="128CCC1A" w14:textId="77777777" w:rsidR="002D0BB2" w:rsidRDefault="002D0BB2">
            <w:pPr>
              <w:rPr>
                <w:rFonts w:ascii="Times New Roman" w:hAnsi="Times New Roman" w:cs="Times New Roman"/>
                <w:b/>
              </w:rPr>
            </w:pPr>
            <w:r w:rsidRPr="002D0BB2">
              <w:rPr>
                <w:rFonts w:ascii="Times New Roman" w:hAnsi="Times New Roman" w:cs="Times New Roman"/>
                <w:b/>
              </w:rPr>
              <w:t xml:space="preserve">Web of Science Categories: </w:t>
            </w:r>
          </w:p>
          <w:p w14:paraId="1CE9FF2D" w14:textId="77777777" w:rsidR="002D0BB2" w:rsidRDefault="002D0BB2">
            <w:pPr>
              <w:rPr>
                <w:rFonts w:ascii="Times New Roman" w:hAnsi="Times New Roman" w:cs="Times New Roman"/>
              </w:rPr>
            </w:pPr>
          </w:p>
          <w:p w14:paraId="4995210C" w14:textId="3E7EAE1A" w:rsidR="002D0BB2" w:rsidRDefault="002D0BB2">
            <w:pPr>
              <w:rPr>
                <w:rFonts w:ascii="Times New Roman" w:hAnsi="Times New Roman" w:cs="Times New Roman"/>
                <w:b/>
              </w:rPr>
            </w:pPr>
            <w:r w:rsidRPr="002D0BB2">
              <w:rPr>
                <w:rFonts w:ascii="Times New Roman" w:hAnsi="Times New Roman" w:cs="Times New Roman"/>
              </w:rPr>
              <w:t>(Health Care Sciences &amp; Services OR Health Policy &amp; Services OR Pharmacology &amp; Pharmacy OR Chemistry, Medicinal OR Engineering, Biomedical OR Medicine, Research &amp; Experimental)) AND (Economics OR Management OR Political Science OR Social Sciences, Biomedical)</w:t>
            </w:r>
          </w:p>
        </w:tc>
        <w:tc>
          <w:tcPr>
            <w:tcW w:w="2338" w:type="dxa"/>
            <w:tcBorders>
              <w:top w:val="single" w:sz="4" w:space="0" w:color="auto"/>
              <w:bottom w:val="single" w:sz="4" w:space="0" w:color="auto"/>
            </w:tcBorders>
          </w:tcPr>
          <w:p w14:paraId="71DEE26D" w14:textId="77777777" w:rsidR="002D0BB2" w:rsidRPr="002D0BB2" w:rsidRDefault="002D0BB2" w:rsidP="002D0BB2">
            <w:pPr>
              <w:rPr>
                <w:rFonts w:ascii="Times New Roman" w:hAnsi="Times New Roman" w:cs="Times New Roman"/>
                <w:b/>
              </w:rPr>
            </w:pPr>
            <w:r w:rsidRPr="002D0BB2">
              <w:rPr>
                <w:rFonts w:ascii="Times New Roman" w:hAnsi="Times New Roman" w:cs="Times New Roman"/>
                <w:b/>
              </w:rPr>
              <w:t>Index terms:</w:t>
            </w:r>
          </w:p>
          <w:p w14:paraId="0EA1677C" w14:textId="77777777" w:rsidR="002D0BB2" w:rsidRPr="002D0BB2" w:rsidRDefault="002D0BB2" w:rsidP="002D0BB2">
            <w:pPr>
              <w:rPr>
                <w:rFonts w:ascii="Times New Roman" w:hAnsi="Times New Roman" w:cs="Times New Roman"/>
                <w:b/>
              </w:rPr>
            </w:pPr>
          </w:p>
          <w:p w14:paraId="7921A717" w14:textId="610BCB7F" w:rsidR="002D0BB2" w:rsidRPr="002D0BB2" w:rsidRDefault="002D0BB2" w:rsidP="002D0BB2">
            <w:pPr>
              <w:rPr>
                <w:rFonts w:ascii="Times New Roman" w:hAnsi="Times New Roman" w:cs="Times New Roman"/>
              </w:rPr>
            </w:pPr>
            <w:r w:rsidRPr="002D0BB2">
              <w:rPr>
                <w:rFonts w:ascii="Times New Roman" w:hAnsi="Times New Roman" w:cs="Times New Roman"/>
              </w:rPr>
              <w:t>economics, pharmaceuticals; economics, medical; insurance, health, reimbursement; cost and cost analysis; drug cost</w:t>
            </w:r>
          </w:p>
        </w:tc>
      </w:tr>
    </w:tbl>
    <w:p w14:paraId="08853C6C" w14:textId="3F2D5E62" w:rsidR="002D0BB2" w:rsidRPr="002D0BB2" w:rsidRDefault="002D0BB2">
      <w:pPr>
        <w:rPr>
          <w:rFonts w:ascii="Times New Roman" w:hAnsi="Times New Roman" w:cs="Times New Roman"/>
        </w:rPr>
      </w:pPr>
      <w:r w:rsidRPr="002D0BB2">
        <w:rPr>
          <w:rFonts w:ascii="Times New Roman" w:hAnsi="Times New Roman" w:cs="Times New Roman"/>
          <w:i/>
        </w:rPr>
        <w:t>Note</w:t>
      </w:r>
      <w:r w:rsidRPr="002D0BB2">
        <w:rPr>
          <w:rFonts w:ascii="Times New Roman" w:hAnsi="Times New Roman" w:cs="Times New Roman"/>
        </w:rPr>
        <w:t>: search blocks 1 and 2 were searched based on title/abstract.</w:t>
      </w:r>
      <w:r w:rsidRPr="002D0BB2">
        <w:rPr>
          <w:rFonts w:ascii="Times New Roman" w:hAnsi="Times New Roman" w:cs="Times New Roman"/>
        </w:rPr>
        <w:br w:type="page"/>
      </w:r>
    </w:p>
    <w:p w14:paraId="197EC1BB" w14:textId="69A05EB9" w:rsidR="003446DA" w:rsidRPr="003446DA" w:rsidRDefault="00B02334">
      <w:pPr>
        <w:rPr>
          <w:rFonts w:ascii="Times New Roman" w:hAnsi="Times New Roman" w:cs="Times New Roman"/>
          <w:b/>
        </w:rPr>
      </w:pPr>
      <w:r w:rsidRPr="003446DA">
        <w:rPr>
          <w:rFonts w:ascii="Times New Roman" w:hAnsi="Times New Roman" w:cs="Times New Roman"/>
          <w:b/>
        </w:rPr>
        <w:t>S</w:t>
      </w:r>
      <w:r w:rsidR="002D0BB2">
        <w:rPr>
          <w:rFonts w:ascii="Times New Roman" w:hAnsi="Times New Roman" w:cs="Times New Roman"/>
          <w:b/>
        </w:rPr>
        <w:t>2</w:t>
      </w:r>
      <w:r w:rsidR="003446DA" w:rsidRPr="003446DA">
        <w:rPr>
          <w:rFonts w:ascii="Times New Roman" w:hAnsi="Times New Roman" w:cs="Times New Roman"/>
          <w:b/>
        </w:rPr>
        <w:t>. Comprehensive list of data items for data extraction</w:t>
      </w:r>
    </w:p>
    <w:tbl>
      <w:tblPr>
        <w:tblStyle w:val="TableGrid"/>
        <w:tblW w:w="0" w:type="auto"/>
        <w:tblLook w:val="04A0" w:firstRow="1" w:lastRow="0" w:firstColumn="1" w:lastColumn="0" w:noHBand="0" w:noVBand="1"/>
      </w:tblPr>
      <w:tblGrid>
        <w:gridCol w:w="2352"/>
        <w:gridCol w:w="6998"/>
      </w:tblGrid>
      <w:tr w:rsidR="003446DA" w:rsidRPr="00E8605F" w14:paraId="454F666C" w14:textId="77777777" w:rsidTr="00CF4AA3">
        <w:trPr>
          <w:trHeight w:val="260"/>
          <w:tblHeader/>
        </w:trPr>
        <w:tc>
          <w:tcPr>
            <w:tcW w:w="3140" w:type="dxa"/>
            <w:noWrap/>
            <w:hideMark/>
          </w:tcPr>
          <w:p w14:paraId="66E30071" w14:textId="77777777" w:rsidR="003446DA" w:rsidRPr="00E8605F" w:rsidRDefault="003446DA">
            <w:pPr>
              <w:rPr>
                <w:rFonts w:ascii="Times New Roman" w:hAnsi="Times New Roman" w:cs="Times New Roman"/>
                <w:b/>
                <w:bCs/>
                <w:sz w:val="18"/>
                <w:szCs w:val="18"/>
              </w:rPr>
            </w:pPr>
            <w:r w:rsidRPr="00E8605F">
              <w:rPr>
                <w:rFonts w:ascii="Times New Roman" w:hAnsi="Times New Roman" w:cs="Times New Roman"/>
                <w:b/>
                <w:bCs/>
                <w:sz w:val="18"/>
                <w:szCs w:val="18"/>
              </w:rPr>
              <w:t>Data items</w:t>
            </w:r>
          </w:p>
        </w:tc>
        <w:tc>
          <w:tcPr>
            <w:tcW w:w="9500" w:type="dxa"/>
            <w:hideMark/>
          </w:tcPr>
          <w:p w14:paraId="2D94ECDB" w14:textId="77777777" w:rsidR="003446DA" w:rsidRPr="00E8605F" w:rsidRDefault="003446DA">
            <w:pPr>
              <w:rPr>
                <w:rFonts w:ascii="Times New Roman" w:hAnsi="Times New Roman" w:cs="Times New Roman"/>
                <w:b/>
                <w:bCs/>
                <w:sz w:val="18"/>
                <w:szCs w:val="18"/>
              </w:rPr>
            </w:pPr>
            <w:r w:rsidRPr="00E8605F">
              <w:rPr>
                <w:rFonts w:ascii="Times New Roman" w:hAnsi="Times New Roman" w:cs="Times New Roman"/>
                <w:b/>
                <w:bCs/>
                <w:sz w:val="18"/>
                <w:szCs w:val="18"/>
              </w:rPr>
              <w:t>Data item description</w:t>
            </w:r>
          </w:p>
        </w:tc>
      </w:tr>
      <w:tr w:rsidR="003446DA" w:rsidRPr="00E8605F" w14:paraId="6A09A961" w14:textId="77777777" w:rsidTr="003446DA">
        <w:trPr>
          <w:trHeight w:val="260"/>
        </w:trPr>
        <w:tc>
          <w:tcPr>
            <w:tcW w:w="12640" w:type="dxa"/>
            <w:gridSpan w:val="2"/>
            <w:noWrap/>
            <w:hideMark/>
          </w:tcPr>
          <w:p w14:paraId="12192769" w14:textId="77777777" w:rsidR="003446DA" w:rsidRPr="00E8605F" w:rsidRDefault="003446DA">
            <w:pPr>
              <w:rPr>
                <w:rFonts w:ascii="Times New Roman" w:hAnsi="Times New Roman" w:cs="Times New Roman"/>
                <w:i/>
                <w:iCs/>
                <w:sz w:val="18"/>
                <w:szCs w:val="18"/>
              </w:rPr>
            </w:pPr>
            <w:r w:rsidRPr="00E8605F">
              <w:rPr>
                <w:rFonts w:ascii="Times New Roman" w:hAnsi="Times New Roman" w:cs="Times New Roman"/>
                <w:i/>
                <w:iCs/>
                <w:sz w:val="18"/>
                <w:szCs w:val="18"/>
              </w:rPr>
              <w:t>1. General information on the scheme:</w:t>
            </w:r>
          </w:p>
        </w:tc>
      </w:tr>
      <w:tr w:rsidR="003446DA" w:rsidRPr="00E8605F" w14:paraId="57F030A6" w14:textId="77777777" w:rsidTr="003446DA">
        <w:trPr>
          <w:trHeight w:val="520"/>
        </w:trPr>
        <w:tc>
          <w:tcPr>
            <w:tcW w:w="3140" w:type="dxa"/>
            <w:hideMark/>
          </w:tcPr>
          <w:p w14:paraId="0FB3DDF6"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Scheme type name</w:t>
            </w:r>
          </w:p>
        </w:tc>
        <w:tc>
          <w:tcPr>
            <w:tcW w:w="9500" w:type="dxa"/>
            <w:hideMark/>
          </w:tcPr>
          <w:p w14:paraId="0256D32E"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Identification of each scheme with its given name, when available, or with an identifying label or expression. Both names translated in English and in the original language will be provided.</w:t>
            </w:r>
          </w:p>
        </w:tc>
      </w:tr>
      <w:tr w:rsidR="003446DA" w:rsidRPr="00E8605F" w14:paraId="1769A880" w14:textId="77777777" w:rsidTr="003446DA">
        <w:trPr>
          <w:trHeight w:val="520"/>
        </w:trPr>
        <w:tc>
          <w:tcPr>
            <w:tcW w:w="3140" w:type="dxa"/>
            <w:hideMark/>
          </w:tcPr>
          <w:p w14:paraId="34873F34"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Scheme type description</w:t>
            </w:r>
          </w:p>
        </w:tc>
        <w:tc>
          <w:tcPr>
            <w:tcW w:w="9500" w:type="dxa"/>
            <w:hideMark/>
          </w:tcPr>
          <w:p w14:paraId="439071C7"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High-level description of the defining elements of the scheme, its model of functioning, the stakeholders involved and their role, and other distinguishing features</w:t>
            </w:r>
          </w:p>
        </w:tc>
      </w:tr>
      <w:tr w:rsidR="003446DA" w:rsidRPr="00E8605F" w14:paraId="36B8DC40" w14:textId="77777777" w:rsidTr="003446DA">
        <w:trPr>
          <w:trHeight w:val="520"/>
        </w:trPr>
        <w:tc>
          <w:tcPr>
            <w:tcW w:w="3140" w:type="dxa"/>
            <w:hideMark/>
          </w:tcPr>
          <w:p w14:paraId="4B71FBBC"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Scheme type objective</w:t>
            </w:r>
          </w:p>
        </w:tc>
        <w:tc>
          <w:tcPr>
            <w:tcW w:w="9500" w:type="dxa"/>
            <w:hideMark/>
          </w:tcPr>
          <w:p w14:paraId="6ED32ED7"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Description of the main rationale(s) associated with a given scheme that identifies the intended policy objectives that the stakeholders involved are willing to achieve by using the scheme</w:t>
            </w:r>
          </w:p>
        </w:tc>
      </w:tr>
      <w:tr w:rsidR="003446DA" w:rsidRPr="00E8605F" w14:paraId="42C9EE35" w14:textId="77777777" w:rsidTr="003446DA">
        <w:trPr>
          <w:trHeight w:val="780"/>
        </w:trPr>
        <w:tc>
          <w:tcPr>
            <w:tcW w:w="3140" w:type="dxa"/>
            <w:hideMark/>
          </w:tcPr>
          <w:p w14:paraId="6CE65DB0"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Pricing versus payment scheme</w:t>
            </w:r>
          </w:p>
        </w:tc>
        <w:tc>
          <w:tcPr>
            <w:tcW w:w="9500" w:type="dxa"/>
            <w:hideMark/>
          </w:tcPr>
          <w:p w14:paraId="5CA50BFE"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Classification of each scheme as “pricing scheme” or “payment/reimbursement scheme,” subject to whether it refers to any approach to define the price of health technologies, or to any approach to defined how to pay for new or expensive health products</w:t>
            </w:r>
          </w:p>
        </w:tc>
      </w:tr>
      <w:tr w:rsidR="003446DA" w:rsidRPr="00E8605F" w14:paraId="4169BEF4" w14:textId="77777777" w:rsidTr="003446DA">
        <w:trPr>
          <w:trHeight w:val="520"/>
        </w:trPr>
        <w:tc>
          <w:tcPr>
            <w:tcW w:w="3140" w:type="dxa"/>
            <w:hideMark/>
          </w:tcPr>
          <w:p w14:paraId="57C44669"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Theoretical versus applied scheme</w:t>
            </w:r>
          </w:p>
        </w:tc>
        <w:tc>
          <w:tcPr>
            <w:tcW w:w="9500" w:type="dxa"/>
            <w:hideMark/>
          </w:tcPr>
          <w:p w14:paraId="1FCE1E36"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Classification of each scheme as “theoretical” (i.e., indicating that it has only been proposed or theorized in the literature) or as “applied” (i.e., indicating that it has been implemented and that it is used in real-world contexts)</w:t>
            </w:r>
          </w:p>
        </w:tc>
      </w:tr>
      <w:tr w:rsidR="003446DA" w:rsidRPr="00E8605F" w14:paraId="28866695" w14:textId="77777777" w:rsidTr="003446DA">
        <w:trPr>
          <w:trHeight w:val="520"/>
        </w:trPr>
        <w:tc>
          <w:tcPr>
            <w:tcW w:w="3140" w:type="dxa"/>
            <w:hideMark/>
          </w:tcPr>
          <w:p w14:paraId="10CF7F78"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Perspective</w:t>
            </w:r>
          </w:p>
        </w:tc>
        <w:tc>
          <w:tcPr>
            <w:tcW w:w="9500" w:type="dxa"/>
            <w:hideMark/>
          </w:tcPr>
          <w:p w14:paraId="0359D67F"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Classification of a given scheme as “patient level” or “population level,” subject to whether the mechanisms that trigger financial or outcome-based aspects of the scheme are defined at the patient or population level, respectively</w:t>
            </w:r>
          </w:p>
        </w:tc>
      </w:tr>
      <w:tr w:rsidR="003446DA" w:rsidRPr="00E8605F" w14:paraId="027FB02B" w14:textId="77777777" w:rsidTr="003446DA">
        <w:trPr>
          <w:trHeight w:val="780"/>
        </w:trPr>
        <w:tc>
          <w:tcPr>
            <w:tcW w:w="3140" w:type="dxa"/>
            <w:hideMark/>
          </w:tcPr>
          <w:p w14:paraId="471A2E8E"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Distribution of risk</w:t>
            </w:r>
          </w:p>
        </w:tc>
        <w:tc>
          <w:tcPr>
            <w:tcW w:w="9500" w:type="dxa"/>
            <w:hideMark/>
          </w:tcPr>
          <w:p w14:paraId="5278E1EA"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For schemes that aim at managing at-launch uncertainties around financial or outcome-based dimensions of the scheme, indication of how such risk is shared amongst the parties involved (e.g., manufacturers, authorities, and payers)</w:t>
            </w:r>
          </w:p>
        </w:tc>
      </w:tr>
      <w:tr w:rsidR="003446DA" w:rsidRPr="00E8605F" w14:paraId="5369751E" w14:textId="77777777" w:rsidTr="003446DA">
        <w:trPr>
          <w:trHeight w:val="260"/>
        </w:trPr>
        <w:tc>
          <w:tcPr>
            <w:tcW w:w="12640" w:type="dxa"/>
            <w:gridSpan w:val="2"/>
            <w:noWrap/>
            <w:hideMark/>
          </w:tcPr>
          <w:p w14:paraId="77961325" w14:textId="77777777" w:rsidR="003446DA" w:rsidRPr="00E8605F" w:rsidRDefault="003446DA">
            <w:pPr>
              <w:rPr>
                <w:rFonts w:ascii="Times New Roman" w:hAnsi="Times New Roman" w:cs="Times New Roman"/>
                <w:i/>
                <w:iCs/>
                <w:sz w:val="18"/>
                <w:szCs w:val="18"/>
              </w:rPr>
            </w:pPr>
            <w:r w:rsidRPr="00E8605F">
              <w:rPr>
                <w:rFonts w:ascii="Times New Roman" w:hAnsi="Times New Roman" w:cs="Times New Roman"/>
                <w:i/>
                <w:iCs/>
                <w:sz w:val="18"/>
                <w:szCs w:val="18"/>
              </w:rPr>
              <w:t>2. In case the scheme has been implemented in real life:</w:t>
            </w:r>
          </w:p>
        </w:tc>
      </w:tr>
      <w:tr w:rsidR="003446DA" w:rsidRPr="00E8605F" w14:paraId="2C5A1DD7" w14:textId="77777777" w:rsidTr="003446DA">
        <w:trPr>
          <w:trHeight w:val="780"/>
        </w:trPr>
        <w:tc>
          <w:tcPr>
            <w:tcW w:w="3140" w:type="dxa"/>
            <w:hideMark/>
          </w:tcPr>
          <w:p w14:paraId="0FBEE86D"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Case of application</w:t>
            </w:r>
          </w:p>
        </w:tc>
        <w:tc>
          <w:tcPr>
            <w:tcW w:w="9500" w:type="dxa"/>
            <w:hideMark/>
          </w:tcPr>
          <w:p w14:paraId="29E75FFC"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Example of application of a given scheme in a real-world context, when available. This could be identified by either using the brand name and/or active principle for drugs; the brand name, for medical devices; or other varying labels that identify a given case of application</w:t>
            </w:r>
          </w:p>
        </w:tc>
      </w:tr>
      <w:tr w:rsidR="003446DA" w:rsidRPr="00E8605F" w14:paraId="02B38EA5" w14:textId="77777777" w:rsidTr="003446DA">
        <w:trPr>
          <w:trHeight w:val="520"/>
        </w:trPr>
        <w:tc>
          <w:tcPr>
            <w:tcW w:w="3140" w:type="dxa"/>
            <w:hideMark/>
          </w:tcPr>
          <w:p w14:paraId="18378C09"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Case of application description</w:t>
            </w:r>
          </w:p>
        </w:tc>
        <w:tc>
          <w:tcPr>
            <w:tcW w:w="9500" w:type="dxa"/>
            <w:hideMark/>
          </w:tcPr>
          <w:p w14:paraId="26040153"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Detailed description of the case of application, including its key elements, its functioning, the stakeholders involved, and other distinguishing features</w:t>
            </w:r>
          </w:p>
        </w:tc>
      </w:tr>
      <w:tr w:rsidR="003446DA" w:rsidRPr="00E8605F" w14:paraId="199E33AB" w14:textId="77777777" w:rsidTr="003446DA">
        <w:trPr>
          <w:trHeight w:val="260"/>
        </w:trPr>
        <w:tc>
          <w:tcPr>
            <w:tcW w:w="3140" w:type="dxa"/>
            <w:hideMark/>
          </w:tcPr>
          <w:p w14:paraId="3D73F9FA"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Country</w:t>
            </w:r>
          </w:p>
        </w:tc>
        <w:tc>
          <w:tcPr>
            <w:tcW w:w="9500" w:type="dxa"/>
            <w:hideMark/>
          </w:tcPr>
          <w:p w14:paraId="2549C1D8"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Indication of the country or countries where the case of application has been implemented</w:t>
            </w:r>
          </w:p>
        </w:tc>
      </w:tr>
      <w:tr w:rsidR="003446DA" w:rsidRPr="00E8605F" w14:paraId="442EF31A" w14:textId="77777777" w:rsidTr="003446DA">
        <w:trPr>
          <w:trHeight w:val="260"/>
        </w:trPr>
        <w:tc>
          <w:tcPr>
            <w:tcW w:w="3140" w:type="dxa"/>
            <w:hideMark/>
          </w:tcPr>
          <w:p w14:paraId="6530E370"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Date</w:t>
            </w:r>
          </w:p>
        </w:tc>
        <w:tc>
          <w:tcPr>
            <w:tcW w:w="9500" w:type="dxa"/>
            <w:hideMark/>
          </w:tcPr>
          <w:p w14:paraId="1F9221FF"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Indication of the date when the case of application under analysis was first implemented</w:t>
            </w:r>
          </w:p>
        </w:tc>
      </w:tr>
      <w:tr w:rsidR="003446DA" w:rsidRPr="00E8605F" w14:paraId="383F879C" w14:textId="77777777" w:rsidTr="003446DA">
        <w:trPr>
          <w:trHeight w:val="520"/>
        </w:trPr>
        <w:tc>
          <w:tcPr>
            <w:tcW w:w="3140" w:type="dxa"/>
            <w:hideMark/>
          </w:tcPr>
          <w:p w14:paraId="58310084"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Status of the scheme</w:t>
            </w:r>
          </w:p>
        </w:tc>
        <w:tc>
          <w:tcPr>
            <w:tcW w:w="9500" w:type="dxa"/>
            <w:hideMark/>
          </w:tcPr>
          <w:p w14:paraId="6AED9A26"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Indication of the status of the scheme at the time of data collection, namely whether it is “closed,” “ongoing,” “yet to start,” or “other”</w:t>
            </w:r>
          </w:p>
        </w:tc>
      </w:tr>
      <w:tr w:rsidR="003446DA" w:rsidRPr="00E8605F" w14:paraId="0B3842F2" w14:textId="77777777" w:rsidTr="003446DA">
        <w:trPr>
          <w:trHeight w:val="260"/>
        </w:trPr>
        <w:tc>
          <w:tcPr>
            <w:tcW w:w="3140" w:type="dxa"/>
            <w:hideMark/>
          </w:tcPr>
          <w:p w14:paraId="78424369"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Length/time horizon</w:t>
            </w:r>
          </w:p>
        </w:tc>
        <w:tc>
          <w:tcPr>
            <w:tcW w:w="9500" w:type="dxa"/>
            <w:hideMark/>
          </w:tcPr>
          <w:p w14:paraId="212107E3"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Indication of the timeframe of validity of the case of application, namely its duration or the extension over time</w:t>
            </w:r>
          </w:p>
        </w:tc>
      </w:tr>
      <w:tr w:rsidR="003446DA" w:rsidRPr="00E8605F" w14:paraId="7B35D24E" w14:textId="77777777" w:rsidTr="003446DA">
        <w:trPr>
          <w:trHeight w:val="520"/>
        </w:trPr>
        <w:tc>
          <w:tcPr>
            <w:tcW w:w="3140" w:type="dxa"/>
            <w:hideMark/>
          </w:tcPr>
          <w:p w14:paraId="086CE93A"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Product category</w:t>
            </w:r>
          </w:p>
        </w:tc>
        <w:tc>
          <w:tcPr>
            <w:tcW w:w="9500" w:type="dxa"/>
            <w:hideMark/>
          </w:tcPr>
          <w:p w14:paraId="553C0918"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Classification of the case of application based on the type of health technology under analysis, clustering the schemes as being applied to “drugs,” “medical devices,” “digital technologies,” or combination of these technologies</w:t>
            </w:r>
          </w:p>
        </w:tc>
      </w:tr>
      <w:tr w:rsidR="003446DA" w:rsidRPr="00E8605F" w14:paraId="4DED41A7" w14:textId="77777777" w:rsidTr="003446DA">
        <w:trPr>
          <w:trHeight w:val="780"/>
        </w:trPr>
        <w:tc>
          <w:tcPr>
            <w:tcW w:w="3140" w:type="dxa"/>
            <w:hideMark/>
          </w:tcPr>
          <w:p w14:paraId="5AD1EC73"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Drug type (if product category is drugs)</w:t>
            </w:r>
          </w:p>
        </w:tc>
        <w:tc>
          <w:tcPr>
            <w:tcW w:w="9500" w:type="dxa"/>
            <w:hideMark/>
          </w:tcPr>
          <w:p w14:paraId="4268EA31"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 xml:space="preserve">When the product category being considered is “drugs,” classification of the case of application based on </w:t>
            </w:r>
            <w:proofErr w:type="spellStart"/>
            <w:r w:rsidRPr="00E8605F">
              <w:rPr>
                <w:rFonts w:ascii="Times New Roman" w:hAnsi="Times New Roman" w:cs="Times New Roman"/>
                <w:sz w:val="18"/>
                <w:szCs w:val="18"/>
              </w:rPr>
              <w:t>macrocategories</w:t>
            </w:r>
            <w:proofErr w:type="spellEnd"/>
            <w:r w:rsidRPr="00E8605F">
              <w:rPr>
                <w:rFonts w:ascii="Times New Roman" w:hAnsi="Times New Roman" w:cs="Times New Roman"/>
                <w:sz w:val="18"/>
                <w:szCs w:val="18"/>
              </w:rPr>
              <w:t xml:space="preserve"> of drug types, clustering the schemes as being applied to “patented drugs,” “generic drugs,” “vaccines,” “antibiotics,” “ATMPs/gene therapies,” or “others”</w:t>
            </w:r>
          </w:p>
        </w:tc>
      </w:tr>
      <w:tr w:rsidR="003446DA" w:rsidRPr="00E8605F" w14:paraId="5511F3B8" w14:textId="77777777" w:rsidTr="003446DA">
        <w:trPr>
          <w:trHeight w:val="780"/>
        </w:trPr>
        <w:tc>
          <w:tcPr>
            <w:tcW w:w="3140" w:type="dxa"/>
            <w:hideMark/>
          </w:tcPr>
          <w:p w14:paraId="21FC7411"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Device type (if product category is devices)</w:t>
            </w:r>
          </w:p>
        </w:tc>
        <w:tc>
          <w:tcPr>
            <w:tcW w:w="9500" w:type="dxa"/>
            <w:hideMark/>
          </w:tcPr>
          <w:p w14:paraId="6CFD8631"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 xml:space="preserve">When the product category being considered is “devices,” classification of the case of application based on </w:t>
            </w:r>
            <w:proofErr w:type="spellStart"/>
            <w:r w:rsidRPr="00E8605F">
              <w:rPr>
                <w:rFonts w:ascii="Times New Roman" w:hAnsi="Times New Roman" w:cs="Times New Roman"/>
                <w:sz w:val="18"/>
                <w:szCs w:val="18"/>
              </w:rPr>
              <w:t>macrocategories</w:t>
            </w:r>
            <w:proofErr w:type="spellEnd"/>
            <w:r w:rsidRPr="00E8605F">
              <w:rPr>
                <w:rFonts w:ascii="Times New Roman" w:hAnsi="Times New Roman" w:cs="Times New Roman"/>
                <w:sz w:val="18"/>
                <w:szCs w:val="18"/>
              </w:rPr>
              <w:t xml:space="preserve"> of device types, clustering the schemes as being applied to “diagnostics,” “in vitro diagnostics” or “others”</w:t>
            </w:r>
          </w:p>
        </w:tc>
      </w:tr>
      <w:tr w:rsidR="003446DA" w:rsidRPr="00E8605F" w14:paraId="5C951A09" w14:textId="77777777" w:rsidTr="003446DA">
        <w:trPr>
          <w:trHeight w:val="260"/>
        </w:trPr>
        <w:tc>
          <w:tcPr>
            <w:tcW w:w="3140" w:type="dxa"/>
            <w:hideMark/>
          </w:tcPr>
          <w:p w14:paraId="2CBFC5AB"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Therapeutic area</w:t>
            </w:r>
          </w:p>
        </w:tc>
        <w:tc>
          <w:tcPr>
            <w:tcW w:w="9500" w:type="dxa"/>
            <w:hideMark/>
          </w:tcPr>
          <w:p w14:paraId="540EF335"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Indication of the therapeutic area of the health innovation object of the case of application</w:t>
            </w:r>
          </w:p>
        </w:tc>
      </w:tr>
      <w:tr w:rsidR="003446DA" w:rsidRPr="00E8605F" w14:paraId="029A8B91" w14:textId="77777777" w:rsidTr="003446DA">
        <w:trPr>
          <w:trHeight w:val="780"/>
        </w:trPr>
        <w:tc>
          <w:tcPr>
            <w:tcW w:w="3140" w:type="dxa"/>
            <w:hideMark/>
          </w:tcPr>
          <w:p w14:paraId="5F14A6AE"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Mode of administration</w:t>
            </w:r>
          </w:p>
        </w:tc>
        <w:tc>
          <w:tcPr>
            <w:tcW w:w="9500" w:type="dxa"/>
            <w:hideMark/>
          </w:tcPr>
          <w:p w14:paraId="364B5221"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Classification of the case of application based on the mode of administration of a given therapy, clustering the schemes as “single administration” (e.g., for gene therapies), “cycles of treatment” (e.g., for oncologic drugs), or “</w:t>
            </w:r>
            <w:proofErr w:type="spellStart"/>
            <w:r w:rsidRPr="00E8605F">
              <w:rPr>
                <w:rFonts w:ascii="Times New Roman" w:hAnsi="Times New Roman" w:cs="Times New Roman"/>
                <w:sz w:val="18"/>
                <w:szCs w:val="18"/>
              </w:rPr>
              <w:t>life long</w:t>
            </w:r>
            <w:proofErr w:type="spellEnd"/>
            <w:r w:rsidRPr="00E8605F">
              <w:rPr>
                <w:rFonts w:ascii="Times New Roman" w:hAnsi="Times New Roman" w:cs="Times New Roman"/>
                <w:sz w:val="18"/>
                <w:szCs w:val="18"/>
              </w:rPr>
              <w:t>” (e.g., for chronic diseases)</w:t>
            </w:r>
          </w:p>
        </w:tc>
      </w:tr>
      <w:tr w:rsidR="003446DA" w:rsidRPr="00E8605F" w14:paraId="5224F40A" w14:textId="77777777" w:rsidTr="003446DA">
        <w:trPr>
          <w:trHeight w:val="520"/>
        </w:trPr>
        <w:tc>
          <w:tcPr>
            <w:tcW w:w="3140" w:type="dxa"/>
            <w:hideMark/>
          </w:tcPr>
          <w:p w14:paraId="7DE8E967"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Setting</w:t>
            </w:r>
          </w:p>
        </w:tc>
        <w:tc>
          <w:tcPr>
            <w:tcW w:w="9500" w:type="dxa"/>
            <w:hideMark/>
          </w:tcPr>
          <w:p w14:paraId="6B4F094E"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Identification of the setting of care in which the case of application is delivered, clustering the schemes as “inpatient,” “outpatient,” or “other”</w:t>
            </w:r>
          </w:p>
        </w:tc>
      </w:tr>
      <w:tr w:rsidR="003446DA" w:rsidRPr="00E8605F" w14:paraId="55C7FD48" w14:textId="77777777" w:rsidTr="003446DA">
        <w:trPr>
          <w:trHeight w:val="520"/>
        </w:trPr>
        <w:tc>
          <w:tcPr>
            <w:tcW w:w="3140" w:type="dxa"/>
            <w:hideMark/>
          </w:tcPr>
          <w:p w14:paraId="6EB30377"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Healthcare system</w:t>
            </w:r>
          </w:p>
        </w:tc>
        <w:tc>
          <w:tcPr>
            <w:tcW w:w="9500" w:type="dxa"/>
            <w:hideMark/>
          </w:tcPr>
          <w:p w14:paraId="6498D248"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Indication of the type of healthcare system where the case of application is implemented, typically distinguishing between “tax based” or “insurance based” systems</w:t>
            </w:r>
          </w:p>
        </w:tc>
      </w:tr>
      <w:tr w:rsidR="003446DA" w:rsidRPr="00E8605F" w14:paraId="73010304" w14:textId="77777777" w:rsidTr="003446DA">
        <w:trPr>
          <w:trHeight w:val="780"/>
        </w:trPr>
        <w:tc>
          <w:tcPr>
            <w:tcW w:w="3140" w:type="dxa"/>
            <w:hideMark/>
          </w:tcPr>
          <w:p w14:paraId="744C86EC"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Data collection needs</w:t>
            </w:r>
          </w:p>
        </w:tc>
        <w:tc>
          <w:tcPr>
            <w:tcW w:w="9500" w:type="dxa"/>
            <w:hideMark/>
          </w:tcPr>
          <w:p w14:paraId="36E10EC9"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For the performance-based schemes, indication of the needs for data collection, the type of study used in the evaluation, the type of data to be collected, the health outcome measure (for outcome-based schemes), and the outcome of the scheme (e.g., coverage and reimbursement consequences)</w:t>
            </w:r>
          </w:p>
        </w:tc>
      </w:tr>
      <w:tr w:rsidR="003446DA" w:rsidRPr="00E8605F" w14:paraId="6F08E5DB" w14:textId="77777777" w:rsidTr="003446DA">
        <w:trPr>
          <w:trHeight w:val="260"/>
        </w:trPr>
        <w:tc>
          <w:tcPr>
            <w:tcW w:w="3140" w:type="dxa"/>
            <w:hideMark/>
          </w:tcPr>
          <w:p w14:paraId="08DDB408"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Governance of the scheme</w:t>
            </w:r>
          </w:p>
        </w:tc>
        <w:tc>
          <w:tcPr>
            <w:tcW w:w="9500" w:type="dxa"/>
            <w:hideMark/>
          </w:tcPr>
          <w:p w14:paraId="3C5048E2" w14:textId="77777777" w:rsidR="003446DA" w:rsidRPr="00E8605F" w:rsidRDefault="003446DA">
            <w:pPr>
              <w:rPr>
                <w:rFonts w:ascii="Times New Roman" w:hAnsi="Times New Roman" w:cs="Times New Roman"/>
                <w:sz w:val="18"/>
                <w:szCs w:val="18"/>
              </w:rPr>
            </w:pPr>
            <w:r w:rsidRPr="00E8605F">
              <w:rPr>
                <w:rFonts w:ascii="Times New Roman" w:hAnsi="Times New Roman" w:cs="Times New Roman"/>
                <w:sz w:val="18"/>
                <w:szCs w:val="18"/>
              </w:rPr>
              <w:t>Indication of the responsibilities for governance, data collection and analysis of the scheme</w:t>
            </w:r>
          </w:p>
        </w:tc>
      </w:tr>
    </w:tbl>
    <w:p w14:paraId="4C3B703A" w14:textId="72191DBE" w:rsidR="00B02334" w:rsidRDefault="00B02334">
      <w:pPr>
        <w:rPr>
          <w:rFonts w:ascii="Times New Roman" w:hAnsi="Times New Roman" w:cs="Times New Roman"/>
        </w:rPr>
      </w:pPr>
      <w:r w:rsidRPr="003446DA">
        <w:rPr>
          <w:rFonts w:ascii="Times New Roman" w:hAnsi="Times New Roman" w:cs="Times New Roman"/>
        </w:rPr>
        <w:t xml:space="preserve"> </w:t>
      </w:r>
    </w:p>
    <w:p w14:paraId="48970154" w14:textId="0F5E3E32" w:rsidR="003446DA" w:rsidRDefault="003446DA">
      <w:pPr>
        <w:rPr>
          <w:rFonts w:ascii="Times New Roman" w:hAnsi="Times New Roman" w:cs="Times New Roman"/>
        </w:rPr>
      </w:pPr>
      <w:r>
        <w:rPr>
          <w:rFonts w:ascii="Times New Roman" w:hAnsi="Times New Roman" w:cs="Times New Roman"/>
        </w:rPr>
        <w:br w:type="page"/>
      </w:r>
    </w:p>
    <w:p w14:paraId="0AA8A32F" w14:textId="77777777" w:rsidR="00A77862" w:rsidRDefault="00A77862">
      <w:pPr>
        <w:rPr>
          <w:rFonts w:ascii="Times New Roman" w:hAnsi="Times New Roman" w:cs="Times New Roman"/>
        </w:rPr>
        <w:sectPr w:rsidR="00A77862" w:rsidSect="00366676">
          <w:pgSz w:w="12240" w:h="15840"/>
          <w:pgMar w:top="1440" w:right="1440" w:bottom="1440" w:left="1440" w:header="720" w:footer="720" w:gutter="0"/>
          <w:cols w:space="720"/>
          <w:docGrid w:linePitch="360"/>
        </w:sectPr>
      </w:pPr>
    </w:p>
    <w:p w14:paraId="2D84ADE7" w14:textId="485EDCDD" w:rsidR="003446DA" w:rsidRPr="00A77862" w:rsidRDefault="00A77862">
      <w:pPr>
        <w:rPr>
          <w:rFonts w:ascii="Times New Roman" w:hAnsi="Times New Roman" w:cs="Times New Roman"/>
          <w:b/>
        </w:rPr>
      </w:pPr>
      <w:r w:rsidRPr="00A77862">
        <w:rPr>
          <w:rFonts w:ascii="Times New Roman" w:hAnsi="Times New Roman" w:cs="Times New Roman"/>
          <w:b/>
        </w:rPr>
        <w:t>S</w:t>
      </w:r>
      <w:r w:rsidR="002D0BB2">
        <w:rPr>
          <w:rFonts w:ascii="Times New Roman" w:hAnsi="Times New Roman" w:cs="Times New Roman"/>
          <w:b/>
        </w:rPr>
        <w:t>3</w:t>
      </w:r>
      <w:r w:rsidRPr="00A77862">
        <w:rPr>
          <w:rFonts w:ascii="Times New Roman" w:hAnsi="Times New Roman" w:cs="Times New Roman"/>
          <w:b/>
        </w:rPr>
        <w:t xml:space="preserve">. </w:t>
      </w:r>
      <w:r>
        <w:rPr>
          <w:rFonts w:ascii="Times New Roman" w:hAnsi="Times New Roman" w:cs="Times New Roman"/>
          <w:b/>
        </w:rPr>
        <w:t>C</w:t>
      </w:r>
      <w:r w:rsidRPr="00A77862">
        <w:rPr>
          <w:rFonts w:ascii="Times New Roman" w:hAnsi="Times New Roman" w:cs="Times New Roman"/>
          <w:b/>
        </w:rPr>
        <w:t>haracteristics of selected papers</w:t>
      </w:r>
    </w:p>
    <w:tbl>
      <w:tblPr>
        <w:tblStyle w:val="TableGrid"/>
        <w:tblW w:w="0" w:type="auto"/>
        <w:tblLook w:val="04A0" w:firstRow="1" w:lastRow="0" w:firstColumn="1" w:lastColumn="0" w:noHBand="0" w:noVBand="1"/>
      </w:tblPr>
      <w:tblGrid>
        <w:gridCol w:w="1699"/>
        <w:gridCol w:w="882"/>
        <w:gridCol w:w="1579"/>
        <w:gridCol w:w="2331"/>
        <w:gridCol w:w="6459"/>
      </w:tblGrid>
      <w:tr w:rsidR="00A77862" w:rsidRPr="00E8605F" w14:paraId="4B736EE0" w14:textId="77777777" w:rsidTr="00CF4AA3">
        <w:trPr>
          <w:trHeight w:val="310"/>
          <w:tblHeader/>
        </w:trPr>
        <w:tc>
          <w:tcPr>
            <w:tcW w:w="2180" w:type="dxa"/>
            <w:noWrap/>
            <w:hideMark/>
          </w:tcPr>
          <w:p w14:paraId="605DA742" w14:textId="77777777" w:rsidR="00A77862" w:rsidRPr="00E8605F" w:rsidRDefault="00A77862">
            <w:pPr>
              <w:rPr>
                <w:rFonts w:ascii="Times New Roman" w:hAnsi="Times New Roman" w:cs="Times New Roman"/>
                <w:b/>
                <w:bCs/>
                <w:sz w:val="18"/>
                <w:szCs w:val="18"/>
              </w:rPr>
            </w:pPr>
            <w:r w:rsidRPr="00E8605F">
              <w:rPr>
                <w:rFonts w:ascii="Times New Roman" w:hAnsi="Times New Roman" w:cs="Times New Roman"/>
                <w:b/>
                <w:bCs/>
                <w:sz w:val="18"/>
                <w:szCs w:val="18"/>
              </w:rPr>
              <w:t>Study</w:t>
            </w:r>
          </w:p>
        </w:tc>
        <w:tc>
          <w:tcPr>
            <w:tcW w:w="988" w:type="dxa"/>
            <w:noWrap/>
            <w:hideMark/>
          </w:tcPr>
          <w:p w14:paraId="03E67376" w14:textId="77777777" w:rsidR="00A77862" w:rsidRPr="00E8605F" w:rsidRDefault="00A77862">
            <w:pPr>
              <w:rPr>
                <w:rFonts w:ascii="Times New Roman" w:hAnsi="Times New Roman" w:cs="Times New Roman"/>
                <w:b/>
                <w:bCs/>
                <w:sz w:val="18"/>
                <w:szCs w:val="18"/>
              </w:rPr>
            </w:pPr>
            <w:r w:rsidRPr="00E8605F">
              <w:rPr>
                <w:rFonts w:ascii="Times New Roman" w:hAnsi="Times New Roman" w:cs="Times New Roman"/>
                <w:b/>
                <w:bCs/>
                <w:sz w:val="18"/>
                <w:szCs w:val="18"/>
              </w:rPr>
              <w:t>Publication year</w:t>
            </w:r>
          </w:p>
        </w:tc>
        <w:tc>
          <w:tcPr>
            <w:tcW w:w="2020" w:type="dxa"/>
            <w:noWrap/>
            <w:hideMark/>
          </w:tcPr>
          <w:p w14:paraId="3AE8193C" w14:textId="77777777" w:rsidR="00A77862" w:rsidRPr="00E8605F" w:rsidRDefault="00A77862">
            <w:pPr>
              <w:rPr>
                <w:rFonts w:ascii="Times New Roman" w:hAnsi="Times New Roman" w:cs="Times New Roman"/>
                <w:b/>
                <w:bCs/>
                <w:sz w:val="18"/>
                <w:szCs w:val="18"/>
              </w:rPr>
            </w:pPr>
            <w:r w:rsidRPr="00E8605F">
              <w:rPr>
                <w:rFonts w:ascii="Times New Roman" w:hAnsi="Times New Roman" w:cs="Times New Roman"/>
                <w:b/>
                <w:bCs/>
                <w:sz w:val="18"/>
                <w:szCs w:val="18"/>
              </w:rPr>
              <w:t>Country of first author</w:t>
            </w:r>
          </w:p>
        </w:tc>
        <w:tc>
          <w:tcPr>
            <w:tcW w:w="3015" w:type="dxa"/>
            <w:noWrap/>
            <w:hideMark/>
          </w:tcPr>
          <w:p w14:paraId="751CE271" w14:textId="77777777" w:rsidR="00A77862" w:rsidRPr="00E8605F" w:rsidRDefault="00A77862">
            <w:pPr>
              <w:rPr>
                <w:rFonts w:ascii="Times New Roman" w:hAnsi="Times New Roman" w:cs="Times New Roman"/>
                <w:b/>
                <w:bCs/>
                <w:sz w:val="18"/>
                <w:szCs w:val="18"/>
              </w:rPr>
            </w:pPr>
            <w:r w:rsidRPr="00E8605F">
              <w:rPr>
                <w:rFonts w:ascii="Times New Roman" w:hAnsi="Times New Roman" w:cs="Times New Roman"/>
                <w:b/>
                <w:bCs/>
                <w:sz w:val="18"/>
                <w:szCs w:val="18"/>
              </w:rPr>
              <w:t>Study type</w:t>
            </w:r>
          </w:p>
        </w:tc>
        <w:tc>
          <w:tcPr>
            <w:tcW w:w="8480" w:type="dxa"/>
            <w:noWrap/>
            <w:hideMark/>
          </w:tcPr>
          <w:p w14:paraId="70280C79" w14:textId="77777777" w:rsidR="00A77862" w:rsidRPr="00E8605F" w:rsidRDefault="00A77862">
            <w:pPr>
              <w:rPr>
                <w:rFonts w:ascii="Times New Roman" w:hAnsi="Times New Roman" w:cs="Times New Roman"/>
                <w:b/>
                <w:bCs/>
                <w:sz w:val="18"/>
                <w:szCs w:val="18"/>
              </w:rPr>
            </w:pPr>
            <w:r w:rsidRPr="00E8605F">
              <w:rPr>
                <w:rFonts w:ascii="Times New Roman" w:hAnsi="Times New Roman" w:cs="Times New Roman"/>
                <w:b/>
                <w:bCs/>
                <w:sz w:val="18"/>
                <w:szCs w:val="18"/>
              </w:rPr>
              <w:t>Media outlet</w:t>
            </w:r>
          </w:p>
        </w:tc>
      </w:tr>
      <w:tr w:rsidR="00A77862" w:rsidRPr="00E8605F" w14:paraId="4BC5CDA5" w14:textId="77777777" w:rsidTr="00A77862">
        <w:trPr>
          <w:trHeight w:val="310"/>
        </w:trPr>
        <w:tc>
          <w:tcPr>
            <w:tcW w:w="2180" w:type="dxa"/>
            <w:noWrap/>
            <w:hideMark/>
          </w:tcPr>
          <w:p w14:paraId="26715707" w14:textId="1123DDDC"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Rahimi et al.</w:t>
            </w:r>
            <w:r w:rsidR="00E8605F" w:rsidRPr="00E8605F">
              <w:rPr>
                <w:rFonts w:ascii="Times New Roman" w:hAnsi="Times New Roman" w:cs="Times New Roman"/>
                <w:sz w:val="18"/>
                <w:szCs w:val="18"/>
              </w:rPr>
              <w:t xml:space="preserve"> </w:t>
            </w:r>
            <w:r w:rsidR="00872547">
              <w:rPr>
                <w:rFonts w:ascii="Times New Roman" w:hAnsi="Times New Roman" w:cs="Times New Roman"/>
                <w:sz w:val="18"/>
                <w:szCs w:val="18"/>
              </w:rPr>
              <w:fldChar w:fldCharType="begin"/>
            </w:r>
            <w:r w:rsidR="00872547">
              <w:rPr>
                <w:rFonts w:ascii="Times New Roman" w:hAnsi="Times New Roman" w:cs="Times New Roman"/>
                <w:sz w:val="18"/>
                <w:szCs w:val="18"/>
              </w:rPr>
              <w:instrText xml:space="preserve"> ADDIN ZOTERO_ITEM CSL_CITATION {"citationID":"kK75Gtki","properties":{"formattedCitation":"[1]","plainCitation":"[1]","noteIndex":0},"citationItems":[{"id":3550,"uris":["http://zotero.org/groups/5115136/items/CEERVXN6"],"itemData":{"id":3550,"type":"article-journal","container-title":"Tropical Medicine &amp; International Health","DOI":"10.1111/tmi.13157","ISSN":"13602276","issue":"12","journalAbbreviation":"Trop Med Int Health","language":"en","page":"1326-1331","source":"DOI.org (Crossref)","title":"A new approach to pharmaceutical pricing based on patients’ willingness to pay","volume":"23","author":[{"family":"Rahimi","given":"Farimah"},{"family":"Rasekh","given":"Hamid Reza"},{"family":"Abbasian","given":"Ezatollah"},{"family":"Peiravian","given":"Farzad"}],"issued":{"date-parts":[["2018",12]]}}}],"schema":"https://github.com/citation-style-language/schema/raw/master/csl-citation.json"} </w:instrText>
            </w:r>
            <w:r w:rsidR="00872547">
              <w:rPr>
                <w:rFonts w:ascii="Times New Roman" w:hAnsi="Times New Roman" w:cs="Times New Roman"/>
                <w:sz w:val="18"/>
                <w:szCs w:val="18"/>
              </w:rPr>
              <w:fldChar w:fldCharType="separate"/>
            </w:r>
            <w:r w:rsidR="00872547" w:rsidRPr="00872547">
              <w:rPr>
                <w:rFonts w:ascii="Times New Roman" w:hAnsi="Times New Roman" w:cs="Times New Roman"/>
                <w:sz w:val="18"/>
              </w:rPr>
              <w:t>[1]</w:t>
            </w:r>
            <w:r w:rsidR="00872547">
              <w:rPr>
                <w:rFonts w:ascii="Times New Roman" w:hAnsi="Times New Roman" w:cs="Times New Roman"/>
                <w:sz w:val="18"/>
                <w:szCs w:val="18"/>
              </w:rPr>
              <w:fldChar w:fldCharType="end"/>
            </w:r>
          </w:p>
        </w:tc>
        <w:tc>
          <w:tcPr>
            <w:tcW w:w="988" w:type="dxa"/>
            <w:noWrap/>
            <w:hideMark/>
          </w:tcPr>
          <w:p w14:paraId="65245E3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2018</w:t>
            </w:r>
          </w:p>
        </w:tc>
        <w:tc>
          <w:tcPr>
            <w:tcW w:w="2020" w:type="dxa"/>
            <w:noWrap/>
            <w:hideMark/>
          </w:tcPr>
          <w:p w14:paraId="3F403AE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Iran</w:t>
            </w:r>
          </w:p>
        </w:tc>
        <w:tc>
          <w:tcPr>
            <w:tcW w:w="3015" w:type="dxa"/>
            <w:noWrap/>
            <w:hideMark/>
          </w:tcPr>
          <w:p w14:paraId="1E217E1A"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05EF636C" w14:textId="36DD3DB3"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Tropical medicine &amp; international health: TM &amp; IH</w:t>
            </w:r>
          </w:p>
        </w:tc>
      </w:tr>
      <w:tr w:rsidR="00A77862" w:rsidRPr="00E8605F" w14:paraId="0E8A5228" w14:textId="77777777" w:rsidTr="00A77862">
        <w:trPr>
          <w:trHeight w:val="310"/>
        </w:trPr>
        <w:tc>
          <w:tcPr>
            <w:tcW w:w="2180" w:type="dxa"/>
            <w:noWrap/>
            <w:hideMark/>
          </w:tcPr>
          <w:p w14:paraId="7E6F219B" w14:textId="7A4BD536"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Gandjour</w:t>
            </w:r>
            <w:proofErr w:type="spellEnd"/>
            <w:r w:rsidR="00872547">
              <w:rPr>
                <w:rFonts w:ascii="Times New Roman" w:hAnsi="Times New Roman" w:cs="Times New Roman"/>
                <w:sz w:val="18"/>
                <w:szCs w:val="18"/>
              </w:rPr>
              <w:t xml:space="preserve"> and </w:t>
            </w:r>
            <w:proofErr w:type="spellStart"/>
            <w:r w:rsidR="00872547">
              <w:rPr>
                <w:rFonts w:ascii="Times New Roman" w:hAnsi="Times New Roman" w:cs="Times New Roman"/>
                <w:sz w:val="18"/>
                <w:szCs w:val="18"/>
              </w:rPr>
              <w:t>Chernyak</w:t>
            </w:r>
            <w:proofErr w:type="spellEnd"/>
            <w:r w:rsidRPr="00E8605F">
              <w:rPr>
                <w:rFonts w:ascii="Times New Roman" w:hAnsi="Times New Roman" w:cs="Times New Roman"/>
                <w:sz w:val="18"/>
                <w:szCs w:val="18"/>
              </w:rPr>
              <w:t xml:space="preserve"> </w:t>
            </w:r>
            <w:r w:rsidR="00872547">
              <w:rPr>
                <w:rFonts w:ascii="Times New Roman" w:hAnsi="Times New Roman" w:cs="Times New Roman"/>
                <w:sz w:val="18"/>
                <w:szCs w:val="18"/>
              </w:rPr>
              <w:t xml:space="preserve"> </w:t>
            </w:r>
            <w:r w:rsidR="00872547">
              <w:rPr>
                <w:rFonts w:ascii="Times New Roman" w:hAnsi="Times New Roman" w:cs="Times New Roman"/>
                <w:sz w:val="18"/>
                <w:szCs w:val="18"/>
              </w:rPr>
              <w:fldChar w:fldCharType="begin"/>
            </w:r>
            <w:r w:rsidR="00872547">
              <w:rPr>
                <w:rFonts w:ascii="Times New Roman" w:hAnsi="Times New Roman" w:cs="Times New Roman"/>
                <w:sz w:val="18"/>
                <w:szCs w:val="18"/>
              </w:rPr>
              <w:instrText xml:space="preserve"> ADDIN ZOTERO_ITEM CSL_CITATION {"citationID":"il5hqz42","properties":{"formattedCitation":"[2]","plainCitation":"[2]","noteIndex":0},"citationItems":[{"id":3548,"uris":["http://zotero.org/groups/5115136/items/DEI5Z6PL"],"itemData":{"id":3548,"type":"article-journal","container-title":"Health Policy","DOI":"10.1016/j.healthpol.2011.06.001","ISSN":"01688510","issue":"2-3","journalAbbreviation":"Health Policy","language":"en","page":"170-177","source":"DOI.org (Crossref)","title":"A new prize system for drug innovation","volume":"102","author":[{"family":"Gandjour","given":"Afschin"},{"family":"Chernyak","given":"Nadja"}],"issued":{"date-parts":[["2011",10]]}}}],"schema":"https://github.com/citation-style-language/schema/raw/master/csl-citation.json"} </w:instrText>
            </w:r>
            <w:r w:rsidR="00872547">
              <w:rPr>
                <w:rFonts w:ascii="Times New Roman" w:hAnsi="Times New Roman" w:cs="Times New Roman"/>
                <w:sz w:val="18"/>
                <w:szCs w:val="18"/>
              </w:rPr>
              <w:fldChar w:fldCharType="separate"/>
            </w:r>
            <w:r w:rsidR="00872547" w:rsidRPr="00872547">
              <w:rPr>
                <w:rFonts w:ascii="Times New Roman" w:hAnsi="Times New Roman" w:cs="Times New Roman"/>
                <w:sz w:val="18"/>
              </w:rPr>
              <w:t>[2]</w:t>
            </w:r>
            <w:r w:rsidR="00872547">
              <w:rPr>
                <w:rFonts w:ascii="Times New Roman" w:hAnsi="Times New Roman" w:cs="Times New Roman"/>
                <w:sz w:val="18"/>
                <w:szCs w:val="18"/>
              </w:rPr>
              <w:fldChar w:fldCharType="end"/>
            </w:r>
          </w:p>
        </w:tc>
        <w:tc>
          <w:tcPr>
            <w:tcW w:w="988" w:type="dxa"/>
            <w:noWrap/>
            <w:hideMark/>
          </w:tcPr>
          <w:p w14:paraId="08694261"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2011</w:t>
            </w:r>
          </w:p>
        </w:tc>
        <w:tc>
          <w:tcPr>
            <w:tcW w:w="2020" w:type="dxa"/>
            <w:noWrap/>
            <w:hideMark/>
          </w:tcPr>
          <w:p w14:paraId="49243B8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Germany</w:t>
            </w:r>
          </w:p>
        </w:tc>
        <w:tc>
          <w:tcPr>
            <w:tcW w:w="3015" w:type="dxa"/>
            <w:noWrap/>
            <w:hideMark/>
          </w:tcPr>
          <w:p w14:paraId="0E0BD3E1"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76CC168F"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Health policy (Amsterdam, Netherlands)</w:t>
            </w:r>
          </w:p>
        </w:tc>
      </w:tr>
      <w:tr w:rsidR="00A77862" w:rsidRPr="00E8605F" w14:paraId="7338DCE7" w14:textId="77777777" w:rsidTr="00A77862">
        <w:trPr>
          <w:trHeight w:val="310"/>
        </w:trPr>
        <w:tc>
          <w:tcPr>
            <w:tcW w:w="2180" w:type="dxa"/>
            <w:noWrap/>
            <w:hideMark/>
          </w:tcPr>
          <w:p w14:paraId="6B7E72B7" w14:textId="4185FCB2"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Persson et al.</w:t>
            </w:r>
            <w:r w:rsidR="00872547">
              <w:rPr>
                <w:rFonts w:ascii="Times New Roman" w:hAnsi="Times New Roman" w:cs="Times New Roman"/>
                <w:sz w:val="18"/>
                <w:szCs w:val="18"/>
              </w:rPr>
              <w:t xml:space="preserve"> </w:t>
            </w:r>
            <w:r w:rsidR="00872547">
              <w:rPr>
                <w:rFonts w:ascii="Times New Roman" w:hAnsi="Times New Roman" w:cs="Times New Roman"/>
                <w:sz w:val="18"/>
                <w:szCs w:val="18"/>
              </w:rPr>
              <w:fldChar w:fldCharType="begin"/>
            </w:r>
            <w:r w:rsidR="00872547">
              <w:rPr>
                <w:rFonts w:ascii="Times New Roman" w:hAnsi="Times New Roman" w:cs="Times New Roman"/>
                <w:sz w:val="18"/>
                <w:szCs w:val="18"/>
              </w:rPr>
              <w:instrText xml:space="preserve"> ADDIN ZOTERO_ITEM CSL_CITATION {"citationID":"k71WyBiU","properties":{"formattedCitation":"[3]","plainCitation":"[3]","noteIndex":0},"citationItems":[{"id":4550,"uris":["http://zotero.org/groups/5115136/items/468VLPFA"],"itemData":{"id":4550,"type":"article-journal","container-title":"Applied Health Economics and Health Policy","DOI":"10.2165/11633930-000000000-00000","ISSN":"1175-5652","issue":"4","journalAbbreviation":"Applied Health Economics and Health Policy","language":"en","page":"217-225","source":"DOI.org (Crossref)","title":"A New Reimbursement System for Innovative Pharmaceuticals Combining Value-Based and Free Market Pricing:","title-short":"A New Reimbursement System for Innovative Pharmaceuticals Combining Value-Based and Free Market Pricing","volume":"10","author":[{"family":"Persson","given":"Ulf"},{"family":"Svensson","given":"Johanna"},{"family":"Pettersson","given":"Billie"}],"issued":{"date-parts":[["2012",7]]}}}],"schema":"https://github.com/citation-style-language/schema/raw/master/csl-citation.json"} </w:instrText>
            </w:r>
            <w:r w:rsidR="00872547">
              <w:rPr>
                <w:rFonts w:ascii="Times New Roman" w:hAnsi="Times New Roman" w:cs="Times New Roman"/>
                <w:sz w:val="18"/>
                <w:szCs w:val="18"/>
              </w:rPr>
              <w:fldChar w:fldCharType="separate"/>
            </w:r>
            <w:r w:rsidR="00872547" w:rsidRPr="00872547">
              <w:rPr>
                <w:rFonts w:ascii="Times New Roman" w:hAnsi="Times New Roman" w:cs="Times New Roman"/>
                <w:sz w:val="18"/>
              </w:rPr>
              <w:t>[3]</w:t>
            </w:r>
            <w:r w:rsidR="00872547">
              <w:rPr>
                <w:rFonts w:ascii="Times New Roman" w:hAnsi="Times New Roman" w:cs="Times New Roman"/>
                <w:sz w:val="18"/>
                <w:szCs w:val="18"/>
              </w:rPr>
              <w:fldChar w:fldCharType="end"/>
            </w:r>
          </w:p>
        </w:tc>
        <w:tc>
          <w:tcPr>
            <w:tcW w:w="988" w:type="dxa"/>
            <w:noWrap/>
            <w:hideMark/>
          </w:tcPr>
          <w:p w14:paraId="6D03BA6F"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2012</w:t>
            </w:r>
          </w:p>
        </w:tc>
        <w:tc>
          <w:tcPr>
            <w:tcW w:w="2020" w:type="dxa"/>
            <w:noWrap/>
            <w:hideMark/>
          </w:tcPr>
          <w:p w14:paraId="43141A27"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Sweden</w:t>
            </w:r>
          </w:p>
        </w:tc>
        <w:tc>
          <w:tcPr>
            <w:tcW w:w="3015" w:type="dxa"/>
            <w:noWrap/>
            <w:hideMark/>
          </w:tcPr>
          <w:p w14:paraId="753C1E4F"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Editorials, opinions, or commentaries</w:t>
            </w:r>
          </w:p>
        </w:tc>
        <w:tc>
          <w:tcPr>
            <w:tcW w:w="8480" w:type="dxa"/>
            <w:noWrap/>
            <w:hideMark/>
          </w:tcPr>
          <w:p w14:paraId="1E63BC3B"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Applied health economics and health policy</w:t>
            </w:r>
          </w:p>
        </w:tc>
      </w:tr>
      <w:tr w:rsidR="00A77862" w:rsidRPr="00E8605F" w14:paraId="71C81017" w14:textId="77777777" w:rsidTr="00A77862">
        <w:trPr>
          <w:trHeight w:val="310"/>
        </w:trPr>
        <w:tc>
          <w:tcPr>
            <w:tcW w:w="2180" w:type="dxa"/>
            <w:noWrap/>
            <w:hideMark/>
          </w:tcPr>
          <w:p w14:paraId="677F6FF8" w14:textId="6A8C375E"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Annemans</w:t>
            </w:r>
            <w:proofErr w:type="spellEnd"/>
            <w:r w:rsidRPr="00E8605F">
              <w:rPr>
                <w:rFonts w:ascii="Times New Roman" w:hAnsi="Times New Roman" w:cs="Times New Roman"/>
                <w:sz w:val="18"/>
                <w:szCs w:val="18"/>
              </w:rPr>
              <w:t xml:space="preserve"> et al.</w:t>
            </w:r>
            <w:r w:rsidR="00872547">
              <w:rPr>
                <w:rFonts w:ascii="Times New Roman" w:hAnsi="Times New Roman" w:cs="Times New Roman"/>
                <w:sz w:val="18"/>
                <w:szCs w:val="18"/>
              </w:rPr>
              <w:t xml:space="preserve"> </w:t>
            </w:r>
            <w:r w:rsidR="00872547">
              <w:rPr>
                <w:rFonts w:ascii="Times New Roman" w:hAnsi="Times New Roman" w:cs="Times New Roman"/>
                <w:sz w:val="18"/>
                <w:szCs w:val="18"/>
              </w:rPr>
              <w:fldChar w:fldCharType="begin"/>
            </w:r>
            <w:r w:rsidR="00872547">
              <w:rPr>
                <w:rFonts w:ascii="Times New Roman" w:hAnsi="Times New Roman" w:cs="Times New Roman"/>
                <w:sz w:val="18"/>
                <w:szCs w:val="18"/>
              </w:rPr>
              <w:instrText xml:space="preserve"> ADDIN ZOTERO_ITEM CSL_CITATION {"citationID":"FbADQZNN","properties":{"formattedCitation":"[4]","plainCitation":"[4]","noteIndex":0},"citationItems":[{"id":3544,"uris":["http://zotero.org/groups/5115136/items/7D3775MR"],"itemData":{"id":3544,"type":"article-journal","container-title":"Journal of Medical Economics","DOI":"10.1080/13696998.2019.1632203","ISSN":"1369-6998, 1941-837X","issue":"11","journalAbbreviation":"Journal of Medical Economics","language":"en","page":"1235-1239","source":"DOI.org (Crossref)","title":"A proposal for value informed, affordable (“via”) prices for innovative medicines","volume":"22","author":[{"family":"Annemans","given":"Lieven"}],"issued":{"date-parts":[["2019",11,2]]}}}],"schema":"https://github.com/citation-style-language/schema/raw/master/csl-citation.json"} </w:instrText>
            </w:r>
            <w:r w:rsidR="00872547">
              <w:rPr>
                <w:rFonts w:ascii="Times New Roman" w:hAnsi="Times New Roman" w:cs="Times New Roman"/>
                <w:sz w:val="18"/>
                <w:szCs w:val="18"/>
              </w:rPr>
              <w:fldChar w:fldCharType="separate"/>
            </w:r>
            <w:r w:rsidR="00872547" w:rsidRPr="00872547">
              <w:rPr>
                <w:rFonts w:ascii="Times New Roman" w:hAnsi="Times New Roman" w:cs="Times New Roman"/>
                <w:sz w:val="18"/>
              </w:rPr>
              <w:t>[4]</w:t>
            </w:r>
            <w:r w:rsidR="00872547">
              <w:rPr>
                <w:rFonts w:ascii="Times New Roman" w:hAnsi="Times New Roman" w:cs="Times New Roman"/>
                <w:sz w:val="18"/>
                <w:szCs w:val="18"/>
              </w:rPr>
              <w:fldChar w:fldCharType="end"/>
            </w:r>
          </w:p>
        </w:tc>
        <w:tc>
          <w:tcPr>
            <w:tcW w:w="988" w:type="dxa"/>
            <w:noWrap/>
            <w:hideMark/>
          </w:tcPr>
          <w:p w14:paraId="1EF7663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2019</w:t>
            </w:r>
          </w:p>
        </w:tc>
        <w:tc>
          <w:tcPr>
            <w:tcW w:w="2020" w:type="dxa"/>
            <w:noWrap/>
            <w:hideMark/>
          </w:tcPr>
          <w:p w14:paraId="1419461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Belgium</w:t>
            </w:r>
          </w:p>
        </w:tc>
        <w:tc>
          <w:tcPr>
            <w:tcW w:w="3015" w:type="dxa"/>
            <w:noWrap/>
            <w:hideMark/>
          </w:tcPr>
          <w:p w14:paraId="28A3A339"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Editorials, opinions, or commentaries</w:t>
            </w:r>
          </w:p>
        </w:tc>
        <w:tc>
          <w:tcPr>
            <w:tcW w:w="8480" w:type="dxa"/>
            <w:noWrap/>
            <w:hideMark/>
          </w:tcPr>
          <w:p w14:paraId="28B98FA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Journal of medical economics</w:t>
            </w:r>
          </w:p>
        </w:tc>
      </w:tr>
      <w:tr w:rsidR="00A77862" w:rsidRPr="00E8605F" w14:paraId="18AF6BDC" w14:textId="77777777" w:rsidTr="00A77862">
        <w:trPr>
          <w:trHeight w:val="310"/>
        </w:trPr>
        <w:tc>
          <w:tcPr>
            <w:tcW w:w="2180" w:type="dxa"/>
            <w:noWrap/>
            <w:hideMark/>
          </w:tcPr>
          <w:p w14:paraId="231E452F" w14:textId="4A3F6B08"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Hl</w:t>
            </w:r>
            <w:r w:rsidR="00872547" w:rsidRPr="00872547">
              <w:rPr>
                <w:rFonts w:ascii="Times New Roman" w:hAnsi="Times New Roman" w:cs="Times New Roman"/>
                <w:sz w:val="18"/>
                <w:szCs w:val="18"/>
              </w:rPr>
              <w:t>á</w:t>
            </w:r>
            <w:r w:rsidRPr="00E8605F">
              <w:rPr>
                <w:rFonts w:ascii="Times New Roman" w:hAnsi="Times New Roman" w:cs="Times New Roman"/>
                <w:sz w:val="18"/>
                <w:szCs w:val="18"/>
              </w:rPr>
              <w:t>vka</w:t>
            </w:r>
            <w:proofErr w:type="spellEnd"/>
            <w:r w:rsidRPr="00E8605F">
              <w:rPr>
                <w:rFonts w:ascii="Times New Roman" w:hAnsi="Times New Roman" w:cs="Times New Roman"/>
                <w:sz w:val="18"/>
                <w:szCs w:val="18"/>
              </w:rPr>
              <w:t xml:space="preserve"> et al.</w:t>
            </w:r>
            <w:r w:rsidR="00872547">
              <w:rPr>
                <w:rFonts w:ascii="Times New Roman" w:hAnsi="Times New Roman" w:cs="Times New Roman"/>
                <w:sz w:val="18"/>
                <w:szCs w:val="18"/>
              </w:rPr>
              <w:t xml:space="preserve"> </w:t>
            </w:r>
            <w:r w:rsidR="002B0A9A">
              <w:rPr>
                <w:rFonts w:ascii="Times New Roman" w:hAnsi="Times New Roman" w:cs="Times New Roman"/>
                <w:sz w:val="18"/>
                <w:szCs w:val="18"/>
              </w:rPr>
              <w:fldChar w:fldCharType="begin"/>
            </w:r>
            <w:r w:rsidR="002B0A9A">
              <w:rPr>
                <w:rFonts w:ascii="Times New Roman" w:hAnsi="Times New Roman" w:cs="Times New Roman"/>
                <w:sz w:val="18"/>
                <w:szCs w:val="18"/>
              </w:rPr>
              <w:instrText xml:space="preserve"> ADDIN ZOTERO_ITEM CSL_CITATION {"citationID":"f671iwNy","properties":{"formattedCitation":"[5]","plainCitation":"[5]","noteIndex":0},"citationItems":[{"id":3541,"uris":["http://zotero.org/groups/5115136/items/V8FT9IR4"],"itemData":{"id":3541,"type":"article-journal","container-title":"Value in Health","DOI":"10.1016/j.jval.2022.06.003","ISSN":"10983015","issue":"11","journalAbbreviation":"Value in Health","language":"en","page":"1828-1836","source":"DOI.org (Crossref)","title":"Access to Disease-Modifying Alzheimer’s Therapies: Addressing Possible Challenges Using Innovative Payment Models","title-short":"Access to Disease-Modifying Alzheimer’s Therapies","volume":"25","author":[{"family":"Hlávka","given":"Jakub P."},{"family":"Tysinger","given":"Bryan"},{"family":"Yu","given":"Jeffrey C."},{"family":"Lakdawalla","given":"Darius N."}],"issued":{"date-parts":[["2022",11]]}}}],"schema":"https://github.com/citation-style-language/schema/raw/master/csl-citation.json"} </w:instrText>
            </w:r>
            <w:r w:rsidR="002B0A9A">
              <w:rPr>
                <w:rFonts w:ascii="Times New Roman" w:hAnsi="Times New Roman" w:cs="Times New Roman"/>
                <w:sz w:val="18"/>
                <w:szCs w:val="18"/>
              </w:rPr>
              <w:fldChar w:fldCharType="separate"/>
            </w:r>
            <w:r w:rsidR="002B0A9A" w:rsidRPr="002B0A9A">
              <w:rPr>
                <w:rFonts w:ascii="Times New Roman" w:hAnsi="Times New Roman" w:cs="Times New Roman"/>
                <w:sz w:val="18"/>
              </w:rPr>
              <w:t>[5]</w:t>
            </w:r>
            <w:r w:rsidR="002B0A9A">
              <w:rPr>
                <w:rFonts w:ascii="Times New Roman" w:hAnsi="Times New Roman" w:cs="Times New Roman"/>
                <w:sz w:val="18"/>
                <w:szCs w:val="18"/>
              </w:rPr>
              <w:fldChar w:fldCharType="end"/>
            </w:r>
          </w:p>
        </w:tc>
        <w:tc>
          <w:tcPr>
            <w:tcW w:w="988" w:type="dxa"/>
            <w:noWrap/>
            <w:hideMark/>
          </w:tcPr>
          <w:p w14:paraId="5B50D53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2022</w:t>
            </w:r>
          </w:p>
        </w:tc>
        <w:tc>
          <w:tcPr>
            <w:tcW w:w="2020" w:type="dxa"/>
            <w:noWrap/>
            <w:hideMark/>
          </w:tcPr>
          <w:p w14:paraId="47119C11"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099D0B46"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68C640C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Value in health: the journal of the International Society for Pharmacoeconomics and Outcomes Research</w:t>
            </w:r>
          </w:p>
        </w:tc>
      </w:tr>
      <w:tr w:rsidR="00A77862" w:rsidRPr="00E8605F" w14:paraId="2FC48F02" w14:textId="77777777" w:rsidTr="00A77862">
        <w:trPr>
          <w:trHeight w:val="310"/>
        </w:trPr>
        <w:tc>
          <w:tcPr>
            <w:tcW w:w="2180" w:type="dxa"/>
            <w:noWrap/>
            <w:hideMark/>
          </w:tcPr>
          <w:p w14:paraId="1CC9836F" w14:textId="46D179FA"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Goodman et al.</w:t>
            </w:r>
            <w:r w:rsidR="002B0A9A">
              <w:rPr>
                <w:rFonts w:ascii="Times New Roman" w:hAnsi="Times New Roman" w:cs="Times New Roman"/>
                <w:sz w:val="18"/>
                <w:szCs w:val="18"/>
              </w:rPr>
              <w:t xml:space="preserve"> </w:t>
            </w:r>
            <w:r w:rsidR="002B0A9A">
              <w:rPr>
                <w:rFonts w:ascii="Times New Roman" w:hAnsi="Times New Roman" w:cs="Times New Roman"/>
                <w:sz w:val="18"/>
                <w:szCs w:val="18"/>
              </w:rPr>
              <w:fldChar w:fldCharType="begin"/>
            </w:r>
            <w:r w:rsidR="002B0A9A">
              <w:rPr>
                <w:rFonts w:ascii="Times New Roman" w:hAnsi="Times New Roman" w:cs="Times New Roman"/>
                <w:sz w:val="18"/>
                <w:szCs w:val="18"/>
              </w:rPr>
              <w:instrText xml:space="preserve"> ADDIN ZOTERO_ITEM CSL_CITATION {"citationID":"Ja025V1A","properties":{"formattedCitation":"[6]","plainCitation":"[6]","noteIndex":0},"citationItems":[{"id":3536,"uris":["http://zotero.org/groups/5115136/items/MD3HRT7Z"],"itemData":{"id":3536,"type":"article-journal","abstract":"Abstract\n            \n              Introduction\n              The emergence of durable and potentially curative cell and gene therapies (also known as advanced therapy medicinal products) with high price tags is challenging conventional health care payment systems. Among these are gene therapies in various phases of development for haemophilia A and B. The emergence of these therapies comes with clinical and economic uncertainties for payers, providers, patients, and manufacturers. These include uncertainties about expression of the intended physiological response, patient outcomes, and duration of treatment effect, along with potentially high upfront costs, variable additional costs, and uncertainties about uptake of the therapy among indicated patient populations. These clinical and economic uncertainties raise interest among payers, providers, and manufacturers in risk‐sharing arrangements, including alternative payment models (APMs).\n            \n            \n              Summary\n              APMs differ from traditional fee‐for‐service payment for health care. For example, some APMs are designed to reward clinicians and provider organizations for delivering high‐quality and cost‐effective care. The APMs described here, outcomes‐based models (or value‐ or performance‐based models) and finance‐based models, are designed to mitigate or otherwise manage financial risks associated with health care payment, including instances in which patient outcomes for costly therapies are uncertain. We examine how such APMs may be applicable in the context of emerging gene therapies for haemophilia A, including considerations in determining whether any particular APM may be most suitable.\n            \n            \n              KEY POINTS OF CONSIDERATION\n              \n                \n                  \n                    Gene therapies for haemophilia are among the emerging durable and potentially curative cell and gene therapies with high price tags that are challenging conventional payment systems.\n                  \n                  \n                    These therapies present clinical and economic uncertainties for payers, providers, patients, and manufacturers, including regarding expression of the intended physiological response, duration of treatment effect, patient outcomes, potentially high upfront costs and variable additional costs, and uptake among potentially indicated, diverse patient subgroups.\n                  \n                  \n                    These uncertainties raise interest among payers, manufacturers, and providers in risk‐sharing arrangements, including alternative payment models (APMs) such as various outcomes‐based and finance‐based models.\n                  \n                  \n                    This paper describes a taxonomy of APMs. Then, for the particular context of gene therapy for haemophilia A, we present a set of factors to be considered when determining whether an APM risk‐sharing arrangement may be appropriate for a given gene therapy, and, if so, which APM may be most suitable.\n                    [Correction added on 21 February 2022, after first online publication: the ‘Key Points of Consideration’ have been added in this version.]","container-title":"Haemophilia","DOI":"10.1111/hae.14425","ISSN":"1351-8216, 1365-2516","issue":"S2","journalAbbreviation":"Haemophilia","language":"en","page":"27-34","source":"DOI.org (Crossref)","title":"Alternative payment models for durable and potentially curative therapies: The case of gene therapy for haemophilia A","title-short":"Alternative payment models for durable and potentially curative therapies","volume":"28","author":[{"family":"Goodman","given":"Clifford"},{"family":"Berntorp","given":"Erik"},{"family":"Wong","given":"Olivier"},{"literal":"the International Haemophilia Access Strategy Council"}],"issued":{"date-parts":[["2022",3]]}}}],"schema":"https://github.com/citation-style-language/schema/raw/master/csl-citation.json"} </w:instrText>
            </w:r>
            <w:r w:rsidR="002B0A9A">
              <w:rPr>
                <w:rFonts w:ascii="Times New Roman" w:hAnsi="Times New Roman" w:cs="Times New Roman"/>
                <w:sz w:val="18"/>
                <w:szCs w:val="18"/>
              </w:rPr>
              <w:fldChar w:fldCharType="separate"/>
            </w:r>
            <w:r w:rsidR="002B0A9A" w:rsidRPr="002B0A9A">
              <w:rPr>
                <w:rFonts w:ascii="Times New Roman" w:hAnsi="Times New Roman" w:cs="Times New Roman"/>
                <w:sz w:val="18"/>
              </w:rPr>
              <w:t>[6]</w:t>
            </w:r>
            <w:r w:rsidR="002B0A9A">
              <w:rPr>
                <w:rFonts w:ascii="Times New Roman" w:hAnsi="Times New Roman" w:cs="Times New Roman"/>
                <w:sz w:val="18"/>
                <w:szCs w:val="18"/>
              </w:rPr>
              <w:fldChar w:fldCharType="end"/>
            </w:r>
          </w:p>
        </w:tc>
        <w:tc>
          <w:tcPr>
            <w:tcW w:w="988" w:type="dxa"/>
            <w:noWrap/>
            <w:hideMark/>
          </w:tcPr>
          <w:p w14:paraId="79C3E8C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2022</w:t>
            </w:r>
          </w:p>
        </w:tc>
        <w:tc>
          <w:tcPr>
            <w:tcW w:w="2020" w:type="dxa"/>
            <w:noWrap/>
            <w:hideMark/>
          </w:tcPr>
          <w:p w14:paraId="6BC50D2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01957CB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Other (supplement article)</w:t>
            </w:r>
          </w:p>
        </w:tc>
        <w:tc>
          <w:tcPr>
            <w:tcW w:w="8480" w:type="dxa"/>
            <w:noWrap/>
            <w:hideMark/>
          </w:tcPr>
          <w:p w14:paraId="5EDF18BA" w14:textId="732B1F0E"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Haemophilia</w:t>
            </w:r>
            <w:proofErr w:type="spellEnd"/>
            <w:r w:rsidRPr="00E8605F">
              <w:rPr>
                <w:rFonts w:ascii="Times New Roman" w:hAnsi="Times New Roman" w:cs="Times New Roman"/>
                <w:sz w:val="18"/>
                <w:szCs w:val="18"/>
              </w:rPr>
              <w:t>: the official journal of the World Federation of Hemophilia</w:t>
            </w:r>
          </w:p>
        </w:tc>
      </w:tr>
      <w:tr w:rsidR="00A77862" w:rsidRPr="00E8605F" w14:paraId="37D6E532" w14:textId="77777777" w:rsidTr="00A77862">
        <w:trPr>
          <w:trHeight w:val="310"/>
        </w:trPr>
        <w:tc>
          <w:tcPr>
            <w:tcW w:w="2180" w:type="dxa"/>
            <w:noWrap/>
            <w:hideMark/>
          </w:tcPr>
          <w:p w14:paraId="22AF1333" w14:textId="1C969B5B"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Hertzman et al.</w:t>
            </w:r>
            <w:r w:rsidR="002B0A9A">
              <w:rPr>
                <w:rFonts w:ascii="Times New Roman" w:hAnsi="Times New Roman" w:cs="Times New Roman"/>
                <w:sz w:val="18"/>
                <w:szCs w:val="18"/>
              </w:rPr>
              <w:t xml:space="preserve"> </w:t>
            </w:r>
            <w:r w:rsidR="002B0A9A">
              <w:rPr>
                <w:rFonts w:ascii="Times New Roman" w:hAnsi="Times New Roman" w:cs="Times New Roman"/>
                <w:sz w:val="18"/>
                <w:szCs w:val="18"/>
              </w:rPr>
              <w:fldChar w:fldCharType="begin"/>
            </w:r>
            <w:r w:rsidR="002B0A9A">
              <w:rPr>
                <w:rFonts w:ascii="Times New Roman" w:hAnsi="Times New Roman" w:cs="Times New Roman"/>
                <w:sz w:val="18"/>
                <w:szCs w:val="18"/>
              </w:rPr>
              <w:instrText xml:space="preserve"> ADDIN ZOTERO_ITEM CSL_CITATION {"citationID":"qapLk9oe","properties":{"formattedCitation":"[7]","plainCitation":"[7]","noteIndex":0},"citationItems":[{"id":3535,"uris":["http://zotero.org/groups/5115136/items/M7EAN44M"],"itemData":{"id":3535,"type":"article-journal","container-title":"Expert Review of Pharmacoeconomics &amp; Outcomes Research","DOI":"10.1080/14737167.2018.1411192","ISSN":"1473-7167, 1744-8379","issue":"1","journalAbbreviation":"Expert Review of Pharmacoeconomics &amp; Outcomes Research","language":"en","page":"5-12","source":"DOI.org (Crossref)","title":"An assessment of innovative pricing schemes for the communication of value: is price discrimination and two-part pricing a way forward?","title-short":"An assessment of innovative pricing schemes for the communication of value","volume":"18","author":[{"family":"Hertzman","given":"Peter"},{"family":"Miller","given":"Paul"},{"family":"Tolley","given":"Keith"}],"issued":{"date-parts":[["2018",1,2]]}}}],"schema":"https://github.com/citation-style-language/schema/raw/master/csl-citation.json"} </w:instrText>
            </w:r>
            <w:r w:rsidR="002B0A9A">
              <w:rPr>
                <w:rFonts w:ascii="Times New Roman" w:hAnsi="Times New Roman" w:cs="Times New Roman"/>
                <w:sz w:val="18"/>
                <w:szCs w:val="18"/>
              </w:rPr>
              <w:fldChar w:fldCharType="separate"/>
            </w:r>
            <w:r w:rsidR="002B0A9A" w:rsidRPr="002B0A9A">
              <w:rPr>
                <w:rFonts w:ascii="Times New Roman" w:hAnsi="Times New Roman" w:cs="Times New Roman"/>
                <w:sz w:val="18"/>
              </w:rPr>
              <w:t>[7]</w:t>
            </w:r>
            <w:r w:rsidR="002B0A9A">
              <w:rPr>
                <w:rFonts w:ascii="Times New Roman" w:hAnsi="Times New Roman" w:cs="Times New Roman"/>
                <w:sz w:val="18"/>
                <w:szCs w:val="18"/>
              </w:rPr>
              <w:fldChar w:fldCharType="end"/>
            </w:r>
          </w:p>
        </w:tc>
        <w:tc>
          <w:tcPr>
            <w:tcW w:w="988" w:type="dxa"/>
            <w:noWrap/>
            <w:hideMark/>
          </w:tcPr>
          <w:p w14:paraId="31804C57"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2018</w:t>
            </w:r>
          </w:p>
        </w:tc>
        <w:tc>
          <w:tcPr>
            <w:tcW w:w="2020" w:type="dxa"/>
            <w:noWrap/>
            <w:hideMark/>
          </w:tcPr>
          <w:p w14:paraId="21FD8404"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Switzerland</w:t>
            </w:r>
          </w:p>
        </w:tc>
        <w:tc>
          <w:tcPr>
            <w:tcW w:w="3015" w:type="dxa"/>
            <w:noWrap/>
            <w:hideMark/>
          </w:tcPr>
          <w:p w14:paraId="15BE623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Review article</w:t>
            </w:r>
          </w:p>
        </w:tc>
        <w:tc>
          <w:tcPr>
            <w:tcW w:w="8480" w:type="dxa"/>
            <w:noWrap/>
            <w:hideMark/>
          </w:tcPr>
          <w:p w14:paraId="43CA02B6"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 xml:space="preserve">Expert review of </w:t>
            </w:r>
            <w:proofErr w:type="spellStart"/>
            <w:r w:rsidRPr="00E8605F">
              <w:rPr>
                <w:rFonts w:ascii="Times New Roman" w:hAnsi="Times New Roman" w:cs="Times New Roman"/>
                <w:sz w:val="18"/>
                <w:szCs w:val="18"/>
              </w:rPr>
              <w:t>pharmacoeconomics</w:t>
            </w:r>
            <w:proofErr w:type="spellEnd"/>
            <w:r w:rsidRPr="00E8605F">
              <w:rPr>
                <w:rFonts w:ascii="Times New Roman" w:hAnsi="Times New Roman" w:cs="Times New Roman"/>
                <w:sz w:val="18"/>
                <w:szCs w:val="18"/>
              </w:rPr>
              <w:t xml:space="preserve"> &amp; outcomes research</w:t>
            </w:r>
          </w:p>
        </w:tc>
      </w:tr>
      <w:tr w:rsidR="00A77862" w:rsidRPr="00E8605F" w14:paraId="4756F857" w14:textId="77777777" w:rsidTr="00A77862">
        <w:trPr>
          <w:trHeight w:val="310"/>
        </w:trPr>
        <w:tc>
          <w:tcPr>
            <w:tcW w:w="2180" w:type="dxa"/>
            <w:noWrap/>
            <w:hideMark/>
          </w:tcPr>
          <w:p w14:paraId="4A238A47" w14:textId="7DF9F9D4"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 xml:space="preserve">Rex </w:t>
            </w:r>
            <w:r w:rsidR="002B0A9A">
              <w:rPr>
                <w:rFonts w:ascii="Times New Roman" w:hAnsi="Times New Roman" w:cs="Times New Roman"/>
                <w:sz w:val="18"/>
                <w:szCs w:val="18"/>
              </w:rPr>
              <w:t xml:space="preserve">and </w:t>
            </w:r>
            <w:proofErr w:type="spellStart"/>
            <w:r w:rsidR="002B0A9A">
              <w:rPr>
                <w:rFonts w:ascii="Times New Roman" w:hAnsi="Times New Roman" w:cs="Times New Roman"/>
                <w:sz w:val="18"/>
                <w:szCs w:val="18"/>
              </w:rPr>
              <w:t>Outterson</w:t>
            </w:r>
            <w:proofErr w:type="spellEnd"/>
            <w:r w:rsidR="002B0A9A">
              <w:rPr>
                <w:rFonts w:ascii="Times New Roman" w:hAnsi="Times New Roman" w:cs="Times New Roman"/>
                <w:sz w:val="18"/>
                <w:szCs w:val="18"/>
              </w:rPr>
              <w:t xml:space="preserve"> </w:t>
            </w:r>
            <w:r w:rsidR="002B0A9A">
              <w:rPr>
                <w:rFonts w:ascii="Times New Roman" w:hAnsi="Times New Roman" w:cs="Times New Roman"/>
                <w:sz w:val="18"/>
                <w:szCs w:val="18"/>
              </w:rPr>
              <w:fldChar w:fldCharType="begin"/>
            </w:r>
            <w:r w:rsidR="002B0A9A">
              <w:rPr>
                <w:rFonts w:ascii="Times New Roman" w:hAnsi="Times New Roman" w:cs="Times New Roman"/>
                <w:sz w:val="18"/>
                <w:szCs w:val="18"/>
              </w:rPr>
              <w:instrText xml:space="preserve"> ADDIN ZOTERO_ITEM CSL_CITATION {"citationID":"fROhsEUc","properties":{"formattedCitation":"[8]","plainCitation":"[8]","noteIndex":0},"citationItems":[{"id":3533,"uris":["http://zotero.org/groups/5115136/items/SX9JGZX2"],"itemData":{"id":3533,"type":"article-journal","container-title":"The Lancet Infectious Diseases","DOI":"10.1016/S1473-3099(15)00500-9","ISSN":"14733099","issue":"4","journalAbbreviation":"The Lancet Infectious Diseases","language":"en","page":"500-505","source":"DOI.org (Crossref)","title":"Antibiotic reimbursement in a model delinked from sales: a benchmark-based worldwide approach","title-short":"Antibiotic reimbursement in a model delinked from sales","volume":"16","author":[{"family":"Rex","given":"John H"},{"family":"Outterson","given":"Kevin"}],"issued":{"date-parts":[["2016",4]]}}}],"schema":"https://github.com/citation-style-language/schema/raw/master/csl-citation.json"} </w:instrText>
            </w:r>
            <w:r w:rsidR="002B0A9A">
              <w:rPr>
                <w:rFonts w:ascii="Times New Roman" w:hAnsi="Times New Roman" w:cs="Times New Roman"/>
                <w:sz w:val="18"/>
                <w:szCs w:val="18"/>
              </w:rPr>
              <w:fldChar w:fldCharType="separate"/>
            </w:r>
            <w:r w:rsidR="002B0A9A" w:rsidRPr="002B0A9A">
              <w:rPr>
                <w:rFonts w:ascii="Times New Roman" w:hAnsi="Times New Roman" w:cs="Times New Roman"/>
                <w:sz w:val="18"/>
              </w:rPr>
              <w:t>[8]</w:t>
            </w:r>
            <w:r w:rsidR="002B0A9A">
              <w:rPr>
                <w:rFonts w:ascii="Times New Roman" w:hAnsi="Times New Roman" w:cs="Times New Roman"/>
                <w:sz w:val="18"/>
                <w:szCs w:val="18"/>
              </w:rPr>
              <w:fldChar w:fldCharType="end"/>
            </w:r>
          </w:p>
        </w:tc>
        <w:tc>
          <w:tcPr>
            <w:tcW w:w="988" w:type="dxa"/>
            <w:noWrap/>
            <w:hideMark/>
          </w:tcPr>
          <w:p w14:paraId="507C9AD6"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2016</w:t>
            </w:r>
          </w:p>
        </w:tc>
        <w:tc>
          <w:tcPr>
            <w:tcW w:w="2020" w:type="dxa"/>
            <w:noWrap/>
            <w:hideMark/>
          </w:tcPr>
          <w:p w14:paraId="574CE3C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3BCC0411"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Editorials, opinions, or commentaries</w:t>
            </w:r>
          </w:p>
        </w:tc>
        <w:tc>
          <w:tcPr>
            <w:tcW w:w="8480" w:type="dxa"/>
            <w:noWrap/>
            <w:hideMark/>
          </w:tcPr>
          <w:p w14:paraId="1CC4DCCA" w14:textId="10841A95"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The Lancet. Infectious diseases</w:t>
            </w:r>
          </w:p>
        </w:tc>
      </w:tr>
      <w:tr w:rsidR="00A77862" w:rsidRPr="00E8605F" w14:paraId="77ED9A17" w14:textId="77777777" w:rsidTr="00A77862">
        <w:trPr>
          <w:trHeight w:val="310"/>
        </w:trPr>
        <w:tc>
          <w:tcPr>
            <w:tcW w:w="2180" w:type="dxa"/>
            <w:noWrap/>
            <w:hideMark/>
          </w:tcPr>
          <w:p w14:paraId="6E81FBF7" w14:textId="063EAA00"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Vreman</w:t>
            </w:r>
            <w:proofErr w:type="spellEnd"/>
            <w:r w:rsidRPr="00E8605F">
              <w:rPr>
                <w:rFonts w:ascii="Times New Roman" w:hAnsi="Times New Roman" w:cs="Times New Roman"/>
                <w:sz w:val="18"/>
                <w:szCs w:val="18"/>
              </w:rPr>
              <w:t xml:space="preserve"> et al.</w:t>
            </w:r>
            <w:r w:rsidR="002B0A9A">
              <w:rPr>
                <w:rFonts w:ascii="Times New Roman" w:hAnsi="Times New Roman" w:cs="Times New Roman"/>
                <w:sz w:val="18"/>
                <w:szCs w:val="18"/>
              </w:rPr>
              <w:t xml:space="preserve"> </w:t>
            </w:r>
            <w:r w:rsidR="002B0A9A">
              <w:rPr>
                <w:rFonts w:ascii="Times New Roman" w:hAnsi="Times New Roman" w:cs="Times New Roman"/>
                <w:sz w:val="18"/>
                <w:szCs w:val="18"/>
              </w:rPr>
              <w:fldChar w:fldCharType="begin"/>
            </w:r>
            <w:r w:rsidR="002B0A9A">
              <w:rPr>
                <w:rFonts w:ascii="Times New Roman" w:hAnsi="Times New Roman" w:cs="Times New Roman"/>
                <w:sz w:val="18"/>
                <w:szCs w:val="18"/>
              </w:rPr>
              <w:instrText xml:space="preserve"> ADDIN ZOTERO_ITEM CSL_CITATION {"citationID":"1erNwyBV","properties":{"formattedCitation":"[9]","plainCitation":"[9]","noteIndex":0},"citationItems":[{"id":3532,"uris":["http://zotero.org/groups/5115136/items/G8IPAZJN"],"itemData":{"id":3532,"type":"article-journal","abstract":"The reimbursement of expensive, innovative therapies poses a challenge to healthcare systems. This study investigated the feasibility of managed entry agreements (MEAs) for innovative therapies in different settings and combinations. First, a systematic literature review included studies describing used or conceptual agreements between payers and manufacturers (i.e., MEAs). Identical and similar MEAs were clustered and data were extracted on their benefits and limitations. A feasibility assessment was performed for each individual MEA based on how it could be applied (financial/outcome-based), on what level (individual patients/target population), in which payment setting (centralized pricing and reimbursement authority yes/no), for what type of therapies (one-time/chronic), within what payment structures, and whether combinations with other MEAs were feasible. The literature search ultimately included 82 papers describing 117 MEAs. After clustering, 15 unique MEAs remained, each describing one or multiple similar agreements. Four of those entailed payment structures, while eleven entailed agreements between payers and manufacturers regarding price, usage, and/or evidence generation. The feasibility assessment indicated that most agreements could be applied throughout the different settings that were assessed and could be applied in different payment structures and in combination with multiple other agreements. The potential to combine multiple agreements leads to a multitude of different reimbursement mechanisms that may manage the price, usage, payment structure, and additional conditions for an innovative therapy. This overview of the feasibility of combinations of MEAs can help decision-makers construct a reimbursement mechanism most suited to their preferences, the type of therapy under evaluation, and the applicable healthcare system.","container-title":"International Journal of Environmental Research and Public Health","DOI":"10.3390/ijerph17228309","ISSN":"1660-4601","issue":"22","journalAbbreviation":"IJERPH","language":"en","page":"8309","source":"DOI.org (Crossref)","title":"Application of Managed Entry Agreements for Innovative Therapies in Different Settings and Combinations: A Feasibility Analysis","title-short":"Application of Managed Entry Agreements for Innovative Therapies in Different Settings and Combinations","volume":"17","author":[{"family":"A Vreman","given":"Rick"},{"family":"F Broekhoff","given":"Thomas"},{"family":"Gm Leufkens","given":"Hubert"},{"family":"K Mantel-Teeuwisse","given":"Aukje"},{"family":"G Goettsch","given":"Wim"}],"issued":{"date-parts":[["2020",11,10]]}}}],"schema":"https://github.com/citation-style-language/schema/raw/master/csl-citation.json"} </w:instrText>
            </w:r>
            <w:r w:rsidR="002B0A9A">
              <w:rPr>
                <w:rFonts w:ascii="Times New Roman" w:hAnsi="Times New Roman" w:cs="Times New Roman"/>
                <w:sz w:val="18"/>
                <w:szCs w:val="18"/>
              </w:rPr>
              <w:fldChar w:fldCharType="separate"/>
            </w:r>
            <w:r w:rsidR="002B0A9A" w:rsidRPr="002B0A9A">
              <w:rPr>
                <w:rFonts w:ascii="Times New Roman" w:hAnsi="Times New Roman" w:cs="Times New Roman"/>
                <w:sz w:val="18"/>
              </w:rPr>
              <w:t>[9]</w:t>
            </w:r>
            <w:r w:rsidR="002B0A9A">
              <w:rPr>
                <w:rFonts w:ascii="Times New Roman" w:hAnsi="Times New Roman" w:cs="Times New Roman"/>
                <w:sz w:val="18"/>
                <w:szCs w:val="18"/>
              </w:rPr>
              <w:fldChar w:fldCharType="end"/>
            </w:r>
          </w:p>
        </w:tc>
        <w:tc>
          <w:tcPr>
            <w:tcW w:w="988" w:type="dxa"/>
            <w:noWrap/>
            <w:hideMark/>
          </w:tcPr>
          <w:p w14:paraId="0BAC352F"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2020</w:t>
            </w:r>
          </w:p>
        </w:tc>
        <w:tc>
          <w:tcPr>
            <w:tcW w:w="2020" w:type="dxa"/>
            <w:noWrap/>
            <w:hideMark/>
          </w:tcPr>
          <w:p w14:paraId="688108B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The Netherlands</w:t>
            </w:r>
          </w:p>
        </w:tc>
        <w:tc>
          <w:tcPr>
            <w:tcW w:w="3015" w:type="dxa"/>
            <w:noWrap/>
            <w:hideMark/>
          </w:tcPr>
          <w:p w14:paraId="3937461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Review article</w:t>
            </w:r>
          </w:p>
        </w:tc>
        <w:tc>
          <w:tcPr>
            <w:tcW w:w="8480" w:type="dxa"/>
            <w:noWrap/>
            <w:hideMark/>
          </w:tcPr>
          <w:p w14:paraId="1889C23F"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International journal of environmental research and public health</w:t>
            </w:r>
          </w:p>
        </w:tc>
      </w:tr>
      <w:tr w:rsidR="00A77862" w:rsidRPr="00E8605F" w14:paraId="77526E18" w14:textId="77777777" w:rsidTr="00A77862">
        <w:trPr>
          <w:trHeight w:val="310"/>
        </w:trPr>
        <w:tc>
          <w:tcPr>
            <w:tcW w:w="2180" w:type="dxa"/>
            <w:noWrap/>
            <w:hideMark/>
          </w:tcPr>
          <w:p w14:paraId="713D4ED3" w14:textId="79F237BE"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Messori</w:t>
            </w:r>
            <w:proofErr w:type="spellEnd"/>
            <w:r w:rsidR="002B0A9A">
              <w:rPr>
                <w:rFonts w:ascii="Times New Roman" w:hAnsi="Times New Roman" w:cs="Times New Roman"/>
                <w:sz w:val="18"/>
                <w:szCs w:val="18"/>
              </w:rPr>
              <w:t xml:space="preserve"> </w:t>
            </w:r>
            <w:r w:rsidR="002B0A9A">
              <w:rPr>
                <w:rFonts w:ascii="Times New Roman" w:hAnsi="Times New Roman" w:cs="Times New Roman"/>
                <w:sz w:val="18"/>
                <w:szCs w:val="18"/>
              </w:rPr>
              <w:fldChar w:fldCharType="begin"/>
            </w:r>
            <w:r w:rsidR="002B0A9A">
              <w:rPr>
                <w:rFonts w:ascii="Times New Roman" w:hAnsi="Times New Roman" w:cs="Times New Roman"/>
                <w:sz w:val="18"/>
                <w:szCs w:val="18"/>
              </w:rPr>
              <w:instrText xml:space="preserve"> ADDIN ZOTERO_ITEM CSL_CITATION {"citationID":"UNKR3Shb","properties":{"formattedCitation":"[10]","plainCitation":"[10]","noteIndex":0},"citationItems":[{"id":3531,"uris":["http://zotero.org/groups/5115136/items/NAE23H5M"],"itemData":{"id":3531,"type":"article-journal","abstract":"Several cases of expensive drugs designed for large patient populations (e.g. sofosbuvir) have raised a complex question in terms of drug pricing. Even assuming value-based pricing, the treatment with these drugs of all eligible patients would have an immense budgetary impact, which is unsustainable also for the richest countries. This raises the need to reduce the prices of these agents in comparison with those suggested by the value-based approach and to devise new pricing methods that can achieve this goal. The present study discusses in detail the following two methods: (i) The approach based on setting nation-wide budget thresholds for individual innovative agents in which a fixed proportion of the historical pharmaceutical expenditure represents the maximum budget attributable to an innovative treatment; (ii) The approach based on nation-wide price-volume agreements in which drug prices are progressively reduced as more patients receive the treatment. The first approach has been developed in the USA by the Institute for Clinical and Economic Review and has been applied to PCSK9 inhibitors (alirocumab and evolocumab). The second approach has been designed for the Italian market and has found a systematic application to manage the price of ranibizumab, sofosbuvir, and PCSK9 inhibitors. While, in the past, price-volume agreements have been applied only on an empirical basis (i.e. in the absence of any quantitative theoretical rule), more recently some explicit mathematical models have been described. The performance of these models is now being evaluated on the basis of the real-world experiences conducted in some European countries, especially Italy.","container-title":"Clinical Drug Investigation","DOI":"10.1007/s40261-016-0408-9","ISSN":"1179-1918","issue":"8","journalAbbreviation":"Clin Drug Investig","language":"eng","note":"PMID: 27216427","page":"599-603","source":"PubMed","title":"Application of the Price-Volume Approach in Cases of Innovative Drugs Where Value-Based Pricing is Inadequate: Description of Real Experiences in Italy","title-short":"Application of the Price-Volume Approach in Cases of Innovative Drugs Where Value-Based Pricing is Inadequate","volume":"36","author":[{"family":"Messori","given":"Andrea"}],"issued":{"date-parts":[["2016",8]]}}}],"schema":"https://github.com/citation-style-language/schema/raw/master/csl-citation.json"} </w:instrText>
            </w:r>
            <w:r w:rsidR="002B0A9A">
              <w:rPr>
                <w:rFonts w:ascii="Times New Roman" w:hAnsi="Times New Roman" w:cs="Times New Roman"/>
                <w:sz w:val="18"/>
                <w:szCs w:val="18"/>
              </w:rPr>
              <w:fldChar w:fldCharType="separate"/>
            </w:r>
            <w:r w:rsidR="002B0A9A" w:rsidRPr="002B0A9A">
              <w:rPr>
                <w:rFonts w:ascii="Times New Roman" w:hAnsi="Times New Roman" w:cs="Times New Roman"/>
                <w:sz w:val="18"/>
              </w:rPr>
              <w:t>[10]</w:t>
            </w:r>
            <w:r w:rsidR="002B0A9A">
              <w:rPr>
                <w:rFonts w:ascii="Times New Roman" w:hAnsi="Times New Roman" w:cs="Times New Roman"/>
                <w:sz w:val="18"/>
                <w:szCs w:val="18"/>
              </w:rPr>
              <w:fldChar w:fldCharType="end"/>
            </w:r>
          </w:p>
        </w:tc>
        <w:tc>
          <w:tcPr>
            <w:tcW w:w="988" w:type="dxa"/>
            <w:noWrap/>
            <w:hideMark/>
          </w:tcPr>
          <w:p w14:paraId="5805F93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2016</w:t>
            </w:r>
          </w:p>
        </w:tc>
        <w:tc>
          <w:tcPr>
            <w:tcW w:w="2020" w:type="dxa"/>
            <w:noWrap/>
            <w:hideMark/>
          </w:tcPr>
          <w:p w14:paraId="7835FFC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Italy</w:t>
            </w:r>
          </w:p>
        </w:tc>
        <w:tc>
          <w:tcPr>
            <w:tcW w:w="3015" w:type="dxa"/>
            <w:noWrap/>
            <w:hideMark/>
          </w:tcPr>
          <w:p w14:paraId="4AA3595A"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Editorials, opinions, or commentaries</w:t>
            </w:r>
          </w:p>
        </w:tc>
        <w:tc>
          <w:tcPr>
            <w:tcW w:w="8480" w:type="dxa"/>
            <w:noWrap/>
            <w:hideMark/>
          </w:tcPr>
          <w:p w14:paraId="77A7B187"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Clinical drug investigation</w:t>
            </w:r>
          </w:p>
        </w:tc>
      </w:tr>
      <w:tr w:rsidR="00A77862" w:rsidRPr="00E8605F" w14:paraId="2C9BD4D8" w14:textId="77777777" w:rsidTr="00A77862">
        <w:trPr>
          <w:trHeight w:val="310"/>
        </w:trPr>
        <w:tc>
          <w:tcPr>
            <w:tcW w:w="2180" w:type="dxa"/>
            <w:noWrap/>
            <w:hideMark/>
          </w:tcPr>
          <w:p w14:paraId="305677D8" w14:textId="1F4583F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Leonard et al.</w:t>
            </w:r>
            <w:r w:rsidR="002B0A9A">
              <w:rPr>
                <w:rFonts w:ascii="Times New Roman" w:hAnsi="Times New Roman" w:cs="Times New Roman"/>
                <w:sz w:val="18"/>
                <w:szCs w:val="18"/>
              </w:rPr>
              <w:t xml:space="preserve"> </w:t>
            </w:r>
            <w:r w:rsidR="002B0A9A">
              <w:rPr>
                <w:rFonts w:ascii="Times New Roman" w:hAnsi="Times New Roman" w:cs="Times New Roman"/>
                <w:sz w:val="18"/>
                <w:szCs w:val="18"/>
              </w:rPr>
              <w:fldChar w:fldCharType="begin"/>
            </w:r>
            <w:r w:rsidR="002B0A9A">
              <w:rPr>
                <w:rFonts w:ascii="Times New Roman" w:hAnsi="Times New Roman" w:cs="Times New Roman"/>
                <w:sz w:val="18"/>
                <w:szCs w:val="18"/>
              </w:rPr>
              <w:instrText xml:space="preserve"> ADDIN ZOTERO_ITEM CSL_CITATION {"citationID":"L8lLjOdZ","properties":{"formattedCitation":"[11]","plainCitation":"[11]","noteIndex":0},"citationItems":[{"id":3529,"uris":["http://zotero.org/groups/5115136/items/SVU8KK95"],"itemData":{"id":3529,"type":"article-journal","container-title":"Applied Health Economics and Health Policy","DOI":"10.1007/s40258-022-00786-1","ISSN":"1175-5652, 1179-1896","issue":"3","journalAbbreviation":"Appl Health Econ Health Policy","language":"en","page":"365-372","source":"DOI.org (Crossref)","title":"Can the UK ‘Netflix’ Payment Model Boost the Antibacterial Pipeline?","volume":"21","author":[{"family":"Leonard","given":"Colm"},{"family":"Crabb","given":"Nick"},{"family":"Glover","given":"David"},{"family":"Cooper","given":"Sophie"},{"family":"Bouvy","given":"Jacoline"},{"family":"Wobbe","given":"Milena"},{"family":"Perkins","given":"Mark"}],"issued":{"date-parts":[["2023",5]]}}}],"schema":"https://github.com/citation-style-language/schema/raw/master/csl-citation.json"} </w:instrText>
            </w:r>
            <w:r w:rsidR="002B0A9A">
              <w:rPr>
                <w:rFonts w:ascii="Times New Roman" w:hAnsi="Times New Roman" w:cs="Times New Roman"/>
                <w:sz w:val="18"/>
                <w:szCs w:val="18"/>
              </w:rPr>
              <w:fldChar w:fldCharType="separate"/>
            </w:r>
            <w:r w:rsidR="002B0A9A" w:rsidRPr="002B0A9A">
              <w:rPr>
                <w:rFonts w:ascii="Times New Roman" w:hAnsi="Times New Roman" w:cs="Times New Roman"/>
                <w:sz w:val="18"/>
              </w:rPr>
              <w:t>[11]</w:t>
            </w:r>
            <w:r w:rsidR="002B0A9A">
              <w:rPr>
                <w:rFonts w:ascii="Times New Roman" w:hAnsi="Times New Roman" w:cs="Times New Roman"/>
                <w:sz w:val="18"/>
                <w:szCs w:val="18"/>
              </w:rPr>
              <w:fldChar w:fldCharType="end"/>
            </w:r>
          </w:p>
        </w:tc>
        <w:tc>
          <w:tcPr>
            <w:tcW w:w="988" w:type="dxa"/>
            <w:noWrap/>
            <w:hideMark/>
          </w:tcPr>
          <w:p w14:paraId="00406D51"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2023</w:t>
            </w:r>
          </w:p>
        </w:tc>
        <w:tc>
          <w:tcPr>
            <w:tcW w:w="2020" w:type="dxa"/>
            <w:noWrap/>
            <w:hideMark/>
          </w:tcPr>
          <w:p w14:paraId="42AE79B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UK</w:t>
            </w:r>
          </w:p>
        </w:tc>
        <w:tc>
          <w:tcPr>
            <w:tcW w:w="3015" w:type="dxa"/>
            <w:noWrap/>
            <w:hideMark/>
          </w:tcPr>
          <w:p w14:paraId="3A8051A6"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Other (practical application)</w:t>
            </w:r>
          </w:p>
        </w:tc>
        <w:tc>
          <w:tcPr>
            <w:tcW w:w="8480" w:type="dxa"/>
            <w:noWrap/>
            <w:hideMark/>
          </w:tcPr>
          <w:p w14:paraId="67C9324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Applied health economics and health policy</w:t>
            </w:r>
          </w:p>
        </w:tc>
      </w:tr>
      <w:tr w:rsidR="00A77862" w:rsidRPr="00E8605F" w14:paraId="11B72E14" w14:textId="77777777" w:rsidTr="00A77862">
        <w:trPr>
          <w:trHeight w:val="310"/>
        </w:trPr>
        <w:tc>
          <w:tcPr>
            <w:tcW w:w="2180" w:type="dxa"/>
            <w:noWrap/>
            <w:hideMark/>
          </w:tcPr>
          <w:p w14:paraId="71413BA1" w14:textId="5C516C6F"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 xml:space="preserve">Hollis </w:t>
            </w:r>
            <w:r w:rsidR="002B0A9A">
              <w:rPr>
                <w:rFonts w:ascii="Times New Roman" w:hAnsi="Times New Roman" w:cs="Times New Roman"/>
                <w:sz w:val="18"/>
                <w:szCs w:val="18"/>
              </w:rPr>
              <w:t xml:space="preserve">and </w:t>
            </w:r>
            <w:proofErr w:type="spellStart"/>
            <w:r w:rsidR="002B0A9A">
              <w:rPr>
                <w:rFonts w:ascii="Times New Roman" w:hAnsi="Times New Roman" w:cs="Times New Roman"/>
                <w:sz w:val="18"/>
                <w:szCs w:val="18"/>
              </w:rPr>
              <w:t>Grootendorst</w:t>
            </w:r>
            <w:proofErr w:type="spellEnd"/>
            <w:r w:rsidR="002B0A9A">
              <w:rPr>
                <w:rFonts w:ascii="Times New Roman" w:hAnsi="Times New Roman" w:cs="Times New Roman"/>
                <w:sz w:val="18"/>
                <w:szCs w:val="18"/>
              </w:rPr>
              <w:t xml:space="preserve"> </w:t>
            </w:r>
            <w:r w:rsidR="002B0A9A">
              <w:rPr>
                <w:rFonts w:ascii="Times New Roman" w:hAnsi="Times New Roman" w:cs="Times New Roman"/>
                <w:sz w:val="18"/>
                <w:szCs w:val="18"/>
              </w:rPr>
              <w:fldChar w:fldCharType="begin"/>
            </w:r>
            <w:r w:rsidR="002B0A9A">
              <w:rPr>
                <w:rFonts w:ascii="Times New Roman" w:hAnsi="Times New Roman" w:cs="Times New Roman"/>
                <w:sz w:val="18"/>
                <w:szCs w:val="18"/>
              </w:rPr>
              <w:instrText xml:space="preserve"> ADDIN ZOTERO_ITEM CSL_CITATION {"citationID":"zyH9XSl9","properties":{"formattedCitation":"[12]","plainCitation":"[12]","noteIndex":0},"citationItems":[{"id":3528,"uris":["http://zotero.org/groups/5115136/items/Z232J237"],"itemData":{"id":3528,"type":"article-journal","abstract":"Alberta, quickly followed by other Canadian provinces, has introduced a new pricing model for generic drugs, in which prices are inversely related to the number of generic manufacturers of the drug. This paper examines the rationale for the new policy.","container-title":"Healthcare Policy = Politiques De Sante","ISSN":"1715-6580","issue":"1","journalAbbreviation":"Healthc Policy","language":"eng","note":"PMID: 26571465\nPMCID: PMC4748362","page":"10-14","source":"PubMed","title":"Canada's New Generic Pricing Policy: A Reasoned Approach to a Challenging Problem","title-short":"Canada's New Generic Pricing Policy","volume":"11","author":[{"family":"Hollis","given":"Aidan"},{"family":"Grootendorst","given":"Paul"}],"issued":{"date-parts":[["2015",8]]}}}],"schema":"https://github.com/citation-style-language/schema/raw/master/csl-citation.json"} </w:instrText>
            </w:r>
            <w:r w:rsidR="002B0A9A">
              <w:rPr>
                <w:rFonts w:ascii="Times New Roman" w:hAnsi="Times New Roman" w:cs="Times New Roman"/>
                <w:sz w:val="18"/>
                <w:szCs w:val="18"/>
              </w:rPr>
              <w:fldChar w:fldCharType="separate"/>
            </w:r>
            <w:r w:rsidR="002B0A9A" w:rsidRPr="002B0A9A">
              <w:rPr>
                <w:rFonts w:ascii="Times New Roman" w:hAnsi="Times New Roman" w:cs="Times New Roman"/>
                <w:sz w:val="18"/>
              </w:rPr>
              <w:t>[12]</w:t>
            </w:r>
            <w:r w:rsidR="002B0A9A">
              <w:rPr>
                <w:rFonts w:ascii="Times New Roman" w:hAnsi="Times New Roman" w:cs="Times New Roman"/>
                <w:sz w:val="18"/>
                <w:szCs w:val="18"/>
              </w:rPr>
              <w:fldChar w:fldCharType="end"/>
            </w:r>
          </w:p>
        </w:tc>
        <w:tc>
          <w:tcPr>
            <w:tcW w:w="988" w:type="dxa"/>
            <w:noWrap/>
            <w:hideMark/>
          </w:tcPr>
          <w:p w14:paraId="6E99958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2015</w:t>
            </w:r>
          </w:p>
        </w:tc>
        <w:tc>
          <w:tcPr>
            <w:tcW w:w="2020" w:type="dxa"/>
            <w:noWrap/>
            <w:hideMark/>
          </w:tcPr>
          <w:p w14:paraId="150A80F7"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Canada</w:t>
            </w:r>
          </w:p>
        </w:tc>
        <w:tc>
          <w:tcPr>
            <w:tcW w:w="3015" w:type="dxa"/>
            <w:noWrap/>
            <w:hideMark/>
          </w:tcPr>
          <w:p w14:paraId="4F022F4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Editorials, opinions, or commentaries</w:t>
            </w:r>
          </w:p>
        </w:tc>
        <w:tc>
          <w:tcPr>
            <w:tcW w:w="8480" w:type="dxa"/>
            <w:noWrap/>
            <w:hideMark/>
          </w:tcPr>
          <w:p w14:paraId="21DC0BA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Healthcare policy</w:t>
            </w:r>
          </w:p>
        </w:tc>
      </w:tr>
      <w:tr w:rsidR="00A77862" w:rsidRPr="00E8605F" w14:paraId="02FA0E31" w14:textId="77777777" w:rsidTr="00A77862">
        <w:trPr>
          <w:trHeight w:val="310"/>
        </w:trPr>
        <w:tc>
          <w:tcPr>
            <w:tcW w:w="2180" w:type="dxa"/>
            <w:noWrap/>
            <w:hideMark/>
          </w:tcPr>
          <w:p w14:paraId="3B6F8225" w14:textId="54901C9A"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Neumann et al.</w:t>
            </w:r>
            <w:r w:rsidR="002B0A9A">
              <w:rPr>
                <w:rFonts w:ascii="Times New Roman" w:hAnsi="Times New Roman" w:cs="Times New Roman"/>
                <w:sz w:val="18"/>
                <w:szCs w:val="18"/>
              </w:rPr>
              <w:t xml:space="preserve"> </w:t>
            </w:r>
            <w:r w:rsidR="002B0A9A">
              <w:rPr>
                <w:rFonts w:ascii="Times New Roman" w:hAnsi="Times New Roman" w:cs="Times New Roman"/>
                <w:sz w:val="18"/>
                <w:szCs w:val="18"/>
              </w:rPr>
              <w:fldChar w:fldCharType="begin"/>
            </w:r>
            <w:r w:rsidR="002B0A9A">
              <w:rPr>
                <w:rFonts w:ascii="Times New Roman" w:hAnsi="Times New Roman" w:cs="Times New Roman"/>
                <w:sz w:val="18"/>
                <w:szCs w:val="18"/>
              </w:rPr>
              <w:instrText xml:space="preserve"> ADDIN ZOTERO_ITEM CSL_CITATION {"citationID":"t9NcjdXn","properties":{"formattedCitation":"[13]","plainCitation":"[13]","noteIndex":0},"citationItems":[{"id":4536,"uris":["http://zotero.org/groups/5115136/items/TP2Z7CVA"],"itemData":{"id":4536,"type":"article-journal","container-title":"Health Affairs","DOI":"10.1377/hlthaff.2020.01548","ISSN":"0278-2715, 1544-5208","issue":"1","journalAbbreviation":"Health Affairs","language":"en","page":"53-61","source":"DOI.org (Crossref)","title":"Consideration Of Value-Based Pricing For Treatments And Vaccines Is Important, Even In The COVID-19 Pandemic: Study reviews alternative pricing strategies (cost-recovery models, monetary prizes, advanced market commitments) for COVID-19 drugs, vaccines, and diagnostics.","title-short":"Consideration Of Value-Based Pricing For Treatments And Vaccines Is Important, Even In The COVID-19 Pandemic","volume":"40","author":[{"family":"Neumann","given":"Peter J."},{"family":"Cohen","given":"Joshua T."},{"family":"Kim","given":"David D."},{"family":"Ollendorf","given":"Daniel A."}],"issued":{"date-parts":[["2021",1,1]]}}}],"schema":"https://github.com/citation-style-language/schema/raw/master/csl-citation.json"} </w:instrText>
            </w:r>
            <w:r w:rsidR="002B0A9A">
              <w:rPr>
                <w:rFonts w:ascii="Times New Roman" w:hAnsi="Times New Roman" w:cs="Times New Roman"/>
                <w:sz w:val="18"/>
                <w:szCs w:val="18"/>
              </w:rPr>
              <w:fldChar w:fldCharType="separate"/>
            </w:r>
            <w:r w:rsidR="002B0A9A" w:rsidRPr="002B0A9A">
              <w:rPr>
                <w:rFonts w:ascii="Times New Roman" w:hAnsi="Times New Roman" w:cs="Times New Roman"/>
                <w:sz w:val="18"/>
              </w:rPr>
              <w:t>[13]</w:t>
            </w:r>
            <w:r w:rsidR="002B0A9A">
              <w:rPr>
                <w:rFonts w:ascii="Times New Roman" w:hAnsi="Times New Roman" w:cs="Times New Roman"/>
                <w:sz w:val="18"/>
                <w:szCs w:val="18"/>
              </w:rPr>
              <w:fldChar w:fldCharType="end"/>
            </w:r>
          </w:p>
        </w:tc>
        <w:tc>
          <w:tcPr>
            <w:tcW w:w="988" w:type="dxa"/>
            <w:noWrap/>
            <w:hideMark/>
          </w:tcPr>
          <w:p w14:paraId="3FE086DB"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2021</w:t>
            </w:r>
          </w:p>
        </w:tc>
        <w:tc>
          <w:tcPr>
            <w:tcW w:w="2020" w:type="dxa"/>
            <w:noWrap/>
            <w:hideMark/>
          </w:tcPr>
          <w:p w14:paraId="23A248F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23D6EC0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Review article</w:t>
            </w:r>
          </w:p>
        </w:tc>
        <w:tc>
          <w:tcPr>
            <w:tcW w:w="8480" w:type="dxa"/>
            <w:noWrap/>
            <w:hideMark/>
          </w:tcPr>
          <w:p w14:paraId="072A75E9" w14:textId="372A0A5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 xml:space="preserve">Health affairs </w:t>
            </w:r>
          </w:p>
        </w:tc>
      </w:tr>
      <w:tr w:rsidR="00A77862" w:rsidRPr="00E8605F" w14:paraId="5AD6CD9D" w14:textId="77777777" w:rsidTr="00A77862">
        <w:trPr>
          <w:trHeight w:val="310"/>
        </w:trPr>
        <w:tc>
          <w:tcPr>
            <w:tcW w:w="2180" w:type="dxa"/>
            <w:noWrap/>
            <w:hideMark/>
          </w:tcPr>
          <w:p w14:paraId="4DFF1729" w14:textId="5C684984"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Walker et al.</w:t>
            </w:r>
            <w:r w:rsidR="002B0A9A">
              <w:rPr>
                <w:rFonts w:ascii="Times New Roman" w:hAnsi="Times New Roman" w:cs="Times New Roman"/>
                <w:sz w:val="18"/>
                <w:szCs w:val="18"/>
              </w:rPr>
              <w:t xml:space="preserve"> </w:t>
            </w:r>
            <w:r w:rsidR="002B0A9A">
              <w:rPr>
                <w:rFonts w:ascii="Times New Roman" w:hAnsi="Times New Roman" w:cs="Times New Roman"/>
                <w:sz w:val="18"/>
                <w:szCs w:val="18"/>
              </w:rPr>
              <w:fldChar w:fldCharType="begin"/>
            </w:r>
            <w:r w:rsidR="002B0A9A">
              <w:rPr>
                <w:rFonts w:ascii="Times New Roman" w:hAnsi="Times New Roman" w:cs="Times New Roman"/>
                <w:sz w:val="18"/>
                <w:szCs w:val="18"/>
              </w:rPr>
              <w:instrText xml:space="preserve"> ADDIN ZOTERO_ITEM CSL_CITATION {"citationID":"S3ewPDLG","properties":{"formattedCitation":"[14]","plainCitation":"[14]","noteIndex":0},"citationItems":[{"id":3514,"uris":["http://zotero.org/groups/5115136/items/W5N97MXH"],"itemData":{"id":3514,"type":"article-journal","abstract":"BACKGROUND: Until recently, purchasers' options regarding whether to pay for the use of medical technologies have been binary in nature: a treatment is either covered or not. Policies, however, have emerged that expand the decision options, for example, linking coverage to evidence development, an option increasingly used for treatments with limited/uncertain evidence. There has been little effort to reconcile the features of technologies with the available decision options.\nMETHODS: We described a framework within which different decision options can be evaluated. We distinguished two sources of value in terms of health: the value of the technology per se and the value of reducing decision uncertainty. The costs of reversing decisions were also considered.\nFINDINGS: Purchasers should weigh the expected benefits of coverage against the possibility that the decision may need to be reversed and the chance that adoption will hinder evidence generation. Based on the purchaser's range of authority over access, research, and price and on the characteristics of the technology with regard to reversibility and evidence, different decisions may be appropriate. The framework clarified the assessments needed to establish the appropriateness of different decisions. A taxonomy of coverage decisions was suggested.\nCONCLUSIONS: A range of decision options may facilitate paying for the use of promising medical technologies despite their uncertain evidence. It is important that the option be chosen on the basis of not only the expected value of a technology but also the value of further research, the anticipated effect of coverage on further research, and the costs associated with reversing the decision.","container-title":"Value in Health: The Journal of the International Society for Pharmacoeconomics and Outcomes Research","DOI":"10.1016/j.jval.2011.12.013","ISSN":"1524-4733","issue":"3","journalAbbreviation":"Value Health","language":"eng","note":"PMID: 22583469","page":"570-579","source":"PubMed","title":"Coverage with evidence development, only in research, risk sharing, or patient access scheme? A framework for coverage decisions","title-short":"Coverage with evidence development, only in research, risk sharing, or patient access scheme?","volume":"15","author":[{"family":"Walker","given":"Simon"},{"family":"Sculpher","given":"Mark"},{"family":"Claxton","given":"Karl"},{"family":"Palmer","given":"Steve"}],"issued":{"date-parts":[["2012",5]]}}}],"schema":"https://github.com/citation-style-language/schema/raw/master/csl-citation.json"} </w:instrText>
            </w:r>
            <w:r w:rsidR="002B0A9A">
              <w:rPr>
                <w:rFonts w:ascii="Times New Roman" w:hAnsi="Times New Roman" w:cs="Times New Roman"/>
                <w:sz w:val="18"/>
                <w:szCs w:val="18"/>
              </w:rPr>
              <w:fldChar w:fldCharType="separate"/>
            </w:r>
            <w:r w:rsidR="002B0A9A" w:rsidRPr="002B0A9A">
              <w:rPr>
                <w:rFonts w:ascii="Times New Roman" w:hAnsi="Times New Roman" w:cs="Times New Roman"/>
                <w:sz w:val="18"/>
              </w:rPr>
              <w:t>[14]</w:t>
            </w:r>
            <w:r w:rsidR="002B0A9A">
              <w:rPr>
                <w:rFonts w:ascii="Times New Roman" w:hAnsi="Times New Roman" w:cs="Times New Roman"/>
                <w:sz w:val="18"/>
                <w:szCs w:val="18"/>
              </w:rPr>
              <w:fldChar w:fldCharType="end"/>
            </w:r>
          </w:p>
        </w:tc>
        <w:tc>
          <w:tcPr>
            <w:tcW w:w="988" w:type="dxa"/>
            <w:noWrap/>
            <w:hideMark/>
          </w:tcPr>
          <w:p w14:paraId="4E2863E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2012</w:t>
            </w:r>
          </w:p>
        </w:tc>
        <w:tc>
          <w:tcPr>
            <w:tcW w:w="2020" w:type="dxa"/>
            <w:noWrap/>
            <w:hideMark/>
          </w:tcPr>
          <w:p w14:paraId="7E8E5861"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UK</w:t>
            </w:r>
          </w:p>
        </w:tc>
        <w:tc>
          <w:tcPr>
            <w:tcW w:w="3015" w:type="dxa"/>
            <w:noWrap/>
            <w:hideMark/>
          </w:tcPr>
          <w:p w14:paraId="35E186E9"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28017449"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Value in health: the journal of the International Society for Pharmacoeconomics and Outcomes Research</w:t>
            </w:r>
          </w:p>
        </w:tc>
      </w:tr>
      <w:tr w:rsidR="00A77862" w:rsidRPr="00E8605F" w14:paraId="37DB0BBC" w14:textId="77777777" w:rsidTr="00A77862">
        <w:trPr>
          <w:trHeight w:val="310"/>
        </w:trPr>
        <w:tc>
          <w:tcPr>
            <w:tcW w:w="2180" w:type="dxa"/>
            <w:noWrap/>
            <w:hideMark/>
          </w:tcPr>
          <w:p w14:paraId="7D9AE99B" w14:textId="094484E0"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Carlson et al.</w:t>
            </w:r>
            <w:r w:rsidR="002B0A9A">
              <w:rPr>
                <w:rFonts w:ascii="Times New Roman" w:hAnsi="Times New Roman" w:cs="Times New Roman"/>
                <w:sz w:val="18"/>
                <w:szCs w:val="18"/>
              </w:rPr>
              <w:t xml:space="preserve"> </w:t>
            </w:r>
            <w:r w:rsidR="002B0A9A">
              <w:rPr>
                <w:rFonts w:ascii="Times New Roman" w:hAnsi="Times New Roman" w:cs="Times New Roman"/>
                <w:sz w:val="18"/>
                <w:szCs w:val="18"/>
              </w:rPr>
              <w:fldChar w:fldCharType="begin"/>
            </w:r>
            <w:r w:rsidR="002B0A9A">
              <w:rPr>
                <w:rFonts w:ascii="Times New Roman" w:hAnsi="Times New Roman" w:cs="Times New Roman"/>
                <w:sz w:val="18"/>
                <w:szCs w:val="18"/>
              </w:rPr>
              <w:instrText xml:space="preserve"> ADDIN ZOTERO_ITEM CSL_CITATION {"citationID":"1jj9DbTH","properties":{"formattedCitation":"[15]","plainCitation":"[15]","noteIndex":0},"citationItems":[{"id":4553,"uris":["http://zotero.org/groups/5115136/items/5LAPYBZH"],"itemData":{"id":4553,"type":"article-journal","container-title":"Applied Health Economics and Health Policy","DOI":"10.1007/s40258-014-0093-x","ISSN":"1175-5652, 1179-1896","issue":"3","journalAbbreviation":"Appl Health Econ Health Policy","language":"en","license":"http://www.springer.com/tdm","page":"231-238","source":"DOI.org (Crossref)","title":"Current Status and Trends in Performance-Based Risk-Sharing Arrangements Between Healthcare Payers and Medical Product Manufacturers","volume":"12","author":[{"family":"Carlson","given":"Josh J."},{"family":"Gries","given":"Katharine S."},{"family":"Yeung","given":"Kai"},{"family":"Sullivan","given":"Sean D."},{"family":"Garrison","given":"Louis P."}],"issued":{"date-parts":[["2014",6]]}}}],"schema":"https://github.com/citation-style-language/schema/raw/master/csl-citation.json"} </w:instrText>
            </w:r>
            <w:r w:rsidR="002B0A9A">
              <w:rPr>
                <w:rFonts w:ascii="Times New Roman" w:hAnsi="Times New Roman" w:cs="Times New Roman"/>
                <w:sz w:val="18"/>
                <w:szCs w:val="18"/>
              </w:rPr>
              <w:fldChar w:fldCharType="separate"/>
            </w:r>
            <w:r w:rsidR="002B0A9A" w:rsidRPr="002B0A9A">
              <w:rPr>
                <w:rFonts w:ascii="Times New Roman" w:hAnsi="Times New Roman" w:cs="Times New Roman"/>
                <w:sz w:val="18"/>
              </w:rPr>
              <w:t>[15]</w:t>
            </w:r>
            <w:r w:rsidR="002B0A9A">
              <w:rPr>
                <w:rFonts w:ascii="Times New Roman" w:hAnsi="Times New Roman" w:cs="Times New Roman"/>
                <w:sz w:val="18"/>
                <w:szCs w:val="18"/>
              </w:rPr>
              <w:fldChar w:fldCharType="end"/>
            </w:r>
          </w:p>
        </w:tc>
        <w:tc>
          <w:tcPr>
            <w:tcW w:w="988" w:type="dxa"/>
            <w:noWrap/>
            <w:hideMark/>
          </w:tcPr>
          <w:p w14:paraId="3B00DCE4"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2014</w:t>
            </w:r>
          </w:p>
        </w:tc>
        <w:tc>
          <w:tcPr>
            <w:tcW w:w="2020" w:type="dxa"/>
            <w:noWrap/>
            <w:hideMark/>
          </w:tcPr>
          <w:p w14:paraId="2B26DACA"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0CA4478F"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Review article</w:t>
            </w:r>
          </w:p>
        </w:tc>
        <w:tc>
          <w:tcPr>
            <w:tcW w:w="8480" w:type="dxa"/>
            <w:noWrap/>
            <w:hideMark/>
          </w:tcPr>
          <w:p w14:paraId="1559FA11"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Applied health economics and health policy</w:t>
            </w:r>
          </w:p>
        </w:tc>
      </w:tr>
      <w:tr w:rsidR="00A77862" w:rsidRPr="00E8605F" w14:paraId="62EB255A" w14:textId="77777777" w:rsidTr="00A77862">
        <w:trPr>
          <w:trHeight w:val="310"/>
        </w:trPr>
        <w:tc>
          <w:tcPr>
            <w:tcW w:w="2180" w:type="dxa"/>
            <w:noWrap/>
            <w:hideMark/>
          </w:tcPr>
          <w:p w14:paraId="695DEF8E" w14:textId="3AB9B445"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Ferrario</w:t>
            </w:r>
            <w:proofErr w:type="spellEnd"/>
            <w:r w:rsidR="002B0A9A">
              <w:rPr>
                <w:rFonts w:ascii="Times New Roman" w:hAnsi="Times New Roman" w:cs="Times New Roman"/>
                <w:sz w:val="18"/>
                <w:szCs w:val="18"/>
              </w:rPr>
              <w:t xml:space="preserve"> and Kanavos</w:t>
            </w:r>
            <w:r w:rsidRPr="00E8605F">
              <w:rPr>
                <w:rFonts w:ascii="Times New Roman" w:hAnsi="Times New Roman" w:cs="Times New Roman"/>
                <w:sz w:val="18"/>
                <w:szCs w:val="18"/>
              </w:rPr>
              <w:t xml:space="preserve"> </w:t>
            </w:r>
            <w:r w:rsidR="002B0A9A">
              <w:rPr>
                <w:rFonts w:ascii="Times New Roman" w:hAnsi="Times New Roman" w:cs="Times New Roman"/>
                <w:sz w:val="18"/>
                <w:szCs w:val="18"/>
              </w:rPr>
              <w:fldChar w:fldCharType="begin"/>
            </w:r>
            <w:r w:rsidR="002B0A9A">
              <w:rPr>
                <w:rFonts w:ascii="Times New Roman" w:hAnsi="Times New Roman" w:cs="Times New Roman"/>
                <w:sz w:val="18"/>
                <w:szCs w:val="18"/>
              </w:rPr>
              <w:instrText xml:space="preserve"> ADDIN ZOTERO_ITEM CSL_CITATION {"citationID":"D9Y4AvHC","properties":{"formattedCitation":"[16]","plainCitation":"[16]","noteIndex":0},"citationItems":[{"id":3510,"uris":["http://zotero.org/groups/5115136/items/ATVNMZEJ"],"itemData":{"id":3510,"type":"article-journal","container-title":"Social Science &amp; Medicine","DOI":"10.1016/j.socscimed.2014.11.003","ISSN":"02779536","journalAbbreviation":"Social Science &amp; Medicine","language":"en","page":"39-47","source":"DOI.org (Crossref)","title":"Dealing with uncertainty and high prices of new medicines: A comparative analysis of the use of managed entry agreements in Belgium, England, the Netherlands and Sweden","title-short":"Dealing with uncertainty and high prices of new medicines","volume":"124","author":[{"family":"Ferrario","given":"Alessandra"},{"family":"Kanavos","given":"Panos"}],"issued":{"date-parts":[["2015",1]]}}}],"schema":"https://github.com/citation-style-language/schema/raw/master/csl-citation.json"} </w:instrText>
            </w:r>
            <w:r w:rsidR="002B0A9A">
              <w:rPr>
                <w:rFonts w:ascii="Times New Roman" w:hAnsi="Times New Roman" w:cs="Times New Roman"/>
                <w:sz w:val="18"/>
                <w:szCs w:val="18"/>
              </w:rPr>
              <w:fldChar w:fldCharType="separate"/>
            </w:r>
            <w:r w:rsidR="002B0A9A" w:rsidRPr="002B0A9A">
              <w:rPr>
                <w:rFonts w:ascii="Times New Roman" w:hAnsi="Times New Roman" w:cs="Times New Roman"/>
                <w:sz w:val="18"/>
              </w:rPr>
              <w:t>[16]</w:t>
            </w:r>
            <w:r w:rsidR="002B0A9A">
              <w:rPr>
                <w:rFonts w:ascii="Times New Roman" w:hAnsi="Times New Roman" w:cs="Times New Roman"/>
                <w:sz w:val="18"/>
                <w:szCs w:val="18"/>
              </w:rPr>
              <w:fldChar w:fldCharType="end"/>
            </w:r>
          </w:p>
        </w:tc>
        <w:tc>
          <w:tcPr>
            <w:tcW w:w="988" w:type="dxa"/>
            <w:noWrap/>
            <w:hideMark/>
          </w:tcPr>
          <w:p w14:paraId="53BC06A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2015</w:t>
            </w:r>
          </w:p>
        </w:tc>
        <w:tc>
          <w:tcPr>
            <w:tcW w:w="2020" w:type="dxa"/>
            <w:noWrap/>
            <w:hideMark/>
          </w:tcPr>
          <w:p w14:paraId="6F574BD7"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UK</w:t>
            </w:r>
          </w:p>
        </w:tc>
        <w:tc>
          <w:tcPr>
            <w:tcW w:w="3015" w:type="dxa"/>
            <w:noWrap/>
            <w:hideMark/>
          </w:tcPr>
          <w:p w14:paraId="030572E4"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03154B01" w14:textId="36FC7DE0"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Social science &amp; medicine</w:t>
            </w:r>
          </w:p>
        </w:tc>
      </w:tr>
      <w:tr w:rsidR="00A77862" w:rsidRPr="00E8605F" w14:paraId="4F5D7F07" w14:textId="77777777" w:rsidTr="00A77862">
        <w:trPr>
          <w:trHeight w:val="310"/>
        </w:trPr>
        <w:tc>
          <w:tcPr>
            <w:tcW w:w="2180" w:type="dxa"/>
            <w:noWrap/>
            <w:hideMark/>
          </w:tcPr>
          <w:p w14:paraId="7204E32D" w14:textId="3C88D95A"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Lum et al.</w:t>
            </w:r>
            <w:r w:rsidR="002B0A9A">
              <w:rPr>
                <w:rFonts w:ascii="Times New Roman" w:hAnsi="Times New Roman" w:cs="Times New Roman"/>
                <w:sz w:val="18"/>
                <w:szCs w:val="18"/>
              </w:rPr>
              <w:t xml:space="preserve"> </w:t>
            </w:r>
            <w:r w:rsidR="0078563F">
              <w:rPr>
                <w:rFonts w:ascii="Times New Roman" w:hAnsi="Times New Roman" w:cs="Times New Roman"/>
                <w:sz w:val="18"/>
                <w:szCs w:val="18"/>
              </w:rPr>
              <w:fldChar w:fldCharType="begin"/>
            </w:r>
            <w:r w:rsidR="0078563F">
              <w:rPr>
                <w:rFonts w:ascii="Times New Roman" w:hAnsi="Times New Roman" w:cs="Times New Roman"/>
                <w:sz w:val="18"/>
                <w:szCs w:val="18"/>
              </w:rPr>
              <w:instrText xml:space="preserve"> ADDIN ZOTERO_ITEM CSL_CITATION {"citationID":"RHLWW1lE","properties":{"formattedCitation":"[17]","plainCitation":"[17]","noteIndex":0},"citationItems":[{"id":3507,"uris":["http://zotero.org/groups/5115136/items/N6VQSISW"],"itemData":{"id":3507,"type":"article-journal","abstract":"The Diagnosis Confirmation Model (DCM) includes a dual-pricing mechanism designed to support value-based pricing of novel antibiotics while improving the alignment of financial incentives with their optimal use in patients at high risk of drug-resistant infections. DCM is a market-based model and complementary to delinked models. Policymakers interested in stimulating antibiotic innovation could consider tailoring the DCM to their reimbursement systems and incorporating it into the suite of incentives to improve the economics of antibiotics.","container-title":"Journal of Law, Medicine &amp; Ethics","DOI":"10.1177/1073110518782917","ISSN":"1073-1105, 1748-720X","issue":"S1","journalAbbreviation":"J. Law. Med. Ethics","language":"en","page":"66-74","source":"DOI.org (Crossref)","title":"Diagnosis Confirmation Model: A Value-Based Pricing Model for Inpatient Novel Antibiotics","title-short":"Diagnosis Confirmation Model","volume":"46","author":[{"family":"Lum","given":"Ka"},{"family":"Bhatti","given":"Taimur"},{"family":"Holland","given":"Silas"},{"family":"Guthrie","given":"Mark"},{"family":"Sassman","given":"Stephanie"}],"issued":{"date-parts":[["2018"]]}}}],"schema":"https://github.com/citation-style-language/schema/raw/master/csl-citation.json"} </w:instrText>
            </w:r>
            <w:r w:rsidR="0078563F">
              <w:rPr>
                <w:rFonts w:ascii="Times New Roman" w:hAnsi="Times New Roman" w:cs="Times New Roman"/>
                <w:sz w:val="18"/>
                <w:szCs w:val="18"/>
              </w:rPr>
              <w:fldChar w:fldCharType="separate"/>
            </w:r>
            <w:r w:rsidR="0078563F" w:rsidRPr="0078563F">
              <w:rPr>
                <w:rFonts w:ascii="Times New Roman" w:hAnsi="Times New Roman" w:cs="Times New Roman"/>
                <w:sz w:val="18"/>
              </w:rPr>
              <w:t>[17]</w:t>
            </w:r>
            <w:r w:rsidR="0078563F">
              <w:rPr>
                <w:rFonts w:ascii="Times New Roman" w:hAnsi="Times New Roman" w:cs="Times New Roman"/>
                <w:sz w:val="18"/>
                <w:szCs w:val="18"/>
              </w:rPr>
              <w:fldChar w:fldCharType="end"/>
            </w:r>
          </w:p>
        </w:tc>
        <w:tc>
          <w:tcPr>
            <w:tcW w:w="988" w:type="dxa"/>
            <w:noWrap/>
            <w:hideMark/>
          </w:tcPr>
          <w:p w14:paraId="408C26B7"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2018</w:t>
            </w:r>
          </w:p>
        </w:tc>
        <w:tc>
          <w:tcPr>
            <w:tcW w:w="2020" w:type="dxa"/>
            <w:noWrap/>
            <w:hideMark/>
          </w:tcPr>
          <w:p w14:paraId="5BB60D9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7233AB19"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4337D119" w14:textId="585358D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The Journal of law, medicine &amp; ethics: a journal of the American Society of Law, Medicine &amp; Ethics</w:t>
            </w:r>
          </w:p>
        </w:tc>
      </w:tr>
      <w:tr w:rsidR="00A77862" w:rsidRPr="00E8605F" w14:paraId="50EBCE3B" w14:textId="77777777" w:rsidTr="00A77862">
        <w:trPr>
          <w:trHeight w:val="310"/>
        </w:trPr>
        <w:tc>
          <w:tcPr>
            <w:tcW w:w="2180" w:type="dxa"/>
            <w:noWrap/>
            <w:hideMark/>
          </w:tcPr>
          <w:p w14:paraId="50DF0C4E" w14:textId="41ABB31F"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Navarria</w:t>
            </w:r>
            <w:proofErr w:type="spellEnd"/>
            <w:r w:rsidRPr="00E8605F">
              <w:rPr>
                <w:rFonts w:ascii="Times New Roman" w:hAnsi="Times New Roman" w:cs="Times New Roman"/>
                <w:sz w:val="18"/>
                <w:szCs w:val="18"/>
              </w:rPr>
              <w:t xml:space="preserve"> et al.</w:t>
            </w:r>
            <w:r w:rsidR="0078563F">
              <w:rPr>
                <w:rFonts w:ascii="Times New Roman" w:hAnsi="Times New Roman" w:cs="Times New Roman"/>
                <w:sz w:val="18"/>
                <w:szCs w:val="18"/>
              </w:rPr>
              <w:t xml:space="preserve"> </w:t>
            </w:r>
            <w:r w:rsidR="0078563F">
              <w:rPr>
                <w:rFonts w:ascii="Times New Roman" w:hAnsi="Times New Roman" w:cs="Times New Roman"/>
                <w:sz w:val="18"/>
                <w:szCs w:val="18"/>
              </w:rPr>
              <w:fldChar w:fldCharType="begin"/>
            </w:r>
            <w:r w:rsidR="0078563F">
              <w:rPr>
                <w:rFonts w:ascii="Times New Roman" w:hAnsi="Times New Roman" w:cs="Times New Roman"/>
                <w:sz w:val="18"/>
                <w:szCs w:val="18"/>
              </w:rPr>
              <w:instrText xml:space="preserve"> ADDIN ZOTERO_ITEM CSL_CITATION {"citationID":"mj3vvr6q","properties":{"formattedCitation":"[18]","plainCitation":"[18]","noteIndex":0},"citationItems":[{"id":3506,"uris":["http://zotero.org/groups/5115136/items/3UVPTR7R"],"itemData":{"id":3506,"type":"article-journal","container-title":"Value in Health","DOI":"10.1016/j.jval.2014.09.007","ISSN":"10983015","issue":"1","journalAbbreviation":"Value in Health","language":"en","page":"131-136","source":"DOI.org (Crossref)","title":"Do the Current Performance-Based Schemes in Italy Really Work? “Success Fee”: A Novel Measure for Cost-Containment of Drug Expenditure","title-short":"Do the Current Performance-Based Schemes in Italy Really Work?","volume":"18","author":[{"family":"Navarria","given":"Andrea"},{"family":"Drago","given":"Valentina"},{"family":"Gozzo","given":"Lucia"},{"family":"Longo","given":"Laura"},{"family":"Mansueto","given":"Silvana"},{"family":"Pignataro","given":"Giacomo"},{"family":"Drago","given":"Filippo"}],"issued":{"date-parts":[["2015",1]]}}}],"schema":"https://github.com/citation-style-language/schema/raw/master/csl-citation.json"} </w:instrText>
            </w:r>
            <w:r w:rsidR="0078563F">
              <w:rPr>
                <w:rFonts w:ascii="Times New Roman" w:hAnsi="Times New Roman" w:cs="Times New Roman"/>
                <w:sz w:val="18"/>
                <w:szCs w:val="18"/>
              </w:rPr>
              <w:fldChar w:fldCharType="separate"/>
            </w:r>
            <w:r w:rsidR="0078563F" w:rsidRPr="0078563F">
              <w:rPr>
                <w:rFonts w:ascii="Times New Roman" w:hAnsi="Times New Roman" w:cs="Times New Roman"/>
                <w:sz w:val="18"/>
              </w:rPr>
              <w:t>[18]</w:t>
            </w:r>
            <w:r w:rsidR="0078563F">
              <w:rPr>
                <w:rFonts w:ascii="Times New Roman" w:hAnsi="Times New Roman" w:cs="Times New Roman"/>
                <w:sz w:val="18"/>
                <w:szCs w:val="18"/>
              </w:rPr>
              <w:fldChar w:fldCharType="end"/>
            </w:r>
          </w:p>
        </w:tc>
        <w:tc>
          <w:tcPr>
            <w:tcW w:w="988" w:type="dxa"/>
            <w:noWrap/>
            <w:hideMark/>
          </w:tcPr>
          <w:p w14:paraId="17E7E13C"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2015</w:t>
            </w:r>
          </w:p>
        </w:tc>
        <w:tc>
          <w:tcPr>
            <w:tcW w:w="2020" w:type="dxa"/>
            <w:noWrap/>
            <w:hideMark/>
          </w:tcPr>
          <w:p w14:paraId="35B8668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Italy</w:t>
            </w:r>
          </w:p>
        </w:tc>
        <w:tc>
          <w:tcPr>
            <w:tcW w:w="3015" w:type="dxa"/>
            <w:noWrap/>
            <w:hideMark/>
          </w:tcPr>
          <w:p w14:paraId="7E43326B"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Review article</w:t>
            </w:r>
          </w:p>
        </w:tc>
        <w:tc>
          <w:tcPr>
            <w:tcW w:w="8480" w:type="dxa"/>
            <w:noWrap/>
            <w:hideMark/>
          </w:tcPr>
          <w:p w14:paraId="72F2351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Value in health: the journal of the International Society for Pharmacoeconomics and Outcomes Research</w:t>
            </w:r>
          </w:p>
        </w:tc>
      </w:tr>
      <w:tr w:rsidR="00A77862" w:rsidRPr="00E8605F" w14:paraId="07EA5829" w14:textId="77777777" w:rsidTr="00A77862">
        <w:trPr>
          <w:trHeight w:val="310"/>
        </w:trPr>
        <w:tc>
          <w:tcPr>
            <w:tcW w:w="2180" w:type="dxa"/>
            <w:noWrap/>
            <w:hideMark/>
          </w:tcPr>
          <w:p w14:paraId="015398A9" w14:textId="7027C9B0"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Kanavos et al.</w:t>
            </w:r>
            <w:r w:rsidR="0078563F">
              <w:rPr>
                <w:rFonts w:ascii="Times New Roman" w:hAnsi="Times New Roman" w:cs="Times New Roman"/>
                <w:sz w:val="18"/>
                <w:szCs w:val="18"/>
              </w:rPr>
              <w:t xml:space="preserve"> </w:t>
            </w:r>
            <w:r w:rsidR="0078563F">
              <w:rPr>
                <w:rFonts w:ascii="Times New Roman" w:hAnsi="Times New Roman" w:cs="Times New Roman"/>
                <w:sz w:val="18"/>
                <w:szCs w:val="18"/>
              </w:rPr>
              <w:fldChar w:fldCharType="begin"/>
            </w:r>
            <w:r w:rsidR="0078563F">
              <w:rPr>
                <w:rFonts w:ascii="Times New Roman" w:hAnsi="Times New Roman" w:cs="Times New Roman"/>
                <w:sz w:val="18"/>
                <w:szCs w:val="18"/>
              </w:rPr>
              <w:instrText xml:space="preserve"> ADDIN ZOTERO_ITEM CSL_CITATION {"citationID":"WJpf8mnX","properties":{"formattedCitation":"[19]","plainCitation":"[19]","noteIndex":0},"citationItems":[{"id":3505,"uris":["http://zotero.org/groups/5115136/items/Z4KMAWMS"],"itemData":{"id":3505,"type":"article-journal","abstract":"Abstract\n            \n              Background\n              External reference pricing (ERP) is widely used to regulate pharmaceutical prices and help determine reimbursement. Its implementation varies substantially across countries, making it difficult to study and understand its impact on key policy objectives.\n            \n            \n              Objectives\n              To assess the evidence on ERP in different settings and its impact on key health policy objectives, notably, cost-containment, pharmaceutical price levels, drug use, equity, efficiency, availability, affordability and industrial policy; and second, to critically assess the quality of evidence on ERP.\n            \n            \n              Methods\n              Primary and secondary data collection through a survey of leading experts and a systematic literature review, respectively, over the 2000–2017 period.\n            \n            \n              Results\n              Forty five studies were included in the systematic review (January 2000–December 2016). Primary evidence was gathered via survey distribution to experts in 21 countries (January–July 2017). ERP contributes to cost-containment, but this is a short-term effect highly dependent on the way ERP is designed and implemented. Low prices, as a result of ERP, can undermine the availability of medicines and lead to launch delays or product withdrawals. Downward price convergence can hamper investment in innovation. ERP does not seem to promote efficiency in achieving health system goals. As evidence is weak, results need to be interpreted with caution.\n            \n            \n              Conclusions\n              ERP has not regulated prices efficiently and has unintended consequences that reduce the benefits arising from it. If ERP is carefully designed with minimal price revisions, prudent selection of basket size and countries, and consideration of transaction prices, it could be a more effective mechanism enhancing welfare, equitable access to medicines within countries and help promote industry innovation.","container-title":"The European Journal of Health Economics","DOI":"10.1007/s10198-019-01116-4","ISSN":"1618-7598, 1618-7601","issue":"1","journalAbbreviation":"Eur J Health Econ","language":"en","page":"129-151","source":"DOI.org (Crossref)","title":"Does external reference pricing deliver what it promises? Evidence on its impact at national level","title-short":"Does external reference pricing deliver what it promises?","volume":"21","author":[{"family":"Kanavos","given":"Panos"},{"family":"Fontrier","given":"Anna-Maria"},{"family":"Gill","given":"Jennifer"},{"family":"Efthymiadou","given":"Olina"}],"issued":{"date-parts":[["2020",2]]}}}],"schema":"https://github.com/citation-style-language/schema/raw/master/csl-citation.json"} </w:instrText>
            </w:r>
            <w:r w:rsidR="0078563F">
              <w:rPr>
                <w:rFonts w:ascii="Times New Roman" w:hAnsi="Times New Roman" w:cs="Times New Roman"/>
                <w:sz w:val="18"/>
                <w:szCs w:val="18"/>
              </w:rPr>
              <w:fldChar w:fldCharType="separate"/>
            </w:r>
            <w:r w:rsidR="0078563F" w:rsidRPr="0078563F">
              <w:rPr>
                <w:rFonts w:ascii="Times New Roman" w:hAnsi="Times New Roman" w:cs="Times New Roman"/>
                <w:sz w:val="18"/>
              </w:rPr>
              <w:t>[19]</w:t>
            </w:r>
            <w:r w:rsidR="0078563F">
              <w:rPr>
                <w:rFonts w:ascii="Times New Roman" w:hAnsi="Times New Roman" w:cs="Times New Roman"/>
                <w:sz w:val="18"/>
                <w:szCs w:val="18"/>
              </w:rPr>
              <w:fldChar w:fldCharType="end"/>
            </w:r>
          </w:p>
        </w:tc>
        <w:tc>
          <w:tcPr>
            <w:tcW w:w="988" w:type="dxa"/>
            <w:noWrap/>
            <w:hideMark/>
          </w:tcPr>
          <w:p w14:paraId="7F143C1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2020</w:t>
            </w:r>
          </w:p>
        </w:tc>
        <w:tc>
          <w:tcPr>
            <w:tcW w:w="2020" w:type="dxa"/>
            <w:noWrap/>
            <w:hideMark/>
          </w:tcPr>
          <w:p w14:paraId="4652677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UK</w:t>
            </w:r>
          </w:p>
        </w:tc>
        <w:tc>
          <w:tcPr>
            <w:tcW w:w="3015" w:type="dxa"/>
            <w:noWrap/>
            <w:hideMark/>
          </w:tcPr>
          <w:p w14:paraId="62584A9F"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7033A268" w14:textId="4F85432B"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The European journal of health economics: HEPAC: health economics in prevention and care</w:t>
            </w:r>
          </w:p>
        </w:tc>
      </w:tr>
      <w:tr w:rsidR="00A77862" w:rsidRPr="00E8605F" w14:paraId="4F4049A5" w14:textId="77777777" w:rsidTr="00A77862">
        <w:trPr>
          <w:trHeight w:val="310"/>
        </w:trPr>
        <w:tc>
          <w:tcPr>
            <w:tcW w:w="2180" w:type="dxa"/>
            <w:noWrap/>
            <w:hideMark/>
          </w:tcPr>
          <w:p w14:paraId="4444D16B" w14:textId="01457BA9"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Wettstein</w:t>
            </w:r>
            <w:proofErr w:type="spellEnd"/>
            <w:r w:rsidR="0078563F">
              <w:rPr>
                <w:rFonts w:ascii="Times New Roman" w:hAnsi="Times New Roman" w:cs="Times New Roman"/>
                <w:sz w:val="18"/>
                <w:szCs w:val="18"/>
              </w:rPr>
              <w:t xml:space="preserve"> and </w:t>
            </w:r>
            <w:proofErr w:type="spellStart"/>
            <w:r w:rsidR="0078563F">
              <w:rPr>
                <w:rFonts w:ascii="Times New Roman" w:hAnsi="Times New Roman" w:cs="Times New Roman"/>
                <w:sz w:val="18"/>
                <w:szCs w:val="18"/>
              </w:rPr>
              <w:t>Boes</w:t>
            </w:r>
            <w:proofErr w:type="spellEnd"/>
            <w:r w:rsidRPr="00E8605F">
              <w:rPr>
                <w:rFonts w:ascii="Times New Roman" w:hAnsi="Times New Roman" w:cs="Times New Roman"/>
                <w:sz w:val="18"/>
                <w:szCs w:val="18"/>
              </w:rPr>
              <w:t xml:space="preserve"> </w:t>
            </w:r>
            <w:r w:rsidR="0078563F">
              <w:rPr>
                <w:rFonts w:ascii="Times New Roman" w:hAnsi="Times New Roman" w:cs="Times New Roman"/>
                <w:sz w:val="18"/>
                <w:szCs w:val="18"/>
              </w:rPr>
              <w:fldChar w:fldCharType="begin"/>
            </w:r>
            <w:r w:rsidR="0078563F">
              <w:rPr>
                <w:rFonts w:ascii="Times New Roman" w:hAnsi="Times New Roman" w:cs="Times New Roman"/>
                <w:sz w:val="18"/>
                <w:szCs w:val="18"/>
              </w:rPr>
              <w:instrText xml:space="preserve"> ADDIN ZOTERO_ITEM CSL_CITATION {"citationID":"kHlEzua2","properties":{"formattedCitation":"[20]","plainCitation":"[20]","noteIndex":0},"citationItems":[{"id":3504,"uris":["http://zotero.org/groups/5115136/items/ZF7GFR53"],"itemData":{"id":3504,"type":"article-journal","container-title":"Applied Health Economics and Health Policy","DOI":"10.1007/s40258-018-0437-z","ISSN":"1175-5652, 1179-1896","issue":"2","journalAbbreviation":"Appl Health Econ Health Policy","language":"en","page":"143-162","source":"DOI.org (Crossref)","title":"Effectiveness of National Pricing Policies for Patent-Protected Pharmaceuticals in the OECD: A Systematic Literature Review","title-short":"Effectiveness of National Pricing Policies for Patent-Protected Pharmaceuticals in the OECD","volume":"17","author":[{"family":"Wettstein","given":"Dominik J."},{"family":"Boes","given":"Stefan"}],"issued":{"date-parts":[["2019",4]]}}}],"schema":"https://github.com/citation-style-language/schema/raw/master/csl-citation.json"} </w:instrText>
            </w:r>
            <w:r w:rsidR="0078563F">
              <w:rPr>
                <w:rFonts w:ascii="Times New Roman" w:hAnsi="Times New Roman" w:cs="Times New Roman"/>
                <w:sz w:val="18"/>
                <w:szCs w:val="18"/>
              </w:rPr>
              <w:fldChar w:fldCharType="separate"/>
            </w:r>
            <w:r w:rsidR="0078563F" w:rsidRPr="0078563F">
              <w:rPr>
                <w:rFonts w:ascii="Times New Roman" w:hAnsi="Times New Roman" w:cs="Times New Roman"/>
                <w:sz w:val="18"/>
              </w:rPr>
              <w:t>[20]</w:t>
            </w:r>
            <w:r w:rsidR="0078563F">
              <w:rPr>
                <w:rFonts w:ascii="Times New Roman" w:hAnsi="Times New Roman" w:cs="Times New Roman"/>
                <w:sz w:val="18"/>
                <w:szCs w:val="18"/>
              </w:rPr>
              <w:fldChar w:fldCharType="end"/>
            </w:r>
          </w:p>
        </w:tc>
        <w:tc>
          <w:tcPr>
            <w:tcW w:w="988" w:type="dxa"/>
            <w:noWrap/>
            <w:hideMark/>
          </w:tcPr>
          <w:p w14:paraId="1F22DC6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2019</w:t>
            </w:r>
          </w:p>
        </w:tc>
        <w:tc>
          <w:tcPr>
            <w:tcW w:w="2020" w:type="dxa"/>
            <w:noWrap/>
            <w:hideMark/>
          </w:tcPr>
          <w:p w14:paraId="176D14F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Switzerland</w:t>
            </w:r>
          </w:p>
        </w:tc>
        <w:tc>
          <w:tcPr>
            <w:tcW w:w="3015" w:type="dxa"/>
            <w:noWrap/>
            <w:hideMark/>
          </w:tcPr>
          <w:p w14:paraId="4EC8E84B"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Review article</w:t>
            </w:r>
          </w:p>
        </w:tc>
        <w:tc>
          <w:tcPr>
            <w:tcW w:w="8480" w:type="dxa"/>
            <w:noWrap/>
            <w:hideMark/>
          </w:tcPr>
          <w:p w14:paraId="0C846C6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Applied health economics and health policy</w:t>
            </w:r>
          </w:p>
        </w:tc>
      </w:tr>
      <w:tr w:rsidR="00A77862" w:rsidRPr="00E8605F" w14:paraId="02A2A0EF" w14:textId="77777777" w:rsidTr="00A77862">
        <w:trPr>
          <w:trHeight w:val="310"/>
        </w:trPr>
        <w:tc>
          <w:tcPr>
            <w:tcW w:w="2180" w:type="dxa"/>
            <w:noWrap/>
            <w:hideMark/>
          </w:tcPr>
          <w:p w14:paraId="705613AF" w14:textId="5EC72F8E"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Galizzi</w:t>
            </w:r>
            <w:proofErr w:type="spellEnd"/>
            <w:r w:rsidRPr="00E8605F">
              <w:rPr>
                <w:rFonts w:ascii="Times New Roman" w:hAnsi="Times New Roman" w:cs="Times New Roman"/>
                <w:sz w:val="18"/>
                <w:szCs w:val="18"/>
              </w:rPr>
              <w:t xml:space="preserve"> et al.</w:t>
            </w:r>
            <w:r w:rsidR="0078563F">
              <w:rPr>
                <w:rFonts w:ascii="Times New Roman" w:hAnsi="Times New Roman" w:cs="Times New Roman"/>
                <w:sz w:val="18"/>
                <w:szCs w:val="18"/>
              </w:rPr>
              <w:t xml:space="preserve"> </w:t>
            </w:r>
            <w:r w:rsidR="0078563F">
              <w:rPr>
                <w:rFonts w:ascii="Times New Roman" w:hAnsi="Times New Roman" w:cs="Times New Roman"/>
                <w:sz w:val="18"/>
                <w:szCs w:val="18"/>
              </w:rPr>
              <w:fldChar w:fldCharType="begin"/>
            </w:r>
            <w:r w:rsidR="0078563F">
              <w:rPr>
                <w:rFonts w:ascii="Times New Roman" w:hAnsi="Times New Roman" w:cs="Times New Roman"/>
                <w:sz w:val="18"/>
                <w:szCs w:val="18"/>
              </w:rPr>
              <w:instrText xml:space="preserve"> ADDIN ZOTERO_ITEM CSL_CITATION {"citationID":"eXXTihZr","properties":{"formattedCitation":"[21]","plainCitation":"[21]","noteIndex":0},"citationItems":[{"id":3503,"uris":["http://zotero.org/groups/5115136/items/HTXNREPR"],"itemData":{"id":3503,"type":"article-journal","container-title":"PharmacoEconomics","DOI":"10.2165/11537860-000000000-00000","ISSN":"1170-7690","issue":"1","journalAbbreviation":"PharmacoEconomics","language":"en","page":"17-33","source":"DOI.org (Crossref)","title":"Effects of Reference Pricing in Pharmaceutical Markets: A Review","title-short":"Effects of Reference Pricing in Pharmaceutical Markets","volume":"29","author":[{"family":"Galizzi","given":"Matteo Maria"},{"family":"Ghislandi","given":"Simone"},{"family":"Miraldo","given":"Marisa"}],"issued":{"date-parts":[["2011",1]]}}}],"schema":"https://github.com/citation-style-language/schema/raw/master/csl-citation.json"} </w:instrText>
            </w:r>
            <w:r w:rsidR="0078563F">
              <w:rPr>
                <w:rFonts w:ascii="Times New Roman" w:hAnsi="Times New Roman" w:cs="Times New Roman"/>
                <w:sz w:val="18"/>
                <w:szCs w:val="18"/>
              </w:rPr>
              <w:fldChar w:fldCharType="separate"/>
            </w:r>
            <w:r w:rsidR="0078563F" w:rsidRPr="0078563F">
              <w:rPr>
                <w:rFonts w:ascii="Times New Roman" w:hAnsi="Times New Roman" w:cs="Times New Roman"/>
                <w:sz w:val="18"/>
              </w:rPr>
              <w:t>[21]</w:t>
            </w:r>
            <w:r w:rsidR="0078563F">
              <w:rPr>
                <w:rFonts w:ascii="Times New Roman" w:hAnsi="Times New Roman" w:cs="Times New Roman"/>
                <w:sz w:val="18"/>
                <w:szCs w:val="18"/>
              </w:rPr>
              <w:fldChar w:fldCharType="end"/>
            </w:r>
          </w:p>
        </w:tc>
        <w:tc>
          <w:tcPr>
            <w:tcW w:w="988" w:type="dxa"/>
            <w:noWrap/>
            <w:hideMark/>
          </w:tcPr>
          <w:p w14:paraId="313E0B2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2011</w:t>
            </w:r>
          </w:p>
        </w:tc>
        <w:tc>
          <w:tcPr>
            <w:tcW w:w="2020" w:type="dxa"/>
            <w:noWrap/>
            <w:hideMark/>
          </w:tcPr>
          <w:p w14:paraId="343D897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Italy</w:t>
            </w:r>
          </w:p>
        </w:tc>
        <w:tc>
          <w:tcPr>
            <w:tcW w:w="3015" w:type="dxa"/>
            <w:noWrap/>
            <w:hideMark/>
          </w:tcPr>
          <w:p w14:paraId="37D06976"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Review article</w:t>
            </w:r>
          </w:p>
        </w:tc>
        <w:tc>
          <w:tcPr>
            <w:tcW w:w="8480" w:type="dxa"/>
            <w:noWrap/>
            <w:hideMark/>
          </w:tcPr>
          <w:p w14:paraId="516AA0AB" w14:textId="77777777"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PharmacoEconomics</w:t>
            </w:r>
            <w:proofErr w:type="spellEnd"/>
          </w:p>
        </w:tc>
      </w:tr>
      <w:tr w:rsidR="00A77862" w:rsidRPr="00E8605F" w14:paraId="3AA7EDE2" w14:textId="77777777" w:rsidTr="00A77862">
        <w:trPr>
          <w:trHeight w:val="310"/>
        </w:trPr>
        <w:tc>
          <w:tcPr>
            <w:tcW w:w="2180" w:type="dxa"/>
            <w:noWrap/>
            <w:hideMark/>
          </w:tcPr>
          <w:p w14:paraId="34049803" w14:textId="5ACE3F93"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Berdud</w:t>
            </w:r>
            <w:proofErr w:type="spellEnd"/>
            <w:r w:rsidRPr="00E8605F">
              <w:rPr>
                <w:rFonts w:ascii="Times New Roman" w:hAnsi="Times New Roman" w:cs="Times New Roman"/>
                <w:sz w:val="18"/>
                <w:szCs w:val="18"/>
              </w:rPr>
              <w:t xml:space="preserve"> et al.</w:t>
            </w:r>
            <w:r w:rsidR="00454D37">
              <w:rPr>
                <w:rFonts w:ascii="Times New Roman" w:hAnsi="Times New Roman" w:cs="Times New Roman"/>
                <w:sz w:val="18"/>
                <w:szCs w:val="18"/>
              </w:rPr>
              <w:t xml:space="preserve"> </w:t>
            </w:r>
            <w:r w:rsidR="00454D37">
              <w:rPr>
                <w:rFonts w:ascii="Times New Roman" w:hAnsi="Times New Roman" w:cs="Times New Roman"/>
                <w:sz w:val="18"/>
                <w:szCs w:val="18"/>
              </w:rPr>
              <w:fldChar w:fldCharType="begin"/>
            </w:r>
            <w:r w:rsidR="00454D37">
              <w:rPr>
                <w:rFonts w:ascii="Times New Roman" w:hAnsi="Times New Roman" w:cs="Times New Roman"/>
                <w:sz w:val="18"/>
                <w:szCs w:val="18"/>
              </w:rPr>
              <w:instrText xml:space="preserve"> ADDIN ZOTERO_ITEM CSL_CITATION {"citationID":"Ae5hoI3q","properties":{"formattedCitation":"[22]","plainCitation":"[22]","noteIndex":0},"citationItems":[{"id":3502,"uris":["http://zotero.org/groups/5115136/items/L933UJCH"],"itemData":{"id":3502,"type":"article-journal","abstract":"Abstract\n            \n              Background\n              This paper addresses the question of what a reasonable price for an orphan drug is. The research proposes a way to adjust an established payer/HTA body incremental cost-effectiveness threshold (CET) to take account of differences in patient populations and costs of research and development in order to sustain prices that generate rates of return from investments in developing orphan drugs that are no greater than the industry average.\n            \n            \n              Methods\n              We investigated the cost of conducting research for orphan drugs as compared to non-orphan drugs, as well as patient population sizes targeted by orphans and non-orphans. We provided an empirical illustration based on novel drug approvals of orphan and non-orphan drugs of the FDA between 2011 and 2015 (N = 182).\n            \n            \n              Results\n              Using, for illustration, the NICE incremental CET (£20 K per QALY) as an anchor and adjusting by R&amp;D costs and expected market revenue, we estimated the adjusted reasonable CET for orphan drugs to be £39.1 K per QALY at the orphan population cut-off and £78.3 K per QALY at the orphan population mid-point. For ultra-orphan drugs the adjusted CET was £937.1 K.\n            \n            \n              Conclusions\n              We propose one general method for establishing a reasonable price for an orphan drug, based on the proposition that rates of return for investments in developing orphan drugs should not be greater than the industry average. More research is required on data and assumptions, but with the data and assumptions we use, we find that in order to secure such a reasonable price for an orphan drug, the CET for orphans would need to be higher. This could be one approach for establishing the maximum allowable price society should be willing to pay, although decision-makers may still wish to negotiate a lower price, or refuse to pay such a premium over the value-based price in order to treat these groups of patients.","container-title":"Cost Effectiveness and Resource Allocation","DOI":"10.1186/s12962-020-00223-x","ISSN":"1478-7547","issue":"1","journalAbbreviation":"Cost Eff Resour Alloc","language":"en","page":"31","source":"DOI.org (Crossref)","title":"Establishing a reasonable price for an orphan drug","volume":"18","author":[{"family":"Berdud","given":"Mikel"},{"family":"Drummond","given":"Michael"},{"family":"Towse","given":"Adrian"}],"issued":{"date-parts":[["2020",12]]}}}],"schema":"https://github.com/citation-style-language/schema/raw/master/csl-citation.json"} </w:instrText>
            </w:r>
            <w:r w:rsidR="00454D37">
              <w:rPr>
                <w:rFonts w:ascii="Times New Roman" w:hAnsi="Times New Roman" w:cs="Times New Roman"/>
                <w:sz w:val="18"/>
                <w:szCs w:val="18"/>
              </w:rPr>
              <w:fldChar w:fldCharType="separate"/>
            </w:r>
            <w:r w:rsidR="00454D37" w:rsidRPr="00454D37">
              <w:rPr>
                <w:rFonts w:ascii="Times New Roman" w:hAnsi="Times New Roman" w:cs="Times New Roman"/>
                <w:sz w:val="18"/>
              </w:rPr>
              <w:t>[22]</w:t>
            </w:r>
            <w:r w:rsidR="00454D37">
              <w:rPr>
                <w:rFonts w:ascii="Times New Roman" w:hAnsi="Times New Roman" w:cs="Times New Roman"/>
                <w:sz w:val="18"/>
                <w:szCs w:val="18"/>
              </w:rPr>
              <w:fldChar w:fldCharType="end"/>
            </w:r>
          </w:p>
        </w:tc>
        <w:tc>
          <w:tcPr>
            <w:tcW w:w="988" w:type="dxa"/>
            <w:noWrap/>
            <w:hideMark/>
          </w:tcPr>
          <w:p w14:paraId="2F4884DC"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2020</w:t>
            </w:r>
          </w:p>
        </w:tc>
        <w:tc>
          <w:tcPr>
            <w:tcW w:w="2020" w:type="dxa"/>
            <w:noWrap/>
            <w:hideMark/>
          </w:tcPr>
          <w:p w14:paraId="0C1DA745"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UK</w:t>
            </w:r>
          </w:p>
        </w:tc>
        <w:tc>
          <w:tcPr>
            <w:tcW w:w="3015" w:type="dxa"/>
            <w:noWrap/>
            <w:hideMark/>
          </w:tcPr>
          <w:p w14:paraId="68A6B025"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5DC0707A" w14:textId="62DB8F2F"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Cost effectiveness and resource allocation: C/E</w:t>
            </w:r>
          </w:p>
        </w:tc>
      </w:tr>
      <w:tr w:rsidR="00A77862" w:rsidRPr="00E8605F" w14:paraId="00457746" w14:textId="77777777" w:rsidTr="00A77862">
        <w:trPr>
          <w:trHeight w:val="310"/>
        </w:trPr>
        <w:tc>
          <w:tcPr>
            <w:tcW w:w="2180" w:type="dxa"/>
            <w:noWrap/>
            <w:hideMark/>
          </w:tcPr>
          <w:p w14:paraId="575DD0B7" w14:textId="2ACC59E1"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Carr</w:t>
            </w:r>
            <w:proofErr w:type="spellEnd"/>
            <w:r w:rsidR="00454D37">
              <w:rPr>
                <w:rFonts w:ascii="Times New Roman" w:hAnsi="Times New Roman" w:cs="Times New Roman"/>
                <w:sz w:val="18"/>
                <w:szCs w:val="18"/>
              </w:rPr>
              <w:t xml:space="preserve"> and Bradshaw </w:t>
            </w:r>
            <w:r w:rsidR="00454D37">
              <w:rPr>
                <w:rFonts w:ascii="Times New Roman" w:hAnsi="Times New Roman" w:cs="Times New Roman"/>
                <w:sz w:val="18"/>
                <w:szCs w:val="18"/>
              </w:rPr>
              <w:fldChar w:fldCharType="begin"/>
            </w:r>
            <w:r w:rsidR="00454D37">
              <w:rPr>
                <w:rFonts w:ascii="Times New Roman" w:hAnsi="Times New Roman" w:cs="Times New Roman"/>
                <w:sz w:val="18"/>
                <w:szCs w:val="18"/>
              </w:rPr>
              <w:instrText xml:space="preserve"> ADDIN ZOTERO_ITEM CSL_CITATION {"citationID":"5YvWv2HJ","properties":{"formattedCitation":"[23]","plainCitation":"[23]","noteIndex":0},"citationItems":[{"id":3491,"uris":["http://zotero.org/groups/5115136/items/GUHUSX54"],"itemData":{"id":3491,"type":"article-journal","abstract":"Gene therapies have the potential to cure rare conditions that often have no current efficacious treatments with a one-time treatment episode, relieving substantial unmet need and having profound positive impact on patients’ lives. However, with the first gene therapy now licensed and priced at around US$1 million per patient, cost and uncertain funding mechanisms present a potential barrier to patient access. In this article, we discuss the unique challenges presented by gene therapies, particularly concerning the uncertainty inherent in their clinical evidence package at launch and their affordability within strained healthcare budgets. We present several payment models that would allow for sustainable reimbursement of these innovative technologies and make recommendations pertinent both to those developing gene therapies and to those paying for them.","container-title":"Regenerative Medicine","DOI":"10.2217/rme-2016-0010","ISSN":"1746-0751, 1746-076X","issue":"4","journalAbbreviation":"Regenerative Medicine","language":"en","page":"381-393","source":"DOI.org (Crossref)","title":"Gene therapies: the challenge of super-high-cost treatments and how to pay for them","title-short":"Gene therapies","volume":"11","author":[{"family":"Carr","given":"David R"},{"family":"Bradshaw","given":"Steven E"}],"issued":{"date-parts":[["2016",6]]}}}],"schema":"https://github.com/citation-style-language/schema/raw/master/csl-citation.json"} </w:instrText>
            </w:r>
            <w:r w:rsidR="00454D37">
              <w:rPr>
                <w:rFonts w:ascii="Times New Roman" w:hAnsi="Times New Roman" w:cs="Times New Roman"/>
                <w:sz w:val="18"/>
                <w:szCs w:val="18"/>
              </w:rPr>
              <w:fldChar w:fldCharType="separate"/>
            </w:r>
            <w:r w:rsidR="00454D37" w:rsidRPr="00454D37">
              <w:rPr>
                <w:rFonts w:ascii="Times New Roman" w:hAnsi="Times New Roman" w:cs="Times New Roman"/>
                <w:sz w:val="18"/>
              </w:rPr>
              <w:t>[23]</w:t>
            </w:r>
            <w:r w:rsidR="00454D37">
              <w:rPr>
                <w:rFonts w:ascii="Times New Roman" w:hAnsi="Times New Roman" w:cs="Times New Roman"/>
                <w:sz w:val="18"/>
                <w:szCs w:val="18"/>
              </w:rPr>
              <w:fldChar w:fldCharType="end"/>
            </w:r>
          </w:p>
        </w:tc>
        <w:tc>
          <w:tcPr>
            <w:tcW w:w="988" w:type="dxa"/>
            <w:noWrap/>
            <w:hideMark/>
          </w:tcPr>
          <w:p w14:paraId="451CDF9C"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2016</w:t>
            </w:r>
          </w:p>
        </w:tc>
        <w:tc>
          <w:tcPr>
            <w:tcW w:w="2020" w:type="dxa"/>
            <w:noWrap/>
            <w:hideMark/>
          </w:tcPr>
          <w:p w14:paraId="7FBB496C"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UK</w:t>
            </w:r>
          </w:p>
        </w:tc>
        <w:tc>
          <w:tcPr>
            <w:tcW w:w="3015" w:type="dxa"/>
            <w:noWrap/>
            <w:hideMark/>
          </w:tcPr>
          <w:p w14:paraId="4EFCA7B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Editorials, opinions, or commentaries</w:t>
            </w:r>
          </w:p>
        </w:tc>
        <w:tc>
          <w:tcPr>
            <w:tcW w:w="8480" w:type="dxa"/>
            <w:noWrap/>
            <w:hideMark/>
          </w:tcPr>
          <w:p w14:paraId="4DBA546B"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Regenerative medicine</w:t>
            </w:r>
          </w:p>
        </w:tc>
      </w:tr>
      <w:tr w:rsidR="00A77862" w:rsidRPr="00E8605F" w14:paraId="753F4363" w14:textId="77777777" w:rsidTr="00A77862">
        <w:trPr>
          <w:trHeight w:val="310"/>
        </w:trPr>
        <w:tc>
          <w:tcPr>
            <w:tcW w:w="2180" w:type="dxa"/>
            <w:noWrap/>
            <w:hideMark/>
          </w:tcPr>
          <w:p w14:paraId="03FD6936" w14:textId="50FFEE05"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Verghese</w:t>
            </w:r>
            <w:proofErr w:type="spellEnd"/>
            <w:r w:rsidRPr="00E8605F">
              <w:rPr>
                <w:rFonts w:ascii="Times New Roman" w:hAnsi="Times New Roman" w:cs="Times New Roman"/>
                <w:sz w:val="18"/>
                <w:szCs w:val="18"/>
              </w:rPr>
              <w:t xml:space="preserve"> et al.</w:t>
            </w:r>
            <w:r w:rsidR="00454D37">
              <w:rPr>
                <w:rFonts w:ascii="Times New Roman" w:hAnsi="Times New Roman" w:cs="Times New Roman"/>
                <w:sz w:val="18"/>
                <w:szCs w:val="18"/>
              </w:rPr>
              <w:t xml:space="preserve"> </w:t>
            </w:r>
            <w:r w:rsidR="00454D37">
              <w:rPr>
                <w:rFonts w:ascii="Times New Roman" w:hAnsi="Times New Roman" w:cs="Times New Roman"/>
                <w:sz w:val="18"/>
                <w:szCs w:val="18"/>
              </w:rPr>
              <w:fldChar w:fldCharType="begin"/>
            </w:r>
            <w:r w:rsidR="00454D37">
              <w:rPr>
                <w:rFonts w:ascii="Times New Roman" w:hAnsi="Times New Roman" w:cs="Times New Roman"/>
                <w:sz w:val="18"/>
                <w:szCs w:val="18"/>
              </w:rPr>
              <w:instrText xml:space="preserve"> ADDIN ZOTERO_ITEM CSL_CITATION {"citationID":"cUBAKUW5","properties":{"formattedCitation":"[24]","plainCitation":"[24]","noteIndex":0},"citationItems":[{"id":3490,"uris":["http://zotero.org/groups/5115136/items/BIRQZFSD"],"itemData":{"id":3490,"type":"article-journal","container-title":"Journal of Market Access &amp; Health Policy","DOI":"10.1080/20016689.2019.1601060","ISSN":"2001-6689","issue":"1","journalAbbreviation":"Journal of Market Access &amp; Health Policy","language":"en","page":"1601060","source":"DOI.org (Crossref)","title":"Government pharmaceutical pricing strategies in the Asia-Pacific region: an overview","title-short":"Government pharmaceutical pricing strategies in the Asia-Pacific region","volume":"7","author":[{"family":"Verghese","given":"Naina R."},{"family":"Barrenetxea","given":"Jon"},{"family":"Bhargava","given":"Yukti"},{"family":"Agrawal","given":"Sagun"},{"family":"Finkelstein","given":"Eric Andrew"}],"issued":{"date-parts":[["2019",1,1]]}}}],"schema":"https://github.com/citation-style-language/schema/raw/master/csl-citation.json"} </w:instrText>
            </w:r>
            <w:r w:rsidR="00454D37">
              <w:rPr>
                <w:rFonts w:ascii="Times New Roman" w:hAnsi="Times New Roman" w:cs="Times New Roman"/>
                <w:sz w:val="18"/>
                <w:szCs w:val="18"/>
              </w:rPr>
              <w:fldChar w:fldCharType="separate"/>
            </w:r>
            <w:r w:rsidR="00454D37" w:rsidRPr="00454D37">
              <w:rPr>
                <w:rFonts w:ascii="Times New Roman" w:hAnsi="Times New Roman" w:cs="Times New Roman"/>
                <w:sz w:val="18"/>
              </w:rPr>
              <w:t>[24]</w:t>
            </w:r>
            <w:r w:rsidR="00454D37">
              <w:rPr>
                <w:rFonts w:ascii="Times New Roman" w:hAnsi="Times New Roman" w:cs="Times New Roman"/>
                <w:sz w:val="18"/>
                <w:szCs w:val="18"/>
              </w:rPr>
              <w:fldChar w:fldCharType="end"/>
            </w:r>
          </w:p>
        </w:tc>
        <w:tc>
          <w:tcPr>
            <w:tcW w:w="988" w:type="dxa"/>
            <w:noWrap/>
            <w:hideMark/>
          </w:tcPr>
          <w:p w14:paraId="2BB9F99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2019</w:t>
            </w:r>
          </w:p>
        </w:tc>
        <w:tc>
          <w:tcPr>
            <w:tcW w:w="2020" w:type="dxa"/>
            <w:noWrap/>
            <w:hideMark/>
          </w:tcPr>
          <w:p w14:paraId="18A9B857"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Singapore</w:t>
            </w:r>
          </w:p>
        </w:tc>
        <w:tc>
          <w:tcPr>
            <w:tcW w:w="3015" w:type="dxa"/>
            <w:noWrap/>
            <w:hideMark/>
          </w:tcPr>
          <w:p w14:paraId="4211AD05"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Review article</w:t>
            </w:r>
          </w:p>
        </w:tc>
        <w:tc>
          <w:tcPr>
            <w:tcW w:w="8480" w:type="dxa"/>
            <w:noWrap/>
            <w:hideMark/>
          </w:tcPr>
          <w:p w14:paraId="3B277EFB"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Journal of market access &amp; health policy</w:t>
            </w:r>
          </w:p>
        </w:tc>
      </w:tr>
      <w:tr w:rsidR="00A77862" w:rsidRPr="00E8605F" w14:paraId="61378254" w14:textId="77777777" w:rsidTr="00A77862">
        <w:trPr>
          <w:trHeight w:val="310"/>
        </w:trPr>
        <w:tc>
          <w:tcPr>
            <w:tcW w:w="2180" w:type="dxa"/>
            <w:noWrap/>
            <w:hideMark/>
          </w:tcPr>
          <w:p w14:paraId="170935DD" w14:textId="668AD4F5"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Launois</w:t>
            </w:r>
            <w:proofErr w:type="spellEnd"/>
            <w:r w:rsidRPr="00E8605F">
              <w:rPr>
                <w:rFonts w:ascii="Times New Roman" w:hAnsi="Times New Roman" w:cs="Times New Roman"/>
                <w:sz w:val="18"/>
                <w:szCs w:val="18"/>
              </w:rPr>
              <w:t xml:space="preserve"> et al.</w:t>
            </w:r>
            <w:r w:rsidR="00454D37">
              <w:rPr>
                <w:rFonts w:ascii="Times New Roman" w:hAnsi="Times New Roman" w:cs="Times New Roman"/>
                <w:sz w:val="18"/>
                <w:szCs w:val="18"/>
              </w:rPr>
              <w:t xml:space="preserve"> </w:t>
            </w:r>
            <w:r w:rsidR="00454D37">
              <w:rPr>
                <w:rFonts w:ascii="Times New Roman" w:hAnsi="Times New Roman" w:cs="Times New Roman"/>
                <w:sz w:val="18"/>
                <w:szCs w:val="18"/>
              </w:rPr>
              <w:fldChar w:fldCharType="begin"/>
            </w:r>
            <w:r w:rsidR="00454D37">
              <w:rPr>
                <w:rFonts w:ascii="Times New Roman" w:hAnsi="Times New Roman" w:cs="Times New Roman"/>
                <w:sz w:val="18"/>
                <w:szCs w:val="18"/>
              </w:rPr>
              <w:instrText xml:space="preserve"> ADDIN ZOTERO_ITEM CSL_CITATION {"citationID":"OHQX13VK","properties":{"formattedCitation":"[25]","plainCitation":"[25]","noteIndex":0},"citationItems":[{"id":3567,"uris":["http://zotero.org/groups/5115136/items/Z5CAVCXH"],"itemData":{"id":3567,"type":"article-journal","container-title":"Journal of Market Access &amp; Health Policy","DOI":"10.3402/jmahp.v2.24988","ISSN":"2001-6689","issue":"1","journalAbbreviation":"Journal of Market Access &amp; Health Policy","language":"en","page":"24988","source":"DOI.org (Crossref)","title":"Health economic value of an innovation: delimiting the scope and framework of future market entry agreements","title-short":"Health economic value of an innovation","volume":"2","author":[{"family":"Launois","given":"Robert"},{"family":"Navarrete","given":"Lucia Fiestas"},{"family":"Ethgen","given":"Olivier"},{"family":"Le Moine","given":"Jean-Gabriel"},{"family":"Gatsinga","given":"René"}],"issued":{"date-parts":[["2014",1]]}}}],"schema":"https://github.com/citation-style-language/schema/raw/master/csl-citation.json"} </w:instrText>
            </w:r>
            <w:r w:rsidR="00454D37">
              <w:rPr>
                <w:rFonts w:ascii="Times New Roman" w:hAnsi="Times New Roman" w:cs="Times New Roman"/>
                <w:sz w:val="18"/>
                <w:szCs w:val="18"/>
              </w:rPr>
              <w:fldChar w:fldCharType="separate"/>
            </w:r>
            <w:r w:rsidR="00454D37" w:rsidRPr="00454D37">
              <w:rPr>
                <w:rFonts w:ascii="Times New Roman" w:hAnsi="Times New Roman" w:cs="Times New Roman"/>
                <w:sz w:val="18"/>
              </w:rPr>
              <w:t>[25]</w:t>
            </w:r>
            <w:r w:rsidR="00454D37">
              <w:rPr>
                <w:rFonts w:ascii="Times New Roman" w:hAnsi="Times New Roman" w:cs="Times New Roman"/>
                <w:sz w:val="18"/>
                <w:szCs w:val="18"/>
              </w:rPr>
              <w:fldChar w:fldCharType="end"/>
            </w:r>
          </w:p>
        </w:tc>
        <w:tc>
          <w:tcPr>
            <w:tcW w:w="988" w:type="dxa"/>
            <w:noWrap/>
            <w:hideMark/>
          </w:tcPr>
          <w:p w14:paraId="57640D5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2014</w:t>
            </w:r>
          </w:p>
        </w:tc>
        <w:tc>
          <w:tcPr>
            <w:tcW w:w="2020" w:type="dxa"/>
            <w:noWrap/>
            <w:hideMark/>
          </w:tcPr>
          <w:p w14:paraId="34619DD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France</w:t>
            </w:r>
          </w:p>
        </w:tc>
        <w:tc>
          <w:tcPr>
            <w:tcW w:w="3015" w:type="dxa"/>
            <w:noWrap/>
            <w:hideMark/>
          </w:tcPr>
          <w:p w14:paraId="1FF076DB"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670C62CF"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Journal of market access &amp; health policy</w:t>
            </w:r>
          </w:p>
        </w:tc>
      </w:tr>
      <w:tr w:rsidR="00A77862" w:rsidRPr="00E8605F" w14:paraId="34D50D60" w14:textId="77777777" w:rsidTr="00A77862">
        <w:trPr>
          <w:trHeight w:val="310"/>
        </w:trPr>
        <w:tc>
          <w:tcPr>
            <w:tcW w:w="2180" w:type="dxa"/>
            <w:noWrap/>
            <w:hideMark/>
          </w:tcPr>
          <w:p w14:paraId="298FB645" w14:textId="7CA0DB42"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 xml:space="preserve">Mills </w:t>
            </w:r>
            <w:r w:rsidR="00454D37">
              <w:rPr>
                <w:rFonts w:ascii="Times New Roman" w:hAnsi="Times New Roman" w:cs="Times New Roman"/>
                <w:sz w:val="18"/>
                <w:szCs w:val="18"/>
              </w:rPr>
              <w:t xml:space="preserve">and Kanavos </w:t>
            </w:r>
            <w:r w:rsidR="00454D37">
              <w:rPr>
                <w:rFonts w:ascii="Times New Roman" w:hAnsi="Times New Roman" w:cs="Times New Roman"/>
                <w:sz w:val="18"/>
                <w:szCs w:val="18"/>
              </w:rPr>
              <w:fldChar w:fldCharType="begin"/>
            </w:r>
            <w:r w:rsidR="00454D37">
              <w:rPr>
                <w:rFonts w:ascii="Times New Roman" w:hAnsi="Times New Roman" w:cs="Times New Roman"/>
                <w:sz w:val="18"/>
                <w:szCs w:val="18"/>
              </w:rPr>
              <w:instrText xml:space="preserve"> ADDIN ZOTERO_ITEM CSL_CITATION {"citationID":"2uA6pWeK","properties":{"formattedCitation":"[26]","plainCitation":"[26]","noteIndex":0},"citationItems":[{"id":3620,"uris":["http://zotero.org/groups/5115136/items/JJQ3N25N"],"itemData":{"id":3620,"type":"article-journal","container-title":"PharmacoEconomics - Open","DOI":"10.1007/s41669-023-00406-1","ISSN":"2509-4262, 2509-4254","issue":"4","journalAbbreviation":"PharmacoEconomics Open","language":"en","page":"553-565","source":"DOI.org (Crossref)","title":"Healthcare Payer Perspectives on the Assessment and Pricing of Oncology Multi-Indication Products: Evidence from Nine OECD Countries","title-short":"Healthcare Payer Perspectives on the Assessment and Pricing of Oncology Multi-Indication Products","volume":"7","author":[{"family":"Mills","given":"Mackenzie"},{"family":"Kanavos","given":"Panos"}],"issued":{"date-parts":[["2023",7]]}}}],"schema":"https://github.com/citation-style-language/schema/raw/master/csl-citation.json"} </w:instrText>
            </w:r>
            <w:r w:rsidR="00454D37">
              <w:rPr>
                <w:rFonts w:ascii="Times New Roman" w:hAnsi="Times New Roman" w:cs="Times New Roman"/>
                <w:sz w:val="18"/>
                <w:szCs w:val="18"/>
              </w:rPr>
              <w:fldChar w:fldCharType="separate"/>
            </w:r>
            <w:r w:rsidR="00454D37" w:rsidRPr="00454D37">
              <w:rPr>
                <w:rFonts w:ascii="Times New Roman" w:hAnsi="Times New Roman" w:cs="Times New Roman"/>
                <w:sz w:val="18"/>
              </w:rPr>
              <w:t>[26]</w:t>
            </w:r>
            <w:r w:rsidR="00454D37">
              <w:rPr>
                <w:rFonts w:ascii="Times New Roman" w:hAnsi="Times New Roman" w:cs="Times New Roman"/>
                <w:sz w:val="18"/>
                <w:szCs w:val="18"/>
              </w:rPr>
              <w:fldChar w:fldCharType="end"/>
            </w:r>
          </w:p>
        </w:tc>
        <w:tc>
          <w:tcPr>
            <w:tcW w:w="988" w:type="dxa"/>
            <w:noWrap/>
            <w:hideMark/>
          </w:tcPr>
          <w:p w14:paraId="0950422C"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2023</w:t>
            </w:r>
          </w:p>
        </w:tc>
        <w:tc>
          <w:tcPr>
            <w:tcW w:w="2020" w:type="dxa"/>
            <w:noWrap/>
            <w:hideMark/>
          </w:tcPr>
          <w:p w14:paraId="670741F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UK</w:t>
            </w:r>
          </w:p>
        </w:tc>
        <w:tc>
          <w:tcPr>
            <w:tcW w:w="3015" w:type="dxa"/>
            <w:noWrap/>
            <w:hideMark/>
          </w:tcPr>
          <w:p w14:paraId="1C79779F"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7AEEC3A8" w14:textId="1BE96A6B"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PharmacoEconomics</w:t>
            </w:r>
            <w:proofErr w:type="spellEnd"/>
            <w:r w:rsidRPr="00E8605F">
              <w:rPr>
                <w:rFonts w:ascii="Times New Roman" w:hAnsi="Times New Roman" w:cs="Times New Roman"/>
                <w:sz w:val="18"/>
                <w:szCs w:val="18"/>
              </w:rPr>
              <w:t>-Open</w:t>
            </w:r>
          </w:p>
        </w:tc>
      </w:tr>
      <w:tr w:rsidR="00A77862" w:rsidRPr="00E8605F" w14:paraId="49CD71BF" w14:textId="77777777" w:rsidTr="00A77862">
        <w:trPr>
          <w:trHeight w:val="310"/>
        </w:trPr>
        <w:tc>
          <w:tcPr>
            <w:tcW w:w="2180" w:type="dxa"/>
            <w:noWrap/>
            <w:hideMark/>
          </w:tcPr>
          <w:p w14:paraId="6C6EF3C3" w14:textId="34BDA03F"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Vogler et al.</w:t>
            </w:r>
            <w:r w:rsidR="00454D37">
              <w:rPr>
                <w:rFonts w:ascii="Times New Roman" w:hAnsi="Times New Roman" w:cs="Times New Roman"/>
                <w:sz w:val="18"/>
                <w:szCs w:val="18"/>
              </w:rPr>
              <w:t xml:space="preserve"> </w:t>
            </w:r>
            <w:r w:rsidR="00454D37">
              <w:rPr>
                <w:rFonts w:ascii="Times New Roman" w:hAnsi="Times New Roman" w:cs="Times New Roman"/>
                <w:sz w:val="18"/>
                <w:szCs w:val="18"/>
              </w:rPr>
              <w:fldChar w:fldCharType="begin"/>
            </w:r>
            <w:r w:rsidR="00454D37">
              <w:rPr>
                <w:rFonts w:ascii="Times New Roman" w:hAnsi="Times New Roman" w:cs="Times New Roman"/>
                <w:sz w:val="18"/>
                <w:szCs w:val="18"/>
              </w:rPr>
              <w:instrText xml:space="preserve"> ADDIN ZOTERO_ITEM CSL_CITATION {"citationID":"ub4oL26E","properties":{"formattedCitation":"[27]","plainCitation":"[27]","noteIndex":0},"citationItems":[{"id":3599,"uris":["http://zotero.org/groups/5115136/items/DL3ID97X"],"itemData":{"id":3599,"type":"article-journal","container-title":"Applied Health Economics and Health Policy","DOI":"10.1007/s40258-016-0300-z","ISSN":"1175-5652, 1179-1896","issue":"3","journalAbbreviation":"Appl Health Econ Health Policy","language":"en","page":"307-321","source":"DOI.org (Crossref)","title":"How Can Pricing and Reimbursement Policies Improve Affordable Access to Medicines? Lessons Learned from European Countries","title-short":"How Can Pricing and Reimbursement Policies Improve Affordable Access to Medicines?","volume":"15","author":[{"family":"Vogler","given":"Sabine"},{"family":"Paris","given":"Valérie"},{"family":"Ferrario","given":"Alessandra"},{"family":"Wirtz","given":"Veronika J."},{"family":"De Joncheere","given":"Kees"},{"family":"Schneider","given":"Peter"},{"family":"Pedersen","given":"Hanne Bak"},{"family":"Dedet","given":"Guillaume"},{"family":"Babar","given":"Zaheer-Ud-Din"}],"issued":{"date-parts":[["2017",6]]}}}],"schema":"https://github.com/citation-style-language/schema/raw/master/csl-citation.json"} </w:instrText>
            </w:r>
            <w:r w:rsidR="00454D37">
              <w:rPr>
                <w:rFonts w:ascii="Times New Roman" w:hAnsi="Times New Roman" w:cs="Times New Roman"/>
                <w:sz w:val="18"/>
                <w:szCs w:val="18"/>
              </w:rPr>
              <w:fldChar w:fldCharType="separate"/>
            </w:r>
            <w:r w:rsidR="00454D37" w:rsidRPr="00454D37">
              <w:rPr>
                <w:rFonts w:ascii="Times New Roman" w:hAnsi="Times New Roman" w:cs="Times New Roman"/>
                <w:sz w:val="18"/>
              </w:rPr>
              <w:t>[27]</w:t>
            </w:r>
            <w:r w:rsidR="00454D37">
              <w:rPr>
                <w:rFonts w:ascii="Times New Roman" w:hAnsi="Times New Roman" w:cs="Times New Roman"/>
                <w:sz w:val="18"/>
                <w:szCs w:val="18"/>
              </w:rPr>
              <w:fldChar w:fldCharType="end"/>
            </w:r>
          </w:p>
        </w:tc>
        <w:tc>
          <w:tcPr>
            <w:tcW w:w="988" w:type="dxa"/>
            <w:noWrap/>
            <w:hideMark/>
          </w:tcPr>
          <w:p w14:paraId="778A828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2017</w:t>
            </w:r>
          </w:p>
        </w:tc>
        <w:tc>
          <w:tcPr>
            <w:tcW w:w="2020" w:type="dxa"/>
            <w:noWrap/>
            <w:hideMark/>
          </w:tcPr>
          <w:p w14:paraId="17BDD367"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Austria</w:t>
            </w:r>
          </w:p>
        </w:tc>
        <w:tc>
          <w:tcPr>
            <w:tcW w:w="3015" w:type="dxa"/>
            <w:noWrap/>
            <w:hideMark/>
          </w:tcPr>
          <w:p w14:paraId="6863DAFA"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Review article</w:t>
            </w:r>
          </w:p>
        </w:tc>
        <w:tc>
          <w:tcPr>
            <w:tcW w:w="8480" w:type="dxa"/>
            <w:noWrap/>
            <w:hideMark/>
          </w:tcPr>
          <w:p w14:paraId="59D48A6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Applied health economics and health policy</w:t>
            </w:r>
          </w:p>
        </w:tc>
      </w:tr>
      <w:tr w:rsidR="00A77862" w:rsidRPr="00E8605F" w14:paraId="657F9F59" w14:textId="77777777" w:rsidTr="00A77862">
        <w:trPr>
          <w:trHeight w:val="310"/>
        </w:trPr>
        <w:tc>
          <w:tcPr>
            <w:tcW w:w="2180" w:type="dxa"/>
            <w:noWrap/>
            <w:hideMark/>
          </w:tcPr>
          <w:p w14:paraId="6991834D" w14:textId="375A65B2"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Towse</w:t>
            </w:r>
            <w:proofErr w:type="spellEnd"/>
            <w:r w:rsidRPr="00E8605F">
              <w:rPr>
                <w:rFonts w:ascii="Times New Roman" w:hAnsi="Times New Roman" w:cs="Times New Roman"/>
                <w:sz w:val="18"/>
                <w:szCs w:val="18"/>
              </w:rPr>
              <w:t xml:space="preserve"> et al.</w:t>
            </w:r>
            <w:r w:rsidR="00454D37">
              <w:rPr>
                <w:rFonts w:ascii="Times New Roman" w:hAnsi="Times New Roman" w:cs="Times New Roman"/>
                <w:sz w:val="18"/>
                <w:szCs w:val="18"/>
              </w:rPr>
              <w:t xml:space="preserve"> </w:t>
            </w:r>
            <w:r w:rsidR="00AB66B8">
              <w:rPr>
                <w:rFonts w:ascii="Times New Roman" w:hAnsi="Times New Roman" w:cs="Times New Roman"/>
                <w:sz w:val="18"/>
                <w:szCs w:val="18"/>
              </w:rPr>
              <w:fldChar w:fldCharType="begin"/>
            </w:r>
            <w:r w:rsidR="00AB66B8">
              <w:rPr>
                <w:rFonts w:ascii="Times New Roman" w:hAnsi="Times New Roman" w:cs="Times New Roman"/>
                <w:sz w:val="18"/>
                <w:szCs w:val="18"/>
              </w:rPr>
              <w:instrText xml:space="preserve"> ADDIN ZOTERO_ITEM CSL_CITATION {"citationID":"CnRR7HVq","properties":{"formattedCitation":"[28]","plainCitation":"[28]","noteIndex":0},"citationItems":[{"id":3601,"uris":["http://zotero.org/groups/5115136/items/YKZM33FY"],"itemData":{"id":3601,"type":"article-journal","container-title":"Value in Health","DOI":"10.1016/j.jval.2020.12.008","ISSN":"10983015","issue":"5","journalAbbreviation":"Value in Health","language":"en","page":"625-631","source":"DOI.org (Crossref)","title":"How Should the World Pay for a Coronavirus Disease (COVID-19) Vaccine?","volume":"24","author":[{"family":"Towse","given":"Adrian"},{"family":"Chalkidou","given":"Kalipso"},{"family":"Firth","given":"Isobel"},{"family":"Kettler","given":"Hannah"},{"family":"Silverman","given":"Rachel"}],"issued":{"date-parts":[["2021",5]]}}}],"schema":"https://github.com/citation-style-language/schema/raw/master/csl-citation.json"} </w:instrText>
            </w:r>
            <w:r w:rsidR="00AB66B8">
              <w:rPr>
                <w:rFonts w:ascii="Times New Roman" w:hAnsi="Times New Roman" w:cs="Times New Roman"/>
                <w:sz w:val="18"/>
                <w:szCs w:val="18"/>
              </w:rPr>
              <w:fldChar w:fldCharType="separate"/>
            </w:r>
            <w:r w:rsidR="00AB66B8" w:rsidRPr="00AB66B8">
              <w:rPr>
                <w:rFonts w:ascii="Times New Roman" w:hAnsi="Times New Roman" w:cs="Times New Roman"/>
                <w:sz w:val="18"/>
              </w:rPr>
              <w:t>[28]</w:t>
            </w:r>
            <w:r w:rsidR="00AB66B8">
              <w:rPr>
                <w:rFonts w:ascii="Times New Roman" w:hAnsi="Times New Roman" w:cs="Times New Roman"/>
                <w:sz w:val="18"/>
                <w:szCs w:val="18"/>
              </w:rPr>
              <w:fldChar w:fldCharType="end"/>
            </w:r>
          </w:p>
        </w:tc>
        <w:tc>
          <w:tcPr>
            <w:tcW w:w="988" w:type="dxa"/>
            <w:noWrap/>
            <w:hideMark/>
          </w:tcPr>
          <w:p w14:paraId="0E6715CA"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2021</w:t>
            </w:r>
          </w:p>
        </w:tc>
        <w:tc>
          <w:tcPr>
            <w:tcW w:w="2020" w:type="dxa"/>
            <w:noWrap/>
            <w:hideMark/>
          </w:tcPr>
          <w:p w14:paraId="23BBA0A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UK</w:t>
            </w:r>
          </w:p>
        </w:tc>
        <w:tc>
          <w:tcPr>
            <w:tcW w:w="3015" w:type="dxa"/>
            <w:noWrap/>
            <w:hideMark/>
          </w:tcPr>
          <w:p w14:paraId="700FF2D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2EE36AA9"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Value in health: the journal of the International Society for Pharmacoeconomics and Outcomes Research</w:t>
            </w:r>
          </w:p>
        </w:tc>
      </w:tr>
      <w:tr w:rsidR="00A77862" w:rsidRPr="00E8605F" w14:paraId="43F51490" w14:textId="77777777" w:rsidTr="00A77862">
        <w:trPr>
          <w:trHeight w:val="310"/>
        </w:trPr>
        <w:tc>
          <w:tcPr>
            <w:tcW w:w="2180" w:type="dxa"/>
            <w:noWrap/>
            <w:hideMark/>
          </w:tcPr>
          <w:p w14:paraId="6C10FDE2" w14:textId="43C181FC"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Murray et al.</w:t>
            </w:r>
            <w:r w:rsidR="00AB66B8">
              <w:rPr>
                <w:rFonts w:ascii="Times New Roman" w:hAnsi="Times New Roman" w:cs="Times New Roman"/>
                <w:sz w:val="18"/>
                <w:szCs w:val="18"/>
              </w:rPr>
              <w:t xml:space="preserve"> </w:t>
            </w:r>
            <w:r w:rsidR="00AB66B8">
              <w:rPr>
                <w:rFonts w:ascii="Times New Roman" w:hAnsi="Times New Roman" w:cs="Times New Roman"/>
                <w:sz w:val="18"/>
                <w:szCs w:val="18"/>
              </w:rPr>
              <w:fldChar w:fldCharType="begin"/>
            </w:r>
            <w:r w:rsidR="00AB66B8">
              <w:rPr>
                <w:rFonts w:ascii="Times New Roman" w:hAnsi="Times New Roman" w:cs="Times New Roman"/>
                <w:sz w:val="18"/>
                <w:szCs w:val="18"/>
              </w:rPr>
              <w:instrText xml:space="preserve"> ADDIN ZOTERO_ITEM CSL_CITATION {"citationID":"xAVhWaG5","properties":{"formattedCitation":"[29]","plainCitation":"[29]","noteIndex":0},"citationItems":[{"id":3616,"uris":["http://zotero.org/groups/5115136/items/CNGD7S6D"],"itemData":{"id":3616,"type":"article-journal","abstract":"The first ever insurance reimbursement for an artificial intelligence (AI) system, which expedites triage of acute stroke, occurred in 2020 when the Centers for Medicare and Medicaid Services (CMS) granted approval for a New Technology Add-on Payment (NTAP). Key aspects of the AI system that led to its approval by the CMS included its unique mechanism of action, use of robotic process automation, and clear linkage of the system’s output to clinical outcomes. The specific strategies employed encompass a first-case scenario of proving reimbursable value for improved stroke outcomes using AI. Given the rapid change in utilization of AI technology in stroke care, we describe the economic drivers of stroke AI systems in healthcare, focusing on concepts of reimbursement for value added by AI to the stroke care system. This report reviews (1) the successful approach used by the first NTAP-approved AI system, (2) economic variables in insurance reimbursement for AI, and (3) resultant strategies that may be utilized to facilitate qualification for NTAP reimbursement, which may be adopted by other AI systems used in stroke care.","container-title":"The Neuroradiology Journal","DOI":"10.1177/19714009211067408","ISSN":"1971-4009, 2385-1996","issue":"3","journalAbbreviation":"Neuroradiol J","language":"en","page":"284-289","source":"DOI.org (Crossref)","title":"Insurance payment for artificial intelligence technology: Methods used by a stroke artificial intelligence system and strategies to qualify for the new technology add-on payment","title-short":"Insurance payment for artificial intelligence technology","volume":"35","author":[{"family":"Murray","given":"Nick M"},{"family":"Phan","given":"Phillip"},{"family":"Hager","given":"Greg"},{"family":"Menard","given":"Andrew"},{"family":"Chin","given":"David"},{"family":"Liu","given":"Alvin"},{"family":"Hui","given":"Ferdinand K"}],"issued":{"date-parts":[["2022",6]]}}}],"schema":"https://github.com/citation-style-language/schema/raw/master/csl-citation.json"} </w:instrText>
            </w:r>
            <w:r w:rsidR="00AB66B8">
              <w:rPr>
                <w:rFonts w:ascii="Times New Roman" w:hAnsi="Times New Roman" w:cs="Times New Roman"/>
                <w:sz w:val="18"/>
                <w:szCs w:val="18"/>
              </w:rPr>
              <w:fldChar w:fldCharType="separate"/>
            </w:r>
            <w:r w:rsidR="00AB66B8" w:rsidRPr="00AB66B8">
              <w:rPr>
                <w:rFonts w:ascii="Times New Roman" w:hAnsi="Times New Roman" w:cs="Times New Roman"/>
                <w:sz w:val="18"/>
              </w:rPr>
              <w:t>[29]</w:t>
            </w:r>
            <w:r w:rsidR="00AB66B8">
              <w:rPr>
                <w:rFonts w:ascii="Times New Roman" w:hAnsi="Times New Roman" w:cs="Times New Roman"/>
                <w:sz w:val="18"/>
                <w:szCs w:val="18"/>
              </w:rPr>
              <w:fldChar w:fldCharType="end"/>
            </w:r>
          </w:p>
        </w:tc>
        <w:tc>
          <w:tcPr>
            <w:tcW w:w="988" w:type="dxa"/>
            <w:noWrap/>
            <w:hideMark/>
          </w:tcPr>
          <w:p w14:paraId="62E8BE29"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2022</w:t>
            </w:r>
          </w:p>
        </w:tc>
        <w:tc>
          <w:tcPr>
            <w:tcW w:w="2020" w:type="dxa"/>
            <w:noWrap/>
            <w:hideMark/>
          </w:tcPr>
          <w:p w14:paraId="15D41CD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05640854"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Review article</w:t>
            </w:r>
          </w:p>
        </w:tc>
        <w:tc>
          <w:tcPr>
            <w:tcW w:w="8480" w:type="dxa"/>
            <w:noWrap/>
            <w:hideMark/>
          </w:tcPr>
          <w:p w14:paraId="69A04146"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The neuroradiology journal</w:t>
            </w:r>
          </w:p>
        </w:tc>
      </w:tr>
      <w:tr w:rsidR="00A77862" w:rsidRPr="00E8605F" w14:paraId="70FF75A1" w14:textId="77777777" w:rsidTr="00A77862">
        <w:trPr>
          <w:trHeight w:val="310"/>
        </w:trPr>
        <w:tc>
          <w:tcPr>
            <w:tcW w:w="2180" w:type="dxa"/>
            <w:noWrap/>
            <w:hideMark/>
          </w:tcPr>
          <w:p w14:paraId="2C22B500" w14:textId="420880F7"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Schimmer</w:t>
            </w:r>
            <w:proofErr w:type="spellEnd"/>
            <w:r w:rsidRPr="00E8605F">
              <w:rPr>
                <w:rFonts w:ascii="Times New Roman" w:hAnsi="Times New Roman" w:cs="Times New Roman"/>
                <w:sz w:val="18"/>
                <w:szCs w:val="18"/>
              </w:rPr>
              <w:t xml:space="preserve"> </w:t>
            </w:r>
            <w:r w:rsidR="00AB66B8">
              <w:rPr>
                <w:rFonts w:ascii="Times New Roman" w:hAnsi="Times New Roman" w:cs="Times New Roman"/>
                <w:sz w:val="18"/>
                <w:szCs w:val="18"/>
              </w:rPr>
              <w:t xml:space="preserve">and </w:t>
            </w:r>
            <w:proofErr w:type="spellStart"/>
            <w:r w:rsidR="00AB66B8">
              <w:rPr>
                <w:rFonts w:ascii="Times New Roman" w:hAnsi="Times New Roman" w:cs="Times New Roman"/>
                <w:sz w:val="18"/>
                <w:szCs w:val="18"/>
              </w:rPr>
              <w:t>Brezzano</w:t>
            </w:r>
            <w:proofErr w:type="spellEnd"/>
            <w:r w:rsidR="00AB66B8">
              <w:rPr>
                <w:rFonts w:ascii="Times New Roman" w:hAnsi="Times New Roman" w:cs="Times New Roman"/>
                <w:sz w:val="18"/>
                <w:szCs w:val="18"/>
              </w:rPr>
              <w:t xml:space="preserve"> </w:t>
            </w:r>
            <w:r w:rsidR="00AB66B8">
              <w:rPr>
                <w:rFonts w:ascii="Times New Roman" w:hAnsi="Times New Roman" w:cs="Times New Roman"/>
                <w:sz w:val="18"/>
                <w:szCs w:val="18"/>
              </w:rPr>
              <w:fldChar w:fldCharType="begin"/>
            </w:r>
            <w:r w:rsidR="00AB66B8">
              <w:rPr>
                <w:rFonts w:ascii="Times New Roman" w:hAnsi="Times New Roman" w:cs="Times New Roman"/>
                <w:sz w:val="18"/>
                <w:szCs w:val="18"/>
              </w:rPr>
              <w:instrText xml:space="preserve"> ADDIN ZOTERO_ITEM CSL_CITATION {"citationID":"bck1vfpk","properties":{"formattedCitation":"[30]","plainCitation":"[30]","noteIndex":0},"citationItems":[{"id":3608,"uris":["http://zotero.org/groups/5115136/items/2NDQIKNI"],"itemData":{"id":3608,"type":"article-journal","container-title":"Human Gene Therapy Clinical Development","DOI":"10.1089/humc.2016.29018.ind","ISSN":"2324-8637, 2324-8645","issue":"4","journalAbbreviation":"Human Gene Therapy Clinical Development","language":"en","page":"132-136","source":"DOI.org (Crossref)","title":"Investor Outlook: Solving Gene Therapy Pricing…with a Cures Voucher?","title-short":"Investor Outlook","volume":"27","author":[{"family":"Schimmer","given":"Joshua"},{"family":"Breazzano","given":"Steven"}],"issued":{"date-parts":[["2016",12]]}}}],"schema":"https://github.com/citation-style-language/schema/raw/master/csl-citation.json"} </w:instrText>
            </w:r>
            <w:r w:rsidR="00AB66B8">
              <w:rPr>
                <w:rFonts w:ascii="Times New Roman" w:hAnsi="Times New Roman" w:cs="Times New Roman"/>
                <w:sz w:val="18"/>
                <w:szCs w:val="18"/>
              </w:rPr>
              <w:fldChar w:fldCharType="separate"/>
            </w:r>
            <w:r w:rsidR="00AB66B8" w:rsidRPr="00AB66B8">
              <w:rPr>
                <w:rFonts w:ascii="Times New Roman" w:hAnsi="Times New Roman" w:cs="Times New Roman"/>
                <w:sz w:val="18"/>
              </w:rPr>
              <w:t>[30]</w:t>
            </w:r>
            <w:r w:rsidR="00AB66B8">
              <w:rPr>
                <w:rFonts w:ascii="Times New Roman" w:hAnsi="Times New Roman" w:cs="Times New Roman"/>
                <w:sz w:val="18"/>
                <w:szCs w:val="18"/>
              </w:rPr>
              <w:fldChar w:fldCharType="end"/>
            </w:r>
          </w:p>
        </w:tc>
        <w:tc>
          <w:tcPr>
            <w:tcW w:w="988" w:type="dxa"/>
            <w:noWrap/>
            <w:hideMark/>
          </w:tcPr>
          <w:p w14:paraId="4A868EE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2016</w:t>
            </w:r>
          </w:p>
        </w:tc>
        <w:tc>
          <w:tcPr>
            <w:tcW w:w="2020" w:type="dxa"/>
            <w:noWrap/>
            <w:hideMark/>
          </w:tcPr>
          <w:p w14:paraId="2725F05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7582161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Other (industry notes)</w:t>
            </w:r>
          </w:p>
        </w:tc>
        <w:tc>
          <w:tcPr>
            <w:tcW w:w="8480" w:type="dxa"/>
            <w:noWrap/>
            <w:hideMark/>
          </w:tcPr>
          <w:p w14:paraId="1A956990" w14:textId="1D2A7CBD"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Human gene therapy. Clinical development</w:t>
            </w:r>
          </w:p>
        </w:tc>
      </w:tr>
      <w:tr w:rsidR="00A77862" w:rsidRPr="00E8605F" w14:paraId="75AB5A32" w14:textId="77777777" w:rsidTr="00A77862">
        <w:trPr>
          <w:trHeight w:val="310"/>
        </w:trPr>
        <w:tc>
          <w:tcPr>
            <w:tcW w:w="2180" w:type="dxa"/>
            <w:noWrap/>
            <w:hideMark/>
          </w:tcPr>
          <w:p w14:paraId="135083CC" w14:textId="5B4865A9"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 xml:space="preserve">Drummond </w:t>
            </w:r>
            <w:r w:rsidR="00993895">
              <w:rPr>
                <w:rFonts w:ascii="Times New Roman" w:hAnsi="Times New Roman" w:cs="Times New Roman"/>
                <w:sz w:val="18"/>
                <w:szCs w:val="18"/>
              </w:rPr>
              <w:t xml:space="preserve">and </w:t>
            </w:r>
            <w:proofErr w:type="spellStart"/>
            <w:r w:rsidR="00993895">
              <w:rPr>
                <w:rFonts w:ascii="Times New Roman" w:hAnsi="Times New Roman" w:cs="Times New Roman"/>
                <w:sz w:val="18"/>
                <w:szCs w:val="18"/>
              </w:rPr>
              <w:t>Towse</w:t>
            </w:r>
            <w:proofErr w:type="spellEnd"/>
            <w:r w:rsidR="00993895">
              <w:rPr>
                <w:rFonts w:ascii="Times New Roman" w:hAnsi="Times New Roman" w:cs="Times New Roman"/>
                <w:sz w:val="18"/>
                <w:szCs w:val="18"/>
              </w:rPr>
              <w:t xml:space="preserve"> </w:t>
            </w:r>
            <w:r w:rsidR="00993895">
              <w:rPr>
                <w:rFonts w:ascii="Times New Roman" w:hAnsi="Times New Roman" w:cs="Times New Roman"/>
                <w:sz w:val="18"/>
                <w:szCs w:val="18"/>
              </w:rPr>
              <w:fldChar w:fldCharType="begin"/>
            </w:r>
            <w:r w:rsidR="00993895">
              <w:rPr>
                <w:rFonts w:ascii="Times New Roman" w:hAnsi="Times New Roman" w:cs="Times New Roman"/>
                <w:sz w:val="18"/>
                <w:szCs w:val="18"/>
              </w:rPr>
              <w:instrText xml:space="preserve"> ADDIN ZOTERO_ITEM CSL_CITATION {"citationID":"zGsw0gRn","properties":{"formattedCitation":"[31]","plainCitation":"[31]","noteIndex":0},"citationItems":[{"id":3577,"uris":["http://zotero.org/groups/5115136/items/ZW87D5LU"],"itemData":{"id":3577,"type":"article-journal","container-title":"The European Journal of Health Economics","DOI":"10.1007/s10198-019-01032-7","ISSN":"1618-7598, 1618-7601","issue":"7","journalAbbreviation":"Eur J Health Econ","language":"en","page":"945-948","source":"DOI.org (Crossref)","title":"Is rate of return pricing a useful approach when value-based pricing is not appropriate?","volume":"20","author":[{"family":"Drummond","given":"Michael"},{"family":"Towse","given":"Adrian"}],"issued":{"date-parts":[["2019",9]]}}}],"schema":"https://github.com/citation-style-language/schema/raw/master/csl-citation.json"} </w:instrText>
            </w:r>
            <w:r w:rsidR="00993895">
              <w:rPr>
                <w:rFonts w:ascii="Times New Roman" w:hAnsi="Times New Roman" w:cs="Times New Roman"/>
                <w:sz w:val="18"/>
                <w:szCs w:val="18"/>
              </w:rPr>
              <w:fldChar w:fldCharType="separate"/>
            </w:r>
            <w:r w:rsidR="00993895" w:rsidRPr="00993895">
              <w:rPr>
                <w:rFonts w:ascii="Times New Roman" w:hAnsi="Times New Roman" w:cs="Times New Roman"/>
                <w:sz w:val="18"/>
              </w:rPr>
              <w:t>[31]</w:t>
            </w:r>
            <w:r w:rsidR="00993895">
              <w:rPr>
                <w:rFonts w:ascii="Times New Roman" w:hAnsi="Times New Roman" w:cs="Times New Roman"/>
                <w:sz w:val="18"/>
                <w:szCs w:val="18"/>
              </w:rPr>
              <w:fldChar w:fldCharType="end"/>
            </w:r>
          </w:p>
        </w:tc>
        <w:tc>
          <w:tcPr>
            <w:tcW w:w="988" w:type="dxa"/>
            <w:noWrap/>
            <w:hideMark/>
          </w:tcPr>
          <w:p w14:paraId="12DCE894"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2019</w:t>
            </w:r>
          </w:p>
        </w:tc>
        <w:tc>
          <w:tcPr>
            <w:tcW w:w="2020" w:type="dxa"/>
            <w:noWrap/>
            <w:hideMark/>
          </w:tcPr>
          <w:p w14:paraId="3FD32379"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UK</w:t>
            </w:r>
          </w:p>
        </w:tc>
        <w:tc>
          <w:tcPr>
            <w:tcW w:w="3015" w:type="dxa"/>
            <w:noWrap/>
            <w:hideMark/>
          </w:tcPr>
          <w:p w14:paraId="2204AB2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Editorials, opinions, or commentaries</w:t>
            </w:r>
          </w:p>
        </w:tc>
        <w:tc>
          <w:tcPr>
            <w:tcW w:w="8480" w:type="dxa"/>
            <w:noWrap/>
            <w:hideMark/>
          </w:tcPr>
          <w:p w14:paraId="2826DAF9" w14:textId="62977981"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The European journal of health economics: HEPAC:  health economics in prevention and care</w:t>
            </w:r>
          </w:p>
        </w:tc>
      </w:tr>
      <w:tr w:rsidR="00A77862" w:rsidRPr="00E8605F" w14:paraId="7F057614" w14:textId="77777777" w:rsidTr="00A77862">
        <w:trPr>
          <w:trHeight w:val="310"/>
        </w:trPr>
        <w:tc>
          <w:tcPr>
            <w:tcW w:w="2180" w:type="dxa"/>
            <w:noWrap/>
            <w:hideMark/>
          </w:tcPr>
          <w:p w14:paraId="49B024E7" w14:textId="0370EDBF"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Jarosławski</w:t>
            </w:r>
            <w:proofErr w:type="spellEnd"/>
            <w:r w:rsidR="00993895">
              <w:rPr>
                <w:rFonts w:ascii="Times New Roman" w:hAnsi="Times New Roman" w:cs="Times New Roman"/>
                <w:sz w:val="18"/>
                <w:szCs w:val="18"/>
              </w:rPr>
              <w:t xml:space="preserve"> and </w:t>
            </w:r>
            <w:proofErr w:type="spellStart"/>
            <w:r w:rsidR="00993895">
              <w:rPr>
                <w:rFonts w:ascii="Times New Roman" w:hAnsi="Times New Roman" w:cs="Times New Roman"/>
                <w:sz w:val="18"/>
                <w:szCs w:val="18"/>
              </w:rPr>
              <w:t>Toumi</w:t>
            </w:r>
            <w:proofErr w:type="spellEnd"/>
            <w:r w:rsidRPr="00E8605F">
              <w:rPr>
                <w:rFonts w:ascii="Times New Roman" w:hAnsi="Times New Roman" w:cs="Times New Roman"/>
                <w:sz w:val="18"/>
                <w:szCs w:val="18"/>
              </w:rPr>
              <w:t xml:space="preserve"> </w:t>
            </w:r>
            <w:r w:rsidR="00993895">
              <w:rPr>
                <w:rFonts w:ascii="Times New Roman" w:hAnsi="Times New Roman" w:cs="Times New Roman"/>
                <w:sz w:val="18"/>
                <w:szCs w:val="18"/>
              </w:rPr>
              <w:fldChar w:fldCharType="begin"/>
            </w:r>
            <w:r w:rsidR="00993895">
              <w:rPr>
                <w:rFonts w:ascii="Times New Roman" w:hAnsi="Times New Roman" w:cs="Times New Roman"/>
                <w:sz w:val="18"/>
                <w:szCs w:val="18"/>
              </w:rPr>
              <w:instrText xml:space="preserve"> ADDIN ZOTERO_ITEM CSL_CITATION {"citationID":"sLfrsAf2","properties":{"formattedCitation":"[32]","plainCitation":"[32]","noteIndex":0},"citationItems":[{"id":3638,"uris":["http://zotero.org/groups/5115136/items/KIUEAKNH"],"itemData":{"id":3638,"type":"article-journal","container-title":"BMC Health Services Research","DOI":"10.1186/1472-6963-11-259","ISSN":"1472-6963","issue":"1","journalAbbreviation":"BMC Health Serv Res","language":"en","page":"259","source":"DOI.org (Crossref)","title":"Market access agreements for pharmaceuticals in Europe: diversity of approaches and underlying concepts","title-short":"Market access agreements for pharmaceuticals in Europe","volume":"11","author":[{"family":"Jarosławski","given":"Szymon"},{"family":"Toumi","given":"Mondher"}],"issued":{"date-parts":[["2011",12]]}}}],"schema":"https://github.com/citation-style-language/schema/raw/master/csl-citation.json"} </w:instrText>
            </w:r>
            <w:r w:rsidR="00993895">
              <w:rPr>
                <w:rFonts w:ascii="Times New Roman" w:hAnsi="Times New Roman" w:cs="Times New Roman"/>
                <w:sz w:val="18"/>
                <w:szCs w:val="18"/>
              </w:rPr>
              <w:fldChar w:fldCharType="separate"/>
            </w:r>
            <w:r w:rsidR="00993895" w:rsidRPr="00993895">
              <w:rPr>
                <w:rFonts w:ascii="Times New Roman" w:hAnsi="Times New Roman" w:cs="Times New Roman"/>
                <w:sz w:val="18"/>
              </w:rPr>
              <w:t>[32]</w:t>
            </w:r>
            <w:r w:rsidR="00993895">
              <w:rPr>
                <w:rFonts w:ascii="Times New Roman" w:hAnsi="Times New Roman" w:cs="Times New Roman"/>
                <w:sz w:val="18"/>
                <w:szCs w:val="18"/>
              </w:rPr>
              <w:fldChar w:fldCharType="end"/>
            </w:r>
          </w:p>
        </w:tc>
        <w:tc>
          <w:tcPr>
            <w:tcW w:w="988" w:type="dxa"/>
            <w:noWrap/>
            <w:hideMark/>
          </w:tcPr>
          <w:p w14:paraId="05848BC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2011</w:t>
            </w:r>
          </w:p>
        </w:tc>
        <w:tc>
          <w:tcPr>
            <w:tcW w:w="2020" w:type="dxa"/>
            <w:noWrap/>
            <w:hideMark/>
          </w:tcPr>
          <w:p w14:paraId="48F26326"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France</w:t>
            </w:r>
          </w:p>
        </w:tc>
        <w:tc>
          <w:tcPr>
            <w:tcW w:w="3015" w:type="dxa"/>
            <w:noWrap/>
            <w:hideMark/>
          </w:tcPr>
          <w:p w14:paraId="15D2823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Editorials, opinions, or commentaries</w:t>
            </w:r>
          </w:p>
        </w:tc>
        <w:tc>
          <w:tcPr>
            <w:tcW w:w="8480" w:type="dxa"/>
            <w:noWrap/>
            <w:hideMark/>
          </w:tcPr>
          <w:p w14:paraId="47D98664"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BMC health services research</w:t>
            </w:r>
          </w:p>
        </w:tc>
      </w:tr>
      <w:tr w:rsidR="00A77862" w:rsidRPr="00E8605F" w14:paraId="271B7226" w14:textId="77777777" w:rsidTr="00A77862">
        <w:trPr>
          <w:trHeight w:val="310"/>
        </w:trPr>
        <w:tc>
          <w:tcPr>
            <w:tcW w:w="2180" w:type="dxa"/>
            <w:noWrap/>
            <w:hideMark/>
          </w:tcPr>
          <w:p w14:paraId="0F8FCF9C" w14:textId="1E5D7AB3"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Fuller</w:t>
            </w:r>
            <w:r w:rsidR="00993895">
              <w:rPr>
                <w:rFonts w:ascii="Times New Roman" w:hAnsi="Times New Roman" w:cs="Times New Roman"/>
                <w:sz w:val="18"/>
                <w:szCs w:val="18"/>
              </w:rPr>
              <w:t xml:space="preserve"> and Goldfield</w:t>
            </w:r>
            <w:r w:rsidRPr="00E8605F">
              <w:rPr>
                <w:rFonts w:ascii="Times New Roman" w:hAnsi="Times New Roman" w:cs="Times New Roman"/>
                <w:sz w:val="18"/>
                <w:szCs w:val="18"/>
              </w:rPr>
              <w:t xml:space="preserve"> </w:t>
            </w:r>
            <w:r w:rsidR="00993895">
              <w:rPr>
                <w:rFonts w:ascii="Times New Roman" w:hAnsi="Times New Roman" w:cs="Times New Roman"/>
                <w:sz w:val="18"/>
                <w:szCs w:val="18"/>
              </w:rPr>
              <w:fldChar w:fldCharType="begin"/>
            </w:r>
            <w:r w:rsidR="00993895">
              <w:rPr>
                <w:rFonts w:ascii="Times New Roman" w:hAnsi="Times New Roman" w:cs="Times New Roman"/>
                <w:sz w:val="18"/>
                <w:szCs w:val="18"/>
              </w:rPr>
              <w:instrText xml:space="preserve"> ADDIN ZOTERO_ITEM CSL_CITATION {"citationID":"Os0WbJll","properties":{"formattedCitation":"[33]","plainCitation":"[33]","noteIndex":0},"citationItems":[{"id":3647,"uris":["http://zotero.org/groups/5115136/items/V56V2BQF"],"itemData":{"id":3647,"type":"article-journal","container-title":"Journal of Ambulatory Care Management","DOI":"10.1097/JAC.0000000000000136","ISSN":"0148-9917","issue":"2","language":"en","page":"143-149","source":"DOI.org (Crossref)","title":"Paying for On-Patent Pharmaceuticals: Limit Prices and the Emerging Role of a Pay for Outcomes Approach","title-short":"Paying for On-Patent Pharmaceuticals","volume":"39","author":[{"family":"Fuller","given":"Richard L."},{"family":"Goldfield","given":"Norbert"}],"issued":{"date-parts":[["2016",4]]}}}],"schema":"https://github.com/citation-style-language/schema/raw/master/csl-citation.json"} </w:instrText>
            </w:r>
            <w:r w:rsidR="00993895">
              <w:rPr>
                <w:rFonts w:ascii="Times New Roman" w:hAnsi="Times New Roman" w:cs="Times New Roman"/>
                <w:sz w:val="18"/>
                <w:szCs w:val="18"/>
              </w:rPr>
              <w:fldChar w:fldCharType="separate"/>
            </w:r>
            <w:r w:rsidR="00993895" w:rsidRPr="00993895">
              <w:rPr>
                <w:rFonts w:ascii="Times New Roman" w:hAnsi="Times New Roman" w:cs="Times New Roman"/>
                <w:sz w:val="18"/>
              </w:rPr>
              <w:t>[33]</w:t>
            </w:r>
            <w:r w:rsidR="00993895">
              <w:rPr>
                <w:rFonts w:ascii="Times New Roman" w:hAnsi="Times New Roman" w:cs="Times New Roman"/>
                <w:sz w:val="18"/>
                <w:szCs w:val="18"/>
              </w:rPr>
              <w:fldChar w:fldCharType="end"/>
            </w:r>
          </w:p>
        </w:tc>
        <w:tc>
          <w:tcPr>
            <w:tcW w:w="988" w:type="dxa"/>
            <w:noWrap/>
            <w:hideMark/>
          </w:tcPr>
          <w:p w14:paraId="1B1C4E5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2016</w:t>
            </w:r>
          </w:p>
        </w:tc>
        <w:tc>
          <w:tcPr>
            <w:tcW w:w="2020" w:type="dxa"/>
            <w:noWrap/>
            <w:hideMark/>
          </w:tcPr>
          <w:p w14:paraId="27F6421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2D512D37"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1E4062CF"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The Journal of ambulatory care management</w:t>
            </w:r>
          </w:p>
        </w:tc>
      </w:tr>
      <w:tr w:rsidR="00A77862" w:rsidRPr="00E8605F" w14:paraId="6E96EC02" w14:textId="77777777" w:rsidTr="00A77862">
        <w:trPr>
          <w:trHeight w:val="310"/>
        </w:trPr>
        <w:tc>
          <w:tcPr>
            <w:tcW w:w="2180" w:type="dxa"/>
            <w:noWrap/>
            <w:hideMark/>
          </w:tcPr>
          <w:p w14:paraId="62F6D233" w14:textId="4A7A8B85"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Lopez et al.</w:t>
            </w:r>
            <w:r w:rsidR="00993895">
              <w:rPr>
                <w:rFonts w:ascii="Times New Roman" w:hAnsi="Times New Roman" w:cs="Times New Roman"/>
                <w:sz w:val="18"/>
                <w:szCs w:val="18"/>
              </w:rPr>
              <w:t xml:space="preserve"> </w:t>
            </w:r>
            <w:r w:rsidR="00993895">
              <w:rPr>
                <w:rFonts w:ascii="Times New Roman" w:hAnsi="Times New Roman" w:cs="Times New Roman"/>
                <w:sz w:val="18"/>
                <w:szCs w:val="18"/>
              </w:rPr>
              <w:fldChar w:fldCharType="begin"/>
            </w:r>
            <w:r w:rsidR="00993895">
              <w:rPr>
                <w:rFonts w:ascii="Times New Roman" w:hAnsi="Times New Roman" w:cs="Times New Roman"/>
                <w:sz w:val="18"/>
                <w:szCs w:val="18"/>
              </w:rPr>
              <w:instrText xml:space="preserve"> ADDIN ZOTERO_ITEM CSL_CITATION {"citationID":"F7xjVYKT","properties":{"formattedCitation":"[34]","plainCitation":"[34]","noteIndex":0},"citationItems":[{"id":3629,"uris":["http://zotero.org/groups/5115136/items/IJPPE2VV"],"itemData":{"id":3629,"type":"article-journal","container-title":"Health Affairs","DOI":"10.1377/hlthaff.2019.00771","ISSN":"0278-2715, 1544-5208","issue":"6","journalAbbreviation":"Health Affairs","language":"en","page":"1018-1025","source":"DOI.org (Crossref)","title":"Paying For Value From Costly Medical Technologies: A Framework For Applying Value-Based Payment Reforms: Authors propose a value-based payment framework for medical products, including drugs, devices, and diagnostic tools.","title-short":"Paying For Value From Costly Medical Technologies","volume":"39","author":[{"family":"Lopez","given":"Marianne Hamilton"},{"family":"Daniel","given":"Gregory W."},{"family":"Fiore","given":"Nicholas C."},{"family":"Higgins","given":"Aparna"},{"family":"McClellan","given":"Mark B."}],"issued":{"date-parts":[["2020",6,1]]}}}],"schema":"https://github.com/citation-style-language/schema/raw/master/csl-citation.json"} </w:instrText>
            </w:r>
            <w:r w:rsidR="00993895">
              <w:rPr>
                <w:rFonts w:ascii="Times New Roman" w:hAnsi="Times New Roman" w:cs="Times New Roman"/>
                <w:sz w:val="18"/>
                <w:szCs w:val="18"/>
              </w:rPr>
              <w:fldChar w:fldCharType="separate"/>
            </w:r>
            <w:r w:rsidR="00993895" w:rsidRPr="00993895">
              <w:rPr>
                <w:rFonts w:ascii="Times New Roman" w:hAnsi="Times New Roman" w:cs="Times New Roman"/>
                <w:sz w:val="18"/>
              </w:rPr>
              <w:t>[34]</w:t>
            </w:r>
            <w:r w:rsidR="00993895">
              <w:rPr>
                <w:rFonts w:ascii="Times New Roman" w:hAnsi="Times New Roman" w:cs="Times New Roman"/>
                <w:sz w:val="18"/>
                <w:szCs w:val="18"/>
              </w:rPr>
              <w:fldChar w:fldCharType="end"/>
            </w:r>
          </w:p>
        </w:tc>
        <w:tc>
          <w:tcPr>
            <w:tcW w:w="988" w:type="dxa"/>
            <w:noWrap/>
            <w:hideMark/>
          </w:tcPr>
          <w:p w14:paraId="31EAE9C9"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2020</w:t>
            </w:r>
          </w:p>
        </w:tc>
        <w:tc>
          <w:tcPr>
            <w:tcW w:w="2020" w:type="dxa"/>
            <w:noWrap/>
            <w:hideMark/>
          </w:tcPr>
          <w:p w14:paraId="1C179625"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4FE7BFEA"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Other (policy insight)</w:t>
            </w:r>
          </w:p>
        </w:tc>
        <w:tc>
          <w:tcPr>
            <w:tcW w:w="8480" w:type="dxa"/>
            <w:noWrap/>
            <w:hideMark/>
          </w:tcPr>
          <w:p w14:paraId="08BA4FE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Health affairs (Project Hope)</w:t>
            </w:r>
          </w:p>
        </w:tc>
      </w:tr>
      <w:tr w:rsidR="00A77862" w:rsidRPr="00E8605F" w14:paraId="2765C422" w14:textId="77777777" w:rsidTr="00A77862">
        <w:trPr>
          <w:trHeight w:val="310"/>
        </w:trPr>
        <w:tc>
          <w:tcPr>
            <w:tcW w:w="2180" w:type="dxa"/>
            <w:noWrap/>
            <w:hideMark/>
          </w:tcPr>
          <w:p w14:paraId="2EE90C4D" w14:textId="2A188AC4"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Kim et al.</w:t>
            </w:r>
            <w:r w:rsidR="00993895">
              <w:rPr>
                <w:rFonts w:ascii="Times New Roman" w:hAnsi="Times New Roman" w:cs="Times New Roman"/>
                <w:sz w:val="18"/>
                <w:szCs w:val="18"/>
              </w:rPr>
              <w:t xml:space="preserve"> </w:t>
            </w:r>
            <w:r w:rsidR="00993895">
              <w:rPr>
                <w:rFonts w:ascii="Times New Roman" w:hAnsi="Times New Roman" w:cs="Times New Roman"/>
                <w:sz w:val="18"/>
                <w:szCs w:val="18"/>
              </w:rPr>
              <w:fldChar w:fldCharType="begin"/>
            </w:r>
            <w:r w:rsidR="00993895">
              <w:rPr>
                <w:rFonts w:ascii="Times New Roman" w:hAnsi="Times New Roman" w:cs="Times New Roman"/>
                <w:sz w:val="18"/>
                <w:szCs w:val="18"/>
              </w:rPr>
              <w:instrText xml:space="preserve"> ADDIN ZOTERO_ITEM CSL_CITATION {"citationID":"tKuEItPJ","properties":{"formattedCitation":"[35]","plainCitation":"[35]","noteIndex":0},"citationItems":[{"id":3634,"uris":["http://zotero.org/groups/5115136/items/RKTCAVLD"],"itemData":{"id":3634,"type":"article-journal","container-title":"Clinical Drug Investigation","DOI":"10.1007/s40261-020-00972-w","ISSN":"1173-2563, 1179-1918","issue":"12","journalAbbreviation":"Clin Drug Investig","language":"en","page":"1107-1113","source":"DOI.org (Crossref)","title":"Performance-Based Risk-Sharing Arrangements (PBRSA): Is it a Solution to Increase Bang for the Buck for Pharmaceutical Reimbursement Strategy for Our Nation and Around the World?","title-short":"Performance-Based Risk-Sharing Arrangements (PBRSA)","volume":"40","author":[{"family":"Kim","given":"Andy Eunwoo"},{"family":"Choi","given":"David Hohyun"},{"family":"Chang","given":"Jongwha"},{"family":"Kim","given":"Sean Hyungwoo"}],"issued":{"date-parts":[["2020",12]]}}}],"schema":"https://github.com/citation-style-language/schema/raw/master/csl-citation.json"} </w:instrText>
            </w:r>
            <w:r w:rsidR="00993895">
              <w:rPr>
                <w:rFonts w:ascii="Times New Roman" w:hAnsi="Times New Roman" w:cs="Times New Roman"/>
                <w:sz w:val="18"/>
                <w:szCs w:val="18"/>
              </w:rPr>
              <w:fldChar w:fldCharType="separate"/>
            </w:r>
            <w:r w:rsidR="00993895" w:rsidRPr="00993895">
              <w:rPr>
                <w:rFonts w:ascii="Times New Roman" w:hAnsi="Times New Roman" w:cs="Times New Roman"/>
                <w:sz w:val="18"/>
              </w:rPr>
              <w:t>[35]</w:t>
            </w:r>
            <w:r w:rsidR="00993895">
              <w:rPr>
                <w:rFonts w:ascii="Times New Roman" w:hAnsi="Times New Roman" w:cs="Times New Roman"/>
                <w:sz w:val="18"/>
                <w:szCs w:val="18"/>
              </w:rPr>
              <w:fldChar w:fldCharType="end"/>
            </w:r>
          </w:p>
        </w:tc>
        <w:tc>
          <w:tcPr>
            <w:tcW w:w="988" w:type="dxa"/>
            <w:noWrap/>
            <w:hideMark/>
          </w:tcPr>
          <w:p w14:paraId="3D89BE5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2020</w:t>
            </w:r>
          </w:p>
        </w:tc>
        <w:tc>
          <w:tcPr>
            <w:tcW w:w="2020" w:type="dxa"/>
            <w:noWrap/>
            <w:hideMark/>
          </w:tcPr>
          <w:p w14:paraId="6856E2D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6848715F"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Review article</w:t>
            </w:r>
          </w:p>
        </w:tc>
        <w:tc>
          <w:tcPr>
            <w:tcW w:w="8480" w:type="dxa"/>
            <w:noWrap/>
            <w:hideMark/>
          </w:tcPr>
          <w:p w14:paraId="3E32369C"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Clinical drug investigation</w:t>
            </w:r>
          </w:p>
        </w:tc>
      </w:tr>
      <w:tr w:rsidR="00A77862" w:rsidRPr="00E8605F" w14:paraId="5EB27306" w14:textId="77777777" w:rsidTr="00A77862">
        <w:trPr>
          <w:trHeight w:val="310"/>
        </w:trPr>
        <w:tc>
          <w:tcPr>
            <w:tcW w:w="2180" w:type="dxa"/>
            <w:noWrap/>
            <w:hideMark/>
          </w:tcPr>
          <w:p w14:paraId="06220E71" w14:textId="1A0A6EC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Lin et al.</w:t>
            </w:r>
            <w:r w:rsidR="00993895">
              <w:rPr>
                <w:rFonts w:ascii="Times New Roman" w:hAnsi="Times New Roman" w:cs="Times New Roman"/>
                <w:sz w:val="18"/>
                <w:szCs w:val="18"/>
              </w:rPr>
              <w:t xml:space="preserve"> </w:t>
            </w:r>
            <w:r w:rsidR="00993895">
              <w:rPr>
                <w:rFonts w:ascii="Times New Roman" w:hAnsi="Times New Roman" w:cs="Times New Roman"/>
                <w:sz w:val="18"/>
                <w:szCs w:val="18"/>
              </w:rPr>
              <w:fldChar w:fldCharType="begin"/>
            </w:r>
            <w:r w:rsidR="00993895">
              <w:rPr>
                <w:rFonts w:ascii="Times New Roman" w:hAnsi="Times New Roman" w:cs="Times New Roman"/>
                <w:sz w:val="18"/>
                <w:szCs w:val="18"/>
              </w:rPr>
              <w:instrText xml:space="preserve"> ADDIN ZOTERO_ITEM CSL_CITATION {"citationID":"yYEaZJyI","properties":{"formattedCitation":"[36]","plainCitation":"[36]","noteIndex":0},"citationItems":[{"id":3630,"uris":["http://zotero.org/groups/5115136/items/PQ77GE9U"],"itemData":{"id":3630,"type":"article-journal","abstract":"Abstract\n            Biogen's announcement last fall that it will seek U.S. Food and Drug Administration approval for its Alzheimer's disease (AD) treatment, aducanumab, 7 months after the drug was declared a failure, buoyed patients and families, but put health payers and policymakers on alert. Whether aducanumab succeeds, other disease‐modifying therapies for AD will follow, and the health‐care system is unprepared for the reimbursement and access challenges. Novel AD therapies are much needed, but we cannot assume substantial cost offsets. With forethought and preparation, however, the health‐care system can accommodate new AD drugs. First, we urge the use of cost‐effectiveness of new Alzheimer's treatments as a starting point for setting value‐based prices. Second, payments for new AD therapies should ideally incorporate a performance warranty, which helps apportion risk associated with initial therapy value estimates between drug manufacturers and payers. Third, we urge consideration of “subscription” payment agreements to address system affordability issues.","container-title":"Alzheimer's &amp; Dementia","DOI":"10.1002/alz.12155","ISSN":"1552-5260, 1552-5279","issue":"11","journalAbbreviation":"Alzheimer's &amp; Dementia","language":"en","page":"1568-1570","source":"DOI.org (Crossref)","title":"Preparing the health‐care system to pay for new Alzheimer's drugs","volume":"16","author":[{"family":"Lin","given":"Pei‐Jung"},{"family":"Cohen","given":"Joshua T."},{"family":"Neumann","given":"Peter J."}],"issued":{"date-parts":[["2020",11]]}}}],"schema":"https://github.com/citation-style-language/schema/raw/master/csl-citation.json"} </w:instrText>
            </w:r>
            <w:r w:rsidR="00993895">
              <w:rPr>
                <w:rFonts w:ascii="Times New Roman" w:hAnsi="Times New Roman" w:cs="Times New Roman"/>
                <w:sz w:val="18"/>
                <w:szCs w:val="18"/>
              </w:rPr>
              <w:fldChar w:fldCharType="separate"/>
            </w:r>
            <w:r w:rsidR="00993895" w:rsidRPr="00993895">
              <w:rPr>
                <w:rFonts w:ascii="Times New Roman" w:hAnsi="Times New Roman" w:cs="Times New Roman"/>
                <w:sz w:val="18"/>
              </w:rPr>
              <w:t>[36]</w:t>
            </w:r>
            <w:r w:rsidR="00993895">
              <w:rPr>
                <w:rFonts w:ascii="Times New Roman" w:hAnsi="Times New Roman" w:cs="Times New Roman"/>
                <w:sz w:val="18"/>
                <w:szCs w:val="18"/>
              </w:rPr>
              <w:fldChar w:fldCharType="end"/>
            </w:r>
          </w:p>
        </w:tc>
        <w:tc>
          <w:tcPr>
            <w:tcW w:w="988" w:type="dxa"/>
            <w:noWrap/>
            <w:hideMark/>
          </w:tcPr>
          <w:p w14:paraId="6390C07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2020</w:t>
            </w:r>
          </w:p>
        </w:tc>
        <w:tc>
          <w:tcPr>
            <w:tcW w:w="2020" w:type="dxa"/>
            <w:noWrap/>
            <w:hideMark/>
          </w:tcPr>
          <w:p w14:paraId="4334970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5391F24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Editorials, opinions, or commentaries</w:t>
            </w:r>
          </w:p>
        </w:tc>
        <w:tc>
          <w:tcPr>
            <w:tcW w:w="8480" w:type="dxa"/>
            <w:noWrap/>
            <w:hideMark/>
          </w:tcPr>
          <w:p w14:paraId="210883BB" w14:textId="02003163"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Alzheimer's &amp; dementia: the journal of the Alzheimer's Association</w:t>
            </w:r>
          </w:p>
        </w:tc>
      </w:tr>
      <w:tr w:rsidR="00A77862" w:rsidRPr="00E8605F" w14:paraId="61DE4A0F" w14:textId="77777777" w:rsidTr="00A77862">
        <w:trPr>
          <w:trHeight w:val="310"/>
        </w:trPr>
        <w:tc>
          <w:tcPr>
            <w:tcW w:w="2180" w:type="dxa"/>
            <w:noWrap/>
            <w:hideMark/>
          </w:tcPr>
          <w:p w14:paraId="7EF3A210" w14:textId="419A762C"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Campillo-Artero</w:t>
            </w:r>
            <w:proofErr w:type="spellEnd"/>
            <w:r w:rsidRPr="00E8605F">
              <w:rPr>
                <w:rFonts w:ascii="Times New Roman" w:hAnsi="Times New Roman" w:cs="Times New Roman"/>
                <w:sz w:val="18"/>
                <w:szCs w:val="18"/>
              </w:rPr>
              <w:t xml:space="preserve"> et al.</w:t>
            </w:r>
            <w:r w:rsidR="00993895">
              <w:rPr>
                <w:rFonts w:ascii="Times New Roman" w:hAnsi="Times New Roman" w:cs="Times New Roman"/>
                <w:sz w:val="18"/>
                <w:szCs w:val="18"/>
              </w:rPr>
              <w:t xml:space="preserve"> </w:t>
            </w:r>
            <w:r w:rsidR="00993895">
              <w:rPr>
                <w:rFonts w:ascii="Times New Roman" w:hAnsi="Times New Roman" w:cs="Times New Roman"/>
                <w:sz w:val="18"/>
                <w:szCs w:val="18"/>
              </w:rPr>
              <w:fldChar w:fldCharType="begin"/>
            </w:r>
            <w:r w:rsidR="00993895">
              <w:rPr>
                <w:rFonts w:ascii="Times New Roman" w:hAnsi="Times New Roman" w:cs="Times New Roman"/>
                <w:sz w:val="18"/>
                <w:szCs w:val="18"/>
              </w:rPr>
              <w:instrText xml:space="preserve"> ADDIN ZOTERO_ITEM CSL_CITATION {"citationID":"u8spVk5W","properties":{"formattedCitation":"[37]","plainCitation":"[37]","noteIndex":0},"citationItems":[{"id":3482,"uris":["http://zotero.org/groups/5115136/items/FRKSEPVR"],"itemData":{"id":3482,"type":"article-journal","container-title":"Applied Health Economics and Health Policy","DOI":"10.1007/s40258-019-00517-z","ISSN":"1175-5652, 1179-1896","issue":"1","journalAbbreviation":"Appl Health Econ Health Policy","language":"en","page":"47-56","source":"DOI.org (Crossref)","title":"Price Models for Multi-indication Drugs: A Systematic Review","title-short":"Price Models for Multi-indication Drugs","volume":"18","author":[{"family":"Campillo-Artero","given":"Carlos"},{"family":"Puig-Junoy","given":"Jaume"},{"family":"Segú-Tolsa","given":"José Luis"},{"family":"Trapero-Bertran","given":"Marta"}],"issued":{"date-parts":[["2020",2]]}}}],"schema":"https://github.com/citation-style-language/schema/raw/master/csl-citation.json"} </w:instrText>
            </w:r>
            <w:r w:rsidR="00993895">
              <w:rPr>
                <w:rFonts w:ascii="Times New Roman" w:hAnsi="Times New Roman" w:cs="Times New Roman"/>
                <w:sz w:val="18"/>
                <w:szCs w:val="18"/>
              </w:rPr>
              <w:fldChar w:fldCharType="separate"/>
            </w:r>
            <w:r w:rsidR="00993895" w:rsidRPr="00993895">
              <w:rPr>
                <w:rFonts w:ascii="Times New Roman" w:hAnsi="Times New Roman" w:cs="Times New Roman"/>
                <w:sz w:val="18"/>
              </w:rPr>
              <w:t>[37]</w:t>
            </w:r>
            <w:r w:rsidR="00993895">
              <w:rPr>
                <w:rFonts w:ascii="Times New Roman" w:hAnsi="Times New Roman" w:cs="Times New Roman"/>
                <w:sz w:val="18"/>
                <w:szCs w:val="18"/>
              </w:rPr>
              <w:fldChar w:fldCharType="end"/>
            </w:r>
          </w:p>
        </w:tc>
        <w:tc>
          <w:tcPr>
            <w:tcW w:w="988" w:type="dxa"/>
            <w:noWrap/>
            <w:hideMark/>
          </w:tcPr>
          <w:p w14:paraId="639D4DC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2020</w:t>
            </w:r>
          </w:p>
        </w:tc>
        <w:tc>
          <w:tcPr>
            <w:tcW w:w="2020" w:type="dxa"/>
            <w:noWrap/>
            <w:hideMark/>
          </w:tcPr>
          <w:p w14:paraId="24BE936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Spain</w:t>
            </w:r>
          </w:p>
        </w:tc>
        <w:tc>
          <w:tcPr>
            <w:tcW w:w="3015" w:type="dxa"/>
            <w:noWrap/>
            <w:hideMark/>
          </w:tcPr>
          <w:p w14:paraId="3E29BFC5"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Review article</w:t>
            </w:r>
          </w:p>
        </w:tc>
        <w:tc>
          <w:tcPr>
            <w:tcW w:w="8480" w:type="dxa"/>
            <w:noWrap/>
            <w:hideMark/>
          </w:tcPr>
          <w:p w14:paraId="62AEAAE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Applied health economics and health policy</w:t>
            </w:r>
          </w:p>
        </w:tc>
      </w:tr>
      <w:tr w:rsidR="00A77862" w:rsidRPr="00E8605F" w14:paraId="2B0A1E16" w14:textId="77777777" w:rsidTr="00A77862">
        <w:trPr>
          <w:trHeight w:val="310"/>
        </w:trPr>
        <w:tc>
          <w:tcPr>
            <w:tcW w:w="2180" w:type="dxa"/>
            <w:noWrap/>
            <w:hideMark/>
          </w:tcPr>
          <w:p w14:paraId="27CC16DD" w14:textId="79911D6E"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Main et al.</w:t>
            </w:r>
            <w:r w:rsidR="00993895">
              <w:rPr>
                <w:rFonts w:ascii="Times New Roman" w:hAnsi="Times New Roman" w:cs="Times New Roman"/>
                <w:sz w:val="18"/>
                <w:szCs w:val="18"/>
              </w:rPr>
              <w:t xml:space="preserve"> </w:t>
            </w:r>
            <w:r w:rsidR="00993895">
              <w:rPr>
                <w:rFonts w:ascii="Times New Roman" w:hAnsi="Times New Roman" w:cs="Times New Roman"/>
                <w:sz w:val="18"/>
                <w:szCs w:val="18"/>
              </w:rPr>
              <w:fldChar w:fldCharType="begin"/>
            </w:r>
            <w:r w:rsidR="00993895">
              <w:rPr>
                <w:rFonts w:ascii="Times New Roman" w:hAnsi="Times New Roman" w:cs="Times New Roman"/>
                <w:sz w:val="18"/>
                <w:szCs w:val="18"/>
              </w:rPr>
              <w:instrText xml:space="preserve"> ADDIN ZOTERO_ITEM CSL_CITATION {"citationID":"nUtKt52N","properties":{"formattedCitation":"[38]","plainCitation":"[38]","noteIndex":0},"citationItems":[{"id":3628,"uris":["http://zotero.org/groups/5115136/items/PS887V92"],"itemData":{"id":3628,"type":"article-journal","abstract":"Abstract\n            This paper explores policy mechanisms behind New Zealand's remarkable track record of cost containment in public pharmaceutical spending, contrasting with most other advanced economies. We drew on a review of official policy documents and 28 semi-structured expert interviews. We found that decision making in pricing and reimbursement policy was dominated by a small group of managers at the Pharmaceutical Management Agency (PHARMAC), the country's drug reimbursement and Health Technology Assessment Agency, who negotiated pharmaceutical prices on behalf of the public payer. In formal negotiation over patented pharmaceutical prices these managers applied an array of pricing strategies, most notably, ‘bundling’ consisting of discounted package deals for multiple pharmaceuticals, and ‘play-off tenders’, whereby two or more pharmaceutical companies bid for exclusive contracts. The key pricing strategy for generic drugs, in contrast, was ‘blind-tenders’ taking the form of an annual bidding process for supply contracts. An additional contextual condition on bargaining over pharmaceutical prices was an indirect strategy that involved the cultivation of the PHARMAC's ‘negotiation leverage’. We derived two cost containment mechanisms consisting in the relationship between pricing strategy options and various reimbursement actors. Our findings shed light on aspects of the institutional design of drug reimbursement that may promote the effective use of competitive negotiations of pharmaceutical prices, including specific pricing strategies, by specialist public payer institutions. On this basis, we formulate recommendations for countries seeking to develop or reform policy frameworks to better meet the budgetary challenge posed by pharmaceutical expenditure.","container-title":"Health Economics, Policy and Law","DOI":"10.1017/S1744133122000068","ISSN":"1744-1331, 1744-134X","issue":"3","journalAbbreviation":"HEPL","language":"en","page":"348-365","source":"DOI.org (Crossref)","title":"Pricing strategies, executive committee power and negotiation leverage in New Zealand's containment of public spending on pharmaceuticals","volume":"17","author":[{"family":"Main","given":"Ben"},{"family":"Csanadi","given":"Marcell"},{"family":"Ozieranski","given":"Piotr"}],"issued":{"date-parts":[["2022",7]]}}}],"schema":"https://github.com/citation-style-language/schema/raw/master/csl-citation.json"} </w:instrText>
            </w:r>
            <w:r w:rsidR="00993895">
              <w:rPr>
                <w:rFonts w:ascii="Times New Roman" w:hAnsi="Times New Roman" w:cs="Times New Roman"/>
                <w:sz w:val="18"/>
                <w:szCs w:val="18"/>
              </w:rPr>
              <w:fldChar w:fldCharType="separate"/>
            </w:r>
            <w:r w:rsidR="00993895" w:rsidRPr="00993895">
              <w:rPr>
                <w:rFonts w:ascii="Times New Roman" w:hAnsi="Times New Roman" w:cs="Times New Roman"/>
                <w:sz w:val="18"/>
              </w:rPr>
              <w:t>[38]</w:t>
            </w:r>
            <w:r w:rsidR="00993895">
              <w:rPr>
                <w:rFonts w:ascii="Times New Roman" w:hAnsi="Times New Roman" w:cs="Times New Roman"/>
                <w:sz w:val="18"/>
                <w:szCs w:val="18"/>
              </w:rPr>
              <w:fldChar w:fldCharType="end"/>
            </w:r>
          </w:p>
        </w:tc>
        <w:tc>
          <w:tcPr>
            <w:tcW w:w="988" w:type="dxa"/>
            <w:noWrap/>
            <w:hideMark/>
          </w:tcPr>
          <w:p w14:paraId="5B95E7F6"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2022</w:t>
            </w:r>
          </w:p>
        </w:tc>
        <w:tc>
          <w:tcPr>
            <w:tcW w:w="2020" w:type="dxa"/>
            <w:noWrap/>
            <w:hideMark/>
          </w:tcPr>
          <w:p w14:paraId="20F0B3B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UK</w:t>
            </w:r>
          </w:p>
        </w:tc>
        <w:tc>
          <w:tcPr>
            <w:tcW w:w="3015" w:type="dxa"/>
            <w:noWrap/>
            <w:hideMark/>
          </w:tcPr>
          <w:p w14:paraId="4D2C3EAA"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356CD3E7"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Health economics, policy, and law</w:t>
            </w:r>
          </w:p>
        </w:tc>
      </w:tr>
      <w:tr w:rsidR="00A77862" w:rsidRPr="00E8605F" w14:paraId="462351B1" w14:textId="77777777" w:rsidTr="00A77862">
        <w:trPr>
          <w:trHeight w:val="310"/>
        </w:trPr>
        <w:tc>
          <w:tcPr>
            <w:tcW w:w="2180" w:type="dxa"/>
            <w:noWrap/>
            <w:hideMark/>
          </w:tcPr>
          <w:p w14:paraId="3E30EB50" w14:textId="5E908AC4"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Edlin</w:t>
            </w:r>
            <w:proofErr w:type="spellEnd"/>
            <w:r w:rsidRPr="00E8605F">
              <w:rPr>
                <w:rFonts w:ascii="Times New Roman" w:hAnsi="Times New Roman" w:cs="Times New Roman"/>
                <w:sz w:val="18"/>
                <w:szCs w:val="18"/>
              </w:rPr>
              <w:t xml:space="preserve"> et al.</w:t>
            </w:r>
            <w:r w:rsidR="00993895">
              <w:rPr>
                <w:rFonts w:ascii="Times New Roman" w:hAnsi="Times New Roman" w:cs="Times New Roman"/>
                <w:sz w:val="18"/>
                <w:szCs w:val="18"/>
              </w:rPr>
              <w:t xml:space="preserve"> </w:t>
            </w:r>
            <w:r w:rsidR="00993895">
              <w:rPr>
                <w:rFonts w:ascii="Times New Roman" w:hAnsi="Times New Roman" w:cs="Times New Roman"/>
                <w:sz w:val="18"/>
                <w:szCs w:val="18"/>
              </w:rPr>
              <w:fldChar w:fldCharType="begin"/>
            </w:r>
            <w:r w:rsidR="00993895">
              <w:rPr>
                <w:rFonts w:ascii="Times New Roman" w:hAnsi="Times New Roman" w:cs="Times New Roman"/>
                <w:sz w:val="18"/>
                <w:szCs w:val="18"/>
              </w:rPr>
              <w:instrText xml:space="preserve"> ADDIN ZOTERO_ITEM CSL_CITATION {"citationID":"pguRUHMJ","properties":{"formattedCitation":"[39]","plainCitation":"[39]","noteIndex":0},"citationItems":[{"id":3650,"uris":["http://zotero.org/groups/5115136/items/BGLQ6I4H"],"itemData":{"id":3650,"type":"article-journal","container-title":"Value in Health","DOI":"10.1016/j.jval.2014.01.010","ISSN":"10983015","issue":"4","journalAbbreviation":"Value in Health","language":"en","page":"438-444","source":"DOI.org (Crossref)","title":"Sharing Risk between Payer and Provider by Leasing Health Technologies: An Affordable and Effective Reimbursement Strategy for Innovative Technologies?","title-short":"Sharing Risk between Payer and Provider by Leasing Health Technologies","volume":"17","author":[{"family":"Edlin","given":"Richard"},{"family":"Hall","given":"Peter"},{"family":"Wallner","given":"Klemens"},{"family":"McCabe","given":"Christopher"}],"issued":{"date-parts":[["2014",6]]}}}],"schema":"https://github.com/citation-style-language/schema/raw/master/csl-citation.json"} </w:instrText>
            </w:r>
            <w:r w:rsidR="00993895">
              <w:rPr>
                <w:rFonts w:ascii="Times New Roman" w:hAnsi="Times New Roman" w:cs="Times New Roman"/>
                <w:sz w:val="18"/>
                <w:szCs w:val="18"/>
              </w:rPr>
              <w:fldChar w:fldCharType="separate"/>
            </w:r>
            <w:r w:rsidR="00993895" w:rsidRPr="00993895">
              <w:rPr>
                <w:rFonts w:ascii="Times New Roman" w:hAnsi="Times New Roman" w:cs="Times New Roman"/>
                <w:sz w:val="18"/>
              </w:rPr>
              <w:t>[39]</w:t>
            </w:r>
            <w:r w:rsidR="00993895">
              <w:rPr>
                <w:rFonts w:ascii="Times New Roman" w:hAnsi="Times New Roman" w:cs="Times New Roman"/>
                <w:sz w:val="18"/>
                <w:szCs w:val="18"/>
              </w:rPr>
              <w:fldChar w:fldCharType="end"/>
            </w:r>
          </w:p>
        </w:tc>
        <w:tc>
          <w:tcPr>
            <w:tcW w:w="988" w:type="dxa"/>
            <w:noWrap/>
            <w:hideMark/>
          </w:tcPr>
          <w:p w14:paraId="75C0342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2014</w:t>
            </w:r>
          </w:p>
        </w:tc>
        <w:tc>
          <w:tcPr>
            <w:tcW w:w="2020" w:type="dxa"/>
            <w:noWrap/>
            <w:hideMark/>
          </w:tcPr>
          <w:p w14:paraId="699E939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Canada</w:t>
            </w:r>
          </w:p>
        </w:tc>
        <w:tc>
          <w:tcPr>
            <w:tcW w:w="3015" w:type="dxa"/>
            <w:noWrap/>
            <w:hideMark/>
          </w:tcPr>
          <w:p w14:paraId="038FE6D7"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42976C5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Value in health: the journal of the International Society for Pharmacoeconomics and Outcomes Research</w:t>
            </w:r>
          </w:p>
        </w:tc>
      </w:tr>
      <w:tr w:rsidR="00A77862" w:rsidRPr="00E8605F" w14:paraId="508B923D" w14:textId="77777777" w:rsidTr="00A77862">
        <w:trPr>
          <w:trHeight w:val="310"/>
        </w:trPr>
        <w:tc>
          <w:tcPr>
            <w:tcW w:w="2180" w:type="dxa"/>
            <w:noWrap/>
            <w:hideMark/>
          </w:tcPr>
          <w:p w14:paraId="5401CD37" w14:textId="0338F55B"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 xml:space="preserve">Jiao </w:t>
            </w:r>
            <w:r w:rsidR="00993895">
              <w:rPr>
                <w:rFonts w:ascii="Times New Roman" w:hAnsi="Times New Roman" w:cs="Times New Roman"/>
                <w:sz w:val="18"/>
                <w:szCs w:val="18"/>
              </w:rPr>
              <w:t xml:space="preserve">and Garrison </w:t>
            </w:r>
            <w:r w:rsidR="00993895">
              <w:rPr>
                <w:rFonts w:ascii="Times New Roman" w:hAnsi="Times New Roman" w:cs="Times New Roman"/>
                <w:sz w:val="18"/>
                <w:szCs w:val="18"/>
              </w:rPr>
              <w:fldChar w:fldCharType="begin"/>
            </w:r>
            <w:r w:rsidR="00993895">
              <w:rPr>
                <w:rFonts w:ascii="Times New Roman" w:hAnsi="Times New Roman" w:cs="Times New Roman"/>
                <w:sz w:val="18"/>
                <w:szCs w:val="18"/>
              </w:rPr>
              <w:instrText xml:space="preserve"> ADDIN ZOTERO_ITEM CSL_CITATION {"citationID":"3QQZmCAo","properties":{"formattedCitation":"[40]","plainCitation":"[40]","noteIndex":0},"citationItems":[{"id":3637,"uris":["http://zotero.org/groups/5115136/items/6KT793JB"],"itemData":{"id":3637,"type":"article-journal","container-title":"Expert Review of Pharmacoeconomics &amp; Outcomes Research","DOI":"10.1080/14737167.2021.1896968","ISSN":"1473-7167, 1744-8379","issue":"3","journalAbbreviation":"Expert Review of Pharmacoeconomics &amp; Outcomes Research","language":"en","page":"497-504","source":"DOI.org (Crossref)","title":"The challenge of value-based pricing in combination therapy: the case of trastuzumab and pertuzumab in HER2+ metastatic breast cancer","title-short":"The challenge of value-based pricing in combination therapy","volume":"21","author":[{"family":"Jiao","given":"Boshen"},{"family":"Garrison","given":"Louis P."}],"issued":{"date-parts":[["2021",5,4]]}}}],"schema":"https://github.com/citation-style-language/schema/raw/master/csl-citation.json"} </w:instrText>
            </w:r>
            <w:r w:rsidR="00993895">
              <w:rPr>
                <w:rFonts w:ascii="Times New Roman" w:hAnsi="Times New Roman" w:cs="Times New Roman"/>
                <w:sz w:val="18"/>
                <w:szCs w:val="18"/>
              </w:rPr>
              <w:fldChar w:fldCharType="separate"/>
            </w:r>
            <w:r w:rsidR="00993895" w:rsidRPr="00993895">
              <w:rPr>
                <w:rFonts w:ascii="Times New Roman" w:hAnsi="Times New Roman" w:cs="Times New Roman"/>
                <w:sz w:val="18"/>
              </w:rPr>
              <w:t>[40]</w:t>
            </w:r>
            <w:r w:rsidR="00993895">
              <w:rPr>
                <w:rFonts w:ascii="Times New Roman" w:hAnsi="Times New Roman" w:cs="Times New Roman"/>
                <w:sz w:val="18"/>
                <w:szCs w:val="18"/>
              </w:rPr>
              <w:fldChar w:fldCharType="end"/>
            </w:r>
          </w:p>
        </w:tc>
        <w:tc>
          <w:tcPr>
            <w:tcW w:w="988" w:type="dxa"/>
            <w:noWrap/>
            <w:hideMark/>
          </w:tcPr>
          <w:p w14:paraId="642A8F9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2021</w:t>
            </w:r>
          </w:p>
        </w:tc>
        <w:tc>
          <w:tcPr>
            <w:tcW w:w="2020" w:type="dxa"/>
            <w:noWrap/>
            <w:hideMark/>
          </w:tcPr>
          <w:p w14:paraId="4FD49C0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2A72AD8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0C771C76"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 xml:space="preserve">Expert review of </w:t>
            </w:r>
            <w:proofErr w:type="spellStart"/>
            <w:r w:rsidRPr="00E8605F">
              <w:rPr>
                <w:rFonts w:ascii="Times New Roman" w:hAnsi="Times New Roman" w:cs="Times New Roman"/>
                <w:sz w:val="18"/>
                <w:szCs w:val="18"/>
              </w:rPr>
              <w:t>pharmacoeconomics</w:t>
            </w:r>
            <w:proofErr w:type="spellEnd"/>
            <w:r w:rsidRPr="00E8605F">
              <w:rPr>
                <w:rFonts w:ascii="Times New Roman" w:hAnsi="Times New Roman" w:cs="Times New Roman"/>
                <w:sz w:val="18"/>
                <w:szCs w:val="18"/>
              </w:rPr>
              <w:t xml:space="preserve"> &amp; outcomes research</w:t>
            </w:r>
          </w:p>
        </w:tc>
      </w:tr>
      <w:tr w:rsidR="00A77862" w:rsidRPr="00E8605F" w14:paraId="010A76E0" w14:textId="77777777" w:rsidTr="00A77862">
        <w:trPr>
          <w:trHeight w:val="310"/>
        </w:trPr>
        <w:tc>
          <w:tcPr>
            <w:tcW w:w="2180" w:type="dxa"/>
            <w:noWrap/>
            <w:hideMark/>
          </w:tcPr>
          <w:p w14:paraId="157610EB" w14:textId="02DF65DA"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Dranitsaris</w:t>
            </w:r>
            <w:proofErr w:type="spellEnd"/>
            <w:r w:rsidRPr="00E8605F">
              <w:rPr>
                <w:rFonts w:ascii="Times New Roman" w:hAnsi="Times New Roman" w:cs="Times New Roman"/>
                <w:sz w:val="18"/>
                <w:szCs w:val="18"/>
              </w:rPr>
              <w:t xml:space="preserve"> et al.</w:t>
            </w:r>
            <w:r w:rsidR="00993895">
              <w:rPr>
                <w:rFonts w:ascii="Times New Roman" w:hAnsi="Times New Roman" w:cs="Times New Roman"/>
                <w:sz w:val="18"/>
                <w:szCs w:val="18"/>
              </w:rPr>
              <w:t xml:space="preserve"> </w:t>
            </w:r>
            <w:r w:rsidR="00993895">
              <w:rPr>
                <w:rFonts w:ascii="Times New Roman" w:hAnsi="Times New Roman" w:cs="Times New Roman"/>
                <w:sz w:val="18"/>
                <w:szCs w:val="18"/>
              </w:rPr>
              <w:fldChar w:fldCharType="begin"/>
            </w:r>
            <w:r w:rsidR="00993895">
              <w:rPr>
                <w:rFonts w:ascii="Times New Roman" w:hAnsi="Times New Roman" w:cs="Times New Roman"/>
                <w:sz w:val="18"/>
                <w:szCs w:val="18"/>
              </w:rPr>
              <w:instrText xml:space="preserve"> ADDIN ZOTERO_ITEM CSL_CITATION {"citationID":"3k1EA48n","properties":{"formattedCitation":"[41]","plainCitation":"[41]","noteIndex":0},"citationItems":[{"id":3653,"uris":["http://zotero.org/groups/5115136/items/75E4DGHM"],"itemData":{"id":3653,"type":"article-journal","container-title":"European Journal of Cancer","DOI":"10.1016/j.ejca.2011.03.015","ISSN":"09598049","issue":"9","journalAbbreviation":"European Journal of Cancer","language":"en","page":"1299-1304","source":"DOI.org (Crossref)","title":"The development of a value based pricing index for new drugs in metastatic colorectal cancer","volume":"47","author":[{"family":"Dranitsaris","given":"George"},{"family":"Truter","given":"Ilse"},{"family":"Lubbe","given":"Martie S."}],"issued":{"date-parts":[["2011",6]]}}}],"schema":"https://github.com/citation-style-language/schema/raw/master/csl-citation.json"} </w:instrText>
            </w:r>
            <w:r w:rsidR="00993895">
              <w:rPr>
                <w:rFonts w:ascii="Times New Roman" w:hAnsi="Times New Roman" w:cs="Times New Roman"/>
                <w:sz w:val="18"/>
                <w:szCs w:val="18"/>
              </w:rPr>
              <w:fldChar w:fldCharType="separate"/>
            </w:r>
            <w:r w:rsidR="00993895" w:rsidRPr="00993895">
              <w:rPr>
                <w:rFonts w:ascii="Times New Roman" w:hAnsi="Times New Roman" w:cs="Times New Roman"/>
                <w:sz w:val="18"/>
              </w:rPr>
              <w:t>[41]</w:t>
            </w:r>
            <w:r w:rsidR="00993895">
              <w:rPr>
                <w:rFonts w:ascii="Times New Roman" w:hAnsi="Times New Roman" w:cs="Times New Roman"/>
                <w:sz w:val="18"/>
                <w:szCs w:val="18"/>
              </w:rPr>
              <w:fldChar w:fldCharType="end"/>
            </w:r>
          </w:p>
        </w:tc>
        <w:tc>
          <w:tcPr>
            <w:tcW w:w="988" w:type="dxa"/>
            <w:noWrap/>
            <w:hideMark/>
          </w:tcPr>
          <w:p w14:paraId="6D73CA4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2011</w:t>
            </w:r>
          </w:p>
        </w:tc>
        <w:tc>
          <w:tcPr>
            <w:tcW w:w="2020" w:type="dxa"/>
            <w:noWrap/>
            <w:hideMark/>
          </w:tcPr>
          <w:p w14:paraId="0E240DD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South Africa</w:t>
            </w:r>
          </w:p>
        </w:tc>
        <w:tc>
          <w:tcPr>
            <w:tcW w:w="3015" w:type="dxa"/>
            <w:noWrap/>
            <w:hideMark/>
          </w:tcPr>
          <w:p w14:paraId="1834ABBB"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37ACF39C"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European journal of cancer</w:t>
            </w:r>
          </w:p>
        </w:tc>
      </w:tr>
      <w:tr w:rsidR="00A77862" w:rsidRPr="00E8605F" w14:paraId="2805D42D" w14:textId="77777777" w:rsidTr="00A77862">
        <w:trPr>
          <w:trHeight w:val="310"/>
        </w:trPr>
        <w:tc>
          <w:tcPr>
            <w:tcW w:w="2180" w:type="dxa"/>
            <w:noWrap/>
            <w:hideMark/>
          </w:tcPr>
          <w:p w14:paraId="097F22A1" w14:textId="0CBFB82B"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Hlávka</w:t>
            </w:r>
            <w:proofErr w:type="spellEnd"/>
            <w:r w:rsidRPr="00E8605F">
              <w:rPr>
                <w:rFonts w:ascii="Times New Roman" w:hAnsi="Times New Roman" w:cs="Times New Roman"/>
                <w:sz w:val="18"/>
                <w:szCs w:val="18"/>
              </w:rPr>
              <w:t xml:space="preserve"> et al.</w:t>
            </w:r>
            <w:r w:rsidR="00993895">
              <w:rPr>
                <w:rFonts w:ascii="Times New Roman" w:hAnsi="Times New Roman" w:cs="Times New Roman"/>
                <w:sz w:val="18"/>
                <w:szCs w:val="18"/>
              </w:rPr>
              <w:t xml:space="preserve"> </w:t>
            </w:r>
            <w:r w:rsidR="00993895">
              <w:rPr>
                <w:rFonts w:ascii="Times New Roman" w:hAnsi="Times New Roman" w:cs="Times New Roman"/>
                <w:sz w:val="18"/>
                <w:szCs w:val="18"/>
              </w:rPr>
              <w:fldChar w:fldCharType="begin"/>
            </w:r>
            <w:r w:rsidR="00993895">
              <w:rPr>
                <w:rFonts w:ascii="Times New Roman" w:hAnsi="Times New Roman" w:cs="Times New Roman"/>
                <w:sz w:val="18"/>
                <w:szCs w:val="18"/>
              </w:rPr>
              <w:instrText xml:space="preserve"> ADDIN ZOTERO_ITEM CSL_CITATION {"citationID":"IHchoEEa","properties":{"formattedCitation":"[42]","plainCitation":"[42]","noteIndex":0},"citationItems":[{"id":3639,"uris":["http://zotero.org/groups/5115136/items/PRSHLTCF"],"itemData":{"id":3639,"type":"article-journal","container-title":"The European Journal of Health Economics","DOI":"10.1007/s10198-021-01274-4","ISSN":"1618-7598, 1618-7601","issue":"4","journalAbbreviation":"Eur J Health Econ","language":"en","page":"559-569","source":"DOI.org (Crossref)","title":"The economics of alternative payment models for pharmaceuticals","volume":"22","author":[{"family":"Hlávka","given":"Jakub P."},{"family":"Yu","given":"Jeffrey C."},{"family":"Goldman","given":"Dana P."},{"family":"Lakdawalla","given":"Darius N."}],"issued":{"date-parts":[["2021",6]]}}}],"schema":"https://github.com/citation-style-language/schema/raw/master/csl-citation.json"} </w:instrText>
            </w:r>
            <w:r w:rsidR="00993895">
              <w:rPr>
                <w:rFonts w:ascii="Times New Roman" w:hAnsi="Times New Roman" w:cs="Times New Roman"/>
                <w:sz w:val="18"/>
                <w:szCs w:val="18"/>
              </w:rPr>
              <w:fldChar w:fldCharType="separate"/>
            </w:r>
            <w:r w:rsidR="00993895" w:rsidRPr="00993895">
              <w:rPr>
                <w:rFonts w:ascii="Times New Roman" w:hAnsi="Times New Roman" w:cs="Times New Roman"/>
                <w:sz w:val="18"/>
              </w:rPr>
              <w:t>[42]</w:t>
            </w:r>
            <w:r w:rsidR="00993895">
              <w:rPr>
                <w:rFonts w:ascii="Times New Roman" w:hAnsi="Times New Roman" w:cs="Times New Roman"/>
                <w:sz w:val="18"/>
                <w:szCs w:val="18"/>
              </w:rPr>
              <w:fldChar w:fldCharType="end"/>
            </w:r>
          </w:p>
        </w:tc>
        <w:tc>
          <w:tcPr>
            <w:tcW w:w="988" w:type="dxa"/>
            <w:noWrap/>
            <w:hideMark/>
          </w:tcPr>
          <w:p w14:paraId="6D603741"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2021</w:t>
            </w:r>
          </w:p>
        </w:tc>
        <w:tc>
          <w:tcPr>
            <w:tcW w:w="2020" w:type="dxa"/>
            <w:noWrap/>
            <w:hideMark/>
          </w:tcPr>
          <w:p w14:paraId="1F34A9DF"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4265857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4BBCE0B8" w14:textId="288C6BD4"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The European journal of health economics: HEPAC: health economics in prevention and care</w:t>
            </w:r>
          </w:p>
        </w:tc>
      </w:tr>
      <w:tr w:rsidR="00A77862" w:rsidRPr="00E8605F" w14:paraId="68294136" w14:textId="77777777" w:rsidTr="00A77862">
        <w:trPr>
          <w:trHeight w:val="310"/>
        </w:trPr>
        <w:tc>
          <w:tcPr>
            <w:tcW w:w="2180" w:type="dxa"/>
            <w:noWrap/>
            <w:hideMark/>
          </w:tcPr>
          <w:p w14:paraId="02A99A51" w14:textId="14C609A6"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Zhang et al.</w:t>
            </w:r>
            <w:r w:rsidR="00993895">
              <w:rPr>
                <w:rFonts w:ascii="Times New Roman" w:hAnsi="Times New Roman" w:cs="Times New Roman"/>
                <w:sz w:val="18"/>
                <w:szCs w:val="18"/>
              </w:rPr>
              <w:t xml:space="preserve"> </w:t>
            </w:r>
            <w:r w:rsidR="00993895">
              <w:rPr>
                <w:rFonts w:ascii="Times New Roman" w:hAnsi="Times New Roman" w:cs="Times New Roman"/>
                <w:sz w:val="18"/>
                <w:szCs w:val="18"/>
              </w:rPr>
              <w:fldChar w:fldCharType="begin"/>
            </w:r>
            <w:r w:rsidR="00993895">
              <w:rPr>
                <w:rFonts w:ascii="Times New Roman" w:hAnsi="Times New Roman" w:cs="Times New Roman"/>
                <w:sz w:val="18"/>
                <w:szCs w:val="18"/>
              </w:rPr>
              <w:instrText xml:space="preserve"> ADDIN ZOTERO_ITEM CSL_CITATION {"citationID":"ssSO3ebP","properties":{"formattedCitation":"[43]","plainCitation":"[43]","noteIndex":0},"citationItems":[{"id":3592,"uris":["http://zotero.org/groups/5115136/items/3GAIUG4P"],"itemData":{"id":3592,"type":"article-journal","abstract":"Background:\n              Generic drug prices have been capped at specified percentages of the interchangeable branded drug’s price by the Canadian provincial public drug plans since 1993. The Pan-Canadian Pharmaceutical Alliance, formed as a coalition by the provinces/territories in Canada, implemented an alternative approach, a tiered-pricing framework (TPF) for new generic drugs on April 1, 2014, under which the percentage varies with the number of generic firms in each market. We evaluate the impact of the TPF on generic entry, ie, listing in public drug plans in Canada.\n              Methods:\n              Our study compared the pre-TPF period (01/01/2012-03/31/2014) with the TPF period (04/01/2014- 06/30/2016). Prescription drugs from nine provincial public drug plans were grouped into a \"market\" if they had the same active ingredient and strength, route of administration, and dosage form. Each \"market\" was contestable by generics and met the eligibility criteria for TPF. At the \"market\" level, Cox proportional-hazards models with time-varying covariates were used to measure the impact of the TPF on the first generic listing in any provincial public drug plan in Canada relative to the first launch date worldwide.\n              Results:\n              A total of 189 markets in Canada were selected for the analyses. Generic drugs in small markets were more likely to be listed in Canada during the TPF period compared to the pre-TPF period (hazard ratio [HR], 95% CI: 3.81, 1.51-9.62). There was no significant difference in generic drug listings in large markets between the two policy periods.\n              Conclusion:\n              TPF speeds up generic entry in small markets and generates the benefits of generic competition while avoiding the pitfalls of the previously employed price-cap regulations.","container-title":"International Journal of Health Policy and Management","DOI":"10.34172/ijhpm.2020.215","ISSN":"2322-5939","journalAbbreviation":"Int J Health Policy Manag","language":"en","page":"1","source":"DOI.org (Crossref)","title":"The Impact of Tiered-Pricing Framework on Generic Entry in Canada","author":[{"family":"Zhang","given":"Wei"},{"family":"Sun","given":"Huiying"},{"family":"Guh","given":"Daphne P."},{"family":"Lynd","given":"Larry D."},{"family":"Hollis","given":"Aidan"},{"family":"Grootendorst","given":"Paul"},{"family":"Anis","given":"Aslam H."}],"issued":{"date-parts":[["2020",11,16]]}}}],"schema":"https://github.com/citation-style-language/schema/raw/master/csl-citation.json"} </w:instrText>
            </w:r>
            <w:r w:rsidR="00993895">
              <w:rPr>
                <w:rFonts w:ascii="Times New Roman" w:hAnsi="Times New Roman" w:cs="Times New Roman"/>
                <w:sz w:val="18"/>
                <w:szCs w:val="18"/>
              </w:rPr>
              <w:fldChar w:fldCharType="separate"/>
            </w:r>
            <w:r w:rsidR="00993895" w:rsidRPr="00993895">
              <w:rPr>
                <w:rFonts w:ascii="Times New Roman" w:hAnsi="Times New Roman" w:cs="Times New Roman"/>
                <w:sz w:val="18"/>
              </w:rPr>
              <w:t>[43]</w:t>
            </w:r>
            <w:r w:rsidR="00993895">
              <w:rPr>
                <w:rFonts w:ascii="Times New Roman" w:hAnsi="Times New Roman" w:cs="Times New Roman"/>
                <w:sz w:val="18"/>
                <w:szCs w:val="18"/>
              </w:rPr>
              <w:fldChar w:fldCharType="end"/>
            </w:r>
          </w:p>
        </w:tc>
        <w:tc>
          <w:tcPr>
            <w:tcW w:w="988" w:type="dxa"/>
            <w:noWrap/>
            <w:hideMark/>
          </w:tcPr>
          <w:p w14:paraId="3F91D25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2022</w:t>
            </w:r>
          </w:p>
        </w:tc>
        <w:tc>
          <w:tcPr>
            <w:tcW w:w="2020" w:type="dxa"/>
            <w:noWrap/>
            <w:hideMark/>
          </w:tcPr>
          <w:p w14:paraId="583F474C"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Canada</w:t>
            </w:r>
          </w:p>
        </w:tc>
        <w:tc>
          <w:tcPr>
            <w:tcW w:w="3015" w:type="dxa"/>
            <w:noWrap/>
            <w:hideMark/>
          </w:tcPr>
          <w:p w14:paraId="0E9F0A7A"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066191F6"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International journal of health policy and management</w:t>
            </w:r>
          </w:p>
        </w:tc>
      </w:tr>
      <w:tr w:rsidR="00A77862" w:rsidRPr="00E8605F" w14:paraId="3DF7594A" w14:textId="77777777" w:rsidTr="00A77862">
        <w:trPr>
          <w:trHeight w:val="310"/>
        </w:trPr>
        <w:tc>
          <w:tcPr>
            <w:tcW w:w="2180" w:type="dxa"/>
            <w:noWrap/>
            <w:hideMark/>
          </w:tcPr>
          <w:p w14:paraId="11B7B353" w14:textId="401547B7"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Cherla</w:t>
            </w:r>
            <w:proofErr w:type="spellEnd"/>
            <w:r w:rsidRPr="00E8605F">
              <w:rPr>
                <w:rFonts w:ascii="Times New Roman" w:hAnsi="Times New Roman" w:cs="Times New Roman"/>
                <w:sz w:val="18"/>
                <w:szCs w:val="18"/>
              </w:rPr>
              <w:t xml:space="preserve"> et al.</w:t>
            </w:r>
            <w:r w:rsidR="00993895">
              <w:rPr>
                <w:rFonts w:ascii="Times New Roman" w:hAnsi="Times New Roman" w:cs="Times New Roman"/>
                <w:sz w:val="18"/>
                <w:szCs w:val="18"/>
              </w:rPr>
              <w:t xml:space="preserve"> </w:t>
            </w:r>
            <w:r w:rsidR="00993895">
              <w:rPr>
                <w:rFonts w:ascii="Times New Roman" w:hAnsi="Times New Roman" w:cs="Times New Roman"/>
                <w:sz w:val="18"/>
                <w:szCs w:val="18"/>
              </w:rPr>
              <w:fldChar w:fldCharType="begin"/>
            </w:r>
            <w:r w:rsidR="00993895">
              <w:rPr>
                <w:rFonts w:ascii="Times New Roman" w:hAnsi="Times New Roman" w:cs="Times New Roman"/>
                <w:sz w:val="18"/>
                <w:szCs w:val="18"/>
              </w:rPr>
              <w:instrText xml:space="preserve"> ADDIN ZOTERO_ITEM CSL_CITATION {"citationID":"ywRprrQx","properties":{"formattedCitation":"[44]","plainCitation":"[44]","noteIndex":0},"citationItems":[{"id":3479,"uris":["http://zotero.org/groups/5115136/items/TBG2PVIE"],"itemData":{"id":3479,"type":"article-journal","abstract":"Abstract\n            At present, pay for prescription models are insufficient at containing costs and improving access to medicines. Subscription financing through tenders, licensing fees and unrestricted or fixed volumes can benefit stakeholders across the supply chain. Pharmaceutical manufacturers can reduce the need for marketing expenses and gain certainty in revenue. This will decrease costs, improve predictability in budget expenditure for payers and remove price as a barrier of access from patients. Inherently, low- and middle-income countries lack the purchasing power to leverage price discounts through typical price arrangements. These markets can realise substantial savings for branded and generic medicines through subscription financing. Procuring of on-patent and off-patent drugs requires separate analysis for competition effects, the length of contract and encouraging innovation in the medicine pipeline. Prices of competitive on-patent medicines and orphan drugs can be reduced through increased competition and volume. Furthermore, pooling expertise and resources through joint procurement has the potential for greater savings. Incentivising research and development within the pharmaceutical industry is essential for sustaining a competitive market, preventing monopolies and improving access to expensive treatments. However, technical capacity, forecasting demand and the quality of generic medicines present limitations which necessitate government support and international partnerships. Ultimately, improving access requires progressive financing mechanisms with patients and cost containment in mind.","container-title":"Health Economics, Policy and Law","DOI":"10.1017/S1744133120000031","ISSN":"1744-1331, 1744-134X","issue":"2","journalAbbreviation":"HEPL","language":"en","page":"113-123","source":"DOI.org (Crossref)","title":"The ‘Netflix plus model’: can subscription financing improve access to medicines in low- and middle-income countries?","title-short":"The ‘Netflix plus model’","volume":"16","author":[{"family":"Cherla","given":"Avi"},{"family":"Howard","given":"Natasha"},{"family":"Mossialos","given":"Elias"}],"issued":{"date-parts":[["2021",4]]}}}],"schema":"https://github.com/citation-style-language/schema/raw/master/csl-citation.json"} </w:instrText>
            </w:r>
            <w:r w:rsidR="00993895">
              <w:rPr>
                <w:rFonts w:ascii="Times New Roman" w:hAnsi="Times New Roman" w:cs="Times New Roman"/>
                <w:sz w:val="18"/>
                <w:szCs w:val="18"/>
              </w:rPr>
              <w:fldChar w:fldCharType="separate"/>
            </w:r>
            <w:r w:rsidR="00993895" w:rsidRPr="00993895">
              <w:rPr>
                <w:rFonts w:ascii="Times New Roman" w:hAnsi="Times New Roman" w:cs="Times New Roman"/>
                <w:sz w:val="18"/>
              </w:rPr>
              <w:t>[44]</w:t>
            </w:r>
            <w:r w:rsidR="00993895">
              <w:rPr>
                <w:rFonts w:ascii="Times New Roman" w:hAnsi="Times New Roman" w:cs="Times New Roman"/>
                <w:sz w:val="18"/>
                <w:szCs w:val="18"/>
              </w:rPr>
              <w:fldChar w:fldCharType="end"/>
            </w:r>
          </w:p>
        </w:tc>
        <w:tc>
          <w:tcPr>
            <w:tcW w:w="988" w:type="dxa"/>
            <w:noWrap/>
            <w:hideMark/>
          </w:tcPr>
          <w:p w14:paraId="4F67308C"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2021</w:t>
            </w:r>
          </w:p>
        </w:tc>
        <w:tc>
          <w:tcPr>
            <w:tcW w:w="2020" w:type="dxa"/>
            <w:noWrap/>
            <w:hideMark/>
          </w:tcPr>
          <w:p w14:paraId="44BE49F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UK</w:t>
            </w:r>
          </w:p>
        </w:tc>
        <w:tc>
          <w:tcPr>
            <w:tcW w:w="3015" w:type="dxa"/>
            <w:noWrap/>
            <w:hideMark/>
          </w:tcPr>
          <w:p w14:paraId="53278FA5"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Editorials, opinions, or commentaries</w:t>
            </w:r>
          </w:p>
        </w:tc>
        <w:tc>
          <w:tcPr>
            <w:tcW w:w="8480" w:type="dxa"/>
            <w:noWrap/>
            <w:hideMark/>
          </w:tcPr>
          <w:p w14:paraId="2FBE98C4"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Health economics, policy, and law</w:t>
            </w:r>
          </w:p>
        </w:tc>
      </w:tr>
      <w:tr w:rsidR="00A77862" w:rsidRPr="00E8605F" w14:paraId="5AE0D119" w14:textId="77777777" w:rsidTr="00A77862">
        <w:trPr>
          <w:trHeight w:val="310"/>
        </w:trPr>
        <w:tc>
          <w:tcPr>
            <w:tcW w:w="2180" w:type="dxa"/>
            <w:noWrap/>
            <w:hideMark/>
          </w:tcPr>
          <w:p w14:paraId="55294DAA" w14:textId="75A529CD"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Matthews et al.</w:t>
            </w:r>
            <w:r w:rsidR="00662E72">
              <w:rPr>
                <w:rFonts w:ascii="Times New Roman" w:hAnsi="Times New Roman" w:cs="Times New Roman"/>
                <w:sz w:val="18"/>
                <w:szCs w:val="18"/>
              </w:rPr>
              <w:t xml:space="preserve"> </w:t>
            </w:r>
            <w:r w:rsidR="00662E72">
              <w:rPr>
                <w:rFonts w:ascii="Times New Roman" w:hAnsi="Times New Roman" w:cs="Times New Roman"/>
                <w:sz w:val="18"/>
                <w:szCs w:val="18"/>
              </w:rPr>
              <w:fldChar w:fldCharType="begin"/>
            </w:r>
            <w:r w:rsidR="00662E72">
              <w:rPr>
                <w:rFonts w:ascii="Times New Roman" w:hAnsi="Times New Roman" w:cs="Times New Roman"/>
                <w:sz w:val="18"/>
                <w:szCs w:val="18"/>
              </w:rPr>
              <w:instrText xml:space="preserve"> ADDIN ZOTERO_ITEM CSL_CITATION {"citationID":"eov4CiFU","properties":{"formattedCitation":"[45]","plainCitation":"[45]","noteIndex":0},"citationItems":[{"id":3622,"uris":["http://zotero.org/groups/5115136/items/5WNTTQFL"],"itemData":{"id":3622,"type":"article-journal","abstract":"Abstract\n            \n              Background and Aims\n              High unit prices of treatments limit access. For epidemics like that of hepatitis C virus (HCV), reduced treatment access increases prevalence and incidence, making the infectious disease increasingly difficult to manage. The objective of the current study was to construct and test an alternative pricing model, the Payer License Agreement (PLA), and determine whether it could improve outcomes, cut costs and incentivize innovation versus the current unit‐based pricing model.\n            \n            \n              Methods\n              We built and used computational models of hepatitis C disease progression, treatment, and pricing in historical and future scenarios and quantitatively analyzed their economic and epidemiological impact in three high‐income countries.\n            \n            \n              Results\n              This study had three key results regarding HCV treatment. First, if the PLA model had been implemented when interferon‐free direct‐acting antiviral (DAA) combinations launched, the number of patients treated and cured would have more than doubled in the first three years, while the liver‐related deaths (LRDs) would have decreased by around 40%. Second, if the PLA model had been implemented beginning in 2018, the year that several Netflix‐like payment models were under implementation, the number of treated and cured patients would nearly double, and the LRDs would decline by more than 55%. Third, implementing the PLA model would result in a decline in total payer costs of more than 25%, with an increase to pharmaceutical manufacturer revenues of 10%. These results were true across the three healthcare landscapes studied, the USA, the UK and Italy, and were robust against variations to critical model parameters through sensitivity analysis.\n            \n            \n              Conclusions and Relevance\n              These results suggest that implementation of the PLA model in high‐income countries across a variety of health system contexts would improve patient outcomes at lower payer cost with more stable revenue for pharmaceutical manufacturers. Health policy‐makers in high‐income countries should consider the PLA model for application to more cost‐effective management of HCV, and explore its application for other infectious diseases with curative therapies available now or soon.","container-title":"Liver International","DOI":"10.1111/liv.15245","ISSN":"1478-3223, 1478-3231","issue":"7","journalAbbreviation":"Liver International","language":"en","page":"1503-1516","source":"DOI.org (Crossref)","title":"The Payer License Agreement, or “Netflix model,” for hepatitis C virus therapies enables universal treatment access, lowers costs and incentivizes innovation and competition","volume":"42","author":[{"family":"Matthews","given":"David W."},{"family":"Coleman","given":"Samantha"},{"family":"Razavi","given":"Homie"},{"family":"Izaret","given":"Jean‐Manuel"}],"issued":{"date-parts":[["2022",7]]}}}],"schema":"https://github.com/citation-style-language/schema/raw/master/csl-citation.json"} </w:instrText>
            </w:r>
            <w:r w:rsidR="00662E72">
              <w:rPr>
                <w:rFonts w:ascii="Times New Roman" w:hAnsi="Times New Roman" w:cs="Times New Roman"/>
                <w:sz w:val="18"/>
                <w:szCs w:val="18"/>
              </w:rPr>
              <w:fldChar w:fldCharType="separate"/>
            </w:r>
            <w:r w:rsidR="00662E72" w:rsidRPr="00662E72">
              <w:rPr>
                <w:rFonts w:ascii="Times New Roman" w:hAnsi="Times New Roman" w:cs="Times New Roman"/>
                <w:sz w:val="18"/>
              </w:rPr>
              <w:t>[45]</w:t>
            </w:r>
            <w:r w:rsidR="00662E72">
              <w:rPr>
                <w:rFonts w:ascii="Times New Roman" w:hAnsi="Times New Roman" w:cs="Times New Roman"/>
                <w:sz w:val="18"/>
                <w:szCs w:val="18"/>
              </w:rPr>
              <w:fldChar w:fldCharType="end"/>
            </w:r>
          </w:p>
        </w:tc>
        <w:tc>
          <w:tcPr>
            <w:tcW w:w="988" w:type="dxa"/>
            <w:noWrap/>
            <w:hideMark/>
          </w:tcPr>
          <w:p w14:paraId="2C954E2C"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2022</w:t>
            </w:r>
          </w:p>
        </w:tc>
        <w:tc>
          <w:tcPr>
            <w:tcW w:w="2020" w:type="dxa"/>
            <w:noWrap/>
            <w:hideMark/>
          </w:tcPr>
          <w:p w14:paraId="76E4B889"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3F8855B5"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6C4CD6FE" w14:textId="6480A9D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Liver international: official journal of the International Association for the Study of the Liver</w:t>
            </w:r>
          </w:p>
        </w:tc>
      </w:tr>
      <w:tr w:rsidR="00A77862" w:rsidRPr="00E8605F" w14:paraId="1C2D7D87" w14:textId="77777777" w:rsidTr="00A77862">
        <w:trPr>
          <w:trHeight w:val="310"/>
        </w:trPr>
        <w:tc>
          <w:tcPr>
            <w:tcW w:w="2180" w:type="dxa"/>
            <w:noWrap/>
            <w:hideMark/>
          </w:tcPr>
          <w:p w14:paraId="7DC28B9D" w14:textId="3B294CBF"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 xml:space="preserve">Moreno </w:t>
            </w:r>
            <w:r w:rsidR="00662E72">
              <w:rPr>
                <w:rFonts w:ascii="Times New Roman" w:hAnsi="Times New Roman" w:cs="Times New Roman"/>
                <w:sz w:val="18"/>
                <w:szCs w:val="18"/>
              </w:rPr>
              <w:t xml:space="preserve">and Epstein </w:t>
            </w:r>
            <w:r w:rsidR="00662E72">
              <w:rPr>
                <w:rFonts w:ascii="Times New Roman" w:hAnsi="Times New Roman" w:cs="Times New Roman"/>
                <w:sz w:val="18"/>
                <w:szCs w:val="18"/>
              </w:rPr>
              <w:fldChar w:fldCharType="begin"/>
            </w:r>
            <w:r w:rsidR="00662E72">
              <w:rPr>
                <w:rFonts w:ascii="Times New Roman" w:hAnsi="Times New Roman" w:cs="Times New Roman"/>
                <w:sz w:val="18"/>
                <w:szCs w:val="18"/>
              </w:rPr>
              <w:instrText xml:space="preserve"> ADDIN ZOTERO_ITEM CSL_CITATION {"citationID":"hyecACeq","properties":{"formattedCitation":"[46]","plainCitation":"[46]","noteIndex":0},"citationItems":[{"id":3617,"uris":["http://zotero.org/groups/5115136/items/FBFKYFZI"],"itemData":{"id":3617,"type":"article-journal","container-title":"Journal of Market Access &amp; Health Policy","DOI":"10.1080/20016689.2019.1583536","ISSN":"2001-6689","issue":"1","journalAbbreviation":"Journal of Market Access &amp; Health Policy","language":"en","page":"1583536","source":"DOI.org (Crossref)","title":"The price of innovation - the role of drug pricing in financing pharmaceutical innovation. A conceptual framework","volume":"7","author":[{"family":"Moreno","given":"Santiago G."},{"family":"Epstein","given":"David"}],"issued":{"date-parts":[["2019",1,1]]}}}],"schema":"https://github.com/citation-style-language/schema/raw/master/csl-citation.json"} </w:instrText>
            </w:r>
            <w:r w:rsidR="00662E72">
              <w:rPr>
                <w:rFonts w:ascii="Times New Roman" w:hAnsi="Times New Roman" w:cs="Times New Roman"/>
                <w:sz w:val="18"/>
                <w:szCs w:val="18"/>
              </w:rPr>
              <w:fldChar w:fldCharType="separate"/>
            </w:r>
            <w:r w:rsidR="00662E72" w:rsidRPr="00662E72">
              <w:rPr>
                <w:rFonts w:ascii="Times New Roman" w:hAnsi="Times New Roman" w:cs="Times New Roman"/>
                <w:sz w:val="18"/>
              </w:rPr>
              <w:t>[46]</w:t>
            </w:r>
            <w:r w:rsidR="00662E72">
              <w:rPr>
                <w:rFonts w:ascii="Times New Roman" w:hAnsi="Times New Roman" w:cs="Times New Roman"/>
                <w:sz w:val="18"/>
                <w:szCs w:val="18"/>
              </w:rPr>
              <w:fldChar w:fldCharType="end"/>
            </w:r>
          </w:p>
        </w:tc>
        <w:tc>
          <w:tcPr>
            <w:tcW w:w="988" w:type="dxa"/>
            <w:noWrap/>
            <w:hideMark/>
          </w:tcPr>
          <w:p w14:paraId="2B72F694"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2019</w:t>
            </w:r>
          </w:p>
        </w:tc>
        <w:tc>
          <w:tcPr>
            <w:tcW w:w="2020" w:type="dxa"/>
            <w:noWrap/>
            <w:hideMark/>
          </w:tcPr>
          <w:p w14:paraId="746A5F0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Switzerland</w:t>
            </w:r>
          </w:p>
        </w:tc>
        <w:tc>
          <w:tcPr>
            <w:tcW w:w="3015" w:type="dxa"/>
            <w:noWrap/>
            <w:hideMark/>
          </w:tcPr>
          <w:p w14:paraId="2FCBC85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37D25C5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Journal of market access &amp; health policy</w:t>
            </w:r>
          </w:p>
        </w:tc>
      </w:tr>
      <w:tr w:rsidR="00A77862" w:rsidRPr="00E8605F" w14:paraId="09E00960" w14:textId="77777777" w:rsidTr="00A77862">
        <w:trPr>
          <w:trHeight w:val="310"/>
        </w:trPr>
        <w:tc>
          <w:tcPr>
            <w:tcW w:w="2180" w:type="dxa"/>
            <w:noWrap/>
            <w:hideMark/>
          </w:tcPr>
          <w:p w14:paraId="18356A8E" w14:textId="62BB3B44"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Ex et al.</w:t>
            </w:r>
            <w:r w:rsidR="00662E72">
              <w:rPr>
                <w:rFonts w:ascii="Times New Roman" w:hAnsi="Times New Roman" w:cs="Times New Roman"/>
                <w:sz w:val="18"/>
                <w:szCs w:val="18"/>
              </w:rPr>
              <w:t xml:space="preserve"> </w:t>
            </w:r>
            <w:r w:rsidR="005C3B39">
              <w:rPr>
                <w:rFonts w:ascii="Times New Roman" w:hAnsi="Times New Roman" w:cs="Times New Roman"/>
                <w:sz w:val="18"/>
                <w:szCs w:val="18"/>
              </w:rPr>
              <w:fldChar w:fldCharType="begin"/>
            </w:r>
            <w:r w:rsidR="005C3B39">
              <w:rPr>
                <w:rFonts w:ascii="Times New Roman" w:hAnsi="Times New Roman" w:cs="Times New Roman"/>
                <w:sz w:val="18"/>
                <w:szCs w:val="18"/>
              </w:rPr>
              <w:instrText xml:space="preserve"> ADDIN ZOTERO_ITEM CSL_CITATION {"citationID":"0hC2mdMV","properties":{"formattedCitation":"[47]","plainCitation":"[47]","noteIndex":0},"citationItems":[{"id":3649,"uris":["http://zotero.org/groups/5115136/items/YKKUIQPP"],"itemData":{"id":3649,"type":"article-journal","abstract":"Abstract\n            \n              Most hospital payment systems based on diagnosis-related groups (DRGs) provide payments for newly approved technologies. In Germany, they are negotiated between individual hospitals and health insurances. The aim of our study is to assess the functioning of temporary reimbursement mechanisms. We used multilevel logistic regression to examine factors at the hospital and state levels that are associated with agreeing innovation payments. Dependent variable was whether or not a hospital had successfully negotiated innovation payments in 2013 (\n              n\n              = 1532). Using agreement data of the yearly budget negotiations between each German hospital and representatives of the health insurances, the study comprises all German acute hospitals and innovation payments on all diagnoses. In total, 32.9% of the hospitals successfully negotiated innovation payments in 2013. We found that the chance of receiving innovation payments increased if the hospital was located in areas with a high degree of competition and if they were large, had university status and were private for-profit entities. Our study shows an implicit self-controlled selection of hospitals receiving innovation payments. While implicitly encouraging safety of patient care, policy makers should favour a more direct and transparent process of distributing innovation payments in prospective payment systems.","container-title":"Health Economics, Policy and Law","DOI":"10.1017/S1744133119000124","ISSN":"1744-1331, 1744-134X","issue":"3","journalAbbreviation":"HEPL","language":"en","page":"355-369","source":"DOI.org (Crossref)","title":"The reimbursement of new medical technologies in German inpatient care: What factors explain which hospitals receive innovation payments?","title-short":"The reimbursement of new medical technologies in German inpatient care","volume":"15","author":[{"family":"Ex","given":"Patricia"},{"family":"Vogt","given":"Verena"},{"family":"Busse","given":"Reinhard"},{"family":"Henschke","given":"Cornelia"}],"issued":{"date-parts":[["2020",7]]}}}],"schema":"https://github.com/citation-style-language/schema/raw/master/csl-citation.json"} </w:instrText>
            </w:r>
            <w:r w:rsidR="005C3B39">
              <w:rPr>
                <w:rFonts w:ascii="Times New Roman" w:hAnsi="Times New Roman" w:cs="Times New Roman"/>
                <w:sz w:val="18"/>
                <w:szCs w:val="18"/>
              </w:rPr>
              <w:fldChar w:fldCharType="separate"/>
            </w:r>
            <w:r w:rsidR="005C3B39" w:rsidRPr="005C3B39">
              <w:rPr>
                <w:rFonts w:ascii="Times New Roman" w:hAnsi="Times New Roman" w:cs="Times New Roman"/>
                <w:sz w:val="18"/>
              </w:rPr>
              <w:t>[47]</w:t>
            </w:r>
            <w:r w:rsidR="005C3B39">
              <w:rPr>
                <w:rFonts w:ascii="Times New Roman" w:hAnsi="Times New Roman" w:cs="Times New Roman"/>
                <w:sz w:val="18"/>
                <w:szCs w:val="18"/>
              </w:rPr>
              <w:fldChar w:fldCharType="end"/>
            </w:r>
          </w:p>
        </w:tc>
        <w:tc>
          <w:tcPr>
            <w:tcW w:w="988" w:type="dxa"/>
            <w:noWrap/>
            <w:hideMark/>
          </w:tcPr>
          <w:p w14:paraId="54457A2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2020</w:t>
            </w:r>
          </w:p>
        </w:tc>
        <w:tc>
          <w:tcPr>
            <w:tcW w:w="2020" w:type="dxa"/>
            <w:noWrap/>
            <w:hideMark/>
          </w:tcPr>
          <w:p w14:paraId="086B858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Germany</w:t>
            </w:r>
          </w:p>
        </w:tc>
        <w:tc>
          <w:tcPr>
            <w:tcW w:w="3015" w:type="dxa"/>
            <w:noWrap/>
            <w:hideMark/>
          </w:tcPr>
          <w:p w14:paraId="1FEE6CB4"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18CCF50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Health economics, policy, and law</w:t>
            </w:r>
          </w:p>
        </w:tc>
      </w:tr>
      <w:tr w:rsidR="00A77862" w:rsidRPr="00E8605F" w14:paraId="221FD791" w14:textId="77777777" w:rsidTr="00A77862">
        <w:trPr>
          <w:trHeight w:val="310"/>
        </w:trPr>
        <w:tc>
          <w:tcPr>
            <w:tcW w:w="2180" w:type="dxa"/>
            <w:noWrap/>
            <w:hideMark/>
          </w:tcPr>
          <w:p w14:paraId="72D44B77" w14:textId="3A720711"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Preckler</w:t>
            </w:r>
            <w:proofErr w:type="spellEnd"/>
            <w:r w:rsidR="005C3B39">
              <w:rPr>
                <w:rFonts w:ascii="Times New Roman" w:hAnsi="Times New Roman" w:cs="Times New Roman"/>
                <w:sz w:val="18"/>
                <w:szCs w:val="18"/>
              </w:rPr>
              <w:t xml:space="preserve"> and </w:t>
            </w:r>
            <w:proofErr w:type="spellStart"/>
            <w:r w:rsidR="005C3B39">
              <w:rPr>
                <w:rFonts w:ascii="Times New Roman" w:hAnsi="Times New Roman" w:cs="Times New Roman"/>
                <w:sz w:val="18"/>
                <w:szCs w:val="18"/>
              </w:rPr>
              <w:t>Esp</w:t>
            </w:r>
            <w:r w:rsidR="005C3B39" w:rsidRPr="005C3B39">
              <w:rPr>
                <w:rFonts w:ascii="Times New Roman" w:hAnsi="Times New Roman" w:cs="Times New Roman"/>
                <w:sz w:val="18"/>
                <w:szCs w:val="18"/>
              </w:rPr>
              <w:t>í</w:t>
            </w:r>
            <w:r w:rsidR="005C3B39">
              <w:rPr>
                <w:rFonts w:ascii="Times New Roman" w:hAnsi="Times New Roman" w:cs="Times New Roman"/>
                <w:sz w:val="18"/>
                <w:szCs w:val="18"/>
              </w:rPr>
              <w:t>n</w:t>
            </w:r>
            <w:proofErr w:type="spellEnd"/>
            <w:r w:rsidRPr="00E8605F">
              <w:rPr>
                <w:rFonts w:ascii="Times New Roman" w:hAnsi="Times New Roman" w:cs="Times New Roman"/>
                <w:sz w:val="18"/>
                <w:szCs w:val="18"/>
              </w:rPr>
              <w:t xml:space="preserve"> </w:t>
            </w:r>
            <w:r w:rsidR="005C3B39">
              <w:rPr>
                <w:rFonts w:ascii="Times New Roman" w:hAnsi="Times New Roman" w:cs="Times New Roman"/>
                <w:sz w:val="18"/>
                <w:szCs w:val="18"/>
              </w:rPr>
              <w:fldChar w:fldCharType="begin"/>
            </w:r>
            <w:r w:rsidR="005C3B39">
              <w:rPr>
                <w:rFonts w:ascii="Times New Roman" w:hAnsi="Times New Roman" w:cs="Times New Roman"/>
                <w:sz w:val="18"/>
                <w:szCs w:val="18"/>
              </w:rPr>
              <w:instrText xml:space="preserve"> ADDIN ZOTERO_ITEM CSL_CITATION {"citationID":"mBL41U1m","properties":{"formattedCitation":"[48]","plainCitation":"[48]","noteIndex":0},"citationItems":[{"id":3611,"uris":["http://zotero.org/groups/5115136/items/EFHGPL4P"],"itemData":{"id":3611,"type":"article-journal","container-title":"Value in Health","DOI":"10.1016/j.jval.2021.11.1376","ISSN":"10983015","issue":"4","journalAbbreviation":"Value in Health","language":"en","page":"666-675","source":"DOI.org (Crossref)","title":"The Role of Indication-Based Pricing in Future Pricing and Reimbursement Policies: A Systematic Review","title-short":"The Role of Indication-Based Pricing in Future Pricing and Reimbursement Policies","volume":"25","author":[{"family":"Preckler","given":"Víctor"},{"family":"Espín","given":"Jaime"}],"issued":{"date-parts":[["2022",4]]}}}],"schema":"https://github.com/citation-style-language/schema/raw/master/csl-citation.json"} </w:instrText>
            </w:r>
            <w:r w:rsidR="005C3B39">
              <w:rPr>
                <w:rFonts w:ascii="Times New Roman" w:hAnsi="Times New Roman" w:cs="Times New Roman"/>
                <w:sz w:val="18"/>
                <w:szCs w:val="18"/>
              </w:rPr>
              <w:fldChar w:fldCharType="separate"/>
            </w:r>
            <w:r w:rsidR="005C3B39" w:rsidRPr="005C3B39">
              <w:rPr>
                <w:rFonts w:ascii="Times New Roman" w:hAnsi="Times New Roman" w:cs="Times New Roman"/>
                <w:sz w:val="18"/>
              </w:rPr>
              <w:t>[48]</w:t>
            </w:r>
            <w:r w:rsidR="005C3B39">
              <w:rPr>
                <w:rFonts w:ascii="Times New Roman" w:hAnsi="Times New Roman" w:cs="Times New Roman"/>
                <w:sz w:val="18"/>
                <w:szCs w:val="18"/>
              </w:rPr>
              <w:fldChar w:fldCharType="end"/>
            </w:r>
          </w:p>
        </w:tc>
        <w:tc>
          <w:tcPr>
            <w:tcW w:w="988" w:type="dxa"/>
            <w:noWrap/>
            <w:hideMark/>
          </w:tcPr>
          <w:p w14:paraId="555FF8C9"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2022</w:t>
            </w:r>
          </w:p>
        </w:tc>
        <w:tc>
          <w:tcPr>
            <w:tcW w:w="2020" w:type="dxa"/>
            <w:noWrap/>
            <w:hideMark/>
          </w:tcPr>
          <w:p w14:paraId="5DD807D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Spain</w:t>
            </w:r>
          </w:p>
        </w:tc>
        <w:tc>
          <w:tcPr>
            <w:tcW w:w="3015" w:type="dxa"/>
            <w:noWrap/>
            <w:hideMark/>
          </w:tcPr>
          <w:p w14:paraId="43B2A91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Review article</w:t>
            </w:r>
          </w:p>
        </w:tc>
        <w:tc>
          <w:tcPr>
            <w:tcW w:w="8480" w:type="dxa"/>
            <w:noWrap/>
            <w:hideMark/>
          </w:tcPr>
          <w:p w14:paraId="380E92BB"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Value in health: the journal of the International Society for Pharmacoeconomics and Outcomes Research</w:t>
            </w:r>
          </w:p>
        </w:tc>
      </w:tr>
      <w:tr w:rsidR="00A77862" w:rsidRPr="00E8605F" w14:paraId="560D570C" w14:textId="77777777" w:rsidTr="00A77862">
        <w:trPr>
          <w:trHeight w:val="310"/>
        </w:trPr>
        <w:tc>
          <w:tcPr>
            <w:tcW w:w="2180" w:type="dxa"/>
            <w:noWrap/>
            <w:hideMark/>
          </w:tcPr>
          <w:p w14:paraId="3A9DA207" w14:textId="3370683B"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Towse</w:t>
            </w:r>
            <w:proofErr w:type="spellEnd"/>
            <w:r w:rsidRPr="00E8605F">
              <w:rPr>
                <w:rFonts w:ascii="Times New Roman" w:hAnsi="Times New Roman" w:cs="Times New Roman"/>
                <w:sz w:val="18"/>
                <w:szCs w:val="18"/>
              </w:rPr>
              <w:t xml:space="preserve"> et al.</w:t>
            </w:r>
            <w:r w:rsidR="00021F08">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{"citationID":"Ml12N4eP","properties":{"formattedCitation":"[49]","plainCitation":"[49]","noteIndex":0},"citationItems":[{"id":3602,"uris":["http://zotero.org/groups/5115136/items/CG3M3G49"],"itemData":{"id":3602,"type":"article-journal","container-title":"Health Policy","DOI":"10.1016/j.healthpol.2017.07.011","ISSN":"01688510","issue":"10","journalAbbreviation":"Health Policy","language":"en","page":"1025-1030","source":"DOI.org (Crossref)","title":"Time for a change in how new antibiotics are reimbursed: Development of an insurance framework for funding new antibiotics based on a policy of risk mitigation","title-short":"Time for a change in how new antibiotics are reimbursed","volume":"121","author":[{"family":"Towse","given":"Adrian"},{"family":"Hoyle","given":"Christopher K."},{"family":"Goodall","given":"Jonathan"},{"family":"Hirsch","given":"Mark"},{"family":"Mestre-Ferrandiz","given":"Jorge"},{"family":"Rex","given":"John H."}],"issued":{"date-parts":[["2017",10]]}}}],"schema":"https://github.com/citation-style-language/schema/raw/master/csl-citation.json"}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[49]</w:t>
            </w:r>
            <w:r w:rsidR="00B751AE">
              <w:rPr>
                <w:rFonts w:ascii="Times New Roman" w:hAnsi="Times New Roman" w:cs="Times New Roman"/>
                <w:sz w:val="18"/>
                <w:szCs w:val="18"/>
              </w:rPr>
              <w:fldChar w:fldCharType="end"/>
            </w:r>
            <w:r w:rsidR="005C3B39">
              <w:rPr>
                <w:rFonts w:ascii="Times New Roman" w:hAnsi="Times New Roman" w:cs="Times New Roman"/>
                <w:sz w:val="18"/>
                <w:szCs w:val="18"/>
              </w:rPr>
              <w:t xml:space="preserve"> </w:t>
            </w:r>
          </w:p>
        </w:tc>
        <w:tc>
          <w:tcPr>
            <w:tcW w:w="988" w:type="dxa"/>
            <w:noWrap/>
            <w:hideMark/>
          </w:tcPr>
          <w:p w14:paraId="4C5DC3E7"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2017</w:t>
            </w:r>
          </w:p>
        </w:tc>
        <w:tc>
          <w:tcPr>
            <w:tcW w:w="2020" w:type="dxa"/>
            <w:noWrap/>
            <w:hideMark/>
          </w:tcPr>
          <w:p w14:paraId="44315B3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UK</w:t>
            </w:r>
          </w:p>
        </w:tc>
        <w:tc>
          <w:tcPr>
            <w:tcW w:w="3015" w:type="dxa"/>
            <w:noWrap/>
            <w:hideMark/>
          </w:tcPr>
          <w:p w14:paraId="348464A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5617470B"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Health Policy</w:t>
            </w:r>
          </w:p>
        </w:tc>
      </w:tr>
      <w:tr w:rsidR="00A77862" w:rsidRPr="00E8605F" w14:paraId="1597FA37" w14:textId="77777777" w:rsidTr="00A77862">
        <w:trPr>
          <w:trHeight w:val="310"/>
        </w:trPr>
        <w:tc>
          <w:tcPr>
            <w:tcW w:w="2180" w:type="dxa"/>
            <w:noWrap/>
            <w:hideMark/>
          </w:tcPr>
          <w:p w14:paraId="58D15055" w14:textId="335DEBA5"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Picecchi</w:t>
            </w:r>
            <w:proofErr w:type="spellEnd"/>
            <w:r w:rsidRPr="00E8605F">
              <w:rPr>
                <w:rFonts w:ascii="Times New Roman" w:hAnsi="Times New Roman" w:cs="Times New Roman"/>
                <w:sz w:val="18"/>
                <w:szCs w:val="18"/>
              </w:rPr>
              <w:t xml:space="preserve"> et al.</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{"citationID":"d7dqw9ML","properties":{"formattedCitation":"[50]","plainCitation":"[50]","noteIndex":0},"citationItems":[{"id":3612,"uris":["http://zotero.org/groups/5115136/items/KHK2KXMS"],"itemData":{"id":3612,"type":"article-journal","abstract":"Currently, a major focus of biomedical research and clinical application are the so-called advanced therapy medicinal products (ATMPs), which are highly complex medicines that enable the targeted and personalised treatment of patients. The potential of ATMPs in future cancer treatment is invaluable. However, this novel class of treatments is often extremely expensive. Consequently, these therapies push established reimbursement models to their limits. Because of the high costs, as well as the lack of appropriate reimbursement models, access to these potentially lifesaving therapies is currently not guaranteed to all patients. This paper analyses the current legal framework in Switzerland and critically evaluates existing reimbursement models, particularly with respect to their adaptation for ATMPs. As a promising reimbursement arrangement, this paper proposes a model combining outcome-based instalment payments with aspects of the pay for performance and the annuity payment model. According to this performance-based shared risk model, instalment payments are due when defined treatment goals are achieved.","container-title":"Swiss Medical Weekly","DOI":"10.4414/smw.2020.20355","ISSN":"1424-3997","issue":"5153","journalAbbreviation":"Swiss Med Wkly","page":"w20355","source":"DOI.org (Crossref)","title":"Towards novel reimbursement models for expensive advanced therapy medicinal products (ATMPs)","volume":"150","author":[{"family":"Picecchi","given":"Dario"},{"family":"Bertram","given":"Katrin"},{"family":"Brücher","given":"Dominik"},{"family":"Bauer","given":"Michael"}],"issued":{"date-parts":[["2020",12,30]]}}}],"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[50]</w:t>
            </w:r>
            <w:r w:rsidR="00B751AE">
              <w:rPr>
                <w:rFonts w:ascii="Times New Roman" w:hAnsi="Times New Roman" w:cs="Times New Roman"/>
                <w:sz w:val="18"/>
                <w:szCs w:val="18"/>
              </w:rPr>
              <w:fldChar w:fldCharType="end"/>
            </w:r>
          </w:p>
        </w:tc>
        <w:tc>
          <w:tcPr>
            <w:tcW w:w="988" w:type="dxa"/>
            <w:noWrap/>
            <w:hideMark/>
          </w:tcPr>
          <w:p w14:paraId="7103B91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2020</w:t>
            </w:r>
          </w:p>
        </w:tc>
        <w:tc>
          <w:tcPr>
            <w:tcW w:w="2020" w:type="dxa"/>
            <w:noWrap/>
            <w:hideMark/>
          </w:tcPr>
          <w:p w14:paraId="36DFF2D5"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Switzerland</w:t>
            </w:r>
          </w:p>
        </w:tc>
        <w:tc>
          <w:tcPr>
            <w:tcW w:w="3015" w:type="dxa"/>
            <w:noWrap/>
            <w:hideMark/>
          </w:tcPr>
          <w:p w14:paraId="4873A2A1"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1732DEBF"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Swiss medical weekly</w:t>
            </w:r>
          </w:p>
        </w:tc>
      </w:tr>
      <w:tr w:rsidR="00A77862" w:rsidRPr="00E8605F" w14:paraId="0E95650B" w14:textId="77777777" w:rsidTr="00A77862">
        <w:trPr>
          <w:trHeight w:val="310"/>
        </w:trPr>
        <w:tc>
          <w:tcPr>
            <w:tcW w:w="2180" w:type="dxa"/>
            <w:noWrap/>
            <w:hideMark/>
          </w:tcPr>
          <w:p w14:paraId="0266C5A2" w14:textId="205837A4"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Yeung et al.</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{"citationID":"68XyNkGR","properties":{"formattedCitation":"[51]","plainCitation":"[51]","noteIndex":0},"citationItems":[{"id":3595,"uris":["http://zotero.org/groups/5115136/items/W3UYVZGS"],"itemData":{"id":3595,"type":"article-journal","container-title":"Journal of Managed Care &amp; Specialty Pharmacy","DOI":"10.18553/jmcp.2017.23.10.1010","ISSN":"2376-0540, 2376-1032","issue":"10","journalAbbreviation":"JMCP","language":"en","page":"1010-1015","source":"DOI.org (Crossref)","title":"Using Performance-Based Risk-Sharing Arrangements to Address Uncertainty in Indication-Based Pricing","volume":"23","author":[{"family":"Yeung","given":"Kai"},{"family":"Li","given":"Meng"},{"family":"Carlson","given":"Josh J."}],"issued":{"date-parts":[["2017",10]]}}}],"schema":"https://github.com/citation-style-language/schema/raw/master/csl-citation.json"}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[51]</w:t>
            </w:r>
            <w:r w:rsidR="00B751AE">
              <w:rPr>
                <w:rFonts w:ascii="Times New Roman" w:hAnsi="Times New Roman" w:cs="Times New Roman"/>
                <w:sz w:val="18"/>
                <w:szCs w:val="18"/>
              </w:rPr>
              <w:fldChar w:fldCharType="end"/>
            </w:r>
          </w:p>
        </w:tc>
        <w:tc>
          <w:tcPr>
            <w:tcW w:w="988" w:type="dxa"/>
            <w:noWrap/>
            <w:hideMark/>
          </w:tcPr>
          <w:p w14:paraId="3BB88D6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2017</w:t>
            </w:r>
          </w:p>
        </w:tc>
        <w:tc>
          <w:tcPr>
            <w:tcW w:w="2020" w:type="dxa"/>
            <w:noWrap/>
            <w:hideMark/>
          </w:tcPr>
          <w:p w14:paraId="3216639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1FF6A1C5"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53A8D237"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Journal of managed care &amp; specialty pharmacy</w:t>
            </w:r>
          </w:p>
        </w:tc>
      </w:tr>
      <w:tr w:rsidR="00A77862" w:rsidRPr="00E8605F" w14:paraId="4E7A7C65" w14:textId="77777777" w:rsidTr="00A77862">
        <w:trPr>
          <w:trHeight w:val="310"/>
        </w:trPr>
        <w:tc>
          <w:tcPr>
            <w:tcW w:w="2180" w:type="dxa"/>
            <w:noWrap/>
            <w:hideMark/>
          </w:tcPr>
          <w:p w14:paraId="14522167" w14:textId="7E1ACAC2"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Takami</w:t>
            </w:r>
            <w:proofErr w:type="spellEnd"/>
            <w:r w:rsidRPr="00E8605F">
              <w:rPr>
                <w:rFonts w:ascii="Times New Roman" w:hAnsi="Times New Roman" w:cs="Times New Roman"/>
                <w:sz w:val="18"/>
                <w:szCs w:val="18"/>
              </w:rPr>
              <w:t xml:space="preserve"> et al.</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{"citationID":"afOdkc63","properties":{"formattedCitation":"[52]","plainCitation":"[52]","noteIndex":0},"citationItems":[{"id":3605,"uris":["http://zotero.org/groups/5115136/items/6ANPPQ8Y"],"itemData":{"id":3605,"type":"article-journal","container-title":"Expert Review of Pharmacoeconomics &amp; Outcomes Research","DOI":"10.1080/14737167.2023.2223984","ISSN":"1473-7167, 1744-8379","issue":"7","journalAbbreviation":"Expert Review of Pharmacoeconomics &amp; Outcomes Research","language":"en","page":"749-759","source":"DOI.org (Crossref)","title":"Value elements and methods of value-based pricing for drugs in Japan: a systematic review","title-short":"Value elements and methods of value-based pricing for drugs in Japan","volume":"23","author":[{"family":"Takami","given":"Akina"},{"family":"Kato","given":"Masafumi"},{"family":"Deguchi","given":"Hisato"},{"family":"Igarashi","given":"Ataru"}],"issued":{"date-parts":[["2023",8,9]]}}}],"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[52]</w:t>
            </w:r>
            <w:r w:rsidR="00B751AE">
              <w:rPr>
                <w:rFonts w:ascii="Times New Roman" w:hAnsi="Times New Roman" w:cs="Times New Roman"/>
                <w:sz w:val="18"/>
                <w:szCs w:val="18"/>
              </w:rPr>
              <w:fldChar w:fldCharType="end"/>
            </w:r>
          </w:p>
        </w:tc>
        <w:tc>
          <w:tcPr>
            <w:tcW w:w="988" w:type="dxa"/>
            <w:noWrap/>
            <w:hideMark/>
          </w:tcPr>
          <w:p w14:paraId="2DD82E0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2023</w:t>
            </w:r>
          </w:p>
        </w:tc>
        <w:tc>
          <w:tcPr>
            <w:tcW w:w="2020" w:type="dxa"/>
            <w:noWrap/>
            <w:hideMark/>
          </w:tcPr>
          <w:p w14:paraId="596BAD6B"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Japan</w:t>
            </w:r>
          </w:p>
        </w:tc>
        <w:tc>
          <w:tcPr>
            <w:tcW w:w="3015" w:type="dxa"/>
            <w:noWrap/>
            <w:hideMark/>
          </w:tcPr>
          <w:p w14:paraId="12E8D60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Review article</w:t>
            </w:r>
          </w:p>
        </w:tc>
        <w:tc>
          <w:tcPr>
            <w:tcW w:w="8480" w:type="dxa"/>
            <w:noWrap/>
            <w:hideMark/>
          </w:tcPr>
          <w:p w14:paraId="0966F966"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 xml:space="preserve">Expert review of </w:t>
            </w:r>
            <w:proofErr w:type="spellStart"/>
            <w:r w:rsidRPr="00E8605F">
              <w:rPr>
                <w:rFonts w:ascii="Times New Roman" w:hAnsi="Times New Roman" w:cs="Times New Roman"/>
                <w:sz w:val="18"/>
                <w:szCs w:val="18"/>
              </w:rPr>
              <w:t>pharmacoeconomics</w:t>
            </w:r>
            <w:proofErr w:type="spellEnd"/>
            <w:r w:rsidRPr="00E8605F">
              <w:rPr>
                <w:rFonts w:ascii="Times New Roman" w:hAnsi="Times New Roman" w:cs="Times New Roman"/>
                <w:sz w:val="18"/>
                <w:szCs w:val="18"/>
              </w:rPr>
              <w:t xml:space="preserve"> &amp; outcomes research</w:t>
            </w:r>
          </w:p>
        </w:tc>
      </w:tr>
      <w:tr w:rsidR="00A77862" w:rsidRPr="00E8605F" w14:paraId="646F74FF" w14:textId="77777777" w:rsidTr="00A77862">
        <w:trPr>
          <w:trHeight w:val="310"/>
        </w:trPr>
        <w:tc>
          <w:tcPr>
            <w:tcW w:w="2180" w:type="dxa"/>
            <w:noWrap/>
            <w:hideMark/>
          </w:tcPr>
          <w:p w14:paraId="4C030D53" w14:textId="25CFA00E"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Dranitsaris</w:t>
            </w:r>
            <w:proofErr w:type="spellEnd"/>
            <w:r w:rsidRPr="00E8605F">
              <w:rPr>
                <w:rFonts w:ascii="Times New Roman" w:hAnsi="Times New Roman" w:cs="Times New Roman"/>
                <w:sz w:val="18"/>
                <w:szCs w:val="18"/>
              </w:rPr>
              <w:t xml:space="preserve"> et al.</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{"citationID":"Y6mJWUxy","properties":{"formattedCitation":"[53]","plainCitation":"[53]","noteIndex":0},"citationItems":[{"id":3654,"uris":["http://zotero.org/groups/5115136/items/495STTZK"],"itemData":{"id":3654,"type":"article-journal","container-title":"European Journal of Cancer Care","DOI":"10.1111/ecc.12240","ISSN":"09615423","issue":"3","journalAbbreviation":"Eur J Cancer Care (Engl)","language":"en","page":"313-320","source":"DOI.org (Crossref)","title":"What is a new drug worth? An innovative model for performance-based pricing: A new model for performance-based drug pricing","title-short":"What is a new drug worth?","volume":"24","author":[{"family":"Dranitsaris","given":"G."},{"family":"Dorward","given":"K."},{"family":"Owens","given":"R.C."},{"family":"Schipper","given":"H."}],"issued":{"date-parts":[["2015",5]]}}}],"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[53]</w:t>
            </w:r>
            <w:r w:rsidR="00B751AE">
              <w:rPr>
                <w:rFonts w:ascii="Times New Roman" w:hAnsi="Times New Roman" w:cs="Times New Roman"/>
                <w:sz w:val="18"/>
                <w:szCs w:val="18"/>
              </w:rPr>
              <w:fldChar w:fldCharType="end"/>
            </w:r>
          </w:p>
        </w:tc>
        <w:tc>
          <w:tcPr>
            <w:tcW w:w="988" w:type="dxa"/>
            <w:noWrap/>
            <w:hideMark/>
          </w:tcPr>
          <w:p w14:paraId="2C2312C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2015</w:t>
            </w:r>
          </w:p>
        </w:tc>
        <w:tc>
          <w:tcPr>
            <w:tcW w:w="2020" w:type="dxa"/>
            <w:noWrap/>
            <w:hideMark/>
          </w:tcPr>
          <w:p w14:paraId="589520A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Greece</w:t>
            </w:r>
          </w:p>
        </w:tc>
        <w:tc>
          <w:tcPr>
            <w:tcW w:w="3015" w:type="dxa"/>
            <w:noWrap/>
            <w:hideMark/>
          </w:tcPr>
          <w:p w14:paraId="6C12B33B"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2472D559"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European journal of cancer care</w:t>
            </w:r>
          </w:p>
        </w:tc>
      </w:tr>
      <w:tr w:rsidR="00A77862" w:rsidRPr="00E8605F" w14:paraId="560DBB77" w14:textId="77777777" w:rsidTr="00A77862">
        <w:trPr>
          <w:trHeight w:val="310"/>
        </w:trPr>
        <w:tc>
          <w:tcPr>
            <w:tcW w:w="2180" w:type="dxa"/>
            <w:noWrap/>
            <w:hideMark/>
          </w:tcPr>
          <w:p w14:paraId="22E84749" w14:textId="44433C66"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Saing</w:t>
            </w:r>
            <w:proofErr w:type="spellEnd"/>
            <w:r w:rsidRPr="00E8605F">
              <w:rPr>
                <w:rFonts w:ascii="Times New Roman" w:hAnsi="Times New Roman" w:cs="Times New Roman"/>
                <w:sz w:val="18"/>
                <w:szCs w:val="18"/>
              </w:rPr>
              <w:t xml:space="preserve"> et al.</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{"citationID":"TOUK0DBp","properties":{"formattedCitation":"[54]","plainCitation":"[54]","noteIndex":0},"citationItems":[{"id":3609,"uris":["http://zotero.org/groups/5115136/items/U8KIFUVA"],"itemData":{"id":3609,"type":"article-journal","container-title":"Applied Health Economics and Health Policy","DOI":"10.1007/s40258-019-00470-x","ISSN":"1175-5652, 1179-1896","issue":"4","journalAbbreviation":"Appl Health Econ Health Policy","language":"en","page":"421-431","source":"DOI.org (Crossref)","title":"Why is There Discordance between the Reimbursement of High-Cost ‘Life-Extending’ Pharmaceuticals and Medical Devices? The Funding of Ventricular Assist Devices in Australia","title-short":"Why is There Discordance between the Reimbursement of High-Cost ‘Life-Extending’ Pharmaceuticals and Medical Devices?","volume":"17","author":[{"family":"Saing","given":"Sopany"},{"family":"Van Der Linden","given":"Naomi"},{"family":"Hayward","given":"Christopher"},{"family":"Goodall","given":"Stephen"}],"issued":{"date-parts":[["2019",8]]}}}],"schema":"https://github.com/citation-style-language/schema/raw/master/csl-citation.json"}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[54]</w:t>
            </w:r>
            <w:r w:rsidR="00B751AE">
              <w:rPr>
                <w:rFonts w:ascii="Times New Roman" w:hAnsi="Times New Roman" w:cs="Times New Roman"/>
                <w:sz w:val="18"/>
                <w:szCs w:val="18"/>
              </w:rPr>
              <w:fldChar w:fldCharType="end"/>
            </w:r>
          </w:p>
        </w:tc>
        <w:tc>
          <w:tcPr>
            <w:tcW w:w="988" w:type="dxa"/>
            <w:noWrap/>
            <w:hideMark/>
          </w:tcPr>
          <w:p w14:paraId="44037D8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2019</w:t>
            </w:r>
          </w:p>
        </w:tc>
        <w:tc>
          <w:tcPr>
            <w:tcW w:w="2020" w:type="dxa"/>
            <w:noWrap/>
            <w:hideMark/>
          </w:tcPr>
          <w:p w14:paraId="54F3A53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Australia</w:t>
            </w:r>
          </w:p>
        </w:tc>
        <w:tc>
          <w:tcPr>
            <w:tcW w:w="3015" w:type="dxa"/>
            <w:noWrap/>
            <w:hideMark/>
          </w:tcPr>
          <w:p w14:paraId="221634E1"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Editorials, opinions, or commentaries</w:t>
            </w:r>
          </w:p>
        </w:tc>
        <w:tc>
          <w:tcPr>
            <w:tcW w:w="8480" w:type="dxa"/>
            <w:noWrap/>
            <w:hideMark/>
          </w:tcPr>
          <w:p w14:paraId="48F765EB"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Applied health economics and health policy</w:t>
            </w:r>
          </w:p>
        </w:tc>
      </w:tr>
      <w:tr w:rsidR="00A77862" w:rsidRPr="00E8605F" w14:paraId="69B9519E" w14:textId="77777777" w:rsidTr="00A77862">
        <w:trPr>
          <w:trHeight w:val="310"/>
        </w:trPr>
        <w:tc>
          <w:tcPr>
            <w:tcW w:w="2180" w:type="dxa"/>
            <w:noWrap/>
            <w:hideMark/>
          </w:tcPr>
          <w:p w14:paraId="67DDAEED" w14:textId="29C3AF83"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Giebel</w:t>
            </w:r>
            <w:proofErr w:type="spellEnd"/>
            <w:r w:rsidRPr="00E8605F">
              <w:rPr>
                <w:rFonts w:ascii="Times New Roman" w:hAnsi="Times New Roman" w:cs="Times New Roman"/>
                <w:sz w:val="18"/>
                <w:szCs w:val="18"/>
              </w:rPr>
              <w:t xml:space="preserve"> et al.</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{"citationID":"VFRyz83Q","properties":{"formattedCitation":"[55]","plainCitation":"[55]","noteIndex":0},"citationItems":[{"id":4663,"uris":["http://zotero.org/groups/5115136/items/SRY2NJNQ"],"itemData":{"id":4663,"type":"article-journal","abstract":"Introduction\n              Since 2019 people who have insured in the German statutory health insurance are entitled to use certified apps called the Digitale Gesundheitsanwendungen [Digital Health Applications (DiGAs)]. The prerequisite for this is that an app certified as DiGA and suitable for their diagnosis exists. The DiGA can then either be prescribed by a physician or psychotherapist or requested by the patient from the statutory health insurance fund. Given the novelty of this type of healthcare, the implementation of a DiGA should be closely monitored to identify potential weaknesses and achieve quality improvements. To enable an analysis of the supply of DiGAs step-by-step, we aimed to create the DiGA-Care Path.\n            \n            \n              Methods\n              We conducted three steps to create the DiGA-Care Path. First, a knowledge base was created based on a structured literature research matched with knowledge gathered from the superordinate research project “QuaSiApps” funded by the German Federal Joint Committee. Second, we aimed to create an “ideal-typical” DiGA-Care Path using a flowchart. Third, based on the first path, a final path was developed using the graphical modeling language “Event-Driven Process Chain.”\n            \n            \n              Results\n              The DiGA-Care Path was developed to depict the supply of DiGAs in Germany. The final path is constituted by a “main path” as well as a corresponding “sub-path”. While the “main path” focuses more on the supply environment in which a DiGA is used, the “sub-path” depicts the supply delivered by the DiGA itself. Besides the process itself, the paths include relevant actors to indicate responsibilities for individual process steps.\n            \n            \n              Discussion\n              The DiGA-Care Path helps to analyze the current supply of DiGAs step-by-step. Thereby, each step can be investigated in detail to identify problems and to detect further steps where quality improvements can be enabled. Depending on the perspective, focused either on the supply environment, or the supply delivered by the DiGA itself, the “main path” or the “sub-path” can be used, respectively. Besides the potential of the DiGA-Care Path to improve the current supply of DiGAs, it can help as an orientation for international policymakers or further stakeholders either to develop their own integration of apps into healthcare systems or for international manufacturers to consider entering the German market.","container-title":"Frontiers in Health Services","DOI":"10.3389/frhs.2024.1372522","ISSN":"2813-0146","journalAbbreviation":"Front. Health Serv.","page":"1372522","source":"DOI.org (Crossref)","title":"Integration of digital health applications into the German healthcare system: development of “The DiGA-Care Path”","title-short":"Integration of digital health applications into the German healthcare system","volume":"4","author":[{"family":"Giebel","given":"G. D."},{"family":"Abels","given":"C."},{"family":"Börchers","given":"K."},{"family":"Kampka","given":"B."},{"family":"Neusser","given":"S."},{"family":"Cissarek","given":"H. R."},{"family":"Plescher","given":"F."},{"family":"Wasem","given":"J."},{"family":"Blase","given":"N."}],"issued":{"date-parts":[["2024",3,13]]}}}],"schema":"https://github.com/citation-style-language/schema/raw/master/csl-citation.json"}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[55]</w:t>
            </w:r>
            <w:r w:rsidR="00B751AE">
              <w:rPr>
                <w:rFonts w:ascii="Times New Roman" w:hAnsi="Times New Roman" w:cs="Times New Roman"/>
                <w:sz w:val="18"/>
                <w:szCs w:val="18"/>
              </w:rPr>
              <w:fldChar w:fldCharType="end"/>
            </w:r>
          </w:p>
        </w:tc>
        <w:tc>
          <w:tcPr>
            <w:tcW w:w="988" w:type="dxa"/>
            <w:noWrap/>
            <w:hideMark/>
          </w:tcPr>
          <w:p w14:paraId="3E8CAD1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2024</w:t>
            </w:r>
          </w:p>
        </w:tc>
        <w:tc>
          <w:tcPr>
            <w:tcW w:w="2020" w:type="dxa"/>
            <w:noWrap/>
            <w:hideMark/>
          </w:tcPr>
          <w:p w14:paraId="35DA046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Germany</w:t>
            </w:r>
          </w:p>
        </w:tc>
        <w:tc>
          <w:tcPr>
            <w:tcW w:w="3015" w:type="dxa"/>
            <w:noWrap/>
            <w:hideMark/>
          </w:tcPr>
          <w:p w14:paraId="07E7DF94"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6578E36A"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Frontiers in Health Services</w:t>
            </w:r>
          </w:p>
        </w:tc>
      </w:tr>
      <w:tr w:rsidR="00A77862" w:rsidRPr="00E8605F" w14:paraId="4E9D9A56" w14:textId="77777777" w:rsidTr="00A77862">
        <w:trPr>
          <w:trHeight w:val="310"/>
        </w:trPr>
        <w:tc>
          <w:tcPr>
            <w:tcW w:w="2180" w:type="dxa"/>
            <w:noWrap/>
            <w:hideMark/>
          </w:tcPr>
          <w:p w14:paraId="057CFAC3" w14:textId="53AD195A"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Gensorowsky</w:t>
            </w:r>
            <w:proofErr w:type="spellEnd"/>
            <w:r w:rsidRPr="00E8605F">
              <w:rPr>
                <w:rFonts w:ascii="Times New Roman" w:hAnsi="Times New Roman" w:cs="Times New Roman"/>
                <w:sz w:val="18"/>
                <w:szCs w:val="18"/>
              </w:rPr>
              <w:t xml:space="preserve"> et al.</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{"citationID":"lp3McuZH","properties":{"formattedCitation":"[56]","plainCitation":"[56]","noteIndex":0},"citationItems":[{"id":3645,"uris":["http://zotero.org/groups/5115136/items/HVEWTIAE"],"itemData":{"id":3645,"type":"article-journal","abstract":"Abstract\n            In December 2019, the Digital Health Care Act (“Digitale-Versorgung-Gesetz”) introduced a general entitlement to the provision and reimbursement of digital health applications (DiGA) for insured persons in the German statutory health insurance. As establishing a new digital service area within the solidarity-based insurance system implies several administrative and regulatory challenges, this paper aims to describe the legal framework for DiGA market access and pricing as well as the status quo of the DiGA market. Furthermore, we provide a basic approach to deriving value-based DiGA prices.\n            To become eligible for reimbursement, the Federal Institute for Drugs and Medical Devices evaluates the compliance of a DiGA with general requirements (e.g., safety and data protection) and its positive healthcare effects (i.e., medical benefit or improvements of care structure and processes) in a fast-track process. Manufacturers may provide evidence for the benefits of their DiGA either directly with the application for the fast-track process or generate it during a trial phase that includes temporary reimbursement. After one year of \\]reimbursement, the freely-set manufacturer price is replaced by a price negotiated between the National Association of Statutory Health Insurance Funds and the manufacturer. By February 2022, 30 DiGA had successfully completed the fast-track process. 73% make use of the trial phase and have not yet proven their benefit. Given this dynamic growth of the DiGA market and the low minimum evidence standards, fair pricing remains the central point of contention. The regulatory framework makes the patient-relevant benefits of a DiGA a pricing criterion to be considered in particular. Yet, it does not indicate how the benefits of a DiGA should be translated into a reasonable price. Our evidence-based approach to value-based DiGA pricing approximates the SHI’s willingness to pay by the average cost-effectiveness of one or more established therapy in a field of indication and furthermore considers the positive healthcare effects of a DiGA.\n            The proposed approach can be fitted into DiGA pricing processes under the given regulatory framework and can provide objective guidance for price negotiations. However, it is only one piece of the pricing puzzle, and numerous methodological and procedural issues related to DiGA pricing are still open. Thus, it remains to be seen to what extent DiGA prices will follow the premise of value-based pricing.","container-title":"Cost Effectiveness and Resource Allocation","DOI":"10.1186/s12962-022-00359-y","ISSN":"1478-7547","issue":"1","journalAbbreviation":"Cost Eff Resour Alloc","language":"en","page":"25","source":"DOI.org (Crossref)","title":"Market access and value-based pricing of digital health applications in Germany","volume":"20","author":[{"family":"Gensorowsky","given":"Daniel"},{"family":"Witte","given":"Julian"},{"family":"Batram","given":"Manuel"},{"family":"Greiner","given":"Wolfgang"}],"issued":{"date-parts":[["2022",12]]}}}],"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[56]</w:t>
            </w:r>
            <w:r w:rsidR="00B751AE">
              <w:rPr>
                <w:rFonts w:ascii="Times New Roman" w:hAnsi="Times New Roman" w:cs="Times New Roman"/>
                <w:sz w:val="18"/>
                <w:szCs w:val="18"/>
              </w:rPr>
              <w:fldChar w:fldCharType="end"/>
            </w:r>
          </w:p>
        </w:tc>
        <w:tc>
          <w:tcPr>
            <w:tcW w:w="988" w:type="dxa"/>
            <w:noWrap/>
            <w:hideMark/>
          </w:tcPr>
          <w:p w14:paraId="26ACAE95"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2022</w:t>
            </w:r>
          </w:p>
        </w:tc>
        <w:tc>
          <w:tcPr>
            <w:tcW w:w="2020" w:type="dxa"/>
            <w:noWrap/>
            <w:hideMark/>
          </w:tcPr>
          <w:p w14:paraId="49B25641"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Germany</w:t>
            </w:r>
          </w:p>
        </w:tc>
        <w:tc>
          <w:tcPr>
            <w:tcW w:w="3015" w:type="dxa"/>
            <w:noWrap/>
            <w:hideMark/>
          </w:tcPr>
          <w:p w14:paraId="59A3EA6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0065709B"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Cost Effectiveness and Resource Allocation</w:t>
            </w:r>
          </w:p>
        </w:tc>
      </w:tr>
      <w:tr w:rsidR="00A77862" w:rsidRPr="00E8605F" w14:paraId="69BEC09D" w14:textId="77777777" w:rsidTr="00A77862">
        <w:trPr>
          <w:trHeight w:val="310"/>
        </w:trPr>
        <w:tc>
          <w:tcPr>
            <w:tcW w:w="2180" w:type="dxa"/>
            <w:noWrap/>
            <w:hideMark/>
          </w:tcPr>
          <w:p w14:paraId="0F36BFA5" w14:textId="4385F330"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 xml:space="preserve">Hampson </w:t>
            </w:r>
            <w:r w:rsidR="00B751AE">
              <w:rPr>
                <w:rFonts w:ascii="Times New Roman" w:hAnsi="Times New Roman" w:cs="Times New Roman"/>
                <w:sz w:val="18"/>
                <w:szCs w:val="18"/>
              </w:rPr>
              <w:t xml:space="preserve">and </w:t>
            </w:r>
            <w:proofErr w:type="spellStart"/>
            <w:r w:rsidR="00B751AE">
              <w:rPr>
                <w:rFonts w:ascii="Times New Roman" w:hAnsi="Times New Roman" w:cs="Times New Roman"/>
                <w:sz w:val="18"/>
                <w:szCs w:val="18"/>
              </w:rPr>
              <w:t>Steuten</w:t>
            </w:r>
            <w:proofErr w:type="spellEnd"/>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{"citationID":"eEYM7vWF","properties":{"formattedCitation":"[57]","plainCitation":"[57]","noteIndex":0},"citationItems":[{"id":3578,"uris":["http://zotero.org/groups/5115136/items/LF5MIRH7"],"itemData":{"id":3578,"type":"article-journal","container-title":"Expert Review of Pharmacoeconomics &amp; Outcomes Research","DOI":"10.1080/14737167.2023.2271171","ISSN":"1473-7167, 1744-8379","journalAbbreviation":"Expert Review of Pharmacoeconomics &amp; Outcomes Research","language":"en","page":"1-3","source":"DOI.org (Crossref)","title":"Netflix and pill: is there a role for volume-delinked subscription-style payments beyond antimicrobials?’","title-short":"Netflix and pill","author":[{"family":"Hampson","given":"Grace"},{"family":"Steuten","given":"Lotte"}],"issued":{"date-parts":[["2023",10,13]]}}}],"schema":"https://github.com/citation-style-language/schema/raw/master/csl-citation.json"}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[57]</w:t>
            </w:r>
            <w:r w:rsidR="00B751AE">
              <w:rPr>
                <w:rFonts w:ascii="Times New Roman" w:hAnsi="Times New Roman" w:cs="Times New Roman"/>
                <w:sz w:val="18"/>
                <w:szCs w:val="18"/>
              </w:rPr>
              <w:fldChar w:fldCharType="end"/>
            </w:r>
          </w:p>
        </w:tc>
        <w:tc>
          <w:tcPr>
            <w:tcW w:w="988" w:type="dxa"/>
            <w:noWrap/>
            <w:hideMark/>
          </w:tcPr>
          <w:p w14:paraId="4262DC1B"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2023</w:t>
            </w:r>
          </w:p>
        </w:tc>
        <w:tc>
          <w:tcPr>
            <w:tcW w:w="2020" w:type="dxa"/>
            <w:noWrap/>
            <w:hideMark/>
          </w:tcPr>
          <w:p w14:paraId="65A2D65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UK</w:t>
            </w:r>
          </w:p>
        </w:tc>
        <w:tc>
          <w:tcPr>
            <w:tcW w:w="3015" w:type="dxa"/>
            <w:noWrap/>
            <w:hideMark/>
          </w:tcPr>
          <w:p w14:paraId="3306B6D5"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Editorials, opinions, or commentaries</w:t>
            </w:r>
          </w:p>
        </w:tc>
        <w:tc>
          <w:tcPr>
            <w:tcW w:w="8480" w:type="dxa"/>
            <w:noWrap/>
            <w:hideMark/>
          </w:tcPr>
          <w:p w14:paraId="23A0C55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Expert Review of Pharmacoeconomics &amp; Outcomes Research</w:t>
            </w:r>
          </w:p>
        </w:tc>
      </w:tr>
      <w:tr w:rsidR="00A77862" w:rsidRPr="00E8605F" w14:paraId="02D294AF" w14:textId="77777777" w:rsidTr="00A77862">
        <w:trPr>
          <w:trHeight w:val="310"/>
        </w:trPr>
        <w:tc>
          <w:tcPr>
            <w:tcW w:w="2180" w:type="dxa"/>
            <w:noWrap/>
            <w:hideMark/>
          </w:tcPr>
          <w:p w14:paraId="55F04178" w14:textId="0202E443"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Ferrario</w:t>
            </w:r>
            <w:proofErr w:type="spellEnd"/>
            <w:r w:rsidRPr="00E8605F">
              <w:rPr>
                <w:rFonts w:ascii="Times New Roman" w:hAnsi="Times New Roman" w:cs="Times New Roman"/>
                <w:sz w:val="18"/>
                <w:szCs w:val="18"/>
              </w:rPr>
              <w:t xml:space="preserve"> et al.</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hpHr446o","properties":{"formattedCitation":"[58]","plainCitation":"[58]","noteIndex":0},"citationItems":[{"id":4584,"uris":["http://zotero.org/groups/5115136/items/HZXHSV8R"],"itemData":{"id":4584,"type":"article-journal","container-title":"BMJ","DOI":"10.1136/bmj.l5444","ISSN":"1756-1833","journalAbbreviation":"BMJ","language":"en","page":"l5444","source":"DOI.org (Crossref)","title":"Strategies to achieve fairer prices for generic and biosimilar medicines","author":[{"family":"Ferrario","given":"Alessandra"},{"family":"Dedet","given":"Guillaume"},{"family":"Humbert","given":"Tifenn"},{"family":"Vogler","given":"Sabine"},{"family":"Suleman","given":"Fatima"},{"family":"Pedersen","given":"Hanne Bak"}],"issued":{"date-parts":[["2020",1,13]]}}}],"schema":"https://github.com/citation-style-language/schema/raw/master/csl-citation.json"}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[58]</w:t>
            </w:r>
            <w:r w:rsidR="00B751AE">
              <w:rPr>
                <w:rFonts w:ascii="Times New Roman" w:hAnsi="Times New Roman" w:cs="Times New Roman"/>
                <w:sz w:val="18"/>
                <w:szCs w:val="18"/>
              </w:rPr>
              <w:fldChar w:fldCharType="end"/>
            </w:r>
          </w:p>
        </w:tc>
        <w:tc>
          <w:tcPr>
            <w:tcW w:w="988" w:type="dxa"/>
            <w:noWrap/>
            <w:hideMark/>
          </w:tcPr>
          <w:p w14:paraId="7D0C6AC9"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2020</w:t>
            </w:r>
          </w:p>
        </w:tc>
        <w:tc>
          <w:tcPr>
            <w:tcW w:w="2020" w:type="dxa"/>
            <w:noWrap/>
            <w:hideMark/>
          </w:tcPr>
          <w:p w14:paraId="6069AB3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50D9282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Editorials, opinions, or commentaries</w:t>
            </w:r>
          </w:p>
        </w:tc>
        <w:tc>
          <w:tcPr>
            <w:tcW w:w="8480" w:type="dxa"/>
            <w:noWrap/>
            <w:hideMark/>
          </w:tcPr>
          <w:p w14:paraId="35E73B16"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BMJ</w:t>
            </w:r>
          </w:p>
        </w:tc>
      </w:tr>
      <w:tr w:rsidR="00A77862" w:rsidRPr="00E8605F" w14:paraId="18544EFD" w14:textId="77777777" w:rsidTr="00A77862">
        <w:trPr>
          <w:trHeight w:val="310"/>
        </w:trPr>
        <w:tc>
          <w:tcPr>
            <w:tcW w:w="2180" w:type="dxa"/>
            <w:noWrap/>
            <w:hideMark/>
          </w:tcPr>
          <w:p w14:paraId="639EC14F" w14:textId="73E5744B"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Zhang et al.</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{"citationID":"yFPqCFor","properties":{"formattedCitation":"[59]","plainCitation":"[59]","noteIndex":0},"citationItems":[{"id":3568,"uris":["http://zotero.org/groups/5115136/items/DUHZI4LH"],"itemData":{"id":3568,"type":"article-journal","abstract":"Price–volume agreements are commonly negotiated between drug manufacturers and third‐party payers for drugs. In one form a drug manufacturer pays a rebate to the payer on a portion of sales in excess of a specified threshold. We examine the optimal design of such an agreement under complete and asymmetric information about demand. We consider two types of uncertainty: information asymmetry, defined as the payer's uncertainty about mean demand; and market uncertainty, defined as both parties' uncertainty about true demand. We investigate the optimal contract design in the presence of asymmetric information. We find that an incentive compatible contract always exists; that the optimal price is decreasing in expected market size, while the rebate may be increasing or decreasing in expected market size; that the optimal contract for a manufacturer with the highest possible demand would include no rebate; and, in a special case, if the average reservation profit is non‐decreasing in expected market size, then the optimal contract includes no rebates for all manufacturers. Our analysis suggests that price–volume agreements with a rebate rate of 100% are not likely to be optimal if payers have the ability to negotiate prices as part of the agreement.","container-title":"Production and Operations Management","DOI":"10.1111/j.1937-5956.2011.01219.x","ISSN":"1059-1478, 1937-5956","issue":"3","journalAbbreviation":"Production and Operations Management","language":"en","page":"334-346","source":"DOI.org (Crossref)","title":"Optimal Design of a Pharmaceutical Price–Volume Agreement Under Asymmetric Information About Expected Market Size","volume":"20","author":[{"family":"Zhang","given":"Hui"},{"family":"Zaric","given":"Gregory S."},{"family":"Huang","given":"Tao"}],"issued":{"date-parts":[["2011",5]]}}}],"schema":"https://github.com/citation-style-language/schema/raw/master/csl-citation.json"}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[59]</w:t>
            </w:r>
            <w:r w:rsidR="00B751AE">
              <w:rPr>
                <w:rFonts w:ascii="Times New Roman" w:hAnsi="Times New Roman" w:cs="Times New Roman"/>
                <w:sz w:val="18"/>
                <w:szCs w:val="18"/>
              </w:rPr>
              <w:fldChar w:fldCharType="end"/>
            </w:r>
          </w:p>
        </w:tc>
        <w:tc>
          <w:tcPr>
            <w:tcW w:w="988" w:type="dxa"/>
            <w:noWrap/>
            <w:hideMark/>
          </w:tcPr>
          <w:p w14:paraId="5C6AD555"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2011</w:t>
            </w:r>
          </w:p>
        </w:tc>
        <w:tc>
          <w:tcPr>
            <w:tcW w:w="2020" w:type="dxa"/>
            <w:noWrap/>
            <w:hideMark/>
          </w:tcPr>
          <w:p w14:paraId="0987025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Canada</w:t>
            </w:r>
          </w:p>
        </w:tc>
        <w:tc>
          <w:tcPr>
            <w:tcW w:w="3015" w:type="dxa"/>
            <w:noWrap/>
            <w:hideMark/>
          </w:tcPr>
          <w:p w14:paraId="1B724D27"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0B06A0D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Production and Operations Management</w:t>
            </w:r>
          </w:p>
        </w:tc>
      </w:tr>
      <w:tr w:rsidR="00A77862" w:rsidRPr="00E8605F" w14:paraId="42EDF507" w14:textId="77777777" w:rsidTr="00A77862">
        <w:trPr>
          <w:trHeight w:val="310"/>
        </w:trPr>
        <w:tc>
          <w:tcPr>
            <w:tcW w:w="2180" w:type="dxa"/>
            <w:noWrap/>
            <w:hideMark/>
          </w:tcPr>
          <w:p w14:paraId="75670A50" w14:textId="04CF5461"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Goldman</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{"citationID":"4QeJWYbq","properties":{"formattedCitation":"[60]","plainCitation":"[60]","noteIndex":0},"citationItems":[{"id":4649,"uris":["http://zotero.org/groups/5115136/items/ZII84MY5"],"itemData":{"id":4649,"type":"document","title":"A New Model for Pricing Drugs of Uncertain Efficacy","URL":"https://catalyst.nejm.org/three-part-pricing-drug-model/","author":[{"family":"Goldman","given":"Dana P."}],"issued":{"date-parts":[["2018"]]}}}],"schema":"https://github.com/citation-style-language/schema/raw/master/csl-citation.json"}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[60]</w:t>
            </w:r>
            <w:r w:rsidR="00B751AE">
              <w:rPr>
                <w:rFonts w:ascii="Times New Roman" w:hAnsi="Times New Roman" w:cs="Times New Roman"/>
                <w:sz w:val="18"/>
                <w:szCs w:val="18"/>
              </w:rPr>
              <w:fldChar w:fldCharType="end"/>
            </w:r>
          </w:p>
        </w:tc>
        <w:tc>
          <w:tcPr>
            <w:tcW w:w="988" w:type="dxa"/>
            <w:noWrap/>
            <w:hideMark/>
          </w:tcPr>
          <w:p w14:paraId="0D038711"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2018</w:t>
            </w:r>
          </w:p>
        </w:tc>
        <w:tc>
          <w:tcPr>
            <w:tcW w:w="2020" w:type="dxa"/>
            <w:noWrap/>
            <w:hideMark/>
          </w:tcPr>
          <w:p w14:paraId="5B614F25"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USA</w:t>
            </w:r>
          </w:p>
        </w:tc>
        <w:tc>
          <w:tcPr>
            <w:tcW w:w="3015" w:type="dxa"/>
            <w:noWrap/>
            <w:hideMark/>
          </w:tcPr>
          <w:p w14:paraId="3F263295"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376F467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NEJM Catalyst</w:t>
            </w:r>
          </w:p>
        </w:tc>
      </w:tr>
      <w:tr w:rsidR="00A77862" w:rsidRPr="00E8605F" w14:paraId="59E3DCBE" w14:textId="77777777" w:rsidTr="00A77862">
        <w:trPr>
          <w:trHeight w:val="310"/>
        </w:trPr>
        <w:tc>
          <w:tcPr>
            <w:tcW w:w="2180" w:type="dxa"/>
            <w:noWrap/>
            <w:hideMark/>
          </w:tcPr>
          <w:p w14:paraId="3DDDEC2E" w14:textId="62073682"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Rachet-Jacquet</w:t>
            </w:r>
            <w:proofErr w:type="spellEnd"/>
            <w:r w:rsidRPr="00E8605F">
              <w:rPr>
                <w:rFonts w:ascii="Times New Roman" w:hAnsi="Times New Roman" w:cs="Times New Roman"/>
                <w:sz w:val="18"/>
                <w:szCs w:val="18"/>
              </w:rPr>
              <w:t xml:space="preserve"> et al.</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{"citationID":"jJHvEoJp","properties":{"formattedCitation":"[61]","plainCitation":"[61]","noteIndex":0},"citationItems":[{"id":4508,"uris":["http://zotero.org/groups/5115136/items/V4MN7ANC"],"itemData":{"id":4508,"type":"article-journal","container-title":"Health Policy","DOI":"10.1016/j.healthpol.2021.04.012","ISSN":"01688510","issue":"7","journalAbbreviation":"Health Policy","language":"en","page":"923-929","source":"DOI.org (Crossref)","title":"Hospital payment schemes and high-priced drugs: Evidence from the French Add-on List","title-short":"Hospital payment schemes and high-priced drugs","volume":"125","author":[{"family":"Rachet-Jacquet","given":"Laurie"},{"family":"Toulemon","given":"Léa"},{"family":"Rochaix","given":"Lise"}],"issued":{"date-parts":[["2021",7]]}}}],"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[61]</w:t>
            </w:r>
            <w:r w:rsidR="00B751AE">
              <w:rPr>
                <w:rFonts w:ascii="Times New Roman" w:hAnsi="Times New Roman" w:cs="Times New Roman"/>
                <w:sz w:val="18"/>
                <w:szCs w:val="18"/>
              </w:rPr>
              <w:fldChar w:fldCharType="end"/>
            </w:r>
          </w:p>
        </w:tc>
        <w:tc>
          <w:tcPr>
            <w:tcW w:w="988" w:type="dxa"/>
            <w:noWrap/>
            <w:hideMark/>
          </w:tcPr>
          <w:p w14:paraId="05BA640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2021</w:t>
            </w:r>
          </w:p>
        </w:tc>
        <w:tc>
          <w:tcPr>
            <w:tcW w:w="2020" w:type="dxa"/>
            <w:noWrap/>
            <w:hideMark/>
          </w:tcPr>
          <w:p w14:paraId="5A9B0BD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UK</w:t>
            </w:r>
          </w:p>
        </w:tc>
        <w:tc>
          <w:tcPr>
            <w:tcW w:w="3015" w:type="dxa"/>
            <w:noWrap/>
            <w:hideMark/>
          </w:tcPr>
          <w:p w14:paraId="09215D7F"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600C7B5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Health Policy</w:t>
            </w:r>
          </w:p>
        </w:tc>
      </w:tr>
      <w:tr w:rsidR="00A77862" w:rsidRPr="00E8605F" w14:paraId="2FD17E90" w14:textId="77777777" w:rsidTr="00A77862">
        <w:trPr>
          <w:trHeight w:val="310"/>
        </w:trPr>
        <w:tc>
          <w:tcPr>
            <w:tcW w:w="2180" w:type="dxa"/>
            <w:noWrap/>
            <w:hideMark/>
          </w:tcPr>
          <w:p w14:paraId="15984AB4" w14:textId="10A853D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Abdallah et al.</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{"citationID":"thwPZQWO","properties":{"formattedCitation":"[62]","plainCitation":"[62]","noteIndex":0},"citationItems":[{"id":4575,"uris":["http://zotero.org/groups/5115136/items/EMVD3FZJ"],"itemData":{"id":4575,"type":"article-journal","abstract":"Abstract\n            \n              Background\n              Although some jurisdictions have implemented particular adjustments to accommodate often-expensive orphan drugs in their healthcare systems, availability of these drugs remains complex. This study investigates alternative financing models and early access schemes for orphan drugs in the context of the Belgian healthcare system.\n            \n            \n              Methods\n              Three focus group discussions were held with a panel of eleven experts from the Belgian Drug Reimbursement Committee, the Colleges for Orphan Drugs, the pharmaceutical industry, physicians, ethicists and pharmacists. Retrieved data were pseudonymised, analysed and coded according to the Qualitative Analysis Guide of Leuven.\n            \n            \n              Results\n              Experts disfavoured the insulated fund as well as private insurance for financing orphan drugs, as, respectively, isolation of a separate budget and a mostly profit-driven mechanism would contradict the Belgian fundamental principle of solidarity. Moreover, an insulated fund could, albeit on a smaller scale, reproduce the same budgetary constraints as the general reimbursement system. As the Special Solidarity Fund is intended for urgent care and exclusively accommodates financial needs subject to eligibility criteria, its design would not allow general financing of orphan drugs. Overall, implementation of an alternative financing model was not endorsed, instead, improving the current reimbursement system was preferred. Suggestions mentioned were; increased collaboration and transparency, robust and quality real-world evidence but also digitalization of data. Alleviating administrative burden and simplifying the admission process of compassionate use program, medical need program and early treatment reimbursement should be prioritized to facilitate early access. Furthermore, a legal framework for off-label use could stimulate proper implementation. Efforts on collaboration of expertise centres and coordination of orphan drug databases across Europe could foster a robust data network to support orphan drug availability in individual countries.\n            \n            \n              Conclusions\n              This research reveals that reassessing current financing models and early access schemes by eliminating inadequacies, may be more conducive than establishing alternative systems to increase availability of orphan drugs in Belgium. Other jurisdictions may rely on this information to review their own models of early access and financing to cultivate a more sustainable delivery of orphan drugs.","container-title":"Orphanet Journal of Rare Diseases","DOI":"10.1186/s13023-022-02571-8","ISSN":"1750-1172","issue":"1","journalAbbreviation":"Orphanet J Rare Dis","language":"en","page":"429","source":"DOI.org (Crossref)","title":"Exploring alternative financing models and early access schemes for orphan drugs: a Belgian case study","title-short":"Exploring alternative financing models and early access schemes for orphan drugs","volume":"17","author":[{"family":"Abdallah","given":"Khadidja"},{"family":"Claes","given":"Kathleen"},{"family":"Huys","given":"Isabelle"},{"family":"Follon","given":"Lennert"},{"family":"Calis","given":"Charlotte"},{"family":"Simoens","given":"Steven"}],"issued":{"date-parts":[["2022",12,9]]}}}],"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[62]</w:t>
            </w:r>
            <w:r w:rsidR="00B751AE">
              <w:rPr>
                <w:rFonts w:ascii="Times New Roman" w:hAnsi="Times New Roman" w:cs="Times New Roman"/>
                <w:sz w:val="18"/>
                <w:szCs w:val="18"/>
              </w:rPr>
              <w:fldChar w:fldCharType="end"/>
            </w:r>
          </w:p>
        </w:tc>
        <w:tc>
          <w:tcPr>
            <w:tcW w:w="988" w:type="dxa"/>
            <w:noWrap/>
            <w:hideMark/>
          </w:tcPr>
          <w:p w14:paraId="0E76A187"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2022</w:t>
            </w:r>
          </w:p>
        </w:tc>
        <w:tc>
          <w:tcPr>
            <w:tcW w:w="2020" w:type="dxa"/>
            <w:noWrap/>
            <w:hideMark/>
          </w:tcPr>
          <w:p w14:paraId="781F6C1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Belgium</w:t>
            </w:r>
          </w:p>
        </w:tc>
        <w:tc>
          <w:tcPr>
            <w:tcW w:w="3015" w:type="dxa"/>
            <w:noWrap/>
            <w:hideMark/>
          </w:tcPr>
          <w:p w14:paraId="68839DF4"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Original article</w:t>
            </w:r>
          </w:p>
        </w:tc>
        <w:tc>
          <w:tcPr>
            <w:tcW w:w="8480" w:type="dxa"/>
            <w:noWrap/>
            <w:hideMark/>
          </w:tcPr>
          <w:p w14:paraId="1C4F7894" w14:textId="77777777"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Orphanet</w:t>
            </w:r>
            <w:proofErr w:type="spellEnd"/>
            <w:r w:rsidRPr="00E8605F">
              <w:rPr>
                <w:rFonts w:ascii="Times New Roman" w:hAnsi="Times New Roman" w:cs="Times New Roman"/>
                <w:sz w:val="18"/>
                <w:szCs w:val="18"/>
              </w:rPr>
              <w:t xml:space="preserve"> Journal of Rare Diseases</w:t>
            </w:r>
          </w:p>
        </w:tc>
      </w:tr>
      <w:tr w:rsidR="00A77862" w:rsidRPr="00E8605F" w14:paraId="11C18A45" w14:textId="77777777" w:rsidTr="00A77862">
        <w:trPr>
          <w:trHeight w:val="310"/>
        </w:trPr>
        <w:tc>
          <w:tcPr>
            <w:tcW w:w="2180" w:type="dxa"/>
            <w:noWrap/>
            <w:hideMark/>
          </w:tcPr>
          <w:p w14:paraId="12F12804" w14:textId="2ED2232D" w:rsidR="00A77862" w:rsidRPr="00E8605F" w:rsidRDefault="00A77862">
            <w:pPr>
              <w:rPr>
                <w:rFonts w:ascii="Times New Roman" w:hAnsi="Times New Roman" w:cs="Times New Roman"/>
                <w:sz w:val="18"/>
                <w:szCs w:val="18"/>
              </w:rPr>
            </w:pPr>
            <w:proofErr w:type="spellStart"/>
            <w:r w:rsidRPr="00E8605F">
              <w:rPr>
                <w:rFonts w:ascii="Times New Roman" w:hAnsi="Times New Roman" w:cs="Times New Roman"/>
                <w:sz w:val="18"/>
                <w:szCs w:val="18"/>
              </w:rPr>
              <w:t>Armeni</w:t>
            </w:r>
            <w:proofErr w:type="spellEnd"/>
            <w:r w:rsidRPr="00E8605F">
              <w:rPr>
                <w:rFonts w:ascii="Times New Roman" w:hAnsi="Times New Roman" w:cs="Times New Roman"/>
                <w:sz w:val="18"/>
                <w:szCs w:val="18"/>
              </w:rPr>
              <w:t xml:space="preserve"> et al.</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{"citationID":"E50yQwQI","properties":{"formattedCitation":"[63]","plainCitation":"[63]","noteIndex":0},"citationItems":[{"id":4667,"uris":["http://zotero.org/groups/5115136/items/ASIYL8AJ"],"itemData":{"id":4667,"type":"report","language":"Italian","title":"Il futuro dei MEA per le terapie avanzate: Il caso Zolgensma","author":[{"family":"Armeni","given":"Patrizio"},{"family":"Costa","given":"Francesco"},{"family":"Milano","given":"Carlo"},{"family":"Segantin","given":"Gaia"},{"family":"Costanzo","given":"M.A."},{"family":"Di Turi","given":"R."},{"family":"Esposito","given":"A."},{"family":"Langfelder","given":"R.M.B."},{"family":"Margiotta","given":"G."},{"family":"Mignone","given":"D."},{"family":"Morabito","given":"M.C."},{"family":"Noto","given":"F."},{"family":"Pasquariello","given":"A."},{"family":"Pezzolla","given":"A."},{"family":"Trama","given":"U."}],"issued":{"date-parts":[["2023"]]}}}],"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[63]</w:t>
            </w:r>
            <w:r w:rsidR="00B751AE">
              <w:rPr>
                <w:rFonts w:ascii="Times New Roman" w:hAnsi="Times New Roman" w:cs="Times New Roman"/>
                <w:sz w:val="18"/>
                <w:szCs w:val="18"/>
              </w:rPr>
              <w:fldChar w:fldCharType="end"/>
            </w:r>
          </w:p>
        </w:tc>
        <w:tc>
          <w:tcPr>
            <w:tcW w:w="988" w:type="dxa"/>
            <w:noWrap/>
            <w:hideMark/>
          </w:tcPr>
          <w:p w14:paraId="4898E2CA"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2023</w:t>
            </w:r>
          </w:p>
        </w:tc>
        <w:tc>
          <w:tcPr>
            <w:tcW w:w="2020" w:type="dxa"/>
            <w:noWrap/>
            <w:hideMark/>
          </w:tcPr>
          <w:p w14:paraId="2C414836"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NA</w:t>
            </w:r>
          </w:p>
        </w:tc>
        <w:tc>
          <w:tcPr>
            <w:tcW w:w="3015" w:type="dxa"/>
            <w:noWrap/>
            <w:hideMark/>
          </w:tcPr>
          <w:p w14:paraId="5F7BF78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Grey literature</w:t>
            </w:r>
          </w:p>
        </w:tc>
        <w:tc>
          <w:tcPr>
            <w:tcW w:w="8480" w:type="dxa"/>
            <w:noWrap/>
            <w:hideMark/>
          </w:tcPr>
          <w:p w14:paraId="31D349C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w:t>
            </w:r>
          </w:p>
        </w:tc>
      </w:tr>
      <w:tr w:rsidR="00A77862" w:rsidRPr="00E8605F" w14:paraId="18DBDCAB" w14:textId="77777777" w:rsidTr="00A77862">
        <w:trPr>
          <w:trHeight w:val="310"/>
        </w:trPr>
        <w:tc>
          <w:tcPr>
            <w:tcW w:w="2180" w:type="dxa"/>
            <w:noWrap/>
            <w:hideMark/>
          </w:tcPr>
          <w:p w14:paraId="48E23708" w14:textId="59B689D0"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EFPIA</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{"citationID":"u63Cpplz","properties":{"formattedCitation":"[64]","plainCitation":"[64]","noteIndex":0},"citationItems":[{"id":4548,"uris":["http://zotero.org/groups/5115136/items/AB2ACRYY"],"itemData":{"id":4548,"type":"document","title":"Novel Pricing and Payment Models: New solutions to improve patient access","URL":"https://www.efpia.eu/media/554543/novel-pricing-and-payment-models-new-solutions-to-improve-patient-access-300630.pdf","author":[{"family":"EFPIA","given":""}],"issued":{"date-parts":[["2020"]]}}}],"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[64]</w:t>
            </w:r>
            <w:r w:rsidR="00B751AE">
              <w:rPr>
                <w:rFonts w:ascii="Times New Roman" w:hAnsi="Times New Roman" w:cs="Times New Roman"/>
                <w:sz w:val="18"/>
                <w:szCs w:val="18"/>
              </w:rPr>
              <w:fldChar w:fldCharType="end"/>
            </w:r>
          </w:p>
        </w:tc>
        <w:tc>
          <w:tcPr>
            <w:tcW w:w="988" w:type="dxa"/>
            <w:noWrap/>
            <w:hideMark/>
          </w:tcPr>
          <w:p w14:paraId="2966101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2020</w:t>
            </w:r>
          </w:p>
        </w:tc>
        <w:tc>
          <w:tcPr>
            <w:tcW w:w="2020" w:type="dxa"/>
            <w:noWrap/>
            <w:hideMark/>
          </w:tcPr>
          <w:p w14:paraId="4B830DB4"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NA</w:t>
            </w:r>
          </w:p>
        </w:tc>
        <w:tc>
          <w:tcPr>
            <w:tcW w:w="3015" w:type="dxa"/>
            <w:noWrap/>
            <w:hideMark/>
          </w:tcPr>
          <w:p w14:paraId="7DB18EB3"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Grey literature</w:t>
            </w:r>
          </w:p>
        </w:tc>
        <w:tc>
          <w:tcPr>
            <w:tcW w:w="8480" w:type="dxa"/>
            <w:noWrap/>
            <w:hideMark/>
          </w:tcPr>
          <w:p w14:paraId="1FBC60D7"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w:t>
            </w:r>
          </w:p>
        </w:tc>
      </w:tr>
      <w:tr w:rsidR="00A77862" w:rsidRPr="00E8605F" w14:paraId="4D971D29" w14:textId="77777777" w:rsidTr="00A77862">
        <w:trPr>
          <w:trHeight w:val="310"/>
        </w:trPr>
        <w:tc>
          <w:tcPr>
            <w:tcW w:w="2180" w:type="dxa"/>
            <w:noWrap/>
            <w:hideMark/>
          </w:tcPr>
          <w:p w14:paraId="45AD4750" w14:textId="40EB921C"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OECD</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{"citationID":"SFQjAsQb","properties":{"formattedCitation":"[65]","plainCitation":"[65]","noteIndex":0},"citationItems":[{"id":272,"uris":["http://zotero.org/users/9159551/items/FEHEIUX7"],"itemData":{"id":272,"type":"report","genre":"OECD Health Working Papers","language":"en","note":"collection-title: OECD Health Working Papers\nvolume: 115\nDOI: 10.1787/6e5e4c0f-en","number":"115","source":"DOI.org (Crossref)","title":"Performance-based managed entry agreements for new medicines in OECD countries and EU member states: How they work and possible improvements going forward","title-short":"Performance-based managed entry agreements for new medicines in OECD countries and EU member states","URL":"https://www.oecd-ilibrary.org/social-issues-migration-health/performance-based-managed-entry-agreements-for-new-medicines-in-oecd-countries-and-eu-member-states_6e5e4c0f-en","author":[{"family":"OECD","given":""}],"accessed":{"date-parts":[["2023",6,7]]},"issued":{"date-parts":[["2019",12,19]]}}}],"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[65]</w:t>
            </w:r>
            <w:r w:rsidR="00B751AE">
              <w:rPr>
                <w:rFonts w:ascii="Times New Roman" w:hAnsi="Times New Roman" w:cs="Times New Roman"/>
                <w:sz w:val="18"/>
                <w:szCs w:val="18"/>
              </w:rPr>
              <w:fldChar w:fldCharType="end"/>
            </w:r>
          </w:p>
        </w:tc>
        <w:tc>
          <w:tcPr>
            <w:tcW w:w="988" w:type="dxa"/>
            <w:noWrap/>
            <w:hideMark/>
          </w:tcPr>
          <w:p w14:paraId="2395B4EF" w14:textId="20E4BBD9"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w:t>
            </w:r>
            <w:r w:rsidR="00B751AE">
              <w:rPr>
                <w:rFonts w:ascii="Times New Roman" w:hAnsi="Times New Roman" w:cs="Times New Roman"/>
                <w:sz w:val="18"/>
                <w:szCs w:val="18"/>
              </w:rPr>
              <w:t>19</w:t>
            </w:r>
          </w:p>
        </w:tc>
        <w:tc>
          <w:tcPr>
            <w:tcW w:w="2020" w:type="dxa"/>
            <w:noWrap/>
            <w:hideMark/>
          </w:tcPr>
          <w:p w14:paraId="414B0BB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NA</w:t>
            </w:r>
          </w:p>
        </w:tc>
        <w:tc>
          <w:tcPr>
            <w:tcW w:w="3015" w:type="dxa"/>
            <w:noWrap/>
            <w:hideMark/>
          </w:tcPr>
          <w:p w14:paraId="770E467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Grey literature</w:t>
            </w:r>
          </w:p>
        </w:tc>
        <w:tc>
          <w:tcPr>
            <w:tcW w:w="8480" w:type="dxa"/>
            <w:noWrap/>
            <w:hideMark/>
          </w:tcPr>
          <w:p w14:paraId="79B2709D"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w:t>
            </w:r>
          </w:p>
        </w:tc>
      </w:tr>
      <w:tr w:rsidR="00A77862" w:rsidRPr="00E8605F" w14:paraId="635B0A5B" w14:textId="77777777" w:rsidTr="00A77862">
        <w:trPr>
          <w:trHeight w:val="310"/>
        </w:trPr>
        <w:tc>
          <w:tcPr>
            <w:tcW w:w="2180" w:type="dxa"/>
            <w:noWrap/>
            <w:hideMark/>
          </w:tcPr>
          <w:p w14:paraId="39469DEA" w14:textId="2D9B9F56"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EPF</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{"citationID":"qDEVv6QO","properties":{"formattedCitation":"[66]","plainCitation":"[66]","noteIndex":0},"citationItems":[{"id":4583,"uris":["http://zotero.org/groups/5115136/items/KYX8D2LX"],"itemData":{"id":4583,"type":"document","title":"Core Principles from the Patients’ Perspective on the Value and Pricing of Innovative Medicines","URL":"https://www.eu-patient.eu/globalassets/policy/epf_pricing_statement_160616.pdf","author":[{"family":"EPF","given":""}],"issued":{"date-parts":[["2016"]]}}}],"schema":"https://github.com/citation-style-language/schema/raw/master/csl-citation.json"}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[66]</w:t>
            </w:r>
            <w:r w:rsidR="00B751AE">
              <w:rPr>
                <w:rFonts w:ascii="Times New Roman" w:hAnsi="Times New Roman" w:cs="Times New Roman"/>
                <w:sz w:val="18"/>
                <w:szCs w:val="18"/>
              </w:rPr>
              <w:fldChar w:fldCharType="end"/>
            </w:r>
          </w:p>
        </w:tc>
        <w:tc>
          <w:tcPr>
            <w:tcW w:w="988" w:type="dxa"/>
            <w:noWrap/>
            <w:hideMark/>
          </w:tcPr>
          <w:p w14:paraId="6524E2B0"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2016</w:t>
            </w:r>
          </w:p>
        </w:tc>
        <w:tc>
          <w:tcPr>
            <w:tcW w:w="2020" w:type="dxa"/>
            <w:noWrap/>
            <w:hideMark/>
          </w:tcPr>
          <w:p w14:paraId="53195B1E"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NA</w:t>
            </w:r>
          </w:p>
        </w:tc>
        <w:tc>
          <w:tcPr>
            <w:tcW w:w="3015" w:type="dxa"/>
            <w:noWrap/>
            <w:hideMark/>
          </w:tcPr>
          <w:p w14:paraId="0EC97E4B"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Grey literature</w:t>
            </w:r>
          </w:p>
        </w:tc>
        <w:tc>
          <w:tcPr>
            <w:tcW w:w="8480" w:type="dxa"/>
            <w:noWrap/>
            <w:hideMark/>
          </w:tcPr>
          <w:p w14:paraId="62FEC867"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w:t>
            </w:r>
          </w:p>
        </w:tc>
      </w:tr>
      <w:tr w:rsidR="00A77862" w:rsidRPr="00E8605F" w14:paraId="432BAB82" w14:textId="77777777" w:rsidTr="00A77862">
        <w:trPr>
          <w:trHeight w:val="310"/>
        </w:trPr>
        <w:tc>
          <w:tcPr>
            <w:tcW w:w="2180" w:type="dxa"/>
            <w:noWrap/>
            <w:hideMark/>
          </w:tcPr>
          <w:p w14:paraId="36A93753" w14:textId="0C23581D"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OECD</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{"citationID":"ADbZU55q","properties":{"formattedCitation":"[67]","plainCitation":"[67]","noteIndex":0},"citationItems":[{"id":4546,"uris":["http://zotero.org/groups/5115136/items/KU82ZS35"],"itemData":{"id":4546,"type":"report","genre":"OECD Health Working Papers","language":"en","note":"collection-title: OECD Health Working Papers\nvolume: 123\nDOI: 10.1787/4b2e9cb9-en","number":"123","source":"DOI.org (Crossref)","title":"Challenges in access to oncology medicines: Policies and practices across the OECD and the EU","title-short":"Challenges in access to oncology medicines","URL":"https://www.oecd-ilibrary.org/social-issues-migration-health/challenges-in-access-to-oncology-medicines_4b2e9cb9-en","accessed":{"date-parts":[["2024",6,14]]},"issued":{"date-parts":[["2020",11,13]]}}}],"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[67]</w:t>
            </w:r>
            <w:r w:rsidR="00B751AE">
              <w:rPr>
                <w:rFonts w:ascii="Times New Roman" w:hAnsi="Times New Roman" w:cs="Times New Roman"/>
                <w:sz w:val="18"/>
                <w:szCs w:val="18"/>
              </w:rPr>
              <w:fldChar w:fldCharType="end"/>
            </w:r>
          </w:p>
        </w:tc>
        <w:tc>
          <w:tcPr>
            <w:tcW w:w="988" w:type="dxa"/>
            <w:noWrap/>
            <w:hideMark/>
          </w:tcPr>
          <w:p w14:paraId="14BC451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2020</w:t>
            </w:r>
          </w:p>
        </w:tc>
        <w:tc>
          <w:tcPr>
            <w:tcW w:w="2020" w:type="dxa"/>
            <w:noWrap/>
            <w:hideMark/>
          </w:tcPr>
          <w:p w14:paraId="15B275D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NA</w:t>
            </w:r>
          </w:p>
        </w:tc>
        <w:tc>
          <w:tcPr>
            <w:tcW w:w="3015" w:type="dxa"/>
            <w:noWrap/>
            <w:hideMark/>
          </w:tcPr>
          <w:p w14:paraId="7A5EA831"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Grey literature</w:t>
            </w:r>
          </w:p>
        </w:tc>
        <w:tc>
          <w:tcPr>
            <w:tcW w:w="8480" w:type="dxa"/>
            <w:noWrap/>
            <w:hideMark/>
          </w:tcPr>
          <w:p w14:paraId="1C6754C4"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w:t>
            </w:r>
          </w:p>
        </w:tc>
      </w:tr>
      <w:tr w:rsidR="00A77862" w:rsidRPr="00E8605F" w14:paraId="41BD1A61" w14:textId="77777777" w:rsidTr="00A77862">
        <w:trPr>
          <w:trHeight w:val="310"/>
        </w:trPr>
        <w:tc>
          <w:tcPr>
            <w:tcW w:w="2180" w:type="dxa"/>
            <w:noWrap/>
            <w:hideMark/>
          </w:tcPr>
          <w:p w14:paraId="7D5F7EED" w14:textId="190CA002"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Deloitte UK</w:t>
            </w:r>
            <w:r w:rsidR="00B751AE">
              <w:rPr>
                <w:rFonts w:ascii="Times New Roman" w:hAnsi="Times New Roman" w:cs="Times New Roman"/>
                <w:sz w:val="18"/>
                <w:szCs w:val="18"/>
              </w:rPr>
              <w:t xml:space="preserve"> </w:t>
            </w:r>
            <w:r w:rsidR="00B751AE">
              <w:rPr>
                <w:rFonts w:ascii="Times New Roman" w:hAnsi="Times New Roman" w:cs="Times New Roman"/>
                <w:sz w:val="18"/>
                <w:szCs w:val="18"/>
              </w:rPr>
              <w:fldChar w:fldCharType="begin"/>
            </w:r>
            <w:r w:rsidR="00B751AE">
              <w:rPr>
                <w:rFonts w:ascii="Times New Roman" w:hAnsi="Times New Roman" w:cs="Times New Roman"/>
                <w:sz w:val="18"/>
                <w:szCs w:val="18"/>
              </w:rPr>
              <w:instrText xml:space="preserve"> ADDIN ZOTERO_ITEM CSL_CITATION {"citationID":"EAEx7M9w","properties":{"formattedCitation":"[68]","plainCitation":"[68]","noteIndex":0},"citationItems":[{"id":4545,"uris":["http://zotero.org/groups/5115136/items/ZF3CH5I6"],"itemData":{"id":4545,"type":"document","title":"Patient access to innovative medicines in Europe. A collaborative and value based approach","URL":"https://www2.deloitte.com/content/dam/Deloitte/cz/Documents/legal/deloitte-uk-patient-access-to-innovative-medicine-in-europe.pdf","author":[{"family":"Deloitte","given":""}],"issued":{"date-parts":[["2019"]]}}}],"schema":"https://github.com/citation-style-language/schema/raw/master/csl-citation.json"} </w:instrText>
            </w:r>
            <w:r w:rsidR="00B751AE">
              <w:rPr>
                <w:rFonts w:ascii="Times New Roman" w:hAnsi="Times New Roman" w:cs="Times New Roman"/>
                <w:sz w:val="18"/>
                <w:szCs w:val="18"/>
              </w:rPr>
              <w:fldChar w:fldCharType="separate"/>
            </w:r>
            <w:r w:rsidR="00B751AE" w:rsidRPr="00B751AE">
              <w:rPr>
                <w:rFonts w:ascii="Times New Roman" w:hAnsi="Times New Roman" w:cs="Times New Roman"/>
                <w:sz w:val="18"/>
              </w:rPr>
              <w:t>[68]</w:t>
            </w:r>
            <w:r w:rsidR="00B751AE">
              <w:rPr>
                <w:rFonts w:ascii="Times New Roman" w:hAnsi="Times New Roman" w:cs="Times New Roman"/>
                <w:sz w:val="18"/>
                <w:szCs w:val="18"/>
              </w:rPr>
              <w:fldChar w:fldCharType="end"/>
            </w:r>
          </w:p>
        </w:tc>
        <w:tc>
          <w:tcPr>
            <w:tcW w:w="988" w:type="dxa"/>
            <w:noWrap/>
            <w:hideMark/>
          </w:tcPr>
          <w:p w14:paraId="53954F18"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2019</w:t>
            </w:r>
          </w:p>
        </w:tc>
        <w:tc>
          <w:tcPr>
            <w:tcW w:w="2020" w:type="dxa"/>
            <w:noWrap/>
            <w:hideMark/>
          </w:tcPr>
          <w:p w14:paraId="22083572"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NA</w:t>
            </w:r>
          </w:p>
        </w:tc>
        <w:tc>
          <w:tcPr>
            <w:tcW w:w="3015" w:type="dxa"/>
            <w:noWrap/>
            <w:hideMark/>
          </w:tcPr>
          <w:p w14:paraId="2FF71535"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Grey literature</w:t>
            </w:r>
          </w:p>
        </w:tc>
        <w:tc>
          <w:tcPr>
            <w:tcW w:w="8480" w:type="dxa"/>
            <w:noWrap/>
            <w:hideMark/>
          </w:tcPr>
          <w:p w14:paraId="34F54DF9" w14:textId="77777777" w:rsidR="00A77862" w:rsidRPr="00E8605F" w:rsidRDefault="00A77862">
            <w:pPr>
              <w:rPr>
                <w:rFonts w:ascii="Times New Roman" w:hAnsi="Times New Roman" w:cs="Times New Roman"/>
                <w:sz w:val="18"/>
                <w:szCs w:val="18"/>
              </w:rPr>
            </w:pPr>
            <w:r w:rsidRPr="00E8605F">
              <w:rPr>
                <w:rFonts w:ascii="Times New Roman" w:hAnsi="Times New Roman" w:cs="Times New Roman"/>
                <w:sz w:val="18"/>
                <w:szCs w:val="18"/>
              </w:rPr>
              <w:t>-</w:t>
            </w:r>
          </w:p>
        </w:tc>
      </w:tr>
    </w:tbl>
    <w:p w14:paraId="0D9E54C8" w14:textId="27E0F3F2" w:rsidR="0042332B" w:rsidRDefault="0042332B">
      <w:pPr>
        <w:rPr>
          <w:rFonts w:ascii="Times New Roman" w:hAnsi="Times New Roman" w:cs="Times New Roman"/>
        </w:rPr>
      </w:pPr>
      <w:r>
        <w:rPr>
          <w:rFonts w:ascii="Times New Roman" w:hAnsi="Times New Roman" w:cs="Times New Roman"/>
        </w:rPr>
        <w:br w:type="page"/>
      </w:r>
    </w:p>
    <w:p w14:paraId="7BFB5ED5" w14:textId="02072690" w:rsidR="007B070F" w:rsidRDefault="0042332B">
      <w:pPr>
        <w:rPr>
          <w:rFonts w:ascii="Times New Roman" w:hAnsi="Times New Roman" w:cs="Times New Roman"/>
        </w:rPr>
      </w:pPr>
      <w:r>
        <w:rPr>
          <w:rFonts w:ascii="Times New Roman" w:hAnsi="Times New Roman" w:cs="Times New Roman"/>
        </w:rPr>
        <w:t>S</w:t>
      </w:r>
      <w:r w:rsidR="002D0BB2">
        <w:rPr>
          <w:rFonts w:ascii="Times New Roman" w:hAnsi="Times New Roman" w:cs="Times New Roman"/>
        </w:rPr>
        <w:t>4</w:t>
      </w:r>
      <w:r>
        <w:rPr>
          <w:rFonts w:ascii="Times New Roman" w:hAnsi="Times New Roman" w:cs="Times New Roman"/>
        </w:rPr>
        <w:t>. Design and features of the types of pricing and payment scheme</w:t>
      </w:r>
    </w:p>
    <w:tbl>
      <w:tblPr>
        <w:tblStyle w:val="TableGrid"/>
        <w:tblW w:w="13876" w:type="dxa"/>
        <w:tblCellMar>
          <w:left w:w="57" w:type="dxa"/>
          <w:right w:w="57" w:type="dxa"/>
        </w:tblCellMar>
        <w:tblLook w:val="04A0" w:firstRow="1" w:lastRow="0" w:firstColumn="1" w:lastColumn="0" w:noHBand="0" w:noVBand="1"/>
      </w:tblPr>
      <w:tblGrid>
        <w:gridCol w:w="2194"/>
        <w:gridCol w:w="1254"/>
        <w:gridCol w:w="1020"/>
        <w:gridCol w:w="1531"/>
        <w:gridCol w:w="1264"/>
        <w:gridCol w:w="1417"/>
        <w:gridCol w:w="964"/>
        <w:gridCol w:w="1394"/>
        <w:gridCol w:w="1484"/>
        <w:gridCol w:w="1394"/>
      </w:tblGrid>
      <w:tr w:rsidR="0042332B" w:rsidRPr="0042332B" w14:paraId="2104B362" w14:textId="77777777" w:rsidTr="00CF4AA3">
        <w:trPr>
          <w:trHeight w:val="310"/>
          <w:tblHeader/>
        </w:trPr>
        <w:tc>
          <w:tcPr>
            <w:tcW w:w="2154" w:type="dxa"/>
            <w:noWrap/>
            <w:hideMark/>
          </w:tcPr>
          <w:p w14:paraId="31E02899" w14:textId="77777777" w:rsidR="0042332B" w:rsidRPr="0042332B" w:rsidRDefault="0042332B">
            <w:pPr>
              <w:rPr>
                <w:rFonts w:ascii="Times New Roman" w:hAnsi="Times New Roman" w:cs="Times New Roman"/>
                <w:b/>
                <w:bCs/>
                <w:sz w:val="18"/>
                <w:szCs w:val="18"/>
              </w:rPr>
            </w:pPr>
            <w:r w:rsidRPr="0042332B">
              <w:rPr>
                <w:rFonts w:ascii="Times New Roman" w:hAnsi="Times New Roman" w:cs="Times New Roman"/>
                <w:b/>
                <w:bCs/>
                <w:sz w:val="18"/>
                <w:szCs w:val="18"/>
              </w:rPr>
              <w:t>Scheme type</w:t>
            </w:r>
          </w:p>
        </w:tc>
        <w:tc>
          <w:tcPr>
            <w:tcW w:w="1254" w:type="dxa"/>
            <w:noWrap/>
            <w:hideMark/>
          </w:tcPr>
          <w:p w14:paraId="7F82386A" w14:textId="77777777" w:rsidR="0042332B" w:rsidRPr="0042332B" w:rsidRDefault="0042332B">
            <w:pPr>
              <w:rPr>
                <w:rFonts w:ascii="Times New Roman" w:hAnsi="Times New Roman" w:cs="Times New Roman"/>
                <w:b/>
                <w:bCs/>
                <w:sz w:val="18"/>
                <w:szCs w:val="18"/>
              </w:rPr>
            </w:pPr>
            <w:r w:rsidRPr="0042332B">
              <w:rPr>
                <w:rFonts w:ascii="Times New Roman" w:hAnsi="Times New Roman" w:cs="Times New Roman"/>
                <w:b/>
                <w:bCs/>
                <w:sz w:val="18"/>
                <w:szCs w:val="18"/>
              </w:rPr>
              <w:t>Pricing vs. payment</w:t>
            </w:r>
          </w:p>
        </w:tc>
        <w:tc>
          <w:tcPr>
            <w:tcW w:w="1020" w:type="dxa"/>
            <w:noWrap/>
            <w:hideMark/>
          </w:tcPr>
          <w:p w14:paraId="41BB3B9C" w14:textId="77777777" w:rsidR="0042332B" w:rsidRPr="0042332B" w:rsidRDefault="0042332B">
            <w:pPr>
              <w:rPr>
                <w:rFonts w:ascii="Times New Roman" w:hAnsi="Times New Roman" w:cs="Times New Roman"/>
                <w:b/>
                <w:bCs/>
                <w:sz w:val="18"/>
                <w:szCs w:val="18"/>
              </w:rPr>
            </w:pPr>
            <w:r w:rsidRPr="0042332B">
              <w:rPr>
                <w:rFonts w:ascii="Times New Roman" w:hAnsi="Times New Roman" w:cs="Times New Roman"/>
                <w:b/>
                <w:bCs/>
                <w:sz w:val="18"/>
                <w:szCs w:val="18"/>
              </w:rPr>
              <w:t>Theoretical vs. applied</w:t>
            </w:r>
          </w:p>
        </w:tc>
        <w:tc>
          <w:tcPr>
            <w:tcW w:w="1531" w:type="dxa"/>
            <w:noWrap/>
            <w:hideMark/>
          </w:tcPr>
          <w:p w14:paraId="46EAA850" w14:textId="77777777" w:rsidR="0042332B" w:rsidRPr="0042332B" w:rsidRDefault="0042332B">
            <w:pPr>
              <w:rPr>
                <w:rFonts w:ascii="Times New Roman" w:hAnsi="Times New Roman" w:cs="Times New Roman"/>
                <w:b/>
                <w:bCs/>
                <w:sz w:val="18"/>
                <w:szCs w:val="18"/>
              </w:rPr>
            </w:pPr>
            <w:r w:rsidRPr="0042332B">
              <w:rPr>
                <w:rFonts w:ascii="Times New Roman" w:hAnsi="Times New Roman" w:cs="Times New Roman"/>
                <w:b/>
                <w:bCs/>
                <w:sz w:val="18"/>
                <w:szCs w:val="18"/>
              </w:rPr>
              <w:t>Target health technologies</w:t>
            </w:r>
          </w:p>
        </w:tc>
        <w:tc>
          <w:tcPr>
            <w:tcW w:w="1264" w:type="dxa"/>
            <w:noWrap/>
            <w:hideMark/>
          </w:tcPr>
          <w:p w14:paraId="3347DA55" w14:textId="6BCB94C0" w:rsidR="0042332B" w:rsidRPr="0042332B" w:rsidRDefault="0042332B">
            <w:pPr>
              <w:rPr>
                <w:rFonts w:ascii="Times New Roman" w:hAnsi="Times New Roman" w:cs="Times New Roman"/>
                <w:b/>
                <w:bCs/>
                <w:sz w:val="18"/>
                <w:szCs w:val="18"/>
              </w:rPr>
            </w:pPr>
            <w:r w:rsidRPr="0042332B">
              <w:rPr>
                <w:rFonts w:ascii="Times New Roman" w:hAnsi="Times New Roman" w:cs="Times New Roman"/>
                <w:b/>
                <w:bCs/>
                <w:sz w:val="18"/>
                <w:szCs w:val="18"/>
              </w:rPr>
              <w:t>Target t</w:t>
            </w:r>
            <w:r>
              <w:rPr>
                <w:rFonts w:ascii="Times New Roman" w:hAnsi="Times New Roman" w:cs="Times New Roman"/>
                <w:b/>
                <w:bCs/>
                <w:sz w:val="18"/>
                <w:szCs w:val="18"/>
              </w:rPr>
              <w:t>h</w:t>
            </w:r>
            <w:r w:rsidRPr="0042332B">
              <w:rPr>
                <w:rFonts w:ascii="Times New Roman" w:hAnsi="Times New Roman" w:cs="Times New Roman"/>
                <w:b/>
                <w:bCs/>
                <w:sz w:val="18"/>
                <w:szCs w:val="18"/>
              </w:rPr>
              <w:t>erapeutic area</w:t>
            </w:r>
          </w:p>
        </w:tc>
        <w:tc>
          <w:tcPr>
            <w:tcW w:w="1417" w:type="dxa"/>
            <w:noWrap/>
            <w:hideMark/>
          </w:tcPr>
          <w:p w14:paraId="668FBD7A" w14:textId="77777777" w:rsidR="0042332B" w:rsidRPr="0042332B" w:rsidRDefault="0042332B">
            <w:pPr>
              <w:rPr>
                <w:rFonts w:ascii="Times New Roman" w:hAnsi="Times New Roman" w:cs="Times New Roman"/>
                <w:b/>
                <w:bCs/>
                <w:sz w:val="18"/>
                <w:szCs w:val="18"/>
              </w:rPr>
            </w:pPr>
            <w:r w:rsidRPr="0042332B">
              <w:rPr>
                <w:rFonts w:ascii="Times New Roman" w:hAnsi="Times New Roman" w:cs="Times New Roman"/>
                <w:b/>
                <w:bCs/>
                <w:sz w:val="18"/>
                <w:szCs w:val="18"/>
              </w:rPr>
              <w:t>Objectives</w:t>
            </w:r>
          </w:p>
        </w:tc>
        <w:tc>
          <w:tcPr>
            <w:tcW w:w="964" w:type="dxa"/>
            <w:noWrap/>
            <w:hideMark/>
          </w:tcPr>
          <w:p w14:paraId="3364DFEA" w14:textId="128C678A" w:rsidR="0042332B" w:rsidRPr="0042332B" w:rsidRDefault="0042332B">
            <w:pPr>
              <w:rPr>
                <w:rFonts w:ascii="Times New Roman" w:hAnsi="Times New Roman" w:cs="Times New Roman"/>
                <w:b/>
                <w:bCs/>
                <w:sz w:val="18"/>
                <w:szCs w:val="18"/>
              </w:rPr>
            </w:pPr>
            <w:r w:rsidRPr="0042332B">
              <w:rPr>
                <w:rFonts w:ascii="Times New Roman" w:hAnsi="Times New Roman" w:cs="Times New Roman"/>
                <w:b/>
                <w:bCs/>
                <w:sz w:val="18"/>
                <w:szCs w:val="18"/>
              </w:rPr>
              <w:t>Outcome component</w:t>
            </w:r>
          </w:p>
        </w:tc>
        <w:tc>
          <w:tcPr>
            <w:tcW w:w="1394" w:type="dxa"/>
            <w:noWrap/>
            <w:hideMark/>
          </w:tcPr>
          <w:p w14:paraId="3FEEF1BE" w14:textId="77777777" w:rsidR="0042332B" w:rsidRPr="0042332B" w:rsidRDefault="0042332B">
            <w:pPr>
              <w:rPr>
                <w:rFonts w:ascii="Times New Roman" w:hAnsi="Times New Roman" w:cs="Times New Roman"/>
                <w:b/>
                <w:bCs/>
                <w:sz w:val="18"/>
                <w:szCs w:val="18"/>
              </w:rPr>
            </w:pPr>
            <w:r w:rsidRPr="0042332B">
              <w:rPr>
                <w:rFonts w:ascii="Times New Roman" w:hAnsi="Times New Roman" w:cs="Times New Roman"/>
                <w:b/>
                <w:bCs/>
                <w:sz w:val="18"/>
                <w:szCs w:val="18"/>
              </w:rPr>
              <w:t>Perspective</w:t>
            </w:r>
            <w:r w:rsidRPr="0042332B">
              <w:rPr>
                <w:rFonts w:ascii="Times New Roman" w:hAnsi="Times New Roman" w:cs="Times New Roman"/>
                <w:sz w:val="18"/>
                <w:szCs w:val="18"/>
              </w:rPr>
              <w:t xml:space="preserve"> </w:t>
            </w:r>
            <w:r w:rsidRPr="0042332B">
              <w:rPr>
                <w:rFonts w:ascii="Times New Roman" w:hAnsi="Times New Roman" w:cs="Times New Roman"/>
                <w:sz w:val="18"/>
                <w:szCs w:val="18"/>
              </w:rPr>
              <w:br/>
              <w:t>(patient-level, population-level)</w:t>
            </w:r>
          </w:p>
        </w:tc>
        <w:tc>
          <w:tcPr>
            <w:tcW w:w="1484" w:type="dxa"/>
            <w:noWrap/>
            <w:hideMark/>
          </w:tcPr>
          <w:p w14:paraId="4CBCE8C7" w14:textId="77777777" w:rsidR="0042332B" w:rsidRPr="0042332B" w:rsidRDefault="0042332B">
            <w:pPr>
              <w:rPr>
                <w:rFonts w:ascii="Times New Roman" w:hAnsi="Times New Roman" w:cs="Times New Roman"/>
                <w:b/>
                <w:bCs/>
                <w:sz w:val="18"/>
                <w:szCs w:val="18"/>
              </w:rPr>
            </w:pPr>
            <w:r w:rsidRPr="0042332B">
              <w:rPr>
                <w:rFonts w:ascii="Times New Roman" w:hAnsi="Times New Roman" w:cs="Times New Roman"/>
                <w:b/>
                <w:bCs/>
                <w:sz w:val="18"/>
                <w:szCs w:val="18"/>
              </w:rPr>
              <w:t>Timing and modalities of payments</w:t>
            </w:r>
          </w:p>
        </w:tc>
        <w:tc>
          <w:tcPr>
            <w:tcW w:w="1394" w:type="dxa"/>
            <w:noWrap/>
            <w:hideMark/>
          </w:tcPr>
          <w:p w14:paraId="063B0392" w14:textId="77777777" w:rsidR="0042332B" w:rsidRPr="0042332B" w:rsidRDefault="0042332B">
            <w:pPr>
              <w:rPr>
                <w:rFonts w:ascii="Times New Roman" w:hAnsi="Times New Roman" w:cs="Times New Roman"/>
                <w:b/>
                <w:bCs/>
                <w:sz w:val="18"/>
                <w:szCs w:val="18"/>
              </w:rPr>
            </w:pPr>
            <w:r w:rsidRPr="0042332B">
              <w:rPr>
                <w:rFonts w:ascii="Times New Roman" w:hAnsi="Times New Roman" w:cs="Times New Roman"/>
                <w:b/>
                <w:bCs/>
                <w:sz w:val="18"/>
                <w:szCs w:val="18"/>
              </w:rPr>
              <w:t xml:space="preserve">Evidence generation collection </w:t>
            </w:r>
          </w:p>
        </w:tc>
      </w:tr>
      <w:tr w:rsidR="0042332B" w:rsidRPr="0042332B" w14:paraId="0EE270BE" w14:textId="77777777" w:rsidTr="00D6757A">
        <w:trPr>
          <w:trHeight w:val="310"/>
        </w:trPr>
        <w:tc>
          <w:tcPr>
            <w:tcW w:w="2154" w:type="dxa"/>
            <w:noWrap/>
            <w:hideMark/>
          </w:tcPr>
          <w:p w14:paraId="4C628B0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Advance Market Commitment (AMC)</w:t>
            </w:r>
          </w:p>
        </w:tc>
        <w:tc>
          <w:tcPr>
            <w:tcW w:w="1254" w:type="dxa"/>
            <w:noWrap/>
            <w:hideMark/>
          </w:tcPr>
          <w:p w14:paraId="4D309A4D"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7B7D1A08" w14:textId="0C1CF005"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095C9A7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409EC74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 Vaccines</w:t>
            </w:r>
          </w:p>
        </w:tc>
        <w:tc>
          <w:tcPr>
            <w:tcW w:w="1264" w:type="dxa"/>
            <w:noWrap/>
            <w:hideMark/>
          </w:tcPr>
          <w:p w14:paraId="264FFF4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6600423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Provide market incentives;</w:t>
            </w:r>
            <w:r w:rsidRPr="0042332B">
              <w:rPr>
                <w:rFonts w:ascii="Times New Roman" w:hAnsi="Times New Roman" w:cs="Times New Roman"/>
                <w:sz w:val="18"/>
                <w:szCs w:val="18"/>
              </w:rPr>
              <w:br/>
              <w:t>Ensure industry profitability</w:t>
            </w:r>
          </w:p>
        </w:tc>
        <w:tc>
          <w:tcPr>
            <w:tcW w:w="964" w:type="dxa"/>
            <w:noWrap/>
            <w:hideMark/>
          </w:tcPr>
          <w:p w14:paraId="32FA385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44511A9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767594F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17E031C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725BE778" w14:textId="77777777" w:rsidTr="00D6757A">
        <w:trPr>
          <w:trHeight w:val="310"/>
        </w:trPr>
        <w:tc>
          <w:tcPr>
            <w:tcW w:w="2154" w:type="dxa"/>
            <w:noWrap/>
            <w:hideMark/>
          </w:tcPr>
          <w:p w14:paraId="200BED8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Annuity-style payment model</w:t>
            </w:r>
          </w:p>
        </w:tc>
        <w:tc>
          <w:tcPr>
            <w:tcW w:w="1254" w:type="dxa"/>
            <w:noWrap/>
            <w:hideMark/>
          </w:tcPr>
          <w:p w14:paraId="74867EE1"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04A36ED2" w14:textId="5C9C5570"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0CDF128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64D7A82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4059CBF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Gene or genetic diseases</w:t>
            </w:r>
          </w:p>
        </w:tc>
        <w:tc>
          <w:tcPr>
            <w:tcW w:w="1417" w:type="dxa"/>
            <w:noWrap/>
            <w:hideMark/>
          </w:tcPr>
          <w:p w14:paraId="4FF26B4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r w:rsidRPr="0042332B">
              <w:rPr>
                <w:rFonts w:ascii="Times New Roman" w:hAnsi="Times New Roman" w:cs="Times New Roman"/>
                <w:sz w:val="18"/>
                <w:szCs w:val="18"/>
              </w:rPr>
              <w:br/>
              <w:t>Mitigate clinical uncertainty</w:t>
            </w:r>
          </w:p>
        </w:tc>
        <w:tc>
          <w:tcPr>
            <w:tcW w:w="964" w:type="dxa"/>
            <w:noWrap/>
            <w:hideMark/>
          </w:tcPr>
          <w:p w14:paraId="2209F3C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Optional</w:t>
            </w:r>
          </w:p>
        </w:tc>
        <w:tc>
          <w:tcPr>
            <w:tcW w:w="1394" w:type="dxa"/>
            <w:noWrap/>
            <w:hideMark/>
          </w:tcPr>
          <w:p w14:paraId="72DB197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Seems patient-level</w:t>
            </w:r>
          </w:p>
        </w:tc>
        <w:tc>
          <w:tcPr>
            <w:tcW w:w="1484" w:type="dxa"/>
            <w:noWrap/>
            <w:hideMark/>
          </w:tcPr>
          <w:p w14:paraId="5A6C350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Staggered payments: constant or outcome-based; Prospective adjustments</w:t>
            </w:r>
          </w:p>
        </w:tc>
        <w:tc>
          <w:tcPr>
            <w:tcW w:w="1394" w:type="dxa"/>
            <w:noWrap/>
            <w:hideMark/>
          </w:tcPr>
          <w:p w14:paraId="043B4F3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113B313F" w14:textId="77777777" w:rsidTr="00D6757A">
        <w:trPr>
          <w:trHeight w:val="310"/>
        </w:trPr>
        <w:tc>
          <w:tcPr>
            <w:tcW w:w="2154" w:type="dxa"/>
            <w:noWrap/>
            <w:hideMark/>
          </w:tcPr>
          <w:p w14:paraId="4ACBE0A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ATMP Funds</w:t>
            </w:r>
          </w:p>
        </w:tc>
        <w:tc>
          <w:tcPr>
            <w:tcW w:w="1254" w:type="dxa"/>
            <w:noWrap/>
            <w:hideMark/>
          </w:tcPr>
          <w:p w14:paraId="3237D7A6"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0A763C77" w14:textId="66BE6BBB"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74FA53E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4270D6D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7DEF234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ATMPs</w:t>
            </w:r>
          </w:p>
        </w:tc>
        <w:tc>
          <w:tcPr>
            <w:tcW w:w="1417" w:type="dxa"/>
            <w:noWrap/>
            <w:hideMark/>
          </w:tcPr>
          <w:p w14:paraId="5A28B8C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6745727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6E447C8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546AC75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1F6F707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7A4505E3" w14:textId="77777777" w:rsidTr="00D6757A">
        <w:trPr>
          <w:trHeight w:val="310"/>
        </w:trPr>
        <w:tc>
          <w:tcPr>
            <w:tcW w:w="2154" w:type="dxa"/>
            <w:noWrap/>
            <w:hideMark/>
          </w:tcPr>
          <w:p w14:paraId="26DCFC7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Benchmark-based sales-delinked payment model for antibiotics</w:t>
            </w:r>
          </w:p>
        </w:tc>
        <w:tc>
          <w:tcPr>
            <w:tcW w:w="1254" w:type="dxa"/>
            <w:noWrap/>
            <w:hideMark/>
          </w:tcPr>
          <w:p w14:paraId="227CD809"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06CDBB52" w14:textId="2358D8AB"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1D97EFB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68D3F86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 (antibiotics)</w:t>
            </w:r>
          </w:p>
        </w:tc>
        <w:tc>
          <w:tcPr>
            <w:tcW w:w="1264" w:type="dxa"/>
            <w:noWrap/>
            <w:hideMark/>
          </w:tcPr>
          <w:p w14:paraId="26EE493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1E7C624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Provide market incentives;</w:t>
            </w:r>
            <w:r w:rsidRPr="0042332B">
              <w:rPr>
                <w:rFonts w:ascii="Times New Roman" w:hAnsi="Times New Roman" w:cs="Times New Roman"/>
                <w:sz w:val="18"/>
                <w:szCs w:val="18"/>
              </w:rPr>
              <w:br/>
              <w:t>Ensure industry profitability</w:t>
            </w:r>
          </w:p>
        </w:tc>
        <w:tc>
          <w:tcPr>
            <w:tcW w:w="964" w:type="dxa"/>
            <w:noWrap/>
            <w:hideMark/>
          </w:tcPr>
          <w:p w14:paraId="24D2413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Optional</w:t>
            </w:r>
          </w:p>
        </w:tc>
        <w:tc>
          <w:tcPr>
            <w:tcW w:w="1394" w:type="dxa"/>
            <w:noWrap/>
            <w:hideMark/>
          </w:tcPr>
          <w:p w14:paraId="311BA5A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Could be both</w:t>
            </w:r>
          </w:p>
        </w:tc>
        <w:tc>
          <w:tcPr>
            <w:tcW w:w="1484" w:type="dxa"/>
            <w:noWrap/>
            <w:hideMark/>
          </w:tcPr>
          <w:p w14:paraId="0CAEE1F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Staggered payments: outcome-based; Prospective adjustments</w:t>
            </w:r>
          </w:p>
        </w:tc>
        <w:tc>
          <w:tcPr>
            <w:tcW w:w="1394" w:type="dxa"/>
            <w:noWrap/>
            <w:hideMark/>
          </w:tcPr>
          <w:p w14:paraId="2C209D7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0CFFEF10" w14:textId="77777777" w:rsidTr="00D6757A">
        <w:trPr>
          <w:trHeight w:val="310"/>
        </w:trPr>
        <w:tc>
          <w:tcPr>
            <w:tcW w:w="2154" w:type="dxa"/>
            <w:noWrap/>
            <w:hideMark/>
          </w:tcPr>
          <w:p w14:paraId="44FFCFB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Benefit-Based Advance Market Commitment (BBAMC)</w:t>
            </w:r>
          </w:p>
        </w:tc>
        <w:tc>
          <w:tcPr>
            <w:tcW w:w="1254" w:type="dxa"/>
            <w:noWrap/>
            <w:hideMark/>
          </w:tcPr>
          <w:p w14:paraId="24D1BD0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1D4CE1C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297E3FE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Vaccines</w:t>
            </w:r>
          </w:p>
        </w:tc>
        <w:tc>
          <w:tcPr>
            <w:tcW w:w="1264" w:type="dxa"/>
            <w:noWrap/>
            <w:hideMark/>
          </w:tcPr>
          <w:p w14:paraId="6B67162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6CC9B2B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 Provide market incentives</w:t>
            </w:r>
          </w:p>
        </w:tc>
        <w:tc>
          <w:tcPr>
            <w:tcW w:w="964" w:type="dxa"/>
            <w:noWrap/>
            <w:hideMark/>
          </w:tcPr>
          <w:p w14:paraId="10D989D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0488FC7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1649CCB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283ED1B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0C0E5715" w14:textId="77777777" w:rsidTr="00D6757A">
        <w:trPr>
          <w:trHeight w:val="310"/>
        </w:trPr>
        <w:tc>
          <w:tcPr>
            <w:tcW w:w="2154" w:type="dxa"/>
            <w:noWrap/>
            <w:hideMark/>
          </w:tcPr>
          <w:p w14:paraId="5182F84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Bundled pricing/payment</w:t>
            </w:r>
            <w:r w:rsidRPr="0042332B">
              <w:rPr>
                <w:rFonts w:ascii="Times New Roman" w:hAnsi="Times New Roman" w:cs="Times New Roman"/>
                <w:sz w:val="18"/>
                <w:szCs w:val="18"/>
              </w:rPr>
              <w:br/>
              <w:t>(bundling)</w:t>
            </w:r>
          </w:p>
        </w:tc>
        <w:tc>
          <w:tcPr>
            <w:tcW w:w="1254" w:type="dxa"/>
            <w:noWrap/>
            <w:hideMark/>
          </w:tcPr>
          <w:p w14:paraId="71F006DA"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287B8FDD" w14:textId="2A78A8CA"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274AE37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7F05C97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1C0F982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1D4CDE9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2905340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47AAE31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01D5BED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0006483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5DABB970" w14:textId="77777777" w:rsidTr="00D6757A">
        <w:trPr>
          <w:trHeight w:val="310"/>
        </w:trPr>
        <w:tc>
          <w:tcPr>
            <w:tcW w:w="2154" w:type="dxa"/>
            <w:noWrap/>
            <w:hideMark/>
          </w:tcPr>
          <w:p w14:paraId="1D2F81F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Combination of national value-based + regional cost-plus pricing</w:t>
            </w:r>
          </w:p>
        </w:tc>
        <w:tc>
          <w:tcPr>
            <w:tcW w:w="1254" w:type="dxa"/>
            <w:noWrap/>
            <w:hideMark/>
          </w:tcPr>
          <w:p w14:paraId="620CBD02"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42999239" w14:textId="2043BF40"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188B5A5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3516155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2B3DCB5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7CAE20B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3F2B00F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6FD041B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237608B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0238F21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2C4D5347" w14:textId="77777777" w:rsidTr="00D6757A">
        <w:trPr>
          <w:trHeight w:val="310"/>
        </w:trPr>
        <w:tc>
          <w:tcPr>
            <w:tcW w:w="2154" w:type="dxa"/>
            <w:noWrap/>
            <w:hideMark/>
          </w:tcPr>
          <w:p w14:paraId="1FF5E52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Combination-based pricing</w:t>
            </w:r>
          </w:p>
        </w:tc>
        <w:tc>
          <w:tcPr>
            <w:tcW w:w="1254" w:type="dxa"/>
            <w:noWrap/>
            <w:hideMark/>
          </w:tcPr>
          <w:p w14:paraId="3765672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4834314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1552EA9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28FDE05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2E93783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 Ensure industry profitability</w:t>
            </w:r>
          </w:p>
        </w:tc>
        <w:tc>
          <w:tcPr>
            <w:tcW w:w="964" w:type="dxa"/>
            <w:noWrap/>
            <w:hideMark/>
          </w:tcPr>
          <w:p w14:paraId="6A789CD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3024E3E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1247F6E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6DD8AC0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0DB54FB4" w14:textId="77777777" w:rsidTr="00D6757A">
        <w:trPr>
          <w:trHeight w:val="310"/>
        </w:trPr>
        <w:tc>
          <w:tcPr>
            <w:tcW w:w="2154" w:type="dxa"/>
            <w:noWrap/>
            <w:hideMark/>
          </w:tcPr>
          <w:p w14:paraId="2D809BA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Conditional treatment continuation - Patient level</w:t>
            </w:r>
          </w:p>
        </w:tc>
        <w:tc>
          <w:tcPr>
            <w:tcW w:w="1254" w:type="dxa"/>
            <w:noWrap/>
            <w:hideMark/>
          </w:tcPr>
          <w:p w14:paraId="4DEDA79C"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39DFBC0B" w14:textId="1DBBEFDD"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573DC73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780F6A6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0272F0A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0E87FA4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Mitigate clinical uncertainty</w:t>
            </w:r>
          </w:p>
        </w:tc>
        <w:tc>
          <w:tcPr>
            <w:tcW w:w="964" w:type="dxa"/>
            <w:noWrap/>
            <w:hideMark/>
          </w:tcPr>
          <w:p w14:paraId="1199896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Yes</w:t>
            </w:r>
          </w:p>
        </w:tc>
        <w:tc>
          <w:tcPr>
            <w:tcW w:w="1394" w:type="dxa"/>
            <w:noWrap/>
            <w:hideMark/>
          </w:tcPr>
          <w:p w14:paraId="4A391ED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Patient-level</w:t>
            </w:r>
          </w:p>
        </w:tc>
        <w:tc>
          <w:tcPr>
            <w:tcW w:w="1484" w:type="dxa"/>
            <w:noWrap/>
            <w:hideMark/>
          </w:tcPr>
          <w:p w14:paraId="0C600F1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5C2EE28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7424DD96" w14:textId="77777777" w:rsidTr="00D6757A">
        <w:trPr>
          <w:trHeight w:val="310"/>
        </w:trPr>
        <w:tc>
          <w:tcPr>
            <w:tcW w:w="2154" w:type="dxa"/>
            <w:noWrap/>
            <w:hideMark/>
          </w:tcPr>
          <w:p w14:paraId="7FBF6D2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Cost-plus pricing</w:t>
            </w:r>
          </w:p>
        </w:tc>
        <w:tc>
          <w:tcPr>
            <w:tcW w:w="1254" w:type="dxa"/>
            <w:noWrap/>
            <w:hideMark/>
          </w:tcPr>
          <w:p w14:paraId="6DCA626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082EEEE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0B8FDEC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2962170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3319BA1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Ensure industry profitability</w:t>
            </w:r>
          </w:p>
        </w:tc>
        <w:tc>
          <w:tcPr>
            <w:tcW w:w="964" w:type="dxa"/>
            <w:noWrap/>
            <w:hideMark/>
          </w:tcPr>
          <w:p w14:paraId="7D03C7D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1516364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102D446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Single payment; Modality of payments not univocally defined</w:t>
            </w:r>
          </w:p>
        </w:tc>
        <w:tc>
          <w:tcPr>
            <w:tcW w:w="1394" w:type="dxa"/>
            <w:noWrap/>
            <w:hideMark/>
          </w:tcPr>
          <w:p w14:paraId="33A5A12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694341F3" w14:textId="77777777" w:rsidTr="00D6757A">
        <w:trPr>
          <w:trHeight w:val="310"/>
        </w:trPr>
        <w:tc>
          <w:tcPr>
            <w:tcW w:w="2154" w:type="dxa"/>
            <w:noWrap/>
            <w:hideMark/>
          </w:tcPr>
          <w:p w14:paraId="4555C41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Coverage with evidence development (CED)</w:t>
            </w:r>
          </w:p>
        </w:tc>
        <w:tc>
          <w:tcPr>
            <w:tcW w:w="1254" w:type="dxa"/>
            <w:noWrap/>
            <w:hideMark/>
          </w:tcPr>
          <w:p w14:paraId="12FF98D4"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064FB4B1" w14:textId="3143D999"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3AD3AF1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65F0AF1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5D79E5D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2874275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Mitigate clinical uncertainty</w:t>
            </w:r>
          </w:p>
        </w:tc>
        <w:tc>
          <w:tcPr>
            <w:tcW w:w="964" w:type="dxa"/>
            <w:noWrap/>
            <w:hideMark/>
          </w:tcPr>
          <w:p w14:paraId="0B15856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Yes</w:t>
            </w:r>
          </w:p>
        </w:tc>
        <w:tc>
          <w:tcPr>
            <w:tcW w:w="1394" w:type="dxa"/>
            <w:noWrap/>
            <w:hideMark/>
          </w:tcPr>
          <w:p w14:paraId="53AB899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Could be both</w:t>
            </w:r>
          </w:p>
        </w:tc>
        <w:tc>
          <w:tcPr>
            <w:tcW w:w="1484" w:type="dxa"/>
            <w:noWrap/>
            <w:hideMark/>
          </w:tcPr>
          <w:p w14:paraId="76CB845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78A190F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2DDAF5C3" w14:textId="77777777" w:rsidTr="00D6757A">
        <w:trPr>
          <w:trHeight w:val="310"/>
        </w:trPr>
        <w:tc>
          <w:tcPr>
            <w:tcW w:w="2154" w:type="dxa"/>
            <w:noWrap/>
            <w:hideMark/>
          </w:tcPr>
          <w:p w14:paraId="5445E89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Diagnosis Confirmation Model (DCM)</w:t>
            </w:r>
          </w:p>
        </w:tc>
        <w:tc>
          <w:tcPr>
            <w:tcW w:w="1254" w:type="dxa"/>
            <w:noWrap/>
            <w:hideMark/>
          </w:tcPr>
          <w:p w14:paraId="1A623EEC"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18F980A4" w14:textId="7296B31C"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36C8D07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50F3657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 (antibiotics)</w:t>
            </w:r>
          </w:p>
        </w:tc>
        <w:tc>
          <w:tcPr>
            <w:tcW w:w="1264" w:type="dxa"/>
            <w:noWrap/>
            <w:hideMark/>
          </w:tcPr>
          <w:p w14:paraId="24884B1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Infections</w:t>
            </w:r>
          </w:p>
        </w:tc>
        <w:tc>
          <w:tcPr>
            <w:tcW w:w="1417" w:type="dxa"/>
            <w:noWrap/>
            <w:hideMark/>
          </w:tcPr>
          <w:p w14:paraId="1BB5886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Provide market incentives;</w:t>
            </w:r>
            <w:r w:rsidRPr="0042332B">
              <w:rPr>
                <w:rFonts w:ascii="Times New Roman" w:hAnsi="Times New Roman" w:cs="Times New Roman"/>
                <w:sz w:val="18"/>
                <w:szCs w:val="18"/>
              </w:rPr>
              <w:br/>
              <w:t>Ensure industry profitability</w:t>
            </w:r>
          </w:p>
        </w:tc>
        <w:tc>
          <w:tcPr>
            <w:tcW w:w="964" w:type="dxa"/>
            <w:noWrap/>
            <w:hideMark/>
          </w:tcPr>
          <w:p w14:paraId="1E3F73A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Yes</w:t>
            </w:r>
          </w:p>
        </w:tc>
        <w:tc>
          <w:tcPr>
            <w:tcW w:w="1394" w:type="dxa"/>
            <w:noWrap/>
            <w:hideMark/>
          </w:tcPr>
          <w:p w14:paraId="0343732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Patient-level</w:t>
            </w:r>
          </w:p>
        </w:tc>
        <w:tc>
          <w:tcPr>
            <w:tcW w:w="1484" w:type="dxa"/>
            <w:noWrap/>
            <w:hideMark/>
          </w:tcPr>
          <w:p w14:paraId="4DA66C1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048CEFD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15338C81" w14:textId="77777777" w:rsidTr="00D6757A">
        <w:trPr>
          <w:trHeight w:val="310"/>
        </w:trPr>
        <w:tc>
          <w:tcPr>
            <w:tcW w:w="2154" w:type="dxa"/>
            <w:noWrap/>
            <w:hideMark/>
          </w:tcPr>
          <w:p w14:paraId="4412F2B6" w14:textId="0DDAD4C6" w:rsidR="0042332B" w:rsidRPr="0042332B" w:rsidRDefault="0042332B">
            <w:pPr>
              <w:rPr>
                <w:rFonts w:ascii="Times New Roman" w:hAnsi="Times New Roman" w:cs="Times New Roman"/>
                <w:sz w:val="18"/>
                <w:szCs w:val="18"/>
              </w:rPr>
            </w:pPr>
            <w:proofErr w:type="spellStart"/>
            <w:r w:rsidRPr="0042332B">
              <w:rPr>
                <w:rFonts w:ascii="Times New Roman" w:hAnsi="Times New Roman" w:cs="Times New Roman"/>
                <w:sz w:val="18"/>
                <w:szCs w:val="18"/>
              </w:rPr>
              <w:t>DiGA</w:t>
            </w:r>
            <w:proofErr w:type="spellEnd"/>
            <w:r w:rsidRPr="0042332B">
              <w:rPr>
                <w:rFonts w:ascii="Times New Roman" w:hAnsi="Times New Roman" w:cs="Times New Roman"/>
                <w:sz w:val="18"/>
                <w:szCs w:val="18"/>
              </w:rPr>
              <w:t xml:space="preserve"> model (“</w:t>
            </w:r>
            <w:proofErr w:type="spellStart"/>
            <w:r w:rsidRPr="0042332B">
              <w:rPr>
                <w:rFonts w:ascii="Times New Roman" w:hAnsi="Times New Roman" w:cs="Times New Roman"/>
                <w:sz w:val="18"/>
                <w:szCs w:val="18"/>
              </w:rPr>
              <w:t>Digitale</w:t>
            </w:r>
            <w:proofErr w:type="spellEnd"/>
            <w:r w:rsidRPr="0042332B">
              <w:rPr>
                <w:rFonts w:ascii="Times New Roman" w:hAnsi="Times New Roman" w:cs="Times New Roman"/>
                <w:sz w:val="18"/>
                <w:szCs w:val="18"/>
              </w:rPr>
              <w:t xml:space="preserve"> </w:t>
            </w:r>
            <w:proofErr w:type="spellStart"/>
            <w:r w:rsidRPr="0042332B">
              <w:rPr>
                <w:rFonts w:ascii="Times New Roman" w:hAnsi="Times New Roman" w:cs="Times New Roman"/>
                <w:sz w:val="18"/>
                <w:szCs w:val="18"/>
              </w:rPr>
              <w:t>Gesundheitsanwend</w:t>
            </w:r>
            <w:r w:rsidR="00D6757A">
              <w:rPr>
                <w:rFonts w:ascii="Times New Roman" w:hAnsi="Times New Roman" w:cs="Times New Roman"/>
                <w:sz w:val="18"/>
                <w:szCs w:val="18"/>
              </w:rPr>
              <w:t>-</w:t>
            </w:r>
            <w:r w:rsidRPr="0042332B">
              <w:rPr>
                <w:rFonts w:ascii="Times New Roman" w:hAnsi="Times New Roman" w:cs="Times New Roman"/>
                <w:sz w:val="18"/>
                <w:szCs w:val="18"/>
              </w:rPr>
              <w:t>ungen</w:t>
            </w:r>
            <w:proofErr w:type="spellEnd"/>
            <w:r w:rsidRPr="0042332B">
              <w:rPr>
                <w:rFonts w:ascii="Times New Roman" w:hAnsi="Times New Roman" w:cs="Times New Roman"/>
                <w:sz w:val="18"/>
                <w:szCs w:val="18"/>
              </w:rPr>
              <w:t>”)</w:t>
            </w:r>
          </w:p>
        </w:tc>
        <w:tc>
          <w:tcPr>
            <w:tcW w:w="1254" w:type="dxa"/>
            <w:noWrap/>
            <w:hideMark/>
          </w:tcPr>
          <w:p w14:paraId="204CF508"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25F604CA" w14:textId="4614A00D"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6A22769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472CB4C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Other (digital technologies)</w:t>
            </w:r>
          </w:p>
        </w:tc>
        <w:tc>
          <w:tcPr>
            <w:tcW w:w="1264" w:type="dxa"/>
            <w:noWrap/>
            <w:hideMark/>
          </w:tcPr>
          <w:p w14:paraId="1920376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03F9F64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Ensure industry profitability</w:t>
            </w:r>
          </w:p>
        </w:tc>
        <w:tc>
          <w:tcPr>
            <w:tcW w:w="964" w:type="dxa"/>
            <w:noWrap/>
            <w:hideMark/>
          </w:tcPr>
          <w:p w14:paraId="2769104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Optional</w:t>
            </w:r>
          </w:p>
        </w:tc>
        <w:tc>
          <w:tcPr>
            <w:tcW w:w="1394" w:type="dxa"/>
            <w:noWrap/>
            <w:hideMark/>
          </w:tcPr>
          <w:p w14:paraId="04A2468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6077FDC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7650CF7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6AF4AE82" w14:textId="77777777" w:rsidTr="00D6757A">
        <w:trPr>
          <w:trHeight w:val="310"/>
        </w:trPr>
        <w:tc>
          <w:tcPr>
            <w:tcW w:w="2154" w:type="dxa"/>
            <w:noWrap/>
            <w:hideMark/>
          </w:tcPr>
          <w:p w14:paraId="75A1F1F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Discounts or rebates (confidential)</w:t>
            </w:r>
          </w:p>
        </w:tc>
        <w:tc>
          <w:tcPr>
            <w:tcW w:w="1254" w:type="dxa"/>
            <w:noWrap/>
            <w:hideMark/>
          </w:tcPr>
          <w:p w14:paraId="79655794"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60CCD7BD" w14:textId="4360F35F"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2D7D584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3CB0AE3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6117D7E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6AC1CE8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281CA0D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6D53B18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3ECF265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2BFED9C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085572CB" w14:textId="77777777" w:rsidTr="00D6757A">
        <w:trPr>
          <w:trHeight w:val="310"/>
        </w:trPr>
        <w:tc>
          <w:tcPr>
            <w:tcW w:w="2154" w:type="dxa"/>
            <w:noWrap/>
            <w:hideMark/>
          </w:tcPr>
          <w:p w14:paraId="47D7928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DRG add-on payments: </w:t>
            </w:r>
            <w:r w:rsidRPr="0042332B">
              <w:rPr>
                <w:rFonts w:ascii="Times New Roman" w:hAnsi="Times New Roman" w:cs="Times New Roman"/>
                <w:sz w:val="18"/>
                <w:szCs w:val="18"/>
              </w:rPr>
              <w:br/>
              <w:t>new technology add-on payment (NTAP)</w:t>
            </w:r>
          </w:p>
        </w:tc>
        <w:tc>
          <w:tcPr>
            <w:tcW w:w="1254" w:type="dxa"/>
            <w:noWrap/>
            <w:hideMark/>
          </w:tcPr>
          <w:p w14:paraId="394E7108"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341E4FFE" w14:textId="3FDDC153"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09EF872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4520F91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 Medical devices; Other (AI or innovative pathways approved technologies)</w:t>
            </w:r>
          </w:p>
        </w:tc>
        <w:tc>
          <w:tcPr>
            <w:tcW w:w="1264" w:type="dxa"/>
            <w:noWrap/>
            <w:hideMark/>
          </w:tcPr>
          <w:p w14:paraId="1D011FA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4F2929C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7933BF4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513D214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313202E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66A5F92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1A4422AA" w14:textId="77777777" w:rsidTr="00D6757A">
        <w:trPr>
          <w:trHeight w:val="310"/>
        </w:trPr>
        <w:tc>
          <w:tcPr>
            <w:tcW w:w="2154" w:type="dxa"/>
            <w:noWrap/>
            <w:hideMark/>
          </w:tcPr>
          <w:p w14:paraId="51218CB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DRG add-on payments: high-priced drugs and medical devices</w:t>
            </w:r>
          </w:p>
        </w:tc>
        <w:tc>
          <w:tcPr>
            <w:tcW w:w="1254" w:type="dxa"/>
            <w:noWrap/>
            <w:hideMark/>
          </w:tcPr>
          <w:p w14:paraId="3CCA5DA7"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0F213B4E" w14:textId="11531E9E"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08ECD07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00072B3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 Medical devices; Other (drug-device combinations)</w:t>
            </w:r>
          </w:p>
        </w:tc>
        <w:tc>
          <w:tcPr>
            <w:tcW w:w="1264" w:type="dxa"/>
            <w:noWrap/>
            <w:hideMark/>
          </w:tcPr>
          <w:p w14:paraId="2E12CF9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22B2236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270413B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6274EDE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3AD8A1D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23C6BCC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6989D40D" w14:textId="77777777" w:rsidTr="00D6757A">
        <w:trPr>
          <w:trHeight w:val="310"/>
        </w:trPr>
        <w:tc>
          <w:tcPr>
            <w:tcW w:w="2154" w:type="dxa"/>
            <w:noWrap/>
            <w:hideMark/>
          </w:tcPr>
          <w:p w14:paraId="42F2927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 pricing index</w:t>
            </w:r>
          </w:p>
        </w:tc>
        <w:tc>
          <w:tcPr>
            <w:tcW w:w="1254" w:type="dxa"/>
            <w:noWrap/>
            <w:hideMark/>
          </w:tcPr>
          <w:p w14:paraId="6EEA071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231E129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53BBBE4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647EEBE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Specific disease areas (cancer)</w:t>
            </w:r>
          </w:p>
        </w:tc>
        <w:tc>
          <w:tcPr>
            <w:tcW w:w="1417" w:type="dxa"/>
            <w:noWrap/>
            <w:hideMark/>
          </w:tcPr>
          <w:p w14:paraId="742CD56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7703E47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6B60F32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015D59D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754B6C6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48FF987E" w14:textId="77777777" w:rsidTr="00D6757A">
        <w:trPr>
          <w:trHeight w:val="310"/>
        </w:trPr>
        <w:tc>
          <w:tcPr>
            <w:tcW w:w="2154" w:type="dxa"/>
            <w:noWrap/>
            <w:hideMark/>
          </w:tcPr>
          <w:p w14:paraId="6798E40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Early temporary authorization/reimbursement (ETA/ETR)</w:t>
            </w:r>
          </w:p>
        </w:tc>
        <w:tc>
          <w:tcPr>
            <w:tcW w:w="1254" w:type="dxa"/>
            <w:noWrap/>
            <w:hideMark/>
          </w:tcPr>
          <w:p w14:paraId="1BB75183"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6F71545B" w14:textId="3A77A9BC"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69BE298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3F4B433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455E201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470127E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Foster patient access</w:t>
            </w:r>
          </w:p>
        </w:tc>
        <w:tc>
          <w:tcPr>
            <w:tcW w:w="964" w:type="dxa"/>
            <w:noWrap/>
            <w:hideMark/>
          </w:tcPr>
          <w:p w14:paraId="1263DEA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1C62309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7DEF155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relevant/applicable</w:t>
            </w:r>
          </w:p>
        </w:tc>
        <w:tc>
          <w:tcPr>
            <w:tcW w:w="1394" w:type="dxa"/>
            <w:noWrap/>
            <w:hideMark/>
          </w:tcPr>
          <w:p w14:paraId="581216C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34D3AB90" w14:textId="77777777" w:rsidTr="00D6757A">
        <w:trPr>
          <w:trHeight w:val="310"/>
        </w:trPr>
        <w:tc>
          <w:tcPr>
            <w:tcW w:w="2154" w:type="dxa"/>
            <w:noWrap/>
            <w:hideMark/>
          </w:tcPr>
          <w:p w14:paraId="108A045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Expenditure capping - patient level</w:t>
            </w:r>
          </w:p>
        </w:tc>
        <w:tc>
          <w:tcPr>
            <w:tcW w:w="1254" w:type="dxa"/>
            <w:noWrap/>
            <w:hideMark/>
          </w:tcPr>
          <w:p w14:paraId="4EFC0BBF"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19D4A2DF" w14:textId="62BEDB9D"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0D78F9C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751282E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6233F82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7EC411A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42E584C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7A23121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2E78FF3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of payments not univocally defined; Prospective adjustments</w:t>
            </w:r>
          </w:p>
        </w:tc>
        <w:tc>
          <w:tcPr>
            <w:tcW w:w="1394" w:type="dxa"/>
            <w:noWrap/>
            <w:hideMark/>
          </w:tcPr>
          <w:p w14:paraId="72E4210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5183A329" w14:textId="77777777" w:rsidTr="00D6757A">
        <w:trPr>
          <w:trHeight w:val="310"/>
        </w:trPr>
        <w:tc>
          <w:tcPr>
            <w:tcW w:w="2154" w:type="dxa"/>
            <w:noWrap/>
            <w:hideMark/>
          </w:tcPr>
          <w:p w14:paraId="376978C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Expenditure capping - population level</w:t>
            </w:r>
          </w:p>
        </w:tc>
        <w:tc>
          <w:tcPr>
            <w:tcW w:w="1254" w:type="dxa"/>
            <w:noWrap/>
            <w:hideMark/>
          </w:tcPr>
          <w:p w14:paraId="702E2313"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644B0604" w14:textId="365B85F0"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2D32A93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0B933E3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2AC6682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18972F9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7B08570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0A000F8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3F6048F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of payments not univocally defined; Prospective adjustments</w:t>
            </w:r>
          </w:p>
        </w:tc>
        <w:tc>
          <w:tcPr>
            <w:tcW w:w="1394" w:type="dxa"/>
            <w:noWrap/>
            <w:hideMark/>
          </w:tcPr>
          <w:p w14:paraId="6BDB276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30BC1882" w14:textId="77777777" w:rsidTr="00D6757A">
        <w:trPr>
          <w:trHeight w:val="310"/>
        </w:trPr>
        <w:tc>
          <w:tcPr>
            <w:tcW w:w="2154" w:type="dxa"/>
            <w:noWrap/>
            <w:hideMark/>
          </w:tcPr>
          <w:p w14:paraId="421748C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External (or international) reference pricing (ERP)</w:t>
            </w:r>
          </w:p>
        </w:tc>
        <w:tc>
          <w:tcPr>
            <w:tcW w:w="1254" w:type="dxa"/>
            <w:noWrap/>
            <w:hideMark/>
          </w:tcPr>
          <w:p w14:paraId="124F5E2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09DA99B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2247BBC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34FB80E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2F8D264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5502AED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62FA2C4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3282304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4784123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4D93CFF1" w14:textId="77777777" w:rsidTr="00D6757A">
        <w:trPr>
          <w:trHeight w:val="310"/>
        </w:trPr>
        <w:tc>
          <w:tcPr>
            <w:tcW w:w="2154" w:type="dxa"/>
            <w:noWrap/>
            <w:hideMark/>
          </w:tcPr>
          <w:p w14:paraId="3B04FA1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Financial/utilization arrangements (FU)</w:t>
            </w:r>
          </w:p>
        </w:tc>
        <w:tc>
          <w:tcPr>
            <w:tcW w:w="1254" w:type="dxa"/>
            <w:noWrap/>
            <w:hideMark/>
          </w:tcPr>
          <w:p w14:paraId="073F39D8"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48FBD791" w14:textId="35047668"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0089B5E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3E1381A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0D60F83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5C1F75E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3DFA040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Yes</w:t>
            </w:r>
          </w:p>
        </w:tc>
        <w:tc>
          <w:tcPr>
            <w:tcW w:w="1394" w:type="dxa"/>
            <w:noWrap/>
            <w:hideMark/>
          </w:tcPr>
          <w:p w14:paraId="3B79E28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Population-level</w:t>
            </w:r>
          </w:p>
        </w:tc>
        <w:tc>
          <w:tcPr>
            <w:tcW w:w="1484" w:type="dxa"/>
            <w:noWrap/>
            <w:hideMark/>
          </w:tcPr>
          <w:p w14:paraId="4DF4284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2ABA712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0EB195B7" w14:textId="77777777" w:rsidTr="00D6757A">
        <w:trPr>
          <w:trHeight w:val="310"/>
        </w:trPr>
        <w:tc>
          <w:tcPr>
            <w:tcW w:w="2154" w:type="dxa"/>
            <w:noWrap/>
            <w:hideMark/>
          </w:tcPr>
          <w:p w14:paraId="2D9CB74F" w14:textId="77777777" w:rsidR="00D6757A" w:rsidRDefault="0042332B">
            <w:pPr>
              <w:rPr>
                <w:rFonts w:ascii="Times New Roman" w:hAnsi="Times New Roman" w:cs="Times New Roman"/>
                <w:sz w:val="18"/>
                <w:szCs w:val="18"/>
              </w:rPr>
            </w:pPr>
            <w:r w:rsidRPr="0042332B">
              <w:rPr>
                <w:rFonts w:ascii="Times New Roman" w:hAnsi="Times New Roman" w:cs="Times New Roman"/>
                <w:sz w:val="18"/>
                <w:szCs w:val="18"/>
              </w:rPr>
              <w:t>Free initial treatment/</w:t>
            </w:r>
          </w:p>
          <w:p w14:paraId="3A9D242C" w14:textId="4BEF1245"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Free doses - patient level</w:t>
            </w:r>
          </w:p>
        </w:tc>
        <w:tc>
          <w:tcPr>
            <w:tcW w:w="1254" w:type="dxa"/>
            <w:noWrap/>
            <w:hideMark/>
          </w:tcPr>
          <w:p w14:paraId="0EDAAE95"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39817ABC" w14:textId="1F9AC094"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374E547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530B2EB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6F0C52B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46CDF25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65D71F4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08D752D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4792B5F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625C6C3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0A2501B1" w14:textId="77777777" w:rsidTr="00D6757A">
        <w:trPr>
          <w:trHeight w:val="310"/>
        </w:trPr>
        <w:tc>
          <w:tcPr>
            <w:tcW w:w="2154" w:type="dxa"/>
            <w:noWrap/>
            <w:hideMark/>
          </w:tcPr>
          <w:p w14:paraId="4DC9456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Generic or biosimilar price linked to originator product</w:t>
            </w:r>
          </w:p>
        </w:tc>
        <w:tc>
          <w:tcPr>
            <w:tcW w:w="1254" w:type="dxa"/>
            <w:noWrap/>
            <w:hideMark/>
          </w:tcPr>
          <w:p w14:paraId="18BF8D18"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3D77610C" w14:textId="7668422C"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27D2D5C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5E60645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 (generics; biosimilar)</w:t>
            </w:r>
          </w:p>
        </w:tc>
        <w:tc>
          <w:tcPr>
            <w:tcW w:w="1264" w:type="dxa"/>
            <w:noWrap/>
            <w:hideMark/>
          </w:tcPr>
          <w:p w14:paraId="32F68C7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37786F4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2252B94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5A9AF6F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06014C9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7AE3A45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338749CC" w14:textId="77777777" w:rsidTr="00D6757A">
        <w:trPr>
          <w:trHeight w:val="310"/>
        </w:trPr>
        <w:tc>
          <w:tcPr>
            <w:tcW w:w="2154" w:type="dxa"/>
            <w:noWrap/>
            <w:hideMark/>
          </w:tcPr>
          <w:p w14:paraId="48BE937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Generic pricing linked to number of generic manufacturers</w:t>
            </w:r>
          </w:p>
        </w:tc>
        <w:tc>
          <w:tcPr>
            <w:tcW w:w="1254" w:type="dxa"/>
            <w:noWrap/>
            <w:hideMark/>
          </w:tcPr>
          <w:p w14:paraId="522CA7A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1628A6E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3098DC9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 (generics)</w:t>
            </w:r>
          </w:p>
        </w:tc>
        <w:tc>
          <w:tcPr>
            <w:tcW w:w="1264" w:type="dxa"/>
            <w:noWrap/>
            <w:hideMark/>
          </w:tcPr>
          <w:p w14:paraId="735273E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3D362F5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62C36B0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7DEDFBD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2DE3D44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1852976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46F13AD7" w14:textId="77777777" w:rsidTr="00D6757A">
        <w:trPr>
          <w:trHeight w:val="310"/>
        </w:trPr>
        <w:tc>
          <w:tcPr>
            <w:tcW w:w="2154" w:type="dxa"/>
            <w:noWrap/>
            <w:hideMark/>
          </w:tcPr>
          <w:p w14:paraId="6826E8D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Generics: blind tenders &amp; sole supply contracts</w:t>
            </w:r>
          </w:p>
        </w:tc>
        <w:tc>
          <w:tcPr>
            <w:tcW w:w="1254" w:type="dxa"/>
            <w:noWrap/>
            <w:hideMark/>
          </w:tcPr>
          <w:p w14:paraId="37BFF9E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5AE3767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6344F27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 (generics)</w:t>
            </w:r>
          </w:p>
        </w:tc>
        <w:tc>
          <w:tcPr>
            <w:tcW w:w="1264" w:type="dxa"/>
            <w:noWrap/>
            <w:hideMark/>
          </w:tcPr>
          <w:p w14:paraId="6715EE3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4F61401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 Ensure industry profitability</w:t>
            </w:r>
          </w:p>
        </w:tc>
        <w:tc>
          <w:tcPr>
            <w:tcW w:w="964" w:type="dxa"/>
            <w:noWrap/>
            <w:hideMark/>
          </w:tcPr>
          <w:p w14:paraId="60E3EF4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235FFAA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341F631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3328FFF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6DFBE934" w14:textId="77777777" w:rsidTr="00D6757A">
        <w:trPr>
          <w:trHeight w:val="310"/>
        </w:trPr>
        <w:tc>
          <w:tcPr>
            <w:tcW w:w="2154" w:type="dxa"/>
            <w:noWrap/>
            <w:hideMark/>
          </w:tcPr>
          <w:p w14:paraId="2F6B313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Indication-based pricing</w:t>
            </w:r>
          </w:p>
        </w:tc>
        <w:tc>
          <w:tcPr>
            <w:tcW w:w="1254" w:type="dxa"/>
            <w:noWrap/>
            <w:hideMark/>
          </w:tcPr>
          <w:p w14:paraId="3E4B95B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74BAA68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3793733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2EB7EDA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6125165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Ensure industry profitability</w:t>
            </w:r>
          </w:p>
        </w:tc>
        <w:tc>
          <w:tcPr>
            <w:tcW w:w="964" w:type="dxa"/>
            <w:noWrap/>
            <w:hideMark/>
          </w:tcPr>
          <w:p w14:paraId="66D7701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71F4ADD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52BE493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690B34F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33D93605" w14:textId="77777777" w:rsidTr="00D6757A">
        <w:trPr>
          <w:trHeight w:val="310"/>
        </w:trPr>
        <w:tc>
          <w:tcPr>
            <w:tcW w:w="2154" w:type="dxa"/>
            <w:noWrap/>
            <w:hideMark/>
          </w:tcPr>
          <w:p w14:paraId="742E6B4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Indication-based pricing (IBP) with outcomes guarantee</w:t>
            </w:r>
          </w:p>
        </w:tc>
        <w:tc>
          <w:tcPr>
            <w:tcW w:w="1254" w:type="dxa"/>
            <w:noWrap/>
            <w:hideMark/>
          </w:tcPr>
          <w:p w14:paraId="33D722B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5F5CAEA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01A568D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41B45CC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3F57C8C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Mitigate clinical uncertainty;</w:t>
            </w:r>
            <w:r w:rsidRPr="0042332B">
              <w:rPr>
                <w:rFonts w:ascii="Times New Roman" w:hAnsi="Times New Roman" w:cs="Times New Roman"/>
                <w:sz w:val="18"/>
                <w:szCs w:val="18"/>
              </w:rPr>
              <w:br/>
              <w:t>Ensure industry profitability</w:t>
            </w:r>
          </w:p>
        </w:tc>
        <w:tc>
          <w:tcPr>
            <w:tcW w:w="964" w:type="dxa"/>
            <w:noWrap/>
            <w:hideMark/>
          </w:tcPr>
          <w:p w14:paraId="25BE967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Yes</w:t>
            </w:r>
          </w:p>
        </w:tc>
        <w:tc>
          <w:tcPr>
            <w:tcW w:w="1394" w:type="dxa"/>
            <w:noWrap/>
            <w:hideMark/>
          </w:tcPr>
          <w:p w14:paraId="1B9E5B9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Patient-level</w:t>
            </w:r>
          </w:p>
        </w:tc>
        <w:tc>
          <w:tcPr>
            <w:tcW w:w="1484" w:type="dxa"/>
            <w:noWrap/>
            <w:hideMark/>
          </w:tcPr>
          <w:p w14:paraId="252BC6C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of payments not univocally defined;</w:t>
            </w:r>
            <w:r w:rsidRPr="0042332B">
              <w:rPr>
                <w:rFonts w:ascii="Times New Roman" w:hAnsi="Times New Roman" w:cs="Times New Roman"/>
                <w:sz w:val="18"/>
                <w:szCs w:val="18"/>
              </w:rPr>
              <w:br/>
              <w:t>Either prospective or retrospective adjustments</w:t>
            </w:r>
          </w:p>
        </w:tc>
        <w:tc>
          <w:tcPr>
            <w:tcW w:w="1394" w:type="dxa"/>
            <w:noWrap/>
            <w:hideMark/>
          </w:tcPr>
          <w:p w14:paraId="1B76B3B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27A36C89" w14:textId="77777777" w:rsidTr="00D6757A">
        <w:trPr>
          <w:trHeight w:val="310"/>
        </w:trPr>
        <w:tc>
          <w:tcPr>
            <w:tcW w:w="2154" w:type="dxa"/>
            <w:noWrap/>
            <w:hideMark/>
          </w:tcPr>
          <w:p w14:paraId="2EFA1CA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Individual funding request</w:t>
            </w:r>
          </w:p>
        </w:tc>
        <w:tc>
          <w:tcPr>
            <w:tcW w:w="1254" w:type="dxa"/>
            <w:noWrap/>
            <w:hideMark/>
          </w:tcPr>
          <w:p w14:paraId="6A4A83DD"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4C2B2843" w14:textId="079495FB"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2EB45F2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58B2C8E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5DD17A0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Gene or genetic diseases</w:t>
            </w:r>
          </w:p>
        </w:tc>
        <w:tc>
          <w:tcPr>
            <w:tcW w:w="1417" w:type="dxa"/>
            <w:noWrap/>
            <w:hideMark/>
          </w:tcPr>
          <w:p w14:paraId="4842C53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Foster patient access</w:t>
            </w:r>
          </w:p>
        </w:tc>
        <w:tc>
          <w:tcPr>
            <w:tcW w:w="964" w:type="dxa"/>
            <w:noWrap/>
            <w:hideMark/>
          </w:tcPr>
          <w:p w14:paraId="4494C00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199869D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07225DD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4C77B68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169025AD" w14:textId="77777777" w:rsidTr="00D6757A">
        <w:trPr>
          <w:trHeight w:val="310"/>
        </w:trPr>
        <w:tc>
          <w:tcPr>
            <w:tcW w:w="2154" w:type="dxa"/>
            <w:noWrap/>
            <w:hideMark/>
          </w:tcPr>
          <w:p w14:paraId="43877C6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Insurance-type model for antibiotics</w:t>
            </w:r>
          </w:p>
        </w:tc>
        <w:tc>
          <w:tcPr>
            <w:tcW w:w="1254" w:type="dxa"/>
            <w:noWrap/>
            <w:hideMark/>
          </w:tcPr>
          <w:p w14:paraId="071F1300"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3FBCD4A3" w14:textId="47B1B2A4"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4A363AC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1D7A65D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 (antibiotics)</w:t>
            </w:r>
          </w:p>
        </w:tc>
        <w:tc>
          <w:tcPr>
            <w:tcW w:w="1264" w:type="dxa"/>
            <w:noWrap/>
            <w:hideMark/>
          </w:tcPr>
          <w:p w14:paraId="7BA10E9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Infections</w:t>
            </w:r>
          </w:p>
        </w:tc>
        <w:tc>
          <w:tcPr>
            <w:tcW w:w="1417" w:type="dxa"/>
            <w:noWrap/>
            <w:hideMark/>
          </w:tcPr>
          <w:p w14:paraId="6CB9A6D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 Provide market incentives</w:t>
            </w:r>
          </w:p>
        </w:tc>
        <w:tc>
          <w:tcPr>
            <w:tcW w:w="964" w:type="dxa"/>
            <w:noWrap/>
            <w:hideMark/>
          </w:tcPr>
          <w:p w14:paraId="2943A82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2395E23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481424D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Entry </w:t>
            </w:r>
            <w:proofErr w:type="spellStart"/>
            <w:r w:rsidRPr="0042332B">
              <w:rPr>
                <w:rFonts w:ascii="Times New Roman" w:hAnsi="Times New Roman" w:cs="Times New Roman"/>
                <w:sz w:val="18"/>
                <w:szCs w:val="18"/>
              </w:rPr>
              <w:t>fee+usage</w:t>
            </w:r>
            <w:proofErr w:type="spellEnd"/>
            <w:r w:rsidRPr="0042332B">
              <w:rPr>
                <w:rFonts w:ascii="Times New Roman" w:hAnsi="Times New Roman" w:cs="Times New Roman"/>
                <w:sz w:val="18"/>
                <w:szCs w:val="18"/>
              </w:rPr>
              <w:t xml:space="preserve"> fee; Modality of payment not univocally defined</w:t>
            </w:r>
          </w:p>
        </w:tc>
        <w:tc>
          <w:tcPr>
            <w:tcW w:w="1394" w:type="dxa"/>
            <w:noWrap/>
            <w:hideMark/>
          </w:tcPr>
          <w:p w14:paraId="47D6CD5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45133FE7" w14:textId="77777777" w:rsidTr="00D6757A">
        <w:trPr>
          <w:trHeight w:val="310"/>
        </w:trPr>
        <w:tc>
          <w:tcPr>
            <w:tcW w:w="2154" w:type="dxa"/>
            <w:noWrap/>
            <w:hideMark/>
          </w:tcPr>
          <w:p w14:paraId="330211A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Intellectual property-based payment: monetary prizes</w:t>
            </w:r>
          </w:p>
        </w:tc>
        <w:tc>
          <w:tcPr>
            <w:tcW w:w="1254" w:type="dxa"/>
            <w:noWrap/>
            <w:hideMark/>
          </w:tcPr>
          <w:p w14:paraId="07228757"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716AEE4E" w14:textId="4E289D2C"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2E45159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2B5AAB1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 (incl. antibiotics); Medical devices (diagnostics); Vaccines</w:t>
            </w:r>
          </w:p>
        </w:tc>
        <w:tc>
          <w:tcPr>
            <w:tcW w:w="1264" w:type="dxa"/>
            <w:noWrap/>
            <w:hideMark/>
          </w:tcPr>
          <w:p w14:paraId="506315C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Orphan conditions</w:t>
            </w:r>
          </w:p>
        </w:tc>
        <w:tc>
          <w:tcPr>
            <w:tcW w:w="1417" w:type="dxa"/>
            <w:noWrap/>
            <w:hideMark/>
          </w:tcPr>
          <w:p w14:paraId="0448685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Provide market incentives</w:t>
            </w:r>
          </w:p>
        </w:tc>
        <w:tc>
          <w:tcPr>
            <w:tcW w:w="964" w:type="dxa"/>
            <w:noWrap/>
            <w:hideMark/>
          </w:tcPr>
          <w:p w14:paraId="68D87A2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53D3C14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7DAA8BB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12BF044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448FE062" w14:textId="77777777" w:rsidTr="00D6757A">
        <w:trPr>
          <w:trHeight w:val="310"/>
        </w:trPr>
        <w:tc>
          <w:tcPr>
            <w:tcW w:w="2154" w:type="dxa"/>
            <w:noWrap/>
            <w:hideMark/>
          </w:tcPr>
          <w:p w14:paraId="0E87584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Intellectual property-based payment: out-licensing of technology rights</w:t>
            </w:r>
          </w:p>
        </w:tc>
        <w:tc>
          <w:tcPr>
            <w:tcW w:w="1254" w:type="dxa"/>
            <w:noWrap/>
            <w:hideMark/>
          </w:tcPr>
          <w:p w14:paraId="16F0D749"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7952BA6A" w14:textId="52AECCBA"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75C662C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56C93AB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00DDB1F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5401B29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Provide market incentives</w:t>
            </w:r>
          </w:p>
        </w:tc>
        <w:tc>
          <w:tcPr>
            <w:tcW w:w="964" w:type="dxa"/>
            <w:noWrap/>
            <w:hideMark/>
          </w:tcPr>
          <w:p w14:paraId="602C29F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19538E8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358F8CB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5F1505E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2DE22CBF" w14:textId="77777777" w:rsidTr="00D6757A">
        <w:trPr>
          <w:trHeight w:val="310"/>
        </w:trPr>
        <w:tc>
          <w:tcPr>
            <w:tcW w:w="2154" w:type="dxa"/>
            <w:noWrap/>
            <w:hideMark/>
          </w:tcPr>
          <w:p w14:paraId="5E9FE04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Intellectual property-based payment: prolonged patent rights</w:t>
            </w:r>
          </w:p>
        </w:tc>
        <w:tc>
          <w:tcPr>
            <w:tcW w:w="1254" w:type="dxa"/>
            <w:noWrap/>
            <w:hideMark/>
          </w:tcPr>
          <w:p w14:paraId="31B1F895"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366CB580" w14:textId="307FCB96"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037BCCF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3F71DA1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0DC7B7F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41E82C0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Provide market incentives</w:t>
            </w:r>
          </w:p>
        </w:tc>
        <w:tc>
          <w:tcPr>
            <w:tcW w:w="964" w:type="dxa"/>
            <w:noWrap/>
            <w:hideMark/>
          </w:tcPr>
          <w:p w14:paraId="02EE117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021FCA1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1897692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03AA0DD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4D8BE392" w14:textId="77777777" w:rsidTr="00D6757A">
        <w:trPr>
          <w:trHeight w:val="310"/>
        </w:trPr>
        <w:tc>
          <w:tcPr>
            <w:tcW w:w="2154" w:type="dxa"/>
            <w:noWrap/>
            <w:hideMark/>
          </w:tcPr>
          <w:p w14:paraId="58DB66C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Internal reference pricing (IRP)</w:t>
            </w:r>
          </w:p>
        </w:tc>
        <w:tc>
          <w:tcPr>
            <w:tcW w:w="1254" w:type="dxa"/>
            <w:noWrap/>
            <w:hideMark/>
          </w:tcPr>
          <w:p w14:paraId="7402F4A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3070770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6592D84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4D7EFC7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1BA9678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4CF5AC9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07EBE59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7FD2C00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531E541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74CAE0A4" w14:textId="77777777" w:rsidTr="00D6757A">
        <w:trPr>
          <w:trHeight w:val="310"/>
        </w:trPr>
        <w:tc>
          <w:tcPr>
            <w:tcW w:w="2154" w:type="dxa"/>
            <w:noWrap/>
            <w:hideMark/>
          </w:tcPr>
          <w:p w14:paraId="0AA6384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Limit pricing model (for patent-protected drugs)</w:t>
            </w:r>
          </w:p>
        </w:tc>
        <w:tc>
          <w:tcPr>
            <w:tcW w:w="1254" w:type="dxa"/>
            <w:noWrap/>
            <w:hideMark/>
          </w:tcPr>
          <w:p w14:paraId="25C8AB6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1E64FC3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232D9E3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 (patent protected drugs)</w:t>
            </w:r>
          </w:p>
        </w:tc>
        <w:tc>
          <w:tcPr>
            <w:tcW w:w="1264" w:type="dxa"/>
            <w:noWrap/>
            <w:hideMark/>
          </w:tcPr>
          <w:p w14:paraId="281C10C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57BB955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Ensure industry profitability</w:t>
            </w:r>
          </w:p>
        </w:tc>
        <w:tc>
          <w:tcPr>
            <w:tcW w:w="964" w:type="dxa"/>
            <w:noWrap/>
            <w:hideMark/>
          </w:tcPr>
          <w:p w14:paraId="525D845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68AB1E5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07B747B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1D482BF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6676B035" w14:textId="77777777" w:rsidTr="00D6757A">
        <w:trPr>
          <w:trHeight w:val="310"/>
        </w:trPr>
        <w:tc>
          <w:tcPr>
            <w:tcW w:w="2154" w:type="dxa"/>
            <w:noWrap/>
            <w:hideMark/>
          </w:tcPr>
          <w:p w14:paraId="2618EBD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Marginal value-based reimbursement (MVBR) </w:t>
            </w:r>
          </w:p>
        </w:tc>
        <w:tc>
          <w:tcPr>
            <w:tcW w:w="1254" w:type="dxa"/>
            <w:noWrap/>
            <w:hideMark/>
          </w:tcPr>
          <w:p w14:paraId="2024D0A6"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251C5F1D" w14:textId="139A43B9"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4C79A45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71A372E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267BF01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7BB5A89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Ensure industry profitability</w:t>
            </w:r>
          </w:p>
        </w:tc>
        <w:tc>
          <w:tcPr>
            <w:tcW w:w="964" w:type="dxa"/>
            <w:noWrap/>
            <w:hideMark/>
          </w:tcPr>
          <w:p w14:paraId="0311C90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5C5ADF0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252BBBB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19CCF24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2C46ADD0" w14:textId="77777777" w:rsidTr="00D6757A">
        <w:trPr>
          <w:trHeight w:val="310"/>
        </w:trPr>
        <w:tc>
          <w:tcPr>
            <w:tcW w:w="2154" w:type="dxa"/>
            <w:noWrap/>
            <w:hideMark/>
          </w:tcPr>
          <w:p w14:paraId="7252C01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Nation-wide budget thresholds for individual innovative agents</w:t>
            </w:r>
          </w:p>
        </w:tc>
        <w:tc>
          <w:tcPr>
            <w:tcW w:w="1254" w:type="dxa"/>
            <w:noWrap/>
            <w:hideMark/>
          </w:tcPr>
          <w:p w14:paraId="6BA0F0B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183FE17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65B9809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18875CC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Specific disease areas (PCSK9 inhibitors)</w:t>
            </w:r>
          </w:p>
        </w:tc>
        <w:tc>
          <w:tcPr>
            <w:tcW w:w="1417" w:type="dxa"/>
            <w:noWrap/>
            <w:hideMark/>
          </w:tcPr>
          <w:p w14:paraId="1BFF070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21BE3F8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1A974A8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3911D60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7C4CE05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6ED60467" w14:textId="77777777" w:rsidTr="00D6757A">
        <w:trPr>
          <w:trHeight w:val="310"/>
        </w:trPr>
        <w:tc>
          <w:tcPr>
            <w:tcW w:w="2154" w:type="dxa"/>
            <w:noWrap/>
            <w:hideMark/>
          </w:tcPr>
          <w:p w14:paraId="2E86E08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Netflix plus model</w:t>
            </w:r>
          </w:p>
        </w:tc>
        <w:tc>
          <w:tcPr>
            <w:tcW w:w="1254" w:type="dxa"/>
            <w:noWrap/>
            <w:hideMark/>
          </w:tcPr>
          <w:p w14:paraId="2750F35D"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075F6379" w14:textId="3F652BDF"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7177CBA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1BCDD14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41E2E01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Orphan conditions</w:t>
            </w:r>
          </w:p>
        </w:tc>
        <w:tc>
          <w:tcPr>
            <w:tcW w:w="1417" w:type="dxa"/>
            <w:noWrap/>
            <w:hideMark/>
          </w:tcPr>
          <w:p w14:paraId="37BCCFB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 Provide market incentives</w:t>
            </w:r>
          </w:p>
        </w:tc>
        <w:tc>
          <w:tcPr>
            <w:tcW w:w="964" w:type="dxa"/>
            <w:noWrap/>
            <w:hideMark/>
          </w:tcPr>
          <w:p w14:paraId="617A74A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31D91EB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717BAD8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Staggered payments: constant; Modality of payments not univocally defined</w:t>
            </w:r>
          </w:p>
        </w:tc>
        <w:tc>
          <w:tcPr>
            <w:tcW w:w="1394" w:type="dxa"/>
            <w:noWrap/>
            <w:hideMark/>
          </w:tcPr>
          <w:p w14:paraId="30BD724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34D1C69F" w14:textId="77777777" w:rsidTr="00D6757A">
        <w:trPr>
          <w:trHeight w:val="310"/>
        </w:trPr>
        <w:tc>
          <w:tcPr>
            <w:tcW w:w="2154" w:type="dxa"/>
            <w:noWrap/>
            <w:hideMark/>
          </w:tcPr>
          <w:p w14:paraId="2373D1D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Netflix/subscription model</w:t>
            </w:r>
          </w:p>
        </w:tc>
        <w:tc>
          <w:tcPr>
            <w:tcW w:w="1254" w:type="dxa"/>
            <w:noWrap/>
            <w:hideMark/>
          </w:tcPr>
          <w:p w14:paraId="59250467"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2D46DB3C" w14:textId="6794F918"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12555F5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7038796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41975A7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Specific disease areas (antimicrobials)</w:t>
            </w:r>
          </w:p>
        </w:tc>
        <w:tc>
          <w:tcPr>
            <w:tcW w:w="1417" w:type="dxa"/>
            <w:noWrap/>
            <w:hideMark/>
          </w:tcPr>
          <w:p w14:paraId="6676311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 Provide market incentives; Ensure industry profitability</w:t>
            </w:r>
          </w:p>
        </w:tc>
        <w:tc>
          <w:tcPr>
            <w:tcW w:w="964" w:type="dxa"/>
            <w:noWrap/>
            <w:hideMark/>
          </w:tcPr>
          <w:p w14:paraId="5F4713F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44D653F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6D60AF2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Staggered payments: constant; Modality of payments not univocally defined</w:t>
            </w:r>
          </w:p>
        </w:tc>
        <w:tc>
          <w:tcPr>
            <w:tcW w:w="1394" w:type="dxa"/>
            <w:noWrap/>
            <w:hideMark/>
          </w:tcPr>
          <w:p w14:paraId="312D603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31274699" w14:textId="77777777" w:rsidTr="00D6757A">
        <w:trPr>
          <w:trHeight w:val="310"/>
        </w:trPr>
        <w:tc>
          <w:tcPr>
            <w:tcW w:w="2154" w:type="dxa"/>
            <w:noWrap/>
            <w:hideMark/>
          </w:tcPr>
          <w:p w14:paraId="6EBDA00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NUB payments </w:t>
            </w:r>
            <w:r w:rsidRPr="0042332B">
              <w:rPr>
                <w:rFonts w:ascii="Times New Roman" w:hAnsi="Times New Roman" w:cs="Times New Roman"/>
                <w:sz w:val="18"/>
                <w:szCs w:val="18"/>
              </w:rPr>
              <w:br/>
              <w:t>(German acronym for "New Diagnostic and Treatment Model")</w:t>
            </w:r>
          </w:p>
        </w:tc>
        <w:tc>
          <w:tcPr>
            <w:tcW w:w="1254" w:type="dxa"/>
            <w:noWrap/>
            <w:hideMark/>
          </w:tcPr>
          <w:p w14:paraId="79592F0E"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7BB0CCFC" w14:textId="7C26D8D4"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48B4D26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5BF8F18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785639F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1EFA402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Foster patient access</w:t>
            </w:r>
          </w:p>
        </w:tc>
        <w:tc>
          <w:tcPr>
            <w:tcW w:w="964" w:type="dxa"/>
            <w:noWrap/>
            <w:hideMark/>
          </w:tcPr>
          <w:p w14:paraId="017BCB0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05294BA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1C47F34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0F4DA7B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4B3D3BB4" w14:textId="77777777" w:rsidTr="00D6757A">
        <w:trPr>
          <w:trHeight w:val="310"/>
        </w:trPr>
        <w:tc>
          <w:tcPr>
            <w:tcW w:w="2154" w:type="dxa"/>
            <w:noWrap/>
            <w:hideMark/>
          </w:tcPr>
          <w:p w14:paraId="4ACC1F2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Outcome guarantees</w:t>
            </w:r>
          </w:p>
        </w:tc>
        <w:tc>
          <w:tcPr>
            <w:tcW w:w="1254" w:type="dxa"/>
            <w:noWrap/>
            <w:hideMark/>
          </w:tcPr>
          <w:p w14:paraId="59E98853"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13D31862" w14:textId="6D6F179B"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245B2C3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58BCE25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61434C8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6DDC216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Mitigate clinical uncertainty</w:t>
            </w:r>
          </w:p>
        </w:tc>
        <w:tc>
          <w:tcPr>
            <w:tcW w:w="964" w:type="dxa"/>
            <w:noWrap/>
            <w:hideMark/>
          </w:tcPr>
          <w:p w14:paraId="30FB1D8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Yes</w:t>
            </w:r>
          </w:p>
        </w:tc>
        <w:tc>
          <w:tcPr>
            <w:tcW w:w="1394" w:type="dxa"/>
            <w:noWrap/>
            <w:hideMark/>
          </w:tcPr>
          <w:p w14:paraId="2CA8901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Patient-level</w:t>
            </w:r>
          </w:p>
        </w:tc>
        <w:tc>
          <w:tcPr>
            <w:tcW w:w="1484" w:type="dxa"/>
            <w:noWrap/>
            <w:hideMark/>
          </w:tcPr>
          <w:p w14:paraId="59ACD09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55CA417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0CCDAF30" w14:textId="77777777" w:rsidTr="00D6757A">
        <w:trPr>
          <w:trHeight w:val="310"/>
        </w:trPr>
        <w:tc>
          <w:tcPr>
            <w:tcW w:w="2154" w:type="dxa"/>
            <w:noWrap/>
            <w:hideMark/>
          </w:tcPr>
          <w:p w14:paraId="0728565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Pattern/process of care agreements (PPC)</w:t>
            </w:r>
          </w:p>
        </w:tc>
        <w:tc>
          <w:tcPr>
            <w:tcW w:w="1254" w:type="dxa"/>
            <w:noWrap/>
            <w:hideMark/>
          </w:tcPr>
          <w:p w14:paraId="2CF3BAD8"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31840073" w14:textId="6F1FAB18"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3011F6E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3C39951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081994C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586CA48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Mitigate clinical uncertainty</w:t>
            </w:r>
          </w:p>
        </w:tc>
        <w:tc>
          <w:tcPr>
            <w:tcW w:w="964" w:type="dxa"/>
            <w:noWrap/>
            <w:hideMark/>
          </w:tcPr>
          <w:p w14:paraId="5AF1996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Yes</w:t>
            </w:r>
          </w:p>
        </w:tc>
        <w:tc>
          <w:tcPr>
            <w:tcW w:w="1394" w:type="dxa"/>
            <w:noWrap/>
            <w:hideMark/>
          </w:tcPr>
          <w:p w14:paraId="0196D8A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Patient-level</w:t>
            </w:r>
          </w:p>
        </w:tc>
        <w:tc>
          <w:tcPr>
            <w:tcW w:w="1484" w:type="dxa"/>
            <w:noWrap/>
            <w:hideMark/>
          </w:tcPr>
          <w:p w14:paraId="1301C55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45FCC2E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2C92DC94" w14:textId="77777777" w:rsidTr="00D6757A">
        <w:trPr>
          <w:trHeight w:val="310"/>
        </w:trPr>
        <w:tc>
          <w:tcPr>
            <w:tcW w:w="2154" w:type="dxa"/>
            <w:noWrap/>
            <w:hideMark/>
          </w:tcPr>
          <w:p w14:paraId="49C6741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Payer License Agreement (PLA) (subscription-based pricing model)</w:t>
            </w:r>
          </w:p>
        </w:tc>
        <w:tc>
          <w:tcPr>
            <w:tcW w:w="1254" w:type="dxa"/>
            <w:noWrap/>
            <w:hideMark/>
          </w:tcPr>
          <w:p w14:paraId="5D60844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5ABF5D2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7A6668D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45D072E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68D57C6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6112963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2119C68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74E1D6E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Staggered payments: constant; Modality of payments not univocally defined</w:t>
            </w:r>
          </w:p>
        </w:tc>
        <w:tc>
          <w:tcPr>
            <w:tcW w:w="1394" w:type="dxa"/>
            <w:noWrap/>
            <w:hideMark/>
          </w:tcPr>
          <w:p w14:paraId="16FE15B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4D093E18" w14:textId="77777777" w:rsidTr="00D6757A">
        <w:trPr>
          <w:trHeight w:val="310"/>
        </w:trPr>
        <w:tc>
          <w:tcPr>
            <w:tcW w:w="2154" w:type="dxa"/>
            <w:noWrap/>
            <w:hideMark/>
          </w:tcPr>
          <w:p w14:paraId="1924D2D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 at results</w:t>
            </w:r>
          </w:p>
        </w:tc>
        <w:tc>
          <w:tcPr>
            <w:tcW w:w="1254" w:type="dxa"/>
            <w:noWrap/>
            <w:hideMark/>
          </w:tcPr>
          <w:p w14:paraId="31CD12A6"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34BA2B7F" w14:textId="1D53C584"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65237E5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1DB32D0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7DD2E8F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1F41196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Mitigate clinical uncertainty</w:t>
            </w:r>
          </w:p>
        </w:tc>
        <w:tc>
          <w:tcPr>
            <w:tcW w:w="964" w:type="dxa"/>
            <w:noWrap/>
            <w:hideMark/>
          </w:tcPr>
          <w:p w14:paraId="1F77BEF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Yes</w:t>
            </w:r>
          </w:p>
        </w:tc>
        <w:tc>
          <w:tcPr>
            <w:tcW w:w="1394" w:type="dxa"/>
            <w:noWrap/>
            <w:hideMark/>
          </w:tcPr>
          <w:p w14:paraId="4FE5AE9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Could be both</w:t>
            </w:r>
          </w:p>
        </w:tc>
        <w:tc>
          <w:tcPr>
            <w:tcW w:w="1484" w:type="dxa"/>
            <w:noWrap/>
            <w:hideMark/>
          </w:tcPr>
          <w:p w14:paraId="3967E52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Single payment; Prospective adjustments</w:t>
            </w:r>
          </w:p>
        </w:tc>
        <w:tc>
          <w:tcPr>
            <w:tcW w:w="1394" w:type="dxa"/>
            <w:noWrap/>
            <w:hideMark/>
          </w:tcPr>
          <w:p w14:paraId="61CE93C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5C4C37B4" w14:textId="77777777" w:rsidTr="00D6757A">
        <w:trPr>
          <w:trHeight w:val="310"/>
        </w:trPr>
        <w:tc>
          <w:tcPr>
            <w:tcW w:w="2154" w:type="dxa"/>
            <w:noWrap/>
            <w:hideMark/>
          </w:tcPr>
          <w:p w14:paraId="76A00D0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Payment by results - </w:t>
            </w:r>
            <w:r w:rsidRPr="0042332B">
              <w:rPr>
                <w:rFonts w:ascii="Times New Roman" w:hAnsi="Times New Roman" w:cs="Times New Roman"/>
                <w:sz w:val="18"/>
                <w:szCs w:val="18"/>
              </w:rPr>
              <w:br/>
              <w:t>patient level</w:t>
            </w:r>
          </w:p>
        </w:tc>
        <w:tc>
          <w:tcPr>
            <w:tcW w:w="1254" w:type="dxa"/>
            <w:noWrap/>
            <w:hideMark/>
          </w:tcPr>
          <w:p w14:paraId="7EE6DA2A"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75201450" w14:textId="23513EE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6AB8346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37BE35B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171EB9F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10D028F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Mitigate clinical uncertainty</w:t>
            </w:r>
          </w:p>
        </w:tc>
        <w:tc>
          <w:tcPr>
            <w:tcW w:w="964" w:type="dxa"/>
            <w:noWrap/>
            <w:hideMark/>
          </w:tcPr>
          <w:p w14:paraId="1CBF8FF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Yes</w:t>
            </w:r>
          </w:p>
        </w:tc>
        <w:tc>
          <w:tcPr>
            <w:tcW w:w="1394" w:type="dxa"/>
            <w:noWrap/>
            <w:hideMark/>
          </w:tcPr>
          <w:p w14:paraId="7C02346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Patient-level</w:t>
            </w:r>
          </w:p>
        </w:tc>
        <w:tc>
          <w:tcPr>
            <w:tcW w:w="1484" w:type="dxa"/>
            <w:noWrap/>
            <w:hideMark/>
          </w:tcPr>
          <w:p w14:paraId="7BA1D03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Single payment; Modality of payments not univocally defined</w:t>
            </w:r>
          </w:p>
        </w:tc>
        <w:tc>
          <w:tcPr>
            <w:tcW w:w="1394" w:type="dxa"/>
            <w:noWrap/>
            <w:hideMark/>
          </w:tcPr>
          <w:p w14:paraId="09BE158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684678A0" w14:textId="77777777" w:rsidTr="00D6757A">
        <w:trPr>
          <w:trHeight w:val="310"/>
        </w:trPr>
        <w:tc>
          <w:tcPr>
            <w:tcW w:w="2154" w:type="dxa"/>
            <w:noWrap/>
            <w:hideMark/>
          </w:tcPr>
          <w:p w14:paraId="7301CA8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Payment by results - </w:t>
            </w:r>
            <w:r w:rsidRPr="0042332B">
              <w:rPr>
                <w:rFonts w:ascii="Times New Roman" w:hAnsi="Times New Roman" w:cs="Times New Roman"/>
                <w:sz w:val="18"/>
                <w:szCs w:val="18"/>
              </w:rPr>
              <w:br/>
              <w:t>population level</w:t>
            </w:r>
          </w:p>
        </w:tc>
        <w:tc>
          <w:tcPr>
            <w:tcW w:w="1254" w:type="dxa"/>
            <w:noWrap/>
            <w:hideMark/>
          </w:tcPr>
          <w:p w14:paraId="03A18A35"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26C4A572" w14:textId="794C6A93"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610BC3A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1B5CE0B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55249AA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784EB76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Mitigate clinical uncertainty</w:t>
            </w:r>
          </w:p>
        </w:tc>
        <w:tc>
          <w:tcPr>
            <w:tcW w:w="964" w:type="dxa"/>
            <w:noWrap/>
            <w:hideMark/>
          </w:tcPr>
          <w:p w14:paraId="7EDF2BC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Yes</w:t>
            </w:r>
          </w:p>
        </w:tc>
        <w:tc>
          <w:tcPr>
            <w:tcW w:w="1394" w:type="dxa"/>
            <w:noWrap/>
            <w:hideMark/>
          </w:tcPr>
          <w:p w14:paraId="52A076F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Population-level</w:t>
            </w:r>
          </w:p>
        </w:tc>
        <w:tc>
          <w:tcPr>
            <w:tcW w:w="1484" w:type="dxa"/>
            <w:noWrap/>
            <w:hideMark/>
          </w:tcPr>
          <w:p w14:paraId="7101E38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Single payment; Modality of payments not univocally defined</w:t>
            </w:r>
          </w:p>
        </w:tc>
        <w:tc>
          <w:tcPr>
            <w:tcW w:w="1394" w:type="dxa"/>
            <w:noWrap/>
            <w:hideMark/>
          </w:tcPr>
          <w:p w14:paraId="7082E2D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55FF809A" w14:textId="77777777" w:rsidTr="00D6757A">
        <w:trPr>
          <w:trHeight w:val="310"/>
        </w:trPr>
        <w:tc>
          <w:tcPr>
            <w:tcW w:w="2154" w:type="dxa"/>
            <w:noWrap/>
            <w:hideMark/>
          </w:tcPr>
          <w:p w14:paraId="728E767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Performance-based installment payment model (for ATMPs)</w:t>
            </w:r>
          </w:p>
        </w:tc>
        <w:tc>
          <w:tcPr>
            <w:tcW w:w="1254" w:type="dxa"/>
            <w:noWrap/>
            <w:hideMark/>
          </w:tcPr>
          <w:p w14:paraId="161C3592"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5E63224C" w14:textId="673FD005"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1C2795A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35A4EB8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12ED6FC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ATMPs</w:t>
            </w:r>
          </w:p>
        </w:tc>
        <w:tc>
          <w:tcPr>
            <w:tcW w:w="1417" w:type="dxa"/>
            <w:noWrap/>
            <w:hideMark/>
          </w:tcPr>
          <w:p w14:paraId="39E683F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r w:rsidRPr="0042332B">
              <w:rPr>
                <w:rFonts w:ascii="Times New Roman" w:hAnsi="Times New Roman" w:cs="Times New Roman"/>
                <w:sz w:val="18"/>
                <w:szCs w:val="18"/>
              </w:rPr>
              <w:br/>
              <w:t>Mitigate clinical uncertainty</w:t>
            </w:r>
          </w:p>
        </w:tc>
        <w:tc>
          <w:tcPr>
            <w:tcW w:w="964" w:type="dxa"/>
            <w:noWrap/>
            <w:hideMark/>
          </w:tcPr>
          <w:p w14:paraId="5B6207B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Yes</w:t>
            </w:r>
          </w:p>
        </w:tc>
        <w:tc>
          <w:tcPr>
            <w:tcW w:w="1394" w:type="dxa"/>
            <w:noWrap/>
            <w:hideMark/>
          </w:tcPr>
          <w:p w14:paraId="5ACF58B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Patient-level</w:t>
            </w:r>
          </w:p>
        </w:tc>
        <w:tc>
          <w:tcPr>
            <w:tcW w:w="1484" w:type="dxa"/>
            <w:noWrap/>
            <w:hideMark/>
          </w:tcPr>
          <w:p w14:paraId="5F8B3EC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Staggered payments: outcome-based; Prospective adjustments</w:t>
            </w:r>
          </w:p>
        </w:tc>
        <w:tc>
          <w:tcPr>
            <w:tcW w:w="1394" w:type="dxa"/>
            <w:noWrap/>
            <w:hideMark/>
          </w:tcPr>
          <w:p w14:paraId="7BF3E0A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320BAD84" w14:textId="77777777" w:rsidTr="00D6757A">
        <w:trPr>
          <w:trHeight w:val="310"/>
        </w:trPr>
        <w:tc>
          <w:tcPr>
            <w:tcW w:w="2154" w:type="dxa"/>
            <w:noWrap/>
            <w:hideMark/>
          </w:tcPr>
          <w:p w14:paraId="45F5647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Performance-linked reimbursement (PLR)</w:t>
            </w:r>
          </w:p>
        </w:tc>
        <w:tc>
          <w:tcPr>
            <w:tcW w:w="1254" w:type="dxa"/>
            <w:noWrap/>
            <w:hideMark/>
          </w:tcPr>
          <w:p w14:paraId="56C60E65"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721D19BA" w14:textId="533FEF24"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6170DA3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41718F7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3C995CE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628E359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Mitigate clinical uncertainty</w:t>
            </w:r>
          </w:p>
        </w:tc>
        <w:tc>
          <w:tcPr>
            <w:tcW w:w="964" w:type="dxa"/>
            <w:noWrap/>
            <w:hideMark/>
          </w:tcPr>
          <w:p w14:paraId="04AA4DE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Yes</w:t>
            </w:r>
          </w:p>
        </w:tc>
        <w:tc>
          <w:tcPr>
            <w:tcW w:w="1394" w:type="dxa"/>
            <w:noWrap/>
            <w:hideMark/>
          </w:tcPr>
          <w:p w14:paraId="147C4AC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Could be both</w:t>
            </w:r>
          </w:p>
        </w:tc>
        <w:tc>
          <w:tcPr>
            <w:tcW w:w="1484" w:type="dxa"/>
            <w:noWrap/>
            <w:hideMark/>
          </w:tcPr>
          <w:p w14:paraId="7F4E5BC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7C24FD0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3E537236" w14:textId="77777777" w:rsidTr="00D6757A">
        <w:trPr>
          <w:trHeight w:val="310"/>
        </w:trPr>
        <w:tc>
          <w:tcPr>
            <w:tcW w:w="2154" w:type="dxa"/>
            <w:noWrap/>
            <w:hideMark/>
          </w:tcPr>
          <w:p w14:paraId="050C6EC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Portfolio package</w:t>
            </w:r>
          </w:p>
        </w:tc>
        <w:tc>
          <w:tcPr>
            <w:tcW w:w="1254" w:type="dxa"/>
            <w:noWrap/>
            <w:hideMark/>
          </w:tcPr>
          <w:p w14:paraId="4903A41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2BBBA6C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58F9191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6745A06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7526E5E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704EDD5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1C8ED17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2E05866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25014F7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632BBDCA" w14:textId="77777777" w:rsidTr="00D6757A">
        <w:trPr>
          <w:trHeight w:val="310"/>
        </w:trPr>
        <w:tc>
          <w:tcPr>
            <w:tcW w:w="2154" w:type="dxa"/>
            <w:noWrap/>
            <w:hideMark/>
          </w:tcPr>
          <w:p w14:paraId="2251488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Price linked to patients' willingness to pay</w:t>
            </w:r>
          </w:p>
        </w:tc>
        <w:tc>
          <w:tcPr>
            <w:tcW w:w="1254" w:type="dxa"/>
            <w:noWrap/>
            <w:hideMark/>
          </w:tcPr>
          <w:p w14:paraId="235729E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61EF166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2C3B299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74B733D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Specific disease areas (multiple sclerosis)</w:t>
            </w:r>
          </w:p>
        </w:tc>
        <w:tc>
          <w:tcPr>
            <w:tcW w:w="1417" w:type="dxa"/>
            <w:noWrap/>
            <w:hideMark/>
          </w:tcPr>
          <w:p w14:paraId="334D6CF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Ensure industry profitability</w:t>
            </w:r>
          </w:p>
        </w:tc>
        <w:tc>
          <w:tcPr>
            <w:tcW w:w="964" w:type="dxa"/>
            <w:noWrap/>
            <w:hideMark/>
          </w:tcPr>
          <w:p w14:paraId="3C5B1FA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0EDAC35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7984500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63FFB0B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6E4ECB40" w14:textId="77777777" w:rsidTr="00D6757A">
        <w:trPr>
          <w:trHeight w:val="310"/>
        </w:trPr>
        <w:tc>
          <w:tcPr>
            <w:tcW w:w="2154" w:type="dxa"/>
            <w:noWrap/>
            <w:hideMark/>
          </w:tcPr>
          <w:p w14:paraId="201CCFA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Prices for orphan drugs set using adjusted cost-effectiveness threshold</w:t>
            </w:r>
          </w:p>
        </w:tc>
        <w:tc>
          <w:tcPr>
            <w:tcW w:w="1254" w:type="dxa"/>
            <w:noWrap/>
            <w:hideMark/>
          </w:tcPr>
          <w:p w14:paraId="0C56979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7101C9C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6CA7B0C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7835FDD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Orphan conditions</w:t>
            </w:r>
          </w:p>
        </w:tc>
        <w:tc>
          <w:tcPr>
            <w:tcW w:w="1417" w:type="dxa"/>
            <w:noWrap/>
            <w:hideMark/>
          </w:tcPr>
          <w:p w14:paraId="4A57ED7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Provide market incentives</w:t>
            </w:r>
          </w:p>
        </w:tc>
        <w:tc>
          <w:tcPr>
            <w:tcW w:w="964" w:type="dxa"/>
            <w:noWrap/>
            <w:hideMark/>
          </w:tcPr>
          <w:p w14:paraId="2A3D7EF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143BAA7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500637B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19946E0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6802EB49" w14:textId="77777777" w:rsidTr="00D6757A">
        <w:trPr>
          <w:trHeight w:val="310"/>
        </w:trPr>
        <w:tc>
          <w:tcPr>
            <w:tcW w:w="2154" w:type="dxa"/>
            <w:noWrap/>
            <w:hideMark/>
          </w:tcPr>
          <w:p w14:paraId="5FD850F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Price-volume agreement</w:t>
            </w:r>
          </w:p>
        </w:tc>
        <w:tc>
          <w:tcPr>
            <w:tcW w:w="1254" w:type="dxa"/>
            <w:noWrap/>
            <w:hideMark/>
          </w:tcPr>
          <w:p w14:paraId="08A79B6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21019FA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565780D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75F6C5D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1711C8F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2057743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561121B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6A473FD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4A6A386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62C0BD6D" w14:textId="77777777" w:rsidTr="00D6757A">
        <w:trPr>
          <w:trHeight w:val="310"/>
        </w:trPr>
        <w:tc>
          <w:tcPr>
            <w:tcW w:w="2154" w:type="dxa"/>
            <w:noWrap/>
            <w:hideMark/>
          </w:tcPr>
          <w:p w14:paraId="530932E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Price–volume agreement under asymmetric information about the mean total demand</w:t>
            </w:r>
          </w:p>
        </w:tc>
        <w:tc>
          <w:tcPr>
            <w:tcW w:w="1254" w:type="dxa"/>
            <w:noWrap/>
            <w:hideMark/>
          </w:tcPr>
          <w:p w14:paraId="22F18FA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28217A3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275AB42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5DBDEEA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5A7A004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156A25D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243ABF3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7CC5679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3C2496F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26CEBE36" w14:textId="77777777" w:rsidTr="00D6757A">
        <w:trPr>
          <w:trHeight w:val="310"/>
        </w:trPr>
        <w:tc>
          <w:tcPr>
            <w:tcW w:w="2154" w:type="dxa"/>
            <w:noWrap/>
            <w:hideMark/>
          </w:tcPr>
          <w:p w14:paraId="172FD8D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Price-volume agreement with nation-wide exponential decays</w:t>
            </w:r>
          </w:p>
        </w:tc>
        <w:tc>
          <w:tcPr>
            <w:tcW w:w="1254" w:type="dxa"/>
            <w:noWrap/>
            <w:hideMark/>
          </w:tcPr>
          <w:p w14:paraId="219D71B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30203E4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600186C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359D46F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6DB8E33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68F1EBF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23F5DF5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2A869F9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09A5558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0459404A" w14:textId="77777777" w:rsidTr="00D6757A">
        <w:trPr>
          <w:trHeight w:val="310"/>
        </w:trPr>
        <w:tc>
          <w:tcPr>
            <w:tcW w:w="2154" w:type="dxa"/>
            <w:noWrap/>
            <w:hideMark/>
          </w:tcPr>
          <w:p w14:paraId="6463F0D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anchored to RCT performance</w:t>
            </w:r>
          </w:p>
        </w:tc>
        <w:tc>
          <w:tcPr>
            <w:tcW w:w="1254" w:type="dxa"/>
            <w:noWrap/>
            <w:hideMark/>
          </w:tcPr>
          <w:p w14:paraId="691C208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7719D25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34A7E70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28575FB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3B00F88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Provide market incentives</w:t>
            </w:r>
          </w:p>
        </w:tc>
        <w:tc>
          <w:tcPr>
            <w:tcW w:w="964" w:type="dxa"/>
            <w:noWrap/>
            <w:hideMark/>
          </w:tcPr>
          <w:p w14:paraId="2F4C351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199D23C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3C721EC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011456F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3951F6DF" w14:textId="77777777" w:rsidTr="00D6757A">
        <w:trPr>
          <w:trHeight w:val="310"/>
        </w:trPr>
        <w:tc>
          <w:tcPr>
            <w:tcW w:w="2154" w:type="dxa"/>
            <w:noWrap/>
            <w:hideMark/>
          </w:tcPr>
          <w:p w14:paraId="6F04025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Priority review voucher program</w:t>
            </w:r>
          </w:p>
        </w:tc>
        <w:tc>
          <w:tcPr>
            <w:tcW w:w="1254" w:type="dxa"/>
            <w:noWrap/>
            <w:hideMark/>
          </w:tcPr>
          <w:p w14:paraId="68FAAC86"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07DAB66F" w14:textId="07231C20"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6C95670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3A9FA72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19DB806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Orphan conditions</w:t>
            </w:r>
          </w:p>
        </w:tc>
        <w:tc>
          <w:tcPr>
            <w:tcW w:w="1417" w:type="dxa"/>
            <w:noWrap/>
            <w:hideMark/>
          </w:tcPr>
          <w:p w14:paraId="14DA642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Provide market incentives</w:t>
            </w:r>
          </w:p>
        </w:tc>
        <w:tc>
          <w:tcPr>
            <w:tcW w:w="964" w:type="dxa"/>
            <w:noWrap/>
            <w:hideMark/>
          </w:tcPr>
          <w:p w14:paraId="19404F5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533047B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7E3B4D0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44061B4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3BFC79E7" w14:textId="77777777" w:rsidTr="00D6757A">
        <w:trPr>
          <w:trHeight w:val="310"/>
        </w:trPr>
        <w:tc>
          <w:tcPr>
            <w:tcW w:w="2154" w:type="dxa"/>
            <w:noWrap/>
            <w:hideMark/>
          </w:tcPr>
          <w:p w14:paraId="18788EB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Prize (reward) system based on societal willingness to pay for health benefits</w:t>
            </w:r>
          </w:p>
        </w:tc>
        <w:tc>
          <w:tcPr>
            <w:tcW w:w="1254" w:type="dxa"/>
            <w:noWrap/>
            <w:hideMark/>
          </w:tcPr>
          <w:p w14:paraId="2C96F236"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640719A7" w14:textId="73B973A8"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7F70177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0A40735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6594AA7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135D62D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Provide market incentives</w:t>
            </w:r>
          </w:p>
        </w:tc>
        <w:tc>
          <w:tcPr>
            <w:tcW w:w="964" w:type="dxa"/>
            <w:noWrap/>
            <w:hideMark/>
          </w:tcPr>
          <w:p w14:paraId="00A68FE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10EA6B2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0C1E7F4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0905BBA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311467ED" w14:textId="77777777" w:rsidTr="00D6757A">
        <w:trPr>
          <w:trHeight w:val="310"/>
        </w:trPr>
        <w:tc>
          <w:tcPr>
            <w:tcW w:w="2154" w:type="dxa"/>
            <w:noWrap/>
            <w:hideMark/>
          </w:tcPr>
          <w:p w14:paraId="5FDD63A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Rate of return pricing</w:t>
            </w:r>
          </w:p>
        </w:tc>
        <w:tc>
          <w:tcPr>
            <w:tcW w:w="1254" w:type="dxa"/>
            <w:noWrap/>
            <w:hideMark/>
          </w:tcPr>
          <w:p w14:paraId="4B44DFD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2C4B798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6682A5C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3D1FC7A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073AEFC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Ensure industry profitability</w:t>
            </w:r>
          </w:p>
        </w:tc>
        <w:tc>
          <w:tcPr>
            <w:tcW w:w="964" w:type="dxa"/>
            <w:noWrap/>
            <w:hideMark/>
          </w:tcPr>
          <w:p w14:paraId="7B0DF2F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612F051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63E2F38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14A5A0B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589B8A14" w14:textId="77777777" w:rsidTr="00D6757A">
        <w:trPr>
          <w:trHeight w:val="310"/>
        </w:trPr>
        <w:tc>
          <w:tcPr>
            <w:tcW w:w="2154" w:type="dxa"/>
            <w:noWrap/>
            <w:hideMark/>
          </w:tcPr>
          <w:p w14:paraId="76E3ACD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Reference pricing (RP)</w:t>
            </w:r>
          </w:p>
        </w:tc>
        <w:tc>
          <w:tcPr>
            <w:tcW w:w="1254" w:type="dxa"/>
            <w:noWrap/>
            <w:hideMark/>
          </w:tcPr>
          <w:p w14:paraId="176A815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6BF1646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26A50C1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24CED94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2E73493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17CCD8E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28AA4E3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2888741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15D99E5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13FC6C6B" w14:textId="77777777" w:rsidTr="00D6757A">
        <w:trPr>
          <w:trHeight w:val="310"/>
        </w:trPr>
        <w:tc>
          <w:tcPr>
            <w:tcW w:w="2154" w:type="dxa"/>
            <w:noWrap/>
            <w:hideMark/>
          </w:tcPr>
          <w:p w14:paraId="620CF66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programs for life-saving/life-extending drugs</w:t>
            </w:r>
          </w:p>
        </w:tc>
        <w:tc>
          <w:tcPr>
            <w:tcW w:w="1254" w:type="dxa"/>
            <w:noWrap/>
            <w:hideMark/>
          </w:tcPr>
          <w:p w14:paraId="0E0170F0"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2654F4A1" w14:textId="35D6D6F6"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243994F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50147E5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3D402C7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Orphan conditions</w:t>
            </w:r>
          </w:p>
        </w:tc>
        <w:tc>
          <w:tcPr>
            <w:tcW w:w="1417" w:type="dxa"/>
            <w:noWrap/>
            <w:hideMark/>
          </w:tcPr>
          <w:p w14:paraId="61F7C9E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Foster patient access</w:t>
            </w:r>
          </w:p>
        </w:tc>
        <w:tc>
          <w:tcPr>
            <w:tcW w:w="964" w:type="dxa"/>
            <w:noWrap/>
            <w:hideMark/>
          </w:tcPr>
          <w:p w14:paraId="7A09342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4E228D7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1E99EB3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11E186C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011B2BB9" w14:textId="77777777" w:rsidTr="00D6757A">
        <w:trPr>
          <w:trHeight w:val="310"/>
        </w:trPr>
        <w:tc>
          <w:tcPr>
            <w:tcW w:w="2154" w:type="dxa"/>
            <w:noWrap/>
            <w:hideMark/>
          </w:tcPr>
          <w:p w14:paraId="55D7FC7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Staggered payments (or over-time payments)</w:t>
            </w:r>
          </w:p>
        </w:tc>
        <w:tc>
          <w:tcPr>
            <w:tcW w:w="1254" w:type="dxa"/>
            <w:noWrap/>
            <w:hideMark/>
          </w:tcPr>
          <w:p w14:paraId="565F20B8"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59FD58E4" w14:textId="68566B4C"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6747FFB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502AD87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16C023A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64249B4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6B64E16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18292A7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7E4F6B5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Staggered payments: constant; Modality of payments not univocally defined</w:t>
            </w:r>
          </w:p>
        </w:tc>
        <w:tc>
          <w:tcPr>
            <w:tcW w:w="1394" w:type="dxa"/>
            <w:noWrap/>
            <w:hideMark/>
          </w:tcPr>
          <w:p w14:paraId="47D63E2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4B8CFFD9" w14:textId="77777777" w:rsidTr="00D6757A">
        <w:trPr>
          <w:trHeight w:val="310"/>
        </w:trPr>
        <w:tc>
          <w:tcPr>
            <w:tcW w:w="2154" w:type="dxa"/>
            <w:noWrap/>
            <w:hideMark/>
          </w:tcPr>
          <w:p w14:paraId="0A690B9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Success fee</w:t>
            </w:r>
            <w:r w:rsidRPr="0042332B">
              <w:rPr>
                <w:rFonts w:ascii="Times New Roman" w:hAnsi="Times New Roman" w:cs="Times New Roman"/>
                <w:sz w:val="18"/>
                <w:szCs w:val="18"/>
              </w:rPr>
              <w:br/>
              <w:t>(add on to outcome-based risk-sharing agreements)</w:t>
            </w:r>
          </w:p>
        </w:tc>
        <w:tc>
          <w:tcPr>
            <w:tcW w:w="1254" w:type="dxa"/>
            <w:noWrap/>
            <w:hideMark/>
          </w:tcPr>
          <w:p w14:paraId="64FD5DEF"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7AEF2A60" w14:textId="1A771215"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44398DE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6F051A0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31C3585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2E21535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Mitigate clinical uncertainty</w:t>
            </w:r>
          </w:p>
        </w:tc>
        <w:tc>
          <w:tcPr>
            <w:tcW w:w="964" w:type="dxa"/>
            <w:noWrap/>
            <w:hideMark/>
          </w:tcPr>
          <w:p w14:paraId="4F86A72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Yes</w:t>
            </w:r>
          </w:p>
        </w:tc>
        <w:tc>
          <w:tcPr>
            <w:tcW w:w="1394" w:type="dxa"/>
            <w:noWrap/>
            <w:hideMark/>
          </w:tcPr>
          <w:p w14:paraId="7BC7D47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Patient-level</w:t>
            </w:r>
          </w:p>
        </w:tc>
        <w:tc>
          <w:tcPr>
            <w:tcW w:w="1484" w:type="dxa"/>
            <w:noWrap/>
            <w:hideMark/>
          </w:tcPr>
          <w:p w14:paraId="3C2DD94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Single payment; Prospective adjustments</w:t>
            </w:r>
          </w:p>
        </w:tc>
        <w:tc>
          <w:tcPr>
            <w:tcW w:w="1394" w:type="dxa"/>
            <w:noWrap/>
            <w:hideMark/>
          </w:tcPr>
          <w:p w14:paraId="45F4632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529D3D4C" w14:textId="77777777" w:rsidTr="00D6757A">
        <w:trPr>
          <w:trHeight w:val="310"/>
        </w:trPr>
        <w:tc>
          <w:tcPr>
            <w:tcW w:w="2154" w:type="dxa"/>
            <w:noWrap/>
            <w:hideMark/>
          </w:tcPr>
          <w:p w14:paraId="7B400D8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Technology leasing reimbursement strategy (TLRS)</w:t>
            </w:r>
          </w:p>
        </w:tc>
        <w:tc>
          <w:tcPr>
            <w:tcW w:w="1254" w:type="dxa"/>
            <w:noWrap/>
            <w:hideMark/>
          </w:tcPr>
          <w:p w14:paraId="721CC19D"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635320B9" w14:textId="67097D6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071B33A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399923F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4306CC6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76DD1C7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1B998A7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Yes</w:t>
            </w:r>
          </w:p>
        </w:tc>
        <w:tc>
          <w:tcPr>
            <w:tcW w:w="1394" w:type="dxa"/>
            <w:noWrap/>
            <w:hideMark/>
          </w:tcPr>
          <w:p w14:paraId="6C611E7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Patient-level</w:t>
            </w:r>
          </w:p>
        </w:tc>
        <w:tc>
          <w:tcPr>
            <w:tcW w:w="1484" w:type="dxa"/>
            <w:noWrap/>
            <w:hideMark/>
          </w:tcPr>
          <w:p w14:paraId="64D9A58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Staggered payments: constant; Prospective adjustments</w:t>
            </w:r>
          </w:p>
        </w:tc>
        <w:tc>
          <w:tcPr>
            <w:tcW w:w="1394" w:type="dxa"/>
            <w:noWrap/>
            <w:hideMark/>
          </w:tcPr>
          <w:p w14:paraId="0CAFE2D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64820FD3" w14:textId="77777777" w:rsidTr="00D6757A">
        <w:trPr>
          <w:trHeight w:val="310"/>
        </w:trPr>
        <w:tc>
          <w:tcPr>
            <w:tcW w:w="2154" w:type="dxa"/>
            <w:noWrap/>
            <w:hideMark/>
          </w:tcPr>
          <w:p w14:paraId="7545707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Tendering/Negotiations</w:t>
            </w:r>
          </w:p>
        </w:tc>
        <w:tc>
          <w:tcPr>
            <w:tcW w:w="1254" w:type="dxa"/>
            <w:noWrap/>
            <w:hideMark/>
          </w:tcPr>
          <w:p w14:paraId="03F94A2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0D9D518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674D0F0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 (generics)</w:t>
            </w:r>
          </w:p>
        </w:tc>
        <w:tc>
          <w:tcPr>
            <w:tcW w:w="1264" w:type="dxa"/>
            <w:noWrap/>
            <w:hideMark/>
          </w:tcPr>
          <w:p w14:paraId="1245F30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208946E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4D730E2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51F3958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08BC83A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4313AA8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4B0BD716" w14:textId="77777777" w:rsidTr="00D6757A">
        <w:trPr>
          <w:trHeight w:val="310"/>
        </w:trPr>
        <w:tc>
          <w:tcPr>
            <w:tcW w:w="2154" w:type="dxa"/>
            <w:noWrap/>
            <w:hideMark/>
          </w:tcPr>
          <w:p w14:paraId="6CA60B7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Three-Part Pricing (TPP)</w:t>
            </w:r>
          </w:p>
        </w:tc>
        <w:tc>
          <w:tcPr>
            <w:tcW w:w="1254" w:type="dxa"/>
            <w:noWrap/>
            <w:hideMark/>
          </w:tcPr>
          <w:p w14:paraId="39137B3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3B6B183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168BEB8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10D6E70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1F6969E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Mitigate clinical uncertainty</w:t>
            </w:r>
          </w:p>
        </w:tc>
        <w:tc>
          <w:tcPr>
            <w:tcW w:w="964" w:type="dxa"/>
            <w:noWrap/>
            <w:hideMark/>
          </w:tcPr>
          <w:p w14:paraId="2A10C0E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Seems yes</w:t>
            </w:r>
          </w:p>
        </w:tc>
        <w:tc>
          <w:tcPr>
            <w:tcW w:w="1394" w:type="dxa"/>
            <w:noWrap/>
            <w:hideMark/>
          </w:tcPr>
          <w:p w14:paraId="5FC411D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Seems population-level</w:t>
            </w:r>
          </w:p>
        </w:tc>
        <w:tc>
          <w:tcPr>
            <w:tcW w:w="1484" w:type="dxa"/>
            <w:noWrap/>
            <w:hideMark/>
          </w:tcPr>
          <w:p w14:paraId="7FEC3A7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248CDD2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Adopt but seek/require further evidence</w:t>
            </w:r>
          </w:p>
        </w:tc>
      </w:tr>
      <w:tr w:rsidR="0042332B" w:rsidRPr="0042332B" w14:paraId="74FAFE73" w14:textId="77777777" w:rsidTr="00D6757A">
        <w:trPr>
          <w:trHeight w:val="310"/>
        </w:trPr>
        <w:tc>
          <w:tcPr>
            <w:tcW w:w="2154" w:type="dxa"/>
            <w:noWrap/>
            <w:hideMark/>
          </w:tcPr>
          <w:p w14:paraId="2047454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Tiered-pricing framework (TPF)</w:t>
            </w:r>
          </w:p>
        </w:tc>
        <w:tc>
          <w:tcPr>
            <w:tcW w:w="1254" w:type="dxa"/>
            <w:noWrap/>
            <w:hideMark/>
          </w:tcPr>
          <w:p w14:paraId="3598085B" w14:textId="77777777" w:rsidR="0042332B" w:rsidRDefault="0042332B">
            <w:pPr>
              <w:rPr>
                <w:rFonts w:ascii="Times New Roman" w:hAnsi="Times New Roman" w:cs="Times New Roman"/>
                <w:sz w:val="18"/>
                <w:szCs w:val="18"/>
              </w:rPr>
            </w:pPr>
            <w:r w:rsidRPr="0042332B">
              <w:rPr>
                <w:rFonts w:ascii="Times New Roman" w:hAnsi="Times New Roman" w:cs="Times New Roman"/>
                <w:sz w:val="18"/>
                <w:szCs w:val="18"/>
              </w:rPr>
              <w:t>Payment/</w:t>
            </w:r>
          </w:p>
          <w:p w14:paraId="6938956B" w14:textId="543CA523"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Reimbursement Scheme</w:t>
            </w:r>
          </w:p>
        </w:tc>
        <w:tc>
          <w:tcPr>
            <w:tcW w:w="1020" w:type="dxa"/>
            <w:noWrap/>
            <w:hideMark/>
          </w:tcPr>
          <w:p w14:paraId="3AC91CA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505D63B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 (generics)</w:t>
            </w:r>
          </w:p>
        </w:tc>
        <w:tc>
          <w:tcPr>
            <w:tcW w:w="1264" w:type="dxa"/>
            <w:noWrap/>
            <w:hideMark/>
          </w:tcPr>
          <w:p w14:paraId="29C7925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6846D1AD"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 Provide market incentives</w:t>
            </w:r>
          </w:p>
        </w:tc>
        <w:tc>
          <w:tcPr>
            <w:tcW w:w="964" w:type="dxa"/>
            <w:noWrap/>
            <w:hideMark/>
          </w:tcPr>
          <w:p w14:paraId="7FE6B62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50E7145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4C04388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58F9749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3C07ECF4" w14:textId="77777777" w:rsidTr="00D6757A">
        <w:trPr>
          <w:trHeight w:val="310"/>
        </w:trPr>
        <w:tc>
          <w:tcPr>
            <w:tcW w:w="2154" w:type="dxa"/>
            <w:noWrap/>
            <w:hideMark/>
          </w:tcPr>
          <w:p w14:paraId="5C007F0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Two-Part Pricing (2PP)</w:t>
            </w:r>
          </w:p>
        </w:tc>
        <w:tc>
          <w:tcPr>
            <w:tcW w:w="1254" w:type="dxa"/>
            <w:noWrap/>
            <w:hideMark/>
          </w:tcPr>
          <w:p w14:paraId="1A1730E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06BBC83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6CFCA59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33699A3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754E6D0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5CB963B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4F33F42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172A08E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Entry </w:t>
            </w:r>
            <w:proofErr w:type="spellStart"/>
            <w:r w:rsidRPr="0042332B">
              <w:rPr>
                <w:rFonts w:ascii="Times New Roman" w:hAnsi="Times New Roman" w:cs="Times New Roman"/>
                <w:sz w:val="18"/>
                <w:szCs w:val="18"/>
              </w:rPr>
              <w:t>fee+usage</w:t>
            </w:r>
            <w:proofErr w:type="spellEnd"/>
            <w:r w:rsidRPr="0042332B">
              <w:rPr>
                <w:rFonts w:ascii="Times New Roman" w:hAnsi="Times New Roman" w:cs="Times New Roman"/>
                <w:sz w:val="18"/>
                <w:szCs w:val="18"/>
              </w:rPr>
              <w:t xml:space="preserve"> fee; Modality of payment not univocally defined</w:t>
            </w:r>
          </w:p>
        </w:tc>
        <w:tc>
          <w:tcPr>
            <w:tcW w:w="1394" w:type="dxa"/>
            <w:noWrap/>
            <w:hideMark/>
          </w:tcPr>
          <w:p w14:paraId="42A4817A"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r w:rsidR="0042332B" w:rsidRPr="0042332B" w14:paraId="6F64FDDC" w14:textId="77777777" w:rsidTr="00D6757A">
        <w:trPr>
          <w:trHeight w:val="310"/>
        </w:trPr>
        <w:tc>
          <w:tcPr>
            <w:tcW w:w="2154" w:type="dxa"/>
            <w:noWrap/>
            <w:hideMark/>
          </w:tcPr>
          <w:p w14:paraId="171A18FF"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Value informed, affordable pricing ("VIA pricing")</w:t>
            </w:r>
          </w:p>
        </w:tc>
        <w:tc>
          <w:tcPr>
            <w:tcW w:w="1254" w:type="dxa"/>
            <w:noWrap/>
            <w:hideMark/>
          </w:tcPr>
          <w:p w14:paraId="5F3DA5A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5B081E2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6178AF8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6DF1C7B2"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6F86DDB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Foster patient access</w:t>
            </w:r>
          </w:p>
        </w:tc>
        <w:tc>
          <w:tcPr>
            <w:tcW w:w="964" w:type="dxa"/>
            <w:noWrap/>
            <w:hideMark/>
          </w:tcPr>
          <w:p w14:paraId="23F49E9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7A757426"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06F5DFD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21986B9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09E48A43" w14:textId="77777777" w:rsidTr="00D6757A">
        <w:trPr>
          <w:trHeight w:val="310"/>
        </w:trPr>
        <w:tc>
          <w:tcPr>
            <w:tcW w:w="2154" w:type="dxa"/>
            <w:noWrap/>
            <w:hideMark/>
          </w:tcPr>
          <w:p w14:paraId="106BD7FC"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Value-based pricing (VBP)</w:t>
            </w:r>
            <w:r w:rsidRPr="0042332B">
              <w:rPr>
                <w:rFonts w:ascii="Times New Roman" w:hAnsi="Times New Roman" w:cs="Times New Roman"/>
                <w:sz w:val="18"/>
                <w:szCs w:val="18"/>
              </w:rPr>
              <w:br/>
              <w:t>(</w:t>
            </w:r>
            <w:proofErr w:type="spellStart"/>
            <w:r w:rsidRPr="0042332B">
              <w:rPr>
                <w:rFonts w:ascii="Times New Roman" w:hAnsi="Times New Roman" w:cs="Times New Roman"/>
                <w:sz w:val="18"/>
                <w:szCs w:val="18"/>
              </w:rPr>
              <w:t>also,“cost</w:t>
            </w:r>
            <w:proofErr w:type="spellEnd"/>
            <w:r w:rsidRPr="0042332B">
              <w:rPr>
                <w:rFonts w:ascii="Times New Roman" w:hAnsi="Times New Roman" w:cs="Times New Roman"/>
                <w:sz w:val="18"/>
                <w:szCs w:val="18"/>
              </w:rPr>
              <w:t xml:space="preserve"> effectiveness-based” or “pharma economic” pricing)</w:t>
            </w:r>
          </w:p>
        </w:tc>
        <w:tc>
          <w:tcPr>
            <w:tcW w:w="1254" w:type="dxa"/>
            <w:noWrap/>
            <w:hideMark/>
          </w:tcPr>
          <w:p w14:paraId="1449AA2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69115835"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Applied</w:t>
            </w:r>
          </w:p>
        </w:tc>
        <w:tc>
          <w:tcPr>
            <w:tcW w:w="1531" w:type="dxa"/>
            <w:noWrap/>
            <w:hideMark/>
          </w:tcPr>
          <w:p w14:paraId="5971D26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Drugs</w:t>
            </w:r>
          </w:p>
        </w:tc>
        <w:tc>
          <w:tcPr>
            <w:tcW w:w="1264" w:type="dxa"/>
            <w:noWrap/>
            <w:hideMark/>
          </w:tcPr>
          <w:p w14:paraId="7EA0A70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7433D469"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0368B48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62E1BC8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0909CCE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relevant/applicable</w:t>
            </w:r>
          </w:p>
        </w:tc>
        <w:tc>
          <w:tcPr>
            <w:tcW w:w="1394" w:type="dxa"/>
            <w:noWrap/>
            <w:hideMark/>
          </w:tcPr>
          <w:p w14:paraId="58066F3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r>
      <w:tr w:rsidR="0042332B" w:rsidRPr="0042332B" w14:paraId="654DCE0D" w14:textId="77777777" w:rsidTr="00D6757A">
        <w:trPr>
          <w:trHeight w:val="310"/>
        </w:trPr>
        <w:tc>
          <w:tcPr>
            <w:tcW w:w="2154" w:type="dxa"/>
            <w:noWrap/>
            <w:hideMark/>
          </w:tcPr>
          <w:p w14:paraId="1F98EF8E"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Value-based pricing adjusted to account for a technology net present value</w:t>
            </w:r>
          </w:p>
        </w:tc>
        <w:tc>
          <w:tcPr>
            <w:tcW w:w="1254" w:type="dxa"/>
            <w:noWrap/>
            <w:hideMark/>
          </w:tcPr>
          <w:p w14:paraId="492ACB70"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Pricing Scheme</w:t>
            </w:r>
          </w:p>
        </w:tc>
        <w:tc>
          <w:tcPr>
            <w:tcW w:w="1020" w:type="dxa"/>
            <w:noWrap/>
            <w:hideMark/>
          </w:tcPr>
          <w:p w14:paraId="09CB720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Theoretical</w:t>
            </w:r>
          </w:p>
        </w:tc>
        <w:tc>
          <w:tcPr>
            <w:tcW w:w="1531" w:type="dxa"/>
            <w:noWrap/>
            <w:hideMark/>
          </w:tcPr>
          <w:p w14:paraId="5CE1AD43"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 indication of a specific technology</w:t>
            </w:r>
          </w:p>
        </w:tc>
        <w:tc>
          <w:tcPr>
            <w:tcW w:w="1264" w:type="dxa"/>
            <w:noWrap/>
            <w:hideMark/>
          </w:tcPr>
          <w:p w14:paraId="58C0CAD1"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None</w:t>
            </w:r>
          </w:p>
        </w:tc>
        <w:tc>
          <w:tcPr>
            <w:tcW w:w="1417" w:type="dxa"/>
            <w:noWrap/>
            <w:hideMark/>
          </w:tcPr>
          <w:p w14:paraId="773187D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Handle financial affordability</w:t>
            </w:r>
          </w:p>
        </w:tc>
        <w:tc>
          <w:tcPr>
            <w:tcW w:w="964" w:type="dxa"/>
            <w:noWrap/>
            <w:hideMark/>
          </w:tcPr>
          <w:p w14:paraId="42355418"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w:t>
            </w:r>
          </w:p>
        </w:tc>
        <w:tc>
          <w:tcPr>
            <w:tcW w:w="1394" w:type="dxa"/>
            <w:noWrap/>
            <w:hideMark/>
          </w:tcPr>
          <w:p w14:paraId="12E7E27B"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Not relevant/available</w:t>
            </w:r>
          </w:p>
        </w:tc>
        <w:tc>
          <w:tcPr>
            <w:tcW w:w="1484" w:type="dxa"/>
            <w:noWrap/>
            <w:hideMark/>
          </w:tcPr>
          <w:p w14:paraId="64E84047"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Timing and modality of payments not univocally defined</w:t>
            </w:r>
          </w:p>
        </w:tc>
        <w:tc>
          <w:tcPr>
            <w:tcW w:w="1394" w:type="dxa"/>
            <w:noWrap/>
            <w:hideMark/>
          </w:tcPr>
          <w:p w14:paraId="3CF6DB74" w14:textId="77777777" w:rsidR="0042332B" w:rsidRPr="0042332B" w:rsidRDefault="0042332B">
            <w:pPr>
              <w:rPr>
                <w:rFonts w:ascii="Times New Roman" w:hAnsi="Times New Roman" w:cs="Times New Roman"/>
                <w:sz w:val="18"/>
                <w:szCs w:val="18"/>
              </w:rPr>
            </w:pPr>
            <w:r w:rsidRPr="0042332B">
              <w:rPr>
                <w:rFonts w:ascii="Times New Roman" w:hAnsi="Times New Roman" w:cs="Times New Roman"/>
                <w:sz w:val="18"/>
                <w:szCs w:val="18"/>
              </w:rPr>
              <w:t xml:space="preserve">Adopt with no additional evidence collection </w:t>
            </w:r>
          </w:p>
        </w:tc>
      </w:tr>
    </w:tbl>
    <w:p w14:paraId="341C6B55" w14:textId="42886EDF" w:rsidR="0042332B" w:rsidRDefault="00D6757A">
      <w:pPr>
        <w:rPr>
          <w:rFonts w:ascii="Times New Roman" w:hAnsi="Times New Roman" w:cs="Times New Roman"/>
        </w:rPr>
      </w:pPr>
      <w:r w:rsidRPr="00D6757A">
        <w:rPr>
          <w:rFonts w:ascii="Times New Roman" w:hAnsi="Times New Roman" w:cs="Times New Roman"/>
          <w:i/>
        </w:rPr>
        <w:t>Note</w:t>
      </w:r>
      <w:r>
        <w:rPr>
          <w:rFonts w:ascii="Times New Roman" w:hAnsi="Times New Roman" w:cs="Times New Roman"/>
        </w:rPr>
        <w:t xml:space="preserve">: Scheme types are ordered alphabetically </w:t>
      </w:r>
    </w:p>
    <w:p w14:paraId="07123828" w14:textId="61011385" w:rsidR="00872547" w:rsidRDefault="00872547">
      <w:pPr>
        <w:rPr>
          <w:rFonts w:ascii="Times New Roman" w:hAnsi="Times New Roman" w:cs="Times New Roman"/>
        </w:rPr>
      </w:pPr>
      <w:r>
        <w:rPr>
          <w:rFonts w:ascii="Times New Roman" w:hAnsi="Times New Roman" w:cs="Times New Roman"/>
        </w:rPr>
        <w:br w:type="page"/>
      </w:r>
    </w:p>
    <w:p w14:paraId="0585C765" w14:textId="77777777" w:rsidR="00872547" w:rsidRDefault="00872547">
      <w:pPr>
        <w:rPr>
          <w:rFonts w:ascii="Times New Roman" w:hAnsi="Times New Roman" w:cs="Times New Roman"/>
        </w:rPr>
        <w:sectPr w:rsidR="00872547" w:rsidSect="00A77862">
          <w:pgSz w:w="15840" w:h="12240" w:orient="landscape"/>
          <w:pgMar w:top="1440" w:right="1440" w:bottom="1440" w:left="1440" w:header="720" w:footer="720" w:gutter="0"/>
          <w:cols w:space="720"/>
          <w:docGrid w:linePitch="360"/>
        </w:sectPr>
      </w:pPr>
    </w:p>
    <w:p w14:paraId="0156CFFA" w14:textId="6A1B2A0B" w:rsidR="00872547" w:rsidRDefault="00872547">
      <w:pPr>
        <w:rPr>
          <w:rFonts w:ascii="Times New Roman" w:hAnsi="Times New Roman" w:cs="Times New Roman"/>
        </w:rPr>
      </w:pPr>
      <w:r>
        <w:rPr>
          <w:rFonts w:ascii="Times New Roman" w:hAnsi="Times New Roman" w:cs="Times New Roman"/>
        </w:rPr>
        <w:t>References</w:t>
      </w:r>
    </w:p>
    <w:p w14:paraId="3F0B9037" w14:textId="77777777" w:rsidR="00B751AE" w:rsidRPr="003F0083" w:rsidRDefault="002B0A9A" w:rsidP="003F0083">
      <w:pPr>
        <w:pStyle w:val="Bibliography"/>
        <w:jc w:val="both"/>
        <w:rPr>
          <w:rFonts w:ascii="Times New Roman" w:hAnsi="Times New Roman" w:cs="Times New Roman"/>
        </w:rPr>
      </w:pPr>
      <w:r w:rsidRPr="003F0083">
        <w:rPr>
          <w:rFonts w:ascii="Times New Roman" w:hAnsi="Times New Roman" w:cs="Times New Roman"/>
        </w:rPr>
        <w:fldChar w:fldCharType="begin"/>
      </w:r>
      <w:r w:rsidR="00B751AE" w:rsidRPr="003F0083">
        <w:rPr>
          <w:rFonts w:ascii="Times New Roman" w:hAnsi="Times New Roman" w:cs="Times New Roman"/>
        </w:rPr>
        <w:instrText xml:space="preserve"> ADDIN ZOTERO_BIBL {"uncited":[],"omitted":[],"custom":[]} CSL_BIBLIOGRAPHY </w:instrText>
      </w:r>
      <w:r w:rsidRPr="003F0083">
        <w:rPr>
          <w:rFonts w:ascii="Times New Roman" w:hAnsi="Times New Roman" w:cs="Times New Roman"/>
        </w:rPr>
        <w:fldChar w:fldCharType="separate"/>
      </w:r>
      <w:r w:rsidR="00B751AE" w:rsidRPr="003F0083">
        <w:rPr>
          <w:rFonts w:ascii="Times New Roman" w:hAnsi="Times New Roman" w:cs="Times New Roman"/>
        </w:rPr>
        <w:t>[1]</w:t>
      </w:r>
      <w:r w:rsidR="00B751AE" w:rsidRPr="003F0083">
        <w:rPr>
          <w:rFonts w:ascii="Times New Roman" w:hAnsi="Times New Roman" w:cs="Times New Roman"/>
        </w:rPr>
        <w:tab/>
        <w:t xml:space="preserve">F. Rahimi, H. R. Rasekh, E. Abbasian, and F. Peiravian, “A new approach to pharmaceutical pricing based on patients’ willingness to pay,” </w:t>
      </w:r>
      <w:r w:rsidR="00B751AE" w:rsidRPr="003F0083">
        <w:rPr>
          <w:rFonts w:ascii="Times New Roman" w:hAnsi="Times New Roman" w:cs="Times New Roman"/>
          <w:i/>
          <w:iCs/>
        </w:rPr>
        <w:t>Trop Med Int Health</w:t>
      </w:r>
      <w:r w:rsidR="00B751AE" w:rsidRPr="003F0083">
        <w:rPr>
          <w:rFonts w:ascii="Times New Roman" w:hAnsi="Times New Roman" w:cs="Times New Roman"/>
        </w:rPr>
        <w:t>, vol. 23, no. 12, pp. 1326–1331, Dec. 2018, doi: 10.1111/tmi.13157.</w:t>
      </w:r>
    </w:p>
    <w:p w14:paraId="39A870D0"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[2]</w:t>
      </w:r>
      <w:r w:rsidRPr="003F0083">
        <w:rPr>
          <w:rFonts w:ascii="Times New Roman" w:hAnsi="Times New Roman" w:cs="Times New Roman"/>
        </w:rPr>
        <w:tab/>
        <w:t xml:space="preserve">A. Gandjour and N. Chernyak, “A new prize system for drug innovation,” </w:t>
      </w:r>
      <w:r w:rsidRPr="003F0083">
        <w:rPr>
          <w:rFonts w:ascii="Times New Roman" w:hAnsi="Times New Roman" w:cs="Times New Roman"/>
          <w:i/>
          <w:iCs/>
        </w:rPr>
        <w:t>Health Policy</w:t>
      </w:r>
      <w:r w:rsidRPr="003F0083">
        <w:rPr>
          <w:rFonts w:ascii="Times New Roman" w:hAnsi="Times New Roman" w:cs="Times New Roman"/>
        </w:rPr>
        <w:t>, vol. 102, no. 2–3, pp. 170–177, Oct. 2011, doi: 10.1016/j.healthpol.2011.06.001.</w:t>
      </w:r>
    </w:p>
    <w:p w14:paraId="0DFCA572"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[3]</w:t>
      </w:r>
      <w:r w:rsidRPr="003F0083">
        <w:rPr>
          <w:rFonts w:ascii="Times New Roman" w:hAnsi="Times New Roman" w:cs="Times New Roman"/>
        </w:rPr>
        <w:tab/>
        <w:t xml:space="preserve">U. Persson, J. Svensson, and B. Pettersson, “A New Reimbursement System for Innovative Pharmaceuticals Combining Value-Based and Free Market Pricing:,” </w:t>
      </w:r>
      <w:r w:rsidRPr="003F0083">
        <w:rPr>
          <w:rFonts w:ascii="Times New Roman" w:hAnsi="Times New Roman" w:cs="Times New Roman"/>
          <w:i/>
          <w:iCs/>
        </w:rPr>
        <w:t>Applied Health Economics and Health Policy</w:t>
      </w:r>
      <w:r w:rsidRPr="003F0083">
        <w:rPr>
          <w:rFonts w:ascii="Times New Roman" w:hAnsi="Times New Roman" w:cs="Times New Roman"/>
        </w:rPr>
        <w:t>, vol. 10, no. 4, pp. 217–225, Jul. 2012, doi: 10.2165/11633930-000000000-00000.</w:t>
      </w:r>
    </w:p>
    <w:p w14:paraId="3063BDA3"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[4]</w:t>
      </w:r>
      <w:r w:rsidRPr="003F0083">
        <w:rPr>
          <w:rFonts w:ascii="Times New Roman" w:hAnsi="Times New Roman" w:cs="Times New Roman"/>
        </w:rPr>
        <w:tab/>
        <w:t xml:space="preserve">L. Annemans, “A proposal for value informed, affordable (‘via’) prices for innovative medicines,” </w:t>
      </w:r>
      <w:r w:rsidRPr="003F0083">
        <w:rPr>
          <w:rFonts w:ascii="Times New Roman" w:hAnsi="Times New Roman" w:cs="Times New Roman"/>
          <w:i/>
          <w:iCs/>
        </w:rPr>
        <w:t>Journal of Medical Economics</w:t>
      </w:r>
      <w:r w:rsidRPr="003F0083">
        <w:rPr>
          <w:rFonts w:ascii="Times New Roman" w:hAnsi="Times New Roman" w:cs="Times New Roman"/>
        </w:rPr>
        <w:t>, vol. 22, no. 11, pp. 1235–1239, Nov. 2019, doi: 10.1080/13696998.2019.1632203.</w:t>
      </w:r>
    </w:p>
    <w:p w14:paraId="7D6EEB08"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[5]</w:t>
      </w:r>
      <w:r w:rsidRPr="003F0083">
        <w:rPr>
          <w:rFonts w:ascii="Times New Roman" w:hAnsi="Times New Roman" w:cs="Times New Roman"/>
        </w:rPr>
        <w:tab/>
        <w:t xml:space="preserve">J. P. Hlávka, B. Tysinger, J. C. Yu, and D. N. Lakdawalla, “Access to Disease-Modifying Alzheimer’s Therapies: Addressing Possible Challenges Using Innovative Payment Models,” </w:t>
      </w:r>
      <w:r w:rsidRPr="003F0083">
        <w:rPr>
          <w:rFonts w:ascii="Times New Roman" w:hAnsi="Times New Roman" w:cs="Times New Roman"/>
          <w:i/>
          <w:iCs/>
        </w:rPr>
        <w:t>Value in Health</w:t>
      </w:r>
      <w:r w:rsidRPr="003F0083">
        <w:rPr>
          <w:rFonts w:ascii="Times New Roman" w:hAnsi="Times New Roman" w:cs="Times New Roman"/>
        </w:rPr>
        <w:t>, vol. 25, no. 11, pp. 1828–1836, Nov. 2022, doi: 10.1016/j.jval.2022.06.003.</w:t>
      </w:r>
    </w:p>
    <w:p w14:paraId="233B836D"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[6]</w:t>
      </w:r>
      <w:r w:rsidRPr="003F0083">
        <w:rPr>
          <w:rFonts w:ascii="Times New Roman" w:hAnsi="Times New Roman" w:cs="Times New Roman"/>
        </w:rPr>
        <w:tab/>
        <w:t xml:space="preserve">C. Goodman, E. Berntorp, O. Wong, and the International Haemophilia Access Strategy Council, “Alternative payment models for durable and potentially curative therapies: The case of gene therapy for haemophilia A,” </w:t>
      </w:r>
      <w:r w:rsidRPr="003F0083">
        <w:rPr>
          <w:rFonts w:ascii="Times New Roman" w:hAnsi="Times New Roman" w:cs="Times New Roman"/>
          <w:i/>
          <w:iCs/>
        </w:rPr>
        <w:t>Haemophilia</w:t>
      </w:r>
      <w:r w:rsidRPr="003F0083">
        <w:rPr>
          <w:rFonts w:ascii="Times New Roman" w:hAnsi="Times New Roman" w:cs="Times New Roman"/>
        </w:rPr>
        <w:t>, vol. 28, no. S2, pp. 27–34, Mar. 2022, doi: 10.1111/hae.14425.</w:t>
      </w:r>
    </w:p>
    <w:p w14:paraId="3D2DA744"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[7]</w:t>
      </w:r>
      <w:r w:rsidRPr="003F0083">
        <w:rPr>
          <w:rFonts w:ascii="Times New Roman" w:hAnsi="Times New Roman" w:cs="Times New Roman"/>
        </w:rPr>
        <w:tab/>
        <w:t xml:space="preserve">P. Hertzman, P. Miller, and K. Tolley, “An assessment of innovative pricing schemes for the communication of value: is price discrimination and two-part pricing a way forward?,” </w:t>
      </w:r>
      <w:r w:rsidRPr="003F0083">
        <w:rPr>
          <w:rFonts w:ascii="Times New Roman" w:hAnsi="Times New Roman" w:cs="Times New Roman"/>
          <w:i/>
          <w:iCs/>
        </w:rPr>
        <w:t>Expert Review of Pharmacoeconomics &amp; Outcomes Research</w:t>
      </w:r>
      <w:r w:rsidRPr="003F0083">
        <w:rPr>
          <w:rFonts w:ascii="Times New Roman" w:hAnsi="Times New Roman" w:cs="Times New Roman"/>
        </w:rPr>
        <w:t>, vol. 18, no. 1, pp. 5–12, Jan. 2018, doi: 10.1080/14737167.2018.1411192.</w:t>
      </w:r>
    </w:p>
    <w:p w14:paraId="1B76BE29"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[8]</w:t>
      </w:r>
      <w:r w:rsidRPr="003F0083">
        <w:rPr>
          <w:rFonts w:ascii="Times New Roman" w:hAnsi="Times New Roman" w:cs="Times New Roman"/>
        </w:rPr>
        <w:tab/>
        <w:t xml:space="preserve">J. H. Rex and K. Outterson, “Antibiotic reimbursement in a model delinked from sales: a benchmark-based worldwide approach,” </w:t>
      </w:r>
      <w:r w:rsidRPr="003F0083">
        <w:rPr>
          <w:rFonts w:ascii="Times New Roman" w:hAnsi="Times New Roman" w:cs="Times New Roman"/>
          <w:i/>
          <w:iCs/>
        </w:rPr>
        <w:t>The Lancet Infectious Diseases</w:t>
      </w:r>
      <w:r w:rsidRPr="003F0083">
        <w:rPr>
          <w:rFonts w:ascii="Times New Roman" w:hAnsi="Times New Roman" w:cs="Times New Roman"/>
        </w:rPr>
        <w:t>, vol. 16, no. 4, pp. 500–505, Apr. 2016, doi: 10.1016/S1473-3099(15)00500-9.</w:t>
      </w:r>
    </w:p>
    <w:p w14:paraId="3569F84C"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[9]</w:t>
      </w:r>
      <w:r w:rsidRPr="003F0083">
        <w:rPr>
          <w:rFonts w:ascii="Times New Roman" w:hAnsi="Times New Roman" w:cs="Times New Roman"/>
        </w:rPr>
        <w:tab/>
        <w:t xml:space="preserve">R. A Vreman, T. F Broekhoff, H. Gm Leufkens, A. K Mantel-Teeuwisse, and W. G Goettsch, “Application of Managed Entry Agreements for Innovative Therapies in Different Settings and Combinations: A Feasibility Analysis,” </w:t>
      </w:r>
      <w:r w:rsidRPr="003F0083">
        <w:rPr>
          <w:rFonts w:ascii="Times New Roman" w:hAnsi="Times New Roman" w:cs="Times New Roman"/>
          <w:i/>
          <w:iCs/>
        </w:rPr>
        <w:t>IJERPH</w:t>
      </w:r>
      <w:r w:rsidRPr="003F0083">
        <w:rPr>
          <w:rFonts w:ascii="Times New Roman" w:hAnsi="Times New Roman" w:cs="Times New Roman"/>
        </w:rPr>
        <w:t>, vol. 17, no. 22, p. 8309, Nov. 2020, doi: 10.3390/ijerph17228309.</w:t>
      </w:r>
    </w:p>
    <w:p w14:paraId="3D674770"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[10]</w:t>
      </w:r>
      <w:r w:rsidRPr="003F0083">
        <w:rPr>
          <w:rFonts w:ascii="Times New Roman" w:hAnsi="Times New Roman" w:cs="Times New Roman"/>
        </w:rPr>
        <w:tab/>
        <w:t xml:space="preserve">A. Messori, “Application of the Price-Volume Approach in Cases of Innovative Drugs Where Value-Based Pricing is Inadequate: Description of Real Experiences in Italy,” </w:t>
      </w:r>
      <w:r w:rsidRPr="003F0083">
        <w:rPr>
          <w:rFonts w:ascii="Times New Roman" w:hAnsi="Times New Roman" w:cs="Times New Roman"/>
          <w:i/>
          <w:iCs/>
        </w:rPr>
        <w:t>Clin Drug Investig</w:t>
      </w:r>
      <w:r w:rsidRPr="003F0083">
        <w:rPr>
          <w:rFonts w:ascii="Times New Roman" w:hAnsi="Times New Roman" w:cs="Times New Roman"/>
        </w:rPr>
        <w:t>, vol. 36, no. 8, pp. 599–603, Aug. 2016, doi: 10.1007/s40261-016-0408-9.</w:t>
      </w:r>
    </w:p>
    <w:p w14:paraId="3E2C66A2"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[11]</w:t>
      </w:r>
      <w:r w:rsidRPr="003F0083">
        <w:rPr>
          <w:rFonts w:ascii="Times New Roman" w:hAnsi="Times New Roman" w:cs="Times New Roman"/>
        </w:rPr>
        <w:tab/>
        <w:t xml:space="preserve">C. Leonard </w:t>
      </w:r>
      <w:r w:rsidRPr="003F0083">
        <w:rPr>
          <w:rFonts w:ascii="Times New Roman" w:hAnsi="Times New Roman" w:cs="Times New Roman"/>
          <w:i/>
          <w:iCs/>
        </w:rPr>
        <w:t>et al.</w:t>
      </w:r>
      <w:r w:rsidRPr="003F0083">
        <w:rPr>
          <w:rFonts w:ascii="Times New Roman" w:hAnsi="Times New Roman" w:cs="Times New Roman"/>
        </w:rPr>
        <w:t xml:space="preserve">, “Can the UK ‘Netflix’ Payment Model Boost the Antibacterial Pipeline?,” </w:t>
      </w:r>
      <w:r w:rsidRPr="003F0083">
        <w:rPr>
          <w:rFonts w:ascii="Times New Roman" w:hAnsi="Times New Roman" w:cs="Times New Roman"/>
          <w:i/>
          <w:iCs/>
        </w:rPr>
        <w:t>Appl Health Econ Health Policy</w:t>
      </w:r>
      <w:r w:rsidRPr="003F0083">
        <w:rPr>
          <w:rFonts w:ascii="Times New Roman" w:hAnsi="Times New Roman" w:cs="Times New Roman"/>
        </w:rPr>
        <w:t>, vol. 21, no. 3, pp. 365–372, May 2023, doi: 10.1007/s40258-022-00786-1.</w:t>
      </w:r>
    </w:p>
    <w:p w14:paraId="486A319D"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[12]</w:t>
      </w:r>
      <w:r w:rsidRPr="003F0083">
        <w:rPr>
          <w:rFonts w:ascii="Times New Roman" w:hAnsi="Times New Roman" w:cs="Times New Roman"/>
        </w:rPr>
        <w:tab/>
        <w:t xml:space="preserve">A. Hollis and P. Grootendorst, “Canada’s New Generic Pricing Policy: A Reasoned Approach to a Challenging Problem,” </w:t>
      </w:r>
      <w:r w:rsidRPr="003F0083">
        <w:rPr>
          <w:rFonts w:ascii="Times New Roman" w:hAnsi="Times New Roman" w:cs="Times New Roman"/>
          <w:i/>
          <w:iCs/>
        </w:rPr>
        <w:t>Healthc Policy</w:t>
      </w:r>
      <w:r w:rsidRPr="003F0083">
        <w:rPr>
          <w:rFonts w:ascii="Times New Roman" w:hAnsi="Times New Roman" w:cs="Times New Roman"/>
        </w:rPr>
        <w:t>, vol. 11, no. 1, pp. 10–14, Aug. 2015.</w:t>
      </w:r>
    </w:p>
    <w:p w14:paraId="2CFE28EE"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[13]</w:t>
      </w:r>
      <w:r w:rsidRPr="003F0083">
        <w:rPr>
          <w:rFonts w:ascii="Times New Roman" w:hAnsi="Times New Roman" w:cs="Times New Roman"/>
        </w:rPr>
        <w:tab/>
        <w:t xml:space="preserve">P. J. Neumann, J. T. Cohen, D. D. Kim, and D. A. Ollendorf, “Consideration Of Value-Based Pricing For Treatments And Vaccines Is Important, Even In The COVID-19 Pandemic: Study reviews alternative pricing strategies (cost-recovery models, monetary prizes, advanced market commitments) for COVID-19 drugs, vaccines, and diagnostics.,” </w:t>
      </w:r>
      <w:r w:rsidRPr="003F0083">
        <w:rPr>
          <w:rFonts w:ascii="Times New Roman" w:hAnsi="Times New Roman" w:cs="Times New Roman"/>
          <w:i/>
          <w:iCs/>
        </w:rPr>
        <w:t>Health Affairs</w:t>
      </w:r>
      <w:r w:rsidRPr="003F0083">
        <w:rPr>
          <w:rFonts w:ascii="Times New Roman" w:hAnsi="Times New Roman" w:cs="Times New Roman"/>
        </w:rPr>
        <w:t>, vol. 40, no. 1, pp. 53–61, Jan. 2021, doi: 10.1377/hlthaff.2020.01548.</w:t>
      </w:r>
    </w:p>
    <w:p w14:paraId="2D750495"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[14]</w:t>
      </w:r>
      <w:r w:rsidRPr="003F0083">
        <w:rPr>
          <w:rFonts w:ascii="Times New Roman" w:hAnsi="Times New Roman" w:cs="Times New Roman"/>
        </w:rPr>
        <w:tab/>
        <w:t xml:space="preserve">S. Walker, M. Sculpher, K. Claxton, and S. Palmer, “Coverage with evidence development, only in research, risk sharing, or patient access scheme? A framework for coverage decisions,” </w:t>
      </w:r>
      <w:r w:rsidRPr="003F0083">
        <w:rPr>
          <w:rFonts w:ascii="Times New Roman" w:hAnsi="Times New Roman" w:cs="Times New Roman"/>
          <w:i/>
          <w:iCs/>
        </w:rPr>
        <w:t>Value Health</w:t>
      </w:r>
      <w:r w:rsidRPr="003F0083">
        <w:rPr>
          <w:rFonts w:ascii="Times New Roman" w:hAnsi="Times New Roman" w:cs="Times New Roman"/>
        </w:rPr>
        <w:t>, vol. 15, no. 3, pp. 570–579, May 2012, doi: 10.1016/j.jval.2011.12.013.</w:t>
      </w:r>
    </w:p>
    <w:p w14:paraId="7D3DA4F6"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[15]</w:t>
      </w:r>
      <w:r w:rsidRPr="003F0083">
        <w:rPr>
          <w:rFonts w:ascii="Times New Roman" w:hAnsi="Times New Roman" w:cs="Times New Roman"/>
        </w:rPr>
        <w:tab/>
        <w:t xml:space="preserve">J. J. Carlson, K. S. Gries, K. Yeung, S. D. Sullivan, and L. P. Garrison, “Current Status and Trends in Performance-Based Risk-Sharing Arrangements Between Healthcare Payers and Medical Product Manufacturers,” </w:t>
      </w:r>
      <w:r w:rsidRPr="003F0083">
        <w:rPr>
          <w:rFonts w:ascii="Times New Roman" w:hAnsi="Times New Roman" w:cs="Times New Roman"/>
          <w:i/>
          <w:iCs/>
        </w:rPr>
        <w:t>Appl Health Econ Health Policy</w:t>
      </w:r>
      <w:r w:rsidRPr="003F0083">
        <w:rPr>
          <w:rFonts w:ascii="Times New Roman" w:hAnsi="Times New Roman" w:cs="Times New Roman"/>
        </w:rPr>
        <w:t>, vol. 12, no. 3, pp. 231–238, Jun. 2014, doi: 10.1007/s40258-014-0093-x.</w:t>
      </w:r>
    </w:p>
    <w:p w14:paraId="40EE7398"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[16]</w:t>
      </w:r>
      <w:r w:rsidRPr="003F0083">
        <w:rPr>
          <w:rFonts w:ascii="Times New Roman" w:hAnsi="Times New Roman" w:cs="Times New Roman"/>
        </w:rPr>
        <w:tab/>
        <w:t xml:space="preserve">A. Ferrario and P. Kanavos, “Dealing with uncertainty and high prices of new medicines: A comparative analysis of the use of managed entry agreements in Belgium, England, the Netherlands and Sweden,” </w:t>
      </w:r>
      <w:r w:rsidRPr="003F0083">
        <w:rPr>
          <w:rFonts w:ascii="Times New Roman" w:hAnsi="Times New Roman" w:cs="Times New Roman"/>
          <w:i/>
          <w:iCs/>
        </w:rPr>
        <w:t>Social Science &amp; Medicine</w:t>
      </w:r>
      <w:r w:rsidRPr="003F0083">
        <w:rPr>
          <w:rFonts w:ascii="Times New Roman" w:hAnsi="Times New Roman" w:cs="Times New Roman"/>
        </w:rPr>
        <w:t>, vol. 124, pp. 39–47, Jan. 2015, doi: 10.1016/j.socscimed.2014.11.003.</w:t>
      </w:r>
    </w:p>
    <w:p w14:paraId="16D55C5F"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[17]</w:t>
      </w:r>
      <w:r w:rsidRPr="003F0083">
        <w:rPr>
          <w:rFonts w:ascii="Times New Roman" w:hAnsi="Times New Roman" w:cs="Times New Roman"/>
        </w:rPr>
        <w:tab/>
        <w:t xml:space="preserve">K. Lum, T. Bhatti, S. Holland, M. Guthrie, and S. Sassman, “Diagnosis Confirmation Model: A Value-Based Pricing Model for Inpatient Novel Antibiotics,” </w:t>
      </w:r>
      <w:r w:rsidRPr="003F0083">
        <w:rPr>
          <w:rFonts w:ascii="Times New Roman" w:hAnsi="Times New Roman" w:cs="Times New Roman"/>
          <w:i/>
          <w:iCs/>
        </w:rPr>
        <w:t>J. Law. Med. Ethics</w:t>
      </w:r>
      <w:r w:rsidRPr="003F0083">
        <w:rPr>
          <w:rFonts w:ascii="Times New Roman" w:hAnsi="Times New Roman" w:cs="Times New Roman"/>
        </w:rPr>
        <w:t>, vol. 46, no. S1, pp. 66–74, 2018, doi: 10.1177/1073110518782917.</w:t>
      </w:r>
    </w:p>
    <w:p w14:paraId="12456D4D"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[18]</w:t>
      </w:r>
      <w:r w:rsidRPr="003F0083">
        <w:rPr>
          <w:rFonts w:ascii="Times New Roman" w:hAnsi="Times New Roman" w:cs="Times New Roman"/>
        </w:rPr>
        <w:tab/>
        <w:t xml:space="preserve">A. Navarria </w:t>
      </w:r>
      <w:r w:rsidRPr="003F0083">
        <w:rPr>
          <w:rFonts w:ascii="Times New Roman" w:hAnsi="Times New Roman" w:cs="Times New Roman"/>
          <w:i/>
          <w:iCs/>
        </w:rPr>
        <w:t>et al.</w:t>
      </w:r>
      <w:r w:rsidRPr="003F0083">
        <w:rPr>
          <w:rFonts w:ascii="Times New Roman" w:hAnsi="Times New Roman" w:cs="Times New Roman"/>
        </w:rPr>
        <w:t xml:space="preserve">, “Do the Current Performance-Based Schemes in Italy Really Work? ‘Success Fee’: A Novel Measure for Cost-Containment of Drug Expenditure,” </w:t>
      </w:r>
      <w:r w:rsidRPr="003F0083">
        <w:rPr>
          <w:rFonts w:ascii="Times New Roman" w:hAnsi="Times New Roman" w:cs="Times New Roman"/>
          <w:i/>
          <w:iCs/>
        </w:rPr>
        <w:t>Value in Health</w:t>
      </w:r>
      <w:r w:rsidRPr="003F0083">
        <w:rPr>
          <w:rFonts w:ascii="Times New Roman" w:hAnsi="Times New Roman" w:cs="Times New Roman"/>
        </w:rPr>
        <w:t>, vol. 18, no. 1, pp. 131–136, Jan. 2015, doi: 10.1016/j.jval.2014.09.007.</w:t>
      </w:r>
    </w:p>
    <w:p w14:paraId="0C7ECCB6"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[19]</w:t>
      </w:r>
      <w:r w:rsidRPr="003F0083">
        <w:rPr>
          <w:rFonts w:ascii="Times New Roman" w:hAnsi="Times New Roman" w:cs="Times New Roman"/>
        </w:rPr>
        <w:tab/>
        <w:t xml:space="preserve">P. Kanavos, A.-M. Fontrier, J. Gill, and O. Efthymiadou, “Does external reference pricing deliver what it promises? Evidence on its impact at national level,” </w:t>
      </w:r>
      <w:r w:rsidRPr="003F0083">
        <w:rPr>
          <w:rFonts w:ascii="Times New Roman" w:hAnsi="Times New Roman" w:cs="Times New Roman"/>
          <w:i/>
          <w:iCs/>
        </w:rPr>
        <w:t>Eur J Health Econ</w:t>
      </w:r>
      <w:r w:rsidRPr="003F0083">
        <w:rPr>
          <w:rFonts w:ascii="Times New Roman" w:hAnsi="Times New Roman" w:cs="Times New Roman"/>
        </w:rPr>
        <w:t>, vol. 21, no. 1, pp. 129–151, Feb. 2020, doi: 10.1007/s10198-019-01116-4.</w:t>
      </w:r>
    </w:p>
    <w:p w14:paraId="77801C42"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[20]</w:t>
      </w:r>
      <w:r w:rsidRPr="003F0083">
        <w:rPr>
          <w:rFonts w:ascii="Times New Roman" w:hAnsi="Times New Roman" w:cs="Times New Roman"/>
        </w:rPr>
        <w:tab/>
        <w:t xml:space="preserve">D. J. Wettstein and S. Boes, “Effectiveness of National Pricing Policies for Patent-Protected Pharmaceuticals in the OECD: A Systematic Literature Review,” </w:t>
      </w:r>
      <w:r w:rsidRPr="003F0083">
        <w:rPr>
          <w:rFonts w:ascii="Times New Roman" w:hAnsi="Times New Roman" w:cs="Times New Roman"/>
          <w:i/>
          <w:iCs/>
        </w:rPr>
        <w:t>Appl Health Econ Health Policy</w:t>
      </w:r>
      <w:r w:rsidRPr="003F0083">
        <w:rPr>
          <w:rFonts w:ascii="Times New Roman" w:hAnsi="Times New Roman" w:cs="Times New Roman"/>
        </w:rPr>
        <w:t>, vol. 17, no. 2, pp. 143–162, Apr. 2019, doi: 10.1007/s40258-018-0437-z.</w:t>
      </w:r>
    </w:p>
    <w:p w14:paraId="08C90E62"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[21]</w:t>
      </w:r>
      <w:r w:rsidRPr="003F0083">
        <w:rPr>
          <w:rFonts w:ascii="Times New Roman" w:hAnsi="Times New Roman" w:cs="Times New Roman"/>
        </w:rPr>
        <w:tab/>
        <w:t xml:space="preserve">M. M. Galizzi, S. Ghislandi, and M. Miraldo, “Effects of Reference Pricing in Pharmaceutical Markets: A Review,” </w:t>
      </w:r>
      <w:r w:rsidRPr="003F0083">
        <w:rPr>
          <w:rFonts w:ascii="Times New Roman" w:hAnsi="Times New Roman" w:cs="Times New Roman"/>
          <w:i/>
          <w:iCs/>
        </w:rPr>
        <w:t>PharmacoEconomics</w:t>
      </w:r>
      <w:r w:rsidRPr="003F0083">
        <w:rPr>
          <w:rFonts w:ascii="Times New Roman" w:hAnsi="Times New Roman" w:cs="Times New Roman"/>
        </w:rPr>
        <w:t>, vol. 29, no. 1, pp. 17–33, Jan. 2011, doi: 10.2165/11537860-000000000-00000.</w:t>
      </w:r>
    </w:p>
    <w:p w14:paraId="24398990"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[22]</w:t>
      </w:r>
      <w:r w:rsidRPr="003F0083">
        <w:rPr>
          <w:rFonts w:ascii="Times New Roman" w:hAnsi="Times New Roman" w:cs="Times New Roman"/>
        </w:rPr>
        <w:tab/>
        <w:t xml:space="preserve">M. Berdud, M. Drummond, and A. Towse, “Establishing a reasonable price for an orphan drug,” </w:t>
      </w:r>
      <w:r w:rsidRPr="003F0083">
        <w:rPr>
          <w:rFonts w:ascii="Times New Roman" w:hAnsi="Times New Roman" w:cs="Times New Roman"/>
          <w:i/>
          <w:iCs/>
        </w:rPr>
        <w:t>Cost Eff Resour Alloc</w:t>
      </w:r>
      <w:r w:rsidRPr="003F0083">
        <w:rPr>
          <w:rFonts w:ascii="Times New Roman" w:hAnsi="Times New Roman" w:cs="Times New Roman"/>
        </w:rPr>
        <w:t>, vol. 18, no. 1, p. 31, Dec. 2020, doi: 10.1186/s12962-020-00223-x.</w:t>
      </w:r>
    </w:p>
    <w:p w14:paraId="4E5F297C"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[23]</w:t>
      </w:r>
      <w:r w:rsidRPr="003F0083">
        <w:rPr>
          <w:rFonts w:ascii="Times New Roman" w:hAnsi="Times New Roman" w:cs="Times New Roman"/>
        </w:rPr>
        <w:tab/>
        <w:t xml:space="preserve">D. R. Carr and S. E. Bradshaw, “Gene therapies: the challenge of super-high-cost treatments and how to pay for them,” </w:t>
      </w:r>
      <w:r w:rsidRPr="003F0083">
        <w:rPr>
          <w:rFonts w:ascii="Times New Roman" w:hAnsi="Times New Roman" w:cs="Times New Roman"/>
          <w:i/>
          <w:iCs/>
        </w:rPr>
        <w:t>Regenerative Medicine</w:t>
      </w:r>
      <w:r w:rsidRPr="003F0083">
        <w:rPr>
          <w:rFonts w:ascii="Times New Roman" w:hAnsi="Times New Roman" w:cs="Times New Roman"/>
        </w:rPr>
        <w:t>, vol. 11, no. 4, pp. 381–393, Jun. 2016, doi: 10.2217/rme-2016-0010.</w:t>
      </w:r>
    </w:p>
    <w:p w14:paraId="33C76186"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[24]</w:t>
      </w:r>
      <w:r w:rsidRPr="003F0083">
        <w:rPr>
          <w:rFonts w:ascii="Times New Roman" w:hAnsi="Times New Roman" w:cs="Times New Roman"/>
        </w:rPr>
        <w:tab/>
        <w:t xml:space="preserve">N. R. Verghese, J. Barrenetxea, Y. Bhargava, S. Agrawal, and E. A. Finkelstein, “Government pharmaceutical pricing strategies in the Asia-Pacific region: an overview,” </w:t>
      </w:r>
      <w:r w:rsidRPr="003F0083">
        <w:rPr>
          <w:rFonts w:ascii="Times New Roman" w:hAnsi="Times New Roman" w:cs="Times New Roman"/>
          <w:i/>
          <w:iCs/>
        </w:rPr>
        <w:t>Journal of Market Access &amp; Health Policy</w:t>
      </w:r>
      <w:r w:rsidRPr="003F0083">
        <w:rPr>
          <w:rFonts w:ascii="Times New Roman" w:hAnsi="Times New Roman" w:cs="Times New Roman"/>
        </w:rPr>
        <w:t>, vol. 7, no. 1, p. 1601060, Jan. 2019, doi: 10.1080/20016689.2019.1601060.</w:t>
      </w:r>
    </w:p>
    <w:p w14:paraId="02F5259A"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[25]</w:t>
      </w:r>
      <w:r w:rsidRPr="003F0083">
        <w:rPr>
          <w:rFonts w:ascii="Times New Roman" w:hAnsi="Times New Roman" w:cs="Times New Roman"/>
        </w:rPr>
        <w:tab/>
        <w:t xml:space="preserve">R. Launois, L. F. Navarrete, O. Ethgen, J.-G. Le Moine, and R. Gatsinga, “Health economic value of an innovation: delimiting the scope and framework of future market entry agreements,” </w:t>
      </w:r>
      <w:r w:rsidRPr="003F0083">
        <w:rPr>
          <w:rFonts w:ascii="Times New Roman" w:hAnsi="Times New Roman" w:cs="Times New Roman"/>
          <w:i/>
          <w:iCs/>
        </w:rPr>
        <w:t>Journal of Market Access &amp; Health Policy</w:t>
      </w:r>
      <w:r w:rsidRPr="003F0083">
        <w:rPr>
          <w:rFonts w:ascii="Times New Roman" w:hAnsi="Times New Roman" w:cs="Times New Roman"/>
        </w:rPr>
        <w:t>, vol. 2, no. 1, p. 24988, Jan. 2014, doi: 10.3402/jmahp.v2.24988.</w:t>
      </w:r>
    </w:p>
    <w:p w14:paraId="11B04935"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[26]</w:t>
      </w:r>
      <w:r w:rsidRPr="003F0083">
        <w:rPr>
          <w:rFonts w:ascii="Times New Roman" w:hAnsi="Times New Roman" w:cs="Times New Roman"/>
        </w:rPr>
        <w:tab/>
        <w:t xml:space="preserve">M. Mills and P. Kanavos, “Healthcare Payer Perspectives on the Assessment and Pricing of Oncology Multi-Indication Products: Evidence from Nine OECD Countries,” </w:t>
      </w:r>
      <w:r w:rsidRPr="003F0083">
        <w:rPr>
          <w:rFonts w:ascii="Times New Roman" w:hAnsi="Times New Roman" w:cs="Times New Roman"/>
          <w:i/>
          <w:iCs/>
        </w:rPr>
        <w:t>PharmacoEconomics Open</w:t>
      </w:r>
      <w:r w:rsidRPr="003F0083">
        <w:rPr>
          <w:rFonts w:ascii="Times New Roman" w:hAnsi="Times New Roman" w:cs="Times New Roman"/>
        </w:rPr>
        <w:t>, vol. 7, no. 4, pp. 553–565, Jul. 2023, doi: 10.1007/s41669-023-00406-1.</w:t>
      </w:r>
    </w:p>
    <w:p w14:paraId="32F53BF1"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[27]</w:t>
      </w:r>
      <w:r w:rsidRPr="003F0083">
        <w:rPr>
          <w:rFonts w:ascii="Times New Roman" w:hAnsi="Times New Roman" w:cs="Times New Roman"/>
        </w:rPr>
        <w:tab/>
        <w:t xml:space="preserve">S. Vogler </w:t>
      </w:r>
      <w:r w:rsidRPr="003F0083">
        <w:rPr>
          <w:rFonts w:ascii="Times New Roman" w:hAnsi="Times New Roman" w:cs="Times New Roman"/>
          <w:i/>
          <w:iCs/>
        </w:rPr>
        <w:t>et al.</w:t>
      </w:r>
      <w:r w:rsidRPr="003F0083">
        <w:rPr>
          <w:rFonts w:ascii="Times New Roman" w:hAnsi="Times New Roman" w:cs="Times New Roman"/>
        </w:rPr>
        <w:t xml:space="preserve">, “How Can Pricing and Reimbursement Policies Improve Affordable Access to Medicines? Lessons Learned from European Countries,” </w:t>
      </w:r>
      <w:r w:rsidRPr="003F0083">
        <w:rPr>
          <w:rFonts w:ascii="Times New Roman" w:hAnsi="Times New Roman" w:cs="Times New Roman"/>
          <w:i/>
          <w:iCs/>
        </w:rPr>
        <w:t>Appl Health Econ Health Policy</w:t>
      </w:r>
      <w:r w:rsidRPr="003F0083">
        <w:rPr>
          <w:rFonts w:ascii="Times New Roman" w:hAnsi="Times New Roman" w:cs="Times New Roman"/>
        </w:rPr>
        <w:t>, vol. 15, no. 3, pp. 307–321, Jun. 2017, doi: 10.1007/s40258-016-0300-z.</w:t>
      </w:r>
    </w:p>
    <w:p w14:paraId="05095430"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[28]</w:t>
      </w:r>
      <w:r w:rsidRPr="003F0083">
        <w:rPr>
          <w:rFonts w:ascii="Times New Roman" w:hAnsi="Times New Roman" w:cs="Times New Roman"/>
        </w:rPr>
        <w:tab/>
        <w:t xml:space="preserve">A. Towse, K. Chalkidou, I. Firth, H. Kettler, and R. Silverman, “How Should the World Pay for a Coronavirus Disease (COVID-19) Vaccine?,” </w:t>
      </w:r>
      <w:r w:rsidRPr="003F0083">
        <w:rPr>
          <w:rFonts w:ascii="Times New Roman" w:hAnsi="Times New Roman" w:cs="Times New Roman"/>
          <w:i/>
          <w:iCs/>
        </w:rPr>
        <w:t>Value in Health</w:t>
      </w:r>
      <w:r w:rsidRPr="003F0083">
        <w:rPr>
          <w:rFonts w:ascii="Times New Roman" w:hAnsi="Times New Roman" w:cs="Times New Roman"/>
        </w:rPr>
        <w:t>, vol. 24, no. 5, pp. 625–631, May 2021, doi: 10.1016/j.jval.2020.12.008.</w:t>
      </w:r>
    </w:p>
    <w:p w14:paraId="51EF5B6D"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[29]</w:t>
      </w:r>
      <w:r w:rsidRPr="003F0083">
        <w:rPr>
          <w:rFonts w:ascii="Times New Roman" w:hAnsi="Times New Roman" w:cs="Times New Roman"/>
        </w:rPr>
        <w:tab/>
        <w:t xml:space="preserve">N. M. Murray </w:t>
      </w:r>
      <w:r w:rsidRPr="003F0083">
        <w:rPr>
          <w:rFonts w:ascii="Times New Roman" w:hAnsi="Times New Roman" w:cs="Times New Roman"/>
          <w:i/>
          <w:iCs/>
        </w:rPr>
        <w:t>et al.</w:t>
      </w:r>
      <w:r w:rsidRPr="003F0083">
        <w:rPr>
          <w:rFonts w:ascii="Times New Roman" w:hAnsi="Times New Roman" w:cs="Times New Roman"/>
        </w:rPr>
        <w:t xml:space="preserve">, “Insurance payment for artificial intelligence technology: Methods used by a stroke artificial intelligence system and strategies to qualify for the new technology add-on payment,” </w:t>
      </w:r>
      <w:r w:rsidRPr="003F0083">
        <w:rPr>
          <w:rFonts w:ascii="Times New Roman" w:hAnsi="Times New Roman" w:cs="Times New Roman"/>
          <w:i/>
          <w:iCs/>
        </w:rPr>
        <w:t>Neuroradiol J</w:t>
      </w:r>
      <w:r w:rsidRPr="003F0083">
        <w:rPr>
          <w:rFonts w:ascii="Times New Roman" w:hAnsi="Times New Roman" w:cs="Times New Roman"/>
        </w:rPr>
        <w:t>, vol. 35, no. 3, pp. 284–289, Jun. 2022, doi: 10.1177/19714009211067408.</w:t>
      </w:r>
    </w:p>
    <w:p w14:paraId="669341F5"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[30]</w:t>
      </w:r>
      <w:r w:rsidRPr="003F0083">
        <w:rPr>
          <w:rFonts w:ascii="Times New Roman" w:hAnsi="Times New Roman" w:cs="Times New Roman"/>
        </w:rPr>
        <w:tab/>
        <w:t xml:space="preserve">J. Schimmer and S. Breazzano, “Investor Outlook: Solving Gene Therapy Pricing…with a Cures Voucher?,” </w:t>
      </w:r>
      <w:r w:rsidRPr="003F0083">
        <w:rPr>
          <w:rFonts w:ascii="Times New Roman" w:hAnsi="Times New Roman" w:cs="Times New Roman"/>
          <w:i/>
          <w:iCs/>
        </w:rPr>
        <w:t>Human Gene Therapy Clinical Development</w:t>
      </w:r>
      <w:r w:rsidRPr="003F0083">
        <w:rPr>
          <w:rFonts w:ascii="Times New Roman" w:hAnsi="Times New Roman" w:cs="Times New Roman"/>
        </w:rPr>
        <w:t>, vol. 27, no. 4, pp. 132–136, Dec. 2016, doi: 10.1089/humc.2016.29018.ind.</w:t>
      </w:r>
    </w:p>
    <w:p w14:paraId="3A563A48"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[31]</w:t>
      </w:r>
      <w:r w:rsidRPr="003F0083">
        <w:rPr>
          <w:rFonts w:ascii="Times New Roman" w:hAnsi="Times New Roman" w:cs="Times New Roman"/>
        </w:rPr>
        <w:tab/>
        <w:t xml:space="preserve">M. Drummond and A. Towse, “Is rate of return pricing a useful approach when value-based pricing is not appropriate?,” </w:t>
      </w:r>
      <w:r w:rsidRPr="003F0083">
        <w:rPr>
          <w:rFonts w:ascii="Times New Roman" w:hAnsi="Times New Roman" w:cs="Times New Roman"/>
          <w:i/>
          <w:iCs/>
        </w:rPr>
        <w:t>Eur J Health Econ</w:t>
      </w:r>
      <w:r w:rsidRPr="003F0083">
        <w:rPr>
          <w:rFonts w:ascii="Times New Roman" w:hAnsi="Times New Roman" w:cs="Times New Roman"/>
        </w:rPr>
        <w:t>, vol. 20, no. 7, pp. 945–948, Sep. 2019, doi: 10.1007/s10198-019-01032-7.</w:t>
      </w:r>
    </w:p>
    <w:p w14:paraId="1906B3AD"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[32]</w:t>
      </w:r>
      <w:r w:rsidRPr="003F0083">
        <w:rPr>
          <w:rFonts w:ascii="Times New Roman" w:hAnsi="Times New Roman" w:cs="Times New Roman"/>
        </w:rPr>
        <w:tab/>
        <w:t xml:space="preserve">S. Jarosławski and M. Toumi, “Market access agreements for pharmaceuticals in Europe: diversity of approaches and underlying concepts,” </w:t>
      </w:r>
      <w:r w:rsidRPr="003F0083">
        <w:rPr>
          <w:rFonts w:ascii="Times New Roman" w:hAnsi="Times New Roman" w:cs="Times New Roman"/>
          <w:i/>
          <w:iCs/>
        </w:rPr>
        <w:t>BMC Health Serv Res</w:t>
      </w:r>
      <w:r w:rsidRPr="003F0083">
        <w:rPr>
          <w:rFonts w:ascii="Times New Roman" w:hAnsi="Times New Roman" w:cs="Times New Roman"/>
        </w:rPr>
        <w:t>, vol. 11, no. 1, p. 259, Dec. 2011, doi: 10.1186/1472-6963-11-259.</w:t>
      </w:r>
    </w:p>
    <w:p w14:paraId="3127AD52"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[33]</w:t>
      </w:r>
      <w:r w:rsidRPr="003F0083">
        <w:rPr>
          <w:rFonts w:ascii="Times New Roman" w:hAnsi="Times New Roman" w:cs="Times New Roman"/>
        </w:rPr>
        <w:tab/>
        <w:t xml:space="preserve">R. L. Fuller and N. Goldfield, “Paying for On-Patent Pharmaceuticals: Limit Prices and the Emerging Role of a Pay for Outcomes Approach,” </w:t>
      </w:r>
      <w:r w:rsidRPr="003F0083">
        <w:rPr>
          <w:rFonts w:ascii="Times New Roman" w:hAnsi="Times New Roman" w:cs="Times New Roman"/>
          <w:i/>
          <w:iCs/>
        </w:rPr>
        <w:t>Journal of Ambulatory Care Management</w:t>
      </w:r>
      <w:r w:rsidRPr="003F0083">
        <w:rPr>
          <w:rFonts w:ascii="Times New Roman" w:hAnsi="Times New Roman" w:cs="Times New Roman"/>
        </w:rPr>
        <w:t>, vol. 39, no. 2, pp. 143–149, Apr. 2016, doi: 10.1097/JAC.0000000000000136.</w:t>
      </w:r>
    </w:p>
    <w:p w14:paraId="5A30E27A"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[34]</w:t>
      </w:r>
      <w:r w:rsidRPr="003F0083">
        <w:rPr>
          <w:rFonts w:ascii="Times New Roman" w:hAnsi="Times New Roman" w:cs="Times New Roman"/>
        </w:rPr>
        <w:tab/>
        <w:t xml:space="preserve">M. H. Lopez, G. W. Daniel, N. C. Fiore, A. Higgins, and M. B. McClellan, “Paying For Value From Costly Medical Technologies: A Framework For Applying Value-Based Payment Reforms: Authors propose a value-based payment framework for medical products, including drugs, devices, and diagnostic tools.,” </w:t>
      </w:r>
      <w:r w:rsidRPr="003F0083">
        <w:rPr>
          <w:rFonts w:ascii="Times New Roman" w:hAnsi="Times New Roman" w:cs="Times New Roman"/>
          <w:i/>
          <w:iCs/>
        </w:rPr>
        <w:t>Health Affairs</w:t>
      </w:r>
      <w:r w:rsidRPr="003F0083">
        <w:rPr>
          <w:rFonts w:ascii="Times New Roman" w:hAnsi="Times New Roman" w:cs="Times New Roman"/>
        </w:rPr>
        <w:t>, vol. 39, no. 6, pp. 1018–1025, Jun. 2020, doi: 10.1377/hlthaff.2019.00771.</w:t>
      </w:r>
    </w:p>
    <w:p w14:paraId="206D4B4C"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[35]</w:t>
      </w:r>
      <w:r w:rsidRPr="003F0083">
        <w:rPr>
          <w:rFonts w:ascii="Times New Roman" w:hAnsi="Times New Roman" w:cs="Times New Roman"/>
        </w:rPr>
        <w:tab/>
        <w:t xml:space="preserve">A. E. Kim, D. H. Choi, J. Chang, and S. H. Kim, “Performance-Based Risk-Sharing Arrangements (PBRSA): Is it a Solution to Increase Bang for the Buck for Pharmaceutical Reimbursement Strategy for Our Nation and Around the World?,” </w:t>
      </w:r>
      <w:r w:rsidRPr="003F0083">
        <w:rPr>
          <w:rFonts w:ascii="Times New Roman" w:hAnsi="Times New Roman" w:cs="Times New Roman"/>
          <w:i/>
          <w:iCs/>
        </w:rPr>
        <w:t>Clin Drug Investig</w:t>
      </w:r>
      <w:r w:rsidRPr="003F0083">
        <w:rPr>
          <w:rFonts w:ascii="Times New Roman" w:hAnsi="Times New Roman" w:cs="Times New Roman"/>
        </w:rPr>
        <w:t>, vol. 40, no. 12, pp. 1107–1113, Dec. 2020, doi: 10.1007/s40261-020-00972-w.</w:t>
      </w:r>
    </w:p>
    <w:p w14:paraId="1BEE6872"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[36]</w:t>
      </w:r>
      <w:r w:rsidRPr="003F0083">
        <w:rPr>
          <w:rFonts w:ascii="Times New Roman" w:hAnsi="Times New Roman" w:cs="Times New Roman"/>
        </w:rPr>
        <w:tab/>
        <w:t xml:space="preserve">P. Lin, J. T. Cohen, and P. J. Neumann, “Preparing the health‐care system to pay for new Alzheimer’s drugs,” </w:t>
      </w:r>
      <w:r w:rsidRPr="003F0083">
        <w:rPr>
          <w:rFonts w:ascii="Times New Roman" w:hAnsi="Times New Roman" w:cs="Times New Roman"/>
          <w:i/>
          <w:iCs/>
        </w:rPr>
        <w:t>Alzheimer’s &amp; Dementia</w:t>
      </w:r>
      <w:r w:rsidRPr="003F0083">
        <w:rPr>
          <w:rFonts w:ascii="Times New Roman" w:hAnsi="Times New Roman" w:cs="Times New Roman"/>
        </w:rPr>
        <w:t>, vol. 16, no. 11, pp. 1568–1570, Nov. 2020, doi: 10.1002/alz.12155.</w:t>
      </w:r>
    </w:p>
    <w:p w14:paraId="24299BFB"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[37]</w:t>
      </w:r>
      <w:r w:rsidRPr="003F0083">
        <w:rPr>
          <w:rFonts w:ascii="Times New Roman" w:hAnsi="Times New Roman" w:cs="Times New Roman"/>
        </w:rPr>
        <w:tab/>
        <w:t xml:space="preserve">C. Campillo-Artero, J. Puig-Junoy, J. L. Segú-Tolsa, and M. Trapero-Bertran, “Price Models for Multi-indication Drugs: A Systematic Review,” </w:t>
      </w:r>
      <w:r w:rsidRPr="003F0083">
        <w:rPr>
          <w:rFonts w:ascii="Times New Roman" w:hAnsi="Times New Roman" w:cs="Times New Roman"/>
          <w:i/>
          <w:iCs/>
        </w:rPr>
        <w:t>Appl Health Econ Health Policy</w:t>
      </w:r>
      <w:r w:rsidRPr="003F0083">
        <w:rPr>
          <w:rFonts w:ascii="Times New Roman" w:hAnsi="Times New Roman" w:cs="Times New Roman"/>
        </w:rPr>
        <w:t>, vol. 18, no. 1, pp. 47–56, Feb. 2020, doi: 10.1007/s40258-019-00517-z.</w:t>
      </w:r>
    </w:p>
    <w:p w14:paraId="6B51B95B"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[38]</w:t>
      </w:r>
      <w:r w:rsidRPr="003F0083">
        <w:rPr>
          <w:rFonts w:ascii="Times New Roman" w:hAnsi="Times New Roman" w:cs="Times New Roman"/>
        </w:rPr>
        <w:tab/>
        <w:t xml:space="preserve">B. Main, M. Csanadi, and P. Ozieranski, “Pricing strategies, executive committee power and negotiation leverage in New Zealand’s containment of public spending on pharmaceuticals,” </w:t>
      </w:r>
      <w:r w:rsidRPr="003F0083">
        <w:rPr>
          <w:rFonts w:ascii="Times New Roman" w:hAnsi="Times New Roman" w:cs="Times New Roman"/>
          <w:i/>
          <w:iCs/>
        </w:rPr>
        <w:t>HEPL</w:t>
      </w:r>
      <w:r w:rsidRPr="003F0083">
        <w:rPr>
          <w:rFonts w:ascii="Times New Roman" w:hAnsi="Times New Roman" w:cs="Times New Roman"/>
        </w:rPr>
        <w:t>, vol. 17, no. 3, pp. 348–365, Jul. 2022, doi: 10.1017/S1744133122000068.</w:t>
      </w:r>
    </w:p>
    <w:p w14:paraId="3940DBB5"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[39]</w:t>
      </w:r>
      <w:r w:rsidRPr="003F0083">
        <w:rPr>
          <w:rFonts w:ascii="Times New Roman" w:hAnsi="Times New Roman" w:cs="Times New Roman"/>
        </w:rPr>
        <w:tab/>
        <w:t xml:space="preserve">R. Edlin, P. Hall, K. Wallner, and C. McCabe, “Sharing Risk between Payer and Provider by Leasing Health Technologies: An Affordable and Effective Reimbursement Strategy for Innovative Technologies?,” </w:t>
      </w:r>
      <w:r w:rsidRPr="003F0083">
        <w:rPr>
          <w:rFonts w:ascii="Times New Roman" w:hAnsi="Times New Roman" w:cs="Times New Roman"/>
          <w:i/>
          <w:iCs/>
        </w:rPr>
        <w:t>Value in Health</w:t>
      </w:r>
      <w:r w:rsidRPr="003F0083">
        <w:rPr>
          <w:rFonts w:ascii="Times New Roman" w:hAnsi="Times New Roman" w:cs="Times New Roman"/>
        </w:rPr>
        <w:t>, vol. 17, no. 4, pp. 438–444, Jun. 2014, doi: 10.1016/j.jval.2014.01.010.</w:t>
      </w:r>
    </w:p>
    <w:p w14:paraId="08398E24"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[40]</w:t>
      </w:r>
      <w:r w:rsidRPr="003F0083">
        <w:rPr>
          <w:rFonts w:ascii="Times New Roman" w:hAnsi="Times New Roman" w:cs="Times New Roman"/>
        </w:rPr>
        <w:tab/>
        <w:t xml:space="preserve">B. Jiao and L. P. Garrison, “The challenge of value-based pricing in combination therapy: the case of trastuzumab and pertuzumab in HER2+ metastatic breast cancer,” </w:t>
      </w:r>
      <w:r w:rsidRPr="003F0083">
        <w:rPr>
          <w:rFonts w:ascii="Times New Roman" w:hAnsi="Times New Roman" w:cs="Times New Roman"/>
          <w:i/>
          <w:iCs/>
        </w:rPr>
        <w:t>Expert Review of Pharmacoeconomics &amp; Outcomes Research</w:t>
      </w:r>
      <w:r w:rsidRPr="003F0083">
        <w:rPr>
          <w:rFonts w:ascii="Times New Roman" w:hAnsi="Times New Roman" w:cs="Times New Roman"/>
        </w:rPr>
        <w:t>, vol. 21, no. 3, pp. 497–504, May 2021, doi: 10.1080/14737167.2021.1896968.</w:t>
      </w:r>
    </w:p>
    <w:p w14:paraId="230EB753"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[41]</w:t>
      </w:r>
      <w:r w:rsidRPr="003F0083">
        <w:rPr>
          <w:rFonts w:ascii="Times New Roman" w:hAnsi="Times New Roman" w:cs="Times New Roman"/>
        </w:rPr>
        <w:tab/>
        <w:t xml:space="preserve">G. Dranitsaris, I. Truter, and M. S. Lubbe, “The development of a value based pricing index for new drugs in metastatic colorectal cancer,” </w:t>
      </w:r>
      <w:r w:rsidRPr="003F0083">
        <w:rPr>
          <w:rFonts w:ascii="Times New Roman" w:hAnsi="Times New Roman" w:cs="Times New Roman"/>
          <w:i/>
          <w:iCs/>
        </w:rPr>
        <w:t>European Journal of Cancer</w:t>
      </w:r>
      <w:r w:rsidRPr="003F0083">
        <w:rPr>
          <w:rFonts w:ascii="Times New Roman" w:hAnsi="Times New Roman" w:cs="Times New Roman"/>
        </w:rPr>
        <w:t>, vol. 47, no. 9, pp. 1299–1304, Jun. 2011, doi: 10.1016/j.ejca.2011.03.015.</w:t>
      </w:r>
    </w:p>
    <w:p w14:paraId="069BA021"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[42]</w:t>
      </w:r>
      <w:r w:rsidRPr="003F0083">
        <w:rPr>
          <w:rFonts w:ascii="Times New Roman" w:hAnsi="Times New Roman" w:cs="Times New Roman"/>
        </w:rPr>
        <w:tab/>
        <w:t xml:space="preserve">J. P. Hlávka, J. C. Yu, D. P. Goldman, and D. N. Lakdawalla, “The economics of alternative payment models for pharmaceuticals,” </w:t>
      </w:r>
      <w:r w:rsidRPr="003F0083">
        <w:rPr>
          <w:rFonts w:ascii="Times New Roman" w:hAnsi="Times New Roman" w:cs="Times New Roman"/>
          <w:i/>
          <w:iCs/>
        </w:rPr>
        <w:t>Eur J Health Econ</w:t>
      </w:r>
      <w:r w:rsidRPr="003F0083">
        <w:rPr>
          <w:rFonts w:ascii="Times New Roman" w:hAnsi="Times New Roman" w:cs="Times New Roman"/>
        </w:rPr>
        <w:t>, vol. 22, no. 4, pp. 559–569, Jun. 2021, doi: 10.1007/s10198-021-01274-4.</w:t>
      </w:r>
    </w:p>
    <w:p w14:paraId="1B5AD593"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[43]</w:t>
      </w:r>
      <w:r w:rsidRPr="003F0083">
        <w:rPr>
          <w:rFonts w:ascii="Times New Roman" w:hAnsi="Times New Roman" w:cs="Times New Roman"/>
        </w:rPr>
        <w:tab/>
        <w:t xml:space="preserve">W. Zhang </w:t>
      </w:r>
      <w:r w:rsidRPr="003F0083">
        <w:rPr>
          <w:rFonts w:ascii="Times New Roman" w:hAnsi="Times New Roman" w:cs="Times New Roman"/>
          <w:i/>
          <w:iCs/>
        </w:rPr>
        <w:t>et al.</w:t>
      </w:r>
      <w:r w:rsidRPr="003F0083">
        <w:rPr>
          <w:rFonts w:ascii="Times New Roman" w:hAnsi="Times New Roman" w:cs="Times New Roman"/>
        </w:rPr>
        <w:t xml:space="preserve">, “The Impact of Tiered-Pricing Framework on Generic Entry in Canada,” </w:t>
      </w:r>
      <w:r w:rsidRPr="003F0083">
        <w:rPr>
          <w:rFonts w:ascii="Times New Roman" w:hAnsi="Times New Roman" w:cs="Times New Roman"/>
          <w:i/>
          <w:iCs/>
        </w:rPr>
        <w:t>Int J Health Policy Manag</w:t>
      </w:r>
      <w:r w:rsidRPr="003F0083">
        <w:rPr>
          <w:rFonts w:ascii="Times New Roman" w:hAnsi="Times New Roman" w:cs="Times New Roman"/>
        </w:rPr>
        <w:t>, p. 1, Nov. 2020, doi: 10.34172/ijhpm.2020.215.</w:t>
      </w:r>
    </w:p>
    <w:p w14:paraId="06C03C1A"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[44]</w:t>
      </w:r>
      <w:r w:rsidRPr="003F0083">
        <w:rPr>
          <w:rFonts w:ascii="Times New Roman" w:hAnsi="Times New Roman" w:cs="Times New Roman"/>
        </w:rPr>
        <w:tab/>
        <w:t xml:space="preserve">A. Cherla, N. Howard, and E. Mossialos, “The ‘Netflix plus model’: can subscription financing improve access to medicines in low- and middle-income countries?,” </w:t>
      </w:r>
      <w:r w:rsidRPr="003F0083">
        <w:rPr>
          <w:rFonts w:ascii="Times New Roman" w:hAnsi="Times New Roman" w:cs="Times New Roman"/>
          <w:i/>
          <w:iCs/>
        </w:rPr>
        <w:t>HEPL</w:t>
      </w:r>
      <w:r w:rsidRPr="003F0083">
        <w:rPr>
          <w:rFonts w:ascii="Times New Roman" w:hAnsi="Times New Roman" w:cs="Times New Roman"/>
        </w:rPr>
        <w:t>, vol. 16, no. 2, pp. 113–123, Apr. 2021, doi: 10.1017/S1744133120000031.</w:t>
      </w:r>
    </w:p>
    <w:p w14:paraId="17CE60CE"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[45]</w:t>
      </w:r>
      <w:r w:rsidRPr="003F0083">
        <w:rPr>
          <w:rFonts w:ascii="Times New Roman" w:hAnsi="Times New Roman" w:cs="Times New Roman"/>
        </w:rPr>
        <w:tab/>
        <w:t xml:space="preserve">D. W. Matthews, S. Coleman, H. Razavi, and J. Izaret, “The Payer License Agreement, or ‘Netflix model,’ for hepatitis C virus therapies enables universal treatment access, lowers costs and incentivizes innovation and competition,” </w:t>
      </w:r>
      <w:r w:rsidRPr="003F0083">
        <w:rPr>
          <w:rFonts w:ascii="Times New Roman" w:hAnsi="Times New Roman" w:cs="Times New Roman"/>
          <w:i/>
          <w:iCs/>
        </w:rPr>
        <w:t>Liver International</w:t>
      </w:r>
      <w:r w:rsidRPr="003F0083">
        <w:rPr>
          <w:rFonts w:ascii="Times New Roman" w:hAnsi="Times New Roman" w:cs="Times New Roman"/>
        </w:rPr>
        <w:t>, vol. 42, no. 7, pp. 1503–1516, Jul. 2022, doi: 10.1111/liv.15245.</w:t>
      </w:r>
    </w:p>
    <w:p w14:paraId="63646A84"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[46]</w:t>
      </w:r>
      <w:r w:rsidRPr="003F0083">
        <w:rPr>
          <w:rFonts w:ascii="Times New Roman" w:hAnsi="Times New Roman" w:cs="Times New Roman"/>
        </w:rPr>
        <w:tab/>
        <w:t xml:space="preserve">S. G. Moreno and D. Epstein, “The price of innovation - the role of drug pricing in financing pharmaceutical innovation. A conceptual framework,” </w:t>
      </w:r>
      <w:r w:rsidRPr="003F0083">
        <w:rPr>
          <w:rFonts w:ascii="Times New Roman" w:hAnsi="Times New Roman" w:cs="Times New Roman"/>
          <w:i/>
          <w:iCs/>
        </w:rPr>
        <w:t>Journal of Market Access &amp; Health Policy</w:t>
      </w:r>
      <w:r w:rsidRPr="003F0083">
        <w:rPr>
          <w:rFonts w:ascii="Times New Roman" w:hAnsi="Times New Roman" w:cs="Times New Roman"/>
        </w:rPr>
        <w:t>, vol. 7, no. 1, p. 1583536, Jan. 2019, doi: 10.1080/20016689.2019.1583536.</w:t>
      </w:r>
    </w:p>
    <w:p w14:paraId="1E574630"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[47]</w:t>
      </w:r>
      <w:r w:rsidRPr="003F0083">
        <w:rPr>
          <w:rFonts w:ascii="Times New Roman" w:hAnsi="Times New Roman" w:cs="Times New Roman"/>
        </w:rPr>
        <w:tab/>
        <w:t xml:space="preserve">P. Ex, V. Vogt, R. Busse, and C. Henschke, “The reimbursement of new medical technologies in German inpatient care: What factors explain which hospitals receive innovation payments?,” </w:t>
      </w:r>
      <w:r w:rsidRPr="003F0083">
        <w:rPr>
          <w:rFonts w:ascii="Times New Roman" w:hAnsi="Times New Roman" w:cs="Times New Roman"/>
          <w:i/>
          <w:iCs/>
        </w:rPr>
        <w:t>HEPL</w:t>
      </w:r>
      <w:r w:rsidRPr="003F0083">
        <w:rPr>
          <w:rFonts w:ascii="Times New Roman" w:hAnsi="Times New Roman" w:cs="Times New Roman"/>
        </w:rPr>
        <w:t>, vol. 15, no. 3, pp. 355–369, Jul. 2020, doi: 10.1017/S1744133119000124.</w:t>
      </w:r>
    </w:p>
    <w:p w14:paraId="152C590F"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[48]</w:t>
      </w:r>
      <w:r w:rsidRPr="003F0083">
        <w:rPr>
          <w:rFonts w:ascii="Times New Roman" w:hAnsi="Times New Roman" w:cs="Times New Roman"/>
        </w:rPr>
        <w:tab/>
        <w:t xml:space="preserve">V. Preckler and J. Espín, “The Role of Indication-Based Pricing in Future Pricing and Reimbursement Policies: A Systematic Review,” </w:t>
      </w:r>
      <w:r w:rsidRPr="003F0083">
        <w:rPr>
          <w:rFonts w:ascii="Times New Roman" w:hAnsi="Times New Roman" w:cs="Times New Roman"/>
          <w:i/>
          <w:iCs/>
        </w:rPr>
        <w:t>Value in Health</w:t>
      </w:r>
      <w:r w:rsidRPr="003F0083">
        <w:rPr>
          <w:rFonts w:ascii="Times New Roman" w:hAnsi="Times New Roman" w:cs="Times New Roman"/>
        </w:rPr>
        <w:t>, vol. 25, no. 4, pp. 666–675, Apr. 2022, doi: 10.1016/j.jval.2021.11.1376.</w:t>
      </w:r>
    </w:p>
    <w:p w14:paraId="61616213"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[49]</w:t>
      </w:r>
      <w:r w:rsidRPr="003F0083">
        <w:rPr>
          <w:rFonts w:ascii="Times New Roman" w:hAnsi="Times New Roman" w:cs="Times New Roman"/>
        </w:rPr>
        <w:tab/>
        <w:t xml:space="preserve">A. Towse, C. K. Hoyle, J. Goodall, M. Hirsch, J. Mestre-Ferrandiz, and J. H. Rex, “Time for a change in how new antibiotics are reimbursed: Development of an insurance framework for funding new antibiotics based on a policy of risk mitigation,” </w:t>
      </w:r>
      <w:r w:rsidRPr="003F0083">
        <w:rPr>
          <w:rFonts w:ascii="Times New Roman" w:hAnsi="Times New Roman" w:cs="Times New Roman"/>
          <w:i/>
          <w:iCs/>
        </w:rPr>
        <w:t>Health Policy</w:t>
      </w:r>
      <w:r w:rsidRPr="003F0083">
        <w:rPr>
          <w:rFonts w:ascii="Times New Roman" w:hAnsi="Times New Roman" w:cs="Times New Roman"/>
        </w:rPr>
        <w:t>, vol. 121, no. 10, pp. 1025–1030, Oct. 2017, doi: 10.1016/j.healthpol.2017.07.011.</w:t>
      </w:r>
    </w:p>
    <w:p w14:paraId="6FFC53A2"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[50]</w:t>
      </w:r>
      <w:r w:rsidRPr="003F0083">
        <w:rPr>
          <w:rFonts w:ascii="Times New Roman" w:hAnsi="Times New Roman" w:cs="Times New Roman"/>
        </w:rPr>
        <w:tab/>
        <w:t xml:space="preserve">D. Picecchi, K. Bertram, D. Brücher, and M. Bauer, “Towards novel reimbursement models for expensive advanced therapy medicinal products (ATMPs),” </w:t>
      </w:r>
      <w:r w:rsidRPr="003F0083">
        <w:rPr>
          <w:rFonts w:ascii="Times New Roman" w:hAnsi="Times New Roman" w:cs="Times New Roman"/>
          <w:i/>
          <w:iCs/>
        </w:rPr>
        <w:t>Swiss Med Wkly</w:t>
      </w:r>
      <w:r w:rsidRPr="003F0083">
        <w:rPr>
          <w:rFonts w:ascii="Times New Roman" w:hAnsi="Times New Roman" w:cs="Times New Roman"/>
        </w:rPr>
        <w:t>, vol. 150, no. 5153, p. w20355, Dec. 2020, doi: 10.4414/smw.2020.20355.</w:t>
      </w:r>
    </w:p>
    <w:p w14:paraId="3E215ACC"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[51]</w:t>
      </w:r>
      <w:r w:rsidRPr="003F0083">
        <w:rPr>
          <w:rFonts w:ascii="Times New Roman" w:hAnsi="Times New Roman" w:cs="Times New Roman"/>
        </w:rPr>
        <w:tab/>
        <w:t xml:space="preserve">K. Yeung, M. Li, and J. J. Carlson, “Using Performance-Based Risk-Sharing Arrangements to Address Uncertainty in Indication-Based Pricing,” </w:t>
      </w:r>
      <w:r w:rsidRPr="003F0083">
        <w:rPr>
          <w:rFonts w:ascii="Times New Roman" w:hAnsi="Times New Roman" w:cs="Times New Roman"/>
          <w:i/>
          <w:iCs/>
        </w:rPr>
        <w:t>JMCP</w:t>
      </w:r>
      <w:r w:rsidRPr="003F0083">
        <w:rPr>
          <w:rFonts w:ascii="Times New Roman" w:hAnsi="Times New Roman" w:cs="Times New Roman"/>
        </w:rPr>
        <w:t>, vol. 23, no. 10, pp. 1010–1015, Oct. 2017, doi: 10.18553/jmcp.2017.23.10.1010.</w:t>
      </w:r>
    </w:p>
    <w:p w14:paraId="20A52226"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[52]</w:t>
      </w:r>
      <w:r w:rsidRPr="003F0083">
        <w:rPr>
          <w:rFonts w:ascii="Times New Roman" w:hAnsi="Times New Roman" w:cs="Times New Roman"/>
        </w:rPr>
        <w:tab/>
        <w:t xml:space="preserve">A. Takami, M. Kato, H. Deguchi, and A. Igarashi, “Value elements and methods of value-based pricing for drugs in Japan: a systematic review,” </w:t>
      </w:r>
      <w:r w:rsidRPr="003F0083">
        <w:rPr>
          <w:rFonts w:ascii="Times New Roman" w:hAnsi="Times New Roman" w:cs="Times New Roman"/>
          <w:i/>
          <w:iCs/>
        </w:rPr>
        <w:t>Expert Review of Pharmacoeconomics &amp; Outcomes Research</w:t>
      </w:r>
      <w:r w:rsidRPr="003F0083">
        <w:rPr>
          <w:rFonts w:ascii="Times New Roman" w:hAnsi="Times New Roman" w:cs="Times New Roman"/>
        </w:rPr>
        <w:t>, vol. 23, no. 7, pp. 749–759, Aug. 2023, doi: 10.1080/14737167.2023.2223984.</w:t>
      </w:r>
    </w:p>
    <w:p w14:paraId="7A1BBDB4"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[53]</w:t>
      </w:r>
      <w:r w:rsidRPr="003F0083">
        <w:rPr>
          <w:rFonts w:ascii="Times New Roman" w:hAnsi="Times New Roman" w:cs="Times New Roman"/>
        </w:rPr>
        <w:tab/>
        <w:t xml:space="preserve">G. Dranitsaris, K. Dorward, R. C. Owens, and H. Schipper, “What is a new drug worth? An innovative model for performance-based pricing: A new model for performance-based drug pricing,” </w:t>
      </w:r>
      <w:r w:rsidRPr="003F0083">
        <w:rPr>
          <w:rFonts w:ascii="Times New Roman" w:hAnsi="Times New Roman" w:cs="Times New Roman"/>
          <w:i/>
          <w:iCs/>
        </w:rPr>
        <w:t>Eur J Cancer Care (Engl)</w:t>
      </w:r>
      <w:r w:rsidRPr="003F0083">
        <w:rPr>
          <w:rFonts w:ascii="Times New Roman" w:hAnsi="Times New Roman" w:cs="Times New Roman"/>
        </w:rPr>
        <w:t>, vol. 24, no. 3, pp. 313–320, May 2015, doi: 10.1111/ecc.12240.</w:t>
      </w:r>
    </w:p>
    <w:p w14:paraId="1549A18C"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[54]</w:t>
      </w:r>
      <w:r w:rsidRPr="003F0083">
        <w:rPr>
          <w:rFonts w:ascii="Times New Roman" w:hAnsi="Times New Roman" w:cs="Times New Roman"/>
        </w:rPr>
        <w:tab/>
        <w:t xml:space="preserve">S. Saing, N. Van Der Linden, C. Hayward, and S. Goodall, “Why is There Discordance between the Reimbursement of High-Cost ‘Life-Extending’ Pharmaceuticals and Medical Devices? The Funding of Ventricular Assist Devices in Australia,” </w:t>
      </w:r>
      <w:r w:rsidRPr="003F0083">
        <w:rPr>
          <w:rFonts w:ascii="Times New Roman" w:hAnsi="Times New Roman" w:cs="Times New Roman"/>
          <w:i/>
          <w:iCs/>
        </w:rPr>
        <w:t>Appl Health Econ Health Policy</w:t>
      </w:r>
      <w:r w:rsidRPr="003F0083">
        <w:rPr>
          <w:rFonts w:ascii="Times New Roman" w:hAnsi="Times New Roman" w:cs="Times New Roman"/>
        </w:rPr>
        <w:t>, vol. 17, no. 4, pp. 421–431, Aug. 2019, doi: 10.1007/s40258-019-00470-x.</w:t>
      </w:r>
    </w:p>
    <w:p w14:paraId="44C734C7"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[55]</w:t>
      </w:r>
      <w:r w:rsidRPr="003F0083">
        <w:rPr>
          <w:rFonts w:ascii="Times New Roman" w:hAnsi="Times New Roman" w:cs="Times New Roman"/>
        </w:rPr>
        <w:tab/>
        <w:t xml:space="preserve">G. D. Giebel </w:t>
      </w:r>
      <w:r w:rsidRPr="003F0083">
        <w:rPr>
          <w:rFonts w:ascii="Times New Roman" w:hAnsi="Times New Roman" w:cs="Times New Roman"/>
          <w:i/>
          <w:iCs/>
        </w:rPr>
        <w:t>et al.</w:t>
      </w:r>
      <w:r w:rsidRPr="003F0083">
        <w:rPr>
          <w:rFonts w:ascii="Times New Roman" w:hAnsi="Times New Roman" w:cs="Times New Roman"/>
        </w:rPr>
        <w:t xml:space="preserve">, “Integration of digital health applications into the German healthcare system: development of ‘The DiGA-Care Path,’” </w:t>
      </w:r>
      <w:r w:rsidRPr="003F0083">
        <w:rPr>
          <w:rFonts w:ascii="Times New Roman" w:hAnsi="Times New Roman" w:cs="Times New Roman"/>
          <w:i/>
          <w:iCs/>
        </w:rPr>
        <w:t>Front. Health Serv.</w:t>
      </w:r>
      <w:r w:rsidRPr="003F0083">
        <w:rPr>
          <w:rFonts w:ascii="Times New Roman" w:hAnsi="Times New Roman" w:cs="Times New Roman"/>
        </w:rPr>
        <w:t>, vol. 4, p. 1372522, Mar. 2024, doi: 10.3389/frhs.2024.1372522.</w:t>
      </w:r>
    </w:p>
    <w:p w14:paraId="2940839F"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[56]</w:t>
      </w:r>
      <w:r w:rsidRPr="003F0083">
        <w:rPr>
          <w:rFonts w:ascii="Times New Roman" w:hAnsi="Times New Roman" w:cs="Times New Roman"/>
        </w:rPr>
        <w:tab/>
        <w:t xml:space="preserve">D. Gensorowsky, J. Witte, M. Batram, and W. Greiner, “Market access and value-based pricing of digital health applications in Germany,” </w:t>
      </w:r>
      <w:r w:rsidRPr="003F0083">
        <w:rPr>
          <w:rFonts w:ascii="Times New Roman" w:hAnsi="Times New Roman" w:cs="Times New Roman"/>
          <w:i/>
          <w:iCs/>
        </w:rPr>
        <w:t>Cost Eff Resour Alloc</w:t>
      </w:r>
      <w:r w:rsidRPr="003F0083">
        <w:rPr>
          <w:rFonts w:ascii="Times New Roman" w:hAnsi="Times New Roman" w:cs="Times New Roman"/>
        </w:rPr>
        <w:t>, vol. 20, no. 1, p. 25, Dec. 2022, doi: 10.1186/s12962-022-00359-y.</w:t>
      </w:r>
    </w:p>
    <w:p w14:paraId="2B062F9F"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[57]</w:t>
      </w:r>
      <w:r w:rsidRPr="003F0083">
        <w:rPr>
          <w:rFonts w:ascii="Times New Roman" w:hAnsi="Times New Roman" w:cs="Times New Roman"/>
        </w:rPr>
        <w:tab/>
        <w:t xml:space="preserve">G. Hampson and L. Steuten, “Netflix and pill: is there a role for volume-delinked subscription-style payments beyond antimicrobials?’,” </w:t>
      </w:r>
      <w:r w:rsidRPr="003F0083">
        <w:rPr>
          <w:rFonts w:ascii="Times New Roman" w:hAnsi="Times New Roman" w:cs="Times New Roman"/>
          <w:i/>
          <w:iCs/>
        </w:rPr>
        <w:t>Expert Review of Pharmacoeconomics &amp; Outcomes Research</w:t>
      </w:r>
      <w:r w:rsidRPr="003F0083">
        <w:rPr>
          <w:rFonts w:ascii="Times New Roman" w:hAnsi="Times New Roman" w:cs="Times New Roman"/>
        </w:rPr>
        <w:t>, pp. 1–3, Oct. 2023, doi: 10.1080/14737167.2023.2271171.</w:t>
      </w:r>
    </w:p>
    <w:p w14:paraId="275DBDD5"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[58]</w:t>
      </w:r>
      <w:r w:rsidRPr="003F0083">
        <w:rPr>
          <w:rFonts w:ascii="Times New Roman" w:hAnsi="Times New Roman" w:cs="Times New Roman"/>
        </w:rPr>
        <w:tab/>
        <w:t xml:space="preserve">A. Ferrario, G. Dedet, T. Humbert, S. Vogler, F. Suleman, and H. B. Pedersen, “Strategies to achieve fairer prices for generic and biosimilar medicines,” </w:t>
      </w:r>
      <w:r w:rsidRPr="003F0083">
        <w:rPr>
          <w:rFonts w:ascii="Times New Roman" w:hAnsi="Times New Roman" w:cs="Times New Roman"/>
          <w:i/>
          <w:iCs/>
        </w:rPr>
        <w:t>BMJ</w:t>
      </w:r>
      <w:r w:rsidRPr="003F0083">
        <w:rPr>
          <w:rFonts w:ascii="Times New Roman" w:hAnsi="Times New Roman" w:cs="Times New Roman"/>
        </w:rPr>
        <w:t>, p. l5444, Jan. 2020, doi: 10.1136/bmj.l5444.</w:t>
      </w:r>
    </w:p>
    <w:p w14:paraId="52484A67"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[59]</w:t>
      </w:r>
      <w:r w:rsidRPr="003F0083">
        <w:rPr>
          <w:rFonts w:ascii="Times New Roman" w:hAnsi="Times New Roman" w:cs="Times New Roman"/>
        </w:rPr>
        <w:tab/>
        <w:t xml:space="preserve">H. Zhang, G. S. Zaric, and T. Huang, “Optimal Design of a Pharmaceutical Price–Volume Agreement Under Asymmetric Information About Expected Market Size,” </w:t>
      </w:r>
      <w:r w:rsidRPr="003F0083">
        <w:rPr>
          <w:rFonts w:ascii="Times New Roman" w:hAnsi="Times New Roman" w:cs="Times New Roman"/>
          <w:i/>
          <w:iCs/>
        </w:rPr>
        <w:t>Production and Operations Management</w:t>
      </w:r>
      <w:r w:rsidRPr="003F0083">
        <w:rPr>
          <w:rFonts w:ascii="Times New Roman" w:hAnsi="Times New Roman" w:cs="Times New Roman"/>
        </w:rPr>
        <w:t>, vol. 20, no. 3, pp. 334–346, May 2011, doi: 10.1111/j.1937-5956.2011.01219.x.</w:t>
      </w:r>
    </w:p>
    <w:p w14:paraId="3A5B29D6"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[60]</w:t>
      </w:r>
      <w:r w:rsidRPr="003F0083">
        <w:rPr>
          <w:rFonts w:ascii="Times New Roman" w:hAnsi="Times New Roman" w:cs="Times New Roman"/>
        </w:rPr>
        <w:tab/>
        <w:t>D. P. Goldman, “A New Model for Pricing Drugs of Uncertain Efficacy.” 2018. [Online]. Available: https://catalyst.nejm.org/three-part-pricing-drug-model/</w:t>
      </w:r>
    </w:p>
    <w:p w14:paraId="5660B71B"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[61]</w:t>
      </w:r>
      <w:r w:rsidRPr="003F0083">
        <w:rPr>
          <w:rFonts w:ascii="Times New Roman" w:hAnsi="Times New Roman" w:cs="Times New Roman"/>
        </w:rPr>
        <w:tab/>
        <w:t xml:space="preserve">L. Rachet-Jacquet, L. Toulemon, and L. Rochaix, “Hospital payment schemes and high-priced drugs: Evidence from the French Add-on List,” </w:t>
      </w:r>
      <w:r w:rsidRPr="003F0083">
        <w:rPr>
          <w:rFonts w:ascii="Times New Roman" w:hAnsi="Times New Roman" w:cs="Times New Roman"/>
          <w:i/>
          <w:iCs/>
        </w:rPr>
        <w:t>Health Policy</w:t>
      </w:r>
      <w:r w:rsidRPr="003F0083">
        <w:rPr>
          <w:rFonts w:ascii="Times New Roman" w:hAnsi="Times New Roman" w:cs="Times New Roman"/>
        </w:rPr>
        <w:t>, vol. 125, no. 7, pp. 923–929, Jul. 2021, doi: 10.1016/j.healthpol.2021.04.012.</w:t>
      </w:r>
    </w:p>
    <w:p w14:paraId="575D61C5"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[62]</w:t>
      </w:r>
      <w:r w:rsidRPr="003F0083">
        <w:rPr>
          <w:rFonts w:ascii="Times New Roman" w:hAnsi="Times New Roman" w:cs="Times New Roman"/>
        </w:rPr>
        <w:tab/>
        <w:t xml:space="preserve">K. Abdallah, K. Claes, I. Huys, L. Follon, C. Calis, and S. Simoens, “Exploring alternative financing models and early access schemes for orphan drugs: a Belgian case study,” </w:t>
      </w:r>
      <w:r w:rsidRPr="003F0083">
        <w:rPr>
          <w:rFonts w:ascii="Times New Roman" w:hAnsi="Times New Roman" w:cs="Times New Roman"/>
          <w:i/>
          <w:iCs/>
        </w:rPr>
        <w:t>Orphanet J Rare Dis</w:t>
      </w:r>
      <w:r w:rsidRPr="003F0083">
        <w:rPr>
          <w:rFonts w:ascii="Times New Roman" w:hAnsi="Times New Roman" w:cs="Times New Roman"/>
        </w:rPr>
        <w:t>, vol. 17, no. 1, p. 429, Dec. 2022, doi: 10.1186/s13023-022-02571-8.</w:t>
      </w:r>
    </w:p>
    <w:p w14:paraId="347CB00A" w14:textId="77777777" w:rsidR="00B751AE" w:rsidRPr="003F0083" w:rsidRDefault="00B751AE" w:rsidP="003F0083">
      <w:pPr>
        <w:pStyle w:val="Bibliography"/>
        <w:jc w:val="both"/>
        <w:rPr>
          <w:rFonts w:ascii="Times New Roman" w:hAnsi="Times New Roman" w:cs="Times New Roman"/>
          <w:lang w:val="it-IT"/>
        </w:rPr>
      </w:pPr>
      <w:r w:rsidRPr="003F0083">
        <w:rPr>
          <w:rFonts w:ascii="Times New Roman" w:hAnsi="Times New Roman" w:cs="Times New Roman"/>
          <w:lang w:val="it-IT"/>
        </w:rPr>
        <w:t>[63]</w:t>
      </w:r>
      <w:r w:rsidRPr="003F0083">
        <w:rPr>
          <w:rFonts w:ascii="Times New Roman" w:hAnsi="Times New Roman" w:cs="Times New Roman"/>
          <w:lang w:val="it-IT"/>
        </w:rPr>
        <w:tab/>
        <w:t xml:space="preserve">P. Armeni </w:t>
      </w:r>
      <w:r w:rsidRPr="003F0083">
        <w:rPr>
          <w:rFonts w:ascii="Times New Roman" w:hAnsi="Times New Roman" w:cs="Times New Roman"/>
          <w:i/>
          <w:iCs/>
          <w:lang w:val="it-IT"/>
        </w:rPr>
        <w:t>et al.</w:t>
      </w:r>
      <w:r w:rsidRPr="003F0083">
        <w:rPr>
          <w:rFonts w:ascii="Times New Roman" w:hAnsi="Times New Roman" w:cs="Times New Roman"/>
          <w:lang w:val="it-IT"/>
        </w:rPr>
        <w:t>, “Il futuro dei MEA per le terapie avanzate: Il caso Zolgensma,” 2023.</w:t>
      </w:r>
    </w:p>
    <w:p w14:paraId="2E7A3192"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[64]</w:t>
      </w:r>
      <w:r w:rsidRPr="003F0083">
        <w:rPr>
          <w:rFonts w:ascii="Times New Roman" w:hAnsi="Times New Roman" w:cs="Times New Roman"/>
        </w:rPr>
        <w:tab/>
        <w:t>EFPIA, “Novel Pricing and Payment Models: New solutions to improve patient access.” 2020. [Online]. Available: https://www.efpia.eu/media/554543/novel-pricing-and-payment-models-new-solutions-to-improve-patient-access-300630.pdf</w:t>
      </w:r>
    </w:p>
    <w:p w14:paraId="20CC81E3"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[65]</w:t>
      </w:r>
      <w:r w:rsidRPr="003F0083">
        <w:rPr>
          <w:rFonts w:ascii="Times New Roman" w:hAnsi="Times New Roman" w:cs="Times New Roman"/>
        </w:rPr>
        <w:tab/>
        <w:t>OECD, “Performance-based managed entry agreements for new medicines in OECD countries and EU member states: How they work and possible improvements going forward,” OECD Health Working Papers 115, Dec. 2019. doi: 10.1787/6e5e4c0f-en.</w:t>
      </w:r>
    </w:p>
    <w:p w14:paraId="609F9EC1"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[66]</w:t>
      </w:r>
      <w:r w:rsidRPr="003F0083">
        <w:rPr>
          <w:rFonts w:ascii="Times New Roman" w:hAnsi="Times New Roman" w:cs="Times New Roman"/>
        </w:rPr>
        <w:tab/>
        <w:t>EPF, “Core Principles from the Patients’ Perspective on the Value and Pricing of Innovative Medicines.” 2016. [Online]. Available: https://www.eu-patient.eu/globalassets/policy/epf_pricing_statement_160616.pdf</w:t>
      </w:r>
    </w:p>
    <w:p w14:paraId="669A4247"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[67]</w:t>
      </w:r>
      <w:r w:rsidRPr="003F0083">
        <w:rPr>
          <w:rFonts w:ascii="Times New Roman" w:hAnsi="Times New Roman" w:cs="Times New Roman"/>
        </w:rPr>
        <w:tab/>
        <w:t>“Challenges in access to oncology medicines: Policies and practices across the OECD and the EU,” OECD Health Working Papers 123, Nov. 2020. doi: 10.1787/4b2e9cb9-en.</w:t>
      </w:r>
    </w:p>
    <w:p w14:paraId="46ED9AC6" w14:textId="77777777" w:rsidR="00B751AE" w:rsidRPr="003F0083" w:rsidRDefault="00B751AE" w:rsidP="003F0083">
      <w:pPr>
        <w:pStyle w:val="Bibliography"/>
        <w:jc w:val="both"/>
        <w:rPr>
          <w:rFonts w:ascii="Times New Roman" w:hAnsi="Times New Roman" w:cs="Times New Roman"/>
        </w:rPr>
      </w:pPr>
      <w:r w:rsidRPr="003F0083">
        <w:rPr>
          <w:rFonts w:ascii="Times New Roman" w:hAnsi="Times New Roman" w:cs="Times New Roman"/>
        </w:rPr>
        <w:t>[68]</w:t>
      </w:r>
      <w:r w:rsidRPr="003F0083">
        <w:rPr>
          <w:rFonts w:ascii="Times New Roman" w:hAnsi="Times New Roman" w:cs="Times New Roman"/>
        </w:rPr>
        <w:tab/>
        <w:t>Deloitte, “Patient access to innovative medicines in Europe. A collaborative and value based approach.” 2019. [Online]. Available: https://www2.deloitte.com/content/dam/Deloitte/cz/Documents/legal/deloitte-uk-patient-access-to-innovative-medicine-in-europe.pdf</w:t>
      </w:r>
    </w:p>
    <w:p w14:paraId="2F28CC7A" w14:textId="245776DF" w:rsidR="00872547" w:rsidRPr="003446DA" w:rsidRDefault="002B0A9A" w:rsidP="003F0083">
      <w:pPr>
        <w:jc w:val="both"/>
        <w:rPr>
          <w:rFonts w:ascii="Times New Roman" w:hAnsi="Times New Roman" w:cs="Times New Roman"/>
        </w:rPr>
      </w:pPr>
      <w:r w:rsidRPr="003F0083">
        <w:rPr>
          <w:rFonts w:ascii="Times New Roman" w:hAnsi="Times New Roman" w:cs="Times New Roman"/>
        </w:rPr>
        <w:fldChar w:fldCharType="end"/>
      </w:r>
      <w:bookmarkStart w:id="0" w:name="_GoBack"/>
      <w:bookmarkEnd w:id="0"/>
    </w:p>
    <w:sectPr w:rsidR="00872547" w:rsidRPr="003446DA" w:rsidSect="008725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334"/>
    <w:rsid w:val="00021F08"/>
    <w:rsid w:val="002B0A9A"/>
    <w:rsid w:val="002D0BB2"/>
    <w:rsid w:val="003446DA"/>
    <w:rsid w:val="00366676"/>
    <w:rsid w:val="003F0083"/>
    <w:rsid w:val="0042332B"/>
    <w:rsid w:val="00454D37"/>
    <w:rsid w:val="005923F7"/>
    <w:rsid w:val="005C3B39"/>
    <w:rsid w:val="00662E72"/>
    <w:rsid w:val="0078563F"/>
    <w:rsid w:val="007B070F"/>
    <w:rsid w:val="00872547"/>
    <w:rsid w:val="00993895"/>
    <w:rsid w:val="00A77862"/>
    <w:rsid w:val="00AB66B8"/>
    <w:rsid w:val="00B02334"/>
    <w:rsid w:val="00B14CDE"/>
    <w:rsid w:val="00B67297"/>
    <w:rsid w:val="00B705C3"/>
    <w:rsid w:val="00B751AE"/>
    <w:rsid w:val="00CF4AA3"/>
    <w:rsid w:val="00D6757A"/>
    <w:rsid w:val="00E83A98"/>
    <w:rsid w:val="00E86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45C20"/>
  <w15:chartTrackingRefBased/>
  <w15:docId w15:val="{9FF8FF40-AD40-48F5-95CC-983B87A3C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4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2B0A9A"/>
    <w:pPr>
      <w:tabs>
        <w:tab w:val="left" w:pos="384"/>
      </w:tabs>
      <w:spacing w:after="0" w:line="240" w:lineRule="auto"/>
      <w:ind w:left="384" w:hanging="384"/>
    </w:pPr>
  </w:style>
  <w:style w:type="paragraph" w:styleId="BalloonText">
    <w:name w:val="Balloon Text"/>
    <w:basedOn w:val="Normal"/>
    <w:link w:val="BalloonTextChar"/>
    <w:uiPriority w:val="99"/>
    <w:semiHidden/>
    <w:unhideWhenUsed/>
    <w:rsid w:val="009938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895"/>
    <w:rPr>
      <w:rFonts w:ascii="Segoe UI" w:hAnsi="Segoe UI" w:cs="Segoe UI"/>
      <w:sz w:val="18"/>
      <w:szCs w:val="18"/>
    </w:rPr>
  </w:style>
  <w:style w:type="paragraph" w:styleId="NormalWeb">
    <w:name w:val="Normal (Web)"/>
    <w:basedOn w:val="Normal"/>
    <w:uiPriority w:val="99"/>
    <w:semiHidden/>
    <w:unhideWhenUsed/>
    <w:rsid w:val="002D0BB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54981">
      <w:bodyDiv w:val="1"/>
      <w:marLeft w:val="0"/>
      <w:marRight w:val="0"/>
      <w:marTop w:val="0"/>
      <w:marBottom w:val="0"/>
      <w:divBdr>
        <w:top w:val="none" w:sz="0" w:space="0" w:color="auto"/>
        <w:left w:val="none" w:sz="0" w:space="0" w:color="auto"/>
        <w:bottom w:val="none" w:sz="0" w:space="0" w:color="auto"/>
        <w:right w:val="none" w:sz="0" w:space="0" w:color="auto"/>
      </w:divBdr>
    </w:div>
    <w:div w:id="270358991">
      <w:bodyDiv w:val="1"/>
      <w:marLeft w:val="0"/>
      <w:marRight w:val="0"/>
      <w:marTop w:val="0"/>
      <w:marBottom w:val="0"/>
      <w:divBdr>
        <w:top w:val="none" w:sz="0" w:space="0" w:color="auto"/>
        <w:left w:val="none" w:sz="0" w:space="0" w:color="auto"/>
        <w:bottom w:val="none" w:sz="0" w:space="0" w:color="auto"/>
        <w:right w:val="none" w:sz="0" w:space="0" w:color="auto"/>
      </w:divBdr>
    </w:div>
    <w:div w:id="411663113">
      <w:bodyDiv w:val="1"/>
      <w:marLeft w:val="0"/>
      <w:marRight w:val="0"/>
      <w:marTop w:val="0"/>
      <w:marBottom w:val="0"/>
      <w:divBdr>
        <w:top w:val="none" w:sz="0" w:space="0" w:color="auto"/>
        <w:left w:val="none" w:sz="0" w:space="0" w:color="auto"/>
        <w:bottom w:val="none" w:sz="0" w:space="0" w:color="auto"/>
        <w:right w:val="none" w:sz="0" w:space="0" w:color="auto"/>
      </w:divBdr>
    </w:div>
    <w:div w:id="524757891">
      <w:bodyDiv w:val="1"/>
      <w:marLeft w:val="0"/>
      <w:marRight w:val="0"/>
      <w:marTop w:val="0"/>
      <w:marBottom w:val="0"/>
      <w:divBdr>
        <w:top w:val="none" w:sz="0" w:space="0" w:color="auto"/>
        <w:left w:val="none" w:sz="0" w:space="0" w:color="auto"/>
        <w:bottom w:val="none" w:sz="0" w:space="0" w:color="auto"/>
        <w:right w:val="none" w:sz="0" w:space="0" w:color="auto"/>
      </w:divBdr>
    </w:div>
    <w:div w:id="1169909056">
      <w:bodyDiv w:val="1"/>
      <w:marLeft w:val="0"/>
      <w:marRight w:val="0"/>
      <w:marTop w:val="0"/>
      <w:marBottom w:val="0"/>
      <w:divBdr>
        <w:top w:val="none" w:sz="0" w:space="0" w:color="auto"/>
        <w:left w:val="none" w:sz="0" w:space="0" w:color="auto"/>
        <w:bottom w:val="none" w:sz="0" w:space="0" w:color="auto"/>
        <w:right w:val="none" w:sz="0" w:space="0" w:color="auto"/>
      </w:divBdr>
    </w:div>
    <w:div w:id="1212882108">
      <w:bodyDiv w:val="1"/>
      <w:marLeft w:val="0"/>
      <w:marRight w:val="0"/>
      <w:marTop w:val="0"/>
      <w:marBottom w:val="0"/>
      <w:divBdr>
        <w:top w:val="none" w:sz="0" w:space="0" w:color="auto"/>
        <w:left w:val="none" w:sz="0" w:space="0" w:color="auto"/>
        <w:bottom w:val="none" w:sz="0" w:space="0" w:color="auto"/>
        <w:right w:val="none" w:sz="0" w:space="0" w:color="auto"/>
      </w:divBdr>
    </w:div>
    <w:div w:id="1230000545">
      <w:bodyDiv w:val="1"/>
      <w:marLeft w:val="0"/>
      <w:marRight w:val="0"/>
      <w:marTop w:val="0"/>
      <w:marBottom w:val="0"/>
      <w:divBdr>
        <w:top w:val="none" w:sz="0" w:space="0" w:color="auto"/>
        <w:left w:val="none" w:sz="0" w:space="0" w:color="auto"/>
        <w:bottom w:val="none" w:sz="0" w:space="0" w:color="auto"/>
        <w:right w:val="none" w:sz="0" w:space="0" w:color="auto"/>
      </w:divBdr>
    </w:div>
    <w:div w:id="1475215955">
      <w:bodyDiv w:val="1"/>
      <w:marLeft w:val="0"/>
      <w:marRight w:val="0"/>
      <w:marTop w:val="0"/>
      <w:marBottom w:val="0"/>
      <w:divBdr>
        <w:top w:val="none" w:sz="0" w:space="0" w:color="auto"/>
        <w:left w:val="none" w:sz="0" w:space="0" w:color="auto"/>
        <w:bottom w:val="none" w:sz="0" w:space="0" w:color="auto"/>
        <w:right w:val="none" w:sz="0" w:space="0" w:color="auto"/>
      </w:divBdr>
    </w:div>
    <w:div w:id="1705792623">
      <w:bodyDiv w:val="1"/>
      <w:marLeft w:val="0"/>
      <w:marRight w:val="0"/>
      <w:marTop w:val="0"/>
      <w:marBottom w:val="0"/>
      <w:divBdr>
        <w:top w:val="none" w:sz="0" w:space="0" w:color="auto"/>
        <w:left w:val="none" w:sz="0" w:space="0" w:color="auto"/>
        <w:bottom w:val="none" w:sz="0" w:space="0" w:color="auto"/>
        <w:right w:val="none" w:sz="0" w:space="0" w:color="auto"/>
      </w:divBdr>
    </w:div>
    <w:div w:id="199105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6D331DD90DC3B74E9F00555ED2BE5EBD" ma:contentTypeVersion="18" ma:contentTypeDescription="Creare un nuovo documento." ma:contentTypeScope="" ma:versionID="30ea0bb9681c17b9a70334e2c56f2287">
  <xsd:schema xmlns:xsd="http://www.w3.org/2001/XMLSchema" xmlns:xs="http://www.w3.org/2001/XMLSchema" xmlns:p="http://schemas.microsoft.com/office/2006/metadata/properties" xmlns:ns3="b1e28540-85b7-453c-aeff-7cb5b4a7a499" xmlns:ns4="a8564519-704e-46e4-ace1-b5d4e283455f" targetNamespace="http://schemas.microsoft.com/office/2006/metadata/properties" ma:root="true" ma:fieldsID="b3c936bbb7bf0337db33822a75f9888c" ns3:_="" ns4:_="">
    <xsd:import namespace="b1e28540-85b7-453c-aeff-7cb5b4a7a499"/>
    <xsd:import namespace="a8564519-704e-46e4-ace1-b5d4e283455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e28540-85b7-453c-aeff-7cb5b4a7a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564519-704e-46e4-ace1-b5d4e283455f"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SharingHintHash" ma:index="14"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1e28540-85b7-453c-aeff-7cb5b4a7a49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9001A-1233-4932-8BD9-F557664C981F}">
  <ds:schemaRefs>
    <ds:schemaRef ds:uri="http://schemas.microsoft.com/sharepoint/v3/contenttype/forms"/>
  </ds:schemaRefs>
</ds:datastoreItem>
</file>

<file path=customXml/itemProps2.xml><?xml version="1.0" encoding="utf-8"?>
<ds:datastoreItem xmlns:ds="http://schemas.openxmlformats.org/officeDocument/2006/customXml" ds:itemID="{DF2E43AB-E678-423B-BEA6-F1C62CC65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e28540-85b7-453c-aeff-7cb5b4a7a499"/>
    <ds:schemaRef ds:uri="a8564519-704e-46e4-ace1-b5d4e28345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DF049A-72DE-4E39-A236-B970B9607C55}">
  <ds:schemaRefs>
    <ds:schemaRef ds:uri="http://schemas.microsoft.com/office/2006/documentManagement/types"/>
    <ds:schemaRef ds:uri="http://schemas.microsoft.com/office/2006/metadata/properties"/>
    <ds:schemaRef ds:uri="b1e28540-85b7-453c-aeff-7cb5b4a7a499"/>
    <ds:schemaRef ds:uri="http://purl.org/dc/dcmitype/"/>
    <ds:schemaRef ds:uri="a8564519-704e-46e4-ace1-b5d4e283455f"/>
    <ds:schemaRef ds:uri="http://purl.org/dc/terms/"/>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4046FA41-E0D7-49E2-94DF-0AE2C992B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1</Pages>
  <Words>22507</Words>
  <Characters>128291</Characters>
  <Application>Microsoft Office Word</Application>
  <DocSecurity>0</DocSecurity>
  <Lines>1069</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Vittoria Ardito</dc:creator>
  <cp:keywords/>
  <dc:description/>
  <cp:lastModifiedBy>Paul Alexander D Dennis MP</cp:lastModifiedBy>
  <cp:revision>21</cp:revision>
  <dcterms:created xsi:type="dcterms:W3CDTF">2024-07-19T16:08:00Z</dcterms:created>
  <dcterms:modified xsi:type="dcterms:W3CDTF">2024-09-24T11:42:00Z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0x0101006D331DD90DC3B74E9F00555ED2BE5EBD</vt:lpwstr>
  </property>
  <property fmtid="{D5CDD505-2E9C-101B-9397-08002B2CF9AE}" pid="3" name="ZOTERO_PREF_1">
    <vt:lpwstr>&lt;data data-version="3" zotero-version="6.0.36"&gt;&lt;session id="wr7z1BLa"/&gt;&lt;style id="http://www.zotero.org/styles/ieee" locale="en-US" hasBibliography="1" bibliographyStyleHasBeenSet="1"/&gt;&lt;prefs&gt;&lt;pref name="fieldType" value="Field"/&gt;&lt;/prefs&gt;&lt;/data&gt;</vt:lpwstr>
  </property>
</Properties>
</file>