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EAFE5" w14:textId="67D69175" w:rsidR="0008508D" w:rsidRPr="005F200E" w:rsidRDefault="004403D8" w:rsidP="00794B9F">
      <w:pPr>
        <w:spacing w:line="480" w:lineRule="auto"/>
        <w:jc w:val="both"/>
        <w:rPr>
          <w:rFonts w:ascii="Times New Roman" w:hAnsi="Times New Roman" w:cs="Times New Roman"/>
          <w:b/>
          <w:bCs/>
          <w:sz w:val="24"/>
          <w:szCs w:val="24"/>
          <w:lang w:val="en-US"/>
        </w:rPr>
      </w:pPr>
      <w:bookmarkStart w:id="0" w:name="_GoBack"/>
      <w:bookmarkEnd w:id="0"/>
      <w:r>
        <w:rPr>
          <w:rFonts w:ascii="Times New Roman" w:hAnsi="Times New Roman" w:cs="Times New Roman"/>
          <w:b/>
          <w:bCs/>
          <w:sz w:val="24"/>
          <w:szCs w:val="24"/>
          <w:lang w:val="en-US"/>
        </w:rPr>
        <w:t>Electronic Supplementary Material</w:t>
      </w:r>
    </w:p>
    <w:p w14:paraId="319630D4" w14:textId="77777777" w:rsidR="0008508D" w:rsidRPr="005F200E" w:rsidRDefault="0008508D" w:rsidP="00794B9F">
      <w:pPr>
        <w:spacing w:line="480" w:lineRule="auto"/>
        <w:jc w:val="both"/>
        <w:rPr>
          <w:rFonts w:ascii="Times New Roman" w:hAnsi="Times New Roman" w:cs="Times New Roman"/>
          <w:b/>
          <w:bCs/>
          <w:sz w:val="24"/>
          <w:szCs w:val="24"/>
          <w:lang w:val="en-US"/>
        </w:rPr>
      </w:pPr>
    </w:p>
    <w:p w14:paraId="07ECF988" w14:textId="2861235B" w:rsidR="0008508D" w:rsidRPr="005F200E" w:rsidRDefault="0008508D" w:rsidP="00794B9F">
      <w:pPr>
        <w:spacing w:line="480" w:lineRule="auto"/>
        <w:jc w:val="both"/>
        <w:rPr>
          <w:rFonts w:ascii="Times New Roman" w:hAnsi="Times New Roman" w:cs="Times New Roman"/>
          <w:b/>
          <w:bCs/>
          <w:sz w:val="24"/>
          <w:szCs w:val="24"/>
          <w:lang w:val="en-US"/>
        </w:rPr>
      </w:pPr>
      <w:r w:rsidRPr="005F200E">
        <w:rPr>
          <w:rFonts w:ascii="Times New Roman" w:hAnsi="Times New Roman" w:cs="Times New Roman"/>
          <w:b/>
          <w:bCs/>
          <w:sz w:val="24"/>
          <w:szCs w:val="24"/>
          <w:lang w:val="en-US"/>
        </w:rPr>
        <w:t>Appendix 1. Coefficients on EQ‐5D decrements across gender and age groups models</w:t>
      </w:r>
    </w:p>
    <w:tbl>
      <w:tblPr>
        <w:tblW w:w="8926" w:type="dxa"/>
        <w:tblLook w:val="04A0" w:firstRow="1" w:lastRow="0" w:firstColumn="1" w:lastColumn="0" w:noHBand="0" w:noVBand="1"/>
      </w:tblPr>
      <w:tblGrid>
        <w:gridCol w:w="2263"/>
        <w:gridCol w:w="1236"/>
        <w:gridCol w:w="1134"/>
        <w:gridCol w:w="1236"/>
        <w:gridCol w:w="1236"/>
        <w:gridCol w:w="1236"/>
        <w:gridCol w:w="1236"/>
      </w:tblGrid>
      <w:tr w:rsidR="0008508D" w:rsidRPr="005F200E" w14:paraId="63517C2F" w14:textId="77777777" w:rsidTr="0042516A">
        <w:trPr>
          <w:trHeight w:hRule="exact" w:val="255"/>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292D83AA" w14:textId="77777777" w:rsidR="0008508D" w:rsidRPr="005F200E" w:rsidRDefault="0008508D" w:rsidP="00794B9F">
            <w:pPr>
              <w:spacing w:line="480" w:lineRule="auto"/>
              <w:rPr>
                <w:rFonts w:ascii="Times New Roman" w:hAnsi="Times New Roman" w:cs="Times New Roman"/>
                <w:b/>
                <w:bCs/>
                <w:sz w:val="24"/>
                <w:szCs w:val="24"/>
              </w:rPr>
            </w:pPr>
          </w:p>
        </w:tc>
        <w:tc>
          <w:tcPr>
            <w:tcW w:w="3341" w:type="dxa"/>
            <w:gridSpan w:val="3"/>
            <w:tcBorders>
              <w:top w:val="single" w:sz="4" w:space="0" w:color="auto"/>
              <w:left w:val="single" w:sz="4" w:space="0" w:color="auto"/>
              <w:bottom w:val="single" w:sz="4" w:space="0" w:color="auto"/>
              <w:right w:val="single" w:sz="4" w:space="0" w:color="auto"/>
            </w:tcBorders>
            <w:noWrap/>
            <w:vAlign w:val="bottom"/>
            <w:hideMark/>
          </w:tcPr>
          <w:p w14:paraId="5220DF82"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Females</w:t>
            </w:r>
          </w:p>
        </w:tc>
        <w:tc>
          <w:tcPr>
            <w:tcW w:w="3322" w:type="dxa"/>
            <w:gridSpan w:val="3"/>
            <w:tcBorders>
              <w:top w:val="single" w:sz="4" w:space="0" w:color="auto"/>
              <w:left w:val="single" w:sz="4" w:space="0" w:color="auto"/>
              <w:bottom w:val="single" w:sz="4" w:space="0" w:color="auto"/>
              <w:right w:val="single" w:sz="4" w:space="0" w:color="auto"/>
            </w:tcBorders>
            <w:noWrap/>
            <w:vAlign w:val="bottom"/>
            <w:hideMark/>
          </w:tcPr>
          <w:p w14:paraId="522B5465"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Males</w:t>
            </w:r>
          </w:p>
        </w:tc>
      </w:tr>
      <w:tr w:rsidR="0008508D" w:rsidRPr="005F200E" w14:paraId="4AFB49AE" w14:textId="77777777" w:rsidTr="0042516A">
        <w:trPr>
          <w:trHeight w:hRule="exact" w:val="255"/>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4815FA94" w14:textId="77777777" w:rsidR="0008508D" w:rsidRPr="005F200E" w:rsidRDefault="0008508D" w:rsidP="00794B9F">
            <w:pPr>
              <w:spacing w:line="480" w:lineRule="auto"/>
              <w:rPr>
                <w:rFonts w:ascii="Times New Roman" w:eastAsia="Times New Roman" w:hAnsi="Times New Roman" w:cs="Times New Roman"/>
                <w:b/>
                <w:bCs/>
                <w:color w:val="000000"/>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E3AE200"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15-44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3FCD280"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45-64</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15242A55"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65+</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2778AA57"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15-44</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5B2B8C91"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45-64</w:t>
            </w: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0BC8306" w14:textId="77777777" w:rsidR="0008508D" w:rsidRPr="005F200E" w:rsidRDefault="0008508D" w:rsidP="00794B9F">
            <w:pPr>
              <w:spacing w:after="0" w:line="480" w:lineRule="auto"/>
              <w:jc w:val="center"/>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65+</w:t>
            </w:r>
          </w:p>
        </w:tc>
      </w:tr>
      <w:tr w:rsidR="0008508D" w:rsidRPr="005F200E" w14:paraId="523DFC3D" w14:textId="77777777" w:rsidTr="0042516A">
        <w:trPr>
          <w:trHeight w:hRule="exact" w:val="255"/>
        </w:trPr>
        <w:tc>
          <w:tcPr>
            <w:tcW w:w="4531" w:type="dxa"/>
            <w:gridSpan w:val="3"/>
            <w:tcBorders>
              <w:top w:val="single" w:sz="4" w:space="0" w:color="auto"/>
              <w:left w:val="single" w:sz="4" w:space="0" w:color="auto"/>
              <w:bottom w:val="single" w:sz="4" w:space="0" w:color="auto"/>
              <w:right w:val="single" w:sz="4" w:space="0" w:color="auto"/>
            </w:tcBorders>
            <w:noWrap/>
            <w:vAlign w:val="bottom"/>
            <w:hideMark/>
          </w:tcPr>
          <w:p w14:paraId="25468383" w14:textId="77777777" w:rsidR="0008508D" w:rsidRPr="005F200E" w:rsidRDefault="0008508D" w:rsidP="00794B9F">
            <w:pPr>
              <w:spacing w:after="0" w:line="480" w:lineRule="auto"/>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Demographic and health factors</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1D2FF044" w14:textId="77777777" w:rsidR="0008508D" w:rsidRPr="005F200E" w:rsidRDefault="0008508D" w:rsidP="00794B9F">
            <w:pPr>
              <w:spacing w:line="480" w:lineRule="auto"/>
              <w:rPr>
                <w:rFonts w:ascii="Times New Roman" w:eastAsia="Times New Roman" w:hAnsi="Times New Roman" w:cs="Times New Roman"/>
                <w:b/>
                <w:bCs/>
                <w:color w:val="000000"/>
                <w:sz w:val="24"/>
                <w:szCs w:val="24"/>
                <w:lang w:eastAsia="en-GB"/>
              </w:rPr>
            </w:pP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5321129B"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36D39D19"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F3EAB49"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6F5E0955" w14:textId="77777777" w:rsidTr="0042516A">
        <w:trPr>
          <w:trHeight w:hRule="exact" w:val="255"/>
        </w:trPr>
        <w:tc>
          <w:tcPr>
            <w:tcW w:w="2263" w:type="dxa"/>
            <w:tcBorders>
              <w:top w:val="single" w:sz="4" w:space="0" w:color="auto"/>
              <w:left w:val="single" w:sz="4" w:space="0" w:color="auto"/>
              <w:bottom w:val="nil"/>
              <w:right w:val="single" w:sz="4" w:space="0" w:color="auto"/>
            </w:tcBorders>
            <w:noWrap/>
            <w:vAlign w:val="bottom"/>
            <w:hideMark/>
          </w:tcPr>
          <w:p w14:paraId="2F029F94"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Age</w:t>
            </w:r>
          </w:p>
        </w:tc>
        <w:tc>
          <w:tcPr>
            <w:tcW w:w="1134" w:type="dxa"/>
            <w:tcBorders>
              <w:top w:val="single" w:sz="4" w:space="0" w:color="auto"/>
              <w:left w:val="single" w:sz="4" w:space="0" w:color="auto"/>
              <w:bottom w:val="nil"/>
              <w:right w:val="single" w:sz="4" w:space="0" w:color="auto"/>
            </w:tcBorders>
            <w:noWrap/>
            <w:vAlign w:val="bottom"/>
            <w:hideMark/>
          </w:tcPr>
          <w:p w14:paraId="12B0CE6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0.0184***</w:t>
            </w:r>
          </w:p>
        </w:tc>
        <w:tc>
          <w:tcPr>
            <w:tcW w:w="1134" w:type="dxa"/>
            <w:tcBorders>
              <w:top w:val="single" w:sz="4" w:space="0" w:color="auto"/>
              <w:left w:val="single" w:sz="4" w:space="0" w:color="auto"/>
              <w:bottom w:val="nil"/>
              <w:right w:val="single" w:sz="4" w:space="0" w:color="auto"/>
            </w:tcBorders>
            <w:noWrap/>
            <w:vAlign w:val="bottom"/>
            <w:hideMark/>
          </w:tcPr>
          <w:p w14:paraId="23EC076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0.000706</w:t>
            </w:r>
          </w:p>
        </w:tc>
        <w:tc>
          <w:tcPr>
            <w:tcW w:w="1073" w:type="dxa"/>
            <w:tcBorders>
              <w:top w:val="single" w:sz="4" w:space="0" w:color="auto"/>
              <w:left w:val="single" w:sz="4" w:space="0" w:color="auto"/>
              <w:bottom w:val="nil"/>
              <w:right w:val="single" w:sz="4" w:space="0" w:color="auto"/>
            </w:tcBorders>
            <w:noWrap/>
            <w:vAlign w:val="bottom"/>
            <w:hideMark/>
          </w:tcPr>
          <w:p w14:paraId="30E4280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0.0284***</w:t>
            </w:r>
          </w:p>
        </w:tc>
        <w:tc>
          <w:tcPr>
            <w:tcW w:w="1073" w:type="dxa"/>
            <w:tcBorders>
              <w:top w:val="single" w:sz="4" w:space="0" w:color="auto"/>
              <w:left w:val="single" w:sz="4" w:space="0" w:color="auto"/>
              <w:bottom w:val="nil"/>
              <w:right w:val="single" w:sz="4" w:space="0" w:color="auto"/>
            </w:tcBorders>
            <w:noWrap/>
            <w:vAlign w:val="bottom"/>
            <w:hideMark/>
          </w:tcPr>
          <w:p w14:paraId="3BDF42F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0.0138***</w:t>
            </w:r>
          </w:p>
        </w:tc>
        <w:tc>
          <w:tcPr>
            <w:tcW w:w="1073" w:type="dxa"/>
            <w:tcBorders>
              <w:top w:val="single" w:sz="4" w:space="0" w:color="auto"/>
              <w:left w:val="single" w:sz="4" w:space="0" w:color="auto"/>
              <w:bottom w:val="nil"/>
              <w:right w:val="single" w:sz="4" w:space="0" w:color="auto"/>
            </w:tcBorders>
            <w:noWrap/>
            <w:vAlign w:val="bottom"/>
            <w:hideMark/>
          </w:tcPr>
          <w:p w14:paraId="7F18FC0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0.0147***</w:t>
            </w:r>
          </w:p>
        </w:tc>
        <w:tc>
          <w:tcPr>
            <w:tcW w:w="1176" w:type="dxa"/>
            <w:tcBorders>
              <w:top w:val="single" w:sz="4" w:space="0" w:color="auto"/>
              <w:left w:val="single" w:sz="4" w:space="0" w:color="auto"/>
              <w:bottom w:val="nil"/>
              <w:right w:val="single" w:sz="4" w:space="0" w:color="auto"/>
            </w:tcBorders>
            <w:noWrap/>
            <w:vAlign w:val="bottom"/>
            <w:hideMark/>
          </w:tcPr>
          <w:p w14:paraId="7C8AAEB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0.0316***</w:t>
            </w:r>
          </w:p>
        </w:tc>
      </w:tr>
      <w:tr w:rsidR="0008508D" w:rsidRPr="005F200E" w14:paraId="35B0F27A" w14:textId="77777777" w:rsidTr="0042516A">
        <w:trPr>
          <w:trHeight w:hRule="exact" w:val="255"/>
        </w:trPr>
        <w:tc>
          <w:tcPr>
            <w:tcW w:w="3397" w:type="dxa"/>
            <w:gridSpan w:val="2"/>
            <w:tcBorders>
              <w:top w:val="nil"/>
              <w:left w:val="single" w:sz="4" w:space="0" w:color="auto"/>
              <w:bottom w:val="nil"/>
              <w:right w:val="single" w:sz="4" w:space="0" w:color="auto"/>
            </w:tcBorders>
            <w:noWrap/>
            <w:vAlign w:val="bottom"/>
            <w:hideMark/>
          </w:tcPr>
          <w:p w14:paraId="0598F426" w14:textId="77777777" w:rsidR="0008508D" w:rsidRPr="005F200E" w:rsidRDefault="0008508D" w:rsidP="00794B9F">
            <w:pPr>
              <w:spacing w:after="0" w:line="480" w:lineRule="auto"/>
              <w:rPr>
                <w:rFonts w:ascii="Times New Roman" w:eastAsia="Times New Roman" w:hAnsi="Times New Roman" w:cs="Times New Roman"/>
                <w:i/>
                <w:iCs/>
                <w:color w:val="000000"/>
                <w:sz w:val="24"/>
                <w:szCs w:val="24"/>
                <w:lang w:eastAsia="en-GB"/>
              </w:rPr>
            </w:pPr>
            <w:r w:rsidRPr="005F200E">
              <w:rPr>
                <w:rFonts w:ascii="Times New Roman" w:eastAsia="Times New Roman" w:hAnsi="Times New Roman" w:cs="Times New Roman"/>
                <w:i/>
                <w:iCs/>
                <w:color w:val="000000"/>
                <w:sz w:val="24"/>
                <w:szCs w:val="24"/>
                <w:lang w:eastAsia="en-GB"/>
              </w:rPr>
              <w:t>Self‐assessed general health</w:t>
            </w:r>
          </w:p>
        </w:tc>
        <w:tc>
          <w:tcPr>
            <w:tcW w:w="1134" w:type="dxa"/>
            <w:tcBorders>
              <w:top w:val="nil"/>
              <w:left w:val="single" w:sz="4" w:space="0" w:color="auto"/>
              <w:bottom w:val="nil"/>
              <w:right w:val="single" w:sz="4" w:space="0" w:color="auto"/>
            </w:tcBorders>
            <w:noWrap/>
            <w:vAlign w:val="bottom"/>
            <w:hideMark/>
          </w:tcPr>
          <w:p w14:paraId="57DB096E" w14:textId="77777777" w:rsidR="0008508D" w:rsidRPr="005F200E" w:rsidRDefault="0008508D" w:rsidP="00794B9F">
            <w:pPr>
              <w:spacing w:line="480" w:lineRule="auto"/>
              <w:rPr>
                <w:rFonts w:ascii="Times New Roman" w:eastAsia="Times New Roman" w:hAnsi="Times New Roman" w:cs="Times New Roman"/>
                <w:i/>
                <w:iCs/>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0905A093"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37EDD230"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39A54A6A"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15248938"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20784012"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6052F096"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Very good</w:t>
            </w:r>
          </w:p>
        </w:tc>
        <w:tc>
          <w:tcPr>
            <w:tcW w:w="1134" w:type="dxa"/>
            <w:tcBorders>
              <w:top w:val="nil"/>
              <w:left w:val="single" w:sz="4" w:space="0" w:color="auto"/>
              <w:bottom w:val="nil"/>
              <w:right w:val="single" w:sz="4" w:space="0" w:color="auto"/>
            </w:tcBorders>
            <w:noWrap/>
            <w:vAlign w:val="bottom"/>
            <w:hideMark/>
          </w:tcPr>
          <w:p w14:paraId="68E48228"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134" w:type="dxa"/>
            <w:tcBorders>
              <w:top w:val="nil"/>
              <w:left w:val="single" w:sz="4" w:space="0" w:color="auto"/>
              <w:bottom w:val="nil"/>
              <w:right w:val="single" w:sz="4" w:space="0" w:color="auto"/>
            </w:tcBorders>
            <w:noWrap/>
            <w:vAlign w:val="bottom"/>
            <w:hideMark/>
          </w:tcPr>
          <w:p w14:paraId="2162264E"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4D6435C8"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18702362"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210A2565"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1D494F69"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67B278F7"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403EAC9C"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Good</w:t>
            </w:r>
          </w:p>
        </w:tc>
        <w:tc>
          <w:tcPr>
            <w:tcW w:w="1134" w:type="dxa"/>
            <w:tcBorders>
              <w:top w:val="nil"/>
              <w:left w:val="single" w:sz="4" w:space="0" w:color="auto"/>
              <w:bottom w:val="nil"/>
              <w:right w:val="single" w:sz="4" w:space="0" w:color="auto"/>
            </w:tcBorders>
            <w:noWrap/>
            <w:vAlign w:val="bottom"/>
            <w:hideMark/>
          </w:tcPr>
          <w:p w14:paraId="3F70ADB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0.844***</w:t>
            </w:r>
          </w:p>
        </w:tc>
        <w:tc>
          <w:tcPr>
            <w:tcW w:w="1134" w:type="dxa"/>
            <w:tcBorders>
              <w:top w:val="nil"/>
              <w:left w:val="single" w:sz="4" w:space="0" w:color="auto"/>
              <w:bottom w:val="nil"/>
              <w:right w:val="single" w:sz="4" w:space="0" w:color="auto"/>
            </w:tcBorders>
            <w:noWrap/>
            <w:vAlign w:val="bottom"/>
            <w:hideMark/>
          </w:tcPr>
          <w:p w14:paraId="60C6406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0.789**</w:t>
            </w:r>
          </w:p>
        </w:tc>
        <w:tc>
          <w:tcPr>
            <w:tcW w:w="1073" w:type="dxa"/>
            <w:tcBorders>
              <w:top w:val="nil"/>
              <w:left w:val="single" w:sz="4" w:space="0" w:color="auto"/>
              <w:bottom w:val="nil"/>
              <w:right w:val="single" w:sz="4" w:space="0" w:color="auto"/>
            </w:tcBorders>
            <w:noWrap/>
            <w:vAlign w:val="bottom"/>
            <w:hideMark/>
          </w:tcPr>
          <w:p w14:paraId="30A12B8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0.171</w:t>
            </w:r>
          </w:p>
        </w:tc>
        <w:tc>
          <w:tcPr>
            <w:tcW w:w="1073" w:type="dxa"/>
            <w:tcBorders>
              <w:top w:val="nil"/>
              <w:left w:val="single" w:sz="4" w:space="0" w:color="auto"/>
              <w:bottom w:val="nil"/>
              <w:right w:val="single" w:sz="4" w:space="0" w:color="auto"/>
            </w:tcBorders>
            <w:noWrap/>
            <w:vAlign w:val="bottom"/>
            <w:hideMark/>
          </w:tcPr>
          <w:p w14:paraId="320F7C70"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1725967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1.188</w:t>
            </w:r>
          </w:p>
        </w:tc>
        <w:tc>
          <w:tcPr>
            <w:tcW w:w="1176" w:type="dxa"/>
            <w:tcBorders>
              <w:top w:val="nil"/>
              <w:left w:val="single" w:sz="4" w:space="0" w:color="auto"/>
              <w:bottom w:val="nil"/>
              <w:right w:val="single" w:sz="4" w:space="0" w:color="auto"/>
            </w:tcBorders>
            <w:noWrap/>
            <w:vAlign w:val="bottom"/>
            <w:hideMark/>
          </w:tcPr>
          <w:p w14:paraId="180A8C3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0.638</w:t>
            </w:r>
          </w:p>
        </w:tc>
      </w:tr>
      <w:tr w:rsidR="0008508D" w:rsidRPr="005F200E" w14:paraId="07CDD421"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44D78B26"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Fair</w:t>
            </w:r>
          </w:p>
        </w:tc>
        <w:tc>
          <w:tcPr>
            <w:tcW w:w="1134" w:type="dxa"/>
            <w:tcBorders>
              <w:top w:val="nil"/>
              <w:left w:val="single" w:sz="4" w:space="0" w:color="auto"/>
              <w:bottom w:val="nil"/>
              <w:right w:val="single" w:sz="4" w:space="0" w:color="auto"/>
            </w:tcBorders>
            <w:noWrap/>
            <w:vAlign w:val="bottom"/>
            <w:hideMark/>
          </w:tcPr>
          <w:p w14:paraId="1C020E7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1.387***</w:t>
            </w:r>
          </w:p>
        </w:tc>
        <w:tc>
          <w:tcPr>
            <w:tcW w:w="1134" w:type="dxa"/>
            <w:tcBorders>
              <w:top w:val="nil"/>
              <w:left w:val="single" w:sz="4" w:space="0" w:color="auto"/>
              <w:bottom w:val="nil"/>
              <w:right w:val="single" w:sz="4" w:space="0" w:color="auto"/>
            </w:tcBorders>
            <w:noWrap/>
            <w:vAlign w:val="bottom"/>
            <w:hideMark/>
          </w:tcPr>
          <w:p w14:paraId="15F1C70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1.331***</w:t>
            </w:r>
          </w:p>
        </w:tc>
        <w:tc>
          <w:tcPr>
            <w:tcW w:w="1073" w:type="dxa"/>
            <w:tcBorders>
              <w:top w:val="nil"/>
              <w:left w:val="single" w:sz="4" w:space="0" w:color="auto"/>
              <w:bottom w:val="nil"/>
              <w:right w:val="single" w:sz="4" w:space="0" w:color="auto"/>
            </w:tcBorders>
            <w:noWrap/>
            <w:vAlign w:val="bottom"/>
            <w:hideMark/>
          </w:tcPr>
          <w:p w14:paraId="776CD1D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0.520**</w:t>
            </w:r>
          </w:p>
        </w:tc>
        <w:tc>
          <w:tcPr>
            <w:tcW w:w="1073" w:type="dxa"/>
            <w:tcBorders>
              <w:top w:val="nil"/>
              <w:left w:val="single" w:sz="4" w:space="0" w:color="auto"/>
              <w:bottom w:val="nil"/>
              <w:right w:val="single" w:sz="4" w:space="0" w:color="auto"/>
            </w:tcBorders>
            <w:noWrap/>
            <w:vAlign w:val="bottom"/>
            <w:hideMark/>
          </w:tcPr>
          <w:p w14:paraId="24BB532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0.674***</w:t>
            </w:r>
          </w:p>
        </w:tc>
        <w:tc>
          <w:tcPr>
            <w:tcW w:w="1073" w:type="dxa"/>
            <w:tcBorders>
              <w:top w:val="nil"/>
              <w:left w:val="single" w:sz="4" w:space="0" w:color="auto"/>
              <w:bottom w:val="nil"/>
              <w:right w:val="single" w:sz="4" w:space="0" w:color="auto"/>
            </w:tcBorders>
            <w:noWrap/>
            <w:vAlign w:val="bottom"/>
            <w:hideMark/>
          </w:tcPr>
          <w:p w14:paraId="41724A4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1.733**</w:t>
            </w:r>
          </w:p>
        </w:tc>
        <w:tc>
          <w:tcPr>
            <w:tcW w:w="1176" w:type="dxa"/>
            <w:tcBorders>
              <w:top w:val="nil"/>
              <w:left w:val="single" w:sz="4" w:space="0" w:color="auto"/>
              <w:bottom w:val="nil"/>
              <w:right w:val="single" w:sz="4" w:space="0" w:color="auto"/>
            </w:tcBorders>
            <w:noWrap/>
            <w:vAlign w:val="bottom"/>
            <w:hideMark/>
          </w:tcPr>
          <w:p w14:paraId="58992FD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1.255**</w:t>
            </w:r>
          </w:p>
        </w:tc>
      </w:tr>
      <w:tr w:rsidR="0008508D" w:rsidRPr="005F200E" w14:paraId="5C2E26D9"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7E4FBB38"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Bad</w:t>
            </w:r>
          </w:p>
        </w:tc>
        <w:tc>
          <w:tcPr>
            <w:tcW w:w="1134" w:type="dxa"/>
            <w:tcBorders>
              <w:top w:val="nil"/>
              <w:left w:val="single" w:sz="4" w:space="0" w:color="auto"/>
              <w:bottom w:val="nil"/>
              <w:right w:val="single" w:sz="4" w:space="0" w:color="auto"/>
            </w:tcBorders>
            <w:noWrap/>
            <w:vAlign w:val="bottom"/>
            <w:hideMark/>
          </w:tcPr>
          <w:p w14:paraId="53CE4D4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1.812***</w:t>
            </w:r>
          </w:p>
        </w:tc>
        <w:tc>
          <w:tcPr>
            <w:tcW w:w="1134" w:type="dxa"/>
            <w:tcBorders>
              <w:top w:val="nil"/>
              <w:left w:val="single" w:sz="4" w:space="0" w:color="auto"/>
              <w:bottom w:val="nil"/>
              <w:right w:val="single" w:sz="4" w:space="0" w:color="auto"/>
            </w:tcBorders>
            <w:noWrap/>
            <w:vAlign w:val="bottom"/>
            <w:hideMark/>
          </w:tcPr>
          <w:p w14:paraId="2C767E7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1.695***</w:t>
            </w:r>
          </w:p>
        </w:tc>
        <w:tc>
          <w:tcPr>
            <w:tcW w:w="1073" w:type="dxa"/>
            <w:tcBorders>
              <w:top w:val="nil"/>
              <w:left w:val="single" w:sz="4" w:space="0" w:color="auto"/>
              <w:bottom w:val="nil"/>
              <w:right w:val="single" w:sz="4" w:space="0" w:color="auto"/>
            </w:tcBorders>
            <w:noWrap/>
            <w:vAlign w:val="bottom"/>
            <w:hideMark/>
          </w:tcPr>
          <w:p w14:paraId="58DEA2D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0.871***</w:t>
            </w:r>
          </w:p>
        </w:tc>
        <w:tc>
          <w:tcPr>
            <w:tcW w:w="1073" w:type="dxa"/>
            <w:tcBorders>
              <w:top w:val="nil"/>
              <w:left w:val="single" w:sz="4" w:space="0" w:color="auto"/>
              <w:bottom w:val="nil"/>
              <w:right w:val="single" w:sz="4" w:space="0" w:color="auto"/>
            </w:tcBorders>
            <w:noWrap/>
            <w:vAlign w:val="bottom"/>
            <w:hideMark/>
          </w:tcPr>
          <w:p w14:paraId="701A563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1.960***</w:t>
            </w:r>
          </w:p>
        </w:tc>
        <w:tc>
          <w:tcPr>
            <w:tcW w:w="1073" w:type="dxa"/>
            <w:tcBorders>
              <w:top w:val="nil"/>
              <w:left w:val="single" w:sz="4" w:space="0" w:color="auto"/>
              <w:bottom w:val="nil"/>
              <w:right w:val="single" w:sz="4" w:space="0" w:color="auto"/>
            </w:tcBorders>
            <w:noWrap/>
            <w:vAlign w:val="bottom"/>
            <w:hideMark/>
          </w:tcPr>
          <w:p w14:paraId="3D697D3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2.113***</w:t>
            </w:r>
          </w:p>
        </w:tc>
        <w:tc>
          <w:tcPr>
            <w:tcW w:w="1176" w:type="dxa"/>
            <w:tcBorders>
              <w:top w:val="nil"/>
              <w:left w:val="single" w:sz="4" w:space="0" w:color="auto"/>
              <w:bottom w:val="nil"/>
              <w:right w:val="single" w:sz="4" w:space="0" w:color="auto"/>
            </w:tcBorders>
            <w:noWrap/>
            <w:vAlign w:val="bottom"/>
            <w:hideMark/>
          </w:tcPr>
          <w:p w14:paraId="12F500D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1.671***</w:t>
            </w:r>
          </w:p>
        </w:tc>
      </w:tr>
      <w:tr w:rsidR="0008508D" w:rsidRPr="005F200E" w14:paraId="5E88AF36"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71953E80"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Very bad</w:t>
            </w:r>
          </w:p>
        </w:tc>
        <w:tc>
          <w:tcPr>
            <w:tcW w:w="1134" w:type="dxa"/>
            <w:tcBorders>
              <w:top w:val="nil"/>
              <w:left w:val="single" w:sz="4" w:space="0" w:color="auto"/>
              <w:bottom w:val="nil"/>
              <w:right w:val="single" w:sz="4" w:space="0" w:color="auto"/>
            </w:tcBorders>
            <w:noWrap/>
            <w:vAlign w:val="bottom"/>
            <w:hideMark/>
          </w:tcPr>
          <w:p w14:paraId="058BB56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2.188***</w:t>
            </w:r>
          </w:p>
        </w:tc>
        <w:tc>
          <w:tcPr>
            <w:tcW w:w="1134" w:type="dxa"/>
            <w:tcBorders>
              <w:top w:val="nil"/>
              <w:left w:val="single" w:sz="4" w:space="0" w:color="auto"/>
              <w:bottom w:val="nil"/>
              <w:right w:val="single" w:sz="4" w:space="0" w:color="auto"/>
            </w:tcBorders>
            <w:noWrap/>
            <w:vAlign w:val="bottom"/>
            <w:hideMark/>
          </w:tcPr>
          <w:p w14:paraId="5BBA0DE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2.119***</w:t>
            </w:r>
          </w:p>
        </w:tc>
        <w:tc>
          <w:tcPr>
            <w:tcW w:w="1073" w:type="dxa"/>
            <w:tcBorders>
              <w:top w:val="nil"/>
              <w:left w:val="single" w:sz="4" w:space="0" w:color="auto"/>
              <w:bottom w:val="nil"/>
              <w:right w:val="single" w:sz="4" w:space="0" w:color="auto"/>
            </w:tcBorders>
            <w:noWrap/>
            <w:vAlign w:val="bottom"/>
            <w:hideMark/>
          </w:tcPr>
          <w:p w14:paraId="0BB40B3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1.105***</w:t>
            </w:r>
          </w:p>
        </w:tc>
        <w:tc>
          <w:tcPr>
            <w:tcW w:w="1073" w:type="dxa"/>
            <w:tcBorders>
              <w:top w:val="nil"/>
              <w:left w:val="single" w:sz="4" w:space="0" w:color="auto"/>
              <w:bottom w:val="nil"/>
              <w:right w:val="single" w:sz="4" w:space="0" w:color="auto"/>
            </w:tcBorders>
            <w:noWrap/>
            <w:vAlign w:val="bottom"/>
            <w:hideMark/>
          </w:tcPr>
          <w:p w14:paraId="151F34F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2.018***</w:t>
            </w:r>
          </w:p>
        </w:tc>
        <w:tc>
          <w:tcPr>
            <w:tcW w:w="1073" w:type="dxa"/>
            <w:tcBorders>
              <w:top w:val="nil"/>
              <w:left w:val="single" w:sz="4" w:space="0" w:color="auto"/>
              <w:bottom w:val="nil"/>
              <w:right w:val="single" w:sz="4" w:space="0" w:color="auto"/>
            </w:tcBorders>
            <w:noWrap/>
            <w:vAlign w:val="bottom"/>
            <w:hideMark/>
          </w:tcPr>
          <w:p w14:paraId="693ED3F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2.414***</w:t>
            </w:r>
          </w:p>
        </w:tc>
        <w:tc>
          <w:tcPr>
            <w:tcW w:w="1176" w:type="dxa"/>
            <w:tcBorders>
              <w:top w:val="nil"/>
              <w:left w:val="single" w:sz="4" w:space="0" w:color="auto"/>
              <w:bottom w:val="nil"/>
              <w:right w:val="single" w:sz="4" w:space="0" w:color="auto"/>
            </w:tcBorders>
            <w:noWrap/>
            <w:vAlign w:val="bottom"/>
            <w:hideMark/>
          </w:tcPr>
          <w:p w14:paraId="2A56C9C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1.994***</w:t>
            </w:r>
          </w:p>
        </w:tc>
      </w:tr>
      <w:tr w:rsidR="0008508D" w:rsidRPr="005F200E" w14:paraId="4EC867A6"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3CB6A07B"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134" w:type="dxa"/>
            <w:tcBorders>
              <w:top w:val="nil"/>
              <w:left w:val="single" w:sz="4" w:space="0" w:color="auto"/>
              <w:bottom w:val="nil"/>
              <w:right w:val="single" w:sz="4" w:space="0" w:color="auto"/>
            </w:tcBorders>
            <w:noWrap/>
            <w:vAlign w:val="bottom"/>
            <w:hideMark/>
          </w:tcPr>
          <w:p w14:paraId="45375DCF"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34" w:type="dxa"/>
            <w:tcBorders>
              <w:top w:val="nil"/>
              <w:left w:val="single" w:sz="4" w:space="0" w:color="auto"/>
              <w:bottom w:val="nil"/>
              <w:right w:val="single" w:sz="4" w:space="0" w:color="auto"/>
            </w:tcBorders>
            <w:noWrap/>
            <w:vAlign w:val="bottom"/>
            <w:hideMark/>
          </w:tcPr>
          <w:p w14:paraId="7816A0D8"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172565B9"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10BC2960"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1D8C0013"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1EEB9539"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736C804F" w14:textId="77777777" w:rsidTr="0042516A">
        <w:trPr>
          <w:trHeight w:hRule="exact" w:val="255"/>
        </w:trPr>
        <w:tc>
          <w:tcPr>
            <w:tcW w:w="3397" w:type="dxa"/>
            <w:gridSpan w:val="2"/>
            <w:tcBorders>
              <w:top w:val="nil"/>
              <w:left w:val="single" w:sz="4" w:space="0" w:color="auto"/>
              <w:bottom w:val="nil"/>
              <w:right w:val="single" w:sz="4" w:space="0" w:color="auto"/>
            </w:tcBorders>
            <w:noWrap/>
            <w:vAlign w:val="bottom"/>
            <w:hideMark/>
          </w:tcPr>
          <w:p w14:paraId="793D3121" w14:textId="77777777" w:rsidR="0008508D" w:rsidRPr="005F200E" w:rsidRDefault="0008508D" w:rsidP="00794B9F">
            <w:pPr>
              <w:spacing w:after="0" w:line="480" w:lineRule="auto"/>
              <w:rPr>
                <w:rFonts w:ascii="Times New Roman" w:eastAsia="Times New Roman" w:hAnsi="Times New Roman" w:cs="Times New Roman"/>
                <w:i/>
                <w:iCs/>
                <w:color w:val="000000"/>
                <w:sz w:val="24"/>
                <w:szCs w:val="24"/>
                <w:lang w:eastAsia="en-GB"/>
              </w:rPr>
            </w:pPr>
            <w:r w:rsidRPr="005F200E">
              <w:rPr>
                <w:rFonts w:ascii="Times New Roman" w:eastAsia="Times New Roman" w:hAnsi="Times New Roman" w:cs="Times New Roman"/>
                <w:i/>
                <w:iCs/>
                <w:color w:val="000000"/>
                <w:sz w:val="24"/>
                <w:szCs w:val="24"/>
                <w:lang w:eastAsia="en-GB"/>
              </w:rPr>
              <w:t>Limitation in daily activities</w:t>
            </w:r>
          </w:p>
        </w:tc>
        <w:tc>
          <w:tcPr>
            <w:tcW w:w="1134" w:type="dxa"/>
            <w:tcBorders>
              <w:top w:val="nil"/>
              <w:left w:val="single" w:sz="4" w:space="0" w:color="auto"/>
              <w:bottom w:val="nil"/>
              <w:right w:val="single" w:sz="4" w:space="0" w:color="auto"/>
            </w:tcBorders>
            <w:noWrap/>
            <w:vAlign w:val="bottom"/>
            <w:hideMark/>
          </w:tcPr>
          <w:p w14:paraId="3B92B96C" w14:textId="77777777" w:rsidR="0008508D" w:rsidRPr="005F200E" w:rsidRDefault="0008508D" w:rsidP="00794B9F">
            <w:pPr>
              <w:spacing w:line="480" w:lineRule="auto"/>
              <w:rPr>
                <w:rFonts w:ascii="Times New Roman" w:eastAsia="Times New Roman" w:hAnsi="Times New Roman" w:cs="Times New Roman"/>
                <w:i/>
                <w:iCs/>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06E03696"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629ABD81"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6564F3B9"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6CE6F5B1"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75C81530"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24833E07"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34" w:type="dxa"/>
            <w:tcBorders>
              <w:top w:val="nil"/>
              <w:left w:val="single" w:sz="4" w:space="0" w:color="auto"/>
              <w:bottom w:val="nil"/>
              <w:right w:val="single" w:sz="4" w:space="0" w:color="auto"/>
            </w:tcBorders>
            <w:noWrap/>
            <w:vAlign w:val="bottom"/>
            <w:hideMark/>
          </w:tcPr>
          <w:p w14:paraId="59EF589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1.076***</w:t>
            </w:r>
          </w:p>
        </w:tc>
        <w:tc>
          <w:tcPr>
            <w:tcW w:w="1134" w:type="dxa"/>
            <w:tcBorders>
              <w:top w:val="nil"/>
              <w:left w:val="single" w:sz="4" w:space="0" w:color="auto"/>
              <w:bottom w:val="nil"/>
              <w:right w:val="single" w:sz="4" w:space="0" w:color="auto"/>
            </w:tcBorders>
            <w:noWrap/>
            <w:vAlign w:val="bottom"/>
            <w:hideMark/>
          </w:tcPr>
          <w:p w14:paraId="4E26DF6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0.803***</w:t>
            </w:r>
          </w:p>
        </w:tc>
        <w:tc>
          <w:tcPr>
            <w:tcW w:w="1073" w:type="dxa"/>
            <w:tcBorders>
              <w:top w:val="nil"/>
              <w:left w:val="single" w:sz="4" w:space="0" w:color="auto"/>
              <w:bottom w:val="nil"/>
              <w:right w:val="single" w:sz="4" w:space="0" w:color="auto"/>
            </w:tcBorders>
            <w:noWrap/>
            <w:vAlign w:val="bottom"/>
            <w:hideMark/>
          </w:tcPr>
          <w:p w14:paraId="4455CCA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0.855***</w:t>
            </w:r>
          </w:p>
        </w:tc>
        <w:tc>
          <w:tcPr>
            <w:tcW w:w="1073" w:type="dxa"/>
            <w:tcBorders>
              <w:top w:val="nil"/>
              <w:left w:val="single" w:sz="4" w:space="0" w:color="auto"/>
              <w:bottom w:val="nil"/>
              <w:right w:val="single" w:sz="4" w:space="0" w:color="auto"/>
            </w:tcBorders>
            <w:noWrap/>
            <w:vAlign w:val="bottom"/>
            <w:hideMark/>
          </w:tcPr>
          <w:p w14:paraId="2A9A33F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1.637***</w:t>
            </w:r>
          </w:p>
        </w:tc>
        <w:tc>
          <w:tcPr>
            <w:tcW w:w="1073" w:type="dxa"/>
            <w:tcBorders>
              <w:top w:val="nil"/>
              <w:left w:val="single" w:sz="4" w:space="0" w:color="auto"/>
              <w:bottom w:val="nil"/>
              <w:right w:val="single" w:sz="4" w:space="0" w:color="auto"/>
            </w:tcBorders>
            <w:noWrap/>
            <w:vAlign w:val="bottom"/>
            <w:hideMark/>
          </w:tcPr>
          <w:p w14:paraId="78C91F4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1.525***</w:t>
            </w:r>
          </w:p>
        </w:tc>
        <w:tc>
          <w:tcPr>
            <w:tcW w:w="1176" w:type="dxa"/>
            <w:tcBorders>
              <w:top w:val="nil"/>
              <w:left w:val="single" w:sz="4" w:space="0" w:color="auto"/>
              <w:bottom w:val="nil"/>
              <w:right w:val="single" w:sz="4" w:space="0" w:color="auto"/>
            </w:tcBorders>
            <w:noWrap/>
            <w:vAlign w:val="bottom"/>
            <w:hideMark/>
          </w:tcPr>
          <w:p w14:paraId="56C2446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0.880***</w:t>
            </w:r>
          </w:p>
        </w:tc>
      </w:tr>
      <w:tr w:rsidR="0008508D" w:rsidRPr="005F200E" w14:paraId="1BFA7059" w14:textId="77777777" w:rsidTr="0042516A">
        <w:trPr>
          <w:trHeight w:hRule="exact" w:val="255"/>
        </w:trPr>
        <w:tc>
          <w:tcPr>
            <w:tcW w:w="3397" w:type="dxa"/>
            <w:gridSpan w:val="2"/>
            <w:tcBorders>
              <w:top w:val="nil"/>
              <w:left w:val="single" w:sz="4" w:space="0" w:color="auto"/>
              <w:bottom w:val="nil"/>
              <w:right w:val="single" w:sz="4" w:space="0" w:color="auto"/>
            </w:tcBorders>
            <w:noWrap/>
            <w:vAlign w:val="bottom"/>
            <w:hideMark/>
          </w:tcPr>
          <w:p w14:paraId="17E1BB7D" w14:textId="77777777" w:rsidR="0008508D" w:rsidRPr="005F200E" w:rsidRDefault="0008508D" w:rsidP="00794B9F">
            <w:pPr>
              <w:spacing w:after="0" w:line="480" w:lineRule="auto"/>
              <w:rPr>
                <w:rFonts w:ascii="Times New Roman" w:eastAsia="Times New Roman" w:hAnsi="Times New Roman" w:cs="Times New Roman"/>
                <w:i/>
                <w:iCs/>
                <w:color w:val="000000"/>
                <w:sz w:val="24"/>
                <w:szCs w:val="24"/>
                <w:lang w:eastAsia="en-GB"/>
              </w:rPr>
            </w:pPr>
            <w:r w:rsidRPr="005F200E">
              <w:rPr>
                <w:rFonts w:ascii="Times New Roman" w:eastAsia="Times New Roman" w:hAnsi="Times New Roman" w:cs="Times New Roman"/>
                <w:i/>
                <w:iCs/>
                <w:color w:val="000000"/>
                <w:sz w:val="24"/>
                <w:szCs w:val="24"/>
                <w:lang w:eastAsia="en-GB"/>
              </w:rPr>
              <w:t>Longstanding illnesses</w:t>
            </w:r>
          </w:p>
        </w:tc>
        <w:tc>
          <w:tcPr>
            <w:tcW w:w="1134" w:type="dxa"/>
            <w:tcBorders>
              <w:top w:val="nil"/>
              <w:left w:val="single" w:sz="4" w:space="0" w:color="auto"/>
              <w:bottom w:val="nil"/>
              <w:right w:val="single" w:sz="4" w:space="0" w:color="auto"/>
            </w:tcBorders>
            <w:noWrap/>
            <w:vAlign w:val="bottom"/>
            <w:hideMark/>
          </w:tcPr>
          <w:p w14:paraId="49E2775C" w14:textId="77777777" w:rsidR="0008508D" w:rsidRPr="005F200E" w:rsidRDefault="0008508D" w:rsidP="00794B9F">
            <w:pPr>
              <w:spacing w:line="480" w:lineRule="auto"/>
              <w:rPr>
                <w:rFonts w:ascii="Times New Roman" w:eastAsia="Times New Roman" w:hAnsi="Times New Roman" w:cs="Times New Roman"/>
                <w:i/>
                <w:iCs/>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1009F32B"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68C27DED"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0865EDFA"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4967537B"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6037D779"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71B4D7ED"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Hypertension</w:t>
            </w:r>
          </w:p>
        </w:tc>
        <w:tc>
          <w:tcPr>
            <w:tcW w:w="1134" w:type="dxa"/>
            <w:tcBorders>
              <w:top w:val="nil"/>
              <w:left w:val="single" w:sz="4" w:space="0" w:color="auto"/>
              <w:bottom w:val="nil"/>
              <w:right w:val="single" w:sz="4" w:space="0" w:color="auto"/>
            </w:tcBorders>
            <w:noWrap/>
            <w:vAlign w:val="bottom"/>
            <w:hideMark/>
          </w:tcPr>
          <w:p w14:paraId="41CC97E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0.210***</w:t>
            </w:r>
          </w:p>
        </w:tc>
        <w:tc>
          <w:tcPr>
            <w:tcW w:w="1134" w:type="dxa"/>
            <w:tcBorders>
              <w:top w:val="nil"/>
              <w:left w:val="single" w:sz="4" w:space="0" w:color="auto"/>
              <w:bottom w:val="nil"/>
              <w:right w:val="single" w:sz="4" w:space="0" w:color="auto"/>
            </w:tcBorders>
            <w:noWrap/>
            <w:vAlign w:val="bottom"/>
            <w:hideMark/>
          </w:tcPr>
          <w:p w14:paraId="60EB8B7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0.024</w:t>
            </w:r>
          </w:p>
        </w:tc>
        <w:tc>
          <w:tcPr>
            <w:tcW w:w="1073" w:type="dxa"/>
            <w:tcBorders>
              <w:top w:val="nil"/>
              <w:left w:val="single" w:sz="4" w:space="0" w:color="auto"/>
              <w:bottom w:val="nil"/>
              <w:right w:val="single" w:sz="4" w:space="0" w:color="auto"/>
            </w:tcBorders>
            <w:noWrap/>
            <w:vAlign w:val="bottom"/>
            <w:hideMark/>
          </w:tcPr>
          <w:p w14:paraId="47518628"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1D947C08"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64670E07"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0.0856*</w:t>
            </w:r>
          </w:p>
        </w:tc>
        <w:tc>
          <w:tcPr>
            <w:tcW w:w="1176" w:type="dxa"/>
            <w:tcBorders>
              <w:top w:val="nil"/>
              <w:left w:val="single" w:sz="4" w:space="0" w:color="auto"/>
              <w:bottom w:val="nil"/>
              <w:right w:val="single" w:sz="4" w:space="0" w:color="auto"/>
            </w:tcBorders>
            <w:noWrap/>
            <w:vAlign w:val="bottom"/>
            <w:hideMark/>
          </w:tcPr>
          <w:p w14:paraId="60921B8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0.129***</w:t>
            </w:r>
          </w:p>
        </w:tc>
      </w:tr>
      <w:tr w:rsidR="0008508D" w:rsidRPr="005F200E" w14:paraId="3C23064C"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59522255"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Diabetes</w:t>
            </w:r>
          </w:p>
        </w:tc>
        <w:tc>
          <w:tcPr>
            <w:tcW w:w="1134" w:type="dxa"/>
            <w:tcBorders>
              <w:top w:val="nil"/>
              <w:left w:val="single" w:sz="4" w:space="0" w:color="auto"/>
              <w:bottom w:val="nil"/>
              <w:right w:val="single" w:sz="4" w:space="0" w:color="auto"/>
            </w:tcBorders>
            <w:noWrap/>
            <w:vAlign w:val="bottom"/>
            <w:hideMark/>
          </w:tcPr>
          <w:p w14:paraId="3EFC0DD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0.106</w:t>
            </w:r>
          </w:p>
        </w:tc>
        <w:tc>
          <w:tcPr>
            <w:tcW w:w="1134" w:type="dxa"/>
            <w:tcBorders>
              <w:top w:val="nil"/>
              <w:left w:val="single" w:sz="4" w:space="0" w:color="auto"/>
              <w:bottom w:val="nil"/>
              <w:right w:val="single" w:sz="4" w:space="0" w:color="auto"/>
            </w:tcBorders>
            <w:noWrap/>
            <w:vAlign w:val="bottom"/>
            <w:hideMark/>
          </w:tcPr>
          <w:p w14:paraId="66ACC235"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0CA34CD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0.146***</w:t>
            </w:r>
          </w:p>
        </w:tc>
        <w:tc>
          <w:tcPr>
            <w:tcW w:w="1073" w:type="dxa"/>
            <w:tcBorders>
              <w:top w:val="nil"/>
              <w:left w:val="single" w:sz="4" w:space="0" w:color="auto"/>
              <w:bottom w:val="nil"/>
              <w:right w:val="single" w:sz="4" w:space="0" w:color="auto"/>
            </w:tcBorders>
            <w:noWrap/>
            <w:vAlign w:val="bottom"/>
            <w:hideMark/>
          </w:tcPr>
          <w:p w14:paraId="6FC68E1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0.444***</w:t>
            </w:r>
          </w:p>
        </w:tc>
        <w:tc>
          <w:tcPr>
            <w:tcW w:w="1073" w:type="dxa"/>
            <w:tcBorders>
              <w:top w:val="nil"/>
              <w:left w:val="single" w:sz="4" w:space="0" w:color="auto"/>
              <w:bottom w:val="nil"/>
              <w:right w:val="single" w:sz="4" w:space="0" w:color="auto"/>
            </w:tcBorders>
            <w:noWrap/>
            <w:vAlign w:val="bottom"/>
            <w:hideMark/>
          </w:tcPr>
          <w:p w14:paraId="2F451F75"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176" w:type="dxa"/>
            <w:tcBorders>
              <w:top w:val="nil"/>
              <w:left w:val="single" w:sz="4" w:space="0" w:color="auto"/>
              <w:bottom w:val="nil"/>
              <w:right w:val="single" w:sz="4" w:space="0" w:color="auto"/>
            </w:tcBorders>
            <w:noWrap/>
            <w:vAlign w:val="bottom"/>
            <w:hideMark/>
          </w:tcPr>
          <w:p w14:paraId="09D499F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0.105**</w:t>
            </w:r>
          </w:p>
        </w:tc>
      </w:tr>
      <w:tr w:rsidR="0008508D" w:rsidRPr="005F200E" w14:paraId="2765E875"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26B57797"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Mental health</w:t>
            </w:r>
          </w:p>
        </w:tc>
        <w:tc>
          <w:tcPr>
            <w:tcW w:w="1134" w:type="dxa"/>
            <w:tcBorders>
              <w:top w:val="nil"/>
              <w:left w:val="single" w:sz="4" w:space="0" w:color="auto"/>
              <w:bottom w:val="nil"/>
              <w:right w:val="single" w:sz="4" w:space="0" w:color="auto"/>
            </w:tcBorders>
            <w:noWrap/>
            <w:vAlign w:val="bottom"/>
            <w:hideMark/>
          </w:tcPr>
          <w:p w14:paraId="1AB9978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0.664***</w:t>
            </w:r>
          </w:p>
        </w:tc>
        <w:tc>
          <w:tcPr>
            <w:tcW w:w="1134" w:type="dxa"/>
            <w:tcBorders>
              <w:top w:val="nil"/>
              <w:left w:val="single" w:sz="4" w:space="0" w:color="auto"/>
              <w:bottom w:val="nil"/>
              <w:right w:val="single" w:sz="4" w:space="0" w:color="auto"/>
            </w:tcBorders>
            <w:noWrap/>
            <w:vAlign w:val="bottom"/>
            <w:hideMark/>
          </w:tcPr>
          <w:p w14:paraId="5CF5D37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0.407***</w:t>
            </w:r>
          </w:p>
        </w:tc>
        <w:tc>
          <w:tcPr>
            <w:tcW w:w="1073" w:type="dxa"/>
            <w:tcBorders>
              <w:top w:val="nil"/>
              <w:left w:val="single" w:sz="4" w:space="0" w:color="auto"/>
              <w:bottom w:val="nil"/>
              <w:right w:val="single" w:sz="4" w:space="0" w:color="auto"/>
            </w:tcBorders>
            <w:noWrap/>
            <w:vAlign w:val="bottom"/>
            <w:hideMark/>
          </w:tcPr>
          <w:p w14:paraId="5DBDEDB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0.234***</w:t>
            </w:r>
          </w:p>
        </w:tc>
        <w:tc>
          <w:tcPr>
            <w:tcW w:w="1073" w:type="dxa"/>
            <w:tcBorders>
              <w:top w:val="nil"/>
              <w:left w:val="single" w:sz="4" w:space="0" w:color="auto"/>
              <w:bottom w:val="nil"/>
              <w:right w:val="single" w:sz="4" w:space="0" w:color="auto"/>
            </w:tcBorders>
            <w:noWrap/>
            <w:vAlign w:val="bottom"/>
            <w:hideMark/>
          </w:tcPr>
          <w:p w14:paraId="5A54965C"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7A19394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0.358***</w:t>
            </w:r>
          </w:p>
        </w:tc>
        <w:tc>
          <w:tcPr>
            <w:tcW w:w="1176" w:type="dxa"/>
            <w:tcBorders>
              <w:top w:val="nil"/>
              <w:left w:val="single" w:sz="4" w:space="0" w:color="auto"/>
              <w:bottom w:val="nil"/>
              <w:right w:val="single" w:sz="4" w:space="0" w:color="auto"/>
            </w:tcBorders>
            <w:noWrap/>
            <w:vAlign w:val="bottom"/>
            <w:hideMark/>
          </w:tcPr>
          <w:p w14:paraId="34B88F8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0.290***</w:t>
            </w:r>
          </w:p>
        </w:tc>
      </w:tr>
      <w:tr w:rsidR="0008508D" w:rsidRPr="005F200E" w14:paraId="300C0916"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0B93AADF"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Migraine</w:t>
            </w:r>
          </w:p>
        </w:tc>
        <w:tc>
          <w:tcPr>
            <w:tcW w:w="1134" w:type="dxa"/>
            <w:tcBorders>
              <w:top w:val="nil"/>
              <w:left w:val="single" w:sz="4" w:space="0" w:color="auto"/>
              <w:bottom w:val="nil"/>
              <w:right w:val="single" w:sz="4" w:space="0" w:color="auto"/>
            </w:tcBorders>
            <w:noWrap/>
            <w:vAlign w:val="bottom"/>
            <w:hideMark/>
          </w:tcPr>
          <w:p w14:paraId="3B0EE2B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0.000</w:t>
            </w:r>
          </w:p>
        </w:tc>
        <w:tc>
          <w:tcPr>
            <w:tcW w:w="1134" w:type="dxa"/>
            <w:tcBorders>
              <w:top w:val="nil"/>
              <w:left w:val="single" w:sz="4" w:space="0" w:color="auto"/>
              <w:bottom w:val="nil"/>
              <w:right w:val="single" w:sz="4" w:space="0" w:color="auto"/>
            </w:tcBorders>
            <w:noWrap/>
            <w:vAlign w:val="bottom"/>
            <w:hideMark/>
          </w:tcPr>
          <w:p w14:paraId="451D293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0.102***</w:t>
            </w:r>
          </w:p>
        </w:tc>
        <w:tc>
          <w:tcPr>
            <w:tcW w:w="1073" w:type="dxa"/>
            <w:tcBorders>
              <w:top w:val="nil"/>
              <w:left w:val="single" w:sz="4" w:space="0" w:color="auto"/>
              <w:bottom w:val="nil"/>
              <w:right w:val="single" w:sz="4" w:space="0" w:color="auto"/>
            </w:tcBorders>
            <w:noWrap/>
            <w:vAlign w:val="bottom"/>
            <w:hideMark/>
          </w:tcPr>
          <w:p w14:paraId="0AC280BE"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62D1AC1F"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20C51CD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0.053</w:t>
            </w:r>
          </w:p>
        </w:tc>
        <w:tc>
          <w:tcPr>
            <w:tcW w:w="1176" w:type="dxa"/>
            <w:tcBorders>
              <w:top w:val="nil"/>
              <w:left w:val="single" w:sz="4" w:space="0" w:color="auto"/>
              <w:bottom w:val="nil"/>
              <w:right w:val="single" w:sz="4" w:space="0" w:color="auto"/>
            </w:tcBorders>
            <w:noWrap/>
            <w:vAlign w:val="bottom"/>
            <w:hideMark/>
          </w:tcPr>
          <w:p w14:paraId="44EF6BE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0.113*</w:t>
            </w:r>
          </w:p>
        </w:tc>
      </w:tr>
      <w:tr w:rsidR="0008508D" w:rsidRPr="005F200E" w14:paraId="3A0A1EEB"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58C56E5A"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Asthma</w:t>
            </w:r>
          </w:p>
        </w:tc>
        <w:tc>
          <w:tcPr>
            <w:tcW w:w="1134" w:type="dxa"/>
            <w:tcBorders>
              <w:top w:val="nil"/>
              <w:left w:val="single" w:sz="4" w:space="0" w:color="auto"/>
              <w:bottom w:val="nil"/>
              <w:right w:val="single" w:sz="4" w:space="0" w:color="auto"/>
            </w:tcBorders>
            <w:noWrap/>
            <w:vAlign w:val="bottom"/>
            <w:hideMark/>
          </w:tcPr>
          <w:p w14:paraId="292758F9"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134" w:type="dxa"/>
            <w:tcBorders>
              <w:top w:val="nil"/>
              <w:left w:val="single" w:sz="4" w:space="0" w:color="auto"/>
              <w:bottom w:val="nil"/>
              <w:right w:val="single" w:sz="4" w:space="0" w:color="auto"/>
            </w:tcBorders>
            <w:noWrap/>
            <w:vAlign w:val="bottom"/>
            <w:hideMark/>
          </w:tcPr>
          <w:p w14:paraId="658D1FF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0.006</w:t>
            </w:r>
          </w:p>
        </w:tc>
        <w:tc>
          <w:tcPr>
            <w:tcW w:w="1073" w:type="dxa"/>
            <w:tcBorders>
              <w:top w:val="nil"/>
              <w:left w:val="single" w:sz="4" w:space="0" w:color="auto"/>
              <w:bottom w:val="nil"/>
              <w:right w:val="single" w:sz="4" w:space="0" w:color="auto"/>
            </w:tcBorders>
            <w:noWrap/>
            <w:vAlign w:val="bottom"/>
            <w:hideMark/>
          </w:tcPr>
          <w:p w14:paraId="7210734A" w14:textId="77777777" w:rsidR="0008508D" w:rsidRPr="005F200E" w:rsidRDefault="0008508D" w:rsidP="00794B9F">
            <w:pPr>
              <w:spacing w:line="480" w:lineRule="auto"/>
              <w:rPr>
                <w:rFonts w:ascii="Times New Roman" w:eastAsia="Times New Roman" w:hAnsi="Times New Roman" w:cs="Times New Roman"/>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7C23C3EF"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032090F4"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13658E2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0.016</w:t>
            </w:r>
          </w:p>
        </w:tc>
      </w:tr>
      <w:tr w:rsidR="0008508D" w:rsidRPr="005F200E" w14:paraId="04B6C84D" w14:textId="77777777" w:rsidTr="0042516A">
        <w:trPr>
          <w:trHeight w:hRule="exact" w:val="255"/>
        </w:trPr>
        <w:tc>
          <w:tcPr>
            <w:tcW w:w="4531" w:type="dxa"/>
            <w:gridSpan w:val="3"/>
            <w:tcBorders>
              <w:top w:val="nil"/>
              <w:left w:val="single" w:sz="4" w:space="0" w:color="auto"/>
              <w:bottom w:val="nil"/>
              <w:right w:val="single" w:sz="4" w:space="0" w:color="auto"/>
            </w:tcBorders>
            <w:noWrap/>
            <w:vAlign w:val="bottom"/>
            <w:hideMark/>
          </w:tcPr>
          <w:p w14:paraId="3150FE2E" w14:textId="77777777" w:rsidR="0008508D" w:rsidRPr="005F200E" w:rsidRDefault="0008508D" w:rsidP="00794B9F">
            <w:pPr>
              <w:spacing w:after="0" w:line="480" w:lineRule="auto"/>
              <w:rPr>
                <w:rFonts w:ascii="Times New Roman" w:eastAsia="Times New Roman" w:hAnsi="Times New Roman" w:cs="Times New Roman"/>
                <w:i/>
                <w:iCs/>
                <w:color w:val="000000"/>
                <w:sz w:val="24"/>
                <w:szCs w:val="24"/>
                <w:lang w:eastAsia="en-GB"/>
              </w:rPr>
            </w:pPr>
            <w:r w:rsidRPr="005F200E">
              <w:rPr>
                <w:rFonts w:ascii="Times New Roman" w:eastAsia="Times New Roman" w:hAnsi="Times New Roman" w:cs="Times New Roman"/>
                <w:i/>
                <w:iCs/>
                <w:color w:val="000000"/>
                <w:sz w:val="24"/>
                <w:szCs w:val="24"/>
                <w:lang w:eastAsia="en-GB"/>
              </w:rPr>
              <w:t>Had an accident in past 12 months</w:t>
            </w:r>
          </w:p>
        </w:tc>
        <w:tc>
          <w:tcPr>
            <w:tcW w:w="1073" w:type="dxa"/>
            <w:tcBorders>
              <w:top w:val="nil"/>
              <w:left w:val="single" w:sz="4" w:space="0" w:color="auto"/>
              <w:bottom w:val="nil"/>
              <w:right w:val="single" w:sz="4" w:space="0" w:color="auto"/>
            </w:tcBorders>
            <w:noWrap/>
            <w:vAlign w:val="bottom"/>
            <w:hideMark/>
          </w:tcPr>
          <w:p w14:paraId="0B33F844" w14:textId="77777777" w:rsidR="0008508D" w:rsidRPr="005F200E" w:rsidRDefault="0008508D" w:rsidP="00794B9F">
            <w:pPr>
              <w:spacing w:line="480" w:lineRule="auto"/>
              <w:rPr>
                <w:rFonts w:ascii="Times New Roman" w:eastAsia="Times New Roman" w:hAnsi="Times New Roman" w:cs="Times New Roman"/>
                <w:i/>
                <w:iCs/>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63C7FC1A"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0A1F6284"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71131919"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5C9ABB2E"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732EDAF5"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34" w:type="dxa"/>
            <w:tcBorders>
              <w:top w:val="nil"/>
              <w:left w:val="single" w:sz="4" w:space="0" w:color="auto"/>
              <w:bottom w:val="nil"/>
              <w:right w:val="single" w:sz="4" w:space="0" w:color="auto"/>
            </w:tcBorders>
            <w:noWrap/>
            <w:vAlign w:val="bottom"/>
            <w:hideMark/>
          </w:tcPr>
          <w:p w14:paraId="6792D08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0.401***</w:t>
            </w:r>
          </w:p>
        </w:tc>
        <w:tc>
          <w:tcPr>
            <w:tcW w:w="1134" w:type="dxa"/>
            <w:tcBorders>
              <w:top w:val="nil"/>
              <w:left w:val="single" w:sz="4" w:space="0" w:color="auto"/>
              <w:bottom w:val="nil"/>
              <w:right w:val="single" w:sz="4" w:space="0" w:color="auto"/>
            </w:tcBorders>
            <w:noWrap/>
            <w:vAlign w:val="bottom"/>
            <w:hideMark/>
          </w:tcPr>
          <w:p w14:paraId="0657B2A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0.251***</w:t>
            </w:r>
          </w:p>
        </w:tc>
        <w:tc>
          <w:tcPr>
            <w:tcW w:w="1073" w:type="dxa"/>
            <w:tcBorders>
              <w:top w:val="nil"/>
              <w:left w:val="single" w:sz="4" w:space="0" w:color="auto"/>
              <w:bottom w:val="nil"/>
              <w:right w:val="single" w:sz="4" w:space="0" w:color="auto"/>
            </w:tcBorders>
            <w:noWrap/>
            <w:vAlign w:val="bottom"/>
            <w:hideMark/>
          </w:tcPr>
          <w:p w14:paraId="6D6C723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0.023</w:t>
            </w:r>
          </w:p>
        </w:tc>
        <w:tc>
          <w:tcPr>
            <w:tcW w:w="1073" w:type="dxa"/>
            <w:tcBorders>
              <w:top w:val="nil"/>
              <w:left w:val="single" w:sz="4" w:space="0" w:color="auto"/>
              <w:bottom w:val="nil"/>
              <w:right w:val="single" w:sz="4" w:space="0" w:color="auto"/>
            </w:tcBorders>
            <w:noWrap/>
            <w:vAlign w:val="bottom"/>
            <w:hideMark/>
          </w:tcPr>
          <w:p w14:paraId="7465F2B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0.075</w:t>
            </w:r>
          </w:p>
        </w:tc>
        <w:tc>
          <w:tcPr>
            <w:tcW w:w="1073" w:type="dxa"/>
            <w:tcBorders>
              <w:top w:val="nil"/>
              <w:left w:val="single" w:sz="4" w:space="0" w:color="auto"/>
              <w:bottom w:val="nil"/>
              <w:right w:val="single" w:sz="4" w:space="0" w:color="auto"/>
            </w:tcBorders>
            <w:noWrap/>
            <w:vAlign w:val="bottom"/>
            <w:hideMark/>
          </w:tcPr>
          <w:p w14:paraId="061CDE0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0.171***</w:t>
            </w:r>
          </w:p>
        </w:tc>
        <w:tc>
          <w:tcPr>
            <w:tcW w:w="1176" w:type="dxa"/>
            <w:tcBorders>
              <w:top w:val="nil"/>
              <w:left w:val="single" w:sz="4" w:space="0" w:color="auto"/>
              <w:bottom w:val="nil"/>
              <w:right w:val="single" w:sz="4" w:space="0" w:color="auto"/>
            </w:tcBorders>
            <w:noWrap/>
            <w:vAlign w:val="bottom"/>
            <w:hideMark/>
          </w:tcPr>
          <w:p w14:paraId="1C7F598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0.131*</w:t>
            </w:r>
          </w:p>
        </w:tc>
      </w:tr>
      <w:tr w:rsidR="0008508D" w:rsidRPr="005F200E" w14:paraId="5DB78083" w14:textId="77777777" w:rsidTr="0042516A">
        <w:trPr>
          <w:trHeight w:hRule="exact" w:val="255"/>
        </w:trPr>
        <w:tc>
          <w:tcPr>
            <w:tcW w:w="3397" w:type="dxa"/>
            <w:gridSpan w:val="2"/>
            <w:tcBorders>
              <w:top w:val="nil"/>
              <w:left w:val="single" w:sz="4" w:space="0" w:color="auto"/>
              <w:bottom w:val="nil"/>
              <w:right w:val="single" w:sz="4" w:space="0" w:color="auto"/>
            </w:tcBorders>
            <w:noWrap/>
            <w:vAlign w:val="bottom"/>
            <w:hideMark/>
          </w:tcPr>
          <w:p w14:paraId="370BA875" w14:textId="77777777" w:rsidR="0008508D" w:rsidRPr="005F200E" w:rsidRDefault="0008508D" w:rsidP="00794B9F">
            <w:pPr>
              <w:spacing w:after="0" w:line="480" w:lineRule="auto"/>
              <w:rPr>
                <w:rFonts w:ascii="Times New Roman" w:eastAsia="Times New Roman" w:hAnsi="Times New Roman" w:cs="Times New Roman"/>
                <w:i/>
                <w:iCs/>
                <w:color w:val="000000"/>
                <w:sz w:val="24"/>
                <w:szCs w:val="24"/>
                <w:lang w:eastAsia="en-GB"/>
              </w:rPr>
            </w:pPr>
            <w:r w:rsidRPr="005F200E">
              <w:rPr>
                <w:rFonts w:ascii="Times New Roman" w:eastAsia="Times New Roman" w:hAnsi="Times New Roman" w:cs="Times New Roman"/>
                <w:i/>
                <w:iCs/>
                <w:color w:val="000000"/>
                <w:sz w:val="24"/>
                <w:szCs w:val="24"/>
                <w:lang w:eastAsia="en-GB"/>
              </w:rPr>
              <w:t>In incapacity benefits or retired</w:t>
            </w:r>
          </w:p>
        </w:tc>
        <w:tc>
          <w:tcPr>
            <w:tcW w:w="1134" w:type="dxa"/>
            <w:tcBorders>
              <w:top w:val="nil"/>
              <w:left w:val="single" w:sz="4" w:space="0" w:color="auto"/>
              <w:bottom w:val="nil"/>
              <w:right w:val="single" w:sz="4" w:space="0" w:color="auto"/>
            </w:tcBorders>
            <w:noWrap/>
            <w:vAlign w:val="bottom"/>
            <w:hideMark/>
          </w:tcPr>
          <w:p w14:paraId="554A54B0" w14:textId="77777777" w:rsidR="0008508D" w:rsidRPr="005F200E" w:rsidRDefault="0008508D" w:rsidP="00794B9F">
            <w:pPr>
              <w:spacing w:line="480" w:lineRule="auto"/>
              <w:rPr>
                <w:rFonts w:ascii="Times New Roman" w:eastAsia="Times New Roman" w:hAnsi="Times New Roman" w:cs="Times New Roman"/>
                <w:i/>
                <w:iCs/>
                <w:color w:val="000000"/>
                <w:sz w:val="24"/>
                <w:szCs w:val="24"/>
                <w:lang w:eastAsia="en-GB"/>
              </w:rPr>
            </w:pPr>
          </w:p>
        </w:tc>
        <w:tc>
          <w:tcPr>
            <w:tcW w:w="1073" w:type="dxa"/>
            <w:tcBorders>
              <w:top w:val="nil"/>
              <w:left w:val="single" w:sz="4" w:space="0" w:color="auto"/>
              <w:bottom w:val="nil"/>
              <w:right w:val="single" w:sz="4" w:space="0" w:color="auto"/>
            </w:tcBorders>
            <w:noWrap/>
            <w:vAlign w:val="bottom"/>
            <w:hideMark/>
          </w:tcPr>
          <w:p w14:paraId="1F9FC905"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4FEF7991"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nil"/>
              <w:left w:val="single" w:sz="4" w:space="0" w:color="auto"/>
              <w:bottom w:val="nil"/>
              <w:right w:val="single" w:sz="4" w:space="0" w:color="auto"/>
            </w:tcBorders>
            <w:noWrap/>
            <w:vAlign w:val="bottom"/>
            <w:hideMark/>
          </w:tcPr>
          <w:p w14:paraId="311784B8"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nil"/>
              <w:left w:val="single" w:sz="4" w:space="0" w:color="auto"/>
              <w:bottom w:val="nil"/>
              <w:right w:val="single" w:sz="4" w:space="0" w:color="auto"/>
            </w:tcBorders>
            <w:noWrap/>
            <w:vAlign w:val="bottom"/>
            <w:hideMark/>
          </w:tcPr>
          <w:p w14:paraId="6E4B66E6"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45B2D466" w14:textId="77777777" w:rsidTr="0042516A">
        <w:trPr>
          <w:trHeight w:hRule="exact" w:val="255"/>
        </w:trPr>
        <w:tc>
          <w:tcPr>
            <w:tcW w:w="2263" w:type="dxa"/>
            <w:tcBorders>
              <w:top w:val="nil"/>
              <w:left w:val="single" w:sz="4" w:space="0" w:color="auto"/>
              <w:bottom w:val="single" w:sz="4" w:space="0" w:color="auto"/>
              <w:right w:val="single" w:sz="4" w:space="0" w:color="auto"/>
            </w:tcBorders>
            <w:noWrap/>
            <w:vAlign w:val="bottom"/>
            <w:hideMark/>
          </w:tcPr>
          <w:p w14:paraId="63C9FE46"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34" w:type="dxa"/>
            <w:tcBorders>
              <w:top w:val="nil"/>
              <w:left w:val="single" w:sz="4" w:space="0" w:color="auto"/>
              <w:bottom w:val="single" w:sz="4" w:space="0" w:color="auto"/>
              <w:right w:val="single" w:sz="4" w:space="0" w:color="auto"/>
            </w:tcBorders>
            <w:noWrap/>
            <w:vAlign w:val="bottom"/>
            <w:hideMark/>
          </w:tcPr>
          <w:p w14:paraId="572CB7B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0.963***</w:t>
            </w:r>
          </w:p>
        </w:tc>
        <w:tc>
          <w:tcPr>
            <w:tcW w:w="1134" w:type="dxa"/>
            <w:tcBorders>
              <w:top w:val="nil"/>
              <w:left w:val="single" w:sz="4" w:space="0" w:color="auto"/>
              <w:bottom w:val="single" w:sz="4" w:space="0" w:color="auto"/>
              <w:right w:val="single" w:sz="4" w:space="0" w:color="auto"/>
            </w:tcBorders>
            <w:noWrap/>
            <w:vAlign w:val="bottom"/>
            <w:hideMark/>
          </w:tcPr>
          <w:p w14:paraId="6990E41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0.495***</w:t>
            </w:r>
          </w:p>
        </w:tc>
        <w:tc>
          <w:tcPr>
            <w:tcW w:w="1073" w:type="dxa"/>
            <w:tcBorders>
              <w:top w:val="nil"/>
              <w:left w:val="single" w:sz="4" w:space="0" w:color="auto"/>
              <w:bottom w:val="single" w:sz="4" w:space="0" w:color="auto"/>
              <w:right w:val="single" w:sz="4" w:space="0" w:color="auto"/>
            </w:tcBorders>
            <w:noWrap/>
            <w:vAlign w:val="bottom"/>
            <w:hideMark/>
          </w:tcPr>
          <w:p w14:paraId="768AFC7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0.538</w:t>
            </w:r>
          </w:p>
        </w:tc>
        <w:tc>
          <w:tcPr>
            <w:tcW w:w="1073" w:type="dxa"/>
            <w:tcBorders>
              <w:top w:val="nil"/>
              <w:left w:val="single" w:sz="4" w:space="0" w:color="auto"/>
              <w:bottom w:val="single" w:sz="4" w:space="0" w:color="auto"/>
              <w:right w:val="single" w:sz="4" w:space="0" w:color="auto"/>
            </w:tcBorders>
            <w:noWrap/>
            <w:vAlign w:val="bottom"/>
            <w:hideMark/>
          </w:tcPr>
          <w:p w14:paraId="4D03CD8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1.066***</w:t>
            </w:r>
          </w:p>
        </w:tc>
        <w:tc>
          <w:tcPr>
            <w:tcW w:w="1073" w:type="dxa"/>
            <w:tcBorders>
              <w:top w:val="nil"/>
              <w:left w:val="single" w:sz="4" w:space="0" w:color="auto"/>
              <w:bottom w:val="single" w:sz="4" w:space="0" w:color="auto"/>
              <w:right w:val="single" w:sz="4" w:space="0" w:color="auto"/>
            </w:tcBorders>
            <w:noWrap/>
            <w:vAlign w:val="bottom"/>
            <w:hideMark/>
          </w:tcPr>
          <w:p w14:paraId="25F0705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0.467***</w:t>
            </w:r>
          </w:p>
        </w:tc>
        <w:tc>
          <w:tcPr>
            <w:tcW w:w="1176" w:type="dxa"/>
            <w:tcBorders>
              <w:top w:val="nil"/>
              <w:left w:val="single" w:sz="4" w:space="0" w:color="auto"/>
              <w:bottom w:val="single" w:sz="4" w:space="0" w:color="auto"/>
              <w:right w:val="single" w:sz="4" w:space="0" w:color="auto"/>
            </w:tcBorders>
            <w:noWrap/>
            <w:vAlign w:val="bottom"/>
            <w:hideMark/>
          </w:tcPr>
          <w:p w14:paraId="14135BB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0.120</w:t>
            </w:r>
          </w:p>
        </w:tc>
      </w:tr>
      <w:tr w:rsidR="0008508D" w:rsidRPr="005F200E" w14:paraId="335FF016" w14:textId="77777777" w:rsidTr="0042516A">
        <w:trPr>
          <w:trHeight w:hRule="exact" w:val="255"/>
        </w:trPr>
        <w:tc>
          <w:tcPr>
            <w:tcW w:w="3397" w:type="dxa"/>
            <w:gridSpan w:val="2"/>
            <w:tcBorders>
              <w:top w:val="single" w:sz="4" w:space="0" w:color="auto"/>
              <w:left w:val="single" w:sz="4" w:space="0" w:color="auto"/>
              <w:bottom w:val="single" w:sz="4" w:space="0" w:color="auto"/>
              <w:right w:val="single" w:sz="4" w:space="0" w:color="auto"/>
            </w:tcBorders>
            <w:noWrap/>
            <w:vAlign w:val="bottom"/>
            <w:hideMark/>
          </w:tcPr>
          <w:p w14:paraId="788B211F" w14:textId="77777777" w:rsidR="0008508D" w:rsidRPr="005F200E" w:rsidRDefault="0008508D" w:rsidP="00794B9F">
            <w:pPr>
              <w:spacing w:after="0" w:line="480" w:lineRule="auto"/>
              <w:rPr>
                <w:rFonts w:ascii="Times New Roman" w:eastAsia="Times New Roman" w:hAnsi="Times New Roman" w:cs="Times New Roman"/>
                <w:b/>
                <w:bCs/>
                <w:color w:val="000000"/>
                <w:sz w:val="24"/>
                <w:szCs w:val="24"/>
                <w:lang w:eastAsia="en-GB"/>
              </w:rPr>
            </w:pPr>
            <w:r w:rsidRPr="005F200E">
              <w:rPr>
                <w:rFonts w:ascii="Times New Roman" w:eastAsia="Times New Roman" w:hAnsi="Times New Roman" w:cs="Times New Roman"/>
                <w:b/>
                <w:bCs/>
                <w:color w:val="000000"/>
                <w:sz w:val="24"/>
                <w:szCs w:val="24"/>
                <w:lang w:eastAsia="en-GB"/>
              </w:rPr>
              <w:t>Socioeconomic factors</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C829AD3" w14:textId="77777777" w:rsidR="0008508D" w:rsidRPr="005F200E" w:rsidRDefault="0008508D" w:rsidP="00794B9F">
            <w:pPr>
              <w:spacing w:line="480" w:lineRule="auto"/>
              <w:rPr>
                <w:rFonts w:ascii="Times New Roman" w:eastAsia="Times New Roman" w:hAnsi="Times New Roman" w:cs="Times New Roman"/>
                <w:b/>
                <w:bCs/>
                <w:color w:val="000000"/>
                <w:sz w:val="24"/>
                <w:szCs w:val="24"/>
                <w:lang w:eastAsia="en-GB"/>
              </w:rPr>
            </w:pP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097A4E2C"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3415A655"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3D9AD522" w14:textId="77777777" w:rsidR="0008508D" w:rsidRPr="005F200E" w:rsidRDefault="0008508D" w:rsidP="00794B9F">
            <w:pPr>
              <w:spacing w:after="0" w:line="480" w:lineRule="auto"/>
              <w:rPr>
                <w:rFonts w:ascii="Times New Roman" w:hAnsi="Times New Roman" w:cs="Times New Roman"/>
                <w:sz w:val="24"/>
                <w:szCs w:val="24"/>
                <w:lang w:eastAsia="es-ES"/>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7EF536A" w14:textId="77777777" w:rsidR="0008508D" w:rsidRPr="005F200E" w:rsidRDefault="0008508D" w:rsidP="00794B9F">
            <w:pPr>
              <w:spacing w:after="0" w:line="480" w:lineRule="auto"/>
              <w:rPr>
                <w:rFonts w:ascii="Times New Roman" w:hAnsi="Times New Roman" w:cs="Times New Roman"/>
                <w:sz w:val="24"/>
                <w:szCs w:val="24"/>
                <w:lang w:eastAsia="es-ES"/>
              </w:rPr>
            </w:pPr>
          </w:p>
        </w:tc>
      </w:tr>
      <w:tr w:rsidR="0008508D" w:rsidRPr="005F200E" w14:paraId="53521E53" w14:textId="77777777" w:rsidTr="0042516A">
        <w:trPr>
          <w:trHeight w:hRule="exact" w:val="255"/>
        </w:trPr>
        <w:tc>
          <w:tcPr>
            <w:tcW w:w="2263" w:type="dxa"/>
            <w:tcBorders>
              <w:top w:val="single" w:sz="4" w:space="0" w:color="auto"/>
              <w:left w:val="single" w:sz="4" w:space="0" w:color="auto"/>
              <w:bottom w:val="nil"/>
              <w:right w:val="single" w:sz="4" w:space="0" w:color="auto"/>
            </w:tcBorders>
            <w:noWrap/>
            <w:vAlign w:val="bottom"/>
            <w:hideMark/>
          </w:tcPr>
          <w:p w14:paraId="028A4919"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Non-Spanish nationality</w:t>
            </w:r>
          </w:p>
        </w:tc>
        <w:tc>
          <w:tcPr>
            <w:tcW w:w="1134" w:type="dxa"/>
            <w:tcBorders>
              <w:top w:val="single" w:sz="4" w:space="0" w:color="auto"/>
              <w:left w:val="single" w:sz="4" w:space="0" w:color="auto"/>
              <w:bottom w:val="nil"/>
              <w:right w:val="single" w:sz="4" w:space="0" w:color="auto"/>
            </w:tcBorders>
            <w:noWrap/>
            <w:vAlign w:val="bottom"/>
            <w:hideMark/>
          </w:tcPr>
          <w:p w14:paraId="0E22F40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0.087</w:t>
            </w:r>
          </w:p>
        </w:tc>
        <w:tc>
          <w:tcPr>
            <w:tcW w:w="1134" w:type="dxa"/>
            <w:tcBorders>
              <w:top w:val="single" w:sz="4" w:space="0" w:color="auto"/>
              <w:left w:val="single" w:sz="4" w:space="0" w:color="auto"/>
              <w:bottom w:val="nil"/>
              <w:right w:val="single" w:sz="4" w:space="0" w:color="auto"/>
            </w:tcBorders>
            <w:noWrap/>
            <w:vAlign w:val="bottom"/>
            <w:hideMark/>
          </w:tcPr>
          <w:p w14:paraId="6DF8E0B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0.001</w:t>
            </w:r>
          </w:p>
        </w:tc>
        <w:tc>
          <w:tcPr>
            <w:tcW w:w="1073" w:type="dxa"/>
            <w:tcBorders>
              <w:top w:val="single" w:sz="4" w:space="0" w:color="auto"/>
              <w:left w:val="single" w:sz="4" w:space="0" w:color="auto"/>
              <w:bottom w:val="nil"/>
              <w:right w:val="single" w:sz="4" w:space="0" w:color="auto"/>
            </w:tcBorders>
            <w:noWrap/>
            <w:vAlign w:val="bottom"/>
            <w:hideMark/>
          </w:tcPr>
          <w:p w14:paraId="7FD1254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-0.351*</w:t>
            </w:r>
          </w:p>
        </w:tc>
        <w:tc>
          <w:tcPr>
            <w:tcW w:w="1073" w:type="dxa"/>
            <w:tcBorders>
              <w:top w:val="single" w:sz="4" w:space="0" w:color="auto"/>
              <w:left w:val="single" w:sz="4" w:space="0" w:color="auto"/>
              <w:bottom w:val="nil"/>
              <w:right w:val="single" w:sz="4" w:space="0" w:color="auto"/>
            </w:tcBorders>
            <w:noWrap/>
            <w:vAlign w:val="bottom"/>
            <w:hideMark/>
          </w:tcPr>
          <w:p w14:paraId="1590883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-0.117*</w:t>
            </w:r>
          </w:p>
        </w:tc>
        <w:tc>
          <w:tcPr>
            <w:tcW w:w="1073" w:type="dxa"/>
            <w:tcBorders>
              <w:top w:val="single" w:sz="4" w:space="0" w:color="auto"/>
              <w:left w:val="single" w:sz="4" w:space="0" w:color="auto"/>
              <w:bottom w:val="nil"/>
              <w:right w:val="single" w:sz="4" w:space="0" w:color="auto"/>
            </w:tcBorders>
            <w:noWrap/>
            <w:vAlign w:val="bottom"/>
            <w:hideMark/>
          </w:tcPr>
          <w:p w14:paraId="64C7457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0.989***</w:t>
            </w:r>
          </w:p>
        </w:tc>
        <w:tc>
          <w:tcPr>
            <w:tcW w:w="1176" w:type="dxa"/>
            <w:tcBorders>
              <w:top w:val="single" w:sz="4" w:space="0" w:color="auto"/>
              <w:left w:val="single" w:sz="4" w:space="0" w:color="auto"/>
              <w:bottom w:val="nil"/>
              <w:right w:val="single" w:sz="4" w:space="0" w:color="auto"/>
            </w:tcBorders>
            <w:noWrap/>
            <w:vAlign w:val="bottom"/>
            <w:hideMark/>
          </w:tcPr>
          <w:p w14:paraId="4BC157C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0.011</w:t>
            </w:r>
          </w:p>
        </w:tc>
      </w:tr>
      <w:tr w:rsidR="0008508D" w:rsidRPr="005F200E" w14:paraId="13313C2D"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1062419A"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Single</w:t>
            </w:r>
          </w:p>
        </w:tc>
        <w:tc>
          <w:tcPr>
            <w:tcW w:w="1134" w:type="dxa"/>
            <w:tcBorders>
              <w:top w:val="nil"/>
              <w:left w:val="single" w:sz="4" w:space="0" w:color="auto"/>
              <w:bottom w:val="nil"/>
              <w:right w:val="single" w:sz="4" w:space="0" w:color="auto"/>
            </w:tcBorders>
            <w:noWrap/>
            <w:vAlign w:val="bottom"/>
            <w:hideMark/>
          </w:tcPr>
          <w:p w14:paraId="247B768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-0.103**</w:t>
            </w:r>
          </w:p>
        </w:tc>
        <w:tc>
          <w:tcPr>
            <w:tcW w:w="1134" w:type="dxa"/>
            <w:tcBorders>
              <w:top w:val="nil"/>
              <w:left w:val="single" w:sz="4" w:space="0" w:color="auto"/>
              <w:bottom w:val="nil"/>
              <w:right w:val="single" w:sz="4" w:space="0" w:color="auto"/>
            </w:tcBorders>
            <w:noWrap/>
            <w:vAlign w:val="bottom"/>
            <w:hideMark/>
          </w:tcPr>
          <w:p w14:paraId="2F7FF59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0.258***</w:t>
            </w:r>
          </w:p>
        </w:tc>
        <w:tc>
          <w:tcPr>
            <w:tcW w:w="1073" w:type="dxa"/>
            <w:tcBorders>
              <w:top w:val="nil"/>
              <w:left w:val="single" w:sz="4" w:space="0" w:color="auto"/>
              <w:bottom w:val="nil"/>
              <w:right w:val="single" w:sz="4" w:space="0" w:color="auto"/>
            </w:tcBorders>
            <w:noWrap/>
            <w:vAlign w:val="bottom"/>
            <w:hideMark/>
          </w:tcPr>
          <w:p w14:paraId="5AFE3B3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-0.066</w:t>
            </w:r>
          </w:p>
        </w:tc>
        <w:tc>
          <w:tcPr>
            <w:tcW w:w="1073" w:type="dxa"/>
            <w:tcBorders>
              <w:top w:val="nil"/>
              <w:left w:val="single" w:sz="4" w:space="0" w:color="auto"/>
              <w:bottom w:val="nil"/>
              <w:right w:val="single" w:sz="4" w:space="0" w:color="auto"/>
            </w:tcBorders>
            <w:noWrap/>
            <w:vAlign w:val="bottom"/>
            <w:hideMark/>
          </w:tcPr>
          <w:p w14:paraId="663262C7"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0.490***</w:t>
            </w:r>
          </w:p>
        </w:tc>
        <w:tc>
          <w:tcPr>
            <w:tcW w:w="1073" w:type="dxa"/>
            <w:tcBorders>
              <w:top w:val="nil"/>
              <w:left w:val="single" w:sz="4" w:space="0" w:color="auto"/>
              <w:bottom w:val="nil"/>
              <w:right w:val="single" w:sz="4" w:space="0" w:color="auto"/>
            </w:tcBorders>
            <w:noWrap/>
            <w:vAlign w:val="bottom"/>
            <w:hideMark/>
          </w:tcPr>
          <w:p w14:paraId="3604562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0.154**</w:t>
            </w:r>
          </w:p>
        </w:tc>
        <w:tc>
          <w:tcPr>
            <w:tcW w:w="1176" w:type="dxa"/>
            <w:tcBorders>
              <w:top w:val="nil"/>
              <w:left w:val="single" w:sz="4" w:space="0" w:color="auto"/>
              <w:bottom w:val="nil"/>
              <w:right w:val="single" w:sz="4" w:space="0" w:color="auto"/>
            </w:tcBorders>
            <w:noWrap/>
            <w:vAlign w:val="bottom"/>
            <w:hideMark/>
          </w:tcPr>
          <w:p w14:paraId="5F6A7C5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-0.056</w:t>
            </w:r>
          </w:p>
        </w:tc>
      </w:tr>
      <w:tr w:rsidR="0008508D" w:rsidRPr="005F200E" w14:paraId="3E96EA59"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62DE35A8"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Widowed</w:t>
            </w:r>
          </w:p>
        </w:tc>
        <w:tc>
          <w:tcPr>
            <w:tcW w:w="1134" w:type="dxa"/>
            <w:tcBorders>
              <w:top w:val="nil"/>
              <w:left w:val="single" w:sz="4" w:space="0" w:color="auto"/>
              <w:bottom w:val="nil"/>
              <w:right w:val="single" w:sz="4" w:space="0" w:color="auto"/>
            </w:tcBorders>
            <w:noWrap/>
            <w:vAlign w:val="bottom"/>
            <w:hideMark/>
          </w:tcPr>
          <w:p w14:paraId="01BD476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-0.382***</w:t>
            </w:r>
          </w:p>
        </w:tc>
        <w:tc>
          <w:tcPr>
            <w:tcW w:w="1134" w:type="dxa"/>
            <w:tcBorders>
              <w:top w:val="nil"/>
              <w:left w:val="single" w:sz="4" w:space="0" w:color="auto"/>
              <w:bottom w:val="nil"/>
              <w:right w:val="single" w:sz="4" w:space="0" w:color="auto"/>
            </w:tcBorders>
            <w:noWrap/>
            <w:vAlign w:val="bottom"/>
            <w:hideMark/>
          </w:tcPr>
          <w:p w14:paraId="5569C87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-0.386***</w:t>
            </w:r>
          </w:p>
        </w:tc>
        <w:tc>
          <w:tcPr>
            <w:tcW w:w="1073" w:type="dxa"/>
            <w:tcBorders>
              <w:top w:val="nil"/>
              <w:left w:val="single" w:sz="4" w:space="0" w:color="auto"/>
              <w:bottom w:val="nil"/>
              <w:right w:val="single" w:sz="4" w:space="0" w:color="auto"/>
            </w:tcBorders>
            <w:noWrap/>
            <w:vAlign w:val="bottom"/>
            <w:hideMark/>
          </w:tcPr>
          <w:p w14:paraId="563C229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-0.026</w:t>
            </w:r>
          </w:p>
        </w:tc>
        <w:tc>
          <w:tcPr>
            <w:tcW w:w="1073" w:type="dxa"/>
            <w:tcBorders>
              <w:top w:val="nil"/>
              <w:left w:val="single" w:sz="4" w:space="0" w:color="auto"/>
              <w:bottom w:val="nil"/>
              <w:right w:val="single" w:sz="4" w:space="0" w:color="auto"/>
            </w:tcBorders>
            <w:noWrap/>
            <w:vAlign w:val="bottom"/>
            <w:hideMark/>
          </w:tcPr>
          <w:p w14:paraId="5C0910B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-1.096</w:t>
            </w:r>
          </w:p>
        </w:tc>
        <w:tc>
          <w:tcPr>
            <w:tcW w:w="1073" w:type="dxa"/>
            <w:tcBorders>
              <w:top w:val="nil"/>
              <w:left w:val="single" w:sz="4" w:space="0" w:color="auto"/>
              <w:bottom w:val="nil"/>
              <w:right w:val="single" w:sz="4" w:space="0" w:color="auto"/>
            </w:tcBorders>
            <w:noWrap/>
            <w:vAlign w:val="bottom"/>
            <w:hideMark/>
          </w:tcPr>
          <w:p w14:paraId="62D420D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-0.912***</w:t>
            </w:r>
          </w:p>
        </w:tc>
        <w:tc>
          <w:tcPr>
            <w:tcW w:w="1176" w:type="dxa"/>
            <w:tcBorders>
              <w:top w:val="nil"/>
              <w:left w:val="single" w:sz="4" w:space="0" w:color="auto"/>
              <w:bottom w:val="nil"/>
              <w:right w:val="single" w:sz="4" w:space="0" w:color="auto"/>
            </w:tcBorders>
            <w:noWrap/>
            <w:vAlign w:val="bottom"/>
            <w:hideMark/>
          </w:tcPr>
          <w:p w14:paraId="7EFCAD7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-0.145**</w:t>
            </w:r>
          </w:p>
        </w:tc>
      </w:tr>
      <w:tr w:rsidR="0008508D" w:rsidRPr="005F200E" w14:paraId="6B4B2C87"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3EA91C98"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Separated</w:t>
            </w:r>
          </w:p>
        </w:tc>
        <w:tc>
          <w:tcPr>
            <w:tcW w:w="1134" w:type="dxa"/>
            <w:tcBorders>
              <w:top w:val="nil"/>
              <w:left w:val="single" w:sz="4" w:space="0" w:color="auto"/>
              <w:bottom w:val="nil"/>
              <w:right w:val="single" w:sz="4" w:space="0" w:color="auto"/>
            </w:tcBorders>
            <w:noWrap/>
            <w:vAlign w:val="bottom"/>
            <w:hideMark/>
          </w:tcPr>
          <w:p w14:paraId="78BAB8E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0.131</w:t>
            </w:r>
          </w:p>
        </w:tc>
        <w:tc>
          <w:tcPr>
            <w:tcW w:w="1134" w:type="dxa"/>
            <w:tcBorders>
              <w:top w:val="nil"/>
              <w:left w:val="single" w:sz="4" w:space="0" w:color="auto"/>
              <w:bottom w:val="nil"/>
              <w:right w:val="single" w:sz="4" w:space="0" w:color="auto"/>
            </w:tcBorders>
            <w:noWrap/>
            <w:vAlign w:val="bottom"/>
            <w:hideMark/>
          </w:tcPr>
          <w:p w14:paraId="2E544CE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-0.174**</w:t>
            </w:r>
          </w:p>
        </w:tc>
        <w:tc>
          <w:tcPr>
            <w:tcW w:w="1073" w:type="dxa"/>
            <w:tcBorders>
              <w:top w:val="nil"/>
              <w:left w:val="single" w:sz="4" w:space="0" w:color="auto"/>
              <w:bottom w:val="nil"/>
              <w:right w:val="single" w:sz="4" w:space="0" w:color="auto"/>
            </w:tcBorders>
            <w:noWrap/>
            <w:vAlign w:val="bottom"/>
            <w:hideMark/>
          </w:tcPr>
          <w:p w14:paraId="73175C2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-0.157</w:t>
            </w:r>
          </w:p>
        </w:tc>
        <w:tc>
          <w:tcPr>
            <w:tcW w:w="1073" w:type="dxa"/>
            <w:tcBorders>
              <w:top w:val="nil"/>
              <w:left w:val="single" w:sz="4" w:space="0" w:color="auto"/>
              <w:bottom w:val="nil"/>
              <w:right w:val="single" w:sz="4" w:space="0" w:color="auto"/>
            </w:tcBorders>
            <w:noWrap/>
            <w:vAlign w:val="bottom"/>
            <w:hideMark/>
          </w:tcPr>
          <w:p w14:paraId="62368E3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0.443*</w:t>
            </w:r>
          </w:p>
        </w:tc>
        <w:tc>
          <w:tcPr>
            <w:tcW w:w="1073" w:type="dxa"/>
            <w:tcBorders>
              <w:top w:val="nil"/>
              <w:left w:val="single" w:sz="4" w:space="0" w:color="auto"/>
              <w:bottom w:val="nil"/>
              <w:right w:val="single" w:sz="4" w:space="0" w:color="auto"/>
            </w:tcBorders>
            <w:noWrap/>
            <w:vAlign w:val="bottom"/>
            <w:hideMark/>
          </w:tcPr>
          <w:p w14:paraId="61FADC9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0.298***</w:t>
            </w:r>
          </w:p>
        </w:tc>
        <w:tc>
          <w:tcPr>
            <w:tcW w:w="1176" w:type="dxa"/>
            <w:tcBorders>
              <w:top w:val="nil"/>
              <w:left w:val="single" w:sz="4" w:space="0" w:color="auto"/>
              <w:bottom w:val="nil"/>
              <w:right w:val="single" w:sz="4" w:space="0" w:color="auto"/>
            </w:tcBorders>
            <w:noWrap/>
            <w:vAlign w:val="bottom"/>
            <w:hideMark/>
          </w:tcPr>
          <w:p w14:paraId="6FECD24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0.258*</w:t>
            </w:r>
          </w:p>
        </w:tc>
      </w:tr>
      <w:tr w:rsidR="0008508D" w:rsidRPr="005F200E" w14:paraId="25704CE2"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3DF82F4E"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Divorced</w:t>
            </w:r>
          </w:p>
        </w:tc>
        <w:tc>
          <w:tcPr>
            <w:tcW w:w="1134" w:type="dxa"/>
            <w:tcBorders>
              <w:top w:val="nil"/>
              <w:left w:val="single" w:sz="4" w:space="0" w:color="auto"/>
              <w:bottom w:val="nil"/>
              <w:right w:val="single" w:sz="4" w:space="0" w:color="auto"/>
            </w:tcBorders>
            <w:noWrap/>
            <w:vAlign w:val="bottom"/>
            <w:hideMark/>
          </w:tcPr>
          <w:p w14:paraId="753B8B57"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-0.238**</w:t>
            </w:r>
          </w:p>
        </w:tc>
        <w:tc>
          <w:tcPr>
            <w:tcW w:w="1134" w:type="dxa"/>
            <w:tcBorders>
              <w:top w:val="nil"/>
              <w:left w:val="single" w:sz="4" w:space="0" w:color="auto"/>
              <w:bottom w:val="nil"/>
              <w:right w:val="single" w:sz="4" w:space="0" w:color="auto"/>
            </w:tcBorders>
            <w:noWrap/>
            <w:vAlign w:val="bottom"/>
            <w:hideMark/>
          </w:tcPr>
          <w:p w14:paraId="085D77C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0.085</w:t>
            </w:r>
          </w:p>
        </w:tc>
        <w:tc>
          <w:tcPr>
            <w:tcW w:w="1073" w:type="dxa"/>
            <w:tcBorders>
              <w:top w:val="nil"/>
              <w:left w:val="single" w:sz="4" w:space="0" w:color="auto"/>
              <w:bottom w:val="nil"/>
              <w:right w:val="single" w:sz="4" w:space="0" w:color="auto"/>
            </w:tcBorders>
            <w:noWrap/>
            <w:vAlign w:val="bottom"/>
            <w:hideMark/>
          </w:tcPr>
          <w:p w14:paraId="04C9BC3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-0.370</w:t>
            </w:r>
          </w:p>
        </w:tc>
        <w:tc>
          <w:tcPr>
            <w:tcW w:w="1073" w:type="dxa"/>
            <w:tcBorders>
              <w:top w:val="nil"/>
              <w:left w:val="single" w:sz="4" w:space="0" w:color="auto"/>
              <w:bottom w:val="nil"/>
              <w:right w:val="single" w:sz="4" w:space="0" w:color="auto"/>
            </w:tcBorders>
            <w:noWrap/>
            <w:vAlign w:val="bottom"/>
            <w:hideMark/>
          </w:tcPr>
          <w:p w14:paraId="4A46E53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-0.729</w:t>
            </w:r>
          </w:p>
        </w:tc>
        <w:tc>
          <w:tcPr>
            <w:tcW w:w="1073" w:type="dxa"/>
            <w:tcBorders>
              <w:top w:val="nil"/>
              <w:left w:val="single" w:sz="4" w:space="0" w:color="auto"/>
              <w:bottom w:val="nil"/>
              <w:right w:val="single" w:sz="4" w:space="0" w:color="auto"/>
            </w:tcBorders>
            <w:noWrap/>
            <w:vAlign w:val="bottom"/>
            <w:hideMark/>
          </w:tcPr>
          <w:p w14:paraId="1CD4819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-0.087</w:t>
            </w:r>
          </w:p>
        </w:tc>
        <w:tc>
          <w:tcPr>
            <w:tcW w:w="1176" w:type="dxa"/>
            <w:tcBorders>
              <w:top w:val="nil"/>
              <w:left w:val="single" w:sz="4" w:space="0" w:color="auto"/>
              <w:bottom w:val="nil"/>
              <w:right w:val="single" w:sz="4" w:space="0" w:color="auto"/>
            </w:tcBorders>
            <w:noWrap/>
            <w:vAlign w:val="bottom"/>
            <w:hideMark/>
          </w:tcPr>
          <w:p w14:paraId="1F7D4FE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-0.044</w:t>
            </w:r>
          </w:p>
        </w:tc>
      </w:tr>
      <w:tr w:rsidR="0008508D" w:rsidRPr="005F200E" w14:paraId="1D8E09A1"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60423166"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No primary education</w:t>
            </w:r>
          </w:p>
        </w:tc>
        <w:tc>
          <w:tcPr>
            <w:tcW w:w="1134" w:type="dxa"/>
            <w:tcBorders>
              <w:top w:val="nil"/>
              <w:left w:val="single" w:sz="4" w:space="0" w:color="auto"/>
              <w:bottom w:val="nil"/>
              <w:right w:val="single" w:sz="4" w:space="0" w:color="auto"/>
            </w:tcBorders>
            <w:noWrap/>
            <w:vAlign w:val="bottom"/>
            <w:hideMark/>
          </w:tcPr>
          <w:p w14:paraId="666DF1D7"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0.601***</w:t>
            </w:r>
          </w:p>
        </w:tc>
        <w:tc>
          <w:tcPr>
            <w:tcW w:w="1134" w:type="dxa"/>
            <w:tcBorders>
              <w:top w:val="nil"/>
              <w:left w:val="single" w:sz="4" w:space="0" w:color="auto"/>
              <w:bottom w:val="nil"/>
              <w:right w:val="single" w:sz="4" w:space="0" w:color="auto"/>
            </w:tcBorders>
            <w:noWrap/>
            <w:vAlign w:val="bottom"/>
            <w:hideMark/>
          </w:tcPr>
          <w:p w14:paraId="22E3B28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-0.294***</w:t>
            </w:r>
          </w:p>
        </w:tc>
        <w:tc>
          <w:tcPr>
            <w:tcW w:w="1073" w:type="dxa"/>
            <w:tcBorders>
              <w:top w:val="nil"/>
              <w:left w:val="single" w:sz="4" w:space="0" w:color="auto"/>
              <w:bottom w:val="nil"/>
              <w:right w:val="single" w:sz="4" w:space="0" w:color="auto"/>
            </w:tcBorders>
            <w:noWrap/>
            <w:vAlign w:val="bottom"/>
            <w:hideMark/>
          </w:tcPr>
          <w:p w14:paraId="1443B9D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-0.0916**</w:t>
            </w:r>
          </w:p>
        </w:tc>
        <w:tc>
          <w:tcPr>
            <w:tcW w:w="1073" w:type="dxa"/>
            <w:tcBorders>
              <w:top w:val="nil"/>
              <w:left w:val="single" w:sz="4" w:space="0" w:color="auto"/>
              <w:bottom w:val="nil"/>
              <w:right w:val="single" w:sz="4" w:space="0" w:color="auto"/>
            </w:tcBorders>
            <w:noWrap/>
            <w:vAlign w:val="bottom"/>
            <w:hideMark/>
          </w:tcPr>
          <w:p w14:paraId="053CF85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-2.478***</w:t>
            </w:r>
          </w:p>
        </w:tc>
        <w:tc>
          <w:tcPr>
            <w:tcW w:w="1073" w:type="dxa"/>
            <w:tcBorders>
              <w:top w:val="nil"/>
              <w:left w:val="single" w:sz="4" w:space="0" w:color="auto"/>
              <w:bottom w:val="nil"/>
              <w:right w:val="single" w:sz="4" w:space="0" w:color="auto"/>
            </w:tcBorders>
            <w:noWrap/>
            <w:vAlign w:val="bottom"/>
            <w:hideMark/>
          </w:tcPr>
          <w:p w14:paraId="0F102B4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-0.377***</w:t>
            </w:r>
          </w:p>
        </w:tc>
        <w:tc>
          <w:tcPr>
            <w:tcW w:w="1176" w:type="dxa"/>
            <w:tcBorders>
              <w:top w:val="nil"/>
              <w:left w:val="single" w:sz="4" w:space="0" w:color="auto"/>
              <w:bottom w:val="nil"/>
              <w:right w:val="single" w:sz="4" w:space="0" w:color="auto"/>
            </w:tcBorders>
            <w:noWrap/>
            <w:vAlign w:val="bottom"/>
            <w:hideMark/>
          </w:tcPr>
          <w:p w14:paraId="7A58039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0.220*</w:t>
            </w:r>
          </w:p>
        </w:tc>
      </w:tr>
      <w:tr w:rsidR="0008508D" w:rsidRPr="005F200E" w14:paraId="0D62A741"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6D141644"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Primary education</w:t>
            </w:r>
          </w:p>
        </w:tc>
        <w:tc>
          <w:tcPr>
            <w:tcW w:w="1134" w:type="dxa"/>
            <w:tcBorders>
              <w:top w:val="nil"/>
              <w:left w:val="single" w:sz="4" w:space="0" w:color="auto"/>
              <w:bottom w:val="nil"/>
              <w:right w:val="single" w:sz="4" w:space="0" w:color="auto"/>
            </w:tcBorders>
            <w:noWrap/>
            <w:vAlign w:val="bottom"/>
            <w:hideMark/>
          </w:tcPr>
          <w:p w14:paraId="36A7120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0.630***</w:t>
            </w:r>
          </w:p>
        </w:tc>
        <w:tc>
          <w:tcPr>
            <w:tcW w:w="1134" w:type="dxa"/>
            <w:tcBorders>
              <w:top w:val="nil"/>
              <w:left w:val="single" w:sz="4" w:space="0" w:color="auto"/>
              <w:bottom w:val="nil"/>
              <w:right w:val="single" w:sz="4" w:space="0" w:color="auto"/>
            </w:tcBorders>
            <w:noWrap/>
            <w:vAlign w:val="bottom"/>
            <w:hideMark/>
          </w:tcPr>
          <w:p w14:paraId="426C9DE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-0.362***</w:t>
            </w:r>
          </w:p>
        </w:tc>
        <w:tc>
          <w:tcPr>
            <w:tcW w:w="1073" w:type="dxa"/>
            <w:tcBorders>
              <w:top w:val="nil"/>
              <w:left w:val="single" w:sz="4" w:space="0" w:color="auto"/>
              <w:bottom w:val="nil"/>
              <w:right w:val="single" w:sz="4" w:space="0" w:color="auto"/>
            </w:tcBorders>
            <w:noWrap/>
            <w:vAlign w:val="bottom"/>
            <w:hideMark/>
          </w:tcPr>
          <w:p w14:paraId="5BF228D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-0.156***</w:t>
            </w:r>
          </w:p>
        </w:tc>
        <w:tc>
          <w:tcPr>
            <w:tcW w:w="1073" w:type="dxa"/>
            <w:tcBorders>
              <w:top w:val="nil"/>
              <w:left w:val="single" w:sz="4" w:space="0" w:color="auto"/>
              <w:bottom w:val="nil"/>
              <w:right w:val="single" w:sz="4" w:space="0" w:color="auto"/>
            </w:tcBorders>
            <w:noWrap/>
            <w:vAlign w:val="bottom"/>
            <w:hideMark/>
          </w:tcPr>
          <w:p w14:paraId="74169BD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-2.425***</w:t>
            </w:r>
          </w:p>
        </w:tc>
        <w:tc>
          <w:tcPr>
            <w:tcW w:w="1073" w:type="dxa"/>
            <w:tcBorders>
              <w:top w:val="nil"/>
              <w:left w:val="single" w:sz="4" w:space="0" w:color="auto"/>
              <w:bottom w:val="nil"/>
              <w:right w:val="single" w:sz="4" w:space="0" w:color="auto"/>
            </w:tcBorders>
            <w:noWrap/>
            <w:vAlign w:val="bottom"/>
            <w:hideMark/>
          </w:tcPr>
          <w:p w14:paraId="2265AD7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-0.466***</w:t>
            </w:r>
          </w:p>
        </w:tc>
        <w:tc>
          <w:tcPr>
            <w:tcW w:w="1176" w:type="dxa"/>
            <w:tcBorders>
              <w:top w:val="nil"/>
              <w:left w:val="single" w:sz="4" w:space="0" w:color="auto"/>
              <w:bottom w:val="nil"/>
              <w:right w:val="single" w:sz="4" w:space="0" w:color="auto"/>
            </w:tcBorders>
            <w:noWrap/>
            <w:vAlign w:val="bottom"/>
            <w:hideMark/>
          </w:tcPr>
          <w:p w14:paraId="31BBD18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0.273**</w:t>
            </w:r>
          </w:p>
        </w:tc>
      </w:tr>
      <w:tr w:rsidR="0008508D" w:rsidRPr="005F200E" w14:paraId="06FE2942"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1CB70F5B"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 xml:space="preserve">Lower secondary </w:t>
            </w:r>
          </w:p>
        </w:tc>
        <w:tc>
          <w:tcPr>
            <w:tcW w:w="1134" w:type="dxa"/>
            <w:tcBorders>
              <w:top w:val="nil"/>
              <w:left w:val="single" w:sz="4" w:space="0" w:color="auto"/>
              <w:bottom w:val="nil"/>
              <w:right w:val="single" w:sz="4" w:space="0" w:color="auto"/>
            </w:tcBorders>
            <w:noWrap/>
            <w:vAlign w:val="bottom"/>
            <w:hideMark/>
          </w:tcPr>
          <w:p w14:paraId="35D4C60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0.741***</w:t>
            </w:r>
          </w:p>
        </w:tc>
        <w:tc>
          <w:tcPr>
            <w:tcW w:w="1134" w:type="dxa"/>
            <w:tcBorders>
              <w:top w:val="nil"/>
              <w:left w:val="single" w:sz="4" w:space="0" w:color="auto"/>
              <w:bottom w:val="nil"/>
              <w:right w:val="single" w:sz="4" w:space="0" w:color="auto"/>
            </w:tcBorders>
            <w:noWrap/>
            <w:vAlign w:val="bottom"/>
            <w:hideMark/>
          </w:tcPr>
          <w:p w14:paraId="3EBD448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-0.174***</w:t>
            </w:r>
          </w:p>
        </w:tc>
        <w:tc>
          <w:tcPr>
            <w:tcW w:w="1073" w:type="dxa"/>
            <w:tcBorders>
              <w:top w:val="nil"/>
              <w:left w:val="single" w:sz="4" w:space="0" w:color="auto"/>
              <w:bottom w:val="nil"/>
              <w:right w:val="single" w:sz="4" w:space="0" w:color="auto"/>
            </w:tcBorders>
            <w:noWrap/>
            <w:vAlign w:val="bottom"/>
            <w:hideMark/>
          </w:tcPr>
          <w:p w14:paraId="7DFA7D9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-0.116**</w:t>
            </w:r>
          </w:p>
        </w:tc>
        <w:tc>
          <w:tcPr>
            <w:tcW w:w="1073" w:type="dxa"/>
            <w:tcBorders>
              <w:top w:val="nil"/>
              <w:left w:val="single" w:sz="4" w:space="0" w:color="auto"/>
              <w:bottom w:val="nil"/>
              <w:right w:val="single" w:sz="4" w:space="0" w:color="auto"/>
            </w:tcBorders>
            <w:noWrap/>
            <w:vAlign w:val="bottom"/>
            <w:hideMark/>
          </w:tcPr>
          <w:p w14:paraId="0DB079C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-1.529***</w:t>
            </w:r>
          </w:p>
        </w:tc>
        <w:tc>
          <w:tcPr>
            <w:tcW w:w="1073" w:type="dxa"/>
            <w:tcBorders>
              <w:top w:val="nil"/>
              <w:left w:val="single" w:sz="4" w:space="0" w:color="auto"/>
              <w:bottom w:val="nil"/>
              <w:right w:val="single" w:sz="4" w:space="0" w:color="auto"/>
            </w:tcBorders>
            <w:noWrap/>
            <w:vAlign w:val="bottom"/>
            <w:hideMark/>
          </w:tcPr>
          <w:p w14:paraId="463B6C47"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-0.460***</w:t>
            </w:r>
          </w:p>
        </w:tc>
        <w:tc>
          <w:tcPr>
            <w:tcW w:w="1176" w:type="dxa"/>
            <w:tcBorders>
              <w:top w:val="nil"/>
              <w:left w:val="single" w:sz="4" w:space="0" w:color="auto"/>
              <w:bottom w:val="nil"/>
              <w:right w:val="single" w:sz="4" w:space="0" w:color="auto"/>
            </w:tcBorders>
            <w:noWrap/>
            <w:vAlign w:val="bottom"/>
            <w:hideMark/>
          </w:tcPr>
          <w:p w14:paraId="70B5BC1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0.269**</w:t>
            </w:r>
          </w:p>
        </w:tc>
      </w:tr>
      <w:tr w:rsidR="0008508D" w:rsidRPr="005F200E" w14:paraId="4CED3163"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5F818D89"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 xml:space="preserve">Upper secondary </w:t>
            </w:r>
          </w:p>
        </w:tc>
        <w:tc>
          <w:tcPr>
            <w:tcW w:w="1134" w:type="dxa"/>
            <w:tcBorders>
              <w:top w:val="nil"/>
              <w:left w:val="single" w:sz="4" w:space="0" w:color="auto"/>
              <w:bottom w:val="nil"/>
              <w:right w:val="single" w:sz="4" w:space="0" w:color="auto"/>
            </w:tcBorders>
            <w:noWrap/>
            <w:vAlign w:val="bottom"/>
            <w:hideMark/>
          </w:tcPr>
          <w:p w14:paraId="081FA25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1.019***</w:t>
            </w:r>
          </w:p>
        </w:tc>
        <w:tc>
          <w:tcPr>
            <w:tcW w:w="1134" w:type="dxa"/>
            <w:tcBorders>
              <w:top w:val="nil"/>
              <w:left w:val="single" w:sz="4" w:space="0" w:color="auto"/>
              <w:bottom w:val="nil"/>
              <w:right w:val="single" w:sz="4" w:space="0" w:color="auto"/>
            </w:tcBorders>
            <w:noWrap/>
            <w:vAlign w:val="bottom"/>
            <w:hideMark/>
          </w:tcPr>
          <w:p w14:paraId="40A3370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-0.572***</w:t>
            </w:r>
          </w:p>
        </w:tc>
        <w:tc>
          <w:tcPr>
            <w:tcW w:w="1073" w:type="dxa"/>
            <w:tcBorders>
              <w:top w:val="nil"/>
              <w:left w:val="single" w:sz="4" w:space="0" w:color="auto"/>
              <w:bottom w:val="nil"/>
              <w:right w:val="single" w:sz="4" w:space="0" w:color="auto"/>
            </w:tcBorders>
            <w:noWrap/>
            <w:vAlign w:val="bottom"/>
            <w:hideMark/>
          </w:tcPr>
          <w:p w14:paraId="5082B81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-0.040</w:t>
            </w:r>
          </w:p>
        </w:tc>
        <w:tc>
          <w:tcPr>
            <w:tcW w:w="1073" w:type="dxa"/>
            <w:tcBorders>
              <w:top w:val="nil"/>
              <w:left w:val="single" w:sz="4" w:space="0" w:color="auto"/>
              <w:bottom w:val="nil"/>
              <w:right w:val="single" w:sz="4" w:space="0" w:color="auto"/>
            </w:tcBorders>
            <w:noWrap/>
            <w:vAlign w:val="bottom"/>
            <w:hideMark/>
          </w:tcPr>
          <w:p w14:paraId="41DD6588"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-1.183***</w:t>
            </w:r>
          </w:p>
        </w:tc>
        <w:tc>
          <w:tcPr>
            <w:tcW w:w="1073" w:type="dxa"/>
            <w:tcBorders>
              <w:top w:val="nil"/>
              <w:left w:val="single" w:sz="4" w:space="0" w:color="auto"/>
              <w:bottom w:val="nil"/>
              <w:right w:val="single" w:sz="4" w:space="0" w:color="auto"/>
            </w:tcBorders>
            <w:noWrap/>
            <w:vAlign w:val="bottom"/>
            <w:hideMark/>
          </w:tcPr>
          <w:p w14:paraId="658CF31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-0.607***</w:t>
            </w:r>
          </w:p>
        </w:tc>
        <w:tc>
          <w:tcPr>
            <w:tcW w:w="1176" w:type="dxa"/>
            <w:tcBorders>
              <w:top w:val="nil"/>
              <w:left w:val="single" w:sz="4" w:space="0" w:color="auto"/>
              <w:bottom w:val="nil"/>
              <w:right w:val="single" w:sz="4" w:space="0" w:color="auto"/>
            </w:tcBorders>
            <w:noWrap/>
            <w:vAlign w:val="bottom"/>
            <w:hideMark/>
          </w:tcPr>
          <w:p w14:paraId="6B5592C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0.272*</w:t>
            </w:r>
          </w:p>
        </w:tc>
      </w:tr>
      <w:tr w:rsidR="0008508D" w:rsidRPr="005F200E" w14:paraId="0558A13D" w14:textId="77777777" w:rsidTr="0042516A">
        <w:trPr>
          <w:trHeight w:hRule="exact" w:val="504"/>
        </w:trPr>
        <w:tc>
          <w:tcPr>
            <w:tcW w:w="2263" w:type="dxa"/>
            <w:tcBorders>
              <w:top w:val="nil"/>
              <w:left w:val="single" w:sz="4" w:space="0" w:color="auto"/>
              <w:bottom w:val="nil"/>
              <w:right w:val="single" w:sz="4" w:space="0" w:color="auto"/>
            </w:tcBorders>
            <w:noWrap/>
            <w:vAlign w:val="bottom"/>
            <w:hideMark/>
          </w:tcPr>
          <w:p w14:paraId="428C9348"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Postsecondary nontertiary</w:t>
            </w:r>
          </w:p>
        </w:tc>
        <w:tc>
          <w:tcPr>
            <w:tcW w:w="1134" w:type="dxa"/>
            <w:tcBorders>
              <w:top w:val="nil"/>
              <w:left w:val="single" w:sz="4" w:space="0" w:color="auto"/>
              <w:bottom w:val="nil"/>
              <w:right w:val="single" w:sz="4" w:space="0" w:color="auto"/>
            </w:tcBorders>
            <w:noWrap/>
            <w:vAlign w:val="bottom"/>
            <w:hideMark/>
          </w:tcPr>
          <w:p w14:paraId="25FB15B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0.021</w:t>
            </w:r>
          </w:p>
        </w:tc>
        <w:tc>
          <w:tcPr>
            <w:tcW w:w="1134" w:type="dxa"/>
            <w:tcBorders>
              <w:top w:val="nil"/>
              <w:left w:val="single" w:sz="4" w:space="0" w:color="auto"/>
              <w:bottom w:val="nil"/>
              <w:right w:val="single" w:sz="4" w:space="0" w:color="auto"/>
            </w:tcBorders>
            <w:noWrap/>
            <w:vAlign w:val="bottom"/>
            <w:hideMark/>
          </w:tcPr>
          <w:p w14:paraId="2C7CB7D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-0.566***</w:t>
            </w:r>
          </w:p>
        </w:tc>
        <w:tc>
          <w:tcPr>
            <w:tcW w:w="1073" w:type="dxa"/>
            <w:tcBorders>
              <w:top w:val="nil"/>
              <w:left w:val="single" w:sz="4" w:space="0" w:color="auto"/>
              <w:bottom w:val="nil"/>
              <w:right w:val="single" w:sz="4" w:space="0" w:color="auto"/>
            </w:tcBorders>
            <w:noWrap/>
            <w:vAlign w:val="bottom"/>
            <w:hideMark/>
          </w:tcPr>
          <w:p w14:paraId="47A4987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-0.330**</w:t>
            </w:r>
          </w:p>
        </w:tc>
        <w:tc>
          <w:tcPr>
            <w:tcW w:w="1073" w:type="dxa"/>
            <w:tcBorders>
              <w:top w:val="nil"/>
              <w:left w:val="single" w:sz="4" w:space="0" w:color="auto"/>
              <w:bottom w:val="nil"/>
              <w:right w:val="single" w:sz="4" w:space="0" w:color="auto"/>
            </w:tcBorders>
            <w:noWrap/>
            <w:vAlign w:val="bottom"/>
            <w:hideMark/>
          </w:tcPr>
          <w:p w14:paraId="1079779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-1.407***</w:t>
            </w:r>
          </w:p>
        </w:tc>
        <w:tc>
          <w:tcPr>
            <w:tcW w:w="1073" w:type="dxa"/>
            <w:tcBorders>
              <w:top w:val="nil"/>
              <w:left w:val="single" w:sz="4" w:space="0" w:color="auto"/>
              <w:bottom w:val="nil"/>
              <w:right w:val="single" w:sz="4" w:space="0" w:color="auto"/>
            </w:tcBorders>
            <w:noWrap/>
            <w:vAlign w:val="bottom"/>
            <w:hideMark/>
          </w:tcPr>
          <w:p w14:paraId="1EED2FA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-0.171</w:t>
            </w:r>
          </w:p>
        </w:tc>
        <w:tc>
          <w:tcPr>
            <w:tcW w:w="1176" w:type="dxa"/>
            <w:tcBorders>
              <w:top w:val="nil"/>
              <w:left w:val="single" w:sz="4" w:space="0" w:color="auto"/>
              <w:bottom w:val="nil"/>
              <w:right w:val="single" w:sz="4" w:space="0" w:color="auto"/>
            </w:tcBorders>
            <w:noWrap/>
            <w:vAlign w:val="bottom"/>
            <w:hideMark/>
          </w:tcPr>
          <w:p w14:paraId="0C49C6B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0.189</w:t>
            </w:r>
          </w:p>
        </w:tc>
      </w:tr>
      <w:tr w:rsidR="0008508D" w:rsidRPr="005F200E" w14:paraId="64169E39"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342E5D54"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Short‐cycle tertiary</w:t>
            </w:r>
          </w:p>
        </w:tc>
        <w:tc>
          <w:tcPr>
            <w:tcW w:w="1134" w:type="dxa"/>
            <w:tcBorders>
              <w:top w:val="nil"/>
              <w:left w:val="single" w:sz="4" w:space="0" w:color="auto"/>
              <w:bottom w:val="nil"/>
              <w:right w:val="single" w:sz="4" w:space="0" w:color="auto"/>
            </w:tcBorders>
            <w:noWrap/>
            <w:vAlign w:val="bottom"/>
            <w:hideMark/>
          </w:tcPr>
          <w:p w14:paraId="71BF33E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0.733***</w:t>
            </w:r>
          </w:p>
        </w:tc>
        <w:tc>
          <w:tcPr>
            <w:tcW w:w="1134" w:type="dxa"/>
            <w:tcBorders>
              <w:top w:val="nil"/>
              <w:left w:val="single" w:sz="4" w:space="0" w:color="auto"/>
              <w:bottom w:val="nil"/>
              <w:right w:val="single" w:sz="4" w:space="0" w:color="auto"/>
            </w:tcBorders>
            <w:noWrap/>
            <w:vAlign w:val="bottom"/>
            <w:hideMark/>
          </w:tcPr>
          <w:p w14:paraId="4F36532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-0.405***</w:t>
            </w:r>
          </w:p>
        </w:tc>
        <w:tc>
          <w:tcPr>
            <w:tcW w:w="1073" w:type="dxa"/>
            <w:tcBorders>
              <w:top w:val="nil"/>
              <w:left w:val="single" w:sz="4" w:space="0" w:color="auto"/>
              <w:bottom w:val="nil"/>
              <w:right w:val="single" w:sz="4" w:space="0" w:color="auto"/>
            </w:tcBorders>
            <w:noWrap/>
            <w:vAlign w:val="bottom"/>
            <w:hideMark/>
          </w:tcPr>
          <w:p w14:paraId="72219260"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-0.055</w:t>
            </w:r>
          </w:p>
        </w:tc>
        <w:tc>
          <w:tcPr>
            <w:tcW w:w="1073" w:type="dxa"/>
            <w:tcBorders>
              <w:top w:val="nil"/>
              <w:left w:val="single" w:sz="4" w:space="0" w:color="auto"/>
              <w:bottom w:val="nil"/>
              <w:right w:val="single" w:sz="4" w:space="0" w:color="auto"/>
            </w:tcBorders>
            <w:noWrap/>
            <w:vAlign w:val="bottom"/>
            <w:hideMark/>
          </w:tcPr>
          <w:p w14:paraId="0CF9737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-1.637***</w:t>
            </w:r>
          </w:p>
        </w:tc>
        <w:tc>
          <w:tcPr>
            <w:tcW w:w="1073" w:type="dxa"/>
            <w:tcBorders>
              <w:top w:val="nil"/>
              <w:left w:val="single" w:sz="4" w:space="0" w:color="auto"/>
              <w:bottom w:val="nil"/>
              <w:right w:val="single" w:sz="4" w:space="0" w:color="auto"/>
            </w:tcBorders>
            <w:noWrap/>
            <w:vAlign w:val="bottom"/>
            <w:hideMark/>
          </w:tcPr>
          <w:p w14:paraId="58CEBEF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-0.513***</w:t>
            </w:r>
          </w:p>
        </w:tc>
        <w:tc>
          <w:tcPr>
            <w:tcW w:w="1176" w:type="dxa"/>
            <w:tcBorders>
              <w:top w:val="nil"/>
              <w:left w:val="single" w:sz="4" w:space="0" w:color="auto"/>
              <w:bottom w:val="nil"/>
              <w:right w:val="single" w:sz="4" w:space="0" w:color="auto"/>
            </w:tcBorders>
            <w:noWrap/>
            <w:vAlign w:val="bottom"/>
            <w:hideMark/>
          </w:tcPr>
          <w:p w14:paraId="0E801E4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0.369*</w:t>
            </w:r>
          </w:p>
        </w:tc>
      </w:tr>
      <w:tr w:rsidR="0008508D" w:rsidRPr="005F200E" w14:paraId="714AF327"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52C0EA64"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Tertiary high education</w:t>
            </w:r>
          </w:p>
        </w:tc>
        <w:tc>
          <w:tcPr>
            <w:tcW w:w="1134" w:type="dxa"/>
            <w:tcBorders>
              <w:top w:val="nil"/>
              <w:left w:val="single" w:sz="4" w:space="0" w:color="auto"/>
              <w:bottom w:val="nil"/>
              <w:right w:val="single" w:sz="4" w:space="0" w:color="auto"/>
            </w:tcBorders>
            <w:noWrap/>
            <w:vAlign w:val="bottom"/>
            <w:hideMark/>
          </w:tcPr>
          <w:p w14:paraId="4DECD79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0.540***</w:t>
            </w:r>
          </w:p>
        </w:tc>
        <w:tc>
          <w:tcPr>
            <w:tcW w:w="1134" w:type="dxa"/>
            <w:tcBorders>
              <w:top w:val="nil"/>
              <w:left w:val="single" w:sz="4" w:space="0" w:color="auto"/>
              <w:bottom w:val="nil"/>
              <w:right w:val="single" w:sz="4" w:space="0" w:color="auto"/>
            </w:tcBorders>
            <w:noWrap/>
            <w:vAlign w:val="bottom"/>
            <w:hideMark/>
          </w:tcPr>
          <w:p w14:paraId="1216BC5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-0.491***</w:t>
            </w:r>
          </w:p>
        </w:tc>
        <w:tc>
          <w:tcPr>
            <w:tcW w:w="1073" w:type="dxa"/>
            <w:tcBorders>
              <w:top w:val="nil"/>
              <w:left w:val="single" w:sz="4" w:space="0" w:color="auto"/>
              <w:bottom w:val="nil"/>
              <w:right w:val="single" w:sz="4" w:space="0" w:color="auto"/>
            </w:tcBorders>
            <w:noWrap/>
            <w:vAlign w:val="bottom"/>
            <w:hideMark/>
          </w:tcPr>
          <w:p w14:paraId="0D43B68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-0.258**</w:t>
            </w:r>
          </w:p>
        </w:tc>
        <w:tc>
          <w:tcPr>
            <w:tcW w:w="1073" w:type="dxa"/>
            <w:tcBorders>
              <w:top w:val="nil"/>
              <w:left w:val="single" w:sz="4" w:space="0" w:color="auto"/>
              <w:bottom w:val="nil"/>
              <w:right w:val="single" w:sz="4" w:space="0" w:color="auto"/>
            </w:tcBorders>
            <w:noWrap/>
            <w:vAlign w:val="bottom"/>
            <w:hideMark/>
          </w:tcPr>
          <w:p w14:paraId="79BD8AD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-1.842***</w:t>
            </w:r>
          </w:p>
        </w:tc>
        <w:tc>
          <w:tcPr>
            <w:tcW w:w="1073" w:type="dxa"/>
            <w:tcBorders>
              <w:top w:val="nil"/>
              <w:left w:val="single" w:sz="4" w:space="0" w:color="auto"/>
              <w:bottom w:val="nil"/>
              <w:right w:val="single" w:sz="4" w:space="0" w:color="auto"/>
            </w:tcBorders>
            <w:noWrap/>
            <w:vAlign w:val="bottom"/>
            <w:hideMark/>
          </w:tcPr>
          <w:p w14:paraId="77835BD9"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-0.928***</w:t>
            </w:r>
          </w:p>
        </w:tc>
        <w:tc>
          <w:tcPr>
            <w:tcW w:w="1176" w:type="dxa"/>
            <w:tcBorders>
              <w:top w:val="nil"/>
              <w:left w:val="single" w:sz="4" w:space="0" w:color="auto"/>
              <w:bottom w:val="nil"/>
              <w:right w:val="single" w:sz="4" w:space="0" w:color="auto"/>
            </w:tcBorders>
            <w:noWrap/>
            <w:vAlign w:val="bottom"/>
            <w:hideMark/>
          </w:tcPr>
          <w:p w14:paraId="056791A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0.132</w:t>
            </w:r>
          </w:p>
        </w:tc>
      </w:tr>
      <w:tr w:rsidR="0008508D" w:rsidRPr="005F200E" w14:paraId="48C6CBF7"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635F104F"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Unemployed</w:t>
            </w:r>
          </w:p>
        </w:tc>
        <w:tc>
          <w:tcPr>
            <w:tcW w:w="1134" w:type="dxa"/>
            <w:tcBorders>
              <w:top w:val="nil"/>
              <w:left w:val="single" w:sz="4" w:space="0" w:color="auto"/>
              <w:bottom w:val="nil"/>
              <w:right w:val="single" w:sz="4" w:space="0" w:color="auto"/>
            </w:tcBorders>
            <w:noWrap/>
            <w:vAlign w:val="bottom"/>
            <w:hideMark/>
          </w:tcPr>
          <w:p w14:paraId="51018B5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0.270***</w:t>
            </w:r>
          </w:p>
        </w:tc>
        <w:tc>
          <w:tcPr>
            <w:tcW w:w="1134" w:type="dxa"/>
            <w:tcBorders>
              <w:top w:val="nil"/>
              <w:left w:val="single" w:sz="4" w:space="0" w:color="auto"/>
              <w:bottom w:val="nil"/>
              <w:right w:val="single" w:sz="4" w:space="0" w:color="auto"/>
            </w:tcBorders>
            <w:noWrap/>
            <w:vAlign w:val="bottom"/>
            <w:hideMark/>
          </w:tcPr>
          <w:p w14:paraId="434AED2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0.175***</w:t>
            </w:r>
          </w:p>
        </w:tc>
        <w:tc>
          <w:tcPr>
            <w:tcW w:w="1073" w:type="dxa"/>
            <w:tcBorders>
              <w:top w:val="nil"/>
              <w:left w:val="single" w:sz="4" w:space="0" w:color="auto"/>
              <w:bottom w:val="nil"/>
              <w:right w:val="single" w:sz="4" w:space="0" w:color="auto"/>
            </w:tcBorders>
            <w:noWrap/>
            <w:vAlign w:val="bottom"/>
            <w:hideMark/>
          </w:tcPr>
          <w:p w14:paraId="2C79EB7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0.099</w:t>
            </w:r>
          </w:p>
        </w:tc>
        <w:tc>
          <w:tcPr>
            <w:tcW w:w="1073" w:type="dxa"/>
            <w:tcBorders>
              <w:top w:val="nil"/>
              <w:left w:val="single" w:sz="4" w:space="0" w:color="auto"/>
              <w:bottom w:val="nil"/>
              <w:right w:val="single" w:sz="4" w:space="0" w:color="auto"/>
            </w:tcBorders>
            <w:noWrap/>
            <w:vAlign w:val="bottom"/>
            <w:hideMark/>
          </w:tcPr>
          <w:p w14:paraId="5C4BAB7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-0.219**</w:t>
            </w:r>
          </w:p>
        </w:tc>
        <w:tc>
          <w:tcPr>
            <w:tcW w:w="1073" w:type="dxa"/>
            <w:tcBorders>
              <w:top w:val="nil"/>
              <w:left w:val="single" w:sz="4" w:space="0" w:color="auto"/>
              <w:bottom w:val="nil"/>
              <w:right w:val="single" w:sz="4" w:space="0" w:color="auto"/>
            </w:tcBorders>
            <w:noWrap/>
            <w:vAlign w:val="bottom"/>
            <w:hideMark/>
          </w:tcPr>
          <w:p w14:paraId="5DFEEA7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0.008</w:t>
            </w:r>
          </w:p>
        </w:tc>
        <w:tc>
          <w:tcPr>
            <w:tcW w:w="1176" w:type="dxa"/>
            <w:tcBorders>
              <w:top w:val="nil"/>
              <w:left w:val="single" w:sz="4" w:space="0" w:color="auto"/>
              <w:bottom w:val="nil"/>
              <w:right w:val="single" w:sz="4" w:space="0" w:color="auto"/>
            </w:tcBorders>
            <w:noWrap/>
            <w:vAlign w:val="bottom"/>
            <w:hideMark/>
          </w:tcPr>
          <w:p w14:paraId="1776EF4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0.000</w:t>
            </w:r>
          </w:p>
        </w:tc>
      </w:tr>
      <w:tr w:rsidR="0008508D" w:rsidRPr="005F200E" w14:paraId="55B801BC"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0D8B93A8"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Student</w:t>
            </w:r>
          </w:p>
        </w:tc>
        <w:tc>
          <w:tcPr>
            <w:tcW w:w="1134" w:type="dxa"/>
            <w:tcBorders>
              <w:top w:val="nil"/>
              <w:left w:val="single" w:sz="4" w:space="0" w:color="auto"/>
              <w:bottom w:val="nil"/>
              <w:right w:val="single" w:sz="4" w:space="0" w:color="auto"/>
            </w:tcBorders>
            <w:noWrap/>
            <w:vAlign w:val="bottom"/>
            <w:hideMark/>
          </w:tcPr>
          <w:p w14:paraId="3EAC4E1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-0.470**</w:t>
            </w:r>
          </w:p>
        </w:tc>
        <w:tc>
          <w:tcPr>
            <w:tcW w:w="1134" w:type="dxa"/>
            <w:tcBorders>
              <w:top w:val="nil"/>
              <w:left w:val="single" w:sz="4" w:space="0" w:color="auto"/>
              <w:bottom w:val="nil"/>
              <w:right w:val="single" w:sz="4" w:space="0" w:color="auto"/>
            </w:tcBorders>
            <w:noWrap/>
            <w:vAlign w:val="bottom"/>
            <w:hideMark/>
          </w:tcPr>
          <w:p w14:paraId="733D0C8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0.569</w:t>
            </w:r>
          </w:p>
        </w:tc>
        <w:tc>
          <w:tcPr>
            <w:tcW w:w="1073" w:type="dxa"/>
            <w:tcBorders>
              <w:top w:val="nil"/>
              <w:left w:val="single" w:sz="4" w:space="0" w:color="auto"/>
              <w:bottom w:val="nil"/>
              <w:right w:val="single" w:sz="4" w:space="0" w:color="auto"/>
            </w:tcBorders>
            <w:noWrap/>
            <w:vAlign w:val="bottom"/>
            <w:hideMark/>
          </w:tcPr>
          <w:p w14:paraId="0816125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0.000</w:t>
            </w:r>
          </w:p>
        </w:tc>
        <w:tc>
          <w:tcPr>
            <w:tcW w:w="1073" w:type="dxa"/>
            <w:tcBorders>
              <w:top w:val="nil"/>
              <w:left w:val="single" w:sz="4" w:space="0" w:color="auto"/>
              <w:bottom w:val="nil"/>
              <w:right w:val="single" w:sz="4" w:space="0" w:color="auto"/>
            </w:tcBorders>
            <w:noWrap/>
            <w:vAlign w:val="bottom"/>
            <w:hideMark/>
          </w:tcPr>
          <w:p w14:paraId="51C9C30F"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0.514***</w:t>
            </w:r>
          </w:p>
        </w:tc>
        <w:tc>
          <w:tcPr>
            <w:tcW w:w="1073" w:type="dxa"/>
            <w:tcBorders>
              <w:top w:val="nil"/>
              <w:left w:val="single" w:sz="4" w:space="0" w:color="auto"/>
              <w:bottom w:val="nil"/>
              <w:right w:val="single" w:sz="4" w:space="0" w:color="auto"/>
            </w:tcBorders>
            <w:noWrap/>
            <w:vAlign w:val="bottom"/>
            <w:hideMark/>
          </w:tcPr>
          <w:p w14:paraId="444CE62C"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-5.060</w:t>
            </w:r>
          </w:p>
        </w:tc>
        <w:tc>
          <w:tcPr>
            <w:tcW w:w="1176" w:type="dxa"/>
            <w:tcBorders>
              <w:top w:val="nil"/>
              <w:left w:val="single" w:sz="4" w:space="0" w:color="auto"/>
              <w:bottom w:val="nil"/>
              <w:right w:val="single" w:sz="4" w:space="0" w:color="auto"/>
            </w:tcBorders>
            <w:noWrap/>
            <w:vAlign w:val="bottom"/>
            <w:hideMark/>
          </w:tcPr>
          <w:p w14:paraId="55270A0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0.000</w:t>
            </w:r>
          </w:p>
        </w:tc>
      </w:tr>
      <w:tr w:rsidR="0008508D" w:rsidRPr="005F200E" w14:paraId="54C4FEBA" w14:textId="77777777" w:rsidTr="0042516A">
        <w:trPr>
          <w:trHeight w:hRule="exact" w:val="525"/>
        </w:trPr>
        <w:tc>
          <w:tcPr>
            <w:tcW w:w="2263" w:type="dxa"/>
            <w:tcBorders>
              <w:top w:val="nil"/>
              <w:left w:val="single" w:sz="4" w:space="0" w:color="auto"/>
              <w:bottom w:val="nil"/>
              <w:right w:val="single" w:sz="4" w:space="0" w:color="auto"/>
            </w:tcBorders>
            <w:noWrap/>
            <w:vAlign w:val="bottom"/>
            <w:hideMark/>
          </w:tcPr>
          <w:p w14:paraId="0F2771AD"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Taking care of home and family</w:t>
            </w:r>
          </w:p>
        </w:tc>
        <w:tc>
          <w:tcPr>
            <w:tcW w:w="1134" w:type="dxa"/>
            <w:tcBorders>
              <w:top w:val="nil"/>
              <w:left w:val="single" w:sz="4" w:space="0" w:color="auto"/>
              <w:bottom w:val="nil"/>
              <w:right w:val="single" w:sz="4" w:space="0" w:color="auto"/>
            </w:tcBorders>
            <w:noWrap/>
            <w:vAlign w:val="bottom"/>
            <w:hideMark/>
          </w:tcPr>
          <w:p w14:paraId="7740AE4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0.280***</w:t>
            </w:r>
          </w:p>
        </w:tc>
        <w:tc>
          <w:tcPr>
            <w:tcW w:w="1134" w:type="dxa"/>
            <w:tcBorders>
              <w:top w:val="nil"/>
              <w:left w:val="single" w:sz="4" w:space="0" w:color="auto"/>
              <w:bottom w:val="nil"/>
              <w:right w:val="single" w:sz="4" w:space="0" w:color="auto"/>
            </w:tcBorders>
            <w:noWrap/>
            <w:vAlign w:val="bottom"/>
            <w:hideMark/>
          </w:tcPr>
          <w:p w14:paraId="076B792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0.198***</w:t>
            </w:r>
          </w:p>
        </w:tc>
        <w:tc>
          <w:tcPr>
            <w:tcW w:w="1073" w:type="dxa"/>
            <w:tcBorders>
              <w:top w:val="nil"/>
              <w:left w:val="single" w:sz="4" w:space="0" w:color="auto"/>
              <w:bottom w:val="nil"/>
              <w:right w:val="single" w:sz="4" w:space="0" w:color="auto"/>
            </w:tcBorders>
            <w:noWrap/>
            <w:vAlign w:val="bottom"/>
            <w:hideMark/>
          </w:tcPr>
          <w:p w14:paraId="41134AB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0.419</w:t>
            </w:r>
          </w:p>
        </w:tc>
        <w:tc>
          <w:tcPr>
            <w:tcW w:w="1073" w:type="dxa"/>
            <w:tcBorders>
              <w:top w:val="nil"/>
              <w:left w:val="single" w:sz="4" w:space="0" w:color="auto"/>
              <w:bottom w:val="nil"/>
              <w:right w:val="single" w:sz="4" w:space="0" w:color="auto"/>
            </w:tcBorders>
            <w:noWrap/>
            <w:vAlign w:val="bottom"/>
            <w:hideMark/>
          </w:tcPr>
          <w:p w14:paraId="1C2568BB"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0.360</w:t>
            </w:r>
          </w:p>
        </w:tc>
        <w:tc>
          <w:tcPr>
            <w:tcW w:w="1073" w:type="dxa"/>
            <w:tcBorders>
              <w:top w:val="nil"/>
              <w:left w:val="single" w:sz="4" w:space="0" w:color="auto"/>
              <w:bottom w:val="nil"/>
              <w:right w:val="single" w:sz="4" w:space="0" w:color="auto"/>
            </w:tcBorders>
            <w:noWrap/>
            <w:vAlign w:val="bottom"/>
            <w:hideMark/>
          </w:tcPr>
          <w:p w14:paraId="622F8E2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-0.108</w:t>
            </w:r>
          </w:p>
        </w:tc>
        <w:tc>
          <w:tcPr>
            <w:tcW w:w="1176" w:type="dxa"/>
            <w:tcBorders>
              <w:top w:val="nil"/>
              <w:left w:val="single" w:sz="4" w:space="0" w:color="auto"/>
              <w:bottom w:val="nil"/>
              <w:right w:val="single" w:sz="4" w:space="0" w:color="auto"/>
            </w:tcBorders>
            <w:noWrap/>
            <w:vAlign w:val="bottom"/>
            <w:hideMark/>
          </w:tcPr>
          <w:p w14:paraId="556D14D4"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-0.338</w:t>
            </w:r>
          </w:p>
        </w:tc>
      </w:tr>
      <w:tr w:rsidR="0008508D" w:rsidRPr="005F200E" w14:paraId="03F6D89A" w14:textId="77777777" w:rsidTr="0042516A">
        <w:trPr>
          <w:trHeight w:hRule="exact" w:val="255"/>
        </w:trPr>
        <w:tc>
          <w:tcPr>
            <w:tcW w:w="2263" w:type="dxa"/>
            <w:tcBorders>
              <w:top w:val="nil"/>
              <w:left w:val="single" w:sz="4" w:space="0" w:color="auto"/>
              <w:bottom w:val="nil"/>
              <w:right w:val="single" w:sz="4" w:space="0" w:color="auto"/>
            </w:tcBorders>
            <w:noWrap/>
            <w:vAlign w:val="bottom"/>
            <w:hideMark/>
          </w:tcPr>
          <w:p w14:paraId="246D0D20"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Other activity</w:t>
            </w:r>
          </w:p>
        </w:tc>
        <w:tc>
          <w:tcPr>
            <w:tcW w:w="1134" w:type="dxa"/>
            <w:tcBorders>
              <w:top w:val="nil"/>
              <w:left w:val="single" w:sz="4" w:space="0" w:color="auto"/>
              <w:bottom w:val="nil"/>
              <w:right w:val="single" w:sz="4" w:space="0" w:color="auto"/>
            </w:tcBorders>
            <w:noWrap/>
            <w:vAlign w:val="bottom"/>
            <w:hideMark/>
          </w:tcPr>
          <w:p w14:paraId="069D3927"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0.738</w:t>
            </w:r>
          </w:p>
        </w:tc>
        <w:tc>
          <w:tcPr>
            <w:tcW w:w="1134" w:type="dxa"/>
            <w:tcBorders>
              <w:top w:val="nil"/>
              <w:left w:val="single" w:sz="4" w:space="0" w:color="auto"/>
              <w:bottom w:val="nil"/>
              <w:right w:val="single" w:sz="4" w:space="0" w:color="auto"/>
            </w:tcBorders>
            <w:noWrap/>
            <w:vAlign w:val="bottom"/>
            <w:hideMark/>
          </w:tcPr>
          <w:p w14:paraId="58A64D4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-0.442</w:t>
            </w:r>
          </w:p>
        </w:tc>
        <w:tc>
          <w:tcPr>
            <w:tcW w:w="1073" w:type="dxa"/>
            <w:tcBorders>
              <w:top w:val="nil"/>
              <w:left w:val="single" w:sz="4" w:space="0" w:color="auto"/>
              <w:bottom w:val="nil"/>
              <w:right w:val="single" w:sz="4" w:space="0" w:color="auto"/>
            </w:tcBorders>
            <w:noWrap/>
            <w:vAlign w:val="bottom"/>
            <w:hideMark/>
          </w:tcPr>
          <w:p w14:paraId="7EF095C1"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0.860*</w:t>
            </w:r>
          </w:p>
        </w:tc>
        <w:tc>
          <w:tcPr>
            <w:tcW w:w="1073" w:type="dxa"/>
            <w:tcBorders>
              <w:top w:val="nil"/>
              <w:left w:val="single" w:sz="4" w:space="0" w:color="auto"/>
              <w:bottom w:val="nil"/>
              <w:right w:val="single" w:sz="4" w:space="0" w:color="auto"/>
            </w:tcBorders>
            <w:noWrap/>
            <w:vAlign w:val="bottom"/>
            <w:hideMark/>
          </w:tcPr>
          <w:p w14:paraId="6EAE06F2"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0.321*</w:t>
            </w:r>
          </w:p>
        </w:tc>
        <w:tc>
          <w:tcPr>
            <w:tcW w:w="1073" w:type="dxa"/>
            <w:tcBorders>
              <w:top w:val="nil"/>
              <w:left w:val="single" w:sz="4" w:space="0" w:color="auto"/>
              <w:bottom w:val="nil"/>
              <w:right w:val="single" w:sz="4" w:space="0" w:color="auto"/>
            </w:tcBorders>
            <w:noWrap/>
            <w:vAlign w:val="bottom"/>
            <w:hideMark/>
          </w:tcPr>
          <w:p w14:paraId="254D593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0.054</w:t>
            </w:r>
          </w:p>
        </w:tc>
        <w:tc>
          <w:tcPr>
            <w:tcW w:w="1176" w:type="dxa"/>
            <w:tcBorders>
              <w:top w:val="nil"/>
              <w:left w:val="single" w:sz="4" w:space="0" w:color="auto"/>
              <w:bottom w:val="nil"/>
              <w:right w:val="single" w:sz="4" w:space="0" w:color="auto"/>
            </w:tcBorders>
            <w:noWrap/>
            <w:vAlign w:val="bottom"/>
            <w:hideMark/>
          </w:tcPr>
          <w:p w14:paraId="23656595"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-8.462</w:t>
            </w:r>
          </w:p>
        </w:tc>
      </w:tr>
      <w:tr w:rsidR="0008508D" w:rsidRPr="005F200E" w14:paraId="2DCDF194" w14:textId="77777777" w:rsidTr="0042516A">
        <w:trPr>
          <w:trHeight w:hRule="exact" w:val="255"/>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2FE04CC2" w14:textId="77777777" w:rsidR="0008508D" w:rsidRPr="005F200E" w:rsidRDefault="0008508D" w:rsidP="00794B9F">
            <w:pPr>
              <w:spacing w:after="0" w:line="480" w:lineRule="auto"/>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N</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AED8CE3"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3,983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642B53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3,453</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182E9CCE"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3,612</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4F42498D"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4,038</w:t>
            </w:r>
          </w:p>
        </w:tc>
        <w:tc>
          <w:tcPr>
            <w:tcW w:w="1073" w:type="dxa"/>
            <w:tcBorders>
              <w:top w:val="single" w:sz="4" w:space="0" w:color="auto"/>
              <w:left w:val="single" w:sz="4" w:space="0" w:color="auto"/>
              <w:bottom w:val="single" w:sz="4" w:space="0" w:color="auto"/>
              <w:right w:val="single" w:sz="4" w:space="0" w:color="auto"/>
            </w:tcBorders>
            <w:noWrap/>
            <w:vAlign w:val="bottom"/>
            <w:hideMark/>
          </w:tcPr>
          <w:p w14:paraId="3D0C8156"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3,146</w:t>
            </w: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23CA954A" w14:textId="77777777" w:rsidR="0008508D" w:rsidRPr="005F200E" w:rsidRDefault="0008508D" w:rsidP="00794B9F">
            <w:pPr>
              <w:spacing w:after="0" w:line="480" w:lineRule="auto"/>
              <w:jc w:val="center"/>
              <w:rPr>
                <w:rFonts w:ascii="Times New Roman" w:eastAsia="Times New Roman" w:hAnsi="Times New Roman" w:cs="Times New Roman"/>
                <w:color w:val="000000"/>
                <w:sz w:val="24"/>
                <w:szCs w:val="24"/>
                <w:lang w:eastAsia="en-GB"/>
              </w:rPr>
            </w:pPr>
            <w:r w:rsidRPr="005F200E">
              <w:rPr>
                <w:rFonts w:ascii="Times New Roman" w:eastAsia="Times New Roman" w:hAnsi="Times New Roman" w:cs="Times New Roman"/>
                <w:color w:val="000000"/>
                <w:sz w:val="24"/>
                <w:szCs w:val="24"/>
                <w:lang w:eastAsia="en-GB"/>
              </w:rPr>
              <w:t>2,181</w:t>
            </w:r>
          </w:p>
        </w:tc>
      </w:tr>
    </w:tbl>
    <w:p w14:paraId="50B98F5C" w14:textId="112A64BE" w:rsidR="0008508D" w:rsidRPr="005F200E" w:rsidRDefault="0008508D" w:rsidP="00794B9F">
      <w:pPr>
        <w:spacing w:after="0" w:line="480" w:lineRule="auto"/>
        <w:jc w:val="both"/>
        <w:rPr>
          <w:rFonts w:ascii="Times New Roman" w:hAnsi="Times New Roman" w:cs="Times New Roman"/>
          <w:sz w:val="24"/>
          <w:szCs w:val="24"/>
          <w:lang w:eastAsia="en-GB"/>
        </w:rPr>
      </w:pPr>
      <w:r w:rsidRPr="005F200E">
        <w:rPr>
          <w:rFonts w:ascii="Times New Roman" w:hAnsi="Times New Roman" w:cs="Times New Roman"/>
          <w:sz w:val="24"/>
          <w:szCs w:val="24"/>
          <w:lang w:eastAsia="en-GB"/>
        </w:rPr>
        <w:t>Note</w:t>
      </w:r>
      <w:r w:rsidR="009623ED" w:rsidRPr="005F200E">
        <w:rPr>
          <w:rFonts w:ascii="Times New Roman" w:hAnsi="Times New Roman" w:cs="Times New Roman"/>
          <w:sz w:val="24"/>
          <w:szCs w:val="24"/>
          <w:lang w:eastAsia="en-GB"/>
        </w:rPr>
        <w:t>:</w:t>
      </w:r>
      <w:r w:rsidRPr="005F200E">
        <w:rPr>
          <w:rFonts w:ascii="Times New Roman" w:hAnsi="Times New Roman" w:cs="Times New Roman"/>
          <w:sz w:val="24"/>
          <w:szCs w:val="24"/>
          <w:lang w:eastAsia="en-GB"/>
        </w:rPr>
        <w:t xml:space="preserve"> These models are used to predict EQ-5D scores by age-gender-regions groups using survey data that incorporate the common set of covariates included in these models. Socioeconomic factors are only included in these regression analyses to control for potential reporting bias across socioeconomic groups, i.e., when predicting EQ-5D scores, the socioeconomic variables were fixed at the sample mean value.</w:t>
      </w:r>
      <w:r w:rsidRPr="005F200E">
        <w:rPr>
          <w:rFonts w:ascii="Times New Roman" w:hAnsi="Times New Roman" w:cs="Times New Roman"/>
          <w:sz w:val="24"/>
          <w:szCs w:val="24"/>
        </w:rPr>
        <w:t xml:space="preserve"> </w:t>
      </w:r>
      <w:r w:rsidRPr="005F200E">
        <w:rPr>
          <w:rFonts w:ascii="Times New Roman" w:hAnsi="Times New Roman" w:cs="Times New Roman"/>
          <w:sz w:val="24"/>
          <w:szCs w:val="24"/>
          <w:lang w:eastAsia="en-GB"/>
        </w:rPr>
        <w:t xml:space="preserve">Generalised linear models with log link function and Gaussian variance on </w:t>
      </w:r>
      <w:r w:rsidR="004B3764" w:rsidRPr="005F200E">
        <w:rPr>
          <w:rFonts w:ascii="Times New Roman" w:hAnsi="Times New Roman" w:cs="Times New Roman"/>
          <w:sz w:val="24"/>
          <w:szCs w:val="24"/>
          <w:lang w:eastAsia="en-GB"/>
        </w:rPr>
        <w:t>quality of life</w:t>
      </w:r>
      <w:r w:rsidRPr="005F200E">
        <w:rPr>
          <w:rFonts w:ascii="Times New Roman" w:hAnsi="Times New Roman" w:cs="Times New Roman"/>
          <w:sz w:val="24"/>
          <w:szCs w:val="24"/>
          <w:lang w:eastAsia="en-GB"/>
        </w:rPr>
        <w:t xml:space="preserve"> decrements, that is, on 1 minus reported EQ‐5D values, were used. Negative coefficients mean the variable increases health‐related quality of life and vice versa. Some covariates are excluded from the regression models due to small numbers or counter‐intuitive signs due to collinearity. *p&lt;0.1, **p&lt;0.05, *** p&lt;0.001</w:t>
      </w:r>
    </w:p>
    <w:p w14:paraId="2DF95157" w14:textId="44FDE81F" w:rsidR="0008508D" w:rsidRPr="005F200E" w:rsidRDefault="0008508D" w:rsidP="00790687">
      <w:pPr>
        <w:spacing w:line="480" w:lineRule="auto"/>
        <w:jc w:val="both"/>
        <w:rPr>
          <w:rFonts w:ascii="Times New Roman" w:hAnsi="Times New Roman" w:cs="Times New Roman"/>
          <w:b/>
          <w:bCs/>
          <w:sz w:val="24"/>
          <w:szCs w:val="24"/>
        </w:rPr>
      </w:pPr>
    </w:p>
    <w:p w14:paraId="543FCBB4" w14:textId="77777777" w:rsidR="00F166E9" w:rsidRPr="005F200E" w:rsidRDefault="00F166E9" w:rsidP="00790687">
      <w:pPr>
        <w:spacing w:line="480" w:lineRule="auto"/>
        <w:jc w:val="both"/>
        <w:rPr>
          <w:rFonts w:ascii="Times New Roman" w:hAnsi="Times New Roman" w:cs="Times New Roman"/>
          <w:b/>
          <w:bCs/>
          <w:sz w:val="24"/>
          <w:szCs w:val="24"/>
        </w:rPr>
        <w:sectPr w:rsidR="00F166E9" w:rsidRPr="005F200E" w:rsidSect="00001627">
          <w:footerReference w:type="default" r:id="rId8"/>
          <w:pgSz w:w="11906" w:h="16838"/>
          <w:pgMar w:top="1418" w:right="1701" w:bottom="1418" w:left="1701" w:header="709" w:footer="709" w:gutter="0"/>
          <w:cols w:space="708"/>
          <w:docGrid w:linePitch="360"/>
        </w:sectPr>
      </w:pPr>
    </w:p>
    <w:p w14:paraId="5C06E4F3" w14:textId="4F4B2FB6" w:rsidR="00D72533" w:rsidRPr="005F200E" w:rsidRDefault="00D72533" w:rsidP="00794B9F">
      <w:pPr>
        <w:spacing w:line="480" w:lineRule="auto"/>
        <w:jc w:val="both"/>
        <w:rPr>
          <w:rFonts w:ascii="Times New Roman" w:hAnsi="Times New Roman" w:cs="Times New Roman"/>
          <w:b/>
          <w:bCs/>
          <w:sz w:val="24"/>
          <w:szCs w:val="24"/>
        </w:rPr>
      </w:pPr>
      <w:r w:rsidRPr="005F200E">
        <w:rPr>
          <w:rFonts w:ascii="Times New Roman" w:hAnsi="Times New Roman" w:cs="Times New Roman"/>
          <w:b/>
          <w:bCs/>
          <w:sz w:val="24"/>
          <w:szCs w:val="24"/>
        </w:rPr>
        <w:t xml:space="preserve">Appendix 2. </w:t>
      </w:r>
      <w:r w:rsidR="00F166E9" w:rsidRPr="005F200E">
        <w:rPr>
          <w:rFonts w:ascii="Times New Roman" w:hAnsi="Times New Roman" w:cs="Times New Roman"/>
          <w:b/>
          <w:bCs/>
          <w:sz w:val="24"/>
          <w:szCs w:val="24"/>
        </w:rPr>
        <w:t xml:space="preserve">Oster bounds for fixed-effects models with controls – impact of public health spending on average quality-adjusted life expectancy (assuming </w:t>
      </w: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rPr>
              <m:t>max</m:t>
            </m:r>
          </m:sub>
        </m:sSub>
        <m:r>
          <m:rPr>
            <m:sty m:val="b"/>
          </m:rPr>
          <w:rPr>
            <w:rFonts w:ascii="Cambria Math" w:hAnsi="Cambria Math" w:cs="Times New Roman"/>
            <w:sz w:val="24"/>
            <w:szCs w:val="24"/>
          </w:rPr>
          <m:t>=1</m:t>
        </m:r>
      </m:oMath>
      <w:r w:rsidR="00F166E9" w:rsidRPr="005F200E">
        <w:rPr>
          <w:rFonts w:ascii="Times New Roman" w:eastAsiaTheme="minorEastAsia" w:hAnsi="Times New Roman" w:cs="Times New Roman"/>
          <w:b/>
          <w:bCs/>
          <w:sz w:val="24"/>
          <w:szCs w:val="24"/>
        </w:rPr>
        <w:t>)</w:t>
      </w:r>
    </w:p>
    <w:tbl>
      <w:tblPr>
        <w:tblW w:w="10199" w:type="dxa"/>
        <w:tblCellMar>
          <w:left w:w="70" w:type="dxa"/>
          <w:right w:w="70" w:type="dxa"/>
        </w:tblCellMar>
        <w:tblLook w:val="04A0" w:firstRow="1" w:lastRow="0" w:firstColumn="1" w:lastColumn="0" w:noHBand="0" w:noVBand="1"/>
      </w:tblPr>
      <w:tblGrid>
        <w:gridCol w:w="1560"/>
        <w:gridCol w:w="1242"/>
        <w:gridCol w:w="1160"/>
        <w:gridCol w:w="850"/>
        <w:gridCol w:w="1276"/>
        <w:gridCol w:w="1417"/>
        <w:gridCol w:w="1276"/>
        <w:gridCol w:w="1418"/>
      </w:tblGrid>
      <w:tr w:rsidR="00F166E9" w:rsidRPr="005F200E" w14:paraId="5C6CD8B9" w14:textId="77777777" w:rsidTr="00FA4636">
        <w:trPr>
          <w:trHeight w:val="289"/>
        </w:trPr>
        <w:tc>
          <w:tcPr>
            <w:tcW w:w="1560" w:type="dxa"/>
            <w:tcBorders>
              <w:top w:val="single" w:sz="4" w:space="0" w:color="auto"/>
              <w:left w:val="nil"/>
              <w:bottom w:val="nil"/>
              <w:right w:val="nil"/>
            </w:tcBorders>
            <w:shd w:val="clear" w:color="auto" w:fill="auto"/>
            <w:noWrap/>
            <w:vAlign w:val="bottom"/>
            <w:hideMark/>
          </w:tcPr>
          <w:p w14:paraId="28C543EC" w14:textId="77777777" w:rsidR="00F166E9" w:rsidRPr="005F200E" w:rsidRDefault="00F166E9" w:rsidP="00794B9F">
            <w:pPr>
              <w:spacing w:after="0" w:line="480" w:lineRule="auto"/>
              <w:rPr>
                <w:rFonts w:ascii="Times New Roman" w:eastAsia="Times New Roman" w:hAnsi="Times New Roman" w:cs="Times New Roman"/>
                <w:sz w:val="24"/>
                <w:szCs w:val="24"/>
                <w:lang w:eastAsia="es-ES"/>
              </w:rPr>
            </w:pPr>
          </w:p>
        </w:tc>
        <w:tc>
          <w:tcPr>
            <w:tcW w:w="3252" w:type="dxa"/>
            <w:gridSpan w:val="3"/>
            <w:tcBorders>
              <w:top w:val="single" w:sz="4" w:space="0" w:color="auto"/>
              <w:left w:val="nil"/>
              <w:bottom w:val="single" w:sz="4" w:space="0" w:color="auto"/>
              <w:right w:val="nil"/>
            </w:tcBorders>
          </w:tcPr>
          <w:p w14:paraId="32CB7BB1"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Elasticity</w:t>
            </w:r>
          </w:p>
          <w:p w14:paraId="43550FAA"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[within R</w:t>
            </w:r>
            <w:r w:rsidRPr="005F200E">
              <w:rPr>
                <w:rFonts w:ascii="Times New Roman" w:eastAsia="Times New Roman" w:hAnsi="Times New Roman" w:cs="Times New Roman"/>
                <w:b/>
                <w:color w:val="000000"/>
                <w:sz w:val="24"/>
                <w:szCs w:val="24"/>
                <w:vertAlign w:val="superscript"/>
                <w:lang w:eastAsia="es-ES"/>
              </w:rPr>
              <w:t>2</w:t>
            </w:r>
            <w:r w:rsidRPr="005F200E">
              <w:rPr>
                <w:rFonts w:ascii="Times New Roman" w:eastAsia="Times New Roman" w:hAnsi="Times New Roman" w:cs="Times New Roman"/>
                <w:b/>
                <w:color w:val="000000"/>
                <w:sz w:val="24"/>
                <w:szCs w:val="24"/>
                <w:lang w:eastAsia="es-ES"/>
              </w:rPr>
              <w:t>]</w:t>
            </w:r>
          </w:p>
        </w:tc>
        <w:tc>
          <w:tcPr>
            <w:tcW w:w="2693" w:type="dxa"/>
            <w:gridSpan w:val="2"/>
            <w:tcBorders>
              <w:top w:val="single" w:sz="4" w:space="0" w:color="auto"/>
              <w:left w:val="nil"/>
              <w:bottom w:val="single" w:sz="4" w:space="0" w:color="auto"/>
              <w:right w:val="nil"/>
            </w:tcBorders>
            <w:shd w:val="clear" w:color="auto" w:fill="auto"/>
            <w:vAlign w:val="bottom"/>
            <w:hideMark/>
          </w:tcPr>
          <w:p w14:paraId="3146C8D9"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Marginal effect at means</w:t>
            </w:r>
          </w:p>
        </w:tc>
        <w:tc>
          <w:tcPr>
            <w:tcW w:w="2694" w:type="dxa"/>
            <w:gridSpan w:val="2"/>
            <w:tcBorders>
              <w:top w:val="single" w:sz="4" w:space="0" w:color="auto"/>
              <w:left w:val="nil"/>
              <w:bottom w:val="single" w:sz="4" w:space="0" w:color="auto"/>
              <w:right w:val="nil"/>
            </w:tcBorders>
            <w:shd w:val="clear" w:color="auto" w:fill="auto"/>
            <w:noWrap/>
            <w:vAlign w:val="bottom"/>
            <w:hideMark/>
          </w:tcPr>
          <w:p w14:paraId="0393E961"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Incremental cost per QALY</w:t>
            </w:r>
          </w:p>
        </w:tc>
      </w:tr>
      <w:tr w:rsidR="00F166E9" w:rsidRPr="005F200E" w14:paraId="1FD3566B" w14:textId="77777777" w:rsidTr="00FA4636">
        <w:trPr>
          <w:trHeight w:val="300"/>
        </w:trPr>
        <w:tc>
          <w:tcPr>
            <w:tcW w:w="1560" w:type="dxa"/>
            <w:tcBorders>
              <w:top w:val="nil"/>
              <w:left w:val="nil"/>
              <w:bottom w:val="single" w:sz="4" w:space="0" w:color="auto"/>
              <w:right w:val="nil"/>
            </w:tcBorders>
            <w:shd w:val="clear" w:color="auto" w:fill="auto"/>
            <w:noWrap/>
            <w:vAlign w:val="bottom"/>
            <w:hideMark/>
          </w:tcPr>
          <w:p w14:paraId="56C30AAC" w14:textId="77777777" w:rsidR="00F166E9" w:rsidRPr="005F200E" w:rsidRDefault="00F166E9" w:rsidP="00794B9F">
            <w:pPr>
              <w:spacing w:after="0" w:line="480" w:lineRule="auto"/>
              <w:jc w:val="center"/>
              <w:rPr>
                <w:rFonts w:ascii="Times New Roman" w:eastAsiaTheme="minorEastAsia" w:hAnsi="Times New Roman" w:cs="Times New Roman"/>
                <w:b/>
                <w:bCs/>
                <w:i/>
                <w:color w:val="000000" w:themeColor="text1"/>
                <w:sz w:val="24"/>
                <w:szCs w:val="24"/>
              </w:rPr>
            </w:pPr>
          </w:p>
        </w:tc>
        <w:tc>
          <w:tcPr>
            <w:tcW w:w="1268" w:type="dxa"/>
            <w:tcBorders>
              <w:top w:val="single" w:sz="4" w:space="0" w:color="auto"/>
              <w:left w:val="nil"/>
              <w:bottom w:val="single" w:sz="4" w:space="0" w:color="auto"/>
              <w:right w:val="nil"/>
            </w:tcBorders>
          </w:tcPr>
          <w:p w14:paraId="137D3DAE" w14:textId="77777777" w:rsidR="00F166E9" w:rsidRPr="005F200E" w:rsidRDefault="00794B9F" w:rsidP="00794B9F">
            <w:pPr>
              <w:spacing w:after="0" w:line="480" w:lineRule="auto"/>
              <w:jc w:val="center"/>
              <w:rPr>
                <w:rFonts w:ascii="Times New Roman" w:eastAsiaTheme="minorEastAsia" w:hAnsi="Times New Roman" w:cs="Times New Roman"/>
                <w:b/>
                <w:bCs/>
                <w:i/>
                <w:color w:val="000000" w:themeColor="text1"/>
                <w:sz w:val="24"/>
                <w:szCs w:val="24"/>
              </w:rPr>
            </w:pPr>
            <m:oMathPara>
              <m:oMath>
                <m:acc>
                  <m:accPr>
                    <m:chr m:val="̇"/>
                    <m:ctrlPr>
                      <w:rPr>
                        <w:rFonts w:ascii="Cambria Math" w:eastAsiaTheme="minorEastAsia" w:hAnsi="Cambria Math" w:cs="Times New Roman"/>
                        <w:b/>
                        <w:bCs/>
                        <w:i/>
                        <w:color w:val="000000" w:themeColor="text1"/>
                        <w:sz w:val="24"/>
                        <w:szCs w:val="24"/>
                      </w:rPr>
                    </m:ctrlPr>
                  </m:accPr>
                  <m:e>
                    <m:r>
                      <m:rPr>
                        <m:sty m:val="bi"/>
                      </m:rPr>
                      <w:rPr>
                        <w:rFonts w:ascii="Cambria Math" w:eastAsiaTheme="minorEastAsia" w:hAnsi="Cambria Math" w:cs="Times New Roman"/>
                        <w:color w:val="000000" w:themeColor="text1"/>
                        <w:sz w:val="24"/>
                        <w:szCs w:val="24"/>
                      </w:rPr>
                      <m:t>β</m:t>
                    </m:r>
                  </m:e>
                </m:acc>
              </m:oMath>
            </m:oMathPara>
          </w:p>
        </w:tc>
        <w:tc>
          <w:tcPr>
            <w:tcW w:w="1134" w:type="dxa"/>
            <w:tcBorders>
              <w:top w:val="single" w:sz="4" w:space="0" w:color="auto"/>
              <w:left w:val="nil"/>
              <w:bottom w:val="single" w:sz="4" w:space="0" w:color="auto"/>
              <w:right w:val="nil"/>
            </w:tcBorders>
            <w:shd w:val="clear" w:color="auto" w:fill="auto"/>
            <w:noWrap/>
            <w:vAlign w:val="bottom"/>
            <w:hideMark/>
          </w:tcPr>
          <w:p w14:paraId="46B403D8" w14:textId="77777777" w:rsidR="00F166E9" w:rsidRPr="005F200E" w:rsidRDefault="00794B9F" w:rsidP="00794B9F">
            <w:pPr>
              <w:spacing w:after="0" w:line="480" w:lineRule="auto"/>
              <w:jc w:val="center"/>
              <w:rPr>
                <w:rFonts w:ascii="Times New Roman" w:eastAsia="Times New Roman" w:hAnsi="Times New Roman" w:cs="Times New Roman"/>
                <w:b/>
                <w:color w:val="000000"/>
                <w:sz w:val="24"/>
                <w:szCs w:val="24"/>
                <w:lang w:eastAsia="es-ES"/>
              </w:rPr>
            </w:pPr>
            <m:oMathPara>
              <m:oMath>
                <m:acc>
                  <m:accPr>
                    <m:chr m:val="̃"/>
                    <m:ctrlPr>
                      <w:rPr>
                        <w:rFonts w:ascii="Cambria Math" w:eastAsiaTheme="minorEastAsia" w:hAnsi="Cambria Math" w:cs="Times New Roman"/>
                        <w:b/>
                        <w:bCs/>
                        <w:i/>
                        <w:color w:val="000000" w:themeColor="text1"/>
                        <w:sz w:val="24"/>
                        <w:szCs w:val="24"/>
                      </w:rPr>
                    </m:ctrlPr>
                  </m:accPr>
                  <m:e>
                    <m:r>
                      <m:rPr>
                        <m:sty m:val="bi"/>
                      </m:rPr>
                      <w:rPr>
                        <w:rFonts w:ascii="Cambria Math" w:eastAsiaTheme="minorEastAsia" w:hAnsi="Cambria Math" w:cs="Times New Roman"/>
                        <w:color w:val="000000" w:themeColor="text1"/>
                        <w:sz w:val="24"/>
                        <w:szCs w:val="24"/>
                      </w:rPr>
                      <m:t>β</m:t>
                    </m:r>
                  </m:e>
                </m:acc>
              </m:oMath>
            </m:oMathPara>
          </w:p>
        </w:tc>
        <w:tc>
          <w:tcPr>
            <w:tcW w:w="850" w:type="dxa"/>
            <w:tcBorders>
              <w:top w:val="single" w:sz="4" w:space="0" w:color="auto"/>
              <w:left w:val="nil"/>
              <w:bottom w:val="single" w:sz="4" w:space="0" w:color="auto"/>
              <w:right w:val="nil"/>
            </w:tcBorders>
            <w:shd w:val="clear" w:color="auto" w:fill="auto"/>
            <w:noWrap/>
            <w:vAlign w:val="bottom"/>
            <w:hideMark/>
          </w:tcPr>
          <w:p w14:paraId="030441D3"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 xml:space="preserve"> </w:t>
            </w:r>
            <m:oMath>
              <m:sSup>
                <m:sSupPr>
                  <m:ctrlPr>
                    <w:rPr>
                      <w:rFonts w:ascii="Cambria Math" w:eastAsiaTheme="minorEastAsia" w:hAnsi="Cambria Math" w:cs="Times New Roman"/>
                      <w:b/>
                      <w:bCs/>
                      <w:i/>
                      <w:color w:val="000000" w:themeColor="text1"/>
                      <w:sz w:val="24"/>
                      <w:szCs w:val="24"/>
                    </w:rPr>
                  </m:ctrlPr>
                </m:sSupPr>
                <m:e>
                  <m:r>
                    <m:rPr>
                      <m:sty m:val="bi"/>
                    </m:rPr>
                    <w:rPr>
                      <w:rFonts w:ascii="Cambria Math" w:eastAsiaTheme="minorEastAsia" w:hAnsi="Cambria Math" w:cs="Times New Roman"/>
                      <w:color w:val="000000" w:themeColor="text1"/>
                      <w:sz w:val="24"/>
                      <w:szCs w:val="24"/>
                    </w:rPr>
                    <m:t>β</m:t>
                  </m:r>
                </m:e>
                <m:sup>
                  <m:r>
                    <m:rPr>
                      <m:sty m:val="bi"/>
                    </m:rPr>
                    <w:rPr>
                      <w:rFonts w:ascii="Cambria Math" w:eastAsiaTheme="minorEastAsia" w:hAnsi="Cambria Math" w:cs="Times New Roman"/>
                      <w:color w:val="000000" w:themeColor="text1"/>
                      <w:sz w:val="24"/>
                      <w:szCs w:val="24"/>
                    </w:rPr>
                    <m:t>*</m:t>
                  </m:r>
                </m:sup>
              </m:sSup>
            </m:oMath>
          </w:p>
        </w:tc>
        <w:tc>
          <w:tcPr>
            <w:tcW w:w="1276" w:type="dxa"/>
            <w:tcBorders>
              <w:top w:val="single" w:sz="4" w:space="0" w:color="auto"/>
              <w:left w:val="nil"/>
              <w:bottom w:val="single" w:sz="4" w:space="0" w:color="auto"/>
              <w:right w:val="nil"/>
            </w:tcBorders>
            <w:shd w:val="clear" w:color="auto" w:fill="auto"/>
            <w:noWrap/>
            <w:vAlign w:val="bottom"/>
            <w:hideMark/>
          </w:tcPr>
          <w:p w14:paraId="555DF2A6"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 xml:space="preserve">Based on </w:t>
            </w:r>
            <m:oMath>
              <m:acc>
                <m:accPr>
                  <m:chr m:val="̃"/>
                  <m:ctrlPr>
                    <w:rPr>
                      <w:rFonts w:ascii="Cambria Math" w:eastAsiaTheme="minorEastAsia" w:hAnsi="Cambria Math" w:cs="Times New Roman"/>
                      <w:b/>
                      <w:bCs/>
                      <w:i/>
                      <w:color w:val="000000" w:themeColor="text1"/>
                      <w:sz w:val="24"/>
                      <w:szCs w:val="24"/>
                    </w:rPr>
                  </m:ctrlPr>
                </m:accPr>
                <m:e>
                  <m:r>
                    <m:rPr>
                      <m:sty m:val="bi"/>
                    </m:rPr>
                    <w:rPr>
                      <w:rFonts w:ascii="Cambria Math" w:eastAsiaTheme="minorEastAsia" w:hAnsi="Cambria Math" w:cs="Times New Roman"/>
                      <w:color w:val="000000" w:themeColor="text1"/>
                      <w:sz w:val="24"/>
                      <w:szCs w:val="24"/>
                    </w:rPr>
                    <m:t>β</m:t>
                  </m:r>
                </m:e>
              </m:acc>
            </m:oMath>
          </w:p>
        </w:tc>
        <w:tc>
          <w:tcPr>
            <w:tcW w:w="1417" w:type="dxa"/>
            <w:tcBorders>
              <w:top w:val="single" w:sz="4" w:space="0" w:color="auto"/>
              <w:left w:val="nil"/>
              <w:bottom w:val="single" w:sz="4" w:space="0" w:color="auto"/>
              <w:right w:val="nil"/>
            </w:tcBorders>
            <w:shd w:val="clear" w:color="auto" w:fill="auto"/>
            <w:noWrap/>
            <w:vAlign w:val="bottom"/>
            <w:hideMark/>
          </w:tcPr>
          <w:p w14:paraId="1032B096"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 xml:space="preserve">Based on </w:t>
            </w:r>
            <m:oMath>
              <m:sSup>
                <m:sSupPr>
                  <m:ctrlPr>
                    <w:rPr>
                      <w:rFonts w:ascii="Cambria Math" w:eastAsiaTheme="minorEastAsia" w:hAnsi="Cambria Math" w:cs="Times New Roman"/>
                      <w:b/>
                      <w:bCs/>
                      <w:i/>
                      <w:color w:val="000000" w:themeColor="text1"/>
                      <w:sz w:val="24"/>
                      <w:szCs w:val="24"/>
                    </w:rPr>
                  </m:ctrlPr>
                </m:sSupPr>
                <m:e>
                  <m:r>
                    <m:rPr>
                      <m:sty m:val="bi"/>
                    </m:rPr>
                    <w:rPr>
                      <w:rFonts w:ascii="Cambria Math" w:eastAsiaTheme="minorEastAsia" w:hAnsi="Cambria Math" w:cs="Times New Roman"/>
                      <w:color w:val="000000" w:themeColor="text1"/>
                      <w:sz w:val="24"/>
                      <w:szCs w:val="24"/>
                    </w:rPr>
                    <m:t>β</m:t>
                  </m:r>
                </m:e>
                <m:sup>
                  <m:r>
                    <m:rPr>
                      <m:sty m:val="bi"/>
                    </m:rPr>
                    <w:rPr>
                      <w:rFonts w:ascii="Cambria Math" w:eastAsiaTheme="minorEastAsia" w:hAnsi="Cambria Math" w:cs="Times New Roman"/>
                      <w:color w:val="000000" w:themeColor="text1"/>
                      <w:sz w:val="24"/>
                      <w:szCs w:val="24"/>
                    </w:rPr>
                    <m:t>*</m:t>
                  </m:r>
                </m:sup>
              </m:sSup>
            </m:oMath>
          </w:p>
        </w:tc>
        <w:tc>
          <w:tcPr>
            <w:tcW w:w="1276" w:type="dxa"/>
            <w:tcBorders>
              <w:top w:val="single" w:sz="4" w:space="0" w:color="auto"/>
              <w:left w:val="nil"/>
              <w:bottom w:val="single" w:sz="4" w:space="0" w:color="auto"/>
              <w:right w:val="nil"/>
            </w:tcBorders>
            <w:shd w:val="clear" w:color="auto" w:fill="auto"/>
            <w:noWrap/>
            <w:vAlign w:val="bottom"/>
            <w:hideMark/>
          </w:tcPr>
          <w:p w14:paraId="03AD32A7"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 xml:space="preserve">Based on </w:t>
            </w:r>
            <m:oMath>
              <m:acc>
                <m:accPr>
                  <m:chr m:val="̃"/>
                  <m:ctrlPr>
                    <w:rPr>
                      <w:rFonts w:ascii="Cambria Math" w:eastAsiaTheme="minorEastAsia" w:hAnsi="Cambria Math" w:cs="Times New Roman"/>
                      <w:b/>
                      <w:bCs/>
                      <w:i/>
                      <w:color w:val="000000" w:themeColor="text1"/>
                      <w:sz w:val="24"/>
                      <w:szCs w:val="24"/>
                    </w:rPr>
                  </m:ctrlPr>
                </m:accPr>
                <m:e>
                  <m:r>
                    <m:rPr>
                      <m:sty m:val="bi"/>
                    </m:rPr>
                    <w:rPr>
                      <w:rFonts w:ascii="Cambria Math" w:eastAsiaTheme="minorEastAsia" w:hAnsi="Cambria Math" w:cs="Times New Roman"/>
                      <w:color w:val="000000" w:themeColor="text1"/>
                      <w:sz w:val="24"/>
                      <w:szCs w:val="24"/>
                    </w:rPr>
                    <m:t>β</m:t>
                  </m:r>
                </m:e>
              </m:acc>
            </m:oMath>
          </w:p>
        </w:tc>
        <w:tc>
          <w:tcPr>
            <w:tcW w:w="1418" w:type="dxa"/>
            <w:tcBorders>
              <w:top w:val="single" w:sz="4" w:space="0" w:color="auto"/>
              <w:left w:val="nil"/>
              <w:bottom w:val="single" w:sz="4" w:space="0" w:color="auto"/>
              <w:right w:val="nil"/>
            </w:tcBorders>
            <w:shd w:val="clear" w:color="auto" w:fill="auto"/>
            <w:noWrap/>
            <w:vAlign w:val="bottom"/>
            <w:hideMark/>
          </w:tcPr>
          <w:p w14:paraId="267CE113"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 xml:space="preserve">Based on </w:t>
            </w:r>
            <m:oMath>
              <m:sSup>
                <m:sSupPr>
                  <m:ctrlPr>
                    <w:rPr>
                      <w:rFonts w:ascii="Cambria Math" w:eastAsiaTheme="minorEastAsia" w:hAnsi="Cambria Math" w:cs="Times New Roman"/>
                      <w:b/>
                      <w:bCs/>
                      <w:i/>
                      <w:color w:val="000000" w:themeColor="text1"/>
                      <w:sz w:val="24"/>
                      <w:szCs w:val="24"/>
                    </w:rPr>
                  </m:ctrlPr>
                </m:sSupPr>
                <m:e>
                  <m:r>
                    <m:rPr>
                      <m:sty m:val="bi"/>
                    </m:rPr>
                    <w:rPr>
                      <w:rFonts w:ascii="Cambria Math" w:eastAsiaTheme="minorEastAsia" w:hAnsi="Cambria Math" w:cs="Times New Roman"/>
                      <w:color w:val="000000" w:themeColor="text1"/>
                      <w:sz w:val="24"/>
                      <w:szCs w:val="24"/>
                    </w:rPr>
                    <m:t>β</m:t>
                  </m:r>
                </m:e>
                <m:sup>
                  <m:r>
                    <m:rPr>
                      <m:sty m:val="bi"/>
                    </m:rPr>
                    <w:rPr>
                      <w:rFonts w:ascii="Cambria Math" w:eastAsiaTheme="minorEastAsia" w:hAnsi="Cambria Math" w:cs="Times New Roman"/>
                      <w:color w:val="000000" w:themeColor="text1"/>
                      <w:sz w:val="24"/>
                      <w:szCs w:val="24"/>
                    </w:rPr>
                    <m:t>*</m:t>
                  </m:r>
                </m:sup>
              </m:sSup>
            </m:oMath>
          </w:p>
        </w:tc>
      </w:tr>
      <w:tr w:rsidR="00F166E9" w:rsidRPr="005F200E" w14:paraId="5CEB5693" w14:textId="77777777" w:rsidTr="00F166E9">
        <w:trPr>
          <w:trHeight w:val="300"/>
        </w:trPr>
        <w:tc>
          <w:tcPr>
            <w:tcW w:w="1560" w:type="dxa"/>
            <w:tcBorders>
              <w:top w:val="single" w:sz="4" w:space="0" w:color="auto"/>
              <w:left w:val="nil"/>
              <w:bottom w:val="single" w:sz="4" w:space="0" w:color="auto"/>
              <w:right w:val="nil"/>
            </w:tcBorders>
            <w:shd w:val="clear" w:color="auto" w:fill="auto"/>
            <w:noWrap/>
            <w:vAlign w:val="bottom"/>
            <w:hideMark/>
          </w:tcPr>
          <w:p w14:paraId="09A70969"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Data until 2022</w:t>
            </w:r>
          </w:p>
        </w:tc>
        <w:tc>
          <w:tcPr>
            <w:tcW w:w="1268" w:type="dxa"/>
            <w:tcBorders>
              <w:top w:val="single" w:sz="4" w:space="0" w:color="auto"/>
              <w:left w:val="nil"/>
              <w:bottom w:val="single" w:sz="4" w:space="0" w:color="auto"/>
              <w:right w:val="nil"/>
            </w:tcBorders>
            <w:vAlign w:val="center"/>
          </w:tcPr>
          <w:p w14:paraId="6820C002"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0.0547</w:t>
            </w:r>
          </w:p>
          <w:p w14:paraId="4B72F5C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[0.6012]</w:t>
            </w:r>
          </w:p>
        </w:tc>
        <w:tc>
          <w:tcPr>
            <w:tcW w:w="1134" w:type="dxa"/>
            <w:tcBorders>
              <w:top w:val="single" w:sz="4" w:space="0" w:color="auto"/>
              <w:left w:val="nil"/>
              <w:bottom w:val="single" w:sz="4" w:space="0" w:color="auto"/>
              <w:right w:val="nil"/>
            </w:tcBorders>
            <w:shd w:val="clear" w:color="auto" w:fill="auto"/>
            <w:noWrap/>
            <w:vAlign w:val="center"/>
            <w:hideMark/>
          </w:tcPr>
          <w:p w14:paraId="144BA019"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0.0610**</w:t>
            </w:r>
          </w:p>
          <w:p w14:paraId="3449998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[0.6920]</w:t>
            </w:r>
          </w:p>
        </w:tc>
        <w:tc>
          <w:tcPr>
            <w:tcW w:w="850" w:type="dxa"/>
            <w:tcBorders>
              <w:top w:val="single" w:sz="4" w:space="0" w:color="auto"/>
              <w:left w:val="nil"/>
              <w:bottom w:val="single" w:sz="4" w:space="0" w:color="auto"/>
              <w:right w:val="nil"/>
            </w:tcBorders>
            <w:shd w:val="clear" w:color="auto" w:fill="auto"/>
            <w:noWrap/>
            <w:vAlign w:val="center"/>
            <w:hideMark/>
          </w:tcPr>
          <w:p w14:paraId="06939D99"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0.0919</w:t>
            </w:r>
          </w:p>
        </w:tc>
        <w:tc>
          <w:tcPr>
            <w:tcW w:w="1276" w:type="dxa"/>
            <w:tcBorders>
              <w:top w:val="single" w:sz="4" w:space="0" w:color="auto"/>
              <w:left w:val="nil"/>
              <w:bottom w:val="single" w:sz="4" w:space="0" w:color="auto"/>
              <w:right w:val="nil"/>
            </w:tcBorders>
            <w:shd w:val="clear" w:color="auto" w:fill="auto"/>
            <w:noWrap/>
            <w:vAlign w:val="center"/>
            <w:hideMark/>
          </w:tcPr>
          <w:p w14:paraId="6811A9FB"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0.00129</w:t>
            </w:r>
          </w:p>
        </w:tc>
        <w:tc>
          <w:tcPr>
            <w:tcW w:w="1417" w:type="dxa"/>
            <w:tcBorders>
              <w:top w:val="nil"/>
              <w:left w:val="nil"/>
              <w:bottom w:val="single" w:sz="4" w:space="0" w:color="auto"/>
              <w:right w:val="nil"/>
            </w:tcBorders>
            <w:shd w:val="clear" w:color="auto" w:fill="auto"/>
            <w:noWrap/>
            <w:vAlign w:val="center"/>
            <w:hideMark/>
          </w:tcPr>
          <w:p w14:paraId="08B2F341"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0.00194</w:t>
            </w:r>
          </w:p>
        </w:tc>
        <w:tc>
          <w:tcPr>
            <w:tcW w:w="1276" w:type="dxa"/>
            <w:tcBorders>
              <w:top w:val="single" w:sz="4" w:space="0" w:color="auto"/>
              <w:left w:val="nil"/>
              <w:bottom w:val="single" w:sz="4" w:space="0" w:color="auto"/>
              <w:right w:val="nil"/>
            </w:tcBorders>
            <w:shd w:val="clear" w:color="auto" w:fill="auto"/>
            <w:noWrap/>
            <w:vAlign w:val="center"/>
            <w:hideMark/>
          </w:tcPr>
          <w:p w14:paraId="542ABBC2"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33,578 €</w:t>
            </w:r>
          </w:p>
        </w:tc>
        <w:tc>
          <w:tcPr>
            <w:tcW w:w="1418" w:type="dxa"/>
            <w:tcBorders>
              <w:top w:val="nil"/>
              <w:left w:val="nil"/>
              <w:bottom w:val="single" w:sz="4" w:space="0" w:color="auto"/>
              <w:right w:val="nil"/>
            </w:tcBorders>
            <w:shd w:val="clear" w:color="auto" w:fill="auto"/>
            <w:noWrap/>
            <w:vAlign w:val="center"/>
            <w:hideMark/>
          </w:tcPr>
          <w:p w14:paraId="0671F5B2" w14:textId="37E28FE4"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22,279 €</w:t>
            </w:r>
          </w:p>
        </w:tc>
      </w:tr>
      <w:tr w:rsidR="00F166E9" w:rsidRPr="005F200E" w14:paraId="13B9A1E0" w14:textId="77777777" w:rsidTr="00F166E9">
        <w:trPr>
          <w:trHeight w:val="300"/>
        </w:trPr>
        <w:tc>
          <w:tcPr>
            <w:tcW w:w="1560" w:type="dxa"/>
            <w:tcBorders>
              <w:top w:val="single" w:sz="4" w:space="0" w:color="auto"/>
              <w:left w:val="nil"/>
              <w:bottom w:val="single" w:sz="4" w:space="0" w:color="auto"/>
              <w:right w:val="nil"/>
            </w:tcBorders>
            <w:shd w:val="clear" w:color="auto" w:fill="auto"/>
            <w:noWrap/>
            <w:vAlign w:val="bottom"/>
            <w:hideMark/>
          </w:tcPr>
          <w:p w14:paraId="4B6525FC"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p>
        </w:tc>
        <w:tc>
          <w:tcPr>
            <w:tcW w:w="1268" w:type="dxa"/>
            <w:tcBorders>
              <w:top w:val="single" w:sz="4" w:space="0" w:color="auto"/>
              <w:left w:val="nil"/>
              <w:bottom w:val="single" w:sz="4" w:space="0" w:color="auto"/>
              <w:right w:val="nil"/>
            </w:tcBorders>
            <w:vAlign w:val="center"/>
          </w:tcPr>
          <w:p w14:paraId="026F138F" w14:textId="77777777" w:rsidR="00F166E9" w:rsidRPr="005F200E" w:rsidRDefault="00F166E9" w:rsidP="00794B9F">
            <w:pPr>
              <w:spacing w:after="0" w:line="480" w:lineRule="auto"/>
              <w:jc w:val="center"/>
              <w:rPr>
                <w:rFonts w:ascii="Times New Roman" w:eastAsia="Times New Roman" w:hAnsi="Times New Roman" w:cs="Times New Roman"/>
                <w:sz w:val="24"/>
                <w:szCs w:val="24"/>
                <w:lang w:eastAsia="es-ES"/>
              </w:rPr>
            </w:pPr>
          </w:p>
        </w:tc>
        <w:tc>
          <w:tcPr>
            <w:tcW w:w="1134" w:type="dxa"/>
            <w:tcBorders>
              <w:top w:val="single" w:sz="4" w:space="0" w:color="auto"/>
              <w:left w:val="nil"/>
              <w:bottom w:val="single" w:sz="4" w:space="0" w:color="auto"/>
              <w:right w:val="nil"/>
            </w:tcBorders>
            <w:shd w:val="clear" w:color="auto" w:fill="auto"/>
            <w:noWrap/>
            <w:vAlign w:val="center"/>
            <w:hideMark/>
          </w:tcPr>
          <w:p w14:paraId="7A4E14B6" w14:textId="77777777" w:rsidR="00F166E9" w:rsidRPr="005F200E" w:rsidRDefault="00F166E9" w:rsidP="00794B9F">
            <w:pPr>
              <w:spacing w:after="0" w:line="480" w:lineRule="auto"/>
              <w:jc w:val="center"/>
              <w:rPr>
                <w:rFonts w:ascii="Times New Roman" w:eastAsia="Times New Roman" w:hAnsi="Times New Roman" w:cs="Times New Roman"/>
                <w:sz w:val="24"/>
                <w:szCs w:val="24"/>
                <w:lang w:eastAsia="es-ES"/>
              </w:rPr>
            </w:pPr>
          </w:p>
        </w:tc>
        <w:tc>
          <w:tcPr>
            <w:tcW w:w="850" w:type="dxa"/>
            <w:tcBorders>
              <w:top w:val="single" w:sz="4" w:space="0" w:color="auto"/>
              <w:left w:val="nil"/>
              <w:bottom w:val="single" w:sz="4" w:space="0" w:color="auto"/>
              <w:right w:val="nil"/>
            </w:tcBorders>
            <w:shd w:val="clear" w:color="auto" w:fill="auto"/>
            <w:noWrap/>
            <w:vAlign w:val="center"/>
            <w:hideMark/>
          </w:tcPr>
          <w:p w14:paraId="207D7A11"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1276" w:type="dxa"/>
            <w:tcBorders>
              <w:top w:val="single" w:sz="4" w:space="0" w:color="auto"/>
              <w:left w:val="nil"/>
              <w:bottom w:val="single" w:sz="4" w:space="0" w:color="auto"/>
              <w:right w:val="nil"/>
            </w:tcBorders>
            <w:shd w:val="clear" w:color="auto" w:fill="auto"/>
            <w:noWrap/>
            <w:vAlign w:val="center"/>
            <w:hideMark/>
          </w:tcPr>
          <w:p w14:paraId="08C0909B"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1417" w:type="dxa"/>
            <w:tcBorders>
              <w:top w:val="single" w:sz="4" w:space="0" w:color="auto"/>
              <w:left w:val="nil"/>
              <w:bottom w:val="single" w:sz="4" w:space="0" w:color="auto"/>
              <w:right w:val="nil"/>
            </w:tcBorders>
            <w:shd w:val="clear" w:color="auto" w:fill="auto"/>
            <w:noWrap/>
            <w:vAlign w:val="center"/>
            <w:hideMark/>
          </w:tcPr>
          <w:p w14:paraId="5E784726"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1276" w:type="dxa"/>
            <w:tcBorders>
              <w:top w:val="single" w:sz="4" w:space="0" w:color="auto"/>
              <w:left w:val="nil"/>
              <w:bottom w:val="single" w:sz="4" w:space="0" w:color="auto"/>
              <w:right w:val="nil"/>
            </w:tcBorders>
            <w:shd w:val="clear" w:color="auto" w:fill="auto"/>
            <w:noWrap/>
            <w:vAlign w:val="center"/>
            <w:hideMark/>
          </w:tcPr>
          <w:p w14:paraId="474E698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1418" w:type="dxa"/>
            <w:tcBorders>
              <w:top w:val="single" w:sz="4" w:space="0" w:color="auto"/>
              <w:left w:val="nil"/>
              <w:bottom w:val="single" w:sz="4" w:space="0" w:color="auto"/>
              <w:right w:val="nil"/>
            </w:tcBorders>
            <w:shd w:val="clear" w:color="auto" w:fill="auto"/>
            <w:noWrap/>
            <w:vAlign w:val="center"/>
            <w:hideMark/>
          </w:tcPr>
          <w:p w14:paraId="26332906"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r>
      <w:tr w:rsidR="00F166E9" w:rsidRPr="005F200E" w14:paraId="0B8FF172" w14:textId="77777777" w:rsidTr="009A0867">
        <w:trPr>
          <w:trHeight w:val="300"/>
        </w:trPr>
        <w:tc>
          <w:tcPr>
            <w:tcW w:w="1560" w:type="dxa"/>
            <w:tcBorders>
              <w:top w:val="single" w:sz="4" w:space="0" w:color="auto"/>
              <w:left w:val="nil"/>
              <w:bottom w:val="nil"/>
              <w:right w:val="nil"/>
            </w:tcBorders>
            <w:shd w:val="clear" w:color="auto" w:fill="auto"/>
            <w:noWrap/>
            <w:vAlign w:val="bottom"/>
            <w:hideMark/>
          </w:tcPr>
          <w:p w14:paraId="5383C7EB"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Data until 2017</w:t>
            </w:r>
          </w:p>
        </w:tc>
        <w:tc>
          <w:tcPr>
            <w:tcW w:w="1268" w:type="dxa"/>
            <w:tcBorders>
              <w:top w:val="single" w:sz="4" w:space="0" w:color="auto"/>
              <w:left w:val="nil"/>
              <w:bottom w:val="nil"/>
              <w:right w:val="nil"/>
            </w:tcBorders>
            <w:vAlign w:val="center"/>
          </w:tcPr>
          <w:p w14:paraId="01996F65"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0.0714*</w:t>
            </w:r>
          </w:p>
          <w:p w14:paraId="7653342E"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[0.6537]</w:t>
            </w:r>
          </w:p>
        </w:tc>
        <w:tc>
          <w:tcPr>
            <w:tcW w:w="1134" w:type="dxa"/>
            <w:tcBorders>
              <w:top w:val="single" w:sz="4" w:space="0" w:color="auto"/>
              <w:left w:val="nil"/>
              <w:bottom w:val="nil"/>
              <w:right w:val="nil"/>
            </w:tcBorders>
            <w:shd w:val="clear" w:color="auto" w:fill="auto"/>
            <w:noWrap/>
            <w:vAlign w:val="center"/>
            <w:hideMark/>
          </w:tcPr>
          <w:p w14:paraId="7105B548"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0.0713***</w:t>
            </w:r>
          </w:p>
          <w:p w14:paraId="0308782E"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[0.7437]</w:t>
            </w:r>
          </w:p>
          <w:p w14:paraId="76F73B46"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850" w:type="dxa"/>
            <w:tcBorders>
              <w:top w:val="single" w:sz="4" w:space="0" w:color="auto"/>
              <w:left w:val="nil"/>
              <w:bottom w:val="nil"/>
              <w:right w:val="nil"/>
            </w:tcBorders>
            <w:shd w:val="clear" w:color="auto" w:fill="auto"/>
            <w:noWrap/>
            <w:vAlign w:val="center"/>
            <w:hideMark/>
          </w:tcPr>
          <w:p w14:paraId="05A9DFFA"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0.0711</w:t>
            </w:r>
          </w:p>
        </w:tc>
        <w:tc>
          <w:tcPr>
            <w:tcW w:w="1276" w:type="dxa"/>
            <w:tcBorders>
              <w:top w:val="single" w:sz="4" w:space="0" w:color="auto"/>
              <w:left w:val="nil"/>
              <w:bottom w:val="nil"/>
              <w:right w:val="nil"/>
            </w:tcBorders>
            <w:shd w:val="clear" w:color="auto" w:fill="auto"/>
            <w:noWrap/>
            <w:vAlign w:val="center"/>
            <w:hideMark/>
          </w:tcPr>
          <w:p w14:paraId="61022175"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0.00195</w:t>
            </w:r>
          </w:p>
        </w:tc>
        <w:tc>
          <w:tcPr>
            <w:tcW w:w="1417" w:type="dxa"/>
            <w:tcBorders>
              <w:top w:val="single" w:sz="4" w:space="0" w:color="auto"/>
              <w:left w:val="nil"/>
              <w:bottom w:val="nil"/>
              <w:right w:val="nil"/>
            </w:tcBorders>
            <w:shd w:val="clear" w:color="auto" w:fill="auto"/>
            <w:noWrap/>
            <w:vAlign w:val="center"/>
            <w:hideMark/>
          </w:tcPr>
          <w:p w14:paraId="29CA62B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0.00194</w:t>
            </w:r>
          </w:p>
        </w:tc>
        <w:tc>
          <w:tcPr>
            <w:tcW w:w="1276" w:type="dxa"/>
            <w:tcBorders>
              <w:top w:val="single" w:sz="4" w:space="0" w:color="auto"/>
              <w:left w:val="nil"/>
              <w:bottom w:val="nil"/>
              <w:right w:val="nil"/>
            </w:tcBorders>
            <w:shd w:val="clear" w:color="auto" w:fill="auto"/>
            <w:noWrap/>
            <w:vAlign w:val="center"/>
            <w:hideMark/>
          </w:tcPr>
          <w:p w14:paraId="5439DED2"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22,753 €</w:t>
            </w:r>
          </w:p>
        </w:tc>
        <w:tc>
          <w:tcPr>
            <w:tcW w:w="1418" w:type="dxa"/>
            <w:tcBorders>
              <w:top w:val="single" w:sz="4" w:space="0" w:color="auto"/>
              <w:left w:val="nil"/>
              <w:bottom w:val="nil"/>
              <w:right w:val="nil"/>
            </w:tcBorders>
            <w:shd w:val="clear" w:color="auto" w:fill="auto"/>
            <w:noWrap/>
            <w:vAlign w:val="center"/>
            <w:hideMark/>
          </w:tcPr>
          <w:p w14:paraId="4B25FE0C" w14:textId="483A4FF8"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22,814 €</w:t>
            </w:r>
          </w:p>
        </w:tc>
      </w:tr>
      <w:tr w:rsidR="00F166E9" w:rsidRPr="005F200E" w14:paraId="09CE1940" w14:textId="77777777" w:rsidTr="00FA4636">
        <w:trPr>
          <w:trHeight w:val="300"/>
        </w:trPr>
        <w:tc>
          <w:tcPr>
            <w:tcW w:w="1560" w:type="dxa"/>
            <w:tcBorders>
              <w:top w:val="nil"/>
              <w:left w:val="nil"/>
              <w:bottom w:val="nil"/>
              <w:right w:val="nil"/>
            </w:tcBorders>
            <w:shd w:val="clear" w:color="auto" w:fill="auto"/>
            <w:noWrap/>
            <w:vAlign w:val="bottom"/>
            <w:hideMark/>
          </w:tcPr>
          <w:p w14:paraId="2C2E6926"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Data until 2018</w:t>
            </w:r>
          </w:p>
        </w:tc>
        <w:tc>
          <w:tcPr>
            <w:tcW w:w="1268" w:type="dxa"/>
            <w:tcBorders>
              <w:top w:val="nil"/>
              <w:left w:val="nil"/>
              <w:bottom w:val="nil"/>
              <w:right w:val="nil"/>
            </w:tcBorders>
            <w:vAlign w:val="center"/>
          </w:tcPr>
          <w:p w14:paraId="0B849C44"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0.0778*</w:t>
            </w:r>
          </w:p>
          <w:p w14:paraId="796B9EC9"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[0.6933]</w:t>
            </w:r>
          </w:p>
        </w:tc>
        <w:tc>
          <w:tcPr>
            <w:tcW w:w="1134" w:type="dxa"/>
            <w:tcBorders>
              <w:top w:val="nil"/>
              <w:left w:val="nil"/>
              <w:bottom w:val="nil"/>
              <w:right w:val="nil"/>
            </w:tcBorders>
            <w:shd w:val="clear" w:color="auto" w:fill="auto"/>
            <w:noWrap/>
            <w:vAlign w:val="center"/>
            <w:hideMark/>
          </w:tcPr>
          <w:p w14:paraId="30B78D2A"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0.0763***</w:t>
            </w:r>
          </w:p>
          <w:p w14:paraId="0CAF5FC0"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[0.7694]</w:t>
            </w:r>
          </w:p>
          <w:p w14:paraId="3EF8F3E9"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850" w:type="dxa"/>
            <w:tcBorders>
              <w:top w:val="nil"/>
              <w:left w:val="nil"/>
              <w:bottom w:val="nil"/>
              <w:right w:val="nil"/>
            </w:tcBorders>
            <w:shd w:val="clear" w:color="auto" w:fill="auto"/>
            <w:noWrap/>
            <w:vAlign w:val="center"/>
            <w:hideMark/>
          </w:tcPr>
          <w:p w14:paraId="6FB1FD18"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0.0710</w:t>
            </w:r>
          </w:p>
        </w:tc>
        <w:tc>
          <w:tcPr>
            <w:tcW w:w="1276" w:type="dxa"/>
            <w:tcBorders>
              <w:top w:val="nil"/>
              <w:left w:val="nil"/>
              <w:bottom w:val="nil"/>
              <w:right w:val="nil"/>
            </w:tcBorders>
            <w:shd w:val="clear" w:color="auto" w:fill="auto"/>
            <w:noWrap/>
            <w:vAlign w:val="center"/>
            <w:hideMark/>
          </w:tcPr>
          <w:p w14:paraId="1A477E8D"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0.00202</w:t>
            </w:r>
          </w:p>
        </w:tc>
        <w:tc>
          <w:tcPr>
            <w:tcW w:w="1417" w:type="dxa"/>
            <w:tcBorders>
              <w:top w:val="nil"/>
              <w:left w:val="nil"/>
              <w:bottom w:val="nil"/>
              <w:right w:val="nil"/>
            </w:tcBorders>
            <w:shd w:val="clear" w:color="auto" w:fill="auto"/>
            <w:noWrap/>
            <w:vAlign w:val="center"/>
            <w:hideMark/>
          </w:tcPr>
          <w:p w14:paraId="43CEB260"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0.00188</w:t>
            </w:r>
          </w:p>
        </w:tc>
        <w:tc>
          <w:tcPr>
            <w:tcW w:w="1276" w:type="dxa"/>
            <w:tcBorders>
              <w:top w:val="nil"/>
              <w:left w:val="nil"/>
              <w:bottom w:val="nil"/>
              <w:right w:val="nil"/>
            </w:tcBorders>
            <w:shd w:val="clear" w:color="auto" w:fill="auto"/>
            <w:noWrap/>
            <w:vAlign w:val="center"/>
            <w:hideMark/>
          </w:tcPr>
          <w:p w14:paraId="6B9DEDD4"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21,808 €</w:t>
            </w:r>
          </w:p>
        </w:tc>
        <w:tc>
          <w:tcPr>
            <w:tcW w:w="1418" w:type="dxa"/>
            <w:tcBorders>
              <w:top w:val="nil"/>
              <w:left w:val="nil"/>
              <w:bottom w:val="nil"/>
              <w:right w:val="nil"/>
            </w:tcBorders>
            <w:shd w:val="clear" w:color="auto" w:fill="auto"/>
            <w:noWrap/>
            <w:vAlign w:val="center"/>
            <w:hideMark/>
          </w:tcPr>
          <w:p w14:paraId="24B9DFDE" w14:textId="1D1972CA"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23,416 €</w:t>
            </w:r>
          </w:p>
        </w:tc>
      </w:tr>
      <w:tr w:rsidR="00F166E9" w:rsidRPr="005F200E" w14:paraId="6603A4F9" w14:textId="77777777" w:rsidTr="00FA4636">
        <w:trPr>
          <w:trHeight w:val="300"/>
        </w:trPr>
        <w:tc>
          <w:tcPr>
            <w:tcW w:w="1560" w:type="dxa"/>
            <w:tcBorders>
              <w:top w:val="nil"/>
              <w:left w:val="nil"/>
              <w:bottom w:val="nil"/>
              <w:right w:val="nil"/>
            </w:tcBorders>
            <w:shd w:val="clear" w:color="auto" w:fill="auto"/>
            <w:noWrap/>
            <w:vAlign w:val="bottom"/>
            <w:hideMark/>
          </w:tcPr>
          <w:p w14:paraId="42AB584F"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Data until 2019</w:t>
            </w:r>
          </w:p>
        </w:tc>
        <w:tc>
          <w:tcPr>
            <w:tcW w:w="1268" w:type="dxa"/>
            <w:tcBorders>
              <w:top w:val="nil"/>
              <w:left w:val="nil"/>
              <w:bottom w:val="nil"/>
              <w:right w:val="nil"/>
            </w:tcBorders>
            <w:vAlign w:val="center"/>
          </w:tcPr>
          <w:p w14:paraId="4267A10C"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0.0637*</w:t>
            </w:r>
          </w:p>
          <w:p w14:paraId="1C9A14BD"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[0.6267]</w:t>
            </w:r>
          </w:p>
        </w:tc>
        <w:tc>
          <w:tcPr>
            <w:tcW w:w="1134" w:type="dxa"/>
            <w:tcBorders>
              <w:top w:val="nil"/>
              <w:left w:val="nil"/>
              <w:bottom w:val="nil"/>
              <w:right w:val="nil"/>
            </w:tcBorders>
            <w:shd w:val="clear" w:color="auto" w:fill="auto"/>
            <w:noWrap/>
            <w:vAlign w:val="center"/>
            <w:hideMark/>
          </w:tcPr>
          <w:p w14:paraId="5E1A6628"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0.0651**</w:t>
            </w:r>
          </w:p>
          <w:p w14:paraId="35CE0205"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[0.7064]</w:t>
            </w:r>
          </w:p>
          <w:p w14:paraId="3B304C7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850" w:type="dxa"/>
            <w:tcBorders>
              <w:top w:val="nil"/>
              <w:left w:val="nil"/>
              <w:bottom w:val="nil"/>
              <w:right w:val="nil"/>
            </w:tcBorders>
            <w:shd w:val="clear" w:color="auto" w:fill="auto"/>
            <w:noWrap/>
            <w:vAlign w:val="center"/>
            <w:hideMark/>
          </w:tcPr>
          <w:p w14:paraId="46F2321E"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0.0714</w:t>
            </w:r>
          </w:p>
        </w:tc>
        <w:tc>
          <w:tcPr>
            <w:tcW w:w="1276" w:type="dxa"/>
            <w:tcBorders>
              <w:top w:val="nil"/>
              <w:left w:val="nil"/>
              <w:bottom w:val="nil"/>
              <w:right w:val="nil"/>
            </w:tcBorders>
            <w:shd w:val="clear" w:color="auto" w:fill="auto"/>
            <w:noWrap/>
            <w:vAlign w:val="center"/>
            <w:hideMark/>
          </w:tcPr>
          <w:p w14:paraId="54798E4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0.00166</w:t>
            </w:r>
          </w:p>
        </w:tc>
        <w:tc>
          <w:tcPr>
            <w:tcW w:w="1417" w:type="dxa"/>
            <w:tcBorders>
              <w:top w:val="nil"/>
              <w:left w:val="nil"/>
              <w:bottom w:val="nil"/>
              <w:right w:val="nil"/>
            </w:tcBorders>
            <w:shd w:val="clear" w:color="auto" w:fill="auto"/>
            <w:noWrap/>
            <w:vAlign w:val="center"/>
            <w:hideMark/>
          </w:tcPr>
          <w:p w14:paraId="56540A6A"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0.00182</w:t>
            </w:r>
          </w:p>
        </w:tc>
        <w:tc>
          <w:tcPr>
            <w:tcW w:w="1276" w:type="dxa"/>
            <w:tcBorders>
              <w:top w:val="nil"/>
              <w:left w:val="nil"/>
              <w:bottom w:val="nil"/>
              <w:right w:val="nil"/>
            </w:tcBorders>
            <w:shd w:val="clear" w:color="auto" w:fill="auto"/>
            <w:noWrap/>
            <w:vAlign w:val="center"/>
            <w:hideMark/>
          </w:tcPr>
          <w:p w14:paraId="71206F6E"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26,465 €</w:t>
            </w:r>
          </w:p>
        </w:tc>
        <w:tc>
          <w:tcPr>
            <w:tcW w:w="1418" w:type="dxa"/>
            <w:tcBorders>
              <w:top w:val="nil"/>
              <w:left w:val="nil"/>
              <w:bottom w:val="nil"/>
              <w:right w:val="nil"/>
            </w:tcBorders>
            <w:shd w:val="clear" w:color="auto" w:fill="auto"/>
            <w:noWrap/>
            <w:vAlign w:val="center"/>
            <w:hideMark/>
          </w:tcPr>
          <w:p w14:paraId="045FB086" w14:textId="0E33CA2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24,118 €</w:t>
            </w:r>
          </w:p>
        </w:tc>
      </w:tr>
      <w:tr w:rsidR="00F166E9" w:rsidRPr="005F200E" w14:paraId="6E15ECF4" w14:textId="77777777" w:rsidTr="009A0867">
        <w:trPr>
          <w:trHeight w:val="300"/>
        </w:trPr>
        <w:tc>
          <w:tcPr>
            <w:tcW w:w="1560" w:type="dxa"/>
            <w:tcBorders>
              <w:top w:val="nil"/>
              <w:left w:val="nil"/>
              <w:right w:val="nil"/>
            </w:tcBorders>
            <w:shd w:val="clear" w:color="auto" w:fill="auto"/>
            <w:noWrap/>
            <w:vAlign w:val="bottom"/>
            <w:hideMark/>
          </w:tcPr>
          <w:p w14:paraId="34DCC950"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Data until 2020</w:t>
            </w:r>
          </w:p>
        </w:tc>
        <w:tc>
          <w:tcPr>
            <w:tcW w:w="1268" w:type="dxa"/>
            <w:tcBorders>
              <w:top w:val="nil"/>
              <w:left w:val="nil"/>
              <w:right w:val="nil"/>
            </w:tcBorders>
            <w:vAlign w:val="center"/>
          </w:tcPr>
          <w:p w14:paraId="1523C846"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0.0569*</w:t>
            </w:r>
          </w:p>
          <w:p w14:paraId="18C6E07A"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[0.6275]</w:t>
            </w:r>
          </w:p>
        </w:tc>
        <w:tc>
          <w:tcPr>
            <w:tcW w:w="1134" w:type="dxa"/>
            <w:tcBorders>
              <w:top w:val="nil"/>
              <w:left w:val="nil"/>
              <w:right w:val="nil"/>
            </w:tcBorders>
            <w:shd w:val="clear" w:color="auto" w:fill="auto"/>
            <w:noWrap/>
            <w:vAlign w:val="center"/>
            <w:hideMark/>
          </w:tcPr>
          <w:p w14:paraId="209E60E5"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0.0686**</w:t>
            </w:r>
          </w:p>
          <w:p w14:paraId="76F7E9FC"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[0.7048]</w:t>
            </w:r>
          </w:p>
          <w:p w14:paraId="1FD85C9D"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p>
        </w:tc>
        <w:tc>
          <w:tcPr>
            <w:tcW w:w="850" w:type="dxa"/>
            <w:tcBorders>
              <w:top w:val="nil"/>
              <w:left w:val="nil"/>
              <w:right w:val="nil"/>
            </w:tcBorders>
            <w:shd w:val="clear" w:color="auto" w:fill="auto"/>
            <w:noWrap/>
            <w:vAlign w:val="center"/>
            <w:hideMark/>
          </w:tcPr>
          <w:p w14:paraId="4A65B472"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0.1252</w:t>
            </w:r>
          </w:p>
        </w:tc>
        <w:tc>
          <w:tcPr>
            <w:tcW w:w="1276" w:type="dxa"/>
            <w:tcBorders>
              <w:top w:val="nil"/>
              <w:left w:val="nil"/>
              <w:right w:val="nil"/>
            </w:tcBorders>
            <w:shd w:val="clear" w:color="auto" w:fill="auto"/>
            <w:noWrap/>
            <w:vAlign w:val="center"/>
            <w:hideMark/>
          </w:tcPr>
          <w:p w14:paraId="3AC86935"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0.00169</w:t>
            </w:r>
          </w:p>
        </w:tc>
        <w:tc>
          <w:tcPr>
            <w:tcW w:w="1417" w:type="dxa"/>
            <w:tcBorders>
              <w:top w:val="nil"/>
              <w:left w:val="nil"/>
              <w:right w:val="nil"/>
            </w:tcBorders>
            <w:shd w:val="clear" w:color="auto" w:fill="auto"/>
            <w:noWrap/>
            <w:vAlign w:val="center"/>
            <w:hideMark/>
          </w:tcPr>
          <w:p w14:paraId="3578F065"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0.00308</w:t>
            </w:r>
          </w:p>
        </w:tc>
        <w:tc>
          <w:tcPr>
            <w:tcW w:w="1276" w:type="dxa"/>
            <w:tcBorders>
              <w:top w:val="nil"/>
              <w:left w:val="nil"/>
              <w:right w:val="nil"/>
            </w:tcBorders>
            <w:shd w:val="clear" w:color="auto" w:fill="auto"/>
            <w:noWrap/>
            <w:vAlign w:val="center"/>
            <w:hideMark/>
          </w:tcPr>
          <w:p w14:paraId="7BAB19DF"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26,093 €</w:t>
            </w:r>
          </w:p>
        </w:tc>
        <w:tc>
          <w:tcPr>
            <w:tcW w:w="1418" w:type="dxa"/>
            <w:tcBorders>
              <w:top w:val="nil"/>
              <w:left w:val="nil"/>
              <w:right w:val="nil"/>
            </w:tcBorders>
            <w:shd w:val="clear" w:color="auto" w:fill="auto"/>
            <w:noWrap/>
            <w:vAlign w:val="center"/>
            <w:hideMark/>
          </w:tcPr>
          <w:p w14:paraId="6E0C6F47" w14:textId="490DB319"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14,285 €</w:t>
            </w:r>
          </w:p>
        </w:tc>
      </w:tr>
      <w:tr w:rsidR="00F166E9" w:rsidRPr="005F200E" w14:paraId="1F38E1F0" w14:textId="77777777" w:rsidTr="009A0867">
        <w:trPr>
          <w:trHeight w:val="300"/>
        </w:trPr>
        <w:tc>
          <w:tcPr>
            <w:tcW w:w="1560" w:type="dxa"/>
            <w:tcBorders>
              <w:top w:val="nil"/>
              <w:left w:val="nil"/>
              <w:bottom w:val="single" w:sz="4" w:space="0" w:color="auto"/>
              <w:right w:val="nil"/>
            </w:tcBorders>
            <w:shd w:val="clear" w:color="auto" w:fill="auto"/>
            <w:noWrap/>
            <w:vAlign w:val="bottom"/>
            <w:hideMark/>
          </w:tcPr>
          <w:p w14:paraId="5A3037B6" w14:textId="77777777" w:rsidR="00F166E9" w:rsidRPr="005F200E" w:rsidRDefault="00F166E9" w:rsidP="00794B9F">
            <w:pPr>
              <w:spacing w:after="0" w:line="480" w:lineRule="auto"/>
              <w:jc w:val="center"/>
              <w:rPr>
                <w:rFonts w:ascii="Times New Roman" w:eastAsia="Times New Roman" w:hAnsi="Times New Roman" w:cs="Times New Roman"/>
                <w:b/>
                <w:color w:val="000000"/>
                <w:sz w:val="24"/>
                <w:szCs w:val="24"/>
                <w:lang w:eastAsia="es-ES"/>
              </w:rPr>
            </w:pPr>
            <w:r w:rsidRPr="005F200E">
              <w:rPr>
                <w:rFonts w:ascii="Times New Roman" w:eastAsia="Times New Roman" w:hAnsi="Times New Roman" w:cs="Times New Roman"/>
                <w:b/>
                <w:color w:val="000000"/>
                <w:sz w:val="24"/>
                <w:szCs w:val="24"/>
                <w:lang w:eastAsia="es-ES"/>
              </w:rPr>
              <w:t>Data until 2021</w:t>
            </w:r>
          </w:p>
        </w:tc>
        <w:tc>
          <w:tcPr>
            <w:tcW w:w="1268" w:type="dxa"/>
            <w:tcBorders>
              <w:top w:val="nil"/>
              <w:left w:val="nil"/>
              <w:bottom w:val="single" w:sz="4" w:space="0" w:color="auto"/>
              <w:right w:val="nil"/>
            </w:tcBorders>
            <w:vAlign w:val="center"/>
          </w:tcPr>
          <w:p w14:paraId="06D630B0"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0.0576</w:t>
            </w:r>
          </w:p>
          <w:p w14:paraId="6216952B"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[0.6116]</w:t>
            </w:r>
          </w:p>
        </w:tc>
        <w:tc>
          <w:tcPr>
            <w:tcW w:w="1134" w:type="dxa"/>
            <w:tcBorders>
              <w:top w:val="nil"/>
              <w:left w:val="nil"/>
              <w:bottom w:val="single" w:sz="4" w:space="0" w:color="auto"/>
              <w:right w:val="nil"/>
            </w:tcBorders>
            <w:shd w:val="clear" w:color="auto" w:fill="auto"/>
            <w:noWrap/>
            <w:vAlign w:val="center"/>
            <w:hideMark/>
          </w:tcPr>
          <w:p w14:paraId="17658C88"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0.0643**</w:t>
            </w:r>
          </w:p>
          <w:p w14:paraId="2DCD0530"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[0.6914]</w:t>
            </w:r>
          </w:p>
        </w:tc>
        <w:tc>
          <w:tcPr>
            <w:tcW w:w="850" w:type="dxa"/>
            <w:tcBorders>
              <w:top w:val="nil"/>
              <w:left w:val="nil"/>
              <w:bottom w:val="single" w:sz="4" w:space="0" w:color="auto"/>
              <w:right w:val="nil"/>
            </w:tcBorders>
            <w:shd w:val="clear" w:color="auto" w:fill="auto"/>
            <w:noWrap/>
            <w:vAlign w:val="center"/>
            <w:hideMark/>
          </w:tcPr>
          <w:p w14:paraId="2D4CDCBA"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0.1000</w:t>
            </w:r>
          </w:p>
        </w:tc>
        <w:tc>
          <w:tcPr>
            <w:tcW w:w="1276" w:type="dxa"/>
            <w:tcBorders>
              <w:top w:val="nil"/>
              <w:left w:val="nil"/>
              <w:bottom w:val="single" w:sz="4" w:space="0" w:color="auto"/>
              <w:right w:val="nil"/>
            </w:tcBorders>
            <w:shd w:val="clear" w:color="auto" w:fill="auto"/>
            <w:noWrap/>
            <w:vAlign w:val="center"/>
            <w:hideMark/>
          </w:tcPr>
          <w:p w14:paraId="78BCA0B0"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0.00140</w:t>
            </w:r>
          </w:p>
        </w:tc>
        <w:tc>
          <w:tcPr>
            <w:tcW w:w="1417" w:type="dxa"/>
            <w:tcBorders>
              <w:top w:val="nil"/>
              <w:left w:val="nil"/>
              <w:bottom w:val="single" w:sz="4" w:space="0" w:color="auto"/>
              <w:right w:val="nil"/>
            </w:tcBorders>
            <w:shd w:val="clear" w:color="auto" w:fill="auto"/>
            <w:noWrap/>
            <w:vAlign w:val="center"/>
            <w:hideMark/>
          </w:tcPr>
          <w:p w14:paraId="776D66F6"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0.00217</w:t>
            </w:r>
          </w:p>
        </w:tc>
        <w:tc>
          <w:tcPr>
            <w:tcW w:w="1276" w:type="dxa"/>
            <w:tcBorders>
              <w:top w:val="nil"/>
              <w:left w:val="nil"/>
              <w:bottom w:val="single" w:sz="4" w:space="0" w:color="auto"/>
              <w:right w:val="nil"/>
            </w:tcBorders>
            <w:shd w:val="clear" w:color="auto" w:fill="auto"/>
            <w:noWrap/>
            <w:vAlign w:val="center"/>
            <w:hideMark/>
          </w:tcPr>
          <w:p w14:paraId="3B13E247" w14:textId="77777777"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30,595 €</w:t>
            </w:r>
          </w:p>
        </w:tc>
        <w:tc>
          <w:tcPr>
            <w:tcW w:w="1418" w:type="dxa"/>
            <w:tcBorders>
              <w:top w:val="nil"/>
              <w:left w:val="nil"/>
              <w:bottom w:val="single" w:sz="4" w:space="0" w:color="auto"/>
              <w:right w:val="nil"/>
            </w:tcBorders>
            <w:shd w:val="clear" w:color="auto" w:fill="auto"/>
            <w:noWrap/>
            <w:vAlign w:val="center"/>
            <w:hideMark/>
          </w:tcPr>
          <w:p w14:paraId="04DCA1D4" w14:textId="6CD270DA" w:rsidR="00F166E9" w:rsidRPr="005F200E" w:rsidRDefault="00F166E9" w:rsidP="00794B9F">
            <w:pPr>
              <w:spacing w:after="0" w:line="480" w:lineRule="auto"/>
              <w:jc w:val="center"/>
              <w:rPr>
                <w:rFonts w:ascii="Times New Roman" w:eastAsia="Times New Roman" w:hAnsi="Times New Roman" w:cs="Times New Roman"/>
                <w:color w:val="000000"/>
                <w:sz w:val="24"/>
                <w:szCs w:val="24"/>
                <w:lang w:eastAsia="es-ES"/>
              </w:rPr>
            </w:pPr>
            <w:r w:rsidRPr="005F200E">
              <w:rPr>
                <w:rFonts w:ascii="Times New Roman" w:eastAsia="Times New Roman" w:hAnsi="Times New Roman" w:cs="Times New Roman"/>
                <w:color w:val="000000"/>
                <w:sz w:val="24"/>
                <w:szCs w:val="24"/>
                <w:lang w:eastAsia="es-ES"/>
              </w:rPr>
              <w:t>19,681 €</w:t>
            </w:r>
          </w:p>
        </w:tc>
      </w:tr>
    </w:tbl>
    <w:p w14:paraId="1E9FE316" w14:textId="4457E588" w:rsidR="00F166E9" w:rsidRPr="005F200E" w:rsidRDefault="00F166E9" w:rsidP="00794B9F">
      <w:pPr>
        <w:spacing w:after="120" w:line="480" w:lineRule="auto"/>
        <w:rPr>
          <w:rFonts w:ascii="Times New Roman" w:eastAsiaTheme="minorEastAsia" w:hAnsi="Times New Roman" w:cs="Times New Roman"/>
          <w:bCs/>
          <w:color w:val="000000" w:themeColor="text1"/>
          <w:sz w:val="24"/>
          <w:szCs w:val="24"/>
        </w:rPr>
      </w:pPr>
      <w:r w:rsidRPr="005F200E">
        <w:rPr>
          <w:rFonts w:ascii="Times New Roman" w:hAnsi="Times New Roman" w:cs="Times New Roman"/>
          <w:sz w:val="24"/>
          <w:szCs w:val="24"/>
          <w:lang w:val="en-US"/>
        </w:rPr>
        <w:t>Note:</w:t>
      </w:r>
      <m:oMath>
        <m:r>
          <w:rPr>
            <w:rFonts w:ascii="Cambria Math" w:eastAsiaTheme="minorEastAsia" w:hAnsi="Cambria Math" w:cs="Times New Roman"/>
            <w:color w:val="000000" w:themeColor="text1"/>
            <w:sz w:val="24"/>
            <w:szCs w:val="24"/>
          </w:rPr>
          <m:t xml:space="preserve"> </m:t>
        </m:r>
        <m:acc>
          <m:accPr>
            <m:chr m:val="̇"/>
            <m:ctrlPr>
              <w:rPr>
                <w:rFonts w:ascii="Cambria Math" w:eastAsiaTheme="minorEastAsia" w:hAnsi="Cambria Math" w:cs="Times New Roman"/>
                <w:bCs/>
                <w:color w:val="000000" w:themeColor="text1"/>
                <w:sz w:val="24"/>
                <w:szCs w:val="24"/>
                <w:lang w:val="en-US"/>
              </w:rPr>
            </m:ctrlPr>
          </m:accPr>
          <m:e>
            <m:r>
              <w:rPr>
                <w:rFonts w:ascii="Cambria Math" w:eastAsiaTheme="minorEastAsia" w:hAnsi="Cambria Math" w:cs="Times New Roman"/>
                <w:color w:val="000000" w:themeColor="text1"/>
                <w:sz w:val="24"/>
                <w:szCs w:val="24"/>
                <w:lang w:val="en-US"/>
              </w:rPr>
              <m:t>β</m:t>
            </m:r>
          </m:e>
        </m:acc>
      </m:oMath>
      <w:r w:rsidRPr="005F200E">
        <w:rPr>
          <w:rFonts w:ascii="Times New Roman" w:eastAsiaTheme="minorEastAsia" w:hAnsi="Times New Roman" w:cs="Times New Roman"/>
          <w:bCs/>
          <w:color w:val="000000" w:themeColor="text1"/>
          <w:sz w:val="24"/>
          <w:szCs w:val="24"/>
          <w:lang w:val="en-US"/>
        </w:rPr>
        <w:t xml:space="preserve"> is the estimate of</w:t>
      </w:r>
      <w:r w:rsidRPr="005F200E">
        <w:rPr>
          <w:rFonts w:ascii="Times New Roman" w:hAnsi="Times New Roman" w:cs="Times New Roman"/>
          <w:sz w:val="24"/>
          <w:szCs w:val="24"/>
        </w:rPr>
        <w:t xml:space="preserve"> </w:t>
      </w:r>
      <w:r w:rsidRPr="005F200E">
        <w:rPr>
          <w:rFonts w:ascii="Cambria Math" w:eastAsiaTheme="minorEastAsia" w:hAnsi="Cambria Math" w:cs="Cambria Math"/>
          <w:bCs/>
          <w:color w:val="000000" w:themeColor="text1"/>
          <w:sz w:val="24"/>
          <w:szCs w:val="24"/>
          <w:lang w:val="en-US"/>
        </w:rPr>
        <w:t>𝛽</w:t>
      </w:r>
      <w:r w:rsidRPr="005F200E">
        <w:rPr>
          <w:rFonts w:ascii="Times New Roman" w:eastAsiaTheme="minorEastAsia" w:hAnsi="Times New Roman" w:cs="Times New Roman"/>
          <w:bCs/>
          <w:color w:val="000000" w:themeColor="text1"/>
          <w:sz w:val="24"/>
          <w:szCs w:val="24"/>
          <w:lang w:val="en-US"/>
        </w:rPr>
        <w:t xml:space="preserve"> from the uncontrolled fixed-effects regression, </w:t>
      </w:r>
      <m:oMath>
        <m:acc>
          <m:accPr>
            <m:chr m:val="̃"/>
            <m:ctrlPr>
              <w:rPr>
                <w:rFonts w:ascii="Cambria Math" w:eastAsiaTheme="minorEastAsia" w:hAnsi="Cambria Math" w:cs="Times New Roman"/>
                <w:bCs/>
                <w:color w:val="000000" w:themeColor="text1"/>
                <w:sz w:val="24"/>
                <w:szCs w:val="24"/>
                <w:lang w:val="en-US"/>
              </w:rPr>
            </m:ctrlPr>
          </m:accPr>
          <m:e>
            <m:r>
              <w:rPr>
                <w:rFonts w:ascii="Cambria Math" w:eastAsiaTheme="minorEastAsia" w:hAnsi="Cambria Math" w:cs="Times New Roman"/>
                <w:color w:val="000000" w:themeColor="text1"/>
                <w:sz w:val="24"/>
                <w:szCs w:val="24"/>
                <w:lang w:val="en-US"/>
              </w:rPr>
              <m:t>β</m:t>
            </m:r>
          </m:e>
        </m:acc>
      </m:oMath>
      <w:r w:rsidRPr="005F200E">
        <w:rPr>
          <w:rFonts w:ascii="Times New Roman" w:eastAsiaTheme="minorEastAsia" w:hAnsi="Times New Roman" w:cs="Times New Roman"/>
          <w:b/>
          <w:bCs/>
          <w:color w:val="000000" w:themeColor="text1"/>
          <w:sz w:val="24"/>
          <w:szCs w:val="24"/>
        </w:rPr>
        <w:t xml:space="preserve"> </w:t>
      </w:r>
      <w:r w:rsidRPr="005F200E">
        <w:rPr>
          <w:rFonts w:ascii="Times New Roman" w:eastAsiaTheme="minorEastAsia" w:hAnsi="Times New Roman" w:cs="Times New Roman"/>
          <w:bCs/>
          <w:color w:val="000000" w:themeColor="text1"/>
          <w:sz w:val="24"/>
          <w:szCs w:val="24"/>
        </w:rPr>
        <w:t xml:space="preserve">is the </w:t>
      </w:r>
      <w:r w:rsidRPr="005F200E">
        <w:rPr>
          <w:rFonts w:ascii="Times New Roman" w:eastAsiaTheme="minorEastAsia" w:hAnsi="Times New Roman" w:cs="Times New Roman"/>
          <w:bCs/>
          <w:color w:val="000000" w:themeColor="text1"/>
          <w:sz w:val="24"/>
          <w:szCs w:val="24"/>
          <w:lang w:val="en-US"/>
        </w:rPr>
        <w:t xml:space="preserve">estimate of </w:t>
      </w:r>
      <w:r w:rsidRPr="005F200E">
        <w:rPr>
          <w:rFonts w:ascii="Cambria Math" w:eastAsiaTheme="minorEastAsia" w:hAnsi="Cambria Math" w:cs="Cambria Math"/>
          <w:bCs/>
          <w:color w:val="000000" w:themeColor="text1"/>
          <w:sz w:val="24"/>
          <w:szCs w:val="24"/>
          <w:lang w:val="es-ES"/>
        </w:rPr>
        <w:t>𝛽</w:t>
      </w:r>
      <w:r w:rsidRPr="005F200E">
        <w:rPr>
          <w:rFonts w:ascii="Times New Roman" w:eastAsiaTheme="minorEastAsia" w:hAnsi="Times New Roman" w:cs="Times New Roman"/>
          <w:bCs/>
          <w:color w:val="000000" w:themeColor="text1"/>
          <w:sz w:val="24"/>
          <w:szCs w:val="24"/>
          <w:lang w:val="en-US"/>
        </w:rPr>
        <w:t xml:space="preserve"> from the controlled fixed-effects regression; </w:t>
      </w:r>
      <m:oMath>
        <m:sSup>
          <m:sSupPr>
            <m:ctrlPr>
              <w:rPr>
                <w:rFonts w:ascii="Cambria Math" w:eastAsiaTheme="minorEastAsia" w:hAnsi="Cambria Math" w:cs="Times New Roman"/>
                <w:bCs/>
                <w:i/>
                <w:color w:val="000000" w:themeColor="text1"/>
                <w:sz w:val="24"/>
                <w:szCs w:val="24"/>
              </w:rPr>
            </m:ctrlPr>
          </m:sSupPr>
          <m:e>
            <m:r>
              <w:rPr>
                <w:rFonts w:ascii="Cambria Math" w:eastAsiaTheme="minorEastAsia" w:hAnsi="Cambria Math" w:cs="Times New Roman"/>
                <w:color w:val="000000" w:themeColor="text1"/>
                <w:sz w:val="24"/>
                <w:szCs w:val="24"/>
              </w:rPr>
              <m:t>β</m:t>
            </m:r>
          </m:e>
          <m:sup>
            <m:r>
              <w:rPr>
                <w:rFonts w:ascii="Cambria Math" w:eastAsiaTheme="minorEastAsia" w:hAnsi="Cambria Math" w:cs="Times New Roman"/>
                <w:color w:val="000000" w:themeColor="text1"/>
                <w:sz w:val="24"/>
                <w:szCs w:val="24"/>
              </w:rPr>
              <m:t>*</m:t>
            </m:r>
          </m:sup>
        </m:sSup>
      </m:oMath>
      <w:r w:rsidRPr="005F200E">
        <w:rPr>
          <w:rFonts w:ascii="Times New Roman" w:eastAsiaTheme="minorEastAsia" w:hAnsi="Times New Roman" w:cs="Times New Roman"/>
          <w:bCs/>
          <w:color w:val="000000" w:themeColor="text1"/>
          <w:sz w:val="24"/>
          <w:szCs w:val="24"/>
        </w:rPr>
        <w:t xml:space="preserve"> is the bias-corrected coefficient estimated following the method proposed by Oster (assuming </w:t>
      </w:r>
      <m:oMath>
        <m:r>
          <w:rPr>
            <w:rFonts w:ascii="Cambria Math" w:eastAsiaTheme="minorEastAsia" w:hAnsi="Cambria Math" w:cs="Times New Roman"/>
            <w:color w:val="000000" w:themeColor="text1"/>
            <w:sz w:val="24"/>
            <w:szCs w:val="24"/>
          </w:rPr>
          <m:t>δ</m:t>
        </m:r>
        <m:r>
          <m:rPr>
            <m:sty m:val="p"/>
          </m:rPr>
          <w:rPr>
            <w:rFonts w:ascii="Cambria Math" w:eastAsiaTheme="minorEastAsia" w:hAnsi="Cambria Math" w:cs="Times New Roman"/>
            <w:color w:val="000000" w:themeColor="text1"/>
            <w:sz w:val="24"/>
            <w:szCs w:val="24"/>
          </w:rPr>
          <m:t xml:space="preserve">=1 </m:t>
        </m:r>
      </m:oMath>
      <w:r w:rsidRPr="005F200E">
        <w:rPr>
          <w:rFonts w:ascii="Times New Roman" w:eastAsiaTheme="minorEastAsia" w:hAnsi="Times New Roman" w:cs="Times New Roman"/>
          <w:bCs/>
          <w:color w:val="000000" w:themeColor="text1"/>
          <w:sz w:val="24"/>
          <w:szCs w:val="24"/>
        </w:rPr>
        <w:t xml:space="preserve">and </w:t>
      </w:r>
      <m:oMath>
        <m:sSub>
          <m:sSubPr>
            <m:ctrlPr>
              <w:rPr>
                <w:rFonts w:ascii="Cambria Math" w:eastAsiaTheme="minorEastAsia" w:hAnsi="Cambria Math" w:cs="Times New Roman"/>
                <w:bCs/>
                <w:color w:val="000000" w:themeColor="text1"/>
                <w:sz w:val="24"/>
                <w:szCs w:val="24"/>
              </w:rPr>
            </m:ctrlPr>
          </m:sSubPr>
          <m:e>
            <m:r>
              <w:rPr>
                <w:rFonts w:ascii="Cambria Math" w:eastAsiaTheme="minorEastAsia" w:hAnsi="Cambria Math" w:cs="Times New Roman"/>
                <w:color w:val="000000" w:themeColor="text1"/>
                <w:sz w:val="24"/>
                <w:szCs w:val="24"/>
              </w:rPr>
              <m:t>R</m:t>
            </m:r>
          </m:e>
          <m:sub>
            <m:r>
              <w:rPr>
                <w:rFonts w:ascii="Cambria Math" w:eastAsiaTheme="minorEastAsia" w:hAnsi="Cambria Math" w:cs="Times New Roman"/>
                <w:color w:val="000000" w:themeColor="text1"/>
                <w:sz w:val="24"/>
                <w:szCs w:val="24"/>
              </w:rPr>
              <m:t>max</m:t>
            </m:r>
          </m:sub>
        </m:sSub>
        <m:r>
          <m:rPr>
            <m:sty m:val="p"/>
          </m:rPr>
          <w:rPr>
            <w:rFonts w:ascii="Cambria Math" w:eastAsiaTheme="minorEastAsia" w:hAnsi="Cambria Math" w:cs="Times New Roman"/>
            <w:color w:val="000000" w:themeColor="text1"/>
            <w:sz w:val="24"/>
            <w:szCs w:val="24"/>
          </w:rPr>
          <m:t>=1</m:t>
        </m:r>
      </m:oMath>
      <w:r w:rsidR="005D1CE7" w:rsidRPr="005F200E">
        <w:rPr>
          <w:rFonts w:ascii="Times New Roman" w:eastAsiaTheme="minorEastAsia" w:hAnsi="Times New Roman" w:cs="Times New Roman"/>
          <w:color w:val="000000" w:themeColor="text1"/>
          <w:sz w:val="24"/>
          <w:szCs w:val="24"/>
        </w:rPr>
        <w:t xml:space="preserve">, and using the </w:t>
      </w:r>
      <w:r w:rsidR="005D1CE7" w:rsidRPr="005F200E">
        <w:rPr>
          <w:rFonts w:ascii="Times New Roman" w:eastAsiaTheme="minorEastAsia" w:hAnsi="Times New Roman" w:cs="Times New Roman"/>
          <w:i/>
          <w:color w:val="000000" w:themeColor="text1"/>
          <w:sz w:val="24"/>
          <w:szCs w:val="24"/>
        </w:rPr>
        <w:t>psacalc</w:t>
      </w:r>
      <w:r w:rsidR="005D1CE7" w:rsidRPr="005F200E">
        <w:rPr>
          <w:rFonts w:ascii="Times New Roman" w:eastAsiaTheme="minorEastAsia" w:hAnsi="Times New Roman" w:cs="Times New Roman"/>
          <w:color w:val="000000" w:themeColor="text1"/>
          <w:sz w:val="24"/>
          <w:szCs w:val="24"/>
        </w:rPr>
        <w:t xml:space="preserve"> command in STATA</w:t>
      </w:r>
      <w:r w:rsidRPr="005F200E">
        <w:rPr>
          <w:rFonts w:ascii="Times New Roman" w:eastAsiaTheme="minorEastAsia" w:hAnsi="Times New Roman" w:cs="Times New Roman"/>
          <w:bCs/>
          <w:color w:val="000000" w:themeColor="text1"/>
          <w:sz w:val="24"/>
          <w:szCs w:val="24"/>
        </w:rPr>
        <w:t>).</w:t>
      </w:r>
      <w:r w:rsidRPr="005F200E">
        <w:rPr>
          <w:rFonts w:ascii="Times New Roman" w:hAnsi="Times New Roman" w:cs="Times New Roman"/>
          <w:sz w:val="24"/>
          <w:szCs w:val="24"/>
          <w:lang w:val="en-US"/>
        </w:rPr>
        <w:t xml:space="preserve"> </w:t>
      </w:r>
      <w:r w:rsidRPr="005F200E">
        <w:rPr>
          <w:rFonts w:ascii="Times New Roman" w:eastAsiaTheme="minorEastAsia" w:hAnsi="Times New Roman" w:cs="Times New Roman"/>
          <w:bCs/>
          <w:color w:val="000000" w:themeColor="text1"/>
          <w:sz w:val="24"/>
          <w:szCs w:val="24"/>
        </w:rPr>
        <w:t xml:space="preserve">Clustered standard errors by regions were used. </w:t>
      </w:r>
      <w:r w:rsidRPr="005F200E">
        <w:rPr>
          <w:rFonts w:ascii="Cambria Math" w:eastAsiaTheme="minorEastAsia" w:hAnsi="Cambria Math" w:cs="Cambria Math"/>
          <w:bCs/>
          <w:color w:val="000000" w:themeColor="text1"/>
          <w:sz w:val="24"/>
          <w:szCs w:val="24"/>
        </w:rPr>
        <w:t>∗</w:t>
      </w:r>
      <w:r w:rsidRPr="005F200E">
        <w:rPr>
          <w:rFonts w:ascii="Times New Roman" w:eastAsiaTheme="minorEastAsia" w:hAnsi="Times New Roman" w:cs="Times New Roman"/>
          <w:bCs/>
          <w:color w:val="000000" w:themeColor="text1"/>
          <w:sz w:val="24"/>
          <w:szCs w:val="24"/>
        </w:rPr>
        <w:t xml:space="preserve">P &lt; 0.10, </w:t>
      </w:r>
      <w:r w:rsidRPr="005F200E">
        <w:rPr>
          <w:rFonts w:ascii="Cambria Math" w:eastAsiaTheme="minorEastAsia" w:hAnsi="Cambria Math" w:cs="Cambria Math"/>
          <w:bCs/>
          <w:color w:val="000000" w:themeColor="text1"/>
          <w:sz w:val="24"/>
          <w:szCs w:val="24"/>
        </w:rPr>
        <w:t>∗∗</w:t>
      </w:r>
      <w:r w:rsidRPr="005F200E">
        <w:rPr>
          <w:rFonts w:ascii="Times New Roman" w:eastAsiaTheme="minorEastAsia" w:hAnsi="Times New Roman" w:cs="Times New Roman"/>
          <w:bCs/>
          <w:color w:val="000000" w:themeColor="text1"/>
          <w:sz w:val="24"/>
          <w:szCs w:val="24"/>
        </w:rPr>
        <w:t xml:space="preserve">P &lt; 0.05, </w:t>
      </w:r>
      <w:r w:rsidRPr="005F200E">
        <w:rPr>
          <w:rFonts w:ascii="Cambria Math" w:eastAsiaTheme="minorEastAsia" w:hAnsi="Cambria Math" w:cs="Cambria Math"/>
          <w:bCs/>
          <w:color w:val="000000" w:themeColor="text1"/>
          <w:sz w:val="24"/>
          <w:szCs w:val="24"/>
        </w:rPr>
        <w:t>∗∗∗</w:t>
      </w:r>
      <w:r w:rsidRPr="005F200E">
        <w:rPr>
          <w:rFonts w:ascii="Times New Roman" w:eastAsiaTheme="minorEastAsia" w:hAnsi="Times New Roman" w:cs="Times New Roman"/>
          <w:bCs/>
          <w:color w:val="000000" w:themeColor="text1"/>
          <w:sz w:val="24"/>
          <w:szCs w:val="24"/>
        </w:rPr>
        <w:t>P &lt; 0.01.</w:t>
      </w:r>
    </w:p>
    <w:p w14:paraId="1F9D196F" w14:textId="77777777" w:rsidR="00C928A2" w:rsidRPr="005F200E" w:rsidRDefault="00C928A2" w:rsidP="00790687">
      <w:pPr>
        <w:spacing w:line="480" w:lineRule="auto"/>
        <w:jc w:val="both"/>
        <w:rPr>
          <w:rFonts w:ascii="Times New Roman" w:hAnsi="Times New Roman" w:cs="Times New Roman"/>
          <w:b/>
          <w:bCs/>
          <w:sz w:val="24"/>
          <w:szCs w:val="24"/>
        </w:rPr>
      </w:pPr>
    </w:p>
    <w:sectPr w:rsidR="00C928A2" w:rsidRPr="005F200E" w:rsidSect="00F166E9">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C2CBB" w14:textId="77777777" w:rsidR="00B7166B" w:rsidRDefault="00B7166B" w:rsidP="00AF2BFE">
      <w:pPr>
        <w:spacing w:after="0" w:line="240" w:lineRule="auto"/>
      </w:pPr>
      <w:r>
        <w:separator/>
      </w:r>
    </w:p>
  </w:endnote>
  <w:endnote w:type="continuationSeparator" w:id="0">
    <w:p w14:paraId="37769D9E" w14:textId="77777777" w:rsidR="00B7166B" w:rsidRDefault="00B7166B" w:rsidP="00AF2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456315"/>
      <w:docPartObj>
        <w:docPartGallery w:val="Page Numbers (Bottom of Page)"/>
        <w:docPartUnique/>
      </w:docPartObj>
    </w:sdtPr>
    <w:sdtEndPr/>
    <w:sdtContent>
      <w:p w14:paraId="4A5E25B1" w14:textId="656C498D" w:rsidR="00C50A2A" w:rsidRDefault="00C50A2A">
        <w:pPr>
          <w:pStyle w:val="Footer"/>
          <w:jc w:val="right"/>
        </w:pPr>
        <w:r>
          <w:fldChar w:fldCharType="begin"/>
        </w:r>
        <w:r>
          <w:instrText>PAGE   \* MERGEFORMAT</w:instrText>
        </w:r>
        <w:r>
          <w:fldChar w:fldCharType="separate"/>
        </w:r>
        <w:r>
          <w:rPr>
            <w:lang w:val="es-ES"/>
          </w:rPr>
          <w:t>2</w:t>
        </w:r>
        <w:r>
          <w:fldChar w:fldCharType="end"/>
        </w:r>
      </w:p>
    </w:sdtContent>
  </w:sdt>
  <w:p w14:paraId="58A0B601" w14:textId="77777777" w:rsidR="00C50A2A" w:rsidRDefault="00C50A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7C5C5" w14:textId="77777777" w:rsidR="00B7166B" w:rsidRDefault="00B7166B" w:rsidP="00AF2BFE">
      <w:pPr>
        <w:spacing w:after="0" w:line="240" w:lineRule="auto"/>
      </w:pPr>
      <w:r>
        <w:separator/>
      </w:r>
    </w:p>
  </w:footnote>
  <w:footnote w:type="continuationSeparator" w:id="0">
    <w:p w14:paraId="305AAB0E" w14:textId="77777777" w:rsidR="00B7166B" w:rsidRDefault="00B7166B" w:rsidP="00AF2B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80355"/>
    <w:multiLevelType w:val="hybridMultilevel"/>
    <w:tmpl w:val="072EAE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6A1925"/>
    <w:multiLevelType w:val="multilevel"/>
    <w:tmpl w:val="05AE5D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60326CF"/>
    <w:multiLevelType w:val="multilevel"/>
    <w:tmpl w:val="8CFE7CC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C601B2"/>
    <w:multiLevelType w:val="hybridMultilevel"/>
    <w:tmpl w:val="82C671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1E15CAC"/>
    <w:multiLevelType w:val="hybridMultilevel"/>
    <w:tmpl w:val="0DAE2E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16D54D3"/>
    <w:multiLevelType w:val="multilevel"/>
    <w:tmpl w:val="F7A040A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D239CB"/>
    <w:multiLevelType w:val="hybridMultilevel"/>
    <w:tmpl w:val="3BB8673C"/>
    <w:lvl w:ilvl="0" w:tplc="2A5EDB72">
      <w:start w:val="2"/>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628396C"/>
    <w:multiLevelType w:val="hybridMultilevel"/>
    <w:tmpl w:val="3A6251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9557996"/>
    <w:multiLevelType w:val="multilevel"/>
    <w:tmpl w:val="C696F7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2461BE6"/>
    <w:multiLevelType w:val="hybridMultilevel"/>
    <w:tmpl w:val="0EBEE9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E51CF7"/>
    <w:multiLevelType w:val="hybridMultilevel"/>
    <w:tmpl w:val="D5A0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856413"/>
    <w:multiLevelType w:val="multilevel"/>
    <w:tmpl w:val="E904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1B245F"/>
    <w:multiLevelType w:val="multilevel"/>
    <w:tmpl w:val="187250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FB5A8C"/>
    <w:multiLevelType w:val="multilevel"/>
    <w:tmpl w:val="EBB666D6"/>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6C6C2EFA"/>
    <w:multiLevelType w:val="hybridMultilevel"/>
    <w:tmpl w:val="40DA7C5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D163843"/>
    <w:multiLevelType w:val="hybridMultilevel"/>
    <w:tmpl w:val="CEAE80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A9F6F3D"/>
    <w:multiLevelType w:val="hybridMultilevel"/>
    <w:tmpl w:val="40DA7C5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9"/>
  </w:num>
  <w:num w:numId="5">
    <w:abstractNumId w:val="16"/>
  </w:num>
  <w:num w:numId="6">
    <w:abstractNumId w:val="14"/>
  </w:num>
  <w:num w:numId="7">
    <w:abstractNumId w:val="13"/>
  </w:num>
  <w:num w:numId="8">
    <w:abstractNumId w:val="11"/>
  </w:num>
  <w:num w:numId="9">
    <w:abstractNumId w:val="7"/>
  </w:num>
  <w:num w:numId="10">
    <w:abstractNumId w:val="3"/>
  </w:num>
  <w:num w:numId="11">
    <w:abstractNumId w:val="1"/>
  </w:num>
  <w:num w:numId="12">
    <w:abstractNumId w:val="4"/>
  </w:num>
  <w:num w:numId="13">
    <w:abstractNumId w:val="0"/>
  </w:num>
  <w:num w:numId="14">
    <w:abstractNumId w:val="15"/>
  </w:num>
  <w:num w:numId="15">
    <w:abstractNumId w:val="6"/>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74"/>
    <w:rsid w:val="0000094A"/>
    <w:rsid w:val="00001627"/>
    <w:rsid w:val="00003C22"/>
    <w:rsid w:val="00004F9E"/>
    <w:rsid w:val="0000745B"/>
    <w:rsid w:val="00013254"/>
    <w:rsid w:val="00022F34"/>
    <w:rsid w:val="0002394F"/>
    <w:rsid w:val="00023D6B"/>
    <w:rsid w:val="00025E71"/>
    <w:rsid w:val="000314B6"/>
    <w:rsid w:val="00047739"/>
    <w:rsid w:val="00063989"/>
    <w:rsid w:val="00066435"/>
    <w:rsid w:val="00070A0D"/>
    <w:rsid w:val="0007449C"/>
    <w:rsid w:val="00075D13"/>
    <w:rsid w:val="00075E10"/>
    <w:rsid w:val="00080284"/>
    <w:rsid w:val="00080606"/>
    <w:rsid w:val="0008431E"/>
    <w:rsid w:val="0008508D"/>
    <w:rsid w:val="00092A2E"/>
    <w:rsid w:val="00094321"/>
    <w:rsid w:val="0009600B"/>
    <w:rsid w:val="000978D3"/>
    <w:rsid w:val="000A04D5"/>
    <w:rsid w:val="000A687E"/>
    <w:rsid w:val="000B50E8"/>
    <w:rsid w:val="000B6C48"/>
    <w:rsid w:val="000C2DA9"/>
    <w:rsid w:val="000C3581"/>
    <w:rsid w:val="000C3D6F"/>
    <w:rsid w:val="000C5C8C"/>
    <w:rsid w:val="000D1094"/>
    <w:rsid w:val="000D251F"/>
    <w:rsid w:val="000D366C"/>
    <w:rsid w:val="000D5C88"/>
    <w:rsid w:val="000D6E5A"/>
    <w:rsid w:val="000E16AE"/>
    <w:rsid w:val="000E29D1"/>
    <w:rsid w:val="000E29E2"/>
    <w:rsid w:val="000E5586"/>
    <w:rsid w:val="000E5FD7"/>
    <w:rsid w:val="000F1B28"/>
    <w:rsid w:val="000F6B4D"/>
    <w:rsid w:val="000F6C3E"/>
    <w:rsid w:val="001000DB"/>
    <w:rsid w:val="00104A42"/>
    <w:rsid w:val="00111FD5"/>
    <w:rsid w:val="00113A08"/>
    <w:rsid w:val="00117801"/>
    <w:rsid w:val="00121C2D"/>
    <w:rsid w:val="001220E1"/>
    <w:rsid w:val="001227B3"/>
    <w:rsid w:val="00124593"/>
    <w:rsid w:val="00130847"/>
    <w:rsid w:val="0013214E"/>
    <w:rsid w:val="001330AE"/>
    <w:rsid w:val="00134D26"/>
    <w:rsid w:val="00141AB5"/>
    <w:rsid w:val="00147C15"/>
    <w:rsid w:val="00150690"/>
    <w:rsid w:val="0015405E"/>
    <w:rsid w:val="00154CAA"/>
    <w:rsid w:val="00155B2D"/>
    <w:rsid w:val="00155DF5"/>
    <w:rsid w:val="00164C2A"/>
    <w:rsid w:val="00167D22"/>
    <w:rsid w:val="001725A5"/>
    <w:rsid w:val="0017468C"/>
    <w:rsid w:val="00181724"/>
    <w:rsid w:val="0018278E"/>
    <w:rsid w:val="001857F5"/>
    <w:rsid w:val="00187476"/>
    <w:rsid w:val="00191EE8"/>
    <w:rsid w:val="00194034"/>
    <w:rsid w:val="0019428B"/>
    <w:rsid w:val="00196500"/>
    <w:rsid w:val="001A1414"/>
    <w:rsid w:val="001A285D"/>
    <w:rsid w:val="001A5C31"/>
    <w:rsid w:val="001A678F"/>
    <w:rsid w:val="001B5269"/>
    <w:rsid w:val="001B596E"/>
    <w:rsid w:val="001B60C4"/>
    <w:rsid w:val="001C3E7C"/>
    <w:rsid w:val="001C6BC5"/>
    <w:rsid w:val="001C6E59"/>
    <w:rsid w:val="001D3306"/>
    <w:rsid w:val="001D3BCA"/>
    <w:rsid w:val="001D40DB"/>
    <w:rsid w:val="001D4A17"/>
    <w:rsid w:val="001D61DC"/>
    <w:rsid w:val="001E24B1"/>
    <w:rsid w:val="001E55F4"/>
    <w:rsid w:val="001E6CDB"/>
    <w:rsid w:val="001F0542"/>
    <w:rsid w:val="001F3BF8"/>
    <w:rsid w:val="001F50B4"/>
    <w:rsid w:val="001F5D58"/>
    <w:rsid w:val="001F6663"/>
    <w:rsid w:val="002020C6"/>
    <w:rsid w:val="00203D78"/>
    <w:rsid w:val="00204D64"/>
    <w:rsid w:val="002068CF"/>
    <w:rsid w:val="002102F7"/>
    <w:rsid w:val="00211BDF"/>
    <w:rsid w:val="00213506"/>
    <w:rsid w:val="00213C77"/>
    <w:rsid w:val="002155CA"/>
    <w:rsid w:val="00223060"/>
    <w:rsid w:val="00225CF0"/>
    <w:rsid w:val="00231BF0"/>
    <w:rsid w:val="0023630A"/>
    <w:rsid w:val="00247B3A"/>
    <w:rsid w:val="002519D6"/>
    <w:rsid w:val="00253A7E"/>
    <w:rsid w:val="00256592"/>
    <w:rsid w:val="002607D4"/>
    <w:rsid w:val="002636DD"/>
    <w:rsid w:val="00271414"/>
    <w:rsid w:val="002716DE"/>
    <w:rsid w:val="00275A5E"/>
    <w:rsid w:val="00275F91"/>
    <w:rsid w:val="00277084"/>
    <w:rsid w:val="00277BA9"/>
    <w:rsid w:val="00286FE9"/>
    <w:rsid w:val="00295C81"/>
    <w:rsid w:val="002B700C"/>
    <w:rsid w:val="002B7209"/>
    <w:rsid w:val="002B73DB"/>
    <w:rsid w:val="002C23E6"/>
    <w:rsid w:val="002C6EFD"/>
    <w:rsid w:val="002C75AD"/>
    <w:rsid w:val="002E00DB"/>
    <w:rsid w:val="002E5475"/>
    <w:rsid w:val="002F79A2"/>
    <w:rsid w:val="00302B98"/>
    <w:rsid w:val="003068E4"/>
    <w:rsid w:val="00311BEE"/>
    <w:rsid w:val="00311E80"/>
    <w:rsid w:val="00314AEB"/>
    <w:rsid w:val="00327F23"/>
    <w:rsid w:val="0033014D"/>
    <w:rsid w:val="00330A87"/>
    <w:rsid w:val="00335ED0"/>
    <w:rsid w:val="00337CC2"/>
    <w:rsid w:val="00350B2A"/>
    <w:rsid w:val="00354DAB"/>
    <w:rsid w:val="00356ED8"/>
    <w:rsid w:val="003575E8"/>
    <w:rsid w:val="003619B5"/>
    <w:rsid w:val="0037066C"/>
    <w:rsid w:val="003717AE"/>
    <w:rsid w:val="00372E39"/>
    <w:rsid w:val="00373322"/>
    <w:rsid w:val="00377797"/>
    <w:rsid w:val="0038028C"/>
    <w:rsid w:val="0038102C"/>
    <w:rsid w:val="003825B5"/>
    <w:rsid w:val="00390424"/>
    <w:rsid w:val="00392E9C"/>
    <w:rsid w:val="003A136C"/>
    <w:rsid w:val="003A1F74"/>
    <w:rsid w:val="003A2267"/>
    <w:rsid w:val="003A4D66"/>
    <w:rsid w:val="003A5FA6"/>
    <w:rsid w:val="003B1CAE"/>
    <w:rsid w:val="003B53A4"/>
    <w:rsid w:val="003B62D4"/>
    <w:rsid w:val="003C7E34"/>
    <w:rsid w:val="003D3799"/>
    <w:rsid w:val="003D4BF4"/>
    <w:rsid w:val="003D7371"/>
    <w:rsid w:val="003E0EEF"/>
    <w:rsid w:val="003E203C"/>
    <w:rsid w:val="003E50C2"/>
    <w:rsid w:val="003E72B5"/>
    <w:rsid w:val="003E730C"/>
    <w:rsid w:val="003F2112"/>
    <w:rsid w:val="003F4704"/>
    <w:rsid w:val="00401AAC"/>
    <w:rsid w:val="00401CF2"/>
    <w:rsid w:val="00402C58"/>
    <w:rsid w:val="00403396"/>
    <w:rsid w:val="00404454"/>
    <w:rsid w:val="00404DAB"/>
    <w:rsid w:val="00405608"/>
    <w:rsid w:val="00405FBD"/>
    <w:rsid w:val="00407541"/>
    <w:rsid w:val="0041006F"/>
    <w:rsid w:val="00410C2F"/>
    <w:rsid w:val="00413059"/>
    <w:rsid w:val="004147EA"/>
    <w:rsid w:val="0041493E"/>
    <w:rsid w:val="00414AF3"/>
    <w:rsid w:val="004176BD"/>
    <w:rsid w:val="00420485"/>
    <w:rsid w:val="00420A6B"/>
    <w:rsid w:val="00424AD9"/>
    <w:rsid w:val="0042516A"/>
    <w:rsid w:val="00426025"/>
    <w:rsid w:val="00426D81"/>
    <w:rsid w:val="0043270F"/>
    <w:rsid w:val="004403D8"/>
    <w:rsid w:val="00442631"/>
    <w:rsid w:val="004443E0"/>
    <w:rsid w:val="0044571F"/>
    <w:rsid w:val="00450368"/>
    <w:rsid w:val="00456317"/>
    <w:rsid w:val="00460894"/>
    <w:rsid w:val="00460D61"/>
    <w:rsid w:val="00460E7A"/>
    <w:rsid w:val="00461147"/>
    <w:rsid w:val="00466850"/>
    <w:rsid w:val="00467A66"/>
    <w:rsid w:val="0047393E"/>
    <w:rsid w:val="0047478B"/>
    <w:rsid w:val="00476CB5"/>
    <w:rsid w:val="00483161"/>
    <w:rsid w:val="004848EE"/>
    <w:rsid w:val="004907FB"/>
    <w:rsid w:val="00490813"/>
    <w:rsid w:val="00490B82"/>
    <w:rsid w:val="00490D53"/>
    <w:rsid w:val="004916E5"/>
    <w:rsid w:val="004963D5"/>
    <w:rsid w:val="004A371F"/>
    <w:rsid w:val="004B2347"/>
    <w:rsid w:val="004B3764"/>
    <w:rsid w:val="004B4387"/>
    <w:rsid w:val="004B61A0"/>
    <w:rsid w:val="004C01DB"/>
    <w:rsid w:val="004C06C5"/>
    <w:rsid w:val="004C32A8"/>
    <w:rsid w:val="004C3C3F"/>
    <w:rsid w:val="004C4B82"/>
    <w:rsid w:val="004D156F"/>
    <w:rsid w:val="004E01F7"/>
    <w:rsid w:val="004E0386"/>
    <w:rsid w:val="004E0A5B"/>
    <w:rsid w:val="004F09D6"/>
    <w:rsid w:val="004F1326"/>
    <w:rsid w:val="004F46C8"/>
    <w:rsid w:val="004F53C8"/>
    <w:rsid w:val="004F7CA0"/>
    <w:rsid w:val="00503E1E"/>
    <w:rsid w:val="005048D0"/>
    <w:rsid w:val="00504D87"/>
    <w:rsid w:val="00507711"/>
    <w:rsid w:val="005113B8"/>
    <w:rsid w:val="00513B62"/>
    <w:rsid w:val="005211FC"/>
    <w:rsid w:val="005215BB"/>
    <w:rsid w:val="00522C9A"/>
    <w:rsid w:val="00525596"/>
    <w:rsid w:val="00530C84"/>
    <w:rsid w:val="005352FB"/>
    <w:rsid w:val="0054141B"/>
    <w:rsid w:val="0054287F"/>
    <w:rsid w:val="0054763F"/>
    <w:rsid w:val="005476B6"/>
    <w:rsid w:val="00547718"/>
    <w:rsid w:val="00552040"/>
    <w:rsid w:val="005555EE"/>
    <w:rsid w:val="005634ED"/>
    <w:rsid w:val="00564ABA"/>
    <w:rsid w:val="00564B56"/>
    <w:rsid w:val="0056509C"/>
    <w:rsid w:val="00567FF2"/>
    <w:rsid w:val="0057059C"/>
    <w:rsid w:val="005751DE"/>
    <w:rsid w:val="00577512"/>
    <w:rsid w:val="005776E4"/>
    <w:rsid w:val="00581A05"/>
    <w:rsid w:val="00585A58"/>
    <w:rsid w:val="0058651F"/>
    <w:rsid w:val="00586780"/>
    <w:rsid w:val="005876E6"/>
    <w:rsid w:val="005943D0"/>
    <w:rsid w:val="0059768C"/>
    <w:rsid w:val="005A020E"/>
    <w:rsid w:val="005A2B49"/>
    <w:rsid w:val="005A494E"/>
    <w:rsid w:val="005A67B7"/>
    <w:rsid w:val="005B7E86"/>
    <w:rsid w:val="005C7903"/>
    <w:rsid w:val="005D0032"/>
    <w:rsid w:val="005D1CE7"/>
    <w:rsid w:val="005D65A2"/>
    <w:rsid w:val="005D7CC6"/>
    <w:rsid w:val="005D7D6F"/>
    <w:rsid w:val="005E1B94"/>
    <w:rsid w:val="005E5F1D"/>
    <w:rsid w:val="005F200E"/>
    <w:rsid w:val="005F22F9"/>
    <w:rsid w:val="005F2C26"/>
    <w:rsid w:val="00601F37"/>
    <w:rsid w:val="00617D94"/>
    <w:rsid w:val="006229B5"/>
    <w:rsid w:val="00625CD8"/>
    <w:rsid w:val="006276DA"/>
    <w:rsid w:val="00633D1E"/>
    <w:rsid w:val="00644DE5"/>
    <w:rsid w:val="00645583"/>
    <w:rsid w:val="006463A2"/>
    <w:rsid w:val="00651643"/>
    <w:rsid w:val="00653E49"/>
    <w:rsid w:val="0066324F"/>
    <w:rsid w:val="00672EB8"/>
    <w:rsid w:val="00675CEF"/>
    <w:rsid w:val="00675D68"/>
    <w:rsid w:val="00677F69"/>
    <w:rsid w:val="006810A8"/>
    <w:rsid w:val="006838A8"/>
    <w:rsid w:val="00683A13"/>
    <w:rsid w:val="006850D7"/>
    <w:rsid w:val="006854DD"/>
    <w:rsid w:val="00690476"/>
    <w:rsid w:val="00697AEC"/>
    <w:rsid w:val="006A1C8A"/>
    <w:rsid w:val="006A2893"/>
    <w:rsid w:val="006A57EB"/>
    <w:rsid w:val="006A6EF9"/>
    <w:rsid w:val="006B4C70"/>
    <w:rsid w:val="006C008B"/>
    <w:rsid w:val="006C60A7"/>
    <w:rsid w:val="006C60EA"/>
    <w:rsid w:val="006C7452"/>
    <w:rsid w:val="006C7F55"/>
    <w:rsid w:val="006D2975"/>
    <w:rsid w:val="006D3692"/>
    <w:rsid w:val="006D423E"/>
    <w:rsid w:val="006D5B2D"/>
    <w:rsid w:val="006E31AE"/>
    <w:rsid w:val="006E392E"/>
    <w:rsid w:val="006E624A"/>
    <w:rsid w:val="006E7206"/>
    <w:rsid w:val="006F2C9D"/>
    <w:rsid w:val="006F3BEE"/>
    <w:rsid w:val="006F6EA7"/>
    <w:rsid w:val="006F7F2A"/>
    <w:rsid w:val="0070165C"/>
    <w:rsid w:val="00710C93"/>
    <w:rsid w:val="00716CD9"/>
    <w:rsid w:val="00720148"/>
    <w:rsid w:val="00721374"/>
    <w:rsid w:val="00725095"/>
    <w:rsid w:val="0072669F"/>
    <w:rsid w:val="0072781E"/>
    <w:rsid w:val="0073013E"/>
    <w:rsid w:val="00733006"/>
    <w:rsid w:val="007341DF"/>
    <w:rsid w:val="00736BCF"/>
    <w:rsid w:val="00737F59"/>
    <w:rsid w:val="0074262D"/>
    <w:rsid w:val="007430D4"/>
    <w:rsid w:val="00744201"/>
    <w:rsid w:val="0074501D"/>
    <w:rsid w:val="0074677E"/>
    <w:rsid w:val="00757BA8"/>
    <w:rsid w:val="007612C6"/>
    <w:rsid w:val="007651DB"/>
    <w:rsid w:val="00765822"/>
    <w:rsid w:val="00770338"/>
    <w:rsid w:val="00772EAF"/>
    <w:rsid w:val="00775905"/>
    <w:rsid w:val="00776C63"/>
    <w:rsid w:val="007800C9"/>
    <w:rsid w:val="007814BC"/>
    <w:rsid w:val="0078392D"/>
    <w:rsid w:val="00790687"/>
    <w:rsid w:val="00792981"/>
    <w:rsid w:val="00793C43"/>
    <w:rsid w:val="00794B9F"/>
    <w:rsid w:val="00794EAA"/>
    <w:rsid w:val="00797342"/>
    <w:rsid w:val="007A1487"/>
    <w:rsid w:val="007A1D42"/>
    <w:rsid w:val="007A3284"/>
    <w:rsid w:val="007A38A7"/>
    <w:rsid w:val="007A46FC"/>
    <w:rsid w:val="007B048B"/>
    <w:rsid w:val="007B14A5"/>
    <w:rsid w:val="007B5E38"/>
    <w:rsid w:val="007C11E4"/>
    <w:rsid w:val="007C1408"/>
    <w:rsid w:val="007C4B46"/>
    <w:rsid w:val="007D1048"/>
    <w:rsid w:val="007D36D5"/>
    <w:rsid w:val="007D69C4"/>
    <w:rsid w:val="007E0C88"/>
    <w:rsid w:val="007E1FF1"/>
    <w:rsid w:val="007E3944"/>
    <w:rsid w:val="007E494B"/>
    <w:rsid w:val="007E4EB1"/>
    <w:rsid w:val="007F064F"/>
    <w:rsid w:val="007F12D7"/>
    <w:rsid w:val="007F413A"/>
    <w:rsid w:val="007F49C3"/>
    <w:rsid w:val="007F5262"/>
    <w:rsid w:val="007F5F4F"/>
    <w:rsid w:val="007F78ED"/>
    <w:rsid w:val="00804007"/>
    <w:rsid w:val="00812A16"/>
    <w:rsid w:val="00814FD5"/>
    <w:rsid w:val="00820524"/>
    <w:rsid w:val="008220EA"/>
    <w:rsid w:val="00843988"/>
    <w:rsid w:val="008467C9"/>
    <w:rsid w:val="00856F70"/>
    <w:rsid w:val="00860D23"/>
    <w:rsid w:val="0086154B"/>
    <w:rsid w:val="008716CE"/>
    <w:rsid w:val="00883833"/>
    <w:rsid w:val="008852C3"/>
    <w:rsid w:val="00885C8C"/>
    <w:rsid w:val="008871DC"/>
    <w:rsid w:val="00890E64"/>
    <w:rsid w:val="0089148F"/>
    <w:rsid w:val="00893A94"/>
    <w:rsid w:val="00896A97"/>
    <w:rsid w:val="008976BE"/>
    <w:rsid w:val="008A0952"/>
    <w:rsid w:val="008A3485"/>
    <w:rsid w:val="008A697D"/>
    <w:rsid w:val="008B1BDB"/>
    <w:rsid w:val="008B4015"/>
    <w:rsid w:val="008B4E43"/>
    <w:rsid w:val="008B57CE"/>
    <w:rsid w:val="008B5AA9"/>
    <w:rsid w:val="008C3A47"/>
    <w:rsid w:val="008C4F7B"/>
    <w:rsid w:val="008D176B"/>
    <w:rsid w:val="008D2FA5"/>
    <w:rsid w:val="008D67F7"/>
    <w:rsid w:val="008E2076"/>
    <w:rsid w:val="008E49FD"/>
    <w:rsid w:val="008F521E"/>
    <w:rsid w:val="008F5EB7"/>
    <w:rsid w:val="008F7D49"/>
    <w:rsid w:val="009123BF"/>
    <w:rsid w:val="00914010"/>
    <w:rsid w:val="009152C5"/>
    <w:rsid w:val="00915E8A"/>
    <w:rsid w:val="00917296"/>
    <w:rsid w:val="00917C63"/>
    <w:rsid w:val="00921E82"/>
    <w:rsid w:val="00925533"/>
    <w:rsid w:val="009266F2"/>
    <w:rsid w:val="00927437"/>
    <w:rsid w:val="0093589A"/>
    <w:rsid w:val="0093613A"/>
    <w:rsid w:val="00936906"/>
    <w:rsid w:val="00937CB0"/>
    <w:rsid w:val="00941650"/>
    <w:rsid w:val="00944D8F"/>
    <w:rsid w:val="00946E8D"/>
    <w:rsid w:val="00950A33"/>
    <w:rsid w:val="00950A86"/>
    <w:rsid w:val="00951C29"/>
    <w:rsid w:val="00954625"/>
    <w:rsid w:val="0095791B"/>
    <w:rsid w:val="009617AF"/>
    <w:rsid w:val="009623ED"/>
    <w:rsid w:val="00963AA9"/>
    <w:rsid w:val="009676B0"/>
    <w:rsid w:val="009678DF"/>
    <w:rsid w:val="00967A88"/>
    <w:rsid w:val="00972DD8"/>
    <w:rsid w:val="00974B02"/>
    <w:rsid w:val="009825DA"/>
    <w:rsid w:val="00983BD2"/>
    <w:rsid w:val="009875C1"/>
    <w:rsid w:val="00991095"/>
    <w:rsid w:val="00992303"/>
    <w:rsid w:val="009A0867"/>
    <w:rsid w:val="009A1991"/>
    <w:rsid w:val="009A1AAE"/>
    <w:rsid w:val="009A4D92"/>
    <w:rsid w:val="009B0436"/>
    <w:rsid w:val="009B2780"/>
    <w:rsid w:val="009B7002"/>
    <w:rsid w:val="009C0F59"/>
    <w:rsid w:val="009C3CCD"/>
    <w:rsid w:val="009C5314"/>
    <w:rsid w:val="009C64EC"/>
    <w:rsid w:val="009E0143"/>
    <w:rsid w:val="009E22F0"/>
    <w:rsid w:val="009E2770"/>
    <w:rsid w:val="009E4321"/>
    <w:rsid w:val="009F18DF"/>
    <w:rsid w:val="00A00267"/>
    <w:rsid w:val="00A06CF5"/>
    <w:rsid w:val="00A11179"/>
    <w:rsid w:val="00A16974"/>
    <w:rsid w:val="00A206EF"/>
    <w:rsid w:val="00A20EB1"/>
    <w:rsid w:val="00A22297"/>
    <w:rsid w:val="00A22532"/>
    <w:rsid w:val="00A3126C"/>
    <w:rsid w:val="00A31299"/>
    <w:rsid w:val="00A32005"/>
    <w:rsid w:val="00A33742"/>
    <w:rsid w:val="00A33F82"/>
    <w:rsid w:val="00A360D6"/>
    <w:rsid w:val="00A41A67"/>
    <w:rsid w:val="00A41F3D"/>
    <w:rsid w:val="00A461C0"/>
    <w:rsid w:val="00A50BA4"/>
    <w:rsid w:val="00A51BEC"/>
    <w:rsid w:val="00A625E2"/>
    <w:rsid w:val="00A62EA3"/>
    <w:rsid w:val="00A64F06"/>
    <w:rsid w:val="00A7407B"/>
    <w:rsid w:val="00A74D0E"/>
    <w:rsid w:val="00A80DDD"/>
    <w:rsid w:val="00A92F40"/>
    <w:rsid w:val="00A93566"/>
    <w:rsid w:val="00A96227"/>
    <w:rsid w:val="00AA21FC"/>
    <w:rsid w:val="00AA41B7"/>
    <w:rsid w:val="00AC0211"/>
    <w:rsid w:val="00AC0BA3"/>
    <w:rsid w:val="00AD0619"/>
    <w:rsid w:val="00AD0975"/>
    <w:rsid w:val="00AE184B"/>
    <w:rsid w:val="00AE3374"/>
    <w:rsid w:val="00AE6064"/>
    <w:rsid w:val="00AF041C"/>
    <w:rsid w:val="00AF1B8F"/>
    <w:rsid w:val="00AF1C62"/>
    <w:rsid w:val="00AF1CFD"/>
    <w:rsid w:val="00AF2BFE"/>
    <w:rsid w:val="00AF3596"/>
    <w:rsid w:val="00AF5C89"/>
    <w:rsid w:val="00AF7B31"/>
    <w:rsid w:val="00B07209"/>
    <w:rsid w:val="00B103D5"/>
    <w:rsid w:val="00B14A4E"/>
    <w:rsid w:val="00B1528E"/>
    <w:rsid w:val="00B21751"/>
    <w:rsid w:val="00B21C1B"/>
    <w:rsid w:val="00B221AA"/>
    <w:rsid w:val="00B32355"/>
    <w:rsid w:val="00B36D63"/>
    <w:rsid w:val="00B37760"/>
    <w:rsid w:val="00B40459"/>
    <w:rsid w:val="00B50914"/>
    <w:rsid w:val="00B5378D"/>
    <w:rsid w:val="00B5664B"/>
    <w:rsid w:val="00B56ECD"/>
    <w:rsid w:val="00B57F44"/>
    <w:rsid w:val="00B62144"/>
    <w:rsid w:val="00B64704"/>
    <w:rsid w:val="00B66F26"/>
    <w:rsid w:val="00B70D72"/>
    <w:rsid w:val="00B7166B"/>
    <w:rsid w:val="00B73D4B"/>
    <w:rsid w:val="00B7643F"/>
    <w:rsid w:val="00B815C1"/>
    <w:rsid w:val="00B86CD7"/>
    <w:rsid w:val="00B9009D"/>
    <w:rsid w:val="00B95DD7"/>
    <w:rsid w:val="00BA2324"/>
    <w:rsid w:val="00BB01DA"/>
    <w:rsid w:val="00BB262A"/>
    <w:rsid w:val="00BB4BEB"/>
    <w:rsid w:val="00BB6F1A"/>
    <w:rsid w:val="00BB7E3C"/>
    <w:rsid w:val="00BC2D40"/>
    <w:rsid w:val="00BC58F3"/>
    <w:rsid w:val="00BD5710"/>
    <w:rsid w:val="00BD5BBC"/>
    <w:rsid w:val="00BD7A25"/>
    <w:rsid w:val="00BE00E7"/>
    <w:rsid w:val="00BE05ED"/>
    <w:rsid w:val="00BE2046"/>
    <w:rsid w:val="00BE398D"/>
    <w:rsid w:val="00BE61C9"/>
    <w:rsid w:val="00BE7C25"/>
    <w:rsid w:val="00BF0CDE"/>
    <w:rsid w:val="00BF10CE"/>
    <w:rsid w:val="00BF24D3"/>
    <w:rsid w:val="00BF3C58"/>
    <w:rsid w:val="00BF49EF"/>
    <w:rsid w:val="00C01061"/>
    <w:rsid w:val="00C01589"/>
    <w:rsid w:val="00C06133"/>
    <w:rsid w:val="00C07E38"/>
    <w:rsid w:val="00C1095C"/>
    <w:rsid w:val="00C11D68"/>
    <w:rsid w:val="00C133A7"/>
    <w:rsid w:val="00C1360D"/>
    <w:rsid w:val="00C141A6"/>
    <w:rsid w:val="00C17855"/>
    <w:rsid w:val="00C20FC3"/>
    <w:rsid w:val="00C240E9"/>
    <w:rsid w:val="00C24B52"/>
    <w:rsid w:val="00C341E1"/>
    <w:rsid w:val="00C351AD"/>
    <w:rsid w:val="00C35D46"/>
    <w:rsid w:val="00C40F15"/>
    <w:rsid w:val="00C42D96"/>
    <w:rsid w:val="00C43743"/>
    <w:rsid w:val="00C43F74"/>
    <w:rsid w:val="00C4447D"/>
    <w:rsid w:val="00C4525F"/>
    <w:rsid w:val="00C47A7D"/>
    <w:rsid w:val="00C50A2A"/>
    <w:rsid w:val="00C517EE"/>
    <w:rsid w:val="00C56F74"/>
    <w:rsid w:val="00C5734D"/>
    <w:rsid w:val="00C573EB"/>
    <w:rsid w:val="00C608E4"/>
    <w:rsid w:val="00C6427C"/>
    <w:rsid w:val="00C6433A"/>
    <w:rsid w:val="00C64CF1"/>
    <w:rsid w:val="00C65435"/>
    <w:rsid w:val="00C71554"/>
    <w:rsid w:val="00C73A22"/>
    <w:rsid w:val="00C73BC0"/>
    <w:rsid w:val="00C749F2"/>
    <w:rsid w:val="00C775BE"/>
    <w:rsid w:val="00C80051"/>
    <w:rsid w:val="00C901D7"/>
    <w:rsid w:val="00C91C86"/>
    <w:rsid w:val="00C928A2"/>
    <w:rsid w:val="00CA0A04"/>
    <w:rsid w:val="00CA28B6"/>
    <w:rsid w:val="00CA36DD"/>
    <w:rsid w:val="00CA460D"/>
    <w:rsid w:val="00CA5ACC"/>
    <w:rsid w:val="00CB502C"/>
    <w:rsid w:val="00CC2A51"/>
    <w:rsid w:val="00CC4094"/>
    <w:rsid w:val="00CD0474"/>
    <w:rsid w:val="00CD09DC"/>
    <w:rsid w:val="00CD1CA1"/>
    <w:rsid w:val="00CD2388"/>
    <w:rsid w:val="00CD46E4"/>
    <w:rsid w:val="00CD5725"/>
    <w:rsid w:val="00CD60AA"/>
    <w:rsid w:val="00CD6C00"/>
    <w:rsid w:val="00CD71CC"/>
    <w:rsid w:val="00CE2CFF"/>
    <w:rsid w:val="00CE4097"/>
    <w:rsid w:val="00CE4DFB"/>
    <w:rsid w:val="00CF0955"/>
    <w:rsid w:val="00CF5847"/>
    <w:rsid w:val="00D0480A"/>
    <w:rsid w:val="00D07DE6"/>
    <w:rsid w:val="00D14805"/>
    <w:rsid w:val="00D20C0A"/>
    <w:rsid w:val="00D225F0"/>
    <w:rsid w:val="00D23CE2"/>
    <w:rsid w:val="00D303F1"/>
    <w:rsid w:val="00D31FD2"/>
    <w:rsid w:val="00D32521"/>
    <w:rsid w:val="00D3443C"/>
    <w:rsid w:val="00D410E6"/>
    <w:rsid w:val="00D41AB5"/>
    <w:rsid w:val="00D46688"/>
    <w:rsid w:val="00D46DCD"/>
    <w:rsid w:val="00D5202A"/>
    <w:rsid w:val="00D532C8"/>
    <w:rsid w:val="00D603DA"/>
    <w:rsid w:val="00D619A8"/>
    <w:rsid w:val="00D62AAF"/>
    <w:rsid w:val="00D65D7A"/>
    <w:rsid w:val="00D674C0"/>
    <w:rsid w:val="00D72533"/>
    <w:rsid w:val="00D72CFD"/>
    <w:rsid w:val="00D74EED"/>
    <w:rsid w:val="00DA6318"/>
    <w:rsid w:val="00DA7A98"/>
    <w:rsid w:val="00DB50C0"/>
    <w:rsid w:val="00DB557C"/>
    <w:rsid w:val="00DB7963"/>
    <w:rsid w:val="00DC001A"/>
    <w:rsid w:val="00DC16FE"/>
    <w:rsid w:val="00DC4202"/>
    <w:rsid w:val="00DC5FA6"/>
    <w:rsid w:val="00DC63EE"/>
    <w:rsid w:val="00DC68F6"/>
    <w:rsid w:val="00DD10A0"/>
    <w:rsid w:val="00DD3BDE"/>
    <w:rsid w:val="00DD410E"/>
    <w:rsid w:val="00DD6DF3"/>
    <w:rsid w:val="00DD716F"/>
    <w:rsid w:val="00DE5A38"/>
    <w:rsid w:val="00DE73F3"/>
    <w:rsid w:val="00DF1C0E"/>
    <w:rsid w:val="00DF231E"/>
    <w:rsid w:val="00DF4283"/>
    <w:rsid w:val="00DF42FA"/>
    <w:rsid w:val="00E15B67"/>
    <w:rsid w:val="00E16D24"/>
    <w:rsid w:val="00E24FE3"/>
    <w:rsid w:val="00E274A3"/>
    <w:rsid w:val="00E31D3A"/>
    <w:rsid w:val="00E32D73"/>
    <w:rsid w:val="00E34036"/>
    <w:rsid w:val="00E3644F"/>
    <w:rsid w:val="00E463E1"/>
    <w:rsid w:val="00E50A3E"/>
    <w:rsid w:val="00E5396D"/>
    <w:rsid w:val="00E57E88"/>
    <w:rsid w:val="00E60BC7"/>
    <w:rsid w:val="00E64FA6"/>
    <w:rsid w:val="00E66710"/>
    <w:rsid w:val="00E70037"/>
    <w:rsid w:val="00E71109"/>
    <w:rsid w:val="00E75AE1"/>
    <w:rsid w:val="00E767B1"/>
    <w:rsid w:val="00E810F4"/>
    <w:rsid w:val="00E841C5"/>
    <w:rsid w:val="00E84550"/>
    <w:rsid w:val="00E857EA"/>
    <w:rsid w:val="00E86184"/>
    <w:rsid w:val="00E87227"/>
    <w:rsid w:val="00E87A0C"/>
    <w:rsid w:val="00E905E7"/>
    <w:rsid w:val="00E90FBE"/>
    <w:rsid w:val="00E923BE"/>
    <w:rsid w:val="00E95B30"/>
    <w:rsid w:val="00E97CF7"/>
    <w:rsid w:val="00EA5491"/>
    <w:rsid w:val="00EB5402"/>
    <w:rsid w:val="00EB702E"/>
    <w:rsid w:val="00EC29AC"/>
    <w:rsid w:val="00EC3BC5"/>
    <w:rsid w:val="00EC4186"/>
    <w:rsid w:val="00ED5F78"/>
    <w:rsid w:val="00EE798D"/>
    <w:rsid w:val="00EF075F"/>
    <w:rsid w:val="00EF4F35"/>
    <w:rsid w:val="00F01010"/>
    <w:rsid w:val="00F0249E"/>
    <w:rsid w:val="00F032E6"/>
    <w:rsid w:val="00F039E5"/>
    <w:rsid w:val="00F04E2D"/>
    <w:rsid w:val="00F04E41"/>
    <w:rsid w:val="00F05F9A"/>
    <w:rsid w:val="00F06851"/>
    <w:rsid w:val="00F13276"/>
    <w:rsid w:val="00F166E9"/>
    <w:rsid w:val="00F26056"/>
    <w:rsid w:val="00F2614E"/>
    <w:rsid w:val="00F3112D"/>
    <w:rsid w:val="00F31693"/>
    <w:rsid w:val="00F34056"/>
    <w:rsid w:val="00F34D0D"/>
    <w:rsid w:val="00F364CE"/>
    <w:rsid w:val="00F415E9"/>
    <w:rsid w:val="00F5069D"/>
    <w:rsid w:val="00F50FE6"/>
    <w:rsid w:val="00F51945"/>
    <w:rsid w:val="00F52DD7"/>
    <w:rsid w:val="00F54E42"/>
    <w:rsid w:val="00F56EC4"/>
    <w:rsid w:val="00F64363"/>
    <w:rsid w:val="00F720A8"/>
    <w:rsid w:val="00F73B7F"/>
    <w:rsid w:val="00F751AF"/>
    <w:rsid w:val="00F75783"/>
    <w:rsid w:val="00F757B2"/>
    <w:rsid w:val="00F83394"/>
    <w:rsid w:val="00F85171"/>
    <w:rsid w:val="00F90FC5"/>
    <w:rsid w:val="00F945A0"/>
    <w:rsid w:val="00F9518C"/>
    <w:rsid w:val="00F955E9"/>
    <w:rsid w:val="00FA4636"/>
    <w:rsid w:val="00FB3F15"/>
    <w:rsid w:val="00FB465A"/>
    <w:rsid w:val="00FB696C"/>
    <w:rsid w:val="00FC3F52"/>
    <w:rsid w:val="00FC7039"/>
    <w:rsid w:val="00FC7DCB"/>
    <w:rsid w:val="00FD3CE2"/>
    <w:rsid w:val="00FD3EEA"/>
    <w:rsid w:val="00FD5A03"/>
    <w:rsid w:val="00FD5D24"/>
    <w:rsid w:val="00FD60CD"/>
    <w:rsid w:val="00FD7B91"/>
    <w:rsid w:val="00FD7C7D"/>
    <w:rsid w:val="00FE3F07"/>
    <w:rsid w:val="00FE7210"/>
    <w:rsid w:val="00FF6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78793"/>
  <w15:chartTrackingRefBased/>
  <w15:docId w15:val="{5B4009E2-250E-48CD-A531-211804BB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D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8D3"/>
    <w:pPr>
      <w:ind w:left="720"/>
      <w:contextualSpacing/>
    </w:pPr>
  </w:style>
  <w:style w:type="paragraph" w:styleId="FootnoteText">
    <w:name w:val="footnote text"/>
    <w:basedOn w:val="Normal"/>
    <w:link w:val="FootnoteTextChar"/>
    <w:uiPriority w:val="99"/>
    <w:semiHidden/>
    <w:unhideWhenUsed/>
    <w:rsid w:val="00AF2B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2BFE"/>
    <w:rPr>
      <w:sz w:val="20"/>
      <w:szCs w:val="20"/>
    </w:rPr>
  </w:style>
  <w:style w:type="character" w:styleId="FootnoteReference">
    <w:name w:val="footnote reference"/>
    <w:basedOn w:val="DefaultParagraphFont"/>
    <w:uiPriority w:val="99"/>
    <w:semiHidden/>
    <w:unhideWhenUsed/>
    <w:rsid w:val="00AF2BFE"/>
    <w:rPr>
      <w:vertAlign w:val="superscript"/>
    </w:rPr>
  </w:style>
  <w:style w:type="character" w:styleId="Hyperlink">
    <w:name w:val="Hyperlink"/>
    <w:basedOn w:val="DefaultParagraphFont"/>
    <w:uiPriority w:val="99"/>
    <w:unhideWhenUsed/>
    <w:rsid w:val="00AF2BFE"/>
    <w:rPr>
      <w:color w:val="0563C1" w:themeColor="hyperlink"/>
      <w:u w:val="single"/>
    </w:rPr>
  </w:style>
  <w:style w:type="character" w:customStyle="1" w:styleId="UnresolvedMention">
    <w:name w:val="Unresolved Mention"/>
    <w:basedOn w:val="DefaultParagraphFont"/>
    <w:uiPriority w:val="99"/>
    <w:semiHidden/>
    <w:unhideWhenUsed/>
    <w:rsid w:val="00AF2BFE"/>
    <w:rPr>
      <w:color w:val="605E5C"/>
      <w:shd w:val="clear" w:color="auto" w:fill="E1DFDD"/>
    </w:rPr>
  </w:style>
  <w:style w:type="character" w:styleId="CommentReference">
    <w:name w:val="annotation reference"/>
    <w:basedOn w:val="DefaultParagraphFont"/>
    <w:uiPriority w:val="99"/>
    <w:semiHidden/>
    <w:unhideWhenUsed/>
    <w:rsid w:val="007E494B"/>
    <w:rPr>
      <w:sz w:val="16"/>
      <w:szCs w:val="16"/>
    </w:rPr>
  </w:style>
  <w:style w:type="paragraph" w:styleId="CommentText">
    <w:name w:val="annotation text"/>
    <w:basedOn w:val="Normal"/>
    <w:link w:val="CommentTextChar"/>
    <w:uiPriority w:val="99"/>
    <w:unhideWhenUsed/>
    <w:rsid w:val="007E494B"/>
    <w:pPr>
      <w:spacing w:line="240" w:lineRule="auto"/>
    </w:pPr>
    <w:rPr>
      <w:sz w:val="20"/>
      <w:szCs w:val="20"/>
    </w:rPr>
  </w:style>
  <w:style w:type="character" w:customStyle="1" w:styleId="CommentTextChar">
    <w:name w:val="Comment Text Char"/>
    <w:basedOn w:val="DefaultParagraphFont"/>
    <w:link w:val="CommentText"/>
    <w:uiPriority w:val="99"/>
    <w:rsid w:val="007E494B"/>
    <w:rPr>
      <w:sz w:val="20"/>
      <w:szCs w:val="20"/>
    </w:rPr>
  </w:style>
  <w:style w:type="paragraph" w:styleId="CommentSubject">
    <w:name w:val="annotation subject"/>
    <w:basedOn w:val="CommentText"/>
    <w:next w:val="CommentText"/>
    <w:link w:val="CommentSubjectChar"/>
    <w:uiPriority w:val="99"/>
    <w:semiHidden/>
    <w:unhideWhenUsed/>
    <w:rsid w:val="007E494B"/>
    <w:rPr>
      <w:b/>
      <w:bCs/>
    </w:rPr>
  </w:style>
  <w:style w:type="character" w:customStyle="1" w:styleId="CommentSubjectChar">
    <w:name w:val="Comment Subject Char"/>
    <w:basedOn w:val="CommentTextChar"/>
    <w:link w:val="CommentSubject"/>
    <w:uiPriority w:val="99"/>
    <w:semiHidden/>
    <w:rsid w:val="007E494B"/>
    <w:rPr>
      <w:b/>
      <w:bCs/>
      <w:sz w:val="20"/>
      <w:szCs w:val="20"/>
    </w:rPr>
  </w:style>
  <w:style w:type="paragraph" w:styleId="Header">
    <w:name w:val="header"/>
    <w:basedOn w:val="Normal"/>
    <w:link w:val="HeaderChar"/>
    <w:uiPriority w:val="99"/>
    <w:unhideWhenUsed/>
    <w:rsid w:val="00B7643F"/>
    <w:pPr>
      <w:tabs>
        <w:tab w:val="center" w:pos="4252"/>
        <w:tab w:val="right" w:pos="8504"/>
      </w:tabs>
      <w:spacing w:after="0" w:line="240" w:lineRule="auto"/>
    </w:pPr>
  </w:style>
  <w:style w:type="character" w:customStyle="1" w:styleId="HeaderChar">
    <w:name w:val="Header Char"/>
    <w:basedOn w:val="DefaultParagraphFont"/>
    <w:link w:val="Header"/>
    <w:uiPriority w:val="99"/>
    <w:rsid w:val="00B7643F"/>
  </w:style>
  <w:style w:type="paragraph" w:styleId="Footer">
    <w:name w:val="footer"/>
    <w:basedOn w:val="Normal"/>
    <w:link w:val="FooterChar"/>
    <w:uiPriority w:val="99"/>
    <w:unhideWhenUsed/>
    <w:rsid w:val="00B7643F"/>
    <w:pPr>
      <w:tabs>
        <w:tab w:val="center" w:pos="4252"/>
        <w:tab w:val="right" w:pos="8504"/>
      </w:tabs>
      <w:spacing w:after="0" w:line="240" w:lineRule="auto"/>
    </w:pPr>
  </w:style>
  <w:style w:type="character" w:customStyle="1" w:styleId="FooterChar">
    <w:name w:val="Footer Char"/>
    <w:basedOn w:val="DefaultParagraphFont"/>
    <w:link w:val="Footer"/>
    <w:uiPriority w:val="99"/>
    <w:rsid w:val="00B7643F"/>
  </w:style>
  <w:style w:type="paragraph" w:styleId="NoSpacing">
    <w:name w:val="No Spacing"/>
    <w:uiPriority w:val="1"/>
    <w:qFormat/>
    <w:rsid w:val="00025E71"/>
    <w:pPr>
      <w:spacing w:after="0" w:line="240" w:lineRule="auto"/>
    </w:pPr>
  </w:style>
  <w:style w:type="character" w:styleId="PlaceholderText">
    <w:name w:val="Placeholder Text"/>
    <w:basedOn w:val="DefaultParagraphFont"/>
    <w:uiPriority w:val="99"/>
    <w:semiHidden/>
    <w:rsid w:val="002B700C"/>
    <w:rPr>
      <w:color w:val="666666"/>
    </w:rPr>
  </w:style>
  <w:style w:type="character" w:styleId="FollowedHyperlink">
    <w:name w:val="FollowedHyperlink"/>
    <w:basedOn w:val="DefaultParagraphFont"/>
    <w:uiPriority w:val="99"/>
    <w:semiHidden/>
    <w:unhideWhenUsed/>
    <w:rsid w:val="005352FB"/>
    <w:rPr>
      <w:color w:val="954F72" w:themeColor="followedHyperlink"/>
      <w:u w:val="single"/>
    </w:rPr>
  </w:style>
  <w:style w:type="numbering" w:customStyle="1" w:styleId="Sinlista1">
    <w:name w:val="Sin lista1"/>
    <w:next w:val="NoList"/>
    <w:uiPriority w:val="99"/>
    <w:semiHidden/>
    <w:unhideWhenUsed/>
    <w:rsid w:val="0008508D"/>
  </w:style>
  <w:style w:type="paragraph" w:styleId="BodyText">
    <w:name w:val="Body Text"/>
    <w:basedOn w:val="Normal"/>
    <w:link w:val="BodyTextChar"/>
    <w:uiPriority w:val="99"/>
    <w:unhideWhenUsed/>
    <w:rsid w:val="0008508D"/>
    <w:pPr>
      <w:spacing w:after="120"/>
    </w:pPr>
    <w:rPr>
      <w:lang w:val="es-ES"/>
    </w:rPr>
  </w:style>
  <w:style w:type="character" w:customStyle="1" w:styleId="BodyTextChar">
    <w:name w:val="Body Text Char"/>
    <w:basedOn w:val="DefaultParagraphFont"/>
    <w:link w:val="BodyText"/>
    <w:uiPriority w:val="99"/>
    <w:rsid w:val="0008508D"/>
    <w:rPr>
      <w:lang w:val="es-ES"/>
    </w:rPr>
  </w:style>
  <w:style w:type="paragraph" w:styleId="BalloonText">
    <w:name w:val="Balloon Text"/>
    <w:basedOn w:val="Normal"/>
    <w:link w:val="BalloonTextChar"/>
    <w:uiPriority w:val="99"/>
    <w:semiHidden/>
    <w:unhideWhenUsed/>
    <w:rsid w:val="00846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C9"/>
    <w:rPr>
      <w:rFonts w:ascii="Segoe UI" w:hAnsi="Segoe UI" w:cs="Segoe UI"/>
      <w:sz w:val="18"/>
      <w:szCs w:val="18"/>
    </w:rPr>
  </w:style>
  <w:style w:type="paragraph" w:styleId="Revision">
    <w:name w:val="Revision"/>
    <w:hidden/>
    <w:uiPriority w:val="99"/>
    <w:semiHidden/>
    <w:rsid w:val="00F166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449346">
      <w:bodyDiv w:val="1"/>
      <w:marLeft w:val="0"/>
      <w:marRight w:val="0"/>
      <w:marTop w:val="0"/>
      <w:marBottom w:val="0"/>
      <w:divBdr>
        <w:top w:val="none" w:sz="0" w:space="0" w:color="auto"/>
        <w:left w:val="none" w:sz="0" w:space="0" w:color="auto"/>
        <w:bottom w:val="none" w:sz="0" w:space="0" w:color="auto"/>
        <w:right w:val="none" w:sz="0" w:space="0" w:color="auto"/>
      </w:divBdr>
      <w:divsChild>
        <w:div w:id="988873325">
          <w:marLeft w:val="0"/>
          <w:marRight w:val="0"/>
          <w:marTop w:val="0"/>
          <w:marBottom w:val="0"/>
          <w:divBdr>
            <w:top w:val="none" w:sz="0" w:space="0" w:color="auto"/>
            <w:left w:val="none" w:sz="0" w:space="0" w:color="auto"/>
            <w:bottom w:val="none" w:sz="0" w:space="0" w:color="auto"/>
            <w:right w:val="none" w:sz="0" w:space="0" w:color="auto"/>
          </w:divBdr>
        </w:div>
        <w:div w:id="437259311">
          <w:marLeft w:val="0"/>
          <w:marRight w:val="0"/>
          <w:marTop w:val="0"/>
          <w:marBottom w:val="0"/>
          <w:divBdr>
            <w:top w:val="none" w:sz="0" w:space="0" w:color="auto"/>
            <w:left w:val="none" w:sz="0" w:space="0" w:color="auto"/>
            <w:bottom w:val="none" w:sz="0" w:space="0" w:color="auto"/>
            <w:right w:val="none" w:sz="0" w:space="0" w:color="auto"/>
          </w:divBdr>
        </w:div>
        <w:div w:id="1652058428">
          <w:marLeft w:val="0"/>
          <w:marRight w:val="0"/>
          <w:marTop w:val="0"/>
          <w:marBottom w:val="0"/>
          <w:divBdr>
            <w:top w:val="none" w:sz="0" w:space="0" w:color="auto"/>
            <w:left w:val="none" w:sz="0" w:space="0" w:color="auto"/>
            <w:bottom w:val="none" w:sz="0" w:space="0" w:color="auto"/>
            <w:right w:val="none" w:sz="0" w:space="0" w:color="auto"/>
          </w:divBdr>
        </w:div>
        <w:div w:id="1058748261">
          <w:marLeft w:val="0"/>
          <w:marRight w:val="0"/>
          <w:marTop w:val="0"/>
          <w:marBottom w:val="0"/>
          <w:divBdr>
            <w:top w:val="none" w:sz="0" w:space="0" w:color="auto"/>
            <w:left w:val="none" w:sz="0" w:space="0" w:color="auto"/>
            <w:bottom w:val="none" w:sz="0" w:space="0" w:color="auto"/>
            <w:right w:val="none" w:sz="0" w:space="0" w:color="auto"/>
          </w:divBdr>
        </w:div>
        <w:div w:id="980109447">
          <w:marLeft w:val="0"/>
          <w:marRight w:val="0"/>
          <w:marTop w:val="0"/>
          <w:marBottom w:val="0"/>
          <w:divBdr>
            <w:top w:val="none" w:sz="0" w:space="0" w:color="auto"/>
            <w:left w:val="none" w:sz="0" w:space="0" w:color="auto"/>
            <w:bottom w:val="none" w:sz="0" w:space="0" w:color="auto"/>
            <w:right w:val="none" w:sz="0" w:space="0" w:color="auto"/>
          </w:divBdr>
        </w:div>
        <w:div w:id="176389101">
          <w:marLeft w:val="0"/>
          <w:marRight w:val="0"/>
          <w:marTop w:val="0"/>
          <w:marBottom w:val="0"/>
          <w:divBdr>
            <w:top w:val="none" w:sz="0" w:space="0" w:color="auto"/>
            <w:left w:val="none" w:sz="0" w:space="0" w:color="auto"/>
            <w:bottom w:val="none" w:sz="0" w:space="0" w:color="auto"/>
            <w:right w:val="none" w:sz="0" w:space="0" w:color="auto"/>
          </w:divBdr>
        </w:div>
        <w:div w:id="1379430511">
          <w:marLeft w:val="0"/>
          <w:marRight w:val="0"/>
          <w:marTop w:val="0"/>
          <w:marBottom w:val="0"/>
          <w:divBdr>
            <w:top w:val="none" w:sz="0" w:space="0" w:color="auto"/>
            <w:left w:val="none" w:sz="0" w:space="0" w:color="auto"/>
            <w:bottom w:val="none" w:sz="0" w:space="0" w:color="auto"/>
            <w:right w:val="none" w:sz="0" w:space="0" w:color="auto"/>
          </w:divBdr>
        </w:div>
        <w:div w:id="247155389">
          <w:marLeft w:val="0"/>
          <w:marRight w:val="0"/>
          <w:marTop w:val="0"/>
          <w:marBottom w:val="0"/>
          <w:divBdr>
            <w:top w:val="none" w:sz="0" w:space="0" w:color="auto"/>
            <w:left w:val="none" w:sz="0" w:space="0" w:color="auto"/>
            <w:bottom w:val="none" w:sz="0" w:space="0" w:color="auto"/>
            <w:right w:val="none" w:sz="0" w:space="0" w:color="auto"/>
          </w:divBdr>
        </w:div>
        <w:div w:id="1385956358">
          <w:marLeft w:val="0"/>
          <w:marRight w:val="0"/>
          <w:marTop w:val="0"/>
          <w:marBottom w:val="0"/>
          <w:divBdr>
            <w:top w:val="none" w:sz="0" w:space="0" w:color="auto"/>
            <w:left w:val="none" w:sz="0" w:space="0" w:color="auto"/>
            <w:bottom w:val="none" w:sz="0" w:space="0" w:color="auto"/>
            <w:right w:val="none" w:sz="0" w:space="0" w:color="auto"/>
          </w:divBdr>
        </w:div>
        <w:div w:id="1481772374">
          <w:marLeft w:val="0"/>
          <w:marRight w:val="0"/>
          <w:marTop w:val="0"/>
          <w:marBottom w:val="0"/>
          <w:divBdr>
            <w:top w:val="none" w:sz="0" w:space="0" w:color="auto"/>
            <w:left w:val="none" w:sz="0" w:space="0" w:color="auto"/>
            <w:bottom w:val="none" w:sz="0" w:space="0" w:color="auto"/>
            <w:right w:val="none" w:sz="0" w:space="0" w:color="auto"/>
          </w:divBdr>
        </w:div>
        <w:div w:id="539822477">
          <w:marLeft w:val="0"/>
          <w:marRight w:val="0"/>
          <w:marTop w:val="0"/>
          <w:marBottom w:val="0"/>
          <w:divBdr>
            <w:top w:val="none" w:sz="0" w:space="0" w:color="auto"/>
            <w:left w:val="none" w:sz="0" w:space="0" w:color="auto"/>
            <w:bottom w:val="none" w:sz="0" w:space="0" w:color="auto"/>
            <w:right w:val="none" w:sz="0" w:space="0" w:color="auto"/>
          </w:divBdr>
        </w:div>
        <w:div w:id="2137525169">
          <w:marLeft w:val="0"/>
          <w:marRight w:val="0"/>
          <w:marTop w:val="0"/>
          <w:marBottom w:val="0"/>
          <w:divBdr>
            <w:top w:val="none" w:sz="0" w:space="0" w:color="auto"/>
            <w:left w:val="none" w:sz="0" w:space="0" w:color="auto"/>
            <w:bottom w:val="none" w:sz="0" w:space="0" w:color="auto"/>
            <w:right w:val="none" w:sz="0" w:space="0" w:color="auto"/>
          </w:divBdr>
        </w:div>
        <w:div w:id="221328676">
          <w:marLeft w:val="0"/>
          <w:marRight w:val="0"/>
          <w:marTop w:val="0"/>
          <w:marBottom w:val="0"/>
          <w:divBdr>
            <w:top w:val="none" w:sz="0" w:space="0" w:color="auto"/>
            <w:left w:val="none" w:sz="0" w:space="0" w:color="auto"/>
            <w:bottom w:val="none" w:sz="0" w:space="0" w:color="auto"/>
            <w:right w:val="none" w:sz="0" w:space="0" w:color="auto"/>
          </w:divBdr>
        </w:div>
        <w:div w:id="1222600333">
          <w:marLeft w:val="0"/>
          <w:marRight w:val="0"/>
          <w:marTop w:val="0"/>
          <w:marBottom w:val="0"/>
          <w:divBdr>
            <w:top w:val="none" w:sz="0" w:space="0" w:color="auto"/>
            <w:left w:val="none" w:sz="0" w:space="0" w:color="auto"/>
            <w:bottom w:val="none" w:sz="0" w:space="0" w:color="auto"/>
            <w:right w:val="none" w:sz="0" w:space="0" w:color="auto"/>
          </w:divBdr>
        </w:div>
        <w:div w:id="1180857318">
          <w:marLeft w:val="0"/>
          <w:marRight w:val="0"/>
          <w:marTop w:val="0"/>
          <w:marBottom w:val="0"/>
          <w:divBdr>
            <w:top w:val="none" w:sz="0" w:space="0" w:color="auto"/>
            <w:left w:val="none" w:sz="0" w:space="0" w:color="auto"/>
            <w:bottom w:val="none" w:sz="0" w:space="0" w:color="auto"/>
            <w:right w:val="none" w:sz="0" w:space="0" w:color="auto"/>
          </w:divBdr>
        </w:div>
        <w:div w:id="1849907764">
          <w:marLeft w:val="0"/>
          <w:marRight w:val="0"/>
          <w:marTop w:val="0"/>
          <w:marBottom w:val="0"/>
          <w:divBdr>
            <w:top w:val="none" w:sz="0" w:space="0" w:color="auto"/>
            <w:left w:val="none" w:sz="0" w:space="0" w:color="auto"/>
            <w:bottom w:val="none" w:sz="0" w:space="0" w:color="auto"/>
            <w:right w:val="none" w:sz="0" w:space="0" w:color="auto"/>
          </w:divBdr>
        </w:div>
        <w:div w:id="384910868">
          <w:marLeft w:val="0"/>
          <w:marRight w:val="0"/>
          <w:marTop w:val="0"/>
          <w:marBottom w:val="0"/>
          <w:divBdr>
            <w:top w:val="none" w:sz="0" w:space="0" w:color="auto"/>
            <w:left w:val="none" w:sz="0" w:space="0" w:color="auto"/>
            <w:bottom w:val="none" w:sz="0" w:space="0" w:color="auto"/>
            <w:right w:val="none" w:sz="0" w:space="0" w:color="auto"/>
          </w:divBdr>
        </w:div>
        <w:div w:id="153231609">
          <w:marLeft w:val="0"/>
          <w:marRight w:val="0"/>
          <w:marTop w:val="0"/>
          <w:marBottom w:val="0"/>
          <w:divBdr>
            <w:top w:val="none" w:sz="0" w:space="0" w:color="auto"/>
            <w:left w:val="none" w:sz="0" w:space="0" w:color="auto"/>
            <w:bottom w:val="none" w:sz="0" w:space="0" w:color="auto"/>
            <w:right w:val="none" w:sz="0" w:space="0" w:color="auto"/>
          </w:divBdr>
        </w:div>
        <w:div w:id="228157010">
          <w:marLeft w:val="0"/>
          <w:marRight w:val="0"/>
          <w:marTop w:val="0"/>
          <w:marBottom w:val="0"/>
          <w:divBdr>
            <w:top w:val="none" w:sz="0" w:space="0" w:color="auto"/>
            <w:left w:val="none" w:sz="0" w:space="0" w:color="auto"/>
            <w:bottom w:val="none" w:sz="0" w:space="0" w:color="auto"/>
            <w:right w:val="none" w:sz="0" w:space="0" w:color="auto"/>
          </w:divBdr>
        </w:div>
        <w:div w:id="2122727207">
          <w:marLeft w:val="0"/>
          <w:marRight w:val="0"/>
          <w:marTop w:val="0"/>
          <w:marBottom w:val="0"/>
          <w:divBdr>
            <w:top w:val="none" w:sz="0" w:space="0" w:color="auto"/>
            <w:left w:val="none" w:sz="0" w:space="0" w:color="auto"/>
            <w:bottom w:val="none" w:sz="0" w:space="0" w:color="auto"/>
            <w:right w:val="none" w:sz="0" w:space="0" w:color="auto"/>
          </w:divBdr>
        </w:div>
        <w:div w:id="1676570342">
          <w:marLeft w:val="0"/>
          <w:marRight w:val="0"/>
          <w:marTop w:val="0"/>
          <w:marBottom w:val="0"/>
          <w:divBdr>
            <w:top w:val="none" w:sz="0" w:space="0" w:color="auto"/>
            <w:left w:val="none" w:sz="0" w:space="0" w:color="auto"/>
            <w:bottom w:val="none" w:sz="0" w:space="0" w:color="auto"/>
            <w:right w:val="none" w:sz="0" w:space="0" w:color="auto"/>
          </w:divBdr>
        </w:div>
        <w:div w:id="210266529">
          <w:marLeft w:val="0"/>
          <w:marRight w:val="0"/>
          <w:marTop w:val="0"/>
          <w:marBottom w:val="0"/>
          <w:divBdr>
            <w:top w:val="none" w:sz="0" w:space="0" w:color="auto"/>
            <w:left w:val="none" w:sz="0" w:space="0" w:color="auto"/>
            <w:bottom w:val="none" w:sz="0" w:space="0" w:color="auto"/>
            <w:right w:val="none" w:sz="0" w:space="0" w:color="auto"/>
          </w:divBdr>
        </w:div>
        <w:div w:id="1597251704">
          <w:marLeft w:val="0"/>
          <w:marRight w:val="0"/>
          <w:marTop w:val="0"/>
          <w:marBottom w:val="0"/>
          <w:divBdr>
            <w:top w:val="none" w:sz="0" w:space="0" w:color="auto"/>
            <w:left w:val="none" w:sz="0" w:space="0" w:color="auto"/>
            <w:bottom w:val="none" w:sz="0" w:space="0" w:color="auto"/>
            <w:right w:val="none" w:sz="0" w:space="0" w:color="auto"/>
          </w:divBdr>
        </w:div>
      </w:divsChild>
    </w:div>
    <w:div w:id="463237275">
      <w:bodyDiv w:val="1"/>
      <w:marLeft w:val="0"/>
      <w:marRight w:val="0"/>
      <w:marTop w:val="0"/>
      <w:marBottom w:val="0"/>
      <w:divBdr>
        <w:top w:val="none" w:sz="0" w:space="0" w:color="auto"/>
        <w:left w:val="none" w:sz="0" w:space="0" w:color="auto"/>
        <w:bottom w:val="none" w:sz="0" w:space="0" w:color="auto"/>
        <w:right w:val="none" w:sz="0" w:space="0" w:color="auto"/>
      </w:divBdr>
      <w:divsChild>
        <w:div w:id="1052273122">
          <w:marLeft w:val="0"/>
          <w:marRight w:val="0"/>
          <w:marTop w:val="0"/>
          <w:marBottom w:val="0"/>
          <w:divBdr>
            <w:top w:val="none" w:sz="0" w:space="0" w:color="auto"/>
            <w:left w:val="none" w:sz="0" w:space="0" w:color="auto"/>
            <w:bottom w:val="none" w:sz="0" w:space="0" w:color="auto"/>
            <w:right w:val="none" w:sz="0" w:space="0" w:color="auto"/>
          </w:divBdr>
        </w:div>
        <w:div w:id="445779072">
          <w:marLeft w:val="0"/>
          <w:marRight w:val="0"/>
          <w:marTop w:val="0"/>
          <w:marBottom w:val="0"/>
          <w:divBdr>
            <w:top w:val="none" w:sz="0" w:space="0" w:color="auto"/>
            <w:left w:val="none" w:sz="0" w:space="0" w:color="auto"/>
            <w:bottom w:val="none" w:sz="0" w:space="0" w:color="auto"/>
            <w:right w:val="none" w:sz="0" w:space="0" w:color="auto"/>
          </w:divBdr>
        </w:div>
        <w:div w:id="377291066">
          <w:marLeft w:val="0"/>
          <w:marRight w:val="0"/>
          <w:marTop w:val="0"/>
          <w:marBottom w:val="0"/>
          <w:divBdr>
            <w:top w:val="none" w:sz="0" w:space="0" w:color="auto"/>
            <w:left w:val="none" w:sz="0" w:space="0" w:color="auto"/>
            <w:bottom w:val="none" w:sz="0" w:space="0" w:color="auto"/>
            <w:right w:val="none" w:sz="0" w:space="0" w:color="auto"/>
          </w:divBdr>
        </w:div>
        <w:div w:id="311368577">
          <w:marLeft w:val="0"/>
          <w:marRight w:val="0"/>
          <w:marTop w:val="0"/>
          <w:marBottom w:val="0"/>
          <w:divBdr>
            <w:top w:val="none" w:sz="0" w:space="0" w:color="auto"/>
            <w:left w:val="none" w:sz="0" w:space="0" w:color="auto"/>
            <w:bottom w:val="none" w:sz="0" w:space="0" w:color="auto"/>
            <w:right w:val="none" w:sz="0" w:space="0" w:color="auto"/>
          </w:divBdr>
        </w:div>
        <w:div w:id="865140805">
          <w:marLeft w:val="0"/>
          <w:marRight w:val="0"/>
          <w:marTop w:val="0"/>
          <w:marBottom w:val="0"/>
          <w:divBdr>
            <w:top w:val="none" w:sz="0" w:space="0" w:color="auto"/>
            <w:left w:val="none" w:sz="0" w:space="0" w:color="auto"/>
            <w:bottom w:val="none" w:sz="0" w:space="0" w:color="auto"/>
            <w:right w:val="none" w:sz="0" w:space="0" w:color="auto"/>
          </w:divBdr>
        </w:div>
        <w:div w:id="1411078315">
          <w:marLeft w:val="0"/>
          <w:marRight w:val="0"/>
          <w:marTop w:val="0"/>
          <w:marBottom w:val="0"/>
          <w:divBdr>
            <w:top w:val="none" w:sz="0" w:space="0" w:color="auto"/>
            <w:left w:val="none" w:sz="0" w:space="0" w:color="auto"/>
            <w:bottom w:val="none" w:sz="0" w:space="0" w:color="auto"/>
            <w:right w:val="none" w:sz="0" w:space="0" w:color="auto"/>
          </w:divBdr>
        </w:div>
        <w:div w:id="737167030">
          <w:marLeft w:val="0"/>
          <w:marRight w:val="0"/>
          <w:marTop w:val="0"/>
          <w:marBottom w:val="0"/>
          <w:divBdr>
            <w:top w:val="none" w:sz="0" w:space="0" w:color="auto"/>
            <w:left w:val="none" w:sz="0" w:space="0" w:color="auto"/>
            <w:bottom w:val="none" w:sz="0" w:space="0" w:color="auto"/>
            <w:right w:val="none" w:sz="0" w:space="0" w:color="auto"/>
          </w:divBdr>
        </w:div>
        <w:div w:id="1611426603">
          <w:marLeft w:val="0"/>
          <w:marRight w:val="0"/>
          <w:marTop w:val="0"/>
          <w:marBottom w:val="0"/>
          <w:divBdr>
            <w:top w:val="none" w:sz="0" w:space="0" w:color="auto"/>
            <w:left w:val="none" w:sz="0" w:space="0" w:color="auto"/>
            <w:bottom w:val="none" w:sz="0" w:space="0" w:color="auto"/>
            <w:right w:val="none" w:sz="0" w:space="0" w:color="auto"/>
          </w:divBdr>
        </w:div>
        <w:div w:id="1792436449">
          <w:marLeft w:val="0"/>
          <w:marRight w:val="0"/>
          <w:marTop w:val="0"/>
          <w:marBottom w:val="0"/>
          <w:divBdr>
            <w:top w:val="none" w:sz="0" w:space="0" w:color="auto"/>
            <w:left w:val="none" w:sz="0" w:space="0" w:color="auto"/>
            <w:bottom w:val="none" w:sz="0" w:space="0" w:color="auto"/>
            <w:right w:val="none" w:sz="0" w:space="0" w:color="auto"/>
          </w:divBdr>
        </w:div>
        <w:div w:id="522019194">
          <w:marLeft w:val="0"/>
          <w:marRight w:val="0"/>
          <w:marTop w:val="0"/>
          <w:marBottom w:val="0"/>
          <w:divBdr>
            <w:top w:val="none" w:sz="0" w:space="0" w:color="auto"/>
            <w:left w:val="none" w:sz="0" w:space="0" w:color="auto"/>
            <w:bottom w:val="none" w:sz="0" w:space="0" w:color="auto"/>
            <w:right w:val="none" w:sz="0" w:space="0" w:color="auto"/>
          </w:divBdr>
        </w:div>
        <w:div w:id="1029799269">
          <w:marLeft w:val="0"/>
          <w:marRight w:val="0"/>
          <w:marTop w:val="0"/>
          <w:marBottom w:val="0"/>
          <w:divBdr>
            <w:top w:val="none" w:sz="0" w:space="0" w:color="auto"/>
            <w:left w:val="none" w:sz="0" w:space="0" w:color="auto"/>
            <w:bottom w:val="none" w:sz="0" w:space="0" w:color="auto"/>
            <w:right w:val="none" w:sz="0" w:space="0" w:color="auto"/>
          </w:divBdr>
        </w:div>
        <w:div w:id="1105151234">
          <w:marLeft w:val="0"/>
          <w:marRight w:val="0"/>
          <w:marTop w:val="0"/>
          <w:marBottom w:val="0"/>
          <w:divBdr>
            <w:top w:val="none" w:sz="0" w:space="0" w:color="auto"/>
            <w:left w:val="none" w:sz="0" w:space="0" w:color="auto"/>
            <w:bottom w:val="none" w:sz="0" w:space="0" w:color="auto"/>
            <w:right w:val="none" w:sz="0" w:space="0" w:color="auto"/>
          </w:divBdr>
        </w:div>
        <w:div w:id="70860325">
          <w:marLeft w:val="0"/>
          <w:marRight w:val="0"/>
          <w:marTop w:val="0"/>
          <w:marBottom w:val="0"/>
          <w:divBdr>
            <w:top w:val="none" w:sz="0" w:space="0" w:color="auto"/>
            <w:left w:val="none" w:sz="0" w:space="0" w:color="auto"/>
            <w:bottom w:val="none" w:sz="0" w:space="0" w:color="auto"/>
            <w:right w:val="none" w:sz="0" w:space="0" w:color="auto"/>
          </w:divBdr>
        </w:div>
        <w:div w:id="865142981">
          <w:marLeft w:val="0"/>
          <w:marRight w:val="0"/>
          <w:marTop w:val="0"/>
          <w:marBottom w:val="0"/>
          <w:divBdr>
            <w:top w:val="none" w:sz="0" w:space="0" w:color="auto"/>
            <w:left w:val="none" w:sz="0" w:space="0" w:color="auto"/>
            <w:bottom w:val="none" w:sz="0" w:space="0" w:color="auto"/>
            <w:right w:val="none" w:sz="0" w:space="0" w:color="auto"/>
          </w:divBdr>
        </w:div>
        <w:div w:id="130945147">
          <w:marLeft w:val="0"/>
          <w:marRight w:val="0"/>
          <w:marTop w:val="0"/>
          <w:marBottom w:val="0"/>
          <w:divBdr>
            <w:top w:val="none" w:sz="0" w:space="0" w:color="auto"/>
            <w:left w:val="none" w:sz="0" w:space="0" w:color="auto"/>
            <w:bottom w:val="none" w:sz="0" w:space="0" w:color="auto"/>
            <w:right w:val="none" w:sz="0" w:space="0" w:color="auto"/>
          </w:divBdr>
        </w:div>
        <w:div w:id="1488278916">
          <w:marLeft w:val="0"/>
          <w:marRight w:val="0"/>
          <w:marTop w:val="0"/>
          <w:marBottom w:val="0"/>
          <w:divBdr>
            <w:top w:val="none" w:sz="0" w:space="0" w:color="auto"/>
            <w:left w:val="none" w:sz="0" w:space="0" w:color="auto"/>
            <w:bottom w:val="none" w:sz="0" w:space="0" w:color="auto"/>
            <w:right w:val="none" w:sz="0" w:space="0" w:color="auto"/>
          </w:divBdr>
        </w:div>
        <w:div w:id="1535342144">
          <w:marLeft w:val="0"/>
          <w:marRight w:val="0"/>
          <w:marTop w:val="0"/>
          <w:marBottom w:val="0"/>
          <w:divBdr>
            <w:top w:val="none" w:sz="0" w:space="0" w:color="auto"/>
            <w:left w:val="none" w:sz="0" w:space="0" w:color="auto"/>
            <w:bottom w:val="none" w:sz="0" w:space="0" w:color="auto"/>
            <w:right w:val="none" w:sz="0" w:space="0" w:color="auto"/>
          </w:divBdr>
        </w:div>
        <w:div w:id="293414421">
          <w:marLeft w:val="0"/>
          <w:marRight w:val="0"/>
          <w:marTop w:val="0"/>
          <w:marBottom w:val="0"/>
          <w:divBdr>
            <w:top w:val="none" w:sz="0" w:space="0" w:color="auto"/>
            <w:left w:val="none" w:sz="0" w:space="0" w:color="auto"/>
            <w:bottom w:val="none" w:sz="0" w:space="0" w:color="auto"/>
            <w:right w:val="none" w:sz="0" w:space="0" w:color="auto"/>
          </w:divBdr>
        </w:div>
        <w:div w:id="2057965009">
          <w:marLeft w:val="0"/>
          <w:marRight w:val="0"/>
          <w:marTop w:val="0"/>
          <w:marBottom w:val="0"/>
          <w:divBdr>
            <w:top w:val="none" w:sz="0" w:space="0" w:color="auto"/>
            <w:left w:val="none" w:sz="0" w:space="0" w:color="auto"/>
            <w:bottom w:val="none" w:sz="0" w:space="0" w:color="auto"/>
            <w:right w:val="none" w:sz="0" w:space="0" w:color="auto"/>
          </w:divBdr>
        </w:div>
        <w:div w:id="304356357">
          <w:marLeft w:val="0"/>
          <w:marRight w:val="0"/>
          <w:marTop w:val="0"/>
          <w:marBottom w:val="0"/>
          <w:divBdr>
            <w:top w:val="none" w:sz="0" w:space="0" w:color="auto"/>
            <w:left w:val="none" w:sz="0" w:space="0" w:color="auto"/>
            <w:bottom w:val="none" w:sz="0" w:space="0" w:color="auto"/>
            <w:right w:val="none" w:sz="0" w:space="0" w:color="auto"/>
          </w:divBdr>
        </w:div>
        <w:div w:id="2045279018">
          <w:marLeft w:val="0"/>
          <w:marRight w:val="0"/>
          <w:marTop w:val="0"/>
          <w:marBottom w:val="0"/>
          <w:divBdr>
            <w:top w:val="none" w:sz="0" w:space="0" w:color="auto"/>
            <w:left w:val="none" w:sz="0" w:space="0" w:color="auto"/>
            <w:bottom w:val="none" w:sz="0" w:space="0" w:color="auto"/>
            <w:right w:val="none" w:sz="0" w:space="0" w:color="auto"/>
          </w:divBdr>
        </w:div>
        <w:div w:id="819691097">
          <w:marLeft w:val="0"/>
          <w:marRight w:val="0"/>
          <w:marTop w:val="0"/>
          <w:marBottom w:val="0"/>
          <w:divBdr>
            <w:top w:val="none" w:sz="0" w:space="0" w:color="auto"/>
            <w:left w:val="none" w:sz="0" w:space="0" w:color="auto"/>
            <w:bottom w:val="none" w:sz="0" w:space="0" w:color="auto"/>
            <w:right w:val="none" w:sz="0" w:space="0" w:color="auto"/>
          </w:divBdr>
        </w:div>
        <w:div w:id="1492991329">
          <w:marLeft w:val="0"/>
          <w:marRight w:val="0"/>
          <w:marTop w:val="0"/>
          <w:marBottom w:val="0"/>
          <w:divBdr>
            <w:top w:val="none" w:sz="0" w:space="0" w:color="auto"/>
            <w:left w:val="none" w:sz="0" w:space="0" w:color="auto"/>
            <w:bottom w:val="none" w:sz="0" w:space="0" w:color="auto"/>
            <w:right w:val="none" w:sz="0" w:space="0" w:color="auto"/>
          </w:divBdr>
        </w:div>
        <w:div w:id="1040864966">
          <w:marLeft w:val="0"/>
          <w:marRight w:val="0"/>
          <w:marTop w:val="0"/>
          <w:marBottom w:val="0"/>
          <w:divBdr>
            <w:top w:val="none" w:sz="0" w:space="0" w:color="auto"/>
            <w:left w:val="none" w:sz="0" w:space="0" w:color="auto"/>
            <w:bottom w:val="none" w:sz="0" w:space="0" w:color="auto"/>
            <w:right w:val="none" w:sz="0" w:space="0" w:color="auto"/>
          </w:divBdr>
        </w:div>
      </w:divsChild>
    </w:div>
    <w:div w:id="689339635">
      <w:bodyDiv w:val="1"/>
      <w:marLeft w:val="0"/>
      <w:marRight w:val="0"/>
      <w:marTop w:val="0"/>
      <w:marBottom w:val="0"/>
      <w:divBdr>
        <w:top w:val="none" w:sz="0" w:space="0" w:color="auto"/>
        <w:left w:val="none" w:sz="0" w:space="0" w:color="auto"/>
        <w:bottom w:val="none" w:sz="0" w:space="0" w:color="auto"/>
        <w:right w:val="none" w:sz="0" w:space="0" w:color="auto"/>
      </w:divBdr>
    </w:div>
    <w:div w:id="749303972">
      <w:bodyDiv w:val="1"/>
      <w:marLeft w:val="0"/>
      <w:marRight w:val="0"/>
      <w:marTop w:val="0"/>
      <w:marBottom w:val="0"/>
      <w:divBdr>
        <w:top w:val="none" w:sz="0" w:space="0" w:color="auto"/>
        <w:left w:val="none" w:sz="0" w:space="0" w:color="auto"/>
        <w:bottom w:val="none" w:sz="0" w:space="0" w:color="auto"/>
        <w:right w:val="none" w:sz="0" w:space="0" w:color="auto"/>
      </w:divBdr>
      <w:divsChild>
        <w:div w:id="668168986">
          <w:marLeft w:val="0"/>
          <w:marRight w:val="0"/>
          <w:marTop w:val="0"/>
          <w:marBottom w:val="0"/>
          <w:divBdr>
            <w:top w:val="none" w:sz="0" w:space="0" w:color="auto"/>
            <w:left w:val="none" w:sz="0" w:space="0" w:color="auto"/>
            <w:bottom w:val="none" w:sz="0" w:space="0" w:color="auto"/>
            <w:right w:val="none" w:sz="0" w:space="0" w:color="auto"/>
          </w:divBdr>
        </w:div>
        <w:div w:id="1385908566">
          <w:marLeft w:val="0"/>
          <w:marRight w:val="0"/>
          <w:marTop w:val="0"/>
          <w:marBottom w:val="0"/>
          <w:divBdr>
            <w:top w:val="none" w:sz="0" w:space="0" w:color="auto"/>
            <w:left w:val="none" w:sz="0" w:space="0" w:color="auto"/>
            <w:bottom w:val="none" w:sz="0" w:space="0" w:color="auto"/>
            <w:right w:val="none" w:sz="0" w:space="0" w:color="auto"/>
          </w:divBdr>
        </w:div>
        <w:div w:id="1957635992">
          <w:marLeft w:val="0"/>
          <w:marRight w:val="0"/>
          <w:marTop w:val="0"/>
          <w:marBottom w:val="0"/>
          <w:divBdr>
            <w:top w:val="none" w:sz="0" w:space="0" w:color="auto"/>
            <w:left w:val="none" w:sz="0" w:space="0" w:color="auto"/>
            <w:bottom w:val="none" w:sz="0" w:space="0" w:color="auto"/>
            <w:right w:val="none" w:sz="0" w:space="0" w:color="auto"/>
          </w:divBdr>
        </w:div>
        <w:div w:id="124279029">
          <w:marLeft w:val="0"/>
          <w:marRight w:val="0"/>
          <w:marTop w:val="0"/>
          <w:marBottom w:val="0"/>
          <w:divBdr>
            <w:top w:val="none" w:sz="0" w:space="0" w:color="auto"/>
            <w:left w:val="none" w:sz="0" w:space="0" w:color="auto"/>
            <w:bottom w:val="none" w:sz="0" w:space="0" w:color="auto"/>
            <w:right w:val="none" w:sz="0" w:space="0" w:color="auto"/>
          </w:divBdr>
        </w:div>
        <w:div w:id="1095326921">
          <w:marLeft w:val="0"/>
          <w:marRight w:val="0"/>
          <w:marTop w:val="0"/>
          <w:marBottom w:val="0"/>
          <w:divBdr>
            <w:top w:val="none" w:sz="0" w:space="0" w:color="auto"/>
            <w:left w:val="none" w:sz="0" w:space="0" w:color="auto"/>
            <w:bottom w:val="none" w:sz="0" w:space="0" w:color="auto"/>
            <w:right w:val="none" w:sz="0" w:space="0" w:color="auto"/>
          </w:divBdr>
        </w:div>
        <w:div w:id="1039671134">
          <w:marLeft w:val="0"/>
          <w:marRight w:val="0"/>
          <w:marTop w:val="0"/>
          <w:marBottom w:val="0"/>
          <w:divBdr>
            <w:top w:val="none" w:sz="0" w:space="0" w:color="auto"/>
            <w:left w:val="none" w:sz="0" w:space="0" w:color="auto"/>
            <w:bottom w:val="none" w:sz="0" w:space="0" w:color="auto"/>
            <w:right w:val="none" w:sz="0" w:space="0" w:color="auto"/>
          </w:divBdr>
        </w:div>
        <w:div w:id="1955208046">
          <w:marLeft w:val="0"/>
          <w:marRight w:val="0"/>
          <w:marTop w:val="0"/>
          <w:marBottom w:val="0"/>
          <w:divBdr>
            <w:top w:val="none" w:sz="0" w:space="0" w:color="auto"/>
            <w:left w:val="none" w:sz="0" w:space="0" w:color="auto"/>
            <w:bottom w:val="none" w:sz="0" w:space="0" w:color="auto"/>
            <w:right w:val="none" w:sz="0" w:space="0" w:color="auto"/>
          </w:divBdr>
        </w:div>
        <w:div w:id="1306396997">
          <w:marLeft w:val="0"/>
          <w:marRight w:val="0"/>
          <w:marTop w:val="0"/>
          <w:marBottom w:val="0"/>
          <w:divBdr>
            <w:top w:val="none" w:sz="0" w:space="0" w:color="auto"/>
            <w:left w:val="none" w:sz="0" w:space="0" w:color="auto"/>
            <w:bottom w:val="none" w:sz="0" w:space="0" w:color="auto"/>
            <w:right w:val="none" w:sz="0" w:space="0" w:color="auto"/>
          </w:divBdr>
        </w:div>
        <w:div w:id="477265779">
          <w:marLeft w:val="0"/>
          <w:marRight w:val="0"/>
          <w:marTop w:val="0"/>
          <w:marBottom w:val="0"/>
          <w:divBdr>
            <w:top w:val="none" w:sz="0" w:space="0" w:color="auto"/>
            <w:left w:val="none" w:sz="0" w:space="0" w:color="auto"/>
            <w:bottom w:val="none" w:sz="0" w:space="0" w:color="auto"/>
            <w:right w:val="none" w:sz="0" w:space="0" w:color="auto"/>
          </w:divBdr>
        </w:div>
        <w:div w:id="144130807">
          <w:marLeft w:val="0"/>
          <w:marRight w:val="0"/>
          <w:marTop w:val="0"/>
          <w:marBottom w:val="0"/>
          <w:divBdr>
            <w:top w:val="none" w:sz="0" w:space="0" w:color="auto"/>
            <w:left w:val="none" w:sz="0" w:space="0" w:color="auto"/>
            <w:bottom w:val="none" w:sz="0" w:space="0" w:color="auto"/>
            <w:right w:val="none" w:sz="0" w:space="0" w:color="auto"/>
          </w:divBdr>
        </w:div>
        <w:div w:id="209534232">
          <w:marLeft w:val="0"/>
          <w:marRight w:val="0"/>
          <w:marTop w:val="0"/>
          <w:marBottom w:val="0"/>
          <w:divBdr>
            <w:top w:val="none" w:sz="0" w:space="0" w:color="auto"/>
            <w:left w:val="none" w:sz="0" w:space="0" w:color="auto"/>
            <w:bottom w:val="none" w:sz="0" w:space="0" w:color="auto"/>
            <w:right w:val="none" w:sz="0" w:space="0" w:color="auto"/>
          </w:divBdr>
        </w:div>
        <w:div w:id="1534994693">
          <w:marLeft w:val="0"/>
          <w:marRight w:val="0"/>
          <w:marTop w:val="0"/>
          <w:marBottom w:val="0"/>
          <w:divBdr>
            <w:top w:val="none" w:sz="0" w:space="0" w:color="auto"/>
            <w:left w:val="none" w:sz="0" w:space="0" w:color="auto"/>
            <w:bottom w:val="none" w:sz="0" w:space="0" w:color="auto"/>
            <w:right w:val="none" w:sz="0" w:space="0" w:color="auto"/>
          </w:divBdr>
        </w:div>
        <w:div w:id="797844962">
          <w:marLeft w:val="0"/>
          <w:marRight w:val="0"/>
          <w:marTop w:val="0"/>
          <w:marBottom w:val="0"/>
          <w:divBdr>
            <w:top w:val="none" w:sz="0" w:space="0" w:color="auto"/>
            <w:left w:val="none" w:sz="0" w:space="0" w:color="auto"/>
            <w:bottom w:val="none" w:sz="0" w:space="0" w:color="auto"/>
            <w:right w:val="none" w:sz="0" w:space="0" w:color="auto"/>
          </w:divBdr>
        </w:div>
        <w:div w:id="1667435137">
          <w:marLeft w:val="0"/>
          <w:marRight w:val="0"/>
          <w:marTop w:val="0"/>
          <w:marBottom w:val="0"/>
          <w:divBdr>
            <w:top w:val="none" w:sz="0" w:space="0" w:color="auto"/>
            <w:left w:val="none" w:sz="0" w:space="0" w:color="auto"/>
            <w:bottom w:val="none" w:sz="0" w:space="0" w:color="auto"/>
            <w:right w:val="none" w:sz="0" w:space="0" w:color="auto"/>
          </w:divBdr>
        </w:div>
        <w:div w:id="210503345">
          <w:marLeft w:val="0"/>
          <w:marRight w:val="0"/>
          <w:marTop w:val="0"/>
          <w:marBottom w:val="0"/>
          <w:divBdr>
            <w:top w:val="none" w:sz="0" w:space="0" w:color="auto"/>
            <w:left w:val="none" w:sz="0" w:space="0" w:color="auto"/>
            <w:bottom w:val="none" w:sz="0" w:space="0" w:color="auto"/>
            <w:right w:val="none" w:sz="0" w:space="0" w:color="auto"/>
          </w:divBdr>
        </w:div>
        <w:div w:id="894003449">
          <w:marLeft w:val="0"/>
          <w:marRight w:val="0"/>
          <w:marTop w:val="0"/>
          <w:marBottom w:val="0"/>
          <w:divBdr>
            <w:top w:val="none" w:sz="0" w:space="0" w:color="auto"/>
            <w:left w:val="none" w:sz="0" w:space="0" w:color="auto"/>
            <w:bottom w:val="none" w:sz="0" w:space="0" w:color="auto"/>
            <w:right w:val="none" w:sz="0" w:space="0" w:color="auto"/>
          </w:divBdr>
        </w:div>
        <w:div w:id="1363945350">
          <w:marLeft w:val="0"/>
          <w:marRight w:val="0"/>
          <w:marTop w:val="0"/>
          <w:marBottom w:val="0"/>
          <w:divBdr>
            <w:top w:val="none" w:sz="0" w:space="0" w:color="auto"/>
            <w:left w:val="none" w:sz="0" w:space="0" w:color="auto"/>
            <w:bottom w:val="none" w:sz="0" w:space="0" w:color="auto"/>
            <w:right w:val="none" w:sz="0" w:space="0" w:color="auto"/>
          </w:divBdr>
        </w:div>
        <w:div w:id="1589269164">
          <w:marLeft w:val="0"/>
          <w:marRight w:val="0"/>
          <w:marTop w:val="0"/>
          <w:marBottom w:val="0"/>
          <w:divBdr>
            <w:top w:val="none" w:sz="0" w:space="0" w:color="auto"/>
            <w:left w:val="none" w:sz="0" w:space="0" w:color="auto"/>
            <w:bottom w:val="none" w:sz="0" w:space="0" w:color="auto"/>
            <w:right w:val="none" w:sz="0" w:space="0" w:color="auto"/>
          </w:divBdr>
        </w:div>
        <w:div w:id="757945197">
          <w:marLeft w:val="0"/>
          <w:marRight w:val="0"/>
          <w:marTop w:val="0"/>
          <w:marBottom w:val="0"/>
          <w:divBdr>
            <w:top w:val="none" w:sz="0" w:space="0" w:color="auto"/>
            <w:left w:val="none" w:sz="0" w:space="0" w:color="auto"/>
            <w:bottom w:val="none" w:sz="0" w:space="0" w:color="auto"/>
            <w:right w:val="none" w:sz="0" w:space="0" w:color="auto"/>
          </w:divBdr>
        </w:div>
        <w:div w:id="611596137">
          <w:marLeft w:val="0"/>
          <w:marRight w:val="0"/>
          <w:marTop w:val="0"/>
          <w:marBottom w:val="0"/>
          <w:divBdr>
            <w:top w:val="none" w:sz="0" w:space="0" w:color="auto"/>
            <w:left w:val="none" w:sz="0" w:space="0" w:color="auto"/>
            <w:bottom w:val="none" w:sz="0" w:space="0" w:color="auto"/>
            <w:right w:val="none" w:sz="0" w:space="0" w:color="auto"/>
          </w:divBdr>
        </w:div>
        <w:div w:id="1350453332">
          <w:marLeft w:val="0"/>
          <w:marRight w:val="0"/>
          <w:marTop w:val="0"/>
          <w:marBottom w:val="0"/>
          <w:divBdr>
            <w:top w:val="none" w:sz="0" w:space="0" w:color="auto"/>
            <w:left w:val="none" w:sz="0" w:space="0" w:color="auto"/>
            <w:bottom w:val="none" w:sz="0" w:space="0" w:color="auto"/>
            <w:right w:val="none" w:sz="0" w:space="0" w:color="auto"/>
          </w:divBdr>
        </w:div>
        <w:div w:id="1563561192">
          <w:marLeft w:val="0"/>
          <w:marRight w:val="0"/>
          <w:marTop w:val="0"/>
          <w:marBottom w:val="0"/>
          <w:divBdr>
            <w:top w:val="none" w:sz="0" w:space="0" w:color="auto"/>
            <w:left w:val="none" w:sz="0" w:space="0" w:color="auto"/>
            <w:bottom w:val="none" w:sz="0" w:space="0" w:color="auto"/>
            <w:right w:val="none" w:sz="0" w:space="0" w:color="auto"/>
          </w:divBdr>
        </w:div>
      </w:divsChild>
    </w:div>
    <w:div w:id="809134415">
      <w:bodyDiv w:val="1"/>
      <w:marLeft w:val="0"/>
      <w:marRight w:val="0"/>
      <w:marTop w:val="0"/>
      <w:marBottom w:val="0"/>
      <w:divBdr>
        <w:top w:val="none" w:sz="0" w:space="0" w:color="auto"/>
        <w:left w:val="none" w:sz="0" w:space="0" w:color="auto"/>
        <w:bottom w:val="none" w:sz="0" w:space="0" w:color="auto"/>
        <w:right w:val="none" w:sz="0" w:space="0" w:color="auto"/>
      </w:divBdr>
      <w:divsChild>
        <w:div w:id="590050330">
          <w:marLeft w:val="0"/>
          <w:marRight w:val="0"/>
          <w:marTop w:val="0"/>
          <w:marBottom w:val="0"/>
          <w:divBdr>
            <w:top w:val="none" w:sz="0" w:space="0" w:color="auto"/>
            <w:left w:val="none" w:sz="0" w:space="0" w:color="auto"/>
            <w:bottom w:val="none" w:sz="0" w:space="0" w:color="auto"/>
            <w:right w:val="none" w:sz="0" w:space="0" w:color="auto"/>
          </w:divBdr>
        </w:div>
        <w:div w:id="784926830">
          <w:marLeft w:val="0"/>
          <w:marRight w:val="0"/>
          <w:marTop w:val="0"/>
          <w:marBottom w:val="0"/>
          <w:divBdr>
            <w:top w:val="none" w:sz="0" w:space="0" w:color="auto"/>
            <w:left w:val="none" w:sz="0" w:space="0" w:color="auto"/>
            <w:bottom w:val="none" w:sz="0" w:space="0" w:color="auto"/>
            <w:right w:val="none" w:sz="0" w:space="0" w:color="auto"/>
          </w:divBdr>
        </w:div>
        <w:div w:id="1967083491">
          <w:marLeft w:val="0"/>
          <w:marRight w:val="0"/>
          <w:marTop w:val="0"/>
          <w:marBottom w:val="0"/>
          <w:divBdr>
            <w:top w:val="none" w:sz="0" w:space="0" w:color="auto"/>
            <w:left w:val="none" w:sz="0" w:space="0" w:color="auto"/>
            <w:bottom w:val="none" w:sz="0" w:space="0" w:color="auto"/>
            <w:right w:val="none" w:sz="0" w:space="0" w:color="auto"/>
          </w:divBdr>
        </w:div>
        <w:div w:id="1522086595">
          <w:marLeft w:val="0"/>
          <w:marRight w:val="0"/>
          <w:marTop w:val="0"/>
          <w:marBottom w:val="0"/>
          <w:divBdr>
            <w:top w:val="none" w:sz="0" w:space="0" w:color="auto"/>
            <w:left w:val="none" w:sz="0" w:space="0" w:color="auto"/>
            <w:bottom w:val="none" w:sz="0" w:space="0" w:color="auto"/>
            <w:right w:val="none" w:sz="0" w:space="0" w:color="auto"/>
          </w:divBdr>
        </w:div>
        <w:div w:id="1818910792">
          <w:marLeft w:val="0"/>
          <w:marRight w:val="0"/>
          <w:marTop w:val="0"/>
          <w:marBottom w:val="0"/>
          <w:divBdr>
            <w:top w:val="none" w:sz="0" w:space="0" w:color="auto"/>
            <w:left w:val="none" w:sz="0" w:space="0" w:color="auto"/>
            <w:bottom w:val="none" w:sz="0" w:space="0" w:color="auto"/>
            <w:right w:val="none" w:sz="0" w:space="0" w:color="auto"/>
          </w:divBdr>
        </w:div>
        <w:div w:id="1144129142">
          <w:marLeft w:val="0"/>
          <w:marRight w:val="0"/>
          <w:marTop w:val="0"/>
          <w:marBottom w:val="0"/>
          <w:divBdr>
            <w:top w:val="none" w:sz="0" w:space="0" w:color="auto"/>
            <w:left w:val="none" w:sz="0" w:space="0" w:color="auto"/>
            <w:bottom w:val="none" w:sz="0" w:space="0" w:color="auto"/>
            <w:right w:val="none" w:sz="0" w:space="0" w:color="auto"/>
          </w:divBdr>
        </w:div>
        <w:div w:id="1735197368">
          <w:marLeft w:val="0"/>
          <w:marRight w:val="0"/>
          <w:marTop w:val="0"/>
          <w:marBottom w:val="0"/>
          <w:divBdr>
            <w:top w:val="none" w:sz="0" w:space="0" w:color="auto"/>
            <w:left w:val="none" w:sz="0" w:space="0" w:color="auto"/>
            <w:bottom w:val="none" w:sz="0" w:space="0" w:color="auto"/>
            <w:right w:val="none" w:sz="0" w:space="0" w:color="auto"/>
          </w:divBdr>
        </w:div>
        <w:div w:id="1265073615">
          <w:marLeft w:val="0"/>
          <w:marRight w:val="0"/>
          <w:marTop w:val="0"/>
          <w:marBottom w:val="0"/>
          <w:divBdr>
            <w:top w:val="none" w:sz="0" w:space="0" w:color="auto"/>
            <w:left w:val="none" w:sz="0" w:space="0" w:color="auto"/>
            <w:bottom w:val="none" w:sz="0" w:space="0" w:color="auto"/>
            <w:right w:val="none" w:sz="0" w:space="0" w:color="auto"/>
          </w:divBdr>
        </w:div>
        <w:div w:id="584994645">
          <w:marLeft w:val="0"/>
          <w:marRight w:val="0"/>
          <w:marTop w:val="0"/>
          <w:marBottom w:val="0"/>
          <w:divBdr>
            <w:top w:val="none" w:sz="0" w:space="0" w:color="auto"/>
            <w:left w:val="none" w:sz="0" w:space="0" w:color="auto"/>
            <w:bottom w:val="none" w:sz="0" w:space="0" w:color="auto"/>
            <w:right w:val="none" w:sz="0" w:space="0" w:color="auto"/>
          </w:divBdr>
        </w:div>
        <w:div w:id="143012099">
          <w:marLeft w:val="0"/>
          <w:marRight w:val="0"/>
          <w:marTop w:val="0"/>
          <w:marBottom w:val="0"/>
          <w:divBdr>
            <w:top w:val="none" w:sz="0" w:space="0" w:color="auto"/>
            <w:left w:val="none" w:sz="0" w:space="0" w:color="auto"/>
            <w:bottom w:val="none" w:sz="0" w:space="0" w:color="auto"/>
            <w:right w:val="none" w:sz="0" w:space="0" w:color="auto"/>
          </w:divBdr>
        </w:div>
        <w:div w:id="1409040586">
          <w:marLeft w:val="0"/>
          <w:marRight w:val="0"/>
          <w:marTop w:val="0"/>
          <w:marBottom w:val="0"/>
          <w:divBdr>
            <w:top w:val="none" w:sz="0" w:space="0" w:color="auto"/>
            <w:left w:val="none" w:sz="0" w:space="0" w:color="auto"/>
            <w:bottom w:val="none" w:sz="0" w:space="0" w:color="auto"/>
            <w:right w:val="none" w:sz="0" w:space="0" w:color="auto"/>
          </w:divBdr>
        </w:div>
        <w:div w:id="446435076">
          <w:marLeft w:val="0"/>
          <w:marRight w:val="0"/>
          <w:marTop w:val="0"/>
          <w:marBottom w:val="0"/>
          <w:divBdr>
            <w:top w:val="none" w:sz="0" w:space="0" w:color="auto"/>
            <w:left w:val="none" w:sz="0" w:space="0" w:color="auto"/>
            <w:bottom w:val="none" w:sz="0" w:space="0" w:color="auto"/>
            <w:right w:val="none" w:sz="0" w:space="0" w:color="auto"/>
          </w:divBdr>
        </w:div>
        <w:div w:id="147357451">
          <w:marLeft w:val="0"/>
          <w:marRight w:val="0"/>
          <w:marTop w:val="0"/>
          <w:marBottom w:val="0"/>
          <w:divBdr>
            <w:top w:val="none" w:sz="0" w:space="0" w:color="auto"/>
            <w:left w:val="none" w:sz="0" w:space="0" w:color="auto"/>
            <w:bottom w:val="none" w:sz="0" w:space="0" w:color="auto"/>
            <w:right w:val="none" w:sz="0" w:space="0" w:color="auto"/>
          </w:divBdr>
        </w:div>
        <w:div w:id="39985497">
          <w:marLeft w:val="0"/>
          <w:marRight w:val="0"/>
          <w:marTop w:val="0"/>
          <w:marBottom w:val="0"/>
          <w:divBdr>
            <w:top w:val="none" w:sz="0" w:space="0" w:color="auto"/>
            <w:left w:val="none" w:sz="0" w:space="0" w:color="auto"/>
            <w:bottom w:val="none" w:sz="0" w:space="0" w:color="auto"/>
            <w:right w:val="none" w:sz="0" w:space="0" w:color="auto"/>
          </w:divBdr>
        </w:div>
        <w:div w:id="1445004853">
          <w:marLeft w:val="0"/>
          <w:marRight w:val="0"/>
          <w:marTop w:val="0"/>
          <w:marBottom w:val="0"/>
          <w:divBdr>
            <w:top w:val="none" w:sz="0" w:space="0" w:color="auto"/>
            <w:left w:val="none" w:sz="0" w:space="0" w:color="auto"/>
            <w:bottom w:val="none" w:sz="0" w:space="0" w:color="auto"/>
            <w:right w:val="none" w:sz="0" w:space="0" w:color="auto"/>
          </w:divBdr>
        </w:div>
        <w:div w:id="573198472">
          <w:marLeft w:val="0"/>
          <w:marRight w:val="0"/>
          <w:marTop w:val="0"/>
          <w:marBottom w:val="0"/>
          <w:divBdr>
            <w:top w:val="none" w:sz="0" w:space="0" w:color="auto"/>
            <w:left w:val="none" w:sz="0" w:space="0" w:color="auto"/>
            <w:bottom w:val="none" w:sz="0" w:space="0" w:color="auto"/>
            <w:right w:val="none" w:sz="0" w:space="0" w:color="auto"/>
          </w:divBdr>
        </w:div>
        <w:div w:id="230892723">
          <w:marLeft w:val="0"/>
          <w:marRight w:val="0"/>
          <w:marTop w:val="0"/>
          <w:marBottom w:val="0"/>
          <w:divBdr>
            <w:top w:val="none" w:sz="0" w:space="0" w:color="auto"/>
            <w:left w:val="none" w:sz="0" w:space="0" w:color="auto"/>
            <w:bottom w:val="none" w:sz="0" w:space="0" w:color="auto"/>
            <w:right w:val="none" w:sz="0" w:space="0" w:color="auto"/>
          </w:divBdr>
        </w:div>
        <w:div w:id="1737782913">
          <w:marLeft w:val="0"/>
          <w:marRight w:val="0"/>
          <w:marTop w:val="0"/>
          <w:marBottom w:val="0"/>
          <w:divBdr>
            <w:top w:val="none" w:sz="0" w:space="0" w:color="auto"/>
            <w:left w:val="none" w:sz="0" w:space="0" w:color="auto"/>
            <w:bottom w:val="none" w:sz="0" w:space="0" w:color="auto"/>
            <w:right w:val="none" w:sz="0" w:space="0" w:color="auto"/>
          </w:divBdr>
        </w:div>
        <w:div w:id="1799227083">
          <w:marLeft w:val="0"/>
          <w:marRight w:val="0"/>
          <w:marTop w:val="0"/>
          <w:marBottom w:val="0"/>
          <w:divBdr>
            <w:top w:val="none" w:sz="0" w:space="0" w:color="auto"/>
            <w:left w:val="none" w:sz="0" w:space="0" w:color="auto"/>
            <w:bottom w:val="none" w:sz="0" w:space="0" w:color="auto"/>
            <w:right w:val="none" w:sz="0" w:space="0" w:color="auto"/>
          </w:divBdr>
        </w:div>
        <w:div w:id="635524480">
          <w:marLeft w:val="0"/>
          <w:marRight w:val="0"/>
          <w:marTop w:val="0"/>
          <w:marBottom w:val="0"/>
          <w:divBdr>
            <w:top w:val="none" w:sz="0" w:space="0" w:color="auto"/>
            <w:left w:val="none" w:sz="0" w:space="0" w:color="auto"/>
            <w:bottom w:val="none" w:sz="0" w:space="0" w:color="auto"/>
            <w:right w:val="none" w:sz="0" w:space="0" w:color="auto"/>
          </w:divBdr>
        </w:div>
        <w:div w:id="805319802">
          <w:marLeft w:val="0"/>
          <w:marRight w:val="0"/>
          <w:marTop w:val="0"/>
          <w:marBottom w:val="0"/>
          <w:divBdr>
            <w:top w:val="none" w:sz="0" w:space="0" w:color="auto"/>
            <w:left w:val="none" w:sz="0" w:space="0" w:color="auto"/>
            <w:bottom w:val="none" w:sz="0" w:space="0" w:color="auto"/>
            <w:right w:val="none" w:sz="0" w:space="0" w:color="auto"/>
          </w:divBdr>
        </w:div>
        <w:div w:id="866404021">
          <w:marLeft w:val="0"/>
          <w:marRight w:val="0"/>
          <w:marTop w:val="0"/>
          <w:marBottom w:val="0"/>
          <w:divBdr>
            <w:top w:val="none" w:sz="0" w:space="0" w:color="auto"/>
            <w:left w:val="none" w:sz="0" w:space="0" w:color="auto"/>
            <w:bottom w:val="none" w:sz="0" w:space="0" w:color="auto"/>
            <w:right w:val="none" w:sz="0" w:space="0" w:color="auto"/>
          </w:divBdr>
        </w:div>
        <w:div w:id="746852274">
          <w:marLeft w:val="0"/>
          <w:marRight w:val="0"/>
          <w:marTop w:val="0"/>
          <w:marBottom w:val="0"/>
          <w:divBdr>
            <w:top w:val="none" w:sz="0" w:space="0" w:color="auto"/>
            <w:left w:val="none" w:sz="0" w:space="0" w:color="auto"/>
            <w:bottom w:val="none" w:sz="0" w:space="0" w:color="auto"/>
            <w:right w:val="none" w:sz="0" w:space="0" w:color="auto"/>
          </w:divBdr>
        </w:div>
      </w:divsChild>
    </w:div>
    <w:div w:id="971131351">
      <w:bodyDiv w:val="1"/>
      <w:marLeft w:val="0"/>
      <w:marRight w:val="0"/>
      <w:marTop w:val="0"/>
      <w:marBottom w:val="0"/>
      <w:divBdr>
        <w:top w:val="none" w:sz="0" w:space="0" w:color="auto"/>
        <w:left w:val="none" w:sz="0" w:space="0" w:color="auto"/>
        <w:bottom w:val="none" w:sz="0" w:space="0" w:color="auto"/>
        <w:right w:val="none" w:sz="0" w:space="0" w:color="auto"/>
      </w:divBdr>
      <w:divsChild>
        <w:div w:id="2065563762">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564219459">
          <w:marLeft w:val="0"/>
          <w:marRight w:val="0"/>
          <w:marTop w:val="0"/>
          <w:marBottom w:val="0"/>
          <w:divBdr>
            <w:top w:val="none" w:sz="0" w:space="0" w:color="auto"/>
            <w:left w:val="none" w:sz="0" w:space="0" w:color="auto"/>
            <w:bottom w:val="none" w:sz="0" w:space="0" w:color="auto"/>
            <w:right w:val="none" w:sz="0" w:space="0" w:color="auto"/>
          </w:divBdr>
        </w:div>
        <w:div w:id="123232182">
          <w:marLeft w:val="0"/>
          <w:marRight w:val="0"/>
          <w:marTop w:val="0"/>
          <w:marBottom w:val="0"/>
          <w:divBdr>
            <w:top w:val="none" w:sz="0" w:space="0" w:color="auto"/>
            <w:left w:val="none" w:sz="0" w:space="0" w:color="auto"/>
            <w:bottom w:val="none" w:sz="0" w:space="0" w:color="auto"/>
            <w:right w:val="none" w:sz="0" w:space="0" w:color="auto"/>
          </w:divBdr>
        </w:div>
        <w:div w:id="1644314806">
          <w:marLeft w:val="0"/>
          <w:marRight w:val="0"/>
          <w:marTop w:val="0"/>
          <w:marBottom w:val="0"/>
          <w:divBdr>
            <w:top w:val="none" w:sz="0" w:space="0" w:color="auto"/>
            <w:left w:val="none" w:sz="0" w:space="0" w:color="auto"/>
            <w:bottom w:val="none" w:sz="0" w:space="0" w:color="auto"/>
            <w:right w:val="none" w:sz="0" w:space="0" w:color="auto"/>
          </w:divBdr>
        </w:div>
        <w:div w:id="239101972">
          <w:marLeft w:val="0"/>
          <w:marRight w:val="0"/>
          <w:marTop w:val="0"/>
          <w:marBottom w:val="0"/>
          <w:divBdr>
            <w:top w:val="none" w:sz="0" w:space="0" w:color="auto"/>
            <w:left w:val="none" w:sz="0" w:space="0" w:color="auto"/>
            <w:bottom w:val="none" w:sz="0" w:space="0" w:color="auto"/>
            <w:right w:val="none" w:sz="0" w:space="0" w:color="auto"/>
          </w:divBdr>
        </w:div>
        <w:div w:id="1764297138">
          <w:marLeft w:val="0"/>
          <w:marRight w:val="0"/>
          <w:marTop w:val="0"/>
          <w:marBottom w:val="0"/>
          <w:divBdr>
            <w:top w:val="none" w:sz="0" w:space="0" w:color="auto"/>
            <w:left w:val="none" w:sz="0" w:space="0" w:color="auto"/>
            <w:bottom w:val="none" w:sz="0" w:space="0" w:color="auto"/>
            <w:right w:val="none" w:sz="0" w:space="0" w:color="auto"/>
          </w:divBdr>
        </w:div>
        <w:div w:id="62528098">
          <w:marLeft w:val="0"/>
          <w:marRight w:val="0"/>
          <w:marTop w:val="0"/>
          <w:marBottom w:val="0"/>
          <w:divBdr>
            <w:top w:val="none" w:sz="0" w:space="0" w:color="auto"/>
            <w:left w:val="none" w:sz="0" w:space="0" w:color="auto"/>
            <w:bottom w:val="none" w:sz="0" w:space="0" w:color="auto"/>
            <w:right w:val="none" w:sz="0" w:space="0" w:color="auto"/>
          </w:divBdr>
        </w:div>
        <w:div w:id="524560329">
          <w:marLeft w:val="0"/>
          <w:marRight w:val="0"/>
          <w:marTop w:val="0"/>
          <w:marBottom w:val="0"/>
          <w:divBdr>
            <w:top w:val="none" w:sz="0" w:space="0" w:color="auto"/>
            <w:left w:val="none" w:sz="0" w:space="0" w:color="auto"/>
            <w:bottom w:val="none" w:sz="0" w:space="0" w:color="auto"/>
            <w:right w:val="none" w:sz="0" w:space="0" w:color="auto"/>
          </w:divBdr>
        </w:div>
        <w:div w:id="1309169562">
          <w:marLeft w:val="0"/>
          <w:marRight w:val="0"/>
          <w:marTop w:val="0"/>
          <w:marBottom w:val="0"/>
          <w:divBdr>
            <w:top w:val="none" w:sz="0" w:space="0" w:color="auto"/>
            <w:left w:val="none" w:sz="0" w:space="0" w:color="auto"/>
            <w:bottom w:val="none" w:sz="0" w:space="0" w:color="auto"/>
            <w:right w:val="none" w:sz="0" w:space="0" w:color="auto"/>
          </w:divBdr>
        </w:div>
        <w:div w:id="1376352141">
          <w:marLeft w:val="0"/>
          <w:marRight w:val="0"/>
          <w:marTop w:val="0"/>
          <w:marBottom w:val="0"/>
          <w:divBdr>
            <w:top w:val="none" w:sz="0" w:space="0" w:color="auto"/>
            <w:left w:val="none" w:sz="0" w:space="0" w:color="auto"/>
            <w:bottom w:val="none" w:sz="0" w:space="0" w:color="auto"/>
            <w:right w:val="none" w:sz="0" w:space="0" w:color="auto"/>
          </w:divBdr>
        </w:div>
        <w:div w:id="297414871">
          <w:marLeft w:val="0"/>
          <w:marRight w:val="0"/>
          <w:marTop w:val="0"/>
          <w:marBottom w:val="0"/>
          <w:divBdr>
            <w:top w:val="none" w:sz="0" w:space="0" w:color="auto"/>
            <w:left w:val="none" w:sz="0" w:space="0" w:color="auto"/>
            <w:bottom w:val="none" w:sz="0" w:space="0" w:color="auto"/>
            <w:right w:val="none" w:sz="0" w:space="0" w:color="auto"/>
          </w:divBdr>
        </w:div>
        <w:div w:id="1292782729">
          <w:marLeft w:val="0"/>
          <w:marRight w:val="0"/>
          <w:marTop w:val="0"/>
          <w:marBottom w:val="0"/>
          <w:divBdr>
            <w:top w:val="none" w:sz="0" w:space="0" w:color="auto"/>
            <w:left w:val="none" w:sz="0" w:space="0" w:color="auto"/>
            <w:bottom w:val="none" w:sz="0" w:space="0" w:color="auto"/>
            <w:right w:val="none" w:sz="0" w:space="0" w:color="auto"/>
          </w:divBdr>
        </w:div>
        <w:div w:id="1152477795">
          <w:marLeft w:val="0"/>
          <w:marRight w:val="0"/>
          <w:marTop w:val="0"/>
          <w:marBottom w:val="0"/>
          <w:divBdr>
            <w:top w:val="none" w:sz="0" w:space="0" w:color="auto"/>
            <w:left w:val="none" w:sz="0" w:space="0" w:color="auto"/>
            <w:bottom w:val="none" w:sz="0" w:space="0" w:color="auto"/>
            <w:right w:val="none" w:sz="0" w:space="0" w:color="auto"/>
          </w:divBdr>
        </w:div>
        <w:div w:id="1846246931">
          <w:marLeft w:val="0"/>
          <w:marRight w:val="0"/>
          <w:marTop w:val="0"/>
          <w:marBottom w:val="0"/>
          <w:divBdr>
            <w:top w:val="none" w:sz="0" w:space="0" w:color="auto"/>
            <w:left w:val="none" w:sz="0" w:space="0" w:color="auto"/>
            <w:bottom w:val="none" w:sz="0" w:space="0" w:color="auto"/>
            <w:right w:val="none" w:sz="0" w:space="0" w:color="auto"/>
          </w:divBdr>
        </w:div>
        <w:div w:id="1444837254">
          <w:marLeft w:val="0"/>
          <w:marRight w:val="0"/>
          <w:marTop w:val="0"/>
          <w:marBottom w:val="0"/>
          <w:divBdr>
            <w:top w:val="none" w:sz="0" w:space="0" w:color="auto"/>
            <w:left w:val="none" w:sz="0" w:space="0" w:color="auto"/>
            <w:bottom w:val="none" w:sz="0" w:space="0" w:color="auto"/>
            <w:right w:val="none" w:sz="0" w:space="0" w:color="auto"/>
          </w:divBdr>
        </w:div>
        <w:div w:id="2122843560">
          <w:marLeft w:val="0"/>
          <w:marRight w:val="0"/>
          <w:marTop w:val="0"/>
          <w:marBottom w:val="0"/>
          <w:divBdr>
            <w:top w:val="none" w:sz="0" w:space="0" w:color="auto"/>
            <w:left w:val="none" w:sz="0" w:space="0" w:color="auto"/>
            <w:bottom w:val="none" w:sz="0" w:space="0" w:color="auto"/>
            <w:right w:val="none" w:sz="0" w:space="0" w:color="auto"/>
          </w:divBdr>
        </w:div>
        <w:div w:id="31001276">
          <w:marLeft w:val="0"/>
          <w:marRight w:val="0"/>
          <w:marTop w:val="0"/>
          <w:marBottom w:val="0"/>
          <w:divBdr>
            <w:top w:val="none" w:sz="0" w:space="0" w:color="auto"/>
            <w:left w:val="none" w:sz="0" w:space="0" w:color="auto"/>
            <w:bottom w:val="none" w:sz="0" w:space="0" w:color="auto"/>
            <w:right w:val="none" w:sz="0" w:space="0" w:color="auto"/>
          </w:divBdr>
        </w:div>
        <w:div w:id="1580670975">
          <w:marLeft w:val="0"/>
          <w:marRight w:val="0"/>
          <w:marTop w:val="0"/>
          <w:marBottom w:val="0"/>
          <w:divBdr>
            <w:top w:val="none" w:sz="0" w:space="0" w:color="auto"/>
            <w:left w:val="none" w:sz="0" w:space="0" w:color="auto"/>
            <w:bottom w:val="none" w:sz="0" w:space="0" w:color="auto"/>
            <w:right w:val="none" w:sz="0" w:space="0" w:color="auto"/>
          </w:divBdr>
        </w:div>
        <w:div w:id="61492279">
          <w:marLeft w:val="0"/>
          <w:marRight w:val="0"/>
          <w:marTop w:val="0"/>
          <w:marBottom w:val="0"/>
          <w:divBdr>
            <w:top w:val="none" w:sz="0" w:space="0" w:color="auto"/>
            <w:left w:val="none" w:sz="0" w:space="0" w:color="auto"/>
            <w:bottom w:val="none" w:sz="0" w:space="0" w:color="auto"/>
            <w:right w:val="none" w:sz="0" w:space="0" w:color="auto"/>
          </w:divBdr>
        </w:div>
        <w:div w:id="1749420518">
          <w:marLeft w:val="0"/>
          <w:marRight w:val="0"/>
          <w:marTop w:val="0"/>
          <w:marBottom w:val="0"/>
          <w:divBdr>
            <w:top w:val="none" w:sz="0" w:space="0" w:color="auto"/>
            <w:left w:val="none" w:sz="0" w:space="0" w:color="auto"/>
            <w:bottom w:val="none" w:sz="0" w:space="0" w:color="auto"/>
            <w:right w:val="none" w:sz="0" w:space="0" w:color="auto"/>
          </w:divBdr>
        </w:div>
      </w:divsChild>
    </w:div>
    <w:div w:id="989217098">
      <w:bodyDiv w:val="1"/>
      <w:marLeft w:val="0"/>
      <w:marRight w:val="0"/>
      <w:marTop w:val="0"/>
      <w:marBottom w:val="0"/>
      <w:divBdr>
        <w:top w:val="none" w:sz="0" w:space="0" w:color="auto"/>
        <w:left w:val="none" w:sz="0" w:space="0" w:color="auto"/>
        <w:bottom w:val="none" w:sz="0" w:space="0" w:color="auto"/>
        <w:right w:val="none" w:sz="0" w:space="0" w:color="auto"/>
      </w:divBdr>
    </w:div>
    <w:div w:id="1087921317">
      <w:bodyDiv w:val="1"/>
      <w:marLeft w:val="0"/>
      <w:marRight w:val="0"/>
      <w:marTop w:val="0"/>
      <w:marBottom w:val="0"/>
      <w:divBdr>
        <w:top w:val="none" w:sz="0" w:space="0" w:color="auto"/>
        <w:left w:val="none" w:sz="0" w:space="0" w:color="auto"/>
        <w:bottom w:val="none" w:sz="0" w:space="0" w:color="auto"/>
        <w:right w:val="none" w:sz="0" w:space="0" w:color="auto"/>
      </w:divBdr>
    </w:div>
    <w:div w:id="1163933830">
      <w:bodyDiv w:val="1"/>
      <w:marLeft w:val="0"/>
      <w:marRight w:val="0"/>
      <w:marTop w:val="0"/>
      <w:marBottom w:val="0"/>
      <w:divBdr>
        <w:top w:val="none" w:sz="0" w:space="0" w:color="auto"/>
        <w:left w:val="none" w:sz="0" w:space="0" w:color="auto"/>
        <w:bottom w:val="none" w:sz="0" w:space="0" w:color="auto"/>
        <w:right w:val="none" w:sz="0" w:space="0" w:color="auto"/>
      </w:divBdr>
      <w:divsChild>
        <w:div w:id="2041003634">
          <w:marLeft w:val="0"/>
          <w:marRight w:val="0"/>
          <w:marTop w:val="0"/>
          <w:marBottom w:val="0"/>
          <w:divBdr>
            <w:top w:val="none" w:sz="0" w:space="0" w:color="auto"/>
            <w:left w:val="none" w:sz="0" w:space="0" w:color="auto"/>
            <w:bottom w:val="none" w:sz="0" w:space="0" w:color="auto"/>
            <w:right w:val="none" w:sz="0" w:space="0" w:color="auto"/>
          </w:divBdr>
        </w:div>
        <w:div w:id="872114566">
          <w:marLeft w:val="0"/>
          <w:marRight w:val="0"/>
          <w:marTop w:val="0"/>
          <w:marBottom w:val="0"/>
          <w:divBdr>
            <w:top w:val="none" w:sz="0" w:space="0" w:color="auto"/>
            <w:left w:val="none" w:sz="0" w:space="0" w:color="auto"/>
            <w:bottom w:val="none" w:sz="0" w:space="0" w:color="auto"/>
            <w:right w:val="none" w:sz="0" w:space="0" w:color="auto"/>
          </w:divBdr>
        </w:div>
        <w:div w:id="1867600229">
          <w:marLeft w:val="0"/>
          <w:marRight w:val="0"/>
          <w:marTop w:val="0"/>
          <w:marBottom w:val="0"/>
          <w:divBdr>
            <w:top w:val="none" w:sz="0" w:space="0" w:color="auto"/>
            <w:left w:val="none" w:sz="0" w:space="0" w:color="auto"/>
            <w:bottom w:val="none" w:sz="0" w:space="0" w:color="auto"/>
            <w:right w:val="none" w:sz="0" w:space="0" w:color="auto"/>
          </w:divBdr>
        </w:div>
        <w:div w:id="1111584321">
          <w:marLeft w:val="0"/>
          <w:marRight w:val="0"/>
          <w:marTop w:val="0"/>
          <w:marBottom w:val="0"/>
          <w:divBdr>
            <w:top w:val="none" w:sz="0" w:space="0" w:color="auto"/>
            <w:left w:val="none" w:sz="0" w:space="0" w:color="auto"/>
            <w:bottom w:val="none" w:sz="0" w:space="0" w:color="auto"/>
            <w:right w:val="none" w:sz="0" w:space="0" w:color="auto"/>
          </w:divBdr>
        </w:div>
        <w:div w:id="1387796613">
          <w:marLeft w:val="0"/>
          <w:marRight w:val="0"/>
          <w:marTop w:val="0"/>
          <w:marBottom w:val="0"/>
          <w:divBdr>
            <w:top w:val="none" w:sz="0" w:space="0" w:color="auto"/>
            <w:left w:val="none" w:sz="0" w:space="0" w:color="auto"/>
            <w:bottom w:val="none" w:sz="0" w:space="0" w:color="auto"/>
            <w:right w:val="none" w:sz="0" w:space="0" w:color="auto"/>
          </w:divBdr>
        </w:div>
        <w:div w:id="975798012">
          <w:marLeft w:val="0"/>
          <w:marRight w:val="0"/>
          <w:marTop w:val="0"/>
          <w:marBottom w:val="0"/>
          <w:divBdr>
            <w:top w:val="none" w:sz="0" w:space="0" w:color="auto"/>
            <w:left w:val="none" w:sz="0" w:space="0" w:color="auto"/>
            <w:bottom w:val="none" w:sz="0" w:space="0" w:color="auto"/>
            <w:right w:val="none" w:sz="0" w:space="0" w:color="auto"/>
          </w:divBdr>
        </w:div>
        <w:div w:id="886139439">
          <w:marLeft w:val="0"/>
          <w:marRight w:val="0"/>
          <w:marTop w:val="0"/>
          <w:marBottom w:val="0"/>
          <w:divBdr>
            <w:top w:val="none" w:sz="0" w:space="0" w:color="auto"/>
            <w:left w:val="none" w:sz="0" w:space="0" w:color="auto"/>
            <w:bottom w:val="none" w:sz="0" w:space="0" w:color="auto"/>
            <w:right w:val="none" w:sz="0" w:space="0" w:color="auto"/>
          </w:divBdr>
        </w:div>
        <w:div w:id="848064929">
          <w:marLeft w:val="0"/>
          <w:marRight w:val="0"/>
          <w:marTop w:val="0"/>
          <w:marBottom w:val="0"/>
          <w:divBdr>
            <w:top w:val="none" w:sz="0" w:space="0" w:color="auto"/>
            <w:left w:val="none" w:sz="0" w:space="0" w:color="auto"/>
            <w:bottom w:val="none" w:sz="0" w:space="0" w:color="auto"/>
            <w:right w:val="none" w:sz="0" w:space="0" w:color="auto"/>
          </w:divBdr>
        </w:div>
        <w:div w:id="1246258818">
          <w:marLeft w:val="0"/>
          <w:marRight w:val="0"/>
          <w:marTop w:val="0"/>
          <w:marBottom w:val="0"/>
          <w:divBdr>
            <w:top w:val="none" w:sz="0" w:space="0" w:color="auto"/>
            <w:left w:val="none" w:sz="0" w:space="0" w:color="auto"/>
            <w:bottom w:val="none" w:sz="0" w:space="0" w:color="auto"/>
            <w:right w:val="none" w:sz="0" w:space="0" w:color="auto"/>
          </w:divBdr>
        </w:div>
        <w:div w:id="1114178877">
          <w:marLeft w:val="0"/>
          <w:marRight w:val="0"/>
          <w:marTop w:val="0"/>
          <w:marBottom w:val="0"/>
          <w:divBdr>
            <w:top w:val="none" w:sz="0" w:space="0" w:color="auto"/>
            <w:left w:val="none" w:sz="0" w:space="0" w:color="auto"/>
            <w:bottom w:val="none" w:sz="0" w:space="0" w:color="auto"/>
            <w:right w:val="none" w:sz="0" w:space="0" w:color="auto"/>
          </w:divBdr>
        </w:div>
        <w:div w:id="1820028269">
          <w:marLeft w:val="0"/>
          <w:marRight w:val="0"/>
          <w:marTop w:val="0"/>
          <w:marBottom w:val="0"/>
          <w:divBdr>
            <w:top w:val="none" w:sz="0" w:space="0" w:color="auto"/>
            <w:left w:val="none" w:sz="0" w:space="0" w:color="auto"/>
            <w:bottom w:val="none" w:sz="0" w:space="0" w:color="auto"/>
            <w:right w:val="none" w:sz="0" w:space="0" w:color="auto"/>
          </w:divBdr>
        </w:div>
        <w:div w:id="407196918">
          <w:marLeft w:val="0"/>
          <w:marRight w:val="0"/>
          <w:marTop w:val="0"/>
          <w:marBottom w:val="0"/>
          <w:divBdr>
            <w:top w:val="none" w:sz="0" w:space="0" w:color="auto"/>
            <w:left w:val="none" w:sz="0" w:space="0" w:color="auto"/>
            <w:bottom w:val="none" w:sz="0" w:space="0" w:color="auto"/>
            <w:right w:val="none" w:sz="0" w:space="0" w:color="auto"/>
          </w:divBdr>
        </w:div>
        <w:div w:id="1949042597">
          <w:marLeft w:val="0"/>
          <w:marRight w:val="0"/>
          <w:marTop w:val="0"/>
          <w:marBottom w:val="0"/>
          <w:divBdr>
            <w:top w:val="none" w:sz="0" w:space="0" w:color="auto"/>
            <w:left w:val="none" w:sz="0" w:space="0" w:color="auto"/>
            <w:bottom w:val="none" w:sz="0" w:space="0" w:color="auto"/>
            <w:right w:val="none" w:sz="0" w:space="0" w:color="auto"/>
          </w:divBdr>
        </w:div>
        <w:div w:id="1370447178">
          <w:marLeft w:val="0"/>
          <w:marRight w:val="0"/>
          <w:marTop w:val="0"/>
          <w:marBottom w:val="0"/>
          <w:divBdr>
            <w:top w:val="none" w:sz="0" w:space="0" w:color="auto"/>
            <w:left w:val="none" w:sz="0" w:space="0" w:color="auto"/>
            <w:bottom w:val="none" w:sz="0" w:space="0" w:color="auto"/>
            <w:right w:val="none" w:sz="0" w:space="0" w:color="auto"/>
          </w:divBdr>
        </w:div>
        <w:div w:id="2023236671">
          <w:marLeft w:val="0"/>
          <w:marRight w:val="0"/>
          <w:marTop w:val="0"/>
          <w:marBottom w:val="0"/>
          <w:divBdr>
            <w:top w:val="none" w:sz="0" w:space="0" w:color="auto"/>
            <w:left w:val="none" w:sz="0" w:space="0" w:color="auto"/>
            <w:bottom w:val="none" w:sz="0" w:space="0" w:color="auto"/>
            <w:right w:val="none" w:sz="0" w:space="0" w:color="auto"/>
          </w:divBdr>
        </w:div>
        <w:div w:id="275523911">
          <w:marLeft w:val="0"/>
          <w:marRight w:val="0"/>
          <w:marTop w:val="0"/>
          <w:marBottom w:val="0"/>
          <w:divBdr>
            <w:top w:val="none" w:sz="0" w:space="0" w:color="auto"/>
            <w:left w:val="none" w:sz="0" w:space="0" w:color="auto"/>
            <w:bottom w:val="none" w:sz="0" w:space="0" w:color="auto"/>
            <w:right w:val="none" w:sz="0" w:space="0" w:color="auto"/>
          </w:divBdr>
        </w:div>
        <w:div w:id="660356575">
          <w:marLeft w:val="0"/>
          <w:marRight w:val="0"/>
          <w:marTop w:val="0"/>
          <w:marBottom w:val="0"/>
          <w:divBdr>
            <w:top w:val="none" w:sz="0" w:space="0" w:color="auto"/>
            <w:left w:val="none" w:sz="0" w:space="0" w:color="auto"/>
            <w:bottom w:val="none" w:sz="0" w:space="0" w:color="auto"/>
            <w:right w:val="none" w:sz="0" w:space="0" w:color="auto"/>
          </w:divBdr>
        </w:div>
        <w:div w:id="1033775482">
          <w:marLeft w:val="0"/>
          <w:marRight w:val="0"/>
          <w:marTop w:val="0"/>
          <w:marBottom w:val="0"/>
          <w:divBdr>
            <w:top w:val="none" w:sz="0" w:space="0" w:color="auto"/>
            <w:left w:val="none" w:sz="0" w:space="0" w:color="auto"/>
            <w:bottom w:val="none" w:sz="0" w:space="0" w:color="auto"/>
            <w:right w:val="none" w:sz="0" w:space="0" w:color="auto"/>
          </w:divBdr>
        </w:div>
        <w:div w:id="1235778619">
          <w:marLeft w:val="0"/>
          <w:marRight w:val="0"/>
          <w:marTop w:val="0"/>
          <w:marBottom w:val="0"/>
          <w:divBdr>
            <w:top w:val="none" w:sz="0" w:space="0" w:color="auto"/>
            <w:left w:val="none" w:sz="0" w:space="0" w:color="auto"/>
            <w:bottom w:val="none" w:sz="0" w:space="0" w:color="auto"/>
            <w:right w:val="none" w:sz="0" w:space="0" w:color="auto"/>
          </w:divBdr>
        </w:div>
        <w:div w:id="224994663">
          <w:marLeft w:val="0"/>
          <w:marRight w:val="0"/>
          <w:marTop w:val="0"/>
          <w:marBottom w:val="0"/>
          <w:divBdr>
            <w:top w:val="none" w:sz="0" w:space="0" w:color="auto"/>
            <w:left w:val="none" w:sz="0" w:space="0" w:color="auto"/>
            <w:bottom w:val="none" w:sz="0" w:space="0" w:color="auto"/>
            <w:right w:val="none" w:sz="0" w:space="0" w:color="auto"/>
          </w:divBdr>
        </w:div>
        <w:div w:id="8223545">
          <w:marLeft w:val="0"/>
          <w:marRight w:val="0"/>
          <w:marTop w:val="0"/>
          <w:marBottom w:val="0"/>
          <w:divBdr>
            <w:top w:val="none" w:sz="0" w:space="0" w:color="auto"/>
            <w:left w:val="none" w:sz="0" w:space="0" w:color="auto"/>
            <w:bottom w:val="none" w:sz="0" w:space="0" w:color="auto"/>
            <w:right w:val="none" w:sz="0" w:space="0" w:color="auto"/>
          </w:divBdr>
        </w:div>
        <w:div w:id="1859470159">
          <w:marLeft w:val="0"/>
          <w:marRight w:val="0"/>
          <w:marTop w:val="0"/>
          <w:marBottom w:val="0"/>
          <w:divBdr>
            <w:top w:val="none" w:sz="0" w:space="0" w:color="auto"/>
            <w:left w:val="none" w:sz="0" w:space="0" w:color="auto"/>
            <w:bottom w:val="none" w:sz="0" w:space="0" w:color="auto"/>
            <w:right w:val="none" w:sz="0" w:space="0" w:color="auto"/>
          </w:divBdr>
        </w:div>
        <w:div w:id="1108084478">
          <w:marLeft w:val="0"/>
          <w:marRight w:val="0"/>
          <w:marTop w:val="0"/>
          <w:marBottom w:val="0"/>
          <w:divBdr>
            <w:top w:val="none" w:sz="0" w:space="0" w:color="auto"/>
            <w:left w:val="none" w:sz="0" w:space="0" w:color="auto"/>
            <w:bottom w:val="none" w:sz="0" w:space="0" w:color="auto"/>
            <w:right w:val="none" w:sz="0" w:space="0" w:color="auto"/>
          </w:divBdr>
        </w:div>
      </w:divsChild>
    </w:div>
    <w:div w:id="1176530056">
      <w:bodyDiv w:val="1"/>
      <w:marLeft w:val="0"/>
      <w:marRight w:val="0"/>
      <w:marTop w:val="0"/>
      <w:marBottom w:val="0"/>
      <w:divBdr>
        <w:top w:val="none" w:sz="0" w:space="0" w:color="auto"/>
        <w:left w:val="none" w:sz="0" w:space="0" w:color="auto"/>
        <w:bottom w:val="none" w:sz="0" w:space="0" w:color="auto"/>
        <w:right w:val="none" w:sz="0" w:space="0" w:color="auto"/>
      </w:divBdr>
    </w:div>
    <w:div w:id="1462458589">
      <w:bodyDiv w:val="1"/>
      <w:marLeft w:val="0"/>
      <w:marRight w:val="0"/>
      <w:marTop w:val="0"/>
      <w:marBottom w:val="0"/>
      <w:divBdr>
        <w:top w:val="none" w:sz="0" w:space="0" w:color="auto"/>
        <w:left w:val="none" w:sz="0" w:space="0" w:color="auto"/>
        <w:bottom w:val="none" w:sz="0" w:space="0" w:color="auto"/>
        <w:right w:val="none" w:sz="0" w:space="0" w:color="auto"/>
      </w:divBdr>
      <w:divsChild>
        <w:div w:id="286400537">
          <w:marLeft w:val="0"/>
          <w:marRight w:val="0"/>
          <w:marTop w:val="0"/>
          <w:marBottom w:val="0"/>
          <w:divBdr>
            <w:top w:val="none" w:sz="0" w:space="0" w:color="auto"/>
            <w:left w:val="none" w:sz="0" w:space="0" w:color="auto"/>
            <w:bottom w:val="none" w:sz="0" w:space="0" w:color="auto"/>
            <w:right w:val="none" w:sz="0" w:space="0" w:color="auto"/>
          </w:divBdr>
        </w:div>
        <w:div w:id="1740471427">
          <w:marLeft w:val="0"/>
          <w:marRight w:val="0"/>
          <w:marTop w:val="0"/>
          <w:marBottom w:val="0"/>
          <w:divBdr>
            <w:top w:val="none" w:sz="0" w:space="0" w:color="auto"/>
            <w:left w:val="none" w:sz="0" w:space="0" w:color="auto"/>
            <w:bottom w:val="none" w:sz="0" w:space="0" w:color="auto"/>
            <w:right w:val="none" w:sz="0" w:space="0" w:color="auto"/>
          </w:divBdr>
        </w:div>
        <w:div w:id="1758600018">
          <w:marLeft w:val="0"/>
          <w:marRight w:val="0"/>
          <w:marTop w:val="0"/>
          <w:marBottom w:val="0"/>
          <w:divBdr>
            <w:top w:val="none" w:sz="0" w:space="0" w:color="auto"/>
            <w:left w:val="none" w:sz="0" w:space="0" w:color="auto"/>
            <w:bottom w:val="none" w:sz="0" w:space="0" w:color="auto"/>
            <w:right w:val="none" w:sz="0" w:space="0" w:color="auto"/>
          </w:divBdr>
        </w:div>
        <w:div w:id="779568154">
          <w:marLeft w:val="0"/>
          <w:marRight w:val="0"/>
          <w:marTop w:val="0"/>
          <w:marBottom w:val="0"/>
          <w:divBdr>
            <w:top w:val="none" w:sz="0" w:space="0" w:color="auto"/>
            <w:left w:val="none" w:sz="0" w:space="0" w:color="auto"/>
            <w:bottom w:val="none" w:sz="0" w:space="0" w:color="auto"/>
            <w:right w:val="none" w:sz="0" w:space="0" w:color="auto"/>
          </w:divBdr>
        </w:div>
        <w:div w:id="794300843">
          <w:marLeft w:val="0"/>
          <w:marRight w:val="0"/>
          <w:marTop w:val="0"/>
          <w:marBottom w:val="0"/>
          <w:divBdr>
            <w:top w:val="none" w:sz="0" w:space="0" w:color="auto"/>
            <w:left w:val="none" w:sz="0" w:space="0" w:color="auto"/>
            <w:bottom w:val="none" w:sz="0" w:space="0" w:color="auto"/>
            <w:right w:val="none" w:sz="0" w:space="0" w:color="auto"/>
          </w:divBdr>
        </w:div>
        <w:div w:id="1266308096">
          <w:marLeft w:val="0"/>
          <w:marRight w:val="0"/>
          <w:marTop w:val="0"/>
          <w:marBottom w:val="0"/>
          <w:divBdr>
            <w:top w:val="none" w:sz="0" w:space="0" w:color="auto"/>
            <w:left w:val="none" w:sz="0" w:space="0" w:color="auto"/>
            <w:bottom w:val="none" w:sz="0" w:space="0" w:color="auto"/>
            <w:right w:val="none" w:sz="0" w:space="0" w:color="auto"/>
          </w:divBdr>
        </w:div>
        <w:div w:id="306399489">
          <w:marLeft w:val="0"/>
          <w:marRight w:val="0"/>
          <w:marTop w:val="0"/>
          <w:marBottom w:val="0"/>
          <w:divBdr>
            <w:top w:val="none" w:sz="0" w:space="0" w:color="auto"/>
            <w:left w:val="none" w:sz="0" w:space="0" w:color="auto"/>
            <w:bottom w:val="none" w:sz="0" w:space="0" w:color="auto"/>
            <w:right w:val="none" w:sz="0" w:space="0" w:color="auto"/>
          </w:divBdr>
        </w:div>
        <w:div w:id="1338458260">
          <w:marLeft w:val="0"/>
          <w:marRight w:val="0"/>
          <w:marTop w:val="0"/>
          <w:marBottom w:val="0"/>
          <w:divBdr>
            <w:top w:val="none" w:sz="0" w:space="0" w:color="auto"/>
            <w:left w:val="none" w:sz="0" w:space="0" w:color="auto"/>
            <w:bottom w:val="none" w:sz="0" w:space="0" w:color="auto"/>
            <w:right w:val="none" w:sz="0" w:space="0" w:color="auto"/>
          </w:divBdr>
        </w:div>
        <w:div w:id="2023044208">
          <w:marLeft w:val="0"/>
          <w:marRight w:val="0"/>
          <w:marTop w:val="0"/>
          <w:marBottom w:val="0"/>
          <w:divBdr>
            <w:top w:val="none" w:sz="0" w:space="0" w:color="auto"/>
            <w:left w:val="none" w:sz="0" w:space="0" w:color="auto"/>
            <w:bottom w:val="none" w:sz="0" w:space="0" w:color="auto"/>
            <w:right w:val="none" w:sz="0" w:space="0" w:color="auto"/>
          </w:divBdr>
        </w:div>
        <w:div w:id="1324627879">
          <w:marLeft w:val="0"/>
          <w:marRight w:val="0"/>
          <w:marTop w:val="0"/>
          <w:marBottom w:val="0"/>
          <w:divBdr>
            <w:top w:val="none" w:sz="0" w:space="0" w:color="auto"/>
            <w:left w:val="none" w:sz="0" w:space="0" w:color="auto"/>
            <w:bottom w:val="none" w:sz="0" w:space="0" w:color="auto"/>
            <w:right w:val="none" w:sz="0" w:space="0" w:color="auto"/>
          </w:divBdr>
        </w:div>
        <w:div w:id="656690301">
          <w:marLeft w:val="0"/>
          <w:marRight w:val="0"/>
          <w:marTop w:val="0"/>
          <w:marBottom w:val="0"/>
          <w:divBdr>
            <w:top w:val="none" w:sz="0" w:space="0" w:color="auto"/>
            <w:left w:val="none" w:sz="0" w:space="0" w:color="auto"/>
            <w:bottom w:val="none" w:sz="0" w:space="0" w:color="auto"/>
            <w:right w:val="none" w:sz="0" w:space="0" w:color="auto"/>
          </w:divBdr>
        </w:div>
        <w:div w:id="1860118567">
          <w:marLeft w:val="0"/>
          <w:marRight w:val="0"/>
          <w:marTop w:val="0"/>
          <w:marBottom w:val="0"/>
          <w:divBdr>
            <w:top w:val="none" w:sz="0" w:space="0" w:color="auto"/>
            <w:left w:val="none" w:sz="0" w:space="0" w:color="auto"/>
            <w:bottom w:val="none" w:sz="0" w:space="0" w:color="auto"/>
            <w:right w:val="none" w:sz="0" w:space="0" w:color="auto"/>
          </w:divBdr>
        </w:div>
        <w:div w:id="1628899319">
          <w:marLeft w:val="0"/>
          <w:marRight w:val="0"/>
          <w:marTop w:val="0"/>
          <w:marBottom w:val="0"/>
          <w:divBdr>
            <w:top w:val="none" w:sz="0" w:space="0" w:color="auto"/>
            <w:left w:val="none" w:sz="0" w:space="0" w:color="auto"/>
            <w:bottom w:val="none" w:sz="0" w:space="0" w:color="auto"/>
            <w:right w:val="none" w:sz="0" w:space="0" w:color="auto"/>
          </w:divBdr>
        </w:div>
        <w:div w:id="717633607">
          <w:marLeft w:val="0"/>
          <w:marRight w:val="0"/>
          <w:marTop w:val="0"/>
          <w:marBottom w:val="0"/>
          <w:divBdr>
            <w:top w:val="none" w:sz="0" w:space="0" w:color="auto"/>
            <w:left w:val="none" w:sz="0" w:space="0" w:color="auto"/>
            <w:bottom w:val="none" w:sz="0" w:space="0" w:color="auto"/>
            <w:right w:val="none" w:sz="0" w:space="0" w:color="auto"/>
          </w:divBdr>
        </w:div>
        <w:div w:id="275217920">
          <w:marLeft w:val="0"/>
          <w:marRight w:val="0"/>
          <w:marTop w:val="0"/>
          <w:marBottom w:val="0"/>
          <w:divBdr>
            <w:top w:val="none" w:sz="0" w:space="0" w:color="auto"/>
            <w:left w:val="none" w:sz="0" w:space="0" w:color="auto"/>
            <w:bottom w:val="none" w:sz="0" w:space="0" w:color="auto"/>
            <w:right w:val="none" w:sz="0" w:space="0" w:color="auto"/>
          </w:divBdr>
        </w:div>
        <w:div w:id="2066105633">
          <w:marLeft w:val="0"/>
          <w:marRight w:val="0"/>
          <w:marTop w:val="0"/>
          <w:marBottom w:val="0"/>
          <w:divBdr>
            <w:top w:val="none" w:sz="0" w:space="0" w:color="auto"/>
            <w:left w:val="none" w:sz="0" w:space="0" w:color="auto"/>
            <w:bottom w:val="none" w:sz="0" w:space="0" w:color="auto"/>
            <w:right w:val="none" w:sz="0" w:space="0" w:color="auto"/>
          </w:divBdr>
        </w:div>
        <w:div w:id="627396068">
          <w:marLeft w:val="0"/>
          <w:marRight w:val="0"/>
          <w:marTop w:val="0"/>
          <w:marBottom w:val="0"/>
          <w:divBdr>
            <w:top w:val="none" w:sz="0" w:space="0" w:color="auto"/>
            <w:left w:val="none" w:sz="0" w:space="0" w:color="auto"/>
            <w:bottom w:val="none" w:sz="0" w:space="0" w:color="auto"/>
            <w:right w:val="none" w:sz="0" w:space="0" w:color="auto"/>
          </w:divBdr>
        </w:div>
        <w:div w:id="1320227280">
          <w:marLeft w:val="0"/>
          <w:marRight w:val="0"/>
          <w:marTop w:val="0"/>
          <w:marBottom w:val="0"/>
          <w:divBdr>
            <w:top w:val="none" w:sz="0" w:space="0" w:color="auto"/>
            <w:left w:val="none" w:sz="0" w:space="0" w:color="auto"/>
            <w:bottom w:val="none" w:sz="0" w:space="0" w:color="auto"/>
            <w:right w:val="none" w:sz="0" w:space="0" w:color="auto"/>
          </w:divBdr>
        </w:div>
        <w:div w:id="1677920851">
          <w:marLeft w:val="0"/>
          <w:marRight w:val="0"/>
          <w:marTop w:val="0"/>
          <w:marBottom w:val="0"/>
          <w:divBdr>
            <w:top w:val="none" w:sz="0" w:space="0" w:color="auto"/>
            <w:left w:val="none" w:sz="0" w:space="0" w:color="auto"/>
            <w:bottom w:val="none" w:sz="0" w:space="0" w:color="auto"/>
            <w:right w:val="none" w:sz="0" w:space="0" w:color="auto"/>
          </w:divBdr>
        </w:div>
        <w:div w:id="230821963">
          <w:marLeft w:val="0"/>
          <w:marRight w:val="0"/>
          <w:marTop w:val="0"/>
          <w:marBottom w:val="0"/>
          <w:divBdr>
            <w:top w:val="none" w:sz="0" w:space="0" w:color="auto"/>
            <w:left w:val="none" w:sz="0" w:space="0" w:color="auto"/>
            <w:bottom w:val="none" w:sz="0" w:space="0" w:color="auto"/>
            <w:right w:val="none" w:sz="0" w:space="0" w:color="auto"/>
          </w:divBdr>
        </w:div>
        <w:div w:id="351802197">
          <w:marLeft w:val="0"/>
          <w:marRight w:val="0"/>
          <w:marTop w:val="0"/>
          <w:marBottom w:val="0"/>
          <w:divBdr>
            <w:top w:val="none" w:sz="0" w:space="0" w:color="auto"/>
            <w:left w:val="none" w:sz="0" w:space="0" w:color="auto"/>
            <w:bottom w:val="none" w:sz="0" w:space="0" w:color="auto"/>
            <w:right w:val="none" w:sz="0" w:space="0" w:color="auto"/>
          </w:divBdr>
        </w:div>
        <w:div w:id="817261885">
          <w:marLeft w:val="0"/>
          <w:marRight w:val="0"/>
          <w:marTop w:val="0"/>
          <w:marBottom w:val="0"/>
          <w:divBdr>
            <w:top w:val="none" w:sz="0" w:space="0" w:color="auto"/>
            <w:left w:val="none" w:sz="0" w:space="0" w:color="auto"/>
            <w:bottom w:val="none" w:sz="0" w:space="0" w:color="auto"/>
            <w:right w:val="none" w:sz="0" w:space="0" w:color="auto"/>
          </w:divBdr>
        </w:div>
      </w:divsChild>
    </w:div>
    <w:div w:id="1632982728">
      <w:bodyDiv w:val="1"/>
      <w:marLeft w:val="0"/>
      <w:marRight w:val="0"/>
      <w:marTop w:val="0"/>
      <w:marBottom w:val="0"/>
      <w:divBdr>
        <w:top w:val="none" w:sz="0" w:space="0" w:color="auto"/>
        <w:left w:val="none" w:sz="0" w:space="0" w:color="auto"/>
        <w:bottom w:val="none" w:sz="0" w:space="0" w:color="auto"/>
        <w:right w:val="none" w:sz="0" w:space="0" w:color="auto"/>
      </w:divBdr>
      <w:divsChild>
        <w:div w:id="1033000870">
          <w:marLeft w:val="0"/>
          <w:marRight w:val="0"/>
          <w:marTop w:val="0"/>
          <w:marBottom w:val="0"/>
          <w:divBdr>
            <w:top w:val="none" w:sz="0" w:space="0" w:color="auto"/>
            <w:left w:val="none" w:sz="0" w:space="0" w:color="auto"/>
            <w:bottom w:val="none" w:sz="0" w:space="0" w:color="auto"/>
            <w:right w:val="none" w:sz="0" w:space="0" w:color="auto"/>
          </w:divBdr>
        </w:div>
        <w:div w:id="519204098">
          <w:marLeft w:val="0"/>
          <w:marRight w:val="0"/>
          <w:marTop w:val="0"/>
          <w:marBottom w:val="0"/>
          <w:divBdr>
            <w:top w:val="none" w:sz="0" w:space="0" w:color="auto"/>
            <w:left w:val="none" w:sz="0" w:space="0" w:color="auto"/>
            <w:bottom w:val="none" w:sz="0" w:space="0" w:color="auto"/>
            <w:right w:val="none" w:sz="0" w:space="0" w:color="auto"/>
          </w:divBdr>
        </w:div>
        <w:div w:id="558445225">
          <w:marLeft w:val="0"/>
          <w:marRight w:val="0"/>
          <w:marTop w:val="0"/>
          <w:marBottom w:val="0"/>
          <w:divBdr>
            <w:top w:val="none" w:sz="0" w:space="0" w:color="auto"/>
            <w:left w:val="none" w:sz="0" w:space="0" w:color="auto"/>
            <w:bottom w:val="none" w:sz="0" w:space="0" w:color="auto"/>
            <w:right w:val="none" w:sz="0" w:space="0" w:color="auto"/>
          </w:divBdr>
        </w:div>
        <w:div w:id="562326945">
          <w:marLeft w:val="0"/>
          <w:marRight w:val="0"/>
          <w:marTop w:val="0"/>
          <w:marBottom w:val="0"/>
          <w:divBdr>
            <w:top w:val="none" w:sz="0" w:space="0" w:color="auto"/>
            <w:left w:val="none" w:sz="0" w:space="0" w:color="auto"/>
            <w:bottom w:val="none" w:sz="0" w:space="0" w:color="auto"/>
            <w:right w:val="none" w:sz="0" w:space="0" w:color="auto"/>
          </w:divBdr>
        </w:div>
        <w:div w:id="1813214289">
          <w:marLeft w:val="0"/>
          <w:marRight w:val="0"/>
          <w:marTop w:val="0"/>
          <w:marBottom w:val="0"/>
          <w:divBdr>
            <w:top w:val="none" w:sz="0" w:space="0" w:color="auto"/>
            <w:left w:val="none" w:sz="0" w:space="0" w:color="auto"/>
            <w:bottom w:val="none" w:sz="0" w:space="0" w:color="auto"/>
            <w:right w:val="none" w:sz="0" w:space="0" w:color="auto"/>
          </w:divBdr>
        </w:div>
        <w:div w:id="2000226429">
          <w:marLeft w:val="0"/>
          <w:marRight w:val="0"/>
          <w:marTop w:val="0"/>
          <w:marBottom w:val="0"/>
          <w:divBdr>
            <w:top w:val="none" w:sz="0" w:space="0" w:color="auto"/>
            <w:left w:val="none" w:sz="0" w:space="0" w:color="auto"/>
            <w:bottom w:val="none" w:sz="0" w:space="0" w:color="auto"/>
            <w:right w:val="none" w:sz="0" w:space="0" w:color="auto"/>
          </w:divBdr>
        </w:div>
        <w:div w:id="767627454">
          <w:marLeft w:val="0"/>
          <w:marRight w:val="0"/>
          <w:marTop w:val="0"/>
          <w:marBottom w:val="0"/>
          <w:divBdr>
            <w:top w:val="none" w:sz="0" w:space="0" w:color="auto"/>
            <w:left w:val="none" w:sz="0" w:space="0" w:color="auto"/>
            <w:bottom w:val="none" w:sz="0" w:space="0" w:color="auto"/>
            <w:right w:val="none" w:sz="0" w:space="0" w:color="auto"/>
          </w:divBdr>
        </w:div>
        <w:div w:id="1684894816">
          <w:marLeft w:val="0"/>
          <w:marRight w:val="0"/>
          <w:marTop w:val="0"/>
          <w:marBottom w:val="0"/>
          <w:divBdr>
            <w:top w:val="none" w:sz="0" w:space="0" w:color="auto"/>
            <w:left w:val="none" w:sz="0" w:space="0" w:color="auto"/>
            <w:bottom w:val="none" w:sz="0" w:space="0" w:color="auto"/>
            <w:right w:val="none" w:sz="0" w:space="0" w:color="auto"/>
          </w:divBdr>
        </w:div>
        <w:div w:id="811170171">
          <w:marLeft w:val="0"/>
          <w:marRight w:val="0"/>
          <w:marTop w:val="0"/>
          <w:marBottom w:val="0"/>
          <w:divBdr>
            <w:top w:val="none" w:sz="0" w:space="0" w:color="auto"/>
            <w:left w:val="none" w:sz="0" w:space="0" w:color="auto"/>
            <w:bottom w:val="none" w:sz="0" w:space="0" w:color="auto"/>
            <w:right w:val="none" w:sz="0" w:space="0" w:color="auto"/>
          </w:divBdr>
        </w:div>
        <w:div w:id="78060719">
          <w:marLeft w:val="0"/>
          <w:marRight w:val="0"/>
          <w:marTop w:val="0"/>
          <w:marBottom w:val="0"/>
          <w:divBdr>
            <w:top w:val="none" w:sz="0" w:space="0" w:color="auto"/>
            <w:left w:val="none" w:sz="0" w:space="0" w:color="auto"/>
            <w:bottom w:val="none" w:sz="0" w:space="0" w:color="auto"/>
            <w:right w:val="none" w:sz="0" w:space="0" w:color="auto"/>
          </w:divBdr>
        </w:div>
        <w:div w:id="1863350382">
          <w:marLeft w:val="0"/>
          <w:marRight w:val="0"/>
          <w:marTop w:val="0"/>
          <w:marBottom w:val="0"/>
          <w:divBdr>
            <w:top w:val="none" w:sz="0" w:space="0" w:color="auto"/>
            <w:left w:val="none" w:sz="0" w:space="0" w:color="auto"/>
            <w:bottom w:val="none" w:sz="0" w:space="0" w:color="auto"/>
            <w:right w:val="none" w:sz="0" w:space="0" w:color="auto"/>
          </w:divBdr>
        </w:div>
        <w:div w:id="1218321738">
          <w:marLeft w:val="0"/>
          <w:marRight w:val="0"/>
          <w:marTop w:val="0"/>
          <w:marBottom w:val="0"/>
          <w:divBdr>
            <w:top w:val="none" w:sz="0" w:space="0" w:color="auto"/>
            <w:left w:val="none" w:sz="0" w:space="0" w:color="auto"/>
            <w:bottom w:val="none" w:sz="0" w:space="0" w:color="auto"/>
            <w:right w:val="none" w:sz="0" w:space="0" w:color="auto"/>
          </w:divBdr>
        </w:div>
        <w:div w:id="954288064">
          <w:marLeft w:val="0"/>
          <w:marRight w:val="0"/>
          <w:marTop w:val="0"/>
          <w:marBottom w:val="0"/>
          <w:divBdr>
            <w:top w:val="none" w:sz="0" w:space="0" w:color="auto"/>
            <w:left w:val="none" w:sz="0" w:space="0" w:color="auto"/>
            <w:bottom w:val="none" w:sz="0" w:space="0" w:color="auto"/>
            <w:right w:val="none" w:sz="0" w:space="0" w:color="auto"/>
          </w:divBdr>
        </w:div>
        <w:div w:id="1094202413">
          <w:marLeft w:val="0"/>
          <w:marRight w:val="0"/>
          <w:marTop w:val="0"/>
          <w:marBottom w:val="0"/>
          <w:divBdr>
            <w:top w:val="none" w:sz="0" w:space="0" w:color="auto"/>
            <w:left w:val="none" w:sz="0" w:space="0" w:color="auto"/>
            <w:bottom w:val="none" w:sz="0" w:space="0" w:color="auto"/>
            <w:right w:val="none" w:sz="0" w:space="0" w:color="auto"/>
          </w:divBdr>
        </w:div>
        <w:div w:id="1052999174">
          <w:marLeft w:val="0"/>
          <w:marRight w:val="0"/>
          <w:marTop w:val="0"/>
          <w:marBottom w:val="0"/>
          <w:divBdr>
            <w:top w:val="none" w:sz="0" w:space="0" w:color="auto"/>
            <w:left w:val="none" w:sz="0" w:space="0" w:color="auto"/>
            <w:bottom w:val="none" w:sz="0" w:space="0" w:color="auto"/>
            <w:right w:val="none" w:sz="0" w:space="0" w:color="auto"/>
          </w:divBdr>
        </w:div>
        <w:div w:id="1510217931">
          <w:marLeft w:val="0"/>
          <w:marRight w:val="0"/>
          <w:marTop w:val="0"/>
          <w:marBottom w:val="0"/>
          <w:divBdr>
            <w:top w:val="none" w:sz="0" w:space="0" w:color="auto"/>
            <w:left w:val="none" w:sz="0" w:space="0" w:color="auto"/>
            <w:bottom w:val="none" w:sz="0" w:space="0" w:color="auto"/>
            <w:right w:val="none" w:sz="0" w:space="0" w:color="auto"/>
          </w:divBdr>
        </w:div>
        <w:div w:id="837580007">
          <w:marLeft w:val="0"/>
          <w:marRight w:val="0"/>
          <w:marTop w:val="0"/>
          <w:marBottom w:val="0"/>
          <w:divBdr>
            <w:top w:val="none" w:sz="0" w:space="0" w:color="auto"/>
            <w:left w:val="none" w:sz="0" w:space="0" w:color="auto"/>
            <w:bottom w:val="none" w:sz="0" w:space="0" w:color="auto"/>
            <w:right w:val="none" w:sz="0" w:space="0" w:color="auto"/>
          </w:divBdr>
        </w:div>
        <w:div w:id="1880581522">
          <w:marLeft w:val="0"/>
          <w:marRight w:val="0"/>
          <w:marTop w:val="0"/>
          <w:marBottom w:val="0"/>
          <w:divBdr>
            <w:top w:val="none" w:sz="0" w:space="0" w:color="auto"/>
            <w:left w:val="none" w:sz="0" w:space="0" w:color="auto"/>
            <w:bottom w:val="none" w:sz="0" w:space="0" w:color="auto"/>
            <w:right w:val="none" w:sz="0" w:space="0" w:color="auto"/>
          </w:divBdr>
        </w:div>
        <w:div w:id="713850865">
          <w:marLeft w:val="0"/>
          <w:marRight w:val="0"/>
          <w:marTop w:val="0"/>
          <w:marBottom w:val="0"/>
          <w:divBdr>
            <w:top w:val="none" w:sz="0" w:space="0" w:color="auto"/>
            <w:left w:val="none" w:sz="0" w:space="0" w:color="auto"/>
            <w:bottom w:val="none" w:sz="0" w:space="0" w:color="auto"/>
            <w:right w:val="none" w:sz="0" w:space="0" w:color="auto"/>
          </w:divBdr>
        </w:div>
        <w:div w:id="2138327895">
          <w:marLeft w:val="0"/>
          <w:marRight w:val="0"/>
          <w:marTop w:val="0"/>
          <w:marBottom w:val="0"/>
          <w:divBdr>
            <w:top w:val="none" w:sz="0" w:space="0" w:color="auto"/>
            <w:left w:val="none" w:sz="0" w:space="0" w:color="auto"/>
            <w:bottom w:val="none" w:sz="0" w:space="0" w:color="auto"/>
            <w:right w:val="none" w:sz="0" w:space="0" w:color="auto"/>
          </w:divBdr>
        </w:div>
        <w:div w:id="1502549634">
          <w:marLeft w:val="0"/>
          <w:marRight w:val="0"/>
          <w:marTop w:val="0"/>
          <w:marBottom w:val="0"/>
          <w:divBdr>
            <w:top w:val="none" w:sz="0" w:space="0" w:color="auto"/>
            <w:left w:val="none" w:sz="0" w:space="0" w:color="auto"/>
            <w:bottom w:val="none" w:sz="0" w:space="0" w:color="auto"/>
            <w:right w:val="none" w:sz="0" w:space="0" w:color="auto"/>
          </w:divBdr>
        </w:div>
        <w:div w:id="352070290">
          <w:marLeft w:val="0"/>
          <w:marRight w:val="0"/>
          <w:marTop w:val="0"/>
          <w:marBottom w:val="0"/>
          <w:divBdr>
            <w:top w:val="none" w:sz="0" w:space="0" w:color="auto"/>
            <w:left w:val="none" w:sz="0" w:space="0" w:color="auto"/>
            <w:bottom w:val="none" w:sz="0" w:space="0" w:color="auto"/>
            <w:right w:val="none" w:sz="0" w:space="0" w:color="auto"/>
          </w:divBdr>
        </w:div>
        <w:div w:id="944534303">
          <w:marLeft w:val="0"/>
          <w:marRight w:val="0"/>
          <w:marTop w:val="0"/>
          <w:marBottom w:val="0"/>
          <w:divBdr>
            <w:top w:val="none" w:sz="0" w:space="0" w:color="auto"/>
            <w:left w:val="none" w:sz="0" w:space="0" w:color="auto"/>
            <w:bottom w:val="none" w:sz="0" w:space="0" w:color="auto"/>
            <w:right w:val="none" w:sz="0" w:space="0" w:color="auto"/>
          </w:divBdr>
        </w:div>
        <w:div w:id="594635796">
          <w:marLeft w:val="0"/>
          <w:marRight w:val="0"/>
          <w:marTop w:val="0"/>
          <w:marBottom w:val="0"/>
          <w:divBdr>
            <w:top w:val="none" w:sz="0" w:space="0" w:color="auto"/>
            <w:left w:val="none" w:sz="0" w:space="0" w:color="auto"/>
            <w:bottom w:val="none" w:sz="0" w:space="0" w:color="auto"/>
            <w:right w:val="none" w:sz="0" w:space="0" w:color="auto"/>
          </w:divBdr>
        </w:div>
      </w:divsChild>
    </w:div>
    <w:div w:id="1789278844">
      <w:bodyDiv w:val="1"/>
      <w:marLeft w:val="0"/>
      <w:marRight w:val="0"/>
      <w:marTop w:val="0"/>
      <w:marBottom w:val="0"/>
      <w:divBdr>
        <w:top w:val="none" w:sz="0" w:space="0" w:color="auto"/>
        <w:left w:val="none" w:sz="0" w:space="0" w:color="auto"/>
        <w:bottom w:val="none" w:sz="0" w:space="0" w:color="auto"/>
        <w:right w:val="none" w:sz="0" w:space="0" w:color="auto"/>
      </w:divBdr>
      <w:divsChild>
        <w:div w:id="1942957867">
          <w:marLeft w:val="0"/>
          <w:marRight w:val="0"/>
          <w:marTop w:val="0"/>
          <w:marBottom w:val="0"/>
          <w:divBdr>
            <w:top w:val="none" w:sz="0" w:space="0" w:color="auto"/>
            <w:left w:val="none" w:sz="0" w:space="0" w:color="auto"/>
            <w:bottom w:val="none" w:sz="0" w:space="0" w:color="auto"/>
            <w:right w:val="none" w:sz="0" w:space="0" w:color="auto"/>
          </w:divBdr>
        </w:div>
        <w:div w:id="640697966">
          <w:marLeft w:val="0"/>
          <w:marRight w:val="0"/>
          <w:marTop w:val="0"/>
          <w:marBottom w:val="0"/>
          <w:divBdr>
            <w:top w:val="none" w:sz="0" w:space="0" w:color="auto"/>
            <w:left w:val="none" w:sz="0" w:space="0" w:color="auto"/>
            <w:bottom w:val="none" w:sz="0" w:space="0" w:color="auto"/>
            <w:right w:val="none" w:sz="0" w:space="0" w:color="auto"/>
          </w:divBdr>
        </w:div>
        <w:div w:id="2022849888">
          <w:marLeft w:val="0"/>
          <w:marRight w:val="0"/>
          <w:marTop w:val="0"/>
          <w:marBottom w:val="0"/>
          <w:divBdr>
            <w:top w:val="none" w:sz="0" w:space="0" w:color="auto"/>
            <w:left w:val="none" w:sz="0" w:space="0" w:color="auto"/>
            <w:bottom w:val="none" w:sz="0" w:space="0" w:color="auto"/>
            <w:right w:val="none" w:sz="0" w:space="0" w:color="auto"/>
          </w:divBdr>
        </w:div>
        <w:div w:id="524707460">
          <w:marLeft w:val="0"/>
          <w:marRight w:val="0"/>
          <w:marTop w:val="0"/>
          <w:marBottom w:val="0"/>
          <w:divBdr>
            <w:top w:val="none" w:sz="0" w:space="0" w:color="auto"/>
            <w:left w:val="none" w:sz="0" w:space="0" w:color="auto"/>
            <w:bottom w:val="none" w:sz="0" w:space="0" w:color="auto"/>
            <w:right w:val="none" w:sz="0" w:space="0" w:color="auto"/>
          </w:divBdr>
        </w:div>
        <w:div w:id="1793667313">
          <w:marLeft w:val="0"/>
          <w:marRight w:val="0"/>
          <w:marTop w:val="0"/>
          <w:marBottom w:val="0"/>
          <w:divBdr>
            <w:top w:val="none" w:sz="0" w:space="0" w:color="auto"/>
            <w:left w:val="none" w:sz="0" w:space="0" w:color="auto"/>
            <w:bottom w:val="none" w:sz="0" w:space="0" w:color="auto"/>
            <w:right w:val="none" w:sz="0" w:space="0" w:color="auto"/>
          </w:divBdr>
        </w:div>
        <w:div w:id="397941415">
          <w:marLeft w:val="0"/>
          <w:marRight w:val="0"/>
          <w:marTop w:val="0"/>
          <w:marBottom w:val="0"/>
          <w:divBdr>
            <w:top w:val="none" w:sz="0" w:space="0" w:color="auto"/>
            <w:left w:val="none" w:sz="0" w:space="0" w:color="auto"/>
            <w:bottom w:val="none" w:sz="0" w:space="0" w:color="auto"/>
            <w:right w:val="none" w:sz="0" w:space="0" w:color="auto"/>
          </w:divBdr>
        </w:div>
        <w:div w:id="51316993">
          <w:marLeft w:val="0"/>
          <w:marRight w:val="0"/>
          <w:marTop w:val="0"/>
          <w:marBottom w:val="0"/>
          <w:divBdr>
            <w:top w:val="none" w:sz="0" w:space="0" w:color="auto"/>
            <w:left w:val="none" w:sz="0" w:space="0" w:color="auto"/>
            <w:bottom w:val="none" w:sz="0" w:space="0" w:color="auto"/>
            <w:right w:val="none" w:sz="0" w:space="0" w:color="auto"/>
          </w:divBdr>
        </w:div>
        <w:div w:id="2046172356">
          <w:marLeft w:val="0"/>
          <w:marRight w:val="0"/>
          <w:marTop w:val="0"/>
          <w:marBottom w:val="0"/>
          <w:divBdr>
            <w:top w:val="none" w:sz="0" w:space="0" w:color="auto"/>
            <w:left w:val="none" w:sz="0" w:space="0" w:color="auto"/>
            <w:bottom w:val="none" w:sz="0" w:space="0" w:color="auto"/>
            <w:right w:val="none" w:sz="0" w:space="0" w:color="auto"/>
          </w:divBdr>
        </w:div>
        <w:div w:id="349339046">
          <w:marLeft w:val="0"/>
          <w:marRight w:val="0"/>
          <w:marTop w:val="0"/>
          <w:marBottom w:val="0"/>
          <w:divBdr>
            <w:top w:val="none" w:sz="0" w:space="0" w:color="auto"/>
            <w:left w:val="none" w:sz="0" w:space="0" w:color="auto"/>
            <w:bottom w:val="none" w:sz="0" w:space="0" w:color="auto"/>
            <w:right w:val="none" w:sz="0" w:space="0" w:color="auto"/>
          </w:divBdr>
        </w:div>
        <w:div w:id="22949548">
          <w:marLeft w:val="0"/>
          <w:marRight w:val="0"/>
          <w:marTop w:val="0"/>
          <w:marBottom w:val="0"/>
          <w:divBdr>
            <w:top w:val="none" w:sz="0" w:space="0" w:color="auto"/>
            <w:left w:val="none" w:sz="0" w:space="0" w:color="auto"/>
            <w:bottom w:val="none" w:sz="0" w:space="0" w:color="auto"/>
            <w:right w:val="none" w:sz="0" w:space="0" w:color="auto"/>
          </w:divBdr>
        </w:div>
        <w:div w:id="192117390">
          <w:marLeft w:val="0"/>
          <w:marRight w:val="0"/>
          <w:marTop w:val="0"/>
          <w:marBottom w:val="0"/>
          <w:divBdr>
            <w:top w:val="none" w:sz="0" w:space="0" w:color="auto"/>
            <w:left w:val="none" w:sz="0" w:space="0" w:color="auto"/>
            <w:bottom w:val="none" w:sz="0" w:space="0" w:color="auto"/>
            <w:right w:val="none" w:sz="0" w:space="0" w:color="auto"/>
          </w:divBdr>
        </w:div>
        <w:div w:id="1436442245">
          <w:marLeft w:val="0"/>
          <w:marRight w:val="0"/>
          <w:marTop w:val="0"/>
          <w:marBottom w:val="0"/>
          <w:divBdr>
            <w:top w:val="none" w:sz="0" w:space="0" w:color="auto"/>
            <w:left w:val="none" w:sz="0" w:space="0" w:color="auto"/>
            <w:bottom w:val="none" w:sz="0" w:space="0" w:color="auto"/>
            <w:right w:val="none" w:sz="0" w:space="0" w:color="auto"/>
          </w:divBdr>
        </w:div>
        <w:div w:id="848984424">
          <w:marLeft w:val="0"/>
          <w:marRight w:val="0"/>
          <w:marTop w:val="0"/>
          <w:marBottom w:val="0"/>
          <w:divBdr>
            <w:top w:val="none" w:sz="0" w:space="0" w:color="auto"/>
            <w:left w:val="none" w:sz="0" w:space="0" w:color="auto"/>
            <w:bottom w:val="none" w:sz="0" w:space="0" w:color="auto"/>
            <w:right w:val="none" w:sz="0" w:space="0" w:color="auto"/>
          </w:divBdr>
        </w:div>
        <w:div w:id="895701465">
          <w:marLeft w:val="0"/>
          <w:marRight w:val="0"/>
          <w:marTop w:val="0"/>
          <w:marBottom w:val="0"/>
          <w:divBdr>
            <w:top w:val="none" w:sz="0" w:space="0" w:color="auto"/>
            <w:left w:val="none" w:sz="0" w:space="0" w:color="auto"/>
            <w:bottom w:val="none" w:sz="0" w:space="0" w:color="auto"/>
            <w:right w:val="none" w:sz="0" w:space="0" w:color="auto"/>
          </w:divBdr>
        </w:div>
        <w:div w:id="468982103">
          <w:marLeft w:val="0"/>
          <w:marRight w:val="0"/>
          <w:marTop w:val="0"/>
          <w:marBottom w:val="0"/>
          <w:divBdr>
            <w:top w:val="none" w:sz="0" w:space="0" w:color="auto"/>
            <w:left w:val="none" w:sz="0" w:space="0" w:color="auto"/>
            <w:bottom w:val="none" w:sz="0" w:space="0" w:color="auto"/>
            <w:right w:val="none" w:sz="0" w:space="0" w:color="auto"/>
          </w:divBdr>
        </w:div>
        <w:div w:id="947353729">
          <w:marLeft w:val="0"/>
          <w:marRight w:val="0"/>
          <w:marTop w:val="0"/>
          <w:marBottom w:val="0"/>
          <w:divBdr>
            <w:top w:val="none" w:sz="0" w:space="0" w:color="auto"/>
            <w:left w:val="none" w:sz="0" w:space="0" w:color="auto"/>
            <w:bottom w:val="none" w:sz="0" w:space="0" w:color="auto"/>
            <w:right w:val="none" w:sz="0" w:space="0" w:color="auto"/>
          </w:divBdr>
        </w:div>
        <w:div w:id="291635761">
          <w:marLeft w:val="0"/>
          <w:marRight w:val="0"/>
          <w:marTop w:val="0"/>
          <w:marBottom w:val="0"/>
          <w:divBdr>
            <w:top w:val="none" w:sz="0" w:space="0" w:color="auto"/>
            <w:left w:val="none" w:sz="0" w:space="0" w:color="auto"/>
            <w:bottom w:val="none" w:sz="0" w:space="0" w:color="auto"/>
            <w:right w:val="none" w:sz="0" w:space="0" w:color="auto"/>
          </w:divBdr>
        </w:div>
        <w:div w:id="399599508">
          <w:marLeft w:val="0"/>
          <w:marRight w:val="0"/>
          <w:marTop w:val="0"/>
          <w:marBottom w:val="0"/>
          <w:divBdr>
            <w:top w:val="none" w:sz="0" w:space="0" w:color="auto"/>
            <w:left w:val="none" w:sz="0" w:space="0" w:color="auto"/>
            <w:bottom w:val="none" w:sz="0" w:space="0" w:color="auto"/>
            <w:right w:val="none" w:sz="0" w:space="0" w:color="auto"/>
          </w:divBdr>
        </w:div>
        <w:div w:id="1062943061">
          <w:marLeft w:val="0"/>
          <w:marRight w:val="0"/>
          <w:marTop w:val="0"/>
          <w:marBottom w:val="0"/>
          <w:divBdr>
            <w:top w:val="none" w:sz="0" w:space="0" w:color="auto"/>
            <w:left w:val="none" w:sz="0" w:space="0" w:color="auto"/>
            <w:bottom w:val="none" w:sz="0" w:space="0" w:color="auto"/>
            <w:right w:val="none" w:sz="0" w:space="0" w:color="auto"/>
          </w:divBdr>
        </w:div>
        <w:div w:id="173765025">
          <w:marLeft w:val="0"/>
          <w:marRight w:val="0"/>
          <w:marTop w:val="0"/>
          <w:marBottom w:val="0"/>
          <w:divBdr>
            <w:top w:val="none" w:sz="0" w:space="0" w:color="auto"/>
            <w:left w:val="none" w:sz="0" w:space="0" w:color="auto"/>
            <w:bottom w:val="none" w:sz="0" w:space="0" w:color="auto"/>
            <w:right w:val="none" w:sz="0" w:space="0" w:color="auto"/>
          </w:divBdr>
        </w:div>
        <w:div w:id="1220553451">
          <w:marLeft w:val="0"/>
          <w:marRight w:val="0"/>
          <w:marTop w:val="0"/>
          <w:marBottom w:val="0"/>
          <w:divBdr>
            <w:top w:val="none" w:sz="0" w:space="0" w:color="auto"/>
            <w:left w:val="none" w:sz="0" w:space="0" w:color="auto"/>
            <w:bottom w:val="none" w:sz="0" w:space="0" w:color="auto"/>
            <w:right w:val="none" w:sz="0" w:space="0" w:color="auto"/>
          </w:divBdr>
        </w:div>
        <w:div w:id="2087460155">
          <w:marLeft w:val="0"/>
          <w:marRight w:val="0"/>
          <w:marTop w:val="0"/>
          <w:marBottom w:val="0"/>
          <w:divBdr>
            <w:top w:val="none" w:sz="0" w:space="0" w:color="auto"/>
            <w:left w:val="none" w:sz="0" w:space="0" w:color="auto"/>
            <w:bottom w:val="none" w:sz="0" w:space="0" w:color="auto"/>
            <w:right w:val="none" w:sz="0" w:space="0" w:color="auto"/>
          </w:divBdr>
        </w:div>
      </w:divsChild>
    </w:div>
    <w:div w:id="2007202344">
      <w:bodyDiv w:val="1"/>
      <w:marLeft w:val="0"/>
      <w:marRight w:val="0"/>
      <w:marTop w:val="0"/>
      <w:marBottom w:val="0"/>
      <w:divBdr>
        <w:top w:val="none" w:sz="0" w:space="0" w:color="auto"/>
        <w:left w:val="none" w:sz="0" w:space="0" w:color="auto"/>
        <w:bottom w:val="none" w:sz="0" w:space="0" w:color="auto"/>
        <w:right w:val="none" w:sz="0" w:space="0" w:color="auto"/>
      </w:divBdr>
      <w:divsChild>
        <w:div w:id="180559566">
          <w:marLeft w:val="0"/>
          <w:marRight w:val="0"/>
          <w:marTop w:val="0"/>
          <w:marBottom w:val="0"/>
          <w:divBdr>
            <w:top w:val="none" w:sz="0" w:space="0" w:color="auto"/>
            <w:left w:val="none" w:sz="0" w:space="0" w:color="auto"/>
            <w:bottom w:val="none" w:sz="0" w:space="0" w:color="auto"/>
            <w:right w:val="none" w:sz="0" w:space="0" w:color="auto"/>
          </w:divBdr>
        </w:div>
        <w:div w:id="1188519795">
          <w:marLeft w:val="0"/>
          <w:marRight w:val="0"/>
          <w:marTop w:val="0"/>
          <w:marBottom w:val="0"/>
          <w:divBdr>
            <w:top w:val="none" w:sz="0" w:space="0" w:color="auto"/>
            <w:left w:val="none" w:sz="0" w:space="0" w:color="auto"/>
            <w:bottom w:val="none" w:sz="0" w:space="0" w:color="auto"/>
            <w:right w:val="none" w:sz="0" w:space="0" w:color="auto"/>
          </w:divBdr>
        </w:div>
        <w:div w:id="1881476049">
          <w:marLeft w:val="0"/>
          <w:marRight w:val="0"/>
          <w:marTop w:val="0"/>
          <w:marBottom w:val="0"/>
          <w:divBdr>
            <w:top w:val="none" w:sz="0" w:space="0" w:color="auto"/>
            <w:left w:val="none" w:sz="0" w:space="0" w:color="auto"/>
            <w:bottom w:val="none" w:sz="0" w:space="0" w:color="auto"/>
            <w:right w:val="none" w:sz="0" w:space="0" w:color="auto"/>
          </w:divBdr>
        </w:div>
        <w:div w:id="1555700450">
          <w:marLeft w:val="0"/>
          <w:marRight w:val="0"/>
          <w:marTop w:val="0"/>
          <w:marBottom w:val="0"/>
          <w:divBdr>
            <w:top w:val="none" w:sz="0" w:space="0" w:color="auto"/>
            <w:left w:val="none" w:sz="0" w:space="0" w:color="auto"/>
            <w:bottom w:val="none" w:sz="0" w:space="0" w:color="auto"/>
            <w:right w:val="none" w:sz="0" w:space="0" w:color="auto"/>
          </w:divBdr>
        </w:div>
        <w:div w:id="1828089972">
          <w:marLeft w:val="0"/>
          <w:marRight w:val="0"/>
          <w:marTop w:val="0"/>
          <w:marBottom w:val="0"/>
          <w:divBdr>
            <w:top w:val="none" w:sz="0" w:space="0" w:color="auto"/>
            <w:left w:val="none" w:sz="0" w:space="0" w:color="auto"/>
            <w:bottom w:val="none" w:sz="0" w:space="0" w:color="auto"/>
            <w:right w:val="none" w:sz="0" w:space="0" w:color="auto"/>
          </w:divBdr>
        </w:div>
        <w:div w:id="774904400">
          <w:marLeft w:val="0"/>
          <w:marRight w:val="0"/>
          <w:marTop w:val="0"/>
          <w:marBottom w:val="0"/>
          <w:divBdr>
            <w:top w:val="none" w:sz="0" w:space="0" w:color="auto"/>
            <w:left w:val="none" w:sz="0" w:space="0" w:color="auto"/>
            <w:bottom w:val="none" w:sz="0" w:space="0" w:color="auto"/>
            <w:right w:val="none" w:sz="0" w:space="0" w:color="auto"/>
          </w:divBdr>
        </w:div>
        <w:div w:id="1939020444">
          <w:marLeft w:val="0"/>
          <w:marRight w:val="0"/>
          <w:marTop w:val="0"/>
          <w:marBottom w:val="0"/>
          <w:divBdr>
            <w:top w:val="none" w:sz="0" w:space="0" w:color="auto"/>
            <w:left w:val="none" w:sz="0" w:space="0" w:color="auto"/>
            <w:bottom w:val="none" w:sz="0" w:space="0" w:color="auto"/>
            <w:right w:val="none" w:sz="0" w:space="0" w:color="auto"/>
          </w:divBdr>
        </w:div>
        <w:div w:id="1531449769">
          <w:marLeft w:val="0"/>
          <w:marRight w:val="0"/>
          <w:marTop w:val="0"/>
          <w:marBottom w:val="0"/>
          <w:divBdr>
            <w:top w:val="none" w:sz="0" w:space="0" w:color="auto"/>
            <w:left w:val="none" w:sz="0" w:space="0" w:color="auto"/>
            <w:bottom w:val="none" w:sz="0" w:space="0" w:color="auto"/>
            <w:right w:val="none" w:sz="0" w:space="0" w:color="auto"/>
          </w:divBdr>
        </w:div>
        <w:div w:id="113989579">
          <w:marLeft w:val="0"/>
          <w:marRight w:val="0"/>
          <w:marTop w:val="0"/>
          <w:marBottom w:val="0"/>
          <w:divBdr>
            <w:top w:val="none" w:sz="0" w:space="0" w:color="auto"/>
            <w:left w:val="none" w:sz="0" w:space="0" w:color="auto"/>
            <w:bottom w:val="none" w:sz="0" w:space="0" w:color="auto"/>
            <w:right w:val="none" w:sz="0" w:space="0" w:color="auto"/>
          </w:divBdr>
        </w:div>
        <w:div w:id="486942568">
          <w:marLeft w:val="0"/>
          <w:marRight w:val="0"/>
          <w:marTop w:val="0"/>
          <w:marBottom w:val="0"/>
          <w:divBdr>
            <w:top w:val="none" w:sz="0" w:space="0" w:color="auto"/>
            <w:left w:val="none" w:sz="0" w:space="0" w:color="auto"/>
            <w:bottom w:val="none" w:sz="0" w:space="0" w:color="auto"/>
            <w:right w:val="none" w:sz="0" w:space="0" w:color="auto"/>
          </w:divBdr>
        </w:div>
        <w:div w:id="1358198253">
          <w:marLeft w:val="0"/>
          <w:marRight w:val="0"/>
          <w:marTop w:val="0"/>
          <w:marBottom w:val="0"/>
          <w:divBdr>
            <w:top w:val="none" w:sz="0" w:space="0" w:color="auto"/>
            <w:left w:val="none" w:sz="0" w:space="0" w:color="auto"/>
            <w:bottom w:val="none" w:sz="0" w:space="0" w:color="auto"/>
            <w:right w:val="none" w:sz="0" w:space="0" w:color="auto"/>
          </w:divBdr>
        </w:div>
        <w:div w:id="1111969404">
          <w:marLeft w:val="0"/>
          <w:marRight w:val="0"/>
          <w:marTop w:val="0"/>
          <w:marBottom w:val="0"/>
          <w:divBdr>
            <w:top w:val="none" w:sz="0" w:space="0" w:color="auto"/>
            <w:left w:val="none" w:sz="0" w:space="0" w:color="auto"/>
            <w:bottom w:val="none" w:sz="0" w:space="0" w:color="auto"/>
            <w:right w:val="none" w:sz="0" w:space="0" w:color="auto"/>
          </w:divBdr>
        </w:div>
        <w:div w:id="339426983">
          <w:marLeft w:val="0"/>
          <w:marRight w:val="0"/>
          <w:marTop w:val="0"/>
          <w:marBottom w:val="0"/>
          <w:divBdr>
            <w:top w:val="none" w:sz="0" w:space="0" w:color="auto"/>
            <w:left w:val="none" w:sz="0" w:space="0" w:color="auto"/>
            <w:bottom w:val="none" w:sz="0" w:space="0" w:color="auto"/>
            <w:right w:val="none" w:sz="0" w:space="0" w:color="auto"/>
          </w:divBdr>
        </w:div>
        <w:div w:id="968392586">
          <w:marLeft w:val="0"/>
          <w:marRight w:val="0"/>
          <w:marTop w:val="0"/>
          <w:marBottom w:val="0"/>
          <w:divBdr>
            <w:top w:val="none" w:sz="0" w:space="0" w:color="auto"/>
            <w:left w:val="none" w:sz="0" w:space="0" w:color="auto"/>
            <w:bottom w:val="none" w:sz="0" w:space="0" w:color="auto"/>
            <w:right w:val="none" w:sz="0" w:space="0" w:color="auto"/>
          </w:divBdr>
        </w:div>
        <w:div w:id="29651170">
          <w:marLeft w:val="0"/>
          <w:marRight w:val="0"/>
          <w:marTop w:val="0"/>
          <w:marBottom w:val="0"/>
          <w:divBdr>
            <w:top w:val="none" w:sz="0" w:space="0" w:color="auto"/>
            <w:left w:val="none" w:sz="0" w:space="0" w:color="auto"/>
            <w:bottom w:val="none" w:sz="0" w:space="0" w:color="auto"/>
            <w:right w:val="none" w:sz="0" w:space="0" w:color="auto"/>
          </w:divBdr>
        </w:div>
        <w:div w:id="1147741033">
          <w:marLeft w:val="0"/>
          <w:marRight w:val="0"/>
          <w:marTop w:val="0"/>
          <w:marBottom w:val="0"/>
          <w:divBdr>
            <w:top w:val="none" w:sz="0" w:space="0" w:color="auto"/>
            <w:left w:val="none" w:sz="0" w:space="0" w:color="auto"/>
            <w:bottom w:val="none" w:sz="0" w:space="0" w:color="auto"/>
            <w:right w:val="none" w:sz="0" w:space="0" w:color="auto"/>
          </w:divBdr>
        </w:div>
        <w:div w:id="72971066">
          <w:marLeft w:val="0"/>
          <w:marRight w:val="0"/>
          <w:marTop w:val="0"/>
          <w:marBottom w:val="0"/>
          <w:divBdr>
            <w:top w:val="none" w:sz="0" w:space="0" w:color="auto"/>
            <w:left w:val="none" w:sz="0" w:space="0" w:color="auto"/>
            <w:bottom w:val="none" w:sz="0" w:space="0" w:color="auto"/>
            <w:right w:val="none" w:sz="0" w:space="0" w:color="auto"/>
          </w:divBdr>
        </w:div>
        <w:div w:id="706375338">
          <w:marLeft w:val="0"/>
          <w:marRight w:val="0"/>
          <w:marTop w:val="0"/>
          <w:marBottom w:val="0"/>
          <w:divBdr>
            <w:top w:val="none" w:sz="0" w:space="0" w:color="auto"/>
            <w:left w:val="none" w:sz="0" w:space="0" w:color="auto"/>
            <w:bottom w:val="none" w:sz="0" w:space="0" w:color="auto"/>
            <w:right w:val="none" w:sz="0" w:space="0" w:color="auto"/>
          </w:divBdr>
        </w:div>
        <w:div w:id="645203524">
          <w:marLeft w:val="0"/>
          <w:marRight w:val="0"/>
          <w:marTop w:val="0"/>
          <w:marBottom w:val="0"/>
          <w:divBdr>
            <w:top w:val="none" w:sz="0" w:space="0" w:color="auto"/>
            <w:left w:val="none" w:sz="0" w:space="0" w:color="auto"/>
            <w:bottom w:val="none" w:sz="0" w:space="0" w:color="auto"/>
            <w:right w:val="none" w:sz="0" w:space="0" w:color="auto"/>
          </w:divBdr>
        </w:div>
        <w:div w:id="1857188549">
          <w:marLeft w:val="0"/>
          <w:marRight w:val="0"/>
          <w:marTop w:val="0"/>
          <w:marBottom w:val="0"/>
          <w:divBdr>
            <w:top w:val="none" w:sz="0" w:space="0" w:color="auto"/>
            <w:left w:val="none" w:sz="0" w:space="0" w:color="auto"/>
            <w:bottom w:val="none" w:sz="0" w:space="0" w:color="auto"/>
            <w:right w:val="none" w:sz="0" w:space="0" w:color="auto"/>
          </w:divBdr>
        </w:div>
        <w:div w:id="592317769">
          <w:marLeft w:val="0"/>
          <w:marRight w:val="0"/>
          <w:marTop w:val="0"/>
          <w:marBottom w:val="0"/>
          <w:divBdr>
            <w:top w:val="none" w:sz="0" w:space="0" w:color="auto"/>
            <w:left w:val="none" w:sz="0" w:space="0" w:color="auto"/>
            <w:bottom w:val="none" w:sz="0" w:space="0" w:color="auto"/>
            <w:right w:val="none" w:sz="0" w:space="0" w:color="auto"/>
          </w:divBdr>
        </w:div>
        <w:div w:id="881674446">
          <w:marLeft w:val="0"/>
          <w:marRight w:val="0"/>
          <w:marTop w:val="0"/>
          <w:marBottom w:val="0"/>
          <w:divBdr>
            <w:top w:val="none" w:sz="0" w:space="0" w:color="auto"/>
            <w:left w:val="none" w:sz="0" w:space="0" w:color="auto"/>
            <w:bottom w:val="none" w:sz="0" w:space="0" w:color="auto"/>
            <w:right w:val="none" w:sz="0" w:space="0" w:color="auto"/>
          </w:divBdr>
        </w:div>
        <w:div w:id="549923213">
          <w:marLeft w:val="0"/>
          <w:marRight w:val="0"/>
          <w:marTop w:val="0"/>
          <w:marBottom w:val="0"/>
          <w:divBdr>
            <w:top w:val="none" w:sz="0" w:space="0" w:color="auto"/>
            <w:left w:val="none" w:sz="0" w:space="0" w:color="auto"/>
            <w:bottom w:val="none" w:sz="0" w:space="0" w:color="auto"/>
            <w:right w:val="none" w:sz="0" w:space="0" w:color="auto"/>
          </w:divBdr>
        </w:div>
        <w:div w:id="655689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59"/>
    <w:rsid w:val="00257EE2"/>
    <w:rsid w:val="0027730E"/>
    <w:rsid w:val="002843AB"/>
    <w:rsid w:val="00335ED0"/>
    <w:rsid w:val="00360037"/>
    <w:rsid w:val="00371359"/>
    <w:rsid w:val="003C4A91"/>
    <w:rsid w:val="0054763F"/>
    <w:rsid w:val="005631DF"/>
    <w:rsid w:val="00721E08"/>
    <w:rsid w:val="0092047B"/>
    <w:rsid w:val="0098589F"/>
    <w:rsid w:val="00AF3501"/>
    <w:rsid w:val="00C06336"/>
    <w:rsid w:val="00D85B59"/>
    <w:rsid w:val="00DB5197"/>
    <w:rsid w:val="00F032E6"/>
    <w:rsid w:val="00F337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730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DA3AE9-E8A0-4E76-8BB4-FD838A4A80FA}">
  <we:reference id="f78a3046-9e99-4300-aa2b-5814002b01a2" version="1.55.1.0" store="EXCatalog" storeType="EXCatalog"/>
  <we:alternateReferences>
    <we:reference id="WA104382081" version="1.55.1.0" store="es-ES" storeType="OMEX"/>
  </we:alternateReferences>
  <we:properties>
    <we:property name="MENDELEY_CITATIONS_STYLE" value="{&quot;id&quot;:&quot;https://www.zotero.org/styles/applied-health-economics-and-health-policy&quot;,&quot;title&quot;:&quot;Applied Health Economics and Health Policy&quot;,&quot;format&quot;:&quot;numeric&quot;,&quot;defaultLocale&quot;:null,&quot;isLocaleCodeValid&quot;:true}"/>
    <we:property name="MENDELEY_CITATIONS" value="[{&quot;citationID&quot;:&quot;MENDELEY_CITATION_06535c17-b1a3-4706-9ffb-0b6f619e3195&quot;,&quot;properties&quot;:{&quot;noteIndex&quot;:0},&quot;isEdited&quot;:false,&quot;manualOverride&quot;:{&quot;citeprocText&quot;:&quot;[1,2]&quot;,&quot;isManuallyOverridden&quot;:false,&quot;manualOverrideText&quot;:&quot;&quot;},&quot;citationTag&quot;:&quot;MENDELEY_CITATION_v3_eyJjaXRhdGlvbklEIjoiTUVOREVMRVlfQ0lUQVRJT05fMDY1MzVjMTctYjFhMy00NzA2LTlmZmItMGI2ZjYxOWUzMTk1IiwicHJvcGVydGllcyI6eyJub3RlSW5kZXgiOjB9LCJpc0VkaXRlZCI6ZmFsc2UsIm1hbnVhbE92ZXJyaWRlIjp7ImNpdGVwcm9jVGV4dCI6IlsxLDJdIiwiaXNNYW51YWxseU92ZXJyaWRkZW4iOmZhbHNlLCJtYW51YWxPdmVycmlkZVRleHQiOiIifSwiY2l0YXRpb25JdGVtcyI6W3siaWQiOiIyOGMzNTAxYy1mMjFjLTVjZGMtOWRkZi02OTU5MTFlZWJlNDkiLCJpdGVtRGF0YSI6eyJET0kiOiIxMC4xMDE3L1MwMjY2NDYyMzE4MDAwNjEyIiwiSVNTTiI6IjE0NzE2MzQ4IiwiUE1JRCI6IjMwMzI2OTgyIiwiYWJzdHJhY3QiOiJPYmplY3RpdmVzOiBUaGlzIHN0dWR5IGlzIGFuIGF0dGVtcHQgdG8gZGVteXN0aWZ5IGFuZCBjbGFyaWZ5IHRoZSBpZGVhIG9mIGNvc3QgaW4gaGVhbHRoIGVjb25vbWljcyBhbmQgaGVhbHRoIHRlY2hub2xvZ3kgYXNzZXNzbWVudCAoSFRBKS5NZXRob2RzOiBJdHMgbWV0aG9kIGRyYXdzIG9uIHN0YW5kYXJkIGNvbmNlcHRzIGluIGVjb25vbWljcy4gQ29zdCBpcyBhIG1vcmUgZWx1c2l2ZSBjb25jZXB0IHRoYW4gaXMgY29tbW9ubHkgdGhvdWdodCBhbmQgY2FuIGJlIHBhcnRpY3VsYXJseSBlbHVzaXZlIGluIG11bHRpZGlzY2lwbGluYXJ5IHRlcnJpdG9yeSBsaWtlIEhUQS5SZXN1bHRzOiBUaGUgYXJ0aWNsZSBleHBsYWlucyB0aGF0IGNvc3QgaXMgbW9yZSBjb21wbGV0ZWx5IGRlZmluZWQgYXMgb3Bwb3J0dW5pdHkgY29zdCwgd2h5IGNvc3QgaXMgbmVjZXNzYXJpbHkgYXNzb2NpYXRlZCB3aXRoIGEgZGVjaXNpb24sIGFuZCB0aGF0IGl0IHdpbGwgYWx3YXlzIHZhcnkgYWNjb3JkaW5nIHRvIHRoZSBjb250ZXh0IG9mIHRoYXQgZGVjaXNpb246IHdoZXRoZXIgY2hvaWNlIGlzIGFib3V0IGlucHV0cyBvciBvdXRwdXRzLCB3aGF0IHRoZSBhbHRlcm5hdGl2ZXMgYXJlLCB0aGUgdGltaW5nIG9mIHRoZSBjb25zZXF1ZW5jZXMgb2YgdGhlIGRlY2lzaW9uLCB0aGUgbmF0dXJlIG9mIHRoZSBjb21taXRtZW50IHRvIHdoaWNoIGEgZGVjaXNpb24gbWFrZXIgaXMgY29tbWl0dGVkLCB3aG8gdGhlIGRlY2lzaW9uIG1ha2VyIGlzLCBhbmQgdGhlIGNvbnN0cmFpbnRzIGFuZCBkaXNjcmV0aW9uIGxpbWl0aW5nIG9yIGxpYmVyYXRpbmcgdGhlIGRlY2lzaW9uIG1ha2VyLiBEaXN0aW5jdGlvbnMgYmV0d2VlbiBzaG9ydCBhbmQgbG9uZyBydW5zIGFuZCBiZXR3ZWVuIGZpeGVkIGFuZCB2YXJpYWJsZSBpbnB1dHMgYXJlIG1hdHRlcnMgb2YgY2hvaWNlLCBub3QgdGVjaG5vbG9neSwgYW5kIGFyZSBzaW1pbGFybHkgY29udGV4dC1kZXBlbmRlbnQuIEhhcm1zIG9yIG5lZ2F0aXZlIGNvbnNlcXVlbmNlcyBhcmUsIGluIGdlbmVyYWwsIG5vdCBjb3N0cy4gV2hldGhlciBzby1jYWxsZWQgY2xpbmljYWxseSB1bnJlbGF0ZWQgZnV0dXJlIGNvc3RzIGFuZCBiZW5lZml0cyBzaG91bGQgYmUgY291bnRlZCBpbiBjdXJyZW50IGRlY2lzaW9ucyBhZ2FpbiBkZXBlbmRzIG9uIGNvbnRleHQuQ29uY2x1c2lvbnM6IFRoZSBjb3N0cyBvZiBlbnRpcmUgaGVhbHRoIHByb2dyYW1zIGFyZSBjb250ZXh0LWRlcGVuZGVudCwgcmVsYXRpbmcgdG8gcGxhbm5lZCByYXRlcyBvZiBhY3Rpdml0eSwgdm9sdW1lcywgYW5kIHRpbWluZ3MuIFRoZSBpbXBsaWNhdGlvbnMgZm9yIHRoZSBtZXRob2RzIG9mIEhUQSBhcmUgZGlmZmVyZW50IGluIHRoZSBjb250ZXh0cyBvZiBsb3ctIGFuZCBtaWRkbGUtaW5jb21lIGNvdW50cmllcyBjb21wYXJlZCB3aXRoIGhpZ2gtaW5jb21lIGNvdW50cmllcywgYW5kIGZ1cnRoZXIgZGlmZmVyIGNvbnRleHR1YWxseSBhY2NvcmRpbmcgdG8gdGhlIGJ1ZGdldCBjb25zdHJhaW50cyAoZml4ZWQgb3IgdmFyaWFibGUpIGZhY2luZyBkZWNpc2lvbiBtYWtlcnMuIiwiYXV0aG9yIjpbeyJkcm9wcGluZy1wYXJ0aWNsZSI6IiIsImZhbWlseSI6IkN1bHllciIsImdpdmVuIjoiQW50aG9ueSBKLiIsIm5vbi1kcm9wcGluZy1wYXJ0aWNsZSI6IiIsInBhcnNlLW5hbWVzIjpmYWxzZSwic3VmZml4IjoiIn1dLCJjb250YWluZXItdGl0bGUiOiJJbnRlcm5hdGlvbmFsIEpvdXJuYWwgb2YgVGVjaG5vbG9neSBBc3Nlc3NtZW50IGluIEhlYWx0aCBDYXJlIiwiaWQiOiIyOGMzNTAxYy1mMjFjLTVjZGMtOWRkZi02OTU5MTFlZWJlNDkiLCJpc3N1ZSI6IjUiLCJpc3N1ZWQiOnsiZGF0ZS1wYXJ0cyI6W1siMjAxOCJdXX0sInBhZ2UiOiI0MzQtNDQxIiwidGl0bGUiOiJDb3N0LCBjb250ZXh0LCBhbmQgZGVjaXNpb25zIGluIGhlYWx0aCBlY29ub21pY3MgYW5kIGhlYWx0aCB0ZWNobm9sb2d5IGFzc2Vzc21lbnQiLCJ0eXBlIjoiYXJ0aWNsZS1qb3VybmFsIiwidm9sdW1lIjoiMzQiLCJjb250YWluZXItdGl0bGUtc2hvcnQiOiJJbnQgSiBUZWNobm9sIEFzc2VzcyBIZWFsdGggQ2FyZSJ9LCJ1cmlzIjpbImh0dHA6Ly93d3cubWVuZGVsZXkuY29tL2RvY3VtZW50cy8/dXVpZD02ZTUxMWQyNC1hNTg1LTQyZDYtYjE5Zi0zOTNhMTkyZWZiNmEiXSwiaXNUZW1wb3JhcnkiOmZhbHNlLCJsZWdhY3lEZXNrdG9wSWQiOiI2ZTUxMWQyNC1hNTg1LTQyZDYtYjE5Zi0zOTNhMTkyZWZiNmEifSx7ImlkIjoiNGJjY2ZjZmQtMGNiOC01MTk0LThkYTEtNGRhNzFjMWQ5MTJiIiwiaXRlbURhdGEiOnsiRE9JIjoiMTAuMTAxNi9qLmp2YWwuMjAxNi4xMS4wMjEiLCJJU1NOIjoiMTUyNDQ3MzMiLCJQTUlEIjoiMjgyMzcyMDEiLCJhYnN0cmFjdCI6IkEgZ3Jvd2luZyBudW1iZXIgb2YgaGVhbHRoIGNhcmUgc3lzdGVtcyBpbnRlcm5hdGlvbmFsbHkgdXNlIGZvcm1hbCBlY29ub21pYyBldmFsdWF0aW9uIG1ldGhvZHMgdG8gc3VwcG9ydCBoZWFsdGggY2FyZSBmdW5kaW5nIGRlY2lzaW9ucy4gUmVjZW50bHksIGEgcmFuZ2Ugb2Ygb3JnYW5pemF0aW9ucyBoYXZlIGJlZW4gYWR2b2NhdGluZyBmb3JtcyBvZiBhbmFseXNpcyB0aGF0IGhhdmUgYmVlbiB0ZXJtZWQg4oCcdmFsdWUgZnJhbWV3b3Jrcy7igJ0gVGhlcmUgaGFzIGFsc28gYmVlbiBhIHB1c2ggZm9yIGFuYWx5dGljYWwgbWV0aG9kcyB0byByZWZsZWN0IGEgZnVsbGVyIHJhbmdlIG9mIGJlbmVmaXRzIG9mIGludGVydmVudGlvbnMgdGhyb3VnaCBtdWx0aWNyaXRlcmlhIGRlY2lzaW9uIGFuYWx5c2lzLiBBIGtleSBwcmluY2lwbGUgdGhhdCBpcyBpbnZhcmlhYmx5IG5lZ2xlY3RlZCBpbiBjdXJyZW50IGFuZCBwcm9wb3NlZCBmcmFtZXdvcmtzIGlzIHRoZSBuZWVkIHRvIHJlZmxlY3QgZXZpZGVuY2Ugb24gdGhlIG9wcG9ydHVuaXR5IGNvc3RzIHRoYXQgaGVhbHRoIHN5c3RlbXMgZmFjZSB3aGVuIG1ha2luZyBmdW5kaW5nIGRlY2lzaW9ucy4gVGhlIG1lY2hhbmlzbXMgYnkgd2hpY2ggb3Bwb3J0dW5pdHkgY29zdHMgYXJlIHJlYWxpemVkIHZhcnkgZGVwZW5kaW5nIG9uIHRoZSBzeXN0ZW0ncyBmaW5hbmNpYWwgYXJyYW5nZW1lbnRzLCBidXQgdGhleSBhbHdheXMgbWVhbiB0aGF0IGEgZGVjaXNpb24gdG8gZnVuZCBhIHNwZWNpZmljIGludGVydmVudGlvbiBmb3IgYSBwYXJ0aWN1bGFyIHBhdGllbnQgZ3JvdXAgaGFzIHRoZSBwb3RlbnRpYWwgdG8gaW1wb3NlIGNvc3RzIG9uIG90aGVycyBpbiB0ZXJtcyBvZiBmb3Jnb25lIGJlbmVmaXRzLiBUaGVzZSBvcHBvcnR1bml0eSBjb3N0cyBhcmUgcmFyZWx5IGV4cGxpY2l0bHkgcmVmbGVjdGVkIGluIGFuYWx5c2lzIHRvIHN1cHBvcnQgZGVjaXNpb25zLCBidXQgcmVjZW50IGRldmVsb3BtZW50cyB0byBxdWFudGlmeSBiZW5lZml0cyBmb3Jnb25lIG1ha2UgbW9yZSBhcHByb3ByaWF0ZSBhbmFseXNlcyBmZWFzaWJsZS4gT3Bwb3J0dW5pdHkgY29zdHMgYWxzbyBuZWVkIHRvIGJlIHJlZmxlY3RlZCBpbiBkZWNpc2lvbnMgaWYgYSBicm9hZGVyIHJhbmdlIG9mIGF0dHJpYnV0ZXMgb2YgYmVuZWZpdCBpcyBjb25zaWRlcmVkLCBhbmQgb3Bwb3J0dW5pdHkgY29zdHMgYXJlIGEga2V5IGNvbnNpZGVyYXRpb24gaW4gZGV0ZXJtaW5pbmcgdGhlIGFwcHJvcHJpYXRlIGxldmVsIG9mIHRvdGFsIGV4cGVuZGl0dXJlIGluIGEgc3lzdGVtLiBUaGUgcHJpbmNpcGxlcyBieSB3aGljaCBvcHBvcnR1bml0eSBjb3N0cyBjYW4gYmUgcmVmbGVjdGVkIGluIGFuYWx5c2lzIGFyZSBpbGx1c3RyYXRlZCBpbiB0aGlzIGFydGljbGUgYnkgdXNpbmcgdGhlIGV4YW1wbGUgb2YgdGhlIHByb3Bvc2VkIG1ldGhvZHMgZm9yIHZhbHVlLWJhc2VkIHByaWNpbmcgaW4gdGhlIFVuaXRlZCBLaW5nZG9tLiIsImF1dGhvciI6W3siZHJvcHBpbmctcGFydGljbGUiOiIiLCJmYW1pbHkiOiJTY3VscGhlciIsImdpdmVuIjoiTWFyayIsIm5vbi1kcm9wcGluZy1wYXJ0aWNsZSI6IiIsInBhcnNlLW5hbWVzIjpmYWxzZSwic3VmZml4IjoiIn0seyJkcm9wcGluZy1wYXJ0aWNsZSI6IiIsImZhbWlseSI6IkNsYXh0b24iLCJnaXZlbiI6IkthcmwiLCJub24tZHJvcHBpbmctcGFydGljbGUiOiIiLCJwYXJzZS1uYW1lcyI6ZmFsc2UsInN1ZmZpeCI6IiJ9LHsiZHJvcHBpbmctcGFydGljbGUiOiIiLCJmYW1pbHkiOiJQZWFyc29uIiwiZ2l2ZW4iOiJTdGV2ZW4gRC4iLCJub24tZHJvcHBpbmctcGFydGljbGUiOiIiLCJwYXJzZS1uYW1lcyI6ZmFsc2UsInN1ZmZpeCI6IiJ9XSwiY29udGFpbmVyLXRpdGxlIjoiVmFsdWUgaW4gSGVhbHRoIiwiaWQiOiI0YmNjZmNmZC0wY2I4LTUxOTQtOGRhMS00ZGE3MWMxZDkxMmIiLCJpc3N1ZSI6IjIiLCJpc3N1ZWQiOnsiZGF0ZS1wYXJ0cyI6W1siMjAxNyJdXX0sInBhZ2UiOiIyMzQtMjM5IiwidGl0bGUiOiJEZXZlbG9waW5nIGEgVmFsdWUgRnJhbWV3b3JrOiBUaGUgTmVlZCB0byBSZWZsZWN0IHRoZSBPcHBvcnR1bml0eSBDb3N0cyBvZiBGdW5kaW5nIERlY2lzaW9ucyIsInR5cGUiOiJhcnRpY2xlLWpvdXJuYWwiLCJ2b2x1bWUiOiIyMCIsImNvbnRhaW5lci10aXRsZS1zaG9ydCI6IiJ9LCJ1cmlzIjpbImh0dHA6Ly93d3cubWVuZGVsZXkuY29tL2RvY3VtZW50cy8/dXVpZD1hNmNlZjMzOS00NGI0LTQwYTAtYTcyZC1iMzE1M2FjZmNjYjUiXSwiaXNUZW1wb3JhcnkiOmZhbHNlLCJsZWdhY3lEZXNrdG9wSWQiOiJhNmNlZjMzOS00NGI0LTQwYTAtYTcyZC1iMzE1M2FjZmNjYjUifV19&quot;,&quot;citationItems&quot;:[{&quot;id&quot;:&quot;28c3501c-f21c-5cdc-9ddf-695911eebe49&quot;,&quot;itemData&quot;:{&quot;DOI&quot;:&quot;10.1017/S0266462318000612&quot;,&quot;ISSN&quot;:&quot;14716348&quot;,&quot;PMID&quot;:&quot;30326982&quot;,&quot;abstract&quot;:&quot;Objectives: This study is an attempt to demystify and clarify the idea of cost in health economics and health technology assessment (HTA).Methods: Its method draws on standard concepts in economics. Cost is a more elusive concept than is commonly thought and can be particularly elusive in multidisciplinary territory like HTA.Results: The article explains that cost is more completely defined as opportunity cost, why cost is necessarily associated with a decision, and that it will always vary according to the context of that decision: whether choice is about inputs or outputs, what the alternatives are, the timing of the consequences of the decision, the nature of the commitment to which a decision maker is committed, who the decision maker is, and the constraints and discretion limiting or liberating the decision maker. Distinctions between short and long runs and between fixed and variable inputs are matters of choice, not technology, and are similarly context-dependent. Harms or negative consequences are, in general, not costs. Whether so-called clinically unrelated future costs and benefits should be counted in current decisions again depends on context.Conclusions: The costs of entire health programs are context-dependent, relating to planned rates of activity, volumes, and timings. The implications for the methods of HTA are different in the contexts of low- and middle-income countries compared with high-income countries, and further differ contextually according to the budget constraints (fixed or variable) facing decision makers.&quot;,&quot;author&quot;:[{&quot;dropping-particle&quot;:&quot;&quot;,&quot;family&quot;:&quot;Culyer&quot;,&quot;given&quot;:&quot;Anthony J.&quot;,&quot;non-dropping-particle&quot;:&quot;&quot;,&quot;parse-names&quot;:false,&quot;suffix&quot;:&quot;&quot;}],&quot;container-title&quot;:&quot;International Journal of Technology Assessment in Health Care&quot;,&quot;id&quot;:&quot;28c3501c-f21c-5cdc-9ddf-695911eebe49&quot;,&quot;issue&quot;:&quot;5&quot;,&quot;issued&quot;:{&quot;date-parts&quot;:[[&quot;2018&quot;]]},&quot;page&quot;:&quot;434-441&quot;,&quot;title&quot;:&quot;Cost, context, and decisions in health economics and health technology assessment&quot;,&quot;type&quot;:&quot;article-journal&quot;,&quot;volume&quot;:&quot;34&quot;,&quot;container-title-short&quot;:&quot;Int J Technol Assess Health Care&quot;},&quot;uris&quot;:[&quot;http://www.mendeley.com/documents/?uuid=6e511d24-a585-42d6-b19f-393a192efb6a&quot;],&quot;isTemporary&quot;:false,&quot;legacyDesktopId&quot;:&quot;6e511d24-a585-42d6-b19f-393a192efb6a&quot;},{&quot;id&quot;:&quot;4bccfcfd-0cb8-5194-8da1-4da71c1d912b&quot;,&quot;itemData&quot;:{&quot;DOI&quot;:&quot;10.1016/j.jval.2016.11.021&quot;,&quot;ISSN&quot;:&quot;15244733&quot;,&quot;PMID&quot;:&quot;28237201&quot;,&quot;abstract&quot;:&quot;A growing number of health care systems internationally use formal economic evaluation methods to support health care funding decisions. Recently, a range of organizations have been advocating forms of analysis that have been termed “value frameworks.” There has also been a push for analytical methods to reflect a fuller range of benefits of interventions through multicriteria decision analysis. A key principle that is invariably neglected in current and proposed frameworks is the need to reflect evidence on the opportunity costs that health systems face when making funding decisions. The mechanisms by which opportunity costs are realized vary depending on the system's financial arrangements, but they always mean that a decision to fund a specific intervention for a particular patient group has the potential to impose costs on others in terms of forgone benefits. These opportunity costs are rarely explicitly reflected in analysis to support decisions, but recent developments to quantify benefits forgone make more appropriate analyses feasible. Opportunity costs also need to be reflected in decisions if a broader range of attributes of benefit is considered, and opportunity costs are a key consideration in determining the appropriate level of total expenditure in a system. The principles by which opportunity costs can be reflected in analysis are illustrated in this article by using the example of the proposed methods for value-based pricing in the United Kingdom.&quot;,&quot;author&quot;:[{&quot;dropping-particle&quot;:&quot;&quot;,&quot;family&quot;:&quot;Sculpher&quot;,&quot;given&quot;:&quot;Mark&quot;,&quot;non-dropping-particle&quot;:&quot;&quot;,&quot;parse-names&quot;:false,&quot;suffix&quot;:&quot;&quot;},{&quot;dropping-particle&quot;:&quot;&quot;,&quot;family&quot;:&quot;Claxton&quot;,&quot;given&quot;:&quot;Karl&quot;,&quot;non-dropping-particle&quot;:&quot;&quot;,&quot;parse-names&quot;:false,&quot;suffix&quot;:&quot;&quot;},{&quot;dropping-particle&quot;:&quot;&quot;,&quot;family&quot;:&quot;Pearson&quot;,&quot;given&quot;:&quot;Steven D.&quot;,&quot;non-dropping-particle&quot;:&quot;&quot;,&quot;parse-names&quot;:false,&quot;suffix&quot;:&quot;&quot;}],&quot;container-title&quot;:&quot;Value in Health&quot;,&quot;id&quot;:&quot;4bccfcfd-0cb8-5194-8da1-4da71c1d912b&quot;,&quot;issue&quot;:&quot;2&quot;,&quot;issued&quot;:{&quot;date-parts&quot;:[[&quot;2017&quot;]]},&quot;page&quot;:&quot;234-239&quot;,&quot;title&quot;:&quot;Developing a Value Framework: The Need to Reflect the Opportunity Costs of Funding Decisions&quot;,&quot;type&quot;:&quot;article-journal&quot;,&quot;volume&quot;:&quot;20&quot;,&quot;container-title-short&quot;:&quot;&quot;},&quot;uris&quot;:[&quot;http://www.mendeley.com/documents/?uuid=a6cef339-44b4-40a0-a72d-b3153acfccb5&quot;],&quot;isTemporary&quot;:false,&quot;legacyDesktopId&quot;:&quot;a6cef339-44b4-40a0-a72d-b3153acfccb5&quot;}]},{&quot;citationID&quot;:&quot;MENDELEY_CITATION_a78bbd1d-a247-48ad-92aa-1289e04faed7&quot;,&quot;properties&quot;:{&quot;noteIndex&quot;:0},&quot;isEdited&quot;:false,&quot;manualOverride&quot;:{&quot;citeprocText&quot;:&quot;[3]&quot;,&quot;isManuallyOverridden&quot;:false,&quot;manualOverrideText&quot;:&quot;&quot;},&quot;citationTag&quot;:&quot;MENDELEY_CITATION_v3_eyJjaXRhdGlvbklEIjoiTUVOREVMRVlfQ0lUQVRJT05fYTc4YmJkMWQtYTI0Ny00OGFkLTkyYWEtMTI4OWUwNGZhZWQ3IiwicHJvcGVydGllcyI6eyJub3RlSW5kZXgiOjB9LCJpc0VkaXRlZCI6ZmFsc2UsIm1hbnVhbE92ZXJyaWRlIjp7ImNpdGVwcm9jVGV4dCI6IlszXSIsImlzTWFudWFsbHlPdmVycmlkZGVuIjpmYWxzZSwibWFudWFsT3ZlcnJpZGVUZXh0IjoiIn0sImNpdGF0aW9uSXRlbXMiOlt7ImlkIjoiZWU0MTcxYjgtZjViZS01YTJkLTllNDQtYzI3ZjAwNDVjNzkwIiwiaXRlbURhdGEiOnsiRE9JIjoiMTAuMzMxMC9odGExOTE0MCIsIklTU04iOiIyMDQ2LTQ5MjQiLCJQTUlEIjoiMjU2OTIyMTEiLCJhYnN0cmFjdCI6IkJBQ0tHUk9VTkQ6IENvc3QtZWZmZWN0aXZlbmVzcyBhbmFseXNpcyBpbnZvbHZlcyB0aGUgY29tcGFyaXNvbiBvZiB0aGUgaW5jcmVtZW50YWwgY29zdC1lZmZlY3RpdmVuZXNzIHJhdGlvIG9mIGEgbmV3IHRlY2hub2xvZ3ksIHdoaWNoIGlzIG1vcmUgY29zdGx5IHRoYW4gZXhpc3RpbmcgYWx0ZXJuYXRpdmVzLCB3aXRoIHRoZSBjb3N0LWVmZmVjdGl2ZW5lc3MgdGhyZXNob2xkLiBUaGlzIGluZGljYXRlcyB3aGV0aGVyIG9yIG5vdCB0aGUgaGVhbHRoIGV4cGVjdGVkIHRvIGJlIGdhaW5lZCBmcm9tIGl0cyB1c2UgZXhjZWVkcyB0aGUgaGVhbHRoIGV4cGVjdGVkIHRvIGJlIGxvc3QgZWxzZXdoZXJlIGFzIG90aGVyIGhlYWx0aC1jYXJlIGFjdGl2aXRpZXMgYXJlIGRpc3BsYWNlZC4gVGhlIHRocmVzaG9sZCB0aGVyZWZvcmUgcmVwcmVzZW50cyB0aGUgYWRkaXRpb25hbCBjb3N0IHRoYXQgaGFzIHRvIGJlIGltcG9zZWQgb24gdGhlIHN5c3RlbSB0byBmb3JnbyAxIHF1YWxpdHktYWRqdXN0ZWQgbGlmZS15ZWFyIChRQUxZKSBvZiBoZWFsdGggdGhyb3VnaCBkaXNwbGFjZW1lbnQuIFRoZXJlIGFyZSBubyBlbXBpcmljYWwgZXN0aW1hdGVzIG9mIHRoZSBjb3N0LWVmZmVjdGl2ZW5lc3MgdGhyZXNob2xkIHVzZWQgYnkgdGhlIE5hdGlvbmFsIEluc3RpdHV0ZSBmb3IgSGVhbHRoIGFuZCBDYXJlIEV4Y2VsbGVuY2UuIE9CSkVDVElWRVM6ICgxKSBUbyBwcm92aWRlIGEgY29uY2VwdHVhbCBmcmFtZXdvcmsgdG8gZGVmaW5lIHRoZSBjb3N0LWVmZmVjdGl2ZW5lc3MgdGhyZXNob2xkIGFuZCB0byBwcm92aWRlIHRoZSBiYXNpcyBmb3IgaXRzIGVtcGlyaWNhbCBlc3RpbWF0aW9uLiAoMikgVXNpbmcgcHJvZ3JhbW1lIGJ1ZGdldGluZyBkYXRhIGZvciB0aGUgRW5nbGlzaCBOSFMsIHRvIGVzdGltYXRlIHRoZSByZWxhdGlvbnNoaXAgYmV0d2VlbiBjaGFuZ2VzIGluIG92ZXJhbGwgTkhTIGV4cGVuZGl0dXJlIGFuZCBjaGFuZ2VzIGluIG1vcnRhbGl0eS4gKDMpIFRvIGV4dGVuZCB0aGlzIG1vcnRhbGl0eSBtZWFzdXJlIG9mIHRoZSBoZWFsdGggZWZmZWN0cyBvZiBhIGNoYW5nZSBpbiBleHBlbmRpdHVyZSB0byBsaWZlLXllYXJzIGFuZCB0byBRQUxZcyBieSBlc3RpbWF0aW5nIHRoZSBxdWFsaXR5LW9mLWxpZmUgKFFvTCkgYXNzb2NpYXRlZCB3aXRoIGVmZmVjdHMgb24geWVhcnMgb2YgbGlmZSBhbmQgdGhlIGFkZGl0aW9uYWwgZGlyZWN0IGltcGFjdCBvbiBRb0wgaXRzZWxmLiAoNCkgVG8gcHJlc2VudCB0aGUgYmVzdCBlc3RpbWF0ZSBvZiB0aGUgY29zdC1lZmZlY3RpdmVuZXNzIHRocmVzaG9sZCBmb3IgcG9saWN5IHB1cnBvc2VzLiBNRVRIT0RTOiBFYXJsaWVyIGVjb25vbWV0cmljIGFuYWx5c2lzIGVzdGltYXRlZCB0aGUgcmVsYXRpb25zaGlwIGJldHdlZW4gZGlmZmVyZW5jZXMgaW4gcHJpbWFyeSBjYXJlIHRydXN0IChQQ1QpIHNwZW5kaW5nLCBhY3Jvc3MgcHJvZ3JhbW1lIGJ1ZGdldCBjYXRlZ29yaWVzIChQQkNzKSwgYW5kIGFzc29jaWF0ZWQgZGlzZWFzZS1zcGVjaWZpYyBtb3J0YWxpdHkuIFRoaXMgcmVzZWFyY2ggaXMgZXh0ZW5kZWQgaW4gc2V2ZXJhbCB3YXlzIGluY2x1ZGluZyBlc3RpbWF0aW5nIHRoZSBpbXBhY3Qgb2YgbWFyZ2luYWwgaW5jcmVhc2VzIG9yIGRlY3JlYXNlcyBpbiBvdmVyYWxsIE5IUyBleHBlbmRpdHVyZSBvbiBzcGVuZGluZyBpbiBlYWNoIG9mIHRoZSAyMyBQQkNzLiBGdXJ0aGVyIHN0YWdlcyBvZiB3b3JrIGxpbmsgdGhlIGVjb25vbWV0cmljcyB0byBicm9hZGVyIGhlYWx0aCBlZmZlY3RzIGluIHRlcm1zIG9mIFFBTFlzLiBSRVNVTFRTOiBUaGUgbW9zdCByZWxldmFudCAnY2VudHJhbCcgdGhyZXNob2xkIGlzIGVzdGltYXRlZCB0byBiZSDCozEyLDkzNiBwZXIgUUFMWSAoMjAwOCBleHBlbmRpdHVyZSwgMjAwOC0xMCBtb3J0YWxpdHkpLiBVbmNlcnRhaW50eSBhbmFseXNpcyBpbmRpY2F0ZXMgdGhhdCB0aGUgcHJvYmFiaWxpdHkgdGhhdCB0aGUgdGhyZXNob2xkIGlzIDwgwqMyMCwwMDAgcGVyIFFBTFkgaXMgMC44OSBhbmQgdGhlIHByb2JhYmlsaXR5IHRoYXQgaXQgaXMgPCDCozMwLDAwMCBwZXIgUUFMWSBpcyAwLjk3LiBBZGRpdGlvbmFsICdzdHJ1Y3R1cmFsJyB1bmNlcnRhaW50eSBzdWdnZXN0cywgb24gYmFsYW5jZSwgdGhhdCB0aGUgY2VudHJhbCBvciBiZXN0IGVzdGltYXRlIGlzLCBpZiBhbnl0aGluZywgbGlrZWx5IHRvIGJlIGFuIG92ZXJlc3RpbWF0ZS4gVGhlIGhlYWx0aCBlZmZlY3RzIG9mIGNoYW5nZXMgaW4gZXhwZW5kaXR1cmUgYXJlIGdyZWF0ZXIgd2hlbiBQQ1RzIGFyZSB1bmRlciBtb3JlIGZpbmFuY2lhbCBwcmVzc3VyZSBhbmQgYXJlIG1vcmUgbGlrZWx5IHRvIGJlIGRpc2ludmVzdGluZyB0aGFuIGludmVzdGluZy4gVGhpcyBpbmRpY2F0ZXMgdGhhdCB0aGUgY2VudHJhbCBlc3RpbWF0ZSBvZiB0aGUgdGhyZXNob2xkIGlzIGxpa2VseSB0byBiZSBhbiBvdmVyZXN0aW1hdGUgZm9yIGFsbCB0ZWNobm9sb2dpZXMgd2hpY2ggaW1wb3NlIG7igKYiLCJhdXRob3IiOlt7ImRyb3BwaW5nLXBhcnRpY2xlIjoiIiwiZmFtaWx5IjoiQ2xheHRvbiIsImdpdmVuIjoiS2FybCIsIm5vbi1kcm9wcGluZy1wYXJ0aWNsZSI6IiIsInBhcnNlLW5hbWVzIjpmYWxzZSwic3VmZml4IjoiIn0seyJkcm9wcGluZy1wYXJ0aWNsZSI6IiIsImZhbWlseSI6Ik1hcnRpbiIsImdpdmVuIjoiU3RldmUiLCJub24tZHJvcHBpbmctcGFydGljbGUiOiIiLCJwYXJzZS1uYW1lcyI6ZmFsc2UsInN1ZmZpeCI6IiJ9LHsiZHJvcHBpbmctcGFydGljbGUiOiIiLCJmYW1pbHkiOiJTb2FyZXMiLCJnaXZlbiI6Ik1hcnRhIiwibm9uLWRyb3BwaW5nLXBhcnRpY2xlIjoiIiwicGFyc2UtbmFtZXMiOmZhbHNlLCJzdWZmaXgiOiIifSx7ImRyb3BwaW5nLXBhcnRpY2xlIjoiIiwiZmFtaWx5IjoiUmljZSIsImdpdmVuIjoiTmlnZWwiLCJub24tZHJvcHBpbmctcGFydGljbGUiOiIiLCJwYXJzZS1uYW1lcyI6ZmFsc2UsInN1ZmZpeCI6IiJ9LHsiZHJvcHBpbmctcGFydGljbGUiOiIiLCJmYW1pbHkiOiJTcGFja21hbiIsImdpdmVuIjoiRWxkb24iLCJub24tZHJvcHBpbmctcGFydGljbGUiOiIiLCJwYXJzZS1uYW1lcyI6ZmFsc2UsInN1ZmZpeCI6IiJ9LHsiZHJvcHBpbmctcGFydGljbGUiOiIiLCJmYW1pbHkiOiJIaW5kZSIsImdpdmVuIjoiU2ViYXN0aWFuIiwibm9uLWRyb3BwaW5nLXBhcnRpY2xlIjoiIiwicGFyc2UtbmFtZXMiOmZhbHNlLCJzdWZmaXgiOiIifSx7ImRyb3BwaW5nLXBhcnRpY2xlIjoiIiwiZmFtaWx5IjoiRGV2bGluIiwiZ2l2ZW4iOiJOYW5jeSIsIm5vbi1kcm9wcGluZy1wYXJ0aWNsZSI6IiIsInBhcnNlLW5hbWVzIjpmYWxzZSwic3VmZml4IjoiIn0seyJkcm9wcGluZy1wYXJ0aWNsZSI6IiIsImZhbWlseSI6IlNtaXRoIiwiZ2l2ZW4iOiJQZXRlciBDIiwibm9uLWRyb3BwaW5nLXBhcnRpY2xlIjoiIiwicGFyc2UtbmFtZXMiOmZhbHNlLCJzdWZmaXgiOiIifSx7ImRyb3BwaW5nLXBhcnRpY2xlIjoiIiwiZmFtaWx5IjoiU2N1bHBoZXIiLCJnaXZlbiI6Ik1hcmsiLCJub24tZHJvcHBpbmctcGFydGljbGUiOiIiLCJwYXJzZS1uYW1lcyI6ZmFsc2UsInN1ZmZpeCI6IiJ9XSwiY29udGFpbmVyLXRpdGxlIjoiSGVhbHRoIHRlY2hub2xvZ3kgYXNzZXNzbWVudCAoV2luY2hlc3RlciwgRW5nbGFuZCkiLCJpZCI6ImVlNDE3MWI4LWY1YmUtNWEyZC05ZTQ0LWMyN2YwMDQ1Yzc5MCIsImlzc3VlIjoiMTQiLCJpc3N1ZWQiOnsiZGF0ZS1wYXJ0cyI6W1siMjAxNSIsIjIiXV19LCJwYWdlIjoiMS01MDMsIHYtdmkiLCJ0aXRsZSI6Ik1ldGhvZHMgZm9yIHRoZSBlc3RpbWF0aW9uIG9mIHRoZSBOYXRpb25hbCBJbnN0aXR1dGUgZm9yIEhlYWx0aCBhbmQgQ2FyZSBFeGNlbGxlbmNlIGNvc3QtZWZmZWN0aXZlbmVzcyB0aHJlc2hvbGQuIiwidHlwZSI6ImFydGljbGUtam91cm5hbCIsInZvbHVtZSI6IjE5IiwiY29udGFpbmVyLXRpdGxlLXNob3J0IjoiSGVhbHRoIFRlY2hub2wgQXNzZXNzIn0sInVyaXMiOlsiaHR0cDovL3d3dy5tZW5kZWxleS5jb20vZG9jdW1lbnRzLz91dWlkPTE5NmZiZTM4LWVmYzgtNDdhZi1hZjQ2LWY1NjUwYzhlZDUxNSJdLCJpc1RlbXBvcmFyeSI6ZmFsc2UsImxlZ2FjeURlc2t0b3BJZCI6IjE5NmZiZTM4LWVmYzgtNDdhZi1hZjQ2LWY1NjUwYzhlZDUxNSJ9XX0=&quot;,&quot;citationItems&quot;:[{&quot;id&quot;:&quot;ee4171b8-f5be-5a2d-9e44-c27f0045c790&quot;,&quot;itemData&quot;:{&quot;DOI&quot;:&quot;10.3310/hta19140&quot;,&quot;ISSN&quot;:&quot;2046-4924&quot;,&quot;PMID&quot;:&quot;25692211&quot;,&quot;abstract&quot;:&quot;BACKGROUND: Cost-effectiveness analysis involves the comparison of the incremental cost-effectiveness ratio of a new technology, which is more costly than existing alternatives, with the cost-effectiveness threshold. This indicates whether or not the health expected to be gained from its use exceeds the health expected to be lost elsewhere as other health-care activities are displaced. The threshold therefore represents the additional cost that has to be imposed on the system to forgo 1 quality-adjusted life-year (QALY) of health through displacement. There are no empirical estimates of the cost-effectiveness threshold used by the National Institute for Health and Care Excellence. OBJECTIVES: (1) To provide a conceptual framework to define the cost-effectiveness threshold and to provide the basis for its empirical estimation. (2) Using programme budgeting data for the English NHS, to estimate the relationship between changes in overall NHS expenditure and changes in mortality. (3) To extend this mortality measure of the health effects of a change in expenditure to life-years and to QALYs by estimating the quality-of-life (QoL) associated with effects on years of life and the additional direct impact on QoL itself. (4) To present the best estimate of the cost-effectiveness threshold for policy purposes. METHODS: Earlier econometric analysis estimated the relationship between differences in primary care trust (PCT) spending, across programme budget categories (PBCs), and associated disease-specific mortality. This research is extended in several ways including estimating the impact of marginal increases or decreases in overall NHS expenditure on spending in each of the 23 PBCs. Further stages of work link the econometrics to broader health effects in terms of QALYs. RESULTS: The most relevant 'central' threshold is estimated to be £12,936 per QALY (2008 expenditure, 2008-10 mortality). Uncertainty analysis indicates that the probability that the threshold is &lt; £20,000 per QALY is 0.89 and the probability that it is &lt; £30,000 per QALY is 0.97. Additional 'structural' uncertainty suggests, on balance, that the central or best estimate is, if anything, likely to be an overestimate. The health effects of changes in expenditure are greater when PCTs are under more financial pressure and are more likely to be disinvesting than investing. This indicates that the central estimate of the threshold is likely to be an overestimate for all technologies which impose n…&quot;,&quot;author&quot;:[{&quot;dropping-particle&quot;:&quot;&quot;,&quot;family&quot;:&quot;Claxton&quot;,&quot;given&quot;:&quot;Karl&quot;,&quot;non-dropping-particle&quot;:&quot;&quot;,&quot;parse-names&quot;:false,&quot;suffix&quot;:&quot;&quot;},{&quot;dropping-particle&quot;:&quot;&quot;,&quot;family&quot;:&quot;Martin&quot;,&quot;given&quot;:&quot;Steve&quot;,&quot;non-dropping-particle&quot;:&quot;&quot;,&quot;parse-names&quot;:false,&quot;suffix&quot;:&quot;&quot;},{&quot;dropping-particle&quot;:&quot;&quot;,&quot;family&quot;:&quot;Soares&quot;,&quot;given&quot;:&quot;Marta&quot;,&quot;non-dropping-particle&quot;:&quot;&quot;,&quot;parse-names&quot;:false,&quot;suffix&quot;:&quot;&quot;},{&quot;dropping-particle&quot;:&quot;&quot;,&quot;family&quot;:&quot;Rice&quot;,&quot;given&quot;:&quot;Nigel&quot;,&quot;non-dropping-particle&quot;:&quot;&quot;,&quot;parse-names&quot;:false,&quot;suffix&quot;:&quot;&quot;},{&quot;dropping-particle&quot;:&quot;&quot;,&quot;family&quot;:&quot;Spackman&quot;,&quot;given&quot;:&quot;Eldon&quot;,&quot;non-dropping-particle&quot;:&quot;&quot;,&quot;parse-names&quot;:false,&quot;suffix&quot;:&quot;&quot;},{&quot;dropping-particle&quot;:&quot;&quot;,&quot;family&quot;:&quot;Hinde&quot;,&quot;given&quot;:&quot;Sebastian&quot;,&quot;non-dropping-particle&quot;:&quot;&quot;,&quot;parse-names&quot;:false,&quot;suffix&quot;:&quot;&quot;},{&quot;dropping-particle&quot;:&quot;&quot;,&quot;family&quot;:&quot;Devlin&quot;,&quot;given&quot;:&quot;Nancy&quot;,&quot;non-dropping-particle&quot;:&quot;&quot;,&quot;parse-names&quot;:false,&quot;suffix&quot;:&quot;&quot;},{&quot;dropping-particle&quot;:&quot;&quot;,&quot;family&quot;:&quot;Smith&quot;,&quot;given&quot;:&quot;Peter C&quot;,&quot;non-dropping-particle&quot;:&quot;&quot;,&quot;parse-names&quot;:false,&quot;suffix&quot;:&quot;&quot;},{&quot;dropping-particle&quot;:&quot;&quot;,&quot;family&quot;:&quot;Sculpher&quot;,&quot;given&quot;:&quot;Mark&quot;,&quot;non-dropping-particle&quot;:&quot;&quot;,&quot;parse-names&quot;:false,&quot;suffix&quot;:&quot;&quot;}],&quot;container-title&quot;:&quot;Health technology assessment (Winchester, England)&quot;,&quot;id&quot;:&quot;ee4171b8-f5be-5a2d-9e44-c27f0045c790&quot;,&quot;issue&quot;:&quot;14&quot;,&quot;issued&quot;:{&quot;date-parts&quot;:[[&quot;2015&quot;,&quot;2&quot;]]},&quot;page&quot;:&quot;1-503, v-vi&quot;,&quot;title&quot;:&quot;Methods for the estimation of the National Institute for Health and Care Excellence cost-effectiveness threshold.&quot;,&quot;type&quot;:&quot;article-journal&quot;,&quot;volume&quot;:&quot;19&quot;,&quot;container-title-short&quot;:&quot;Health Technol Assess&quot;},&quot;uris&quot;:[&quot;http://www.mendeley.com/documents/?uuid=196fbe38-efc8-47af-af46-f5650c8ed515&quot;],&quot;isTemporary&quot;:false,&quot;legacyDesktopId&quot;:&quot;196fbe38-efc8-47af-af46-f5650c8ed515&quot;}]},{&quot;citationID&quot;:&quot;MENDELEY_CITATION_89edf465-62c0-46e3-8512-ca71e6f770a2&quot;,&quot;properties&quot;:{&quot;noteIndex&quot;:0},&quot;isEdited&quot;:false,&quot;manualOverride&quot;:{&quot;citeprocText&quot;:&quot;[4–14]&quot;,&quot;isManuallyOverridden&quot;:false,&quot;manualOverrideText&quot;:&quot;&quot;},&quot;citationTag&quot;:&quot;MENDELEY_CITATION_v3_eyJjaXRhdGlvbklEIjoiTUVOREVMRVlfQ0lUQVRJT05fODllZGY0NjUtNjJjMC00NmUzLTg1MTItY2E3MWU2Zjc3MGEyIiwicHJvcGVydGllcyI6eyJub3RlSW5kZXgiOjB9LCJpc0VkaXRlZCI6ZmFsc2UsIm1hbnVhbE92ZXJyaWRlIjp7ImNpdGVwcm9jVGV4dCI6Ils04oCTMTRdIiwiaXNNYW51YWxseU92ZXJyaWRkZW4iOmZhbHNlLCJtYW51YWxPdmVycmlkZVRleHQiOiIifSwiY2l0YXRpb25JdGVtcyI6W3siaWQiOiI3Yzc5ZGE3Ni1mNWY4LTVmYzctODdjMS05NjQzMmZkOTAxNTgiLCJpdGVtRGF0YSI6eyJET0kiOiIxMC4xMDA3L3M0MDI3My0wMTctMDU4NS0yIiwiSVNTTiI6IjExNzktMjAyNyIsIlBNSUQiOiIyOTI3Mzg0MyIsImFic3RyYWN0IjoiQmFja2dyb3VuZDogU3BlbmRpbmcgb24gbmV3IGhlYWx0aGNhcmUgdGVjaG5vbG9naWVzIGluY3JlYXNlcyBuZXQgcG9wdWxhdGlvbiBoZWFsdGggd2hlbiB0aGUgYmVuZWZpdHMgb2YgYSBuZXcgdGVjaG5vbG9neSBhcmUgZ3JlYXRlciB0aGFuIHRoZWlyIG9wcG9ydHVuaXR5IGNvc3Rz4oCUdGhlIGJlbmVmaXRzIG9mIHRoZSBiZXN0IGFsdGVybmF0aXZlIHVzZSBvZiB0aGUgYWRkaXRpb25hbCByZXNvdXJjZXMgcmVxdWlyZWQgdG8gZnVuZCBhIG5ldyB0ZWNobm9sb2d5LiBPYmplY3RpdmU6IFRoZSBvYmplY3RpdmUgb2YgdGhpcyBzdHVkeSB3YXMgdG8gZXN0aW1hdGUgdGhlIGV4cGVjdGVkIGluY3JlbWVudGFsIGNvc3QgcGVyIHF1YWxpdHktYWRqdXN0ZWQgbGlmZS15ZWFyIChRQUxZKSBnYWluZWQgb2YgaW5jcmVhc2VkIGdvdmVybm1lbnQgaGVhbHRoIGV4cGVuZGl0dXJlIGFzIGFuIGVtcGlyaWNhbCBlc3RpbWF0ZSBvZiB0aGUgYXZlcmFnZSBvcHBvcnR1bml0eSBjb3N0cyBvZiBkZWNpc2lvbnMgdG8gZnVuZCBuZXcgaGVhbHRoIHRlY2hub2xvZ2llcy4gVGhlIGVzdGltYXRlZCBpbmNyZW1lbnRhbCBjb3N0LWVmZmVjdGl2ZW5lc3MgcmF0aW8gKElDRVIpIGlzIHByb3Bvc2VkIGFzIGEgcmVmZXJlbmNlIElDRVIgdG8gaW5mb3JtIHZhbHVlLWJhc2VkIGRlY2lzaW9uIG1ha2luZyBpbiBBdXN0cmFsaWEuIE1ldGhvZHM6IEVtcGlyaWNhbCB0b3AtZG93biBhcHByb2FjaGVzIHdlcmUgdXNlZCB0byBlc3RpbWF0ZSB0aGUgUUFMWSBlZmZlY3RzIG9mIGdvdmVybm1lbnQgaGVhbHRoIGV4cGVuZGl0dXJlIHdpdGggcmVzcGVjdCB0byByZWR1Y2VkIG1vcnRhbGl0eSBhbmQgbW9yYmlkaXR5LiBJbnN0cnVtZW50YWwgdmFyaWFibGUgdHdvLXN0YWdlIGxlYXN0LXNxdWFyZXMgcmVncmVzc2lvbiB3YXMgdXNlZCB0byBlc3RpbWF0ZSB0aGUgZWxhc3RpY2l0eSBvZiBtb3J0YWxpdHktcmVsYXRlZCBRQUxZIGxvc3NlcyB0byBhIG1hcmdpbmFsIGNoYW5nZSBpbiBnb3Zlcm5tZW50IGhlYWx0aCBleHBlbmRpdHVyZS4gUmVncmVzc2lvbiBhbmFseXNpcyBvZiBsb25naXR1ZGluYWwgc3VydmV5IGRhdGEgcmVwcmVzZW50YXRpdmUgb2YgdGhlIGdlbmVyYWwgcG9wdWxhdGlvbiB3YXMgdXNlZCB0byBpc29sYXRlIHRoZSBlZmZlY3RzIG9mIGluY3JlYXNlZCBnb3Zlcm5tZW50IGhlYWx0aCBleHBlbmRpdHVyZSBvbiBtb3JiaWRpdHktcmVsYXRlZCwgUUFMWSBnYWlucy4gQ2xpbmljYWwganVkZ2VtZW50IGluZm9ybWVkIHRoZSBkdXJhdGlvbiBvZiBoZWFsdGgtcmVsYXRlZCBxdWFsaXR5LW9mLWxpZmUgaW1wcm92ZW1lbnQgZnJvbSB0aGUgYW5udWFsIGluY3JlYXNlIGluIGdvdmVybm1lbnTCoGhlYWx0aCBleHBlbmRpdHVyZS4gUmVzdWx0czogVGhlIGJhc2UtY2FzZSByZWZlcmVuY2UgSUNFUiB3YXMgZXN0aW1hdGVkIGF0IEFVRDI4LDAzMyBwZXIgUUFMWSBnYWluZWQuIFBhcmFtZXRyaWMgdW5jZXJ0YWludHkgYXNzb2NpYXRlZCB3aXRoIHRoZSBlc3RpbWF0aW9uIG9mIG1vcnRhbGl0eS0gYW5kIG1vcmJpZGl0eS1yZWxhdGVkIFFBTFlzIGdlbmVyYXRlZCBhIDk1JSBjb25maWRlbmNlIGludGVydmFsIEFVRDIwLDc1OOKAkzM3LDY2Ny4gQ29uY2x1c2lvbjogUmVjZW50IHB1YmxpYyBzdW1tYXJ5IGRvY3VtZW50cyBzdWdnZXN0IG5ldyB0ZWNobm9sb2dpZXMgd2l0aCBJQ0VScyBhYm92ZSBBVUQ0MCwwMDAgcGVyIFFBTFkgZ2FpbmVkIGFyZSByZWNvbW1lbmRlZCBmb3IgcHVibGljIGZ1bmRpbmcuIFRoZSBlbXBpcmljYWwgcmVmZXJlbmNlIElDRVIgcmVwb3J0ZWQgaW4gdGhpcyBhcnRpY2xlIHN1Z2dlc3RzIG1vcmUgUUFMWXMgY291bGQgYmUgZ2FpbmVkIGlmIHJlc291cmNlcyB3ZXJlIGFsbG9jYXRlZCB0byBvdGhlciBmb3JtcyBvZiBoZWFsdGggc3BlbmRpbmcuIiwiYXV0aG9yIjpbeyJkcm9wcGluZy1wYXJ0aWNsZSI6IiIsImZhbWlseSI6IkVkbmV5IiwiZ2l2ZW4iOiJMYXVyYSBDYXRoZXJpbmUiLCJub24tZHJvcHBpbmctcGFydGljbGUiOiIiLCJwYXJzZS1uYW1lcyI6ZmFsc2UsInN1ZmZpeCI6IiJ9LHsiZHJvcHBpbmctcGFydGljbGUiOiIiLCJmYW1pbHkiOiJLYXJub24iLCJnaXZlbiI6IkpvbmF0aGFuIiwibm9uLWRyb3BwaW5nLXBhcnRpY2xlIjoiIiwicGFyc2UtbmFtZXMiOmZhbHNlLCJzdWZmaXgiOiIifSx7ImRyb3BwaW5nLXBhcnRpY2xlIjoiIiwiZmFtaWx5IjoiSGFqaSBBbGkgQWZ6YWxpIiwiZ2l2ZW4iOiJIb3NzZWluIiwibm9uLWRyb3BwaW5nLXBhcnRpY2xlIjoiIiwicGFyc2UtbmFtZXMiOmZhbHNlLCJzdWZmaXgiOiIifSx7ImRyb3BwaW5nLXBhcnRpY2xlIjoiIiwiZmFtaWx5IjoiQ2hlbmciLCJnaXZlbiI6IlRlcmVuY2UgQ2hhaSIsIm5vbi1kcm9wcGluZy1wYXJ0aWNsZSI6IiIsInBhcnNlLW5hbWVzIjpmYWxzZSwic3VmZml4IjoiIn0seyJkcm9wcGluZy1wYXJ0aWNsZSI6IiIsImZhbWlseSI6Ikthcm5vbiIsImdpdmVuIjoiSm9uYXRoYW4iLCJub24tZHJvcHBpbmctcGFydGljbGUiOiIiLCJwYXJzZS1uYW1lcyI6ZmFsc2UsInN1ZmZpeCI6IiJ9XSwiY29udGFpbmVyLXRpdGxlIjoiUGhhcm1hY29FY29ub21pY3MiLCJpZCI6IjdjNzlkYTc2LWY1ZjgtNWZjNy04N2MxLTk2NDMyZmQ5MDE1OCIsImlzc3VlIjoiMiIsImlzc3VlZCI6eyJkYXRlLXBhcnRzIjpbWyIyMDE4Il1dfSwicGFnZSI6IjIzOS0yNTIiLCJwdWJsaXNoZXIiOiJTcHJpbmdlciBJbnRlcm5hdGlvbmFsIFB1Ymxpc2hpbmciLCJ0aXRsZSI6IkVzdGltYXRpbmcgdGhlIFJlZmVyZW5jZSBJbmNyZW1lbnRhbCBDb3N0LUVmZmVjdGl2ZW5lc3MgUmF0aW8gZm9yIHRoZSBBdXN0cmFsaWFuIEhlYWx0aCBTeXN0ZW0iLCJ0eXBlIjoiYXJ0aWNsZS1qb3VybmFsIiwidm9sdW1lIjoiMzYiLCJjb250YWluZXItdGl0bGUtc2hvcnQiOiJQaGFybWFjb2Vjb25vbWljcyJ9LCJ1cmlzIjpbImh0dHA6Ly93d3cubWVuZGVsZXkuY29tL2RvY3VtZW50cy8/dXVpZD0yNGRkZTMwOS1iNDc2LTRjMjEtYWRkNi0xYjFhNWQwYThkNTciXSwiaXNUZW1wb3JhcnkiOmZhbHNlLCJsZWdhY3lEZXNrdG9wSWQiOiIyNGRkZTMwOS1iNDc2LTRjMjEtYWRkNi0xYjFhNWQwYThkNTcifSx7ImlkIjoiZDRmMmI1NGUtNTI5Zi01ZjU1LWJmODctNzdhOWZkMjRiMDIwIiwiaXRlbURhdGEiOnsiRE9JIjoiMTAuMTEzNi9ibWpnaC0yMDE4LTAwMDk2NCIsIklTU04iOiIyMDU5LTc5MDgiLCJhYnN0cmFjdCI6IlRoZSBlY29ub21pYyBldmFsdWF0aW9uIG9mIGhlYWx0aGNhcmUgaW50ZXJ2ZW50aW9ucyByZXF1aXJlcyBhbiBhc3Nlc3NtZW50IG9mIHdoZXRoZXIgdGhlIGltcHJvdmVtZW50IGluIGhlYWx0aCBvdXRjb21lcyB0aGV5IG9mZmVyIGV4Y2VlZHMgdGhlIGltcHJvdmVtZW50IGluIGhlYWx0aCB0aGF0IHdvdWxkIGhhdmUgYmVlbiBwb3NzaWJsZSBpZiB0aGUgYWRkaXRpb25hbCByZXNvdXJjZXMgcmVxdWlyZWQgaGFkLCBpbnN0ZWFkLCBiZWVuIG1hZGUgYXZhaWxhYmxlIGZvciBvdGhlciBoZWFsdGhjYXJlIGFjdGl2aXRpZXMuIFRoZXJlZm9yZSwgc29tZSBhc3Nlc3NtZW50IG9mIHRoZXNlIGhlYWx0aCBvcHBvcnR1bml0eSBjb3N0cyBpcyByZXF1aXJlZCBpZiB0aGUgYmVzdCB1c2UgaXMgdG8gYmUgbWFkZSBvZiB0aGUgcmVzb3VyY2VzIGF2YWlsYWJsZSBmb3IgaGVhbHRoY2FyZS4gVGhpcyBwYXBlciBwcm92aWRlcyBhIGZyYW1ld29yayBmb3IgZ2VuZXJhdGluZyBjb3VudHJ5LXNwZWNpZmljIGVzdGltYXRlcyBvZiBjb3N0IHBlciBkaXNhYmlsaXR5LWFkanVzdGVkIGxpZmUgeWVhciAoREFMWSkgYXZlcnRlZCDigJh0aHJlc2hvbGRz4oCZIHRoYXQgcmVmbGVjdCBoZWFsdGggb3Bwb3J0dW5pdHkgY29zdHMuIFdlIGFwcGx5IGVzdGltYXRlZCBlbGFzdGljaXRpZXMgb24gbW9ydGFsaXR5LCBzdXJ2aXZhbCwgbW9yYmlkaXR5IGFuZCBhIGdlbmVyaWMgbWVhc3VyZSBvZiBoZWFsdGgsIERBTFlzLCB0aGF0IHRha2UgYWNjb3VudCBvZiBtZWFzdXJlcyBvZiBhIGNvdW50cnnigJlzIGluZnJhc3RydWN0dXJlIGFuZCBjaGFuZ2VzIGluIGRvbm9yIGZ1bmRpbmcgdG8gY291bnRyeS1zcGVjaWZpYyBkYXRhIG9uIGhlYWx0aCBleHBlbmRpdHVyZSwgZXBpZGVtaW9sb2d5IGFuZCBkZW1vZ3JhcGhpY3MgdG8gZGV0ZXJtaW5lIHRoZSBsaWtlbHkgREFMWXMgYXZlcnRlZCBmcm9tIGEgMSUgY2hhbmdlIGluIGV4cGVuZGl0dXJlIG9uIGhlYWx0aC4gVGhlIHJlc3VsdGluZyByYW5nZSBvZiBjb3N0IHBlciBEQUxZIGF2ZXJ0ZWQg4oCYdGhyZXNob2xk4oCZIGVzdGltYXRlcyBmb3IgZWFjaCBjb3VudHJ5IHRoYXQgcmVwcmVzZW50IGxpa2VseSBoZWFsdGggb3Bwb3J0dW5pdHkgY29zdHMgdGVuZCB0byBmYWxsIGJlbG93IHRoZSByYW5nZSBwcmV2aW91c2x5IHN1Z2dlc3RlZCBieSBXSE8gb2YgMeKAkzPDlyBncm9zcyBkb21lc3RpYyBwcm9kdWN0IChHRFApIHBlciBjYXBpdGEuIFRoZSAx4oCTM8OXIEdEUCByYW5nZSBhbmQgbWFueSBvdGhlciBwcmV2aW91cyBhbmQgZXhpc3RpbmcgcmVjb21tZW5kYXRpb25zIGFib3V0IHdoaWNoIGludGVydmVudGlvbnMgYXJlIGNvc3QtZWZmZWN0aXZlIGFyZSBub3QgYmFzZWQgb24gYW4gZW1waXJpY2FsIGFzc2Vzc21lbnQgb2YgdGhlIGxpa2VseSBoZWFsdGggb3Bwb3J0dW5pdHkgY29zdHMsIGFuZCBhcyBhIGNvbnNlcXVlbmNlLCB0aGUgaGVhbHRoIGVmZmVjdHMgb2YgY2hhbmdlcyBpbiBoZWFsdGggZXhwZW5kaXR1cmUgaGF2ZSB0ZW5kZWQgdG8gYmUgdW5kZXJlc3RpbWF0ZWQsIGFuZCB0aGVyZSBpcyBhIHJpc2sgdGhhdCBpbnRlcnZlbnRpb25zIHJlZ2FyZGVkIGFzIGNvc3QtZWZmZWN0aXZlIHJlZHVjZSByYXRoZXIgdGhhbiBpbXByb3ZlIGhlYWx0aCBvdXRjb21lcyBvdmVyYWxsLiIsImF1dGhvciI6W3siZHJvcHBpbmctcGFydGljbGUiOiIiLCJmYW1pbHkiOiJPY2hhbGVrIiwiZ2l2ZW4iOiJKZXNzaWNhIiwibm9uLWRyb3BwaW5nLXBhcnRpY2xlIjoiIiwicGFyc2UtbmFtZXMiOmZhbHNlLCJzdWZmaXgiOiIifSx7ImRyb3BwaW5nLXBhcnRpY2xlIjoiIiwiZmFtaWx5IjoiTG9tYXMiLCJnaXZlbiI6IkphbWVzIiwibm9uLWRyb3BwaW5nLXBhcnRpY2xlIjoiIiwicGFyc2UtbmFtZXMiOmZhbHNlLCJzdWZmaXgiOiIifSx7ImRyb3BwaW5nLXBhcnRpY2xlIjoiIiwiZmFtaWx5IjoiQ2xheHRvbiIsImdpdmVuIjoiS2FybCIsIm5vbi1kcm9wcGluZy1wYXJ0aWNsZSI6IiIsInBhcnNlLW5hbWVzIjpmYWxzZSwic3VmZml4IjoiIn1dLCJjb250YWluZXItdGl0bGUiOiJCTUogR2xvYmFsIEhlYWx0aCIsImlkIjoiZDRmMmI1NGUtNTI5Zi01ZjU1LWJmODctNzdhOWZkMjRiMDIwIiwiaXNzdWUiOiI2IiwiaXNzdWVkIjp7ImRhdGUtcGFydHMiOltbIjIwMTgiLCIxMSJdXX0sInBhZ2UiOiJlMDAwOTY0IiwidGl0bGUiOiJFc3RpbWF0aW5nIGhlYWx0aCBvcHBvcnR1bml0eSBjb3N0cyBpbiBsb3ctaW5jb21lIGFuZCBtaWRkbGUtaW5jb21lIGNvdW50cmllczogYSBub3ZlbCBhcHByb2FjaCBhbmQgZXZpZGVuY2UgZnJvbSBjcm9zcy1jb3VudHJ5IGRhdGEiLCJ0eXBlIjoiYXJ0aWNsZS1qb3VybmFsIiwidm9sdW1lIjoiMyIsImNvbnRhaW5lci10aXRsZS1zaG9ydCI6IkJNSiBHbG9iIEhlYWx0aCJ9LCJ1cmlzIjpbImh0dHA6Ly93d3cubWVuZGVsZXkuY29tL2RvY3VtZW50cy8/dXVpZD04YmE4MjkzZi1kMzQ1LTRhNWItODUwYi0zOTk3MzNmMTUxNzQiXSwiaXNUZW1wb3JhcnkiOmZhbHNlLCJsZWdhY3lEZXNrdG9wSWQiOiI4YmE4MjkzZi1kMzQ1LTRhNWItODUwYi0zOTk3MzNmMTUxNzQifSx7ImlkIjoiNDkzNDIwZGQtZTE4Yy01ZWVkLTllOWQtYzAwNjBhNWJmNTMzIiwiaXRlbURhdGEiOnsiRE9JIjoiMTAuMTAwMi9oZWMuMzYzMyIsIklTU04iOiIxMDk5MTA1MCIsImFic3RyYWN0IjoiwqkgMjAxNyBKb2huIFdpbGV5ICYgU29ucywgTHRkLiBUaGUgY29zdCBvZiBnZW5lcmF0aW5nIGEgcXVhbGl0eS1hZGp1c3RlZCBsaWZlIHllYXIgKFFBTFkpIHdpdGhpbiBhIE5hdGlvbmFsIEhlYWx0aCBTZXJ2aWNlIHByb3ZpZGVzIGFuIGFwcHJveGltYXRpb24gb2YgdGhlIGF2ZXJhZ2Ugb3Bwb3J0dW5pdHkgY29zdCBvZiBmdW5kaW5nIGRlY2lzaW9ucy4gVGhpcyBpbmZvcm1hdGlvbiBjYW4gYmUgdXNlZCB0byBpbmZvcm0gYSBjb3N0LWVmZmVjdGl2ZW5lc3MgdGhyZXNob2xkLiBUaGUgYWltIG9mIHRoaXMgcGFwZXIgaXMgdG8gZXN0aW1hdGUgdGhlIGNvc3QgcGVyIFFBTFkgYXQgdGhlIFNwYW5pc2ggTmF0aW9uYWwgSGVhbHRoIFNlcnZpY2UuIFdlIGV4cGxvaXQgdmFyaWF0aW9uIGFjcm9zcyAxNyByZWdpb25hbCBoZWFsdGggc2VydmljZXMgYW5kIHRoZSBleG9nZW5vdXMgY2hhbmdlcyBpbiBleHBlbmRpdHVyZSB0aGF0IHRvb2sgcGxhY2UgYXMgYSBjb25zZXF1ZW5jZSBvZiB0aGUgZWNvbm9taWMgY3Jpc2lzIG92ZXIgNSB5ZWFycyBvZiBkYXRhLiBXZSBjb25kdWN0IGZpeGVkIGVmZmVjdCBtb2RlbHMgYW5kIHVzZSBhbiBpbnN0cnVtZW50YWwgdmFyaWFibGUgYXBwcm9hY2ggdG8gdGVzdCBmb3IgcG90ZW50aWFsIHJlbWFpbmluZyBlbmRvZ2VuZWl0eS4gT3VyIHJlc3VsdHMgc2hvdyB0aGF0IGhlYWx0aCBleHBlbmRpdHVyZSBoYXMgYSBwb3NpdGl2ZSBhbmQgc2lnbmlmaWNhbnQgZWZmZWN0IG9uIHBvcHVsYXRpb24gaGVhbHRoLCB3aXRoIGFuIGF2ZXJhZ2Ugc3BlbmRpbmcgZWxhc3RpY2l0eSBvZiAwLjA3LiBUaGlzIHRyYW5zbGF0ZXMgaW50byBhIGNvc3QgcGVyIFFBTFkgb2YgYmV0d2VlbiAyMiwwMDDigqwgYW5kIDI1LDAwMOKCrC4gVGhlc2UgdmFsdWVzIGFyZSBiZWxvdyB0aGUgY29zdC1lZmZlY3RpdmVuZXNzIHRocmVzaG9sZCBmaWd1cmUgb2YgMzAsMDAw4oKsIGNvbW1vbmx5IGNpdGVkIGluIFNwYWluLiIsImF1dGhvciI6W3siZHJvcHBpbmctcGFydGljbGUiOiIiLCJmYW1pbHkiOiJWYWxsZWpvLVRvcnJlcyIsImdpdmVuIjoiTC4iLCJub24tZHJvcHBpbmctcGFydGljbGUiOiIiLCJwYXJzZS1uYW1lcyI6ZmFsc2UsInN1ZmZpeCI6IiJ9LHsiZHJvcHBpbmctcGFydGljbGUiOiIiLCJmYW1pbHkiOiJHYXJjw61hLUxvcmVuem8iLCJnaXZlbiI6IkIuIiwibm9uLWRyb3BwaW5nLXBhcnRpY2xlIjoiIiwicGFyc2UtbmFtZXMiOmZhbHNlLCJzdWZmaXgiOiIifSx7ImRyb3BwaW5nLXBhcnRpY2xlIjoiIiwiZmFtaWx5IjoiU2VycmFuby1BZ3VpbGFyIiwiZ2l2ZW4iOiJQLiIsIm5vbi1kcm9wcGluZy1wYXJ0aWNsZSI6IiIsInBhcnNlLW5hbWVzIjpmYWxzZSwic3VmZml4IjoiIn1dLCJjb250YWluZXItdGl0bGUiOiJIZWFsdGggRWNvbm9taWNzIChVbml0ZWQgS2luZ2RvbSkiLCJpZCI6IjQ5MzQyMGRkLWUxOGMtNWVlZC05ZTlkLWMwMDYwYTViZjUzMyIsImlzc3VlZCI6eyJkYXRlLXBhcnRzIjpbWyIyMDE4Il1dfSwidGl0bGUiOiJFc3RpbWF0aW5nIGEgY29zdC1lZmZlY3RpdmVuZXNzIHRocmVzaG9sZCBmb3IgdGhlIFNwYW5pc2ggTkhTIiwidHlwZSI6ImFydGljbGUtam91cm5hbCIsImNvbnRhaW5lci10aXRsZS1zaG9ydCI6IiJ9LCJ1cmlzIjpbImh0dHA6Ly93d3cubWVuZGVsZXkuY29tL2RvY3VtZW50cy8/dXVpZD04OGYxNzNkNC04Y2FjLTRmNTMtYmQ5OS0xYWRiMDNkMDcyZDQiXSwiaXNUZW1wb3JhcnkiOmZhbHNlLCJsZWdhY3lEZXNrdG9wSWQiOiI4OGYxNzNkNC04Y2FjLTRmNTMtYmQ5OS0xYWRiMDNkMDcyZDQifSx7ImlkIjoiODc2YmM3YjktZDY4My01NWY3LWFiNWQtNDAzYjA2NzExZjMyIiwiaXRlbURhdGEiOnsiRE9JIjoiMTAuMTAwNy9zMTAxOTgtMDE5LTAxMDM5LTAiLCJJU1NOIjoiMTYxOC03NTk4IiwiYXV0aG9yIjpbeyJkcm9wcGluZy1wYXJ0aWNsZSI6IiIsImZhbWlseSI6IlNpdmVyc2tvZyIsImdpdmVuIjoiSm9uYXRoYW4iLCJub24tZHJvcHBpbmctcGFydGljbGUiOiIiLCJwYXJzZS1uYW1lcyI6ZmFsc2UsInN1ZmZpeCI6IiJ9LHsiZHJvcHBpbmctcGFydGljbGUiOiIiLCJmYW1pbHkiOiJIZW5yaWtzc29uIiwiZ2l2ZW4iOiJNYXJ0aW4iLCJub24tZHJvcHBpbmctcGFydGljbGUiOiIiLCJwYXJzZS1uYW1lcyI6ZmFsc2UsInN1ZmZpeCI6IiJ9XSwiY29udGFpbmVyLXRpdGxlIjoiVGhlIEV1cm9wZWFuIEpvdXJuYWwgb2YgSGVhbHRoIEVjb25vbWljcyIsImlkIjoiODc2YmM3YjktZDY4My01NWY3LWFiNWQtNDAzYjA2NzExZjMyIiwiaXNzdWUiOiI1IiwiaXNzdWVkIjp7ImRhdGUtcGFydHMiOltbIjIwMTkiLCI3Il1dfSwicGFnZSI6Ijc1MS03NjIiLCJ0aXRsZSI6IkVzdGltYXRpbmcgdGhlIG1hcmdpbmFsIGNvc3Qgb2YgYSBsaWZlIHllYXIgaW4gU3dlZGVu4oCZcyBwdWJsaWMgaGVhbHRoY2FyZSBzZWN0b3IiLCJ0eXBlIjoiYXJ0aWNsZS1qb3VybmFsIiwidm9sdW1lIjoiMjAiLCJjb250YWluZXItdGl0bGUtc2hvcnQiOiIifSwidXJpcyI6WyJodHRwOi8vd3d3Lm1lbmRlbGV5LmNvbS9kb2N1bWVudHMvP3V1aWQ9MWIxOTk2YTAtM2U4MC00NThmLTgwMDItZGI3M2JhNzY0MTM3Il0sImlzVGVtcG9yYXJ5IjpmYWxzZSwibGVnYWN5RGVza3RvcElkIjoiMWIxOTk2YTAtM2U4MC00NThmLTgwMDItZGI3M2JhNzY0MTM3In0seyJpZCI6IjgzYjY2NWU4LTliM2MtNWJhNi05Y2M0LTRlY2E5OGM1OGY1NSIsIml0ZW1EYXRhIjp7IkRPSSI6IjEwLjEwMDIvaGVjLjM5NDYiLCJJU1NOIjoiMTA5OTEwNTAiLCJQTUlEIjoiMzE0Njk1MTAiLCJhYnN0cmFjdCI6Ik5ldyB0ZWNobm9sb2dpZXMgbWF5IGRpc3BsYWNlIGV4aXN0aW5nLCBoaWdoZXItdmFsdWUgY2FyZSB1bmRlciBhIGZpeGVkIGJ1ZGdldC4gQ291bnRyaWVzIGFpbSB0byBjdXJ0YWlsIGFkb3B0aW9uIG9mIGxvdy12YWx1ZSB0ZWNobm9sb2dpZXMsIGZvciBleGFtcGxlLCBieSBpbnN0YWxsaW5nIGNvc3QtZWZmZWN0aXZlbmVzcyB0aHJlc2hvbGRzLiBPdXIgb2JqZWN0aXZlIGlzIHRvIGVzdGltYXRlIHRoZSBvcHBvcnR1bml0eSBjb3N0IG9mIGhvc3BpdGFsIGNhcmUgdG8gaWRlbnRpZnkgYSB0aHJlc2hvbGQgdmFsdWUgZm9yIHRoZSBOZXRoZXJsYW5kcy4gVG8gdGhpcyBhaW0sIHdlIGNvbWJpbmUgY2xhaW1zIGRhdGEsIG1vcnRhbGl0eSBkYXRhIGFuZCBxdWFsaXR5IG9mIGxpZmUgcXVlc3Rpb25uYWlyZXMgZnJvbSAyMDEyIHRvIDIwMTQgZm9yIDExLDAwMCBwYXRpZW50IGdyb3VwcyB0byBvYnRhaW4gcXVhbGl0eS1hZGp1c3RlZCBsaWZlLXllYXIgKFFBTFkpIG91dGNvbWVzIGFuZCBzcGVuZGluZy4gVXNpbmcgYSBmaXhlZCBlZmZlY3RzIHRyYW5zbG9nIG1vZGVsLCB3ZSBlc3RpbWF0ZSB0aGF0IGEgMSUgaW5jcmVhc2UgaW4gaG9zcGl0YWwgc3BlbmRpbmcgb24gYXZlcmFnZSBpbmNyZWFzZXMgUUFMWSBvdXRjb21lcyBieSAwLjIlLiBUaGlzIGltcGxpZXMgYSB0aHJlc2hvbGQgb2Yg4oKsNzMsNjAwIHBlciBRQUxZLCB3aXRoIDk1JSBjb25maWRlbmNlIGludGVydmFscyByYW5naW5nIGZyb20g4oKsNTMsMDAwIHRvIOKCrDk0LDAwMCBwZXIgUUFMWS4gVGhlIHJlc3VsdHMgc3RpcHVsYXRlIHRoYXQgbmV3IHRlY2hub2xvZ2llcyB3aXRoIGluY3JlbWVudGFsIGNvc3QgZWZmZWN0aXZlbmVzcyByYXRpb3MgZXhjZWVkaW5nIHRoZSBEdXRjaCB1cHBlciByZWZlcmVuY2UgdmFsdWUgb2Yg4oKsODAsMDAwIG1heSBpbmRlZWQgZGlzcGxhY2UgbW9yZSB2YWx1YWJsZSBjYXJlLiIsImF1dGhvciI6W3siZHJvcHBpbmctcGFydGljbGUiOiIiLCJmYW1pbHkiOiJTdGFkaG91ZGVycyIsImdpdmVuIjoiTmllayIsIm5vbi1kcm9wcGluZy1wYXJ0aWNsZSI6IiIsInBhcnNlLW5hbWVzIjpmYWxzZSwic3VmZml4IjoiIn0seyJkcm9wcGluZy1wYXJ0aWNsZSI6IiIsImZhbWlseSI6Iktvb2xtYW4iLCJnaXZlbiI6IlhhbmRlciIsIm5vbi1kcm9wcGluZy1wYXJ0aWNsZSI6IiIsInBhcnNlLW5hbWVzIjpmYWxzZSwic3VmZml4IjoiIn0seyJkcm9wcGluZy1wYXJ0aWNsZSI6IiIsImZhbWlseSI6IkRpamsiLCJnaXZlbiI6IkNocmlzdGVsIiwibm9uLWRyb3BwaW5nLXBhcnRpY2xlIjoidmFuIiwicGFyc2UtbmFtZXMiOmZhbHNlLCJzdWZmaXgiOiIifSx7ImRyb3BwaW5nLXBhcnRpY2xlIjoiIiwiZmFtaWx5IjoiSmV1cmlzc2VuIiwiZ2l2ZW4iOiJQYXRyaWNrIiwibm9uLWRyb3BwaW5nLXBhcnRpY2xlIjoiIiwicGFyc2UtbmFtZXMiOmZhbHNlLCJzdWZmaXgiOiIifSx7ImRyb3BwaW5nLXBhcnRpY2xlIjoiIiwiZmFtaWx5IjoiQWRhbmciLCJnaXZlbiI6IkVkZHkiLCJub24tZHJvcHBpbmctcGFydGljbGUiOiIiLCJwYXJzZS1uYW1lcyI6ZmFsc2UsInN1ZmZpeCI6IiJ9XSwiY29udGFpbmVyLXRpdGxlIjoiSGVhbHRoIEVjb25vbWljcyAoVW5pdGVkIEtpbmdkb20pIiwiaWQiOiI4M2I2NjVlOC05YjNjLTViYTYtOWNjNC00ZWNhOThjNThmNTUiLCJpc3N1ZSI6IjExIiwiaXNzdWVkIjp7ImRhdGUtcGFydHMiOltbIjIwMTkiXV19LCJwYWdlIjoiMTMzMS0xMzQ0IiwidGl0bGUiOiJUaGUgbWFyZ2luYWwgYmVuZWZpdHMgb2YgaGVhbHRoY2FyZSBzcGVuZGluZyBpbiB0aGUgTmV0aGVybGFuZHM6IEVzdGltYXRpbmcgY29zdC1lZmZlY3RpdmVuZXNzIHRocmVzaG9sZHMgdXNpbmcgYSB0cmFuc2xvZyBwcm9kdWN0aW9uIGZ1bmN0aW9uIiwidHlwZSI6ImFydGljbGUtam91cm5hbCIsInZvbHVtZSI6IjI4IiwiY29udGFpbmVyLXRpdGxlLXNob3J0IjoiIn0sInVyaXMiOlsiaHR0cDovL3d3dy5tZW5kZWxleS5jb20vZG9jdW1lbnRzLz91dWlkPTNiOWZlMjcyLTc3YTYtNGYzZi1hMjliLTQ0OTAxNTE0M2EwOCJdLCJpc1RlbXBvcmFyeSI6ZmFsc2UsImxlZ2FjeURlc2t0b3BJZCI6IjNiOWZlMjcyLTc3YTYtNGYzZi1hMjliLTQ0OTAxNTE0M2EwOCJ9LHsiaWQiOiJkOWQ3NTMyNy0wMjg4LTVmMjgtOGQ2Yy03ZTRkOTAyOWM4ZjYiLCJpdGVtRGF0YSI6eyJET0kiOiIxMC4xMDAyL2hlYy4zODMxIiwiSVNTTiI6IjEwOTkxMDUwIiwiUE1JRCI6IjMwMjczOTY3IiwiYWJzdHJhY3QiOiJUcmFkaXRpb25hbGx5LCB0aHJlc2hvbGQgbGV2ZWxzIG9mIGNvc3QtZWZmZWN0aXZlbmVzcyBoYXZlIGJlZW4gZGVyaXZlZCBmcm9tIHdpbGxpbmduZXNzLXRvLXBheSBzdHVkaWVzLCBpbmRpY2F0aW5nIHRoZSBjb25zdW1wdGlvbiB2YWx1ZSBvZiBoZWFsdGggKHYtdGhyZXNob2xkcykuIEhvd2V2ZXIsIGl0IGhhcyBiZWVuIGFyZ3VlZCB0aGF0IHYtdGhyZXNob2xkcyBuZWVkIHRvIGJlIHN1cHBsZW1lbnRlZCBieSBzby1jYWxsZWQgay10aHJlc2hvbGRzLCB3aGljaCBhcmUgYmFzZWQgb24gdGhlIG1hcmdpbmFsIHJldHVybnMgdG8gaGVhbHRoIGNhcmUuIFRoZSBvYmplY3RpdmUgb2YgdGhpcyByZXNlYXJjaCBpcyB0byBlc3RpbWF0ZSBhIGstdGhyZXNob2xkIGJhc2VkIG9uIHRoZSBtYXJnaW5hbCByZXR1cm5zIHRvIGNhcmRpb3Zhc2N1bGFyIGRpc2Vhc2UgKENWRCkgaG9zcGl0YWwgY2FyZSBpbiB0aGUgTmV0aGVybGFuZHMuIFRvIGVzdGltYXRlIGEgay10aHJlc2hvbGQgZm9yIGhvc3BpdGFsIGNhcmUgb24gQ1ZELCB3ZSBwcm9jZWVkIGluIHR3byBzdGVwczogRmlyc3QsIHdlIGVzdGltYXRlIHRoZSBpbXBhY3Qgb2YgaG9zcGl0YWwgc3BlbmRpbmcgb24gbW9ydGFsaXR5IHVzaW5nIGEgQmF5ZXNpYW4gcmVncmVzc2lvbiBtb2RlbGxpbmcgZnJhbWV3b3JrLCB1c2luZyBkYXRhIG9uIENWRCBtb3J0YWxpdHkgYW5kIENWRCBob3NwaXRhbCBzcGVuZGluZyBieSBhZ2UgYW5kIGdlbmRlciBmb3IgdGhlIHBlcmlvZCAxOTk04oCTMjAxMC4gU2Vjb25kLCB3ZSB1c2UgbGlmZSB0YWJsZXMgaW4gY29tYmluYXRpb24gd2l0aCBxdWFsaXR5IG9mIGxpZmUgZGF0YSB0byBjb252ZXJ0IHRoZXNlIGVzdGltYXRlcyBpbnRvIGEgay10aHJlc2hvbGQgZXhwcmVzc2VkIGluIGV1cm9zIHBlciBxdWFsaXR5LWFkanVzdGVkIGxpZmUgeWVhciBnYWluZWQuIE91ciBiYXNlIGNhc2UgZXN0aW1hdGUgcmVzdWx0ZWQgaW4gYW4gZXN0aW1hdGUgb2YgNDEsMDAwIHBlciBxdWFsaXR5LWFkanVzdGVkIGxpZmUgeWVhciBnYWluZWQuIEluIG91ciBzZW5zaXRpdml0eSBhbmFseXNlcywgd2UgaWxsdXN0cmF0ZWQgaG93IHRoZSBpbmNvcnBvcmF0aW9uIG9mIHByaW9yIGV2aWRlbmNlIGludG8gdGhlIGVzdGltYXRpb24gcHVzaGVzIGVzdGltYXRlcyBkb3dud2FyZHMuIFdlIGNvbmNsdWRlIHRoYXQgb3VyIGJhc2UgY2FzZSBlc3RpbWF0ZSBvZiB0aGUgay10aHJlc2hvbGQgbWF5IHNlcnZlIGFzIGEgYmVuY2htYXJrIHZhbHVlIGZvciBkZWNpc2lvbiBtYWtpbmcgaW4gdGhlIE5ldGhlcmxhbmRzIGFzIHdlbGwgYXMgZm9yIGZ1dHVyZSByZXNlYXJjaCByZWdhcmRpbmcgay10aHJlc2hvbGRzLiIsImF1dGhvciI6W3siZHJvcHBpbmctcGFydGljbGUiOiIiLCJmYW1pbHkiOiJCYWFsIiwiZ2l2ZW4iOiJQaWV0ZXIiLCJub24tZHJvcHBpbmctcGFydGljbGUiOiJ2YW4iLCJwYXJzZS1uYW1lcyI6ZmFsc2UsInN1ZmZpeCI6IiJ9LHsiZHJvcHBpbmctcGFydGljbGUiOiIiLCJmYW1pbHkiOiJQZXJyeS1EdXhidXJ5IiwiZ2l2ZW4iOiJNZWciLCJub24tZHJvcHBpbmctcGFydGljbGUiOiIiLCJwYXJzZS1uYW1lcyI6ZmFsc2UsInN1ZmZpeCI6IiJ9LHsiZHJvcHBpbmctcGFydGljbGUiOiIiLCJmYW1pbHkiOiJCYWt4IiwiZ2l2ZW4iOiJQaWV0ZXIiLCJub24tZHJvcHBpbmctcGFydGljbGUiOiIiLCJwYXJzZS1uYW1lcyI6ZmFsc2UsInN1ZmZpeCI6IiJ9LHsiZHJvcHBpbmctcGFydGljbGUiOiIiLCJmYW1pbHkiOiJWZXJzdGVlZ2giLCJnaXZlbiI6Ik1hdHRoaWpzIiwibm9uLWRyb3BwaW5nLXBhcnRpY2xlIjoiIiwicGFyc2UtbmFtZXMiOmZhbHNlLCJzdWZmaXgiOiIifSx7ImRyb3BwaW5nLXBhcnRpY2xlIjoiIiwiZmFtaWx5IjoiRG9vcnNsYWVyIiwiZ2l2ZW4iOiJFZGR5Iiwibm9uLWRyb3BwaW5nLXBhcnRpY2xlIjoidmFuIiwicGFyc2UtbmFtZXMiOmZhbHNlLCJzdWZmaXgiOiIifSx7ImRyb3BwaW5nLXBhcnRpY2xlIjoiIiwiZmFtaWx5IjoiQnJvdXdlciIsImdpdmVuIjoiV2VybmVyIiwibm9uLWRyb3BwaW5nLXBhcnRpY2xlIjoiIiwicGFyc2UtbmFtZXMiOmZhbHNlLCJzdWZmaXgiOiIifV0sImNvbnRhaW5lci10aXRsZSI6IkhlYWx0aCBFY29ub21pY3MgKFVuaXRlZCBLaW5nZG9tKSIsImlkIjoiZDlkNzUzMjctMDI4OC01ZjI4LThkNmMtN2U0ZDkwMjljOGY2IiwiaXNzdWUiOiIxIiwiaXNzdWVkIjp7ImRhdGUtcGFydHMiOltbIjIwMTkiXV19LCJwYWdlIjoiODctMTAwIiwidGl0bGUiOiJBIGNvc3QtZWZmZWN0aXZlbmVzcyB0aHJlc2hvbGQgYmFzZWQgb24gdGhlIG1hcmdpbmFsIHJldHVybnMgb2YgY2FyZGlvdmFzY3VsYXIgaG9zcGl0YWwgc3BlbmRpbmciLCJ0eXBlIjoiYXJ0aWNsZS1qb3VybmFsIiwidm9sdW1lIjoiMjgiLCJjb250YWluZXItdGl0bGUtc2hvcnQiOiIifSwidXJpcyI6WyJodHRwOi8vd3d3Lm1lbmRlbGV5LmNvbS9kb2N1bWVudHMvP3V1aWQ9NjcyNjU5NjYtNmZiMS00NjE1LWFkOTUtOGI2ZWE0MzVlN2U5Il0sImlzVGVtcG9yYXJ5IjpmYWxzZSwibGVnYWN5RGVza3RvcElkIjoiNjcyNjU5NjYtNmZiMS00NjE1LWFkOTUtOGI2ZWE0MzVlN2U5In0seyJpZCI6IjVmMzk4ZTcyLWYxOTktNTNjZC05YzFhLTZlNDhhYTYwYjQxNCIsIml0ZW1EYXRhIjp7IkRPSSI6IjEwLjEwOTMvaGVhcG9sL2N6ejE1MiIsIklTU04iOiIxNDYwMjIzNyIsIlBNSUQiOiIzMjEyNTM3NSIsImFic3RyYWN0IjoiQ29zdC1lZmZlY3RpdmVuZXNzIHRocmVzaG9sZHMgYXJlIGltcG9ydGFudCBkZWNpc2lvbiBydWxlcyB0aGF0IGRldGVybWluZSB3aGV0aGVyIGhlYWx0aCBpbnRlcnZlbnRpb25zIHJlcHJlc2VudCBnb29kIHZhbHVlIGZvciBtb25leS4gSW4gbG93LSBhbmQgbWlkZGxlLWluY29tZSBjb3VudHJpZXMsIHRoZSBXb3JsZCBIZWFsdGggT3JnYW5pemF0aW9uIChXSE8pIG9uZSB0byB0aHJlZSB0aW1lcyBwZXIgY2FwaXRhIGdyb3NzIGRvbWVzdGljIHByb2R1Y3QgKEdEUCkgcGVyIGRpc2FiaWxpdHktYWRqdXN0ZWQgbGlmZSB5ZWFycyAoREFMWXMpIGF2ZXJ0ZWQgaGFzIGJlZW4gdGhlIG1vc3Qgd2lkZWx5IHVzZWQgdGhyZXNob2xkIGZvciBpbmZvcm1pbmcgcmVzb3VyY2UgYWxsb2NhdGlvbiBkZWNpc2lvbnMuIEhvd2V2ZXIsIGluIDIwMTYsIHRoZSBXSE8gd2l0aGRyZXcgcmVjb21tZW5kYXRpb25zIGZvciB1c2luZyB0aGlzIHRocmVzaG9sZCwgY3JlYXRpbmcgYSBzaWduaWZpY2FudCB2YWN1dW0gaW4gU291dGggQWZyaWNhIGFuZCBtYW55IGNvdW50cmllcyB0aGF0IHJlbHkgb24gcmVzdWx0cyBvZiBjb3N0LWVmZmVjdGl2ZW5lc3MgYW5hbHlzZXMgZm9yIG1ha2luZyByZXNvdXJjZSBhbGxvY2F0aW9uIGRlY2lzaW9ucy4gVGhpcyBzdHVkeSBlc3RpbWF0ZXMgYSBjb3N0LWVmZmVjdGl2ZW5lc3MgdGhyZXNob2xkIHRoYXQgcmVmbGVjdHMgdGhlIGhlYWx0aCBvcHBvcnR1bml0eSBjb3N0IG9mIGhlYWx0aCBzcGVuZGluZyBpbiBTb3V0aCBBZnJpY2EgdXNpbmcgYSB0aHJlZS1zdGVwIGFwcHJvYWNoLiBGaXJzdCwgbWFyZ2luYWwgcmV0dXJucyB0byBoZWFsdGggc3BlbmRpbmcgd2FzIGVzdGltYXRlZCBhcyBoZWFsdGggc3BlbmRpbmcgZWxhc3RpY2l0eSBmb3IgY3J1ZGUgZGVhdGggcmF0ZXMgdXNpbmcgYSBmaXhlZCBlZmZlY3QgZXN0aW1hdGlvbiBhcHByb2FjaC4gU2Vjb25kLCB0aGUgb3Bwb3J0dW5pdHkgY29zdCBvZiBoZWFsdGggc3BlbmRpbmcgd2FzIGVzdGltYXRlZCBhcyBEQUxZcyBhdmVydGVkLiBGaW5hbGx5LCBhIGNvc3QgcGVyIERBTFkgYXZlcnRlZCB0aHJlc2hvbGQgd2FzIGVzdGltYXRlZCBhcyB0aGUgaW52ZXJzZSBvZiB0aGUgbWFyZ2luYWwgcHJvZHVjdCBvZiBoZWFsdGggc3BlbmRpbmcuIFdlIHNob3cgdGhhdCAxJSBvZiB0b3RhbCBoZWFsdGggc3BlbmRpbmcgaW4gMjAxNSAoZXF1aXZhbGVudCB0byBhcHByb3hpbWF0ZWx5IFpBUiAxLjU0IGJpbGxpb24vVVNEIDEyMC43IG1pbGxpb24pIGF2ZXJ0ZWQgMTA1MCBkZWF0aHMsIDM0IDE4MCB5ZWFycyBvZiBsaWZlIGxvc3QsIDU4ODAgeWVhcnMgbGl2ZWQgd2l0aCBkaXNhYmlsaXR5IGFuZCA0MCAwNTUgREFMWXMuIFRoZSBjb3N0LWVmZmVjdGl2ZW5lc3MgdGhyZXNob2xkIHdhcyBlc3RpbWF0ZWQgYXQgYXBwcm94aW1hdGVseSBaQVIgMzggNTAwIChVU0QgMzAxNSkgcGVyIERBTFkgYXZlcnRlZCwg4oi8NTMlIG9mIFNvdXRoIEFmcmljYSdzIHBlciBjYXBpdGEgR0RQIGluIDIwMTUgKFpBUiA3MiA3MDAvVVNEIDU3MDApIGFuZCBsb3dlciB0aGFuIHRoZSBwcmV2aW91c2x5IHJlY29tbWVuZGVkIG9uZSB0byB0aHJlZSB0aW1lcyBwZXIgY2FwaXRhIEdEUC4gQXMgU291dGggQWZyaWNhIG1vdmVzIHRvd2FyZHMgaW1wbGVtZW50aW5nIHVuaXZlcnNhbCBoZWFsdGggY292ZXJhZ2UgcmVmb3JtcyB0aHJvdWdoIE5hdGlvbmFsIEhlYWx0aCBJbnN1cmFuY2UgYnkgMjAyNSwgdGhlIGFkb3B0aW9uIG9mIGEgdGhyZXNob2xkIHRoYXQgcmVmbGVjdHMgaGVhbHRoIG9wcG9ydHVuaXR5IGNvc3RzIHdpbGwgYmUgY3J1Y2lhbCBmb3IgZW5zdXJpbmcgZWZmaWNpZW5jeSBpbiB0aGUgYWxsb2NhdGlvbiBvZiBzY2FyY2UgcmVzb3VyY2VzLiBUaGlzIHN0dWR5IHByb3ZpZGVzIHVzZWZ1bCBpbnNpZ2h0IGludG8gdGhlIG1hZ25pdHVkZSBvZiB0aGUgaGVhbHRoIG9wcG9ydHVuaXR5IGNvc3Qgb2YgaGVhbHRoIHNwZW5kaW5nIGluIFNvdXRoIEFmcmljYSBhbmQgaGlnaGxpZ2h0cyB0aGUgbmVlZCBmb3IgZnVydGhlciByZXNlYXJjaC4iLCJhdXRob3IiOlt7ImRyb3BwaW5nLXBhcnRpY2xlIjoiIiwiZmFtaWx5IjoiRWRva2EiLCJnaXZlbiI6IklqZW9tYSBQLiIsIm5vbi1kcm9wcGluZy1wYXJ0aWNsZSI6IiIsInBhcnNlLW5hbWVzIjpmYWxzZSwic3VmZml4IjoiIn0seyJkcm9wcGluZy1wYXJ0aWNsZSI6IiIsImZhbWlseSI6IlN0YWNleSIsImdpdmVuIjoiTmljaG9sYXMgSy4iLCJub24tZHJvcHBpbmctcGFydGljbGUiOiIiLCJwYXJzZS1uYW1lcyI6ZmFsc2UsInN1ZmZpeCI6IiJ9XSwiY29udGFpbmVyLXRpdGxlIjoiSGVhbHRoIFBvbGljeSBhbmQgUGxhbm5pbmciLCJpZCI6IjVmMzk4ZTcyLWYxOTktNTNjZC05YzFhLTZlNDhhYTYwYjQxNCIsImlzc3VlIjoiNSIsImlzc3VlZCI6eyJkYXRlLXBhcnRzIjpbWyIyMDIwIl1dfSwicGFnZSI6IjU0Ni01NTUiLCJ0aXRsZSI6IkVzdGltYXRpbmcgYSBjb3N0LWVmZmVjdGl2ZW5lc3MgdGhyZXNob2xkIGZvciBoZWFsdGggY2FyZSBkZWNpc2lvbi1tYWtpbmcgaW4gU291dGggQWZyaWNhIiwidHlwZSI6ImFydGljbGUtam91cm5hbCIsInZvbHVtZSI6IjM1IiwiY29udGFpbmVyLXRpdGxlLXNob3J0IjoiSGVhbHRoIFBvbGljeSBQbGFuIn0sInVyaXMiOlsiaHR0cDovL3d3dy5tZW5kZWxleS5jb20vZG9jdW1lbnRzLz91dWlkPTc3YmQxYzM1LWMxYmEtNDQ5ZC1iMTAzLWIyMDExNGM2NWYwNCJdLCJpc1RlbXBvcmFyeSI6ZmFsc2UsImxlZ2FjeURlc2t0b3BJZCI6Ijc3YmQxYzM1LWMxYmEtNDQ5ZC1iMTAzLWIyMDExNGM2NWYwNCJ9LHsiaWQiOiIyNmE2YjM2ZC1jOGEwLTVmNzctOTllYy1kNTQyNmMwMzllZmQiLCJpdGVtRGF0YSI6eyJET0kiOiIxMC4xMDA3L3M0MDI3My0wMjAtMDA5NTQteSIsIklTU04iOiIxMTcwLTc2OTAiLCJhdXRob3IiOlt7ImRyb3BwaW5nLXBhcnRpY2xlIjoiIiwiZmFtaWx5IjoiT2NoYWxlayIsImdpdmVuIjoiSmVzc2ljYSIsIm5vbi1kcm9wcGluZy1wYXJ0aWNsZSI6IiIsInBhcnNlLW5hbWVzIjpmYWxzZSwic3VmZml4IjoiIn0seyJkcm9wcGluZy1wYXJ0aWNsZSI6IiIsImZhbWlseSI6IldhbmciLCJnaXZlbiI6IkhhaXlpbiIsIm5vbi1kcm9wcGluZy1wYXJ0aWNsZSI6IiIsInBhcnNlLW5hbWVzIjpmYWxzZSwic3VmZml4IjoiIn0seyJkcm9wcGluZy1wYXJ0aWNsZSI6IiIsImZhbWlseSI6Ikd1IiwiZ2l2ZW4iOiJZdWFueXVhbiIsIm5vbi1kcm9wcGluZy1wYXJ0aWNsZSI6IiIsInBhcnNlLW5hbWVzIjpmYWxzZSwic3VmZml4IjoiIn0seyJkcm9wcGluZy1wYXJ0aWNsZSI6IiIsImZhbWlseSI6IkxvbWFzIiwiZ2l2ZW4iOiJKYW1lcyIsIm5vbi1kcm9wcGluZy1wYXJ0aWNsZSI6IiIsInBhcnNlLW5hbWVzIjpmYWxzZSwic3VmZml4IjoiIn0seyJkcm9wcGluZy1wYXJ0aWNsZSI6IiIsImZhbWlseSI6IkN1dGxlciIsImdpdmVuIjoiSGVucnkiLCJub24tZHJvcHBpbmctcGFydGljbGUiOiIiLCJwYXJzZS1uYW1lcyI6ZmFsc2UsInN1ZmZpeCI6IiJ9LHsiZHJvcHBpbmctcGFydGljbGUiOiIiLCJmYW1pbHkiOiJKaW4iLCJnaXZlbiI6IkNodW5saW4iLCJub24tZHJvcHBpbmctcGFydGljbGUiOiIiLCJwYXJzZS1uYW1lcyI6ZmFsc2UsInN1ZmZpeCI6IiJ9XSwiY29udGFpbmVyLXRpdGxlIjoiUGhhcm1hY29FY29ub21pY3MiLCJpZCI6IjI2YTZiMzZkLWM4YTAtNWY3Ny05OWVjLWQ1NDI2YzAzOWVmZCIsImlzc3VlIjoiMTIiLCJpc3N1ZWQiOnsiZGF0ZS1wYXJ0cyI6W1siMjAyMCIsIjEyIl1dfSwicGFnZSI6IjEzMTktMTMzMSIsInRpdGxlIjoiSW5mb3JtaW5nIGEgQ29zdC1FZmZlY3RpdmVuZXNzIFRocmVzaG9sZCBmb3IgSGVhbHRoIFRlY2hub2xvZ3kgQXNzZXNzbWVudCBpbiBDaGluYTogQSBNYXJnaW5hbCBQcm9kdWN0aXZpdHkgQXBwcm9hY2giLCJ0eXBlIjoiYXJ0aWNsZS1qb3VybmFsIiwidm9sdW1lIjoiMzgiLCJjb250YWluZXItdGl0bGUtc2hvcnQiOiJQaGFybWFjb2Vjb25vbWljcyJ9LCJ1cmlzIjpbImh0dHA6Ly93d3cubWVuZGVsZXkuY29tL2RvY3VtZW50cy8/dXVpZD02Y2FlMDIxYS1lZWY4LTQzZjMtYThjNS00ZmFmZGJjODUxYzQiXSwiaXNUZW1wb3JhcnkiOmZhbHNlLCJsZWdhY3lEZXNrdG9wSWQiOiI2Y2FlMDIxYS1lZWY4LTQzZjMtYThjNS00ZmFmZGJjODUxYzQifSx7ImlkIjoiYjIxNzRkMjQtNmI3Yy01NDQ3LWIwNDUtMjQ3NTY0NmJhNjU2IiwiaXRlbURhdGEiOnsiRE9JIjoiMTAuMTAwNy9zNDAyNTgtMDIxLTAwNjYzLTMiLCJJU1NOIjoiMTE3NS01NjUyIiwiYXV0aG9yIjpbeyJkcm9wcGluZy1wYXJ0aWNsZSI6IiIsImZhbWlseSI6Ik1hcnRpbiIsImdpdmVuIjoiU3RlcGhlbiIsIm5vbi1kcm9wcGluZy1wYXJ0aWNsZSI6IiIsInBhcnNlLW5hbWVzIjpmYWxzZSwic3VmZml4IjoiIn0seyJkcm9wcGluZy1wYXJ0aWNsZSI6IiIsImZhbWlseSI6IkxvbWFzIiwiZ2l2ZW4iOiJKYW1lcyIsIm5vbi1kcm9wcGluZy1wYXJ0aWNsZSI6IiIsInBhcnNlLW5hbWVzIjpmYWxzZSwic3VmZml4IjoiIn0seyJkcm9wcGluZy1wYXJ0aWNsZSI6IiIsImZhbWlseSI6IkNsYXh0b24iLCJnaXZlbiI6IkthcmwiLCJub24tZHJvcHBpbmctcGFydGljbGUiOiIiLCJwYXJzZS1uYW1lcyI6ZmFsc2UsInN1ZmZpeCI6IiJ9LHsiZHJvcHBpbmctcGFydGljbGUiOiIiLCJmYW1pbHkiOiJMb25nbyIsImdpdmVuIjoiRnJhbmNlc2NvIiwibm9uLWRyb3BwaW5nLXBhcnRpY2xlIjoiIiwicGFyc2UtbmFtZXMiOmZhbHNlLCJzdWZmaXgiOiIifV0sImNvbnRhaW5lci10aXRsZSI6IkFwcGxpZWQgSGVhbHRoIEVjb25vbWljcyBhbmQgSGVhbHRoIFBvbGljeSIsImlkIjoiYjIxNzRkMjQtNmI3Yy01NDQ3LWIwNDUtMjQ3NTY0NmJhNjU2IiwiaXNzdWVkIjp7ImRhdGUtcGFydHMiOltbIjIwMjEiLCI3Il1dfSwidGl0bGUiOiJIb3cgRWZmZWN0aXZlIGlzIE1hcmdpbmFsIEhlYWx0aGNhcmUgRXhwZW5kaXR1cmU/IE5ldyBFdmlkZW5jZSBmcm9tIEVuZ2xhbmQgZm9yIDIwMDMvMDQgdG8gMjAxMi8xMyIsInR5cGUiOiJhcnRpY2xlLWpvdXJuYWwiLCJjb250YWluZXItdGl0bGUtc2hvcnQiOiJBcHBsIEhlYWx0aCBFY29uIEhlYWx0aCBQb2xpY3kifSwidXJpcyI6WyJodHRwOi8vd3d3Lm1lbmRlbGV5LmNvbS9kb2N1bWVudHMvP3V1aWQ9ZWJjYjBlNjAtYzEzYy00MjY5LTlhODktYjRhZGZhMWZjZjBjIl0sImlzVGVtcG9yYXJ5IjpmYWxzZSwibGVnYWN5RGVza3RvcElkIjoiZWJjYjBlNjAtYzEzYy00MjY5LTlhODktYjRhZGZhMWZjZjBjIn0seyJpZCI6IjNlNTYyYzJkLWZmY2EtNTk0YS04MWE2LTZiMTEwZTAyZjc0YyIsIml0ZW1EYXRhIjp7IkRPSSI6IjEwLjczMjYvTTIwLTEzOTIiLCJJU1NOIjoiMDAwMy00ODE5IiwiYXV0aG9yIjpbeyJkcm9wcGluZy1wYXJ0aWNsZSI6IiIsImZhbWlseSI6IlZhbm5lc3MiLCJnaXZlbiI6IkRhdmlkIEouIiwibm9uLWRyb3BwaW5nLXBhcnRpY2xlIjoiIiwicGFyc2UtbmFtZXMiOmZhbHNlLCJzdWZmaXgiOiIifSx7ImRyb3BwaW5nLXBhcnRpY2xlIjoiIiwiZmFtaWx5IjoiTG9tYXMiLCJnaXZlbiI6IkphbWVzIiwibm9uLWRyb3BwaW5nLXBhcnRpY2xlIjoiIiwicGFyc2UtbmFtZXMiOmZhbHNlLCJzdWZmaXgiOiIifSx7ImRyb3BwaW5nLXBhcnRpY2xlIjoiIiwiZmFtaWx5IjoiQWhuIiwiZ2l2ZW4iOiJIYW5uYWgiLCJub24tZHJvcHBpbmctcGFydGljbGUiOiIiLCJwYXJzZS1uYW1lcyI6ZmFsc2UsInN1ZmZpeCI6IiJ9XSwiY29udGFpbmVyLXRpdGxlIjoiQW5uYWxzIG9mIEludGVybmFsIE1lZGljaW5lIiwiaWQiOiIzZTU2MmMyZC1mZmNhLTU5NGEtODFhNi02YjExMGUwMmY3NGMiLCJpc3N1ZSI6IjEiLCJpc3N1ZWQiOnsiZGF0ZS1wYXJ0cyI6W1siMjAyMSIsIjEiXV19LCJwYWdlIjoiMjUtMzIiLCJ0aXRsZSI6IkEgSGVhbHRoIE9wcG9ydHVuaXR5IENvc3QgVGhyZXNob2xkIGZvciBDb3N0LUVmZmVjdGl2ZW5lc3MgQW5hbHlzaXMgaW4gdGhlIFVuaXRlZCBTdGF0ZXMiLCJ0eXBlIjoiYXJ0aWNsZS1qb3VybmFsIiwidm9sdW1lIjoiMTc0IiwiY29udGFpbmVyLXRpdGxlLXNob3J0IjoiQW5uIEludGVybiBNZWQifSwidXJpcyI6WyJodHRwOi8vd3d3Lm1lbmRlbGV5LmNvbS9kb2N1bWVudHMvP3V1aWQ9Y2IxYzYzZTQtMjc4OC00N2RmLWIyYjAtNGMxMWRmZTgxNTY0Il0sImlzVGVtcG9yYXJ5IjpmYWxzZSwibGVnYWN5RGVza3RvcElkIjoiY2IxYzYzZTQtMjc4OC00N2RmLWIyYjAtNGMxMWRmZTgxNTY0In0seyJpZCI6IjkxMzljZDFkLWM3MzItNWVhMy1iNDFkLWNjOTY1MzE1ZjM3NiIsIml0ZW1EYXRhIjp7IkRPSSI6IjEwLjEwOTMvaGVhcG9sL2N6YWIxNDYiLCJJU1NOIjoiMTQ2MC0yMjM3IiwiYWJzdHJhY3QiOiJMaWtlIG1vc3Qgb2YgdGhlIHdvcmxkLCBsb3ctIGFuZCBtaWRkbGUtaW5jb21lIGNvdW50cmllcyBoYXZlIGZhY2VkIGEgZ3Jvd2luZyBkZW1hbmQgZm9yIG5ldyBoZWFsdGggdGVjaG5vbG9naWVzIGFuZCBoaWdoZXIgYnVkZ2V0IGNvbnN0cmFpbnRzLiBJdCBpcyBuZWNlc3NhcnkgdG8gaGF2ZSB0ZWNobmljYWwgaW5zdHJ1bWVudHMgdG8gbWFrZSBkZWNpc2lvbnMgYmFzZWQgb24gcmVhbC13b3JsZCBldmlkZW5jZSB0aGF0IGFsbG93cyBtYXhpbWl6YXRpb24gb2YgdGhlIHBvcHVsYXRpb27igJlzIGhlYWx0aCB3aXRoIGEgbGltaXRlZCBidWRnZXQuIFdlIGVzdGltYXRlZCB0aGUgc3VwcGx5LWJhc2VkIGNvc3QtZWZmZWN0aXZlbmVzcyBlbGFzdGljaXR5LCB3aGljaCB3YXMgdGhlbiB1c2VkIHRvIGRldGVybWluZSB0aGUgY29zdC1lZmZlY3RpdmVuZXNzIHRocmVzaG9sZCBmb3IgdGhlIGhlYWx0aGNhcmUgc3lzdGVtIG9mIENvbG9tYmlhLCBhIG1pZGRsZS1pbmNvbWUgY291bnRyeSB3aGVyZSBtdWx0aXBsZSBpbnN1cmVycywgcGFpZCB1bmRlciBjYXBpdGF0aW9uIHJ1bGVzLCBtYW5hZ2UgdGhlIGNvbXB1bHNvcnkgY29udHJpYnV0aW9ucyBvZiB0aGUgY2l0aXplbnMgYW5kIGdvdmVybm1lbnQgc3Vic2lkaWVzLiBVc2luZyBhZG1pbmlzdHJhdGl2ZSBkYXRhLCB3ZSBleHBsb3JlZCB0aGUgdmFyaWF0aW9uIG9mIGhlYWx0aCBleHBlbmRpdHVyZXMgYW5kIG91dGNvbWVzIGF0IHRoZSBpbnN1cmVyLCBnZW9ncmFwaGljYWwgcmVnaW9uLCBkaWFnbm9zaXMgZ3JvdXAgYW5kIHllYXIgbGV2ZWxzLiBUbyBkZWFsIHdpdGggZW5kb2dlbmVpdHkgaW4gYSB0d28td2F5IGZpeGVkLWVmZmVjdHMgbW9kZWwsIHdlIGluc3RydW1lbnRlZCBoZWFsdGggZXhwZW5kaXR1cmVzIHVzaW5nIGNoYXJhY3RlcmlzdGljcyBvZiB0aGUgaGVhbHRoIHN5c3RlbSBzdWNoIGFzIGRydWctcHJpY2UgcmVndWxhdGlvbi4gV2UgZXN0aW1hdGVkIHRoZSB0aHJlc2hvbGQgdG8gYmUgVVMkNDQ4Ny41IHBlciB5ZWFycyBvZiBsaWZlIGxvc3QgYXZvaWRlZCBbMTQuNyBtaWxsaW9uIENvbG9tYmlhbiBwZXNvcyAoQ09QKSBhdCAyMDE5IHByaWNlc10gYW5kIFVTJDUxODAuOCBwZXIgcXVhbGl0eS1hZGp1c3RlZCBsaWZlLXllYXJzIGdhaW5lZCAoMTcgbWlsbGlvbiBDT1AgYXQgMjAxOSBwcmljZXMpLCBhcm91bmQgb25lIHRpbWVzIHRoZSBncm9zcyBkb21lc3RpYyBwcm9kdWN0IEdEUCBwZXIgY2FwaXRhLiBUbyB0aGUgYmVzdCBvZiBvdXIga25vd2xlZGdlLCB0aGlzIGlzIHRoZSBmaXJzdCBlc3RpbWF0aW9uIG9mIHRoZSBjb3N0LWVmZmVjdGl2ZW5lc3MgdGhyZXNob2xkIGVsYXN0aWNpdHkgc3VwcGx5LWJhc2VkIGluIGEgbWlkZGxlLWluY29tZSBjb3VudHJ5IHdpdGggYSBtYW5hZ2VkIGhlYWx0aGNhcmUgc3lzdGVtLiIsImF1dGhvciI6W3siZHJvcHBpbmctcGFydGljbGUiOiIiLCJmYW1pbHkiOiJFc3Bpbm9zYSIsImdpdmVuIjoiT3NjYXIiLCJub24tZHJvcHBpbmctcGFydGljbGUiOiIiLCJwYXJzZS1uYW1lcyI6ZmFsc2UsInN1ZmZpeCI6IiJ9LHsiZHJvcHBpbmctcGFydGljbGUiOiIiLCJmYW1pbHkiOiJSb2Ryw61ndWV6LUxlc21lcyIsImdpdmVuIjoiUGF1bCIsIm5vbi1kcm9wcGluZy1wYXJ0aWNsZSI6IiIsInBhcnNlLW5hbWVzIjpmYWxzZSwic3VmZml4IjoiIn0seyJkcm9wcGluZy1wYXJ0aWNsZSI6IiIsImZhbWlseSI6Ik9yb3pjbyIsImdpdmVuIjoiTHVpcyIsIm5vbi1kcm9wcGluZy1wYXJ0aWNsZSI6IiIsInBhcnNlLW5hbWVzIjpmYWxzZSwic3VmZml4IjoiIn0seyJkcm9wcGluZy1wYXJ0aWNsZSI6IiIsImZhbWlseSI6IsOBdmlsYSIsImdpdmVuIjoiRGllZ28iLCJub24tZHJvcHBpbmctcGFydGljbGUiOiIiLCJwYXJzZS1uYW1lcyI6ZmFsc2UsInN1ZmZpeCI6IiJ9LHsiZHJvcHBpbmctcGFydGljbGUiOiIiLCJmYW1pbHkiOiJFbnLDrXF1ZXoiLCJnaXZlbiI6Ikhlcm7DoW4iLCJub24tZHJvcHBpbmctcGFydGljbGUiOiIiLCJwYXJzZS1uYW1lcyI6ZmFsc2UsInN1ZmZpeCI6IiJ9LHsiZHJvcHBpbmctcGFydGljbGUiOiIiLCJmYW1pbHkiOiJSb21hbm8iLCJnaXZlbiI6IkdpYW5jYXJsbyIsIm5vbi1kcm9wcGluZy1wYXJ0aWNsZSI6IiIsInBhcnNlLW5hbWVzIjpmYWxzZSwic3VmZml4IjoiIn0seyJkcm9wcGluZy1wYXJ0aWNsZSI6IiIsImZhbWlseSI6IkNlYmFsbG9zIiwiZ2l2ZW4iOiJNYXRlbyIsIm5vbi1kcm9wcGluZy1wYXJ0aWNsZSI6IiIsInBhcnNlLW5hbWVzIjpmYWxzZSwic3VmZml4IjoiIn1dLCJjb250YWluZXItdGl0bGUiOiJIZWFsdGggUG9saWN5IGFuZCBQbGFubmluZyIsImlkIjoiOTEzOWNkMWQtYzczMi01ZWEzLWI0MWQtY2M5NjUzMTVmMzc2IiwiaXNzdWUiOiIzIiwiaXNzdWVkIjp7ImRhdGUtcGFydHMiOltbIjIwMjIiLCIzIiwiNCJdXX0sInBhZ2UiOiIzNTktMzY4IiwidGl0bGUiOiJFc3RpbWF0aW5nIGNvc3QtZWZmZWN0aXZlbmVzcyB0aHJlc2hvbGRzIHVuZGVyIGEgbWFuYWdlZCBoZWFsdGhjYXJlIHN5c3RlbTogZXhwZXJpZW5jZXMgZnJvbSBDb2xvbWJpYSIsInR5cGUiOiJhcnRpY2xlLWpvdXJuYWwiLCJ2b2x1bWUiOiIzNyIsImNvbnRhaW5lci10aXRsZS1zaG9ydCI6IkhlYWx0aCBQb2xpY3kgUGxhbiJ9LCJ1cmlzIjpbImh0dHA6Ly93d3cubWVuZGVsZXkuY29tL2RvY3VtZW50cy8/dXVpZD04NDA3ZDRkZi1kYjE5LTQwNTEtYjdjYy04M2ZlOTg1ZjRiMDYiXSwiaXNUZW1wb3JhcnkiOmZhbHNlLCJsZWdhY3lEZXNrdG9wSWQiOiI4NDA3ZDRkZi1kYjE5LTQwNTEtYjdjYy04M2ZlOTg1ZjRiMDYifV19&quot;,&quot;citationItems&quot;:[{&quot;id&quot;:&quot;7c79da76-f5f8-5fc7-87c1-96432fd90158&quot;,&quot;itemData&quot;:{&quot;DOI&quot;:&quot;10.1007/s40273-017-0585-2&quot;,&quot;ISSN&quot;:&quot;1179-2027&quot;,&quot;PMID&quot;:&quot;29273843&quot;,&quot;abstract&quot;:&quot;Background: Spending on new healthcare technologies increases net population health when the benefits of a new technology are greater than their opportunity costs—the benefits of the best alternative use of the additional resources required to fund a new technology. Objective: The objective of this study was to estimate the expected incremental cost per quality-adjusted life-year (QALY) gained of increased government health expenditure as an empirical estimate of the average opportunity costs of decisions to fund new health technologies. The estimated incremental cost-effectiveness ratio (ICER) is proposed as a reference ICER to inform value-based decision making in Australia. Methods: Empirical top-down approaches were used to estimate the QALY effects of government health expenditure with respect to reduced mortality and morbidity. Instrumental variable two-stage least-squares regression was used to estimate the elasticity of mortality-related QALY losses to a marginal change in government health expenditure. Regression analysis of longitudinal survey data representative of the general population was used to isolate the effects of increased government health expenditure on morbidity-related, QALY gains. Clinical judgement informed the duration of health-related quality-of-life improvement from the annual increase in government health expenditure. Results: The base-case reference ICER was estimated at AUD28,033 per QALY gained. Parametric uncertainty associated with the estimation of mortality- and morbidity-related QALYs generated a 95% confidence interval AUD20,758–37,667. Conclusion: Recent public summary documents suggest new technologies with ICERs above AUD40,000 per QALY gained are recommended for public funding. The empirical reference ICER reported in this article suggests more QALYs could be gained if resources were allocated to other forms of health spending.&quot;,&quot;author&quot;:[{&quot;dropping-particle&quot;:&quot;&quot;,&quot;family&quot;:&quot;Edney&quot;,&quot;given&quot;:&quot;Laura Catherine&quot;,&quot;non-dropping-particle&quot;:&quot;&quot;,&quot;parse-names&quot;:false,&quot;suffix&quot;:&quot;&quot;},{&quot;dropping-particle&quot;:&quot;&quot;,&quot;family&quot;:&quot;Karnon&quot;,&quot;given&quot;:&quot;Jonathan&quot;,&quot;non-dropping-particle&quot;:&quot;&quot;,&quot;parse-names&quot;:false,&quot;suffix&quot;:&quot;&quot;},{&quot;dropping-particle&quot;:&quot;&quot;,&quot;family&quot;:&quot;Haji Ali Afzali&quot;,&quot;given&quot;:&quot;Hossein&quot;,&quot;non-dropping-particle&quot;:&quot;&quot;,&quot;parse-names&quot;:false,&quot;suffix&quot;:&quot;&quot;},{&quot;dropping-particle&quot;:&quot;&quot;,&quot;family&quot;:&quot;Cheng&quot;,&quot;given&quot;:&quot;Terence Chai&quot;,&quot;non-dropping-particle&quot;:&quot;&quot;,&quot;parse-names&quot;:false,&quot;suffix&quot;:&quot;&quot;},{&quot;dropping-particle&quot;:&quot;&quot;,&quot;family&quot;:&quot;Karnon&quot;,&quot;given&quot;:&quot;Jonathan&quot;,&quot;non-dropping-particle&quot;:&quot;&quot;,&quot;parse-names&quot;:false,&quot;suffix&quot;:&quot;&quot;}],&quot;container-title&quot;:&quot;PharmacoEconomics&quot;,&quot;id&quot;:&quot;7c79da76-f5f8-5fc7-87c1-96432fd90158&quot;,&quot;issue&quot;:&quot;2&quot;,&quot;issued&quot;:{&quot;date-parts&quot;:[[&quot;2018&quot;]]},&quot;page&quot;:&quot;239-252&quot;,&quot;publisher&quot;:&quot;Springer International Publishing&quot;,&quot;title&quot;:&quot;Estimating the Reference Incremental Cost-Effectiveness Ratio for the Australian Health System&quot;,&quot;type&quot;:&quot;article-journal&quot;,&quot;volume&quot;:&quot;36&quot;,&quot;container-title-short&quot;:&quot;Pharmacoeconomics&quot;},&quot;uris&quot;:[&quot;http://www.mendeley.com/documents/?uuid=24dde309-b476-4c21-add6-1b1a5d0a8d57&quot;],&quot;isTemporary&quot;:false,&quot;legacyDesktopId&quot;:&quot;24dde309-b476-4c21-add6-1b1a5d0a8d57&quot;},{&quot;id&quot;:&quot;d4f2b54e-529f-5f55-bf87-77a9fd24b020&quot;,&quot;itemData&quot;:{&quot;DOI&quot;:&quot;10.1136/bmjgh-2018-000964&quot;,&quot;ISSN&quot;:&quot;2059-7908&quot;,&quot;abstract&quot;:&quot;The economic evaluation of healthcare interventions requires an assessment of whether the improvement in health outcomes they offer exceeds the improvement in health that would have been possible if the additional resources required had, instead, been made available for other healthcare activities. Therefore, some assessment of these health opportunity costs is required if the best use is to be made of the resources available for healthcare. This paper provides a framework for generating country-specific estimates of cost per disability-adjusted life year (DALY) averted ‘thresholds’ that reflect health opportunity costs. We apply estimated elasticities on mortality, survival, morbidity and a generic measure of health, DALYs, that take account of measures of a country’s infrastructure and changes in donor funding to country-specific data on health expenditure, epidemiology and demographics to determine the likely DALYs averted from a 1% change in expenditure on health. The resulting range of cost per DALY averted ‘threshold’ estimates for each country that represent likely health opportunity costs tend to fall below the range previously suggested by WHO of 1–3× gross domestic product (GDP) per capita. The 1–3× GDP range and many other previous and existing recommendations about which interventions are cost-effective are not based on an empirical assessment of the likely health opportunity costs, and as a consequence, the health effects of changes in health expenditure have tended to be underestimated, and there is a risk that interventions regarded as cost-effective reduce rather than improve health outcomes overall.&quot;,&quot;author&quot;:[{&quot;dropping-particle&quot;:&quot;&quot;,&quot;family&quot;:&quot;Ochalek&quot;,&quot;given&quot;:&quot;Jessica&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Claxton&quot;,&quot;given&quot;:&quot;Karl&quot;,&quot;non-dropping-particle&quot;:&quot;&quot;,&quot;parse-names&quot;:false,&quot;suffix&quot;:&quot;&quot;}],&quot;container-title&quot;:&quot;BMJ Global Health&quot;,&quot;id&quot;:&quot;d4f2b54e-529f-5f55-bf87-77a9fd24b020&quot;,&quot;issue&quot;:&quot;6&quot;,&quot;issued&quot;:{&quot;date-parts&quot;:[[&quot;2018&quot;,&quot;11&quot;]]},&quot;page&quot;:&quot;e000964&quot;,&quot;title&quot;:&quot;Estimating health opportunity costs in low-income and middle-income countries: a novel approach and evidence from cross-country data&quot;,&quot;type&quot;:&quot;article-journal&quot;,&quot;volume&quot;:&quot;3&quot;,&quot;container-title-short&quot;:&quot;BMJ Glob Health&quot;},&quot;uris&quot;:[&quot;http://www.mendeley.com/documents/?uuid=8ba8293f-d345-4a5b-850b-399733f15174&quot;],&quot;isTemporary&quot;:false,&quot;legacyDesktopId&quot;:&quot;8ba8293f-d345-4a5b-850b-399733f15174&quot;},{&quot;id&quot;:&quot;493420dd-e18c-5eed-9e9d-c0060a5bf533&quot;,&quot;itemData&quot;:{&quot;DOI&quot;:&quot;10.1002/hec.3633&quot;,&quot;ISSN&quot;:&quot;10991050&quot;,&quot;abstract&quot;:&quot;© 2017 John Wiley &amp; Sons, Ltd. The cost of generating a quality-adjusted life year (QALY) within a National Health Service provides an approximation of the average opportunity cost of funding decisions. This information can be used to inform a cost-effectiveness threshold. The aim of this paper is to estimate the cost per QALY at the Spanish National Health Service. We exploit variation across 17 regional health services and the exogenous changes in expenditure that took place as a consequence of the economic crisis over 5 years of data. We conduct fixed effect models and use an instrumental variable approach to test for potential remaining endogeneity. Our results show that health expenditure has a positive and significant effect on population health, with an average spending elasticity of 0.07. This translates into a cost per QALY of between 22,000€ and 25,000€. These values are below the cost-effectiveness threshold figure of 30,000€ commonly cited in Spain.&quot;,&quot;author&quot;:[{&quot;dropping-particle&quot;:&quot;&quot;,&quot;family&quot;:&quot;Vallejo-Torres&quot;,&quot;given&quot;:&quot;L.&quot;,&quot;non-dropping-particle&quot;:&quot;&quot;,&quot;parse-names&quot;:false,&quot;suffix&quot;:&quot;&quot;},{&quot;dropping-particle&quot;:&quot;&quot;,&quot;family&quot;:&quot;García-Lorenzo&quot;,&quot;given&quot;:&quot;B.&quot;,&quot;non-dropping-particle&quot;:&quot;&quot;,&quot;parse-names&quot;:false,&quot;suffix&quot;:&quot;&quot;},{&quot;dropping-particle&quot;:&quot;&quot;,&quot;family&quot;:&quot;Serrano-Aguilar&quot;,&quot;given&quot;:&quot;P.&quot;,&quot;non-dropping-particle&quot;:&quot;&quot;,&quot;parse-names&quot;:false,&quot;suffix&quot;:&quot;&quot;}],&quot;container-title&quot;:&quot;Health Economics (United Kingdom)&quot;,&quot;id&quot;:&quot;493420dd-e18c-5eed-9e9d-c0060a5bf533&quot;,&quot;issued&quot;:{&quot;date-parts&quot;:[[&quot;2018&quot;]]},&quot;title&quot;:&quot;Estimating a cost-effectiveness threshold for the Spanish NHS&quot;,&quot;type&quot;:&quot;article-journal&quot;,&quot;container-title-short&quot;:&quot;&quot;},&quot;uris&quot;:[&quot;http://www.mendeley.com/documents/?uuid=88f173d4-8cac-4f53-bd99-1adb03d072d4&quot;],&quot;isTemporary&quot;:false,&quot;legacyDesktopId&quot;:&quot;88f173d4-8cac-4f53-bd99-1adb03d072d4&quot;},{&quot;id&quot;:&quot;876bc7b9-d683-55f7-ab5d-403b06711f32&quot;,&quot;itemData&quot;:{&quot;DOI&quot;:&quot;10.1007/s10198-019-01039-0&quot;,&quot;ISSN&quot;:&quot;1618-7598&quot;,&quot;author&quot;:[{&quot;dropping-particle&quot;:&quot;&quot;,&quot;family&quot;:&quot;Siverskog&quot;,&quot;given&quot;:&quot;Jonathan&quot;,&quot;non-dropping-particle&quot;:&quot;&quot;,&quot;parse-names&quot;:false,&quot;suffix&quot;:&quot;&quot;},{&quot;dropping-particle&quot;:&quot;&quot;,&quot;family&quot;:&quot;Henriksson&quot;,&quot;given&quot;:&quot;Martin&quot;,&quot;non-dropping-particle&quot;:&quot;&quot;,&quot;parse-names&quot;:false,&quot;suffix&quot;:&quot;&quot;}],&quot;container-title&quot;:&quot;The European Journal of Health Economics&quot;,&quot;id&quot;:&quot;876bc7b9-d683-55f7-ab5d-403b06711f32&quot;,&quot;issue&quot;:&quot;5&quot;,&quot;issued&quot;:{&quot;date-parts&quot;:[[&quot;2019&quot;,&quot;7&quot;]]},&quot;page&quot;:&quot;751-762&quot;,&quot;title&quot;:&quot;Estimating the marginal cost of a life year in Sweden’s public healthcare sector&quot;,&quot;type&quot;:&quot;article-journal&quot;,&quot;volume&quot;:&quot;20&quot;,&quot;container-title-short&quot;:&quot;&quot;},&quot;uris&quot;:[&quot;http://www.mendeley.com/documents/?uuid=1b1996a0-3e80-458f-8002-db73ba764137&quot;],&quot;isTemporary&quot;:false,&quot;legacyDesktopId&quot;:&quot;1b1996a0-3e80-458f-8002-db73ba764137&quot;},{&quot;id&quot;:&quot;83b665e8-9b3c-5ba6-9cc4-4eca98c58f55&quot;,&quot;itemData&quot;:{&quot;DOI&quot;:&quot;10.1002/hec.3946&quot;,&quot;ISSN&quot;:&quot;10991050&quot;,&quot;PMID&quot;:&quot;31469510&quot;,&quot;abstract&quot;:&quot;New technologies may displace existing, higher-value care under a fixed budget. Countries aim to curtail adoption of low-value technologies, for example, by installing cost-effectiveness thresholds. Our objective is to estimate the opportunity cost of hospital care to identify a threshold value for the Netherlands. To this aim, we combine claims data, mortality data and quality of life questionnaires from 2012 to 2014 for 11,000 patient groups to obtain quality-adjusted life-year (QALY) outcomes and spending. Using a fixed effects translog model, we estimate that a 1% increase in hospital spending on average increases QALY outcomes by 0.2%. This implies a threshold of €73,600 per QALY, with 95% confidence intervals ranging from €53,000 to €94,000 per QALY. The results stipulate that new technologies with incremental cost effectiveness ratios exceeding the Dutch upper reference value of €80,000 may indeed displace more valuable care.&quot;,&quot;author&quot;:[{&quot;dropping-particle&quot;:&quot;&quot;,&quot;family&quot;:&quot;Stadhouders&quot;,&quot;given&quot;:&quot;Niek&quot;,&quot;non-dropping-particle&quot;:&quot;&quot;,&quot;parse-names&quot;:false,&quot;suffix&quot;:&quot;&quot;},{&quot;dropping-particle&quot;:&quot;&quot;,&quot;family&quot;:&quot;Koolman&quot;,&quot;given&quot;:&quot;Xander&quot;,&quot;non-dropping-particle&quot;:&quot;&quot;,&quot;parse-names&quot;:false,&quot;suffix&quot;:&quot;&quot;},{&quot;dropping-particle&quot;:&quot;&quot;,&quot;family&quot;:&quot;Dijk&quot;,&quot;given&quot;:&quot;Christel&quot;,&quot;non-dropping-particle&quot;:&quot;van&quot;,&quot;parse-names&quot;:false,&quot;suffix&quot;:&quot;&quot;},{&quot;dropping-particle&quot;:&quot;&quot;,&quot;family&quot;:&quot;Jeurissen&quot;,&quot;given&quot;:&quot;Patrick&quot;,&quot;non-dropping-particle&quot;:&quot;&quot;,&quot;parse-names&quot;:false,&quot;suffix&quot;:&quot;&quot;},{&quot;dropping-particle&quot;:&quot;&quot;,&quot;family&quot;:&quot;Adang&quot;,&quot;given&quot;:&quot;Eddy&quot;,&quot;non-dropping-particle&quot;:&quot;&quot;,&quot;parse-names&quot;:false,&quot;suffix&quot;:&quot;&quot;}],&quot;container-title&quot;:&quot;Health Economics (United Kingdom)&quot;,&quot;id&quot;:&quot;83b665e8-9b3c-5ba6-9cc4-4eca98c58f55&quot;,&quot;issue&quot;:&quot;11&quot;,&quot;issued&quot;:{&quot;date-parts&quot;:[[&quot;2019&quot;]]},&quot;page&quot;:&quot;1331-1344&quot;,&quot;title&quot;:&quot;The marginal benefits of healthcare spending in the Netherlands: Estimating cost-effectiveness thresholds using a translog production function&quot;,&quot;type&quot;:&quot;article-journal&quot;,&quot;volume&quot;:&quot;28&quot;,&quot;container-title-short&quot;:&quot;&quot;},&quot;uris&quot;:[&quot;http://www.mendeley.com/documents/?uuid=3b9fe272-77a6-4f3f-a29b-449015143a08&quot;],&quot;isTemporary&quot;:false,&quot;legacyDesktopId&quot;:&quot;3b9fe272-77a6-4f3f-a29b-449015143a08&quot;},{&quot;id&quot;:&quot;d9d75327-0288-5f28-8d6c-7e4d9029c8f6&quot;,&quot;itemData&quot;:{&quot;DOI&quot;:&quot;10.1002/hec.3831&quot;,&quot;ISSN&quot;:&quot;10991050&quot;,&quot;PMID&quot;:&quot;30273967&quot;,&quot;abstract&quot;:&quot;Traditionally, threshold levels of cost-effectiveness have been derived from willingness-to-pay studies, indicating the consumption value of health (v-thresholds). However, it has been argued that v-thresholds need to be supplemented by so-called k-thresholds, which are based on the marginal returns to health care. The objective of this research is to estimate a k-threshold based on the marginal returns to cardiovascular disease (CVD) hospital care in the Netherlands. To estimate a k-threshold for hospital care on CVD, we proceed in two steps: First, we estimate the impact of hospital spending on mortality using a Bayesian regression modelling framework, using data on CVD mortality and CVD hospital spending by age and gender for the period 1994–2010. Second, we use life tables in combination with quality of life data to convert these estimates into a k-threshold expressed in euros per quality-adjusted life year gained. Our base case estimate resulted in an estimate of 41,000 per quality-adjusted life year gained. In our sensitivity analyses, we illustrated how the incorporation of prior evidence into the estimation pushes estimates downwards. We conclude that our base case estimate of the k-threshold may serve as a benchmark value for decision making in the Netherlands as well as for future research regarding k-thresholds.&quot;,&quot;author&quot;:[{&quot;dropping-particle&quot;:&quot;&quot;,&quot;family&quot;:&quot;Baal&quot;,&quot;given&quot;:&quot;Pieter&quot;,&quot;non-dropping-particle&quot;:&quot;van&quot;,&quot;parse-names&quot;:false,&quot;suffix&quot;:&quot;&quot;},{&quot;dropping-particle&quot;:&quot;&quot;,&quot;family&quot;:&quot;Perry-Duxbury&quot;,&quot;given&quot;:&quot;Meg&quot;,&quot;non-dropping-particle&quot;:&quot;&quot;,&quot;parse-names&quot;:false,&quot;suffix&quot;:&quot;&quot;},{&quot;dropping-particle&quot;:&quot;&quot;,&quot;family&quot;:&quot;Bakx&quot;,&quot;given&quot;:&quot;Pieter&quot;,&quot;non-dropping-particle&quot;:&quot;&quot;,&quot;parse-names&quot;:false,&quot;suffix&quot;:&quot;&quot;},{&quot;dropping-particle&quot;:&quot;&quot;,&quot;family&quot;:&quot;Versteegh&quot;,&quot;given&quot;:&quot;Matthijs&quot;,&quot;non-dropping-particle&quot;:&quot;&quot;,&quot;parse-names&quot;:false,&quot;suffix&quot;:&quot;&quot;},{&quot;dropping-particle&quot;:&quot;&quot;,&quot;family&quot;:&quot;Doorslaer&quot;,&quot;given&quot;:&quot;Eddy&quot;,&quot;non-dropping-particle&quot;:&quot;van&quot;,&quot;parse-names&quot;:false,&quot;suffix&quot;:&quot;&quot;},{&quot;dropping-particle&quot;:&quot;&quot;,&quot;family&quot;:&quot;Brouwer&quot;,&quot;given&quot;:&quot;Werner&quot;,&quot;non-dropping-particle&quot;:&quot;&quot;,&quot;parse-names&quot;:false,&quot;suffix&quot;:&quot;&quot;}],&quot;container-title&quot;:&quot;Health Economics (United Kingdom)&quot;,&quot;id&quot;:&quot;d9d75327-0288-5f28-8d6c-7e4d9029c8f6&quot;,&quot;issue&quot;:&quot;1&quot;,&quot;issued&quot;:{&quot;date-parts&quot;:[[&quot;2019&quot;]]},&quot;page&quot;:&quot;87-100&quot;,&quot;title&quot;:&quot;A cost-effectiveness threshold based on the marginal returns of cardiovascular hospital spending&quot;,&quot;type&quot;:&quot;article-journal&quot;,&quot;volume&quot;:&quot;28&quot;,&quot;container-title-short&quot;:&quot;&quot;},&quot;uris&quot;:[&quot;http://www.mendeley.com/documents/?uuid=67265966-6fb1-4615-ad95-8b6ea435e7e9&quot;],&quot;isTemporary&quot;:false,&quot;legacyDesktopId&quot;:&quot;67265966-6fb1-4615-ad95-8b6ea435e7e9&quot;},{&quot;id&quot;:&quot;5f398e72-f199-53cd-9c1a-6e48aa60b414&quot;,&quot;itemData&quot;:{&quot;DOI&quot;:&quot;10.1093/heapol/czz152&quot;,&quot;ISSN&quot;:&quot;14602237&quot;,&quot;PMID&quot;:&quot;32125375&quot;,&quot;abstract&quot;:&quot;Cost-effectiveness thresholds are important decision rules that determine whether health interventions represent good value for money. In low- and middle-income countries, the World Health Organization (WHO) one to three times per capita gross domestic product (GDP) per disability-adjusted life years (DALYs) averted has been the most widely used threshold for informing resource allocation decisions. However, in 2016, the WHO withdrew recommendations for using this threshold, creating a significant vacuum in South Africa and many countries that rely on results of cost-effectiveness analyses for making resource allocation decisions. This study estimates a cost-effectiveness threshold that reflects the health opportunity cost of health spending in South Africa using a three-step approach. First, marginal returns to health spending was estimated as health spending elasticity for crude death rates using a fixed effect estimation approach. Second, the opportunity cost of health spending was estimated as DALYs averted. Finally, a cost per DALY averted threshold was estimated as the inverse of the marginal product of health spending. We show that 1% of total health spending in 2015 (equivalent to approximately ZAR 1.54 billion/USD 120.7 million) averted 1050 deaths, 34 180 years of life lost, 5880 years lived with disability and 40 055 DALYs. The cost-effectiveness threshold was estimated at approximately ZAR 38 500 (USD 3015) per DALY averted, ∼53% of South Africa's per capita GDP in 2015 (ZAR 72 700/USD 5700) and lower than the previously recommended one to three times per capita GDP. As South Africa moves towards implementing universal health coverage reforms through National Health Insurance by 2025, the adoption of a threshold that reflects health opportunity costs will be crucial for ensuring efficiency in the allocation of scarce resources. This study provides useful insight into the magnitude of the health opportunity cost of health spending in South Africa and highlights the need for further research.&quot;,&quot;author&quot;:[{&quot;dropping-particle&quot;:&quot;&quot;,&quot;family&quot;:&quot;Edoka&quot;,&quot;given&quot;:&quot;Ijeoma P.&quot;,&quot;non-dropping-particle&quot;:&quot;&quot;,&quot;parse-names&quot;:false,&quot;suffix&quot;:&quot;&quot;},{&quot;dropping-particle&quot;:&quot;&quot;,&quot;family&quot;:&quot;Stacey&quot;,&quot;given&quot;:&quot;Nicholas K.&quot;,&quot;non-dropping-particle&quot;:&quot;&quot;,&quot;parse-names&quot;:false,&quot;suffix&quot;:&quot;&quot;}],&quot;container-title&quot;:&quot;Health Policy and Planning&quot;,&quot;id&quot;:&quot;5f398e72-f199-53cd-9c1a-6e48aa60b414&quot;,&quot;issue&quot;:&quot;5&quot;,&quot;issued&quot;:{&quot;date-parts&quot;:[[&quot;2020&quot;]]},&quot;page&quot;:&quot;546-555&quot;,&quot;title&quot;:&quot;Estimating a cost-effectiveness threshold for health care decision-making in South Africa&quot;,&quot;type&quot;:&quot;article-journal&quot;,&quot;volume&quot;:&quot;35&quot;,&quot;container-title-short&quot;:&quot;Health Policy Plan&quot;},&quot;uris&quot;:[&quot;http://www.mendeley.com/documents/?uuid=77bd1c35-c1ba-449d-b103-b20114c65f04&quot;],&quot;isTemporary&quot;:false,&quot;legacyDesktopId&quot;:&quot;77bd1c35-c1ba-449d-b103-b20114c65f04&quot;},{&quot;id&quot;:&quot;26a6b36d-c8a0-5f77-99ec-d5426c039efd&quot;,&quot;itemData&quot;:{&quot;DOI&quot;:&quot;10.1007/s40273-020-00954-y&quot;,&quot;ISSN&quot;:&quot;1170-7690&quot;,&quot;author&quot;:[{&quot;dropping-particle&quot;:&quot;&quot;,&quot;family&quot;:&quot;Ochalek&quot;,&quot;given&quot;:&quot;Jessica&quot;,&quot;non-dropping-particle&quot;:&quot;&quot;,&quot;parse-names&quot;:false,&quot;suffix&quot;:&quot;&quot;},{&quot;dropping-particle&quot;:&quot;&quot;,&quot;family&quot;:&quot;Wang&quot;,&quot;given&quot;:&quot;Haiyin&quot;,&quot;non-dropping-particle&quot;:&quot;&quot;,&quot;parse-names&quot;:false,&quot;suffix&quot;:&quot;&quot;},{&quot;dropping-particle&quot;:&quot;&quot;,&quot;family&quot;:&quot;Gu&quot;,&quot;given&quot;:&quot;Yuanyuan&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Cutler&quot;,&quot;given&quot;:&quot;Henry&quot;,&quot;non-dropping-particle&quot;:&quot;&quot;,&quot;parse-names&quot;:false,&quot;suffix&quot;:&quot;&quot;},{&quot;dropping-particle&quot;:&quot;&quot;,&quot;family&quot;:&quot;Jin&quot;,&quot;given&quot;:&quot;Chunlin&quot;,&quot;non-dropping-particle&quot;:&quot;&quot;,&quot;parse-names&quot;:false,&quot;suffix&quot;:&quot;&quot;}],&quot;container-title&quot;:&quot;PharmacoEconomics&quot;,&quot;id&quot;:&quot;26a6b36d-c8a0-5f77-99ec-d5426c039efd&quot;,&quot;issue&quot;:&quot;12&quot;,&quot;issued&quot;:{&quot;date-parts&quot;:[[&quot;2020&quot;,&quot;12&quot;]]},&quot;page&quot;:&quot;1319-1331&quot;,&quot;title&quot;:&quot;Informing a Cost-Effectiveness Threshold for Health Technology Assessment in China: A Marginal Productivity Approach&quot;,&quot;type&quot;:&quot;article-journal&quot;,&quot;volume&quot;:&quot;38&quot;,&quot;container-title-short&quot;:&quot;Pharmacoeconomics&quot;},&quot;uris&quot;:[&quot;http://www.mendeley.com/documents/?uuid=6cae021a-eef8-43f3-a8c5-4fafdbc851c4&quot;],&quot;isTemporary&quot;:false,&quot;legacyDesktopId&quot;:&quot;6cae021a-eef8-43f3-a8c5-4fafdbc851c4&quot;},{&quot;id&quot;:&quot;b2174d24-6b7c-5447-b045-2475646ba656&quot;,&quot;itemData&quot;:{&quot;DOI&quot;:&quot;10.1007/s40258-021-00663-3&quot;,&quot;ISSN&quot;:&quot;1175-5652&quot;,&quot;author&quot;:[{&quot;dropping-particle&quot;:&quot;&quot;,&quot;family&quot;:&quot;Martin&quot;,&quot;given&quot;:&quot;Stephen&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Claxton&quot;,&quot;given&quot;:&quot;Karl&quot;,&quot;non-dropping-particle&quot;:&quot;&quot;,&quot;parse-names&quot;:false,&quot;suffix&quot;:&quot;&quot;},{&quot;dropping-particle&quot;:&quot;&quot;,&quot;family&quot;:&quot;Longo&quot;,&quot;given&quot;:&quot;Francesco&quot;,&quot;non-dropping-particle&quot;:&quot;&quot;,&quot;parse-names&quot;:false,&quot;suffix&quot;:&quot;&quot;}],&quot;container-title&quot;:&quot;Applied Health Economics and Health Policy&quot;,&quot;id&quot;:&quot;b2174d24-6b7c-5447-b045-2475646ba656&quot;,&quot;issued&quot;:{&quot;date-parts&quot;:[[&quot;2021&quot;,&quot;7&quot;]]},&quot;title&quot;:&quot;How Effective is Marginal Healthcare Expenditure? New Evidence from England for 2003/04 to 2012/13&quot;,&quot;type&quot;:&quot;article-journal&quot;,&quot;container-title-short&quot;:&quot;Appl Health Econ Health Policy&quot;},&quot;uris&quot;:[&quot;http://www.mendeley.com/documents/?uuid=ebcb0e60-c13c-4269-9a89-b4adfa1fcf0c&quot;],&quot;isTemporary&quot;:false,&quot;legacyDesktopId&quot;:&quot;ebcb0e60-c13c-4269-9a89-b4adfa1fcf0c&quot;},{&quot;id&quot;:&quot;3e562c2d-ffca-594a-81a6-6b110e02f74c&quot;,&quot;itemData&quot;:{&quot;DOI&quot;:&quot;10.7326/M20-1392&quot;,&quot;ISSN&quot;:&quot;0003-4819&quot;,&quot;author&quot;:[{&quot;dropping-particle&quot;:&quot;&quot;,&quot;family&quot;:&quot;Vanness&quot;,&quot;given&quot;:&quot;David J.&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Ahn&quot;,&quot;given&quot;:&quot;Hannah&quot;,&quot;non-dropping-particle&quot;:&quot;&quot;,&quot;parse-names&quot;:false,&quot;suffix&quot;:&quot;&quot;}],&quot;container-title&quot;:&quot;Annals of Internal Medicine&quot;,&quot;id&quot;:&quot;3e562c2d-ffca-594a-81a6-6b110e02f74c&quot;,&quot;issue&quot;:&quot;1&quot;,&quot;issued&quot;:{&quot;date-parts&quot;:[[&quot;2021&quot;,&quot;1&quot;]]},&quot;page&quot;:&quot;25-32&quot;,&quot;title&quot;:&quot;A Health Opportunity Cost Threshold for Cost-Effectiveness Analysis in the United States&quot;,&quot;type&quot;:&quot;article-journal&quot;,&quot;volume&quot;:&quot;174&quot;,&quot;container-title-short&quot;:&quot;Ann Intern Med&quot;},&quot;uris&quot;:[&quot;http://www.mendeley.com/documents/?uuid=cb1c63e4-2788-47df-b2b0-4c11dfe81564&quot;],&quot;isTemporary&quot;:false,&quot;legacyDesktopId&quot;:&quot;cb1c63e4-2788-47df-b2b0-4c11dfe81564&quot;},{&quot;id&quot;:&quot;9139cd1d-c732-5ea3-b41d-cc965315f376&quot;,&quot;itemData&quot;:{&quot;DOI&quot;:&quot;10.1093/heapol/czab146&quot;,&quot;ISSN&quot;:&quot;1460-2237&quot;,&quot;abstract&quot;:&quot;Like most of the world, low- and middle-income countries have faced a growing demand for new health technologies and higher budget constraints. It is necessary to have technical instruments to make decisions based on real-world evidence that allows maximization of the population’s health with a limited budget. We estimated the supply-based cost-effectiveness elasticity, which was then used to determine the cost-effectiveness threshold for the healthcare system of Colombia, a middle-income country where multiple insurers, paid under capitation rules, manage the compulsory contributions of the citizens and government subsidies. Using administrative data, we explored the variation of health expenditures and outcomes at the insurer, geographical region, diagnosis group and year levels. To deal with endogeneity in a two-way fixed-effects model, we instrumented health expenditures using characteristics of the health system such as drug-price regulation. We estimated the threshold to be US$4487.5 per years of life lost avoided [14.7 million Colombian pesos (COP) at 2019 prices] and US$5180.8 per quality-adjusted life-years gained (17 million COP at 2019 prices), around one times the gross domestic product GDP per capita. To the best of our knowledge, this is the first estimation of the cost-effectiveness threshold elasticity supply-based in a middle-income country with a managed healthcare system.&quot;,&quot;author&quot;:[{&quot;dropping-particle&quot;:&quot;&quot;,&quot;family&quot;:&quot;Espinosa&quot;,&quot;given&quot;:&quot;Oscar&quot;,&quot;non-dropping-particle&quot;:&quot;&quot;,&quot;parse-names&quot;:false,&quot;suffix&quot;:&quot;&quot;},{&quot;dropping-particle&quot;:&quot;&quot;,&quot;family&quot;:&quot;Rodríguez-Lesmes&quot;,&quot;given&quot;:&quot;Paul&quot;,&quot;non-dropping-particle&quot;:&quot;&quot;,&quot;parse-names&quot;:false,&quot;suffix&quot;:&quot;&quot;},{&quot;dropping-particle&quot;:&quot;&quot;,&quot;family&quot;:&quot;Orozco&quot;,&quot;given&quot;:&quot;Luis&quot;,&quot;non-dropping-particle&quot;:&quot;&quot;,&quot;parse-names&quot;:false,&quot;suffix&quot;:&quot;&quot;},{&quot;dropping-particle&quot;:&quot;&quot;,&quot;family&quot;:&quot;Ávila&quot;,&quot;given&quot;:&quot;Diego&quot;,&quot;non-dropping-particle&quot;:&quot;&quot;,&quot;parse-names&quot;:false,&quot;suffix&quot;:&quot;&quot;},{&quot;dropping-particle&quot;:&quot;&quot;,&quot;family&quot;:&quot;Enríquez&quot;,&quot;given&quot;:&quot;Hernán&quot;,&quot;non-dropping-particle&quot;:&quot;&quot;,&quot;parse-names&quot;:false,&quot;suffix&quot;:&quot;&quot;},{&quot;dropping-particle&quot;:&quot;&quot;,&quot;family&quot;:&quot;Romano&quot;,&quot;given&quot;:&quot;Giancarlo&quot;,&quot;non-dropping-particle&quot;:&quot;&quot;,&quot;parse-names&quot;:false,&quot;suffix&quot;:&quot;&quot;},{&quot;dropping-particle&quot;:&quot;&quot;,&quot;family&quot;:&quot;Ceballos&quot;,&quot;given&quot;:&quot;Mateo&quot;,&quot;non-dropping-particle&quot;:&quot;&quot;,&quot;parse-names&quot;:false,&quot;suffix&quot;:&quot;&quot;}],&quot;container-title&quot;:&quot;Health Policy and Planning&quot;,&quot;id&quot;:&quot;9139cd1d-c732-5ea3-b41d-cc965315f376&quot;,&quot;issue&quot;:&quot;3&quot;,&quot;issued&quot;:{&quot;date-parts&quot;:[[&quot;2022&quot;,&quot;3&quot;,&quot;4&quot;]]},&quot;page&quot;:&quot;359-368&quot;,&quot;title&quot;:&quot;Estimating cost-effectiveness thresholds under a managed healthcare system: experiences from Colombia&quot;,&quot;type&quot;:&quot;article-journal&quot;,&quot;volume&quot;:&quot;37&quot;,&quot;container-title-short&quot;:&quot;Health Policy Plan&quot;},&quot;uris&quot;:[&quot;http://www.mendeley.com/documents/?uuid=8407d4df-db19-4051-b7cc-83fe985f4b06&quot;],&quot;isTemporary&quot;:false,&quot;legacyDesktopId&quot;:&quot;8407d4df-db19-4051-b7cc-83fe985f4b06&quot;}]},{&quot;citationID&quot;:&quot;MENDELEY_CITATION_55d18b39-89a7-4e12-b610-3967efe0d568&quot;,&quot;properties&quot;:{&quot;noteIndex&quot;:0},&quot;isEdited&quot;:false,&quot;manualOverride&quot;:{&quot;citeprocText&quot;:&quot;[15]&quot;,&quot;isManuallyOverridden&quot;:false,&quot;manualOverrideText&quot;:&quot;&quot;},&quot;citationTag&quot;:&quot;MENDELEY_CITATION_v3_eyJjaXRhdGlvbklEIjoiTUVOREVMRVlfQ0lUQVRJT05fNTVkMThiMzktODlhNy00ZTEyLWI2MTAtMzk2N2VmZTBkNTY4IiwicHJvcGVydGllcyI6eyJub3RlSW5kZXgiOjB9LCJpc0VkaXRlZCI6ZmFsc2UsIm1hbnVhbE92ZXJyaWRlIjp7ImNpdGVwcm9jVGV4dCI6IlsxNV0iLCJpc01hbnVhbGx5T3ZlcnJpZGRlbiI6ZmFsc2UsIm1hbnVhbE92ZXJyaWRlVGV4dCI6IiJ9LCJjaXRhdGlvbkl0ZW1zIjpbeyJpZCI6IjQwNThlYjU4LTJkNTUtNTNiNi05Y2U5LTA0ZDQwMmJkNTdjYSIsIml0ZW1EYXRhIjp7IkRPSSI6IjEwLjEwMDcvczQwMjU4LTAyMS0wMDcwNy04IiwiSVNCTiI6IjAxMjM0NTY3ODkiLCJJU1NOIjoiMTE3OTE4OTYiLCJhYnN0cmFjdCI6IkJhY2tncm91bmQ6IFdoZW4gaGVhbHRoY2FyZSBidWRnZXRzIGFyZSBleG9nZW5vdXMsIGNvc3QtZWZmZWN0aXZlbmVzcyB0aHJlc2hvbGRzIChDRVRzKSB1c2VkIHRvIGluZm9ybSBmdW5kaW5nIGRlY2lzaW9ucyBzaG91bGQgcmVwcmVzZW50IHRoZSBoZWFsdGggb3Bwb3J0dW5pdHkgY29zdCAoSE9DKSBvZiBzdWNoIGZ1bmRpbmcgZGVjaXNpb25zLCBidXQgSE9DLWJhc2VkIENFVCBlc3RpbWF0ZXMgaGF2ZSBub3QgYmVlbiBhdmFpbGFibGUgdW50aWwgcmVjZW50bHkuIEluIHJlY2VudCB5ZWFycywgZW1waXJpY2FsIEhPQy1iYXNlZCBDRVRzIGZvciBtdWx0aXBsZSBjb3VudHJpZXMgaGF2ZSBiZWVuIHB1Ymxpc2hlZCwgYnV0IHRoZSB1c2Ugb2YgdGhlc2UgQ0VUcyBpbiB0aGUgY29zdC1lZmZlY3RpdmVuZXNzIGFuYWx5c2lzIChDRUEpIGxpdGVyYXR1cmUgaGFzIG5vdCBiZWVuIGludmVzdGlnYXRlZC4gQW5hbHlzaXMgb2YgdGhlIHVzZSBvZiBIT0MtYmFzZWQgQ0VUcyBieSByZXNlYXJjaGVycyB1bmRlcnRha2luZyBDRUFzIGluIGNvdW50cmllcyB3aXRoIGRpZmZlcmVudCBkZWNpc2lvbi1tYWtpbmcgY29udGV4dHMgd2lsbCBwcm92aWRlIHZhbHVhYmxlIGluc2lnaHRzIHRvIGZ1cnRoZXIgdW5kZXJzdGFuZCBiYXJyaWVycyBhbmQgZmFjaWxpdGF0b3JzIHRvIHRoZSBhY2NlcHRhbmNlIGFuZCB1c2Ugb2YgSE9DLWJhc2VkIENFVHMuIE9iamVjdGl2ZXM6IFdlIGFpbWVkIHRvIGlkZW50aWZ5IHRoZSBDRVQgdmFsdWVzIHVzZWQgdG8gaW50ZXJwcmV0IHRoZSByZXN1bHRzIG9mIENFQXMgcHVibGlzaGVkIGluIHRoZSBzY2llbnRpZmljIGxpdGVyYXR1cmUgYmVmb3JlIGFuZCBhZnRlciB0aGUgcHVibGljYXRpb24gb2YganVyaXNkaWN0aW9uLXNwZWNpZmljIGVtcGlyaWNhbCBIT0MtYmFzZWQgQ0VUcyBpbiBmb3VyIGNvdW50cmllcy4gTWV0aG9kczogV2UgdW5kZXJ0b29rIGEgc2NvcGluZyByZXZpZXcgb2YgQ0VBcyBwdWJsaXNoZWQgaW4gU3BhaW4sIEF1c3RyYWxpYSwgdGhlIE5ldGhlcmxhbmRzIGFuZCBTb3V0aCBBZnJpY2EgYmV0d2VlbiAyMDE2ICgyMDE0IGluIFNwYWluKSBhbmQgMjAyMC4gQ0VUcyB1c2VkIGJlZm9yZSBhbmQgYWZ0ZXIgcHVibGljYXRpb24gb2YgSE9DIGVzdGltYXRlcyB3ZXJlIHJlY29yZGVkLiBXZSBjb25kdWN0ZWQgbG9naXQgcmVncmVzc2lvbnMgZXhwbG9yaW5nIGZhY3RvcnMgZXhwbGFpbmluZyB0aGUgdXNlIG9mIEhPQyB2YWx1ZXMgaW4gaWRlbnRpZmllZCBzdHVkaWVzIGFuZCBsaW5lYXIgbW9kZWxzIGV4cGxvcmluZyB0aGUgYXNzb2NpYXRpb24gb2YgdGhlIHJlcG9ydGVkIENFVCB2YWx1ZSB3aXRoIHN0dWR5IGNoYXJhY3RlcmlzdGljcyBhbmQgcmVzdWx0cy4gUmVzdWx0czogMTE3MSBzdHVkaWVzIHdlcmUgaW5jbHVkZWQgaW4gdGhpcyByZXZpZXcgKDg3MCBDRUFzIGFuZCAzMDEgc3R1ZHkgcHJvdG9jb2xzKS4gSE9DIHZhbHVlcyB3ZXJlIGNpdGVkIGluIDI4JSBvZiBDRUFzIGluIFNwYWluIGFuZCBpbiAxMSUgb2Ygc3R1ZGllcyBjb25kdWN0ZWQgaW4gQXVzdHJhbGlhLCBidXQgdGhleSB3ZXJlIG5vdCByZWZlcnJlZCB0byBpbiBDRUFzIHVuZGVydGFrZW4gaW4gdGhlIE5ldGhlcmxhbmRzIGFuZCBTb3V0aCBBZnJpY2EuIFJlZ3Jlc3Npb24gYW5hbHlzZXMgb24gU3BhbmlzaCBhbmQgQXVzdHJhbGlhbiBzdHVkaWVzIGluZGljYXRlIHRoYXQgbW9yZSByZWNlbnQgc3R1ZGllcywgc3R1ZGllcyB3aXRob3V0IGEgY29uZmxpY3Qgb2YgaW50ZXJlc3QgYW5kIHN0dWRpZXMgZXN0aW1hdGluZyBhbiBpbmNyZW1lbnRhbCBjb3N0LWVmZmVjdGl2ZW5lc3MgcmF0aW8gKElDRVIpIGJlbG93IHRoZSBIT0MgdmFsdWUgd2VyZSBtb3JlIGxpa2VseSB0byB1c2UgdGhlIEhPQyBhcyBhIHRocmVzaG9sZCByZWZlcmVuY2UuIEluIGFkZGl0aW9uLCB3ZSBmb3VuZCBhIHNtYWxsIGJ1dCBzaWduaWZpY2FudCBpbXBhY3QgaW5kaWNhdGluZyB0aGF0IGZvciBldmVyeSBkb2xsYXIgaW5jcmVhc2UgaW4gdGhlIGVzdGltYXRlZCBJQ0VSLCB0aGUgcmVwb3J0ZWQgQ0VUIGluY3JlYXNlZCBieSBVUyQwLjAxNS4gQmFzZWQgb24gdGhlIGZpbmRpbmdzIG9mIG91ciByZXZpZXcsIHdlIGRpc2N1c3MgdGhlIHBvdGVudGlhbCBmYWN0b3JzIHRoYXQgbWlnaHQgZXhwbGFpbiB0aGUgbGFjayBvZiBhZG9wdGlvbiBvZiBIT0MtYmFzZWQgQ0VUcyBpbiB0aGUgZW1waXJpY2FsIENFQSBsaXRlcmF0dXJlLiBDb25jbHVzaW9uczogVGhlIGFkb3B0aW9uIG9mIEhPQy1iYXNlZCBDRVRzIGJ5IGlkZW50aWZpZWQgcHVibGlzaGVkIENFQXMgaGFzIGJlZW4gdW5ldmVuIGFjcm9zcyB0aGUgZm91ciBhbmFseXNlZCBjb3VudHJpZXMsIG1vc3QgbGlrZWx5IGR1ZSB0byB1bmRlcmx5aW5nIGRpZmZlcmVuY2VzIGluIHRoZWlyIGRlY2lzaW9uLW1ha2luZyBwcm9jZXNzZXMuIE91ciByZXN1bHRzIGFsc28gcmVpbmZvcmNlIGEgcHJldmlvdXMgZmluZGluZyBpbmRpY2F0aW5nIHRoYXQgQ0VUcyDigKYiLCJhdXRob3IiOlt7ImRyb3BwaW5nLXBhcnRpY2xlIjoiIiwiZmFtaWx5IjoiVmFsbGVqby1Ub3JyZXMiLCJnaXZlbiI6IkxhdXJhIiwibm9uLWRyb3BwaW5nLXBhcnRpY2xlIjoiIiwicGFyc2UtbmFtZXMiOmZhbHNlLCJzdWZmaXgiOiIifSx7ImRyb3BwaW5nLXBhcnRpY2xlIjoiIiwiZmFtaWx5IjoiR2FyY8OtYS1Mb3JlbnpvIiwiZ2l2ZW4iOiJCb3JqYSIsIm5vbi1kcm9wcGluZy1wYXJ0aWNsZSI6IiIsInBhcnNlLW5hbWVzIjpmYWxzZSwic3VmZml4IjoiIn0seyJkcm9wcGluZy1wYXJ0aWNsZSI6IiIsImZhbWlseSI6IkVkbmV5IiwiZ2l2ZW4iOiJMYXVyYSBDYXRoZXJpbmUiLCJub24tZHJvcHBpbmctcGFydGljbGUiOiIiLCJwYXJzZS1uYW1lcyI6ZmFsc2UsInN1ZmZpeCI6IiJ9LHsiZHJvcHBpbmctcGFydGljbGUiOiIiLCJmYW1pbHkiOiJTdGFkaG91ZGVycyIsImdpdmVuIjoiTmllayIsIm5vbi1kcm9wcGluZy1wYXJ0aWNsZSI6IiIsInBhcnNlLW5hbWVzIjpmYWxzZSwic3VmZml4IjoiIn0seyJkcm9wcGluZy1wYXJ0aWNsZSI6IiIsImZhbWlseSI6IkVkb2thIiwiZ2l2ZW4iOiJJamVvbWEiLCJub24tZHJvcHBpbmctcGFydGljbGUiOiIiLCJwYXJzZS1uYW1lcyI6ZmFsc2UsInN1ZmZpeCI6IiJ9LHsiZHJvcHBpbmctcGFydGljbGUiOiIiLCJmYW1pbHkiOiJDYXN0aWxsYS1Sb2Ryw61ndWV6IiwiZ2l2ZW4iOiJJdsOhbiIsIm5vbi1kcm9wcGluZy1wYXJ0aWNsZSI6IiIsInBhcnNlLW5hbWVzIjpmYWxzZSwic3VmZml4IjoiIn0seyJkcm9wcGluZy1wYXJ0aWNsZSI6IiIsImZhbWlseSI6IkdhcmPDrWEtUMOpcmV6IiwiZ2l2ZW4iOiJMaWRpYSIsIm5vbi1kcm9wcGluZy1wYXJ0aWNsZSI6IiIsInBhcnNlLW5hbWVzIjpmYWxzZSwic3VmZml4IjoiIn0seyJkcm9wcGluZy1wYXJ0aWNsZSI6IiIsImZhbWlseSI6IkxpbmVydG92w6EiLCJnaXZlbiI6IlJlbmF0YSIsIm5vbi1kcm9wcGluZy1wYXJ0aWNsZSI6IiIsInBhcnNlLW5hbWVzIjpmYWxzZSwic3VmZml4IjoiIn0seyJkcm9wcGluZy1wYXJ0aWNsZSI6IiIsImZhbWlseSI6IlZhbGPDoXJjZWwtTmF6Y28iLCJnaXZlbiI6IkNyaXN0aW5hIiwibm9uLWRyb3BwaW5nLXBhcnRpY2xlIjoiIiwicGFyc2UtbmFtZXMiOmZhbHNlLCJzdWZmaXgiOiIifSx7ImRyb3BwaW5nLXBhcnRpY2xlIjoiIiwiZmFtaWx5IjoiS2Fybm9uIiwiZ2l2ZW4iOiJKb25hdGhhbiIsIm5vbi1kcm9wcGluZy1wYXJ0aWNsZSI6IiIsInBhcnNlLW5hbWVzIjpmYWxzZSwic3VmZml4IjoiIn1dLCJjb250YWluZXItdGl0bGUiOiJBcHBsaWVkIEhlYWx0aCBFY29ub21pY3MgYW5kIEhlYWx0aCBQb2xpY3kiLCJpZCI6IjQwNThlYjU4LTJkNTUtNTNiNi05Y2U5LTA0ZDQwMmJkNTdjYSIsImlzc3VlIjoiMyIsImlzc3VlZCI6eyJkYXRlLXBhcnRzIjpbWyIyMDIyIl1dfSwicGFnZSI6IjMzNy0zNDkiLCJwdWJsaXNoZXIiOiJTcHJpbmdlciBJbnRlcm5hdGlvbmFsIFB1Ymxpc2hpbmciLCJ0aXRsZSI6IkFyZSBFc3RpbWF0ZXMgb2YgdGhlIEhlYWx0aCBPcHBvcnR1bml0eSBDb3N0IEJlaW5nIFVzZWQgdG8gRHJhdyBDb25jbHVzaW9ucyBpbiBQdWJsaXNoZWQgQ29zdC1FZmZlY3RpdmVuZXNzIEFuYWx5c2VzPyBBIFNjb3BpbmcgUmV2aWV3IGluIEZvdXIgQ291bnRyaWVzIiwidHlwZSI6ImFydGljbGUtam91cm5hbCIsInZvbHVtZSI6IjIwIiwiY29udGFpbmVyLXRpdGxlLXNob3J0IjoiQXBwbCBIZWFsdGggRWNvbiBIZWFsdGggUG9saWN5In0sInVyaXMiOlsiaHR0cDovL3d3dy5tZW5kZWxleS5jb20vZG9jdW1lbnRzLz91dWlkPWI5YzU2ZDUwLTJiNWMtNDY0Mi05NTc0LWE2MWE2NGQ2YjUwOCJdLCJpc1RlbXBvcmFyeSI6ZmFsc2UsImxlZ2FjeURlc2t0b3BJZCI6ImI5YzU2ZDUwLTJiNWMtNDY0Mi05NTc0LWE2MWE2NGQ2YjUwOCJ9XX0=&quot;,&quot;citationItems&quot;:[{&quot;id&quot;:&quot;4058eb58-2d55-53b6-9ce9-04d402bd57ca&quot;,&quot;itemData&quot;:{&quot;DOI&quot;:&quot;10.1007/s40258-021-00707-8&quot;,&quot;ISBN&quot;:&quot;0123456789&quot;,&quot;ISSN&quot;:&quot;11791896&quot;,&quot;abstract&quot;:&quot;Background: When healthcare budgets are exogenous, cost-effectiveness thresholds (CETs) used to inform funding decisions should represent the health opportunity cost (HOC) of such funding decisions, but HOC-based CET estimates have not been available until recently. In recent years, empirical HOC-based CETs for multiple countries have been published, but the use of these CETs in the cost-effectiveness analysis (CEA) literature has not been investigated. Analysis of the use of HOC-based CETs by researchers undertaking CEAs in countries with different decision-making contexts will provide valuable insights to further understand barriers and facilitators to the acceptance and use of HOC-based CETs. Objectives: We aimed to identify the CET values used to interpret the results of CEAs published in the scientific literature before and after the publication of jurisdiction-specific empirical HOC-based CETs in four countries. Methods: We undertook a scoping review of CEAs published in Spain, Australia, the Netherlands and South Africa between 2016 (2014 in Spain) and 2020. CETs used before and after publication of HOC estimates were recorded. We conducted logit regressions exploring factors explaining the use of HOC values in identified studies and linear models exploring the association of the reported CET value with study characteristics and results. Results: 1171 studies were included in this review (870 CEAs and 301 study protocols). HOC values were cited in 28% of CEAs in Spain and in 11% of studies conducted in Australia, but they were not referred to in CEAs undertaken in the Netherlands and South Africa. Regression analyses on Spanish and Australian studies indicate that more recent studies, studies without a conflict of interest and studies estimating an incremental cost-effectiveness ratio (ICER) below the HOC value were more likely to use the HOC as a threshold reference. In addition, we found a small but significant impact indicating that for every dollar increase in the estimated ICER, the reported CET increased by US$0.015. Based on the findings of our review, we discuss the potential factors that might explain the lack of adoption of HOC-based CETs in the empirical CEA literature. Conclusions: The adoption of HOC-based CETs by identified published CEAs has been uneven across the four analysed countries, most likely due to underlying differences in their decision-making processes. Our results also reinforce a previous finding indicating that CETs …&quot;,&quot;author&quot;:[{&quot;dropping-particle&quot;:&quot;&quot;,&quot;family&quot;:&quot;Vallejo-Torres&quot;,&quot;given&quot;:&quot;Laura&quot;,&quot;non-dropping-particle&quot;:&quot;&quot;,&quot;parse-names&quot;:false,&quot;suffix&quot;:&quot;&quot;},{&quot;dropping-particle&quot;:&quot;&quot;,&quot;family&quot;:&quot;García-Lorenzo&quot;,&quot;given&quot;:&quot;Borja&quot;,&quot;non-dropping-particle&quot;:&quot;&quot;,&quot;parse-names&quot;:false,&quot;suffix&quot;:&quot;&quot;},{&quot;dropping-particle&quot;:&quot;&quot;,&quot;family&quot;:&quot;Edney&quot;,&quot;given&quot;:&quot;Laura Catherine&quot;,&quot;non-dropping-particle&quot;:&quot;&quot;,&quot;parse-names&quot;:false,&quot;suffix&quot;:&quot;&quot;},{&quot;dropping-particle&quot;:&quot;&quot;,&quot;family&quot;:&quot;Stadhouders&quot;,&quot;given&quot;:&quot;Niek&quot;,&quot;non-dropping-particle&quot;:&quot;&quot;,&quot;parse-names&quot;:false,&quot;suffix&quot;:&quot;&quot;},{&quot;dropping-particle&quot;:&quot;&quot;,&quot;family&quot;:&quot;Edoka&quot;,&quot;given&quot;:&quot;Ijeoma&quot;,&quot;non-dropping-particle&quot;:&quot;&quot;,&quot;parse-names&quot;:false,&quot;suffix&quot;:&quot;&quot;},{&quot;dropping-particle&quot;:&quot;&quot;,&quot;family&quot;:&quot;Castilla-Rodríguez&quot;,&quot;given&quot;:&quot;Iván&quot;,&quot;non-dropping-particle&quot;:&quot;&quot;,&quot;parse-names&quot;:false,&quot;suffix&quot;:&quot;&quot;},{&quot;dropping-particle&quot;:&quot;&quot;,&quot;family&quot;:&quot;García-Pérez&quot;,&quot;given&quot;:&quot;Lidia&quot;,&quot;non-dropping-particle&quot;:&quot;&quot;,&quot;parse-names&quot;:false,&quot;suffix&quot;:&quot;&quot;},{&quot;dropping-particle&quot;:&quot;&quot;,&quot;family&quot;:&quot;Linertová&quot;,&quot;given&quot;:&quot;Renata&quot;,&quot;non-dropping-particle&quot;:&quot;&quot;,&quot;parse-names&quot;:false,&quot;suffix&quot;:&quot;&quot;},{&quot;dropping-particle&quot;:&quot;&quot;,&quot;family&quot;:&quot;Valcárcel-Nazco&quot;,&quot;given&quot;:&quot;Cristina&quot;,&quot;non-dropping-particle&quot;:&quot;&quot;,&quot;parse-names&quot;:false,&quot;suffix&quot;:&quot;&quot;},{&quot;dropping-particle&quot;:&quot;&quot;,&quot;family&quot;:&quot;Karnon&quot;,&quot;given&quot;:&quot;Jonathan&quot;,&quot;non-dropping-particle&quot;:&quot;&quot;,&quot;parse-names&quot;:false,&quot;suffix&quot;:&quot;&quot;}],&quot;container-title&quot;:&quot;Applied Health Economics and Health Policy&quot;,&quot;id&quot;:&quot;4058eb58-2d55-53b6-9ce9-04d402bd57ca&quot;,&quot;issue&quot;:&quot;3&quot;,&quot;issued&quot;:{&quot;date-parts&quot;:[[&quot;2022&quot;]]},&quot;page&quot;:&quot;337-349&quot;,&quot;publisher&quot;:&quot;Springer International Publishing&quot;,&quot;title&quot;:&quot;Are Estimates of the Health Opportunity Cost Being Used to Draw Conclusions in Published Cost-Effectiveness Analyses? A Scoping Review in Four Countries&quot;,&quot;type&quot;:&quot;article-journal&quot;,&quot;volume&quot;:&quot;20&quot;,&quot;container-title-short&quot;:&quot;Appl Health Econ Health Policy&quot;},&quot;uris&quot;:[&quot;http://www.mendeley.com/documents/?uuid=b9c56d50-2b5c-4642-9574-a61a64d6b508&quot;],&quot;isTemporary&quot;:false,&quot;legacyDesktopId&quot;:&quot;b9c56d50-2b5c-4642-9574-a61a64d6b508&quot;}]},{&quot;citationID&quot;:&quot;MENDELEY_CITATION_5c68f428-bbd3-42c3-85ff-eb81cae256bb&quot;,&quot;properties&quot;:{&quot;noteIndex&quot;:0},&quot;isEdited&quot;:false,&quot;manualOverride&quot;:{&quot;citeprocText&quot;:&quot;[16]&quot;,&quot;isManuallyOverridden&quot;:false,&quot;manualOverrideText&quot;:&quot;&quot;},&quot;citationTag&quot;:&quot;MENDELEY_CITATION_v3_eyJjaXRhdGlvbklEIjoiTUVOREVMRVlfQ0lUQVRJT05fNWM2OGY0MjgtYmJkMy00MmMzLTg1ZmYtZWI4MWNhZTI1NmJiIiwicHJvcGVydGllcyI6eyJub3RlSW5kZXgiOjB9LCJpc0VkaXRlZCI6ZmFsc2UsIm1hbnVhbE92ZXJyaWRlIjp7ImNpdGVwcm9jVGV4dCI6IlsxNl0iLCJpc01hbnVhbGx5T3ZlcnJpZGRlbiI6ZmFsc2UsIm1hbnVhbE92ZXJyaWRlVGV4dCI6IiJ9LCJjaXRhdGlvbkl0ZW1zIjpbeyJpZCI6IjExNDYzMGM0LTBhN2MtNTM3ZS05YzNlLWM2ZGUyZmFhMzc3NyIsIml0ZW1EYXRhIjp7IkRPSSI6IjEwLjEwMDcvczQwMjczLTAyMS0wMTA4Ny02IiwiSVNTTiI6IjExNzAtNzY5MCIsImF1dGhvciI6W3siZHJvcHBpbmctcGFydGljbGUiOiIiLCJmYW1pbHkiOiJFZG5leSIsImdpdmVuIjoiTGF1cmEgQy4iLCJub24tZHJvcHBpbmctcGFydGljbGUiOiIiLCJwYXJzZS1uYW1lcyI6ZmFsc2UsInN1ZmZpeCI6IiJ9LHsiZHJvcHBpbmctcGFydGljbGUiOiIiLCJmYW1pbHkiOiJMb21hcyIsImdpdmVuIjoiSmFtZXMiLCJub24tZHJvcHBpbmctcGFydGljbGUiOiIiLCJwYXJzZS1uYW1lcyI6ZmFsc2UsInN1ZmZpeCI6IiJ9LHsiZHJvcHBpbmctcGFydGljbGUiOiIiLCJmYW1pbHkiOiJLYXJub24iLCJnaXZlbiI6IkpvbmF0aGFuIiwibm9uLWRyb3BwaW5nLXBhcnRpY2xlIjoiIiwicGFyc2UtbmFtZXMiOmZhbHNlLCJzdWZmaXgiOiIifSx7ImRyb3BwaW5nLXBhcnRpY2xlIjoiIiwiZmFtaWx5IjoiVmFsbGVqby1Ub3JyZXMiLCJnaXZlbiI6IkxhdXJhIiwibm9uLWRyb3BwaW5nLXBhcnRpY2xlIjoiIiwicGFyc2UtbmFtZXMiOmZhbHNlLCJzdWZmaXgiOiIifSx7ImRyb3BwaW5nLXBhcnRpY2xlIjoiIiwiZmFtaWx5IjoiU3RhZGhvdWRlcnMiLCJnaXZlbiI6Ik5pZWsiLCJub24tZHJvcHBpbmctcGFydGljbGUiOiIiLCJwYXJzZS1uYW1lcyI6ZmFsc2UsInN1ZmZpeCI6IiJ9LHsiZHJvcHBpbmctcGFydGljbGUiOiIiLCJmYW1pbHkiOiJTaXZlcnNrb2ciLCJnaXZlbiI6IkpvbmF0aGFuIiwibm9uLWRyb3BwaW5nLXBhcnRpY2xlIjoiIiwicGFyc2UtbmFtZXMiOmZhbHNlLCJzdWZmaXgiOiIifSx7ImRyb3BwaW5nLXBhcnRpY2xlIjoiIiwiZmFtaWx5IjoiUGF1bGRlbiIsImdpdmVuIjoiTWlrZSIsIm5vbi1kcm9wcGluZy1wYXJ0aWNsZSI6IiIsInBhcnNlLW5hbWVzIjpmYWxzZSwic3VmZml4IjoiIn0seyJkcm9wcGluZy1wYXJ0aWNsZSI6IiIsImZhbWlseSI6IkVkb2thIiwiZ2l2ZW4iOiJJamVvbWEgUC4iLCJub24tZHJvcHBpbmctcGFydGljbGUiOiIiLCJwYXJzZS1uYW1lcyI6ZmFsc2UsInN1ZmZpeCI6IiJ9LHsiZHJvcHBpbmctcGFydGljbGUiOiIiLCJmYW1pbHkiOiJPY2hhbGVrIiwiZ2l2ZW4iOiJKZXNzaWNhIiwibm9uLWRyb3BwaW5nLXBhcnRpY2xlIjoiIiwicGFyc2UtbmFtZXMiOmZhbHNlLCJzdWZmaXgiOiIifV0sImNvbnRhaW5lci10aXRsZSI6IlBoYXJtYWNvRWNvbm9taWNzIiwiaWQiOiIxMTQ2MzBjNC0wYTdjLTUzN2UtOWMzZS1jNmRlMmZhYTM3NzciLCJpc3N1ZWQiOnsiZGF0ZS1wYXJ0cyI6W1siMjAyMSIsIjkiLCIyOSJdXX0sInRpdGxlIjoiRW1waXJpY2FsIEVzdGltYXRlcyBvZiB0aGUgTWFyZ2luYWwgQ29zdCBvZiBIZWFsdGggUHJvZHVjZWQgYnkgYSBIZWFsdGhjYXJlIFN5c3RlbTogTWV0aG9kb2xvZ2ljYWwgQ29uc2lkZXJhdGlvbnMgZnJvbSBDb3VudHJ5LUxldmVsIEVzdGltYXRlcyIsInR5cGUiOiJhcnRpY2xlLWpvdXJuYWwiLCJjb250YWluZXItdGl0bGUtc2hvcnQiOiJQaGFybWFjb2Vjb25vbWljcyJ9LCJ1cmlzIjpbImh0dHA6Ly93d3cubWVuZGVsZXkuY29tL2RvY3VtZW50cy8/dXVpZD00ODdjYTc4ZS01ODJhLTQzZjUtYTE1Yy03OTg4Yjk3M2VhN2EiXSwiaXNUZW1wb3JhcnkiOmZhbHNlLCJsZWdhY3lEZXNrdG9wSWQiOiI0ODdjYTc4ZS01ODJhLTQzZjUtYTE1Yy03OTg4Yjk3M2VhN2EifV19&quot;,&quot;citationItems&quot;:[{&quot;id&quot;:&quot;114630c4-0a7c-537e-9c3e-c6de2faa3777&quot;,&quot;itemData&quot;:{&quot;DOI&quot;:&quot;10.1007/s40273-021-01087-6&quot;,&quot;ISSN&quot;:&quot;1170-7690&quot;,&quot;author&quot;:[{&quot;dropping-particle&quot;:&quot;&quot;,&quot;family&quot;:&quot;Edney&quot;,&quot;given&quot;:&quot;Laura C.&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Karnon&quot;,&quot;given&quot;:&quot;Jonathan&quot;,&quot;non-dropping-particle&quot;:&quot;&quot;,&quot;parse-names&quot;:false,&quot;suffix&quot;:&quot;&quot;},{&quot;dropping-particle&quot;:&quot;&quot;,&quot;family&quot;:&quot;Vallejo-Torres&quot;,&quot;given&quot;:&quot;Laura&quot;,&quot;non-dropping-particle&quot;:&quot;&quot;,&quot;parse-names&quot;:false,&quot;suffix&quot;:&quot;&quot;},{&quot;dropping-particle&quot;:&quot;&quot;,&quot;family&quot;:&quot;Stadhouders&quot;,&quot;given&quot;:&quot;Niek&quot;,&quot;non-dropping-particle&quot;:&quot;&quot;,&quot;parse-names&quot;:false,&quot;suffix&quot;:&quot;&quot;},{&quot;dropping-particle&quot;:&quot;&quot;,&quot;family&quot;:&quot;Siverskog&quot;,&quot;given&quot;:&quot;Jonathan&quot;,&quot;non-dropping-particle&quot;:&quot;&quot;,&quot;parse-names&quot;:false,&quot;suffix&quot;:&quot;&quot;},{&quot;dropping-particle&quot;:&quot;&quot;,&quot;family&quot;:&quot;Paulden&quot;,&quot;given&quot;:&quot;Mike&quot;,&quot;non-dropping-particle&quot;:&quot;&quot;,&quot;parse-names&quot;:false,&quot;suffix&quot;:&quot;&quot;},{&quot;dropping-particle&quot;:&quot;&quot;,&quot;family&quot;:&quot;Edoka&quot;,&quot;given&quot;:&quot;Ijeoma P.&quot;,&quot;non-dropping-particle&quot;:&quot;&quot;,&quot;parse-names&quot;:false,&quot;suffix&quot;:&quot;&quot;},{&quot;dropping-particle&quot;:&quot;&quot;,&quot;family&quot;:&quot;Ochalek&quot;,&quot;given&quot;:&quot;Jessica&quot;,&quot;non-dropping-particle&quot;:&quot;&quot;,&quot;parse-names&quot;:false,&quot;suffix&quot;:&quot;&quot;}],&quot;container-title&quot;:&quot;PharmacoEconomics&quot;,&quot;id&quot;:&quot;114630c4-0a7c-537e-9c3e-c6de2faa3777&quot;,&quot;issued&quot;:{&quot;date-parts&quot;:[[&quot;2021&quot;,&quot;9&quot;,&quot;29&quot;]]},&quot;title&quot;:&quot;Empirical Estimates of the Marginal Cost of Health Produced by a Healthcare System: Methodological Considerations from Country-Level Estimates&quot;,&quot;type&quot;:&quot;article-journal&quot;,&quot;container-title-short&quot;:&quot;Pharmacoeconomics&quot;},&quot;uris&quot;:[&quot;http://www.mendeley.com/documents/?uuid=487ca78e-582a-43f5-a15c-7988b973ea7a&quot;],&quot;isTemporary&quot;:false,&quot;legacyDesktopId&quot;:&quot;487ca78e-582a-43f5-a15c-7988b973ea7a&quot;}]},{&quot;citationID&quot;:&quot;MENDELEY_CITATION_80551c57-a782-4c57-af63-62f4b2c3a635&quot;,&quot;properties&quot;:{&quot;noteIndex&quot;:0},&quot;isEdited&quot;:false,&quot;manualOverride&quot;:{&quot;citeprocText&quot;:&quot;[17]&quot;,&quot;isManuallyOverridden&quot;:false,&quot;manualOverrideText&quot;:&quot;&quot;},&quot;citationTag&quot;:&quot;MENDELEY_CITATION_v3_eyJjaXRhdGlvbklEIjoiTUVOREVMRVlfQ0lUQVRJT05fODA1NTFjNTctYTc4Mi00YzU3LWFmNjMtNjJmNGIyYzNhNjM1IiwicHJvcGVydGllcyI6eyJub3RlSW5kZXgiOjB9LCJpc0VkaXRlZCI6ZmFsc2UsIm1hbnVhbE92ZXJyaWRlIjp7ImNpdGVwcm9jVGV4dCI6IlsxN10iLCJpc01hbnVhbGx5T3ZlcnJpZGRlbiI6ZmFsc2UsIm1hbnVhbE92ZXJyaWRlVGV4dCI6IiJ9LCJjaXRhdGlvbkl0ZW1zIjpbeyJpZCI6ImRhODUyYmZkLWY3YTEtNWQwOC04N2VlLTJmZjFiNjgwNTgzOCIsIml0ZW1EYXRhIjp7IkRPSSI6IjEwLjEwMTYvUzIyMTQtMTA5WCgyMykwMDM1MS0wIiwiSVNTTiI6IjIyMTQxMDlYIiwiYXV0aG9yIjpbeyJkcm9wcGluZy1wYXJ0aWNsZSI6IiIsImZhbWlseSI6IlZhbGxlam8tVG9ycmVzIiwiZ2l2ZW4iOiJMYXVyYSIsIm5vbi1kcm9wcGluZy1wYXJ0aWNsZSI6IiIsInBhcnNlLW5hbWVzIjpmYWxzZSwic3VmZml4IjoiIn0seyJkcm9wcGluZy1wYXJ0aWNsZSI6IiIsImZhbWlseSI6IkNsYXh0b24iLCJnaXZlbiI6IkthcmwiLCJub24tZHJvcHBpbmctcGFydGljbGUiOiIiLCJwYXJzZS1uYW1lcyI6ZmFsc2UsInN1ZmZpeCI6IiJ9LHsiZHJvcHBpbmctcGFydGljbGUiOiIiLCJmYW1pbHkiOiJFZG5leSIsImdpdmVuIjoiTGF1cmEgQyIsIm5vbi1kcm9wcGluZy1wYXJ0aWNsZSI6IiIsInBhcnNlLW5hbWVzIjpmYWxzZSwic3VmZml4IjoiIn0seyJkcm9wcGluZy1wYXJ0aWNsZSI6IiIsImZhbWlseSI6Ikthcm5vbiIsImdpdmVuIjoiSm9uYXRoYW4iLCJub24tZHJvcHBpbmctcGFydGljbGUiOiIiLCJwYXJzZS1uYW1lcyI6ZmFsc2UsInN1ZmZpeCI6IiJ9LHsiZHJvcHBpbmctcGFydGljbGUiOiIiLCJmYW1pbHkiOiJMb21hcyIsImdpdmVuIjoiSmFtZXMiLCJub24tZHJvcHBpbmctcGFydGljbGUiOiIiLCJwYXJzZS1uYW1lcyI6ZmFsc2UsInN1ZmZpeCI6IiJ9LHsiZHJvcHBpbmctcGFydGljbGUiOiIiLCJmYW1pbHkiOiJPY2hhbGVrIiwiZ2l2ZW4iOiJKZXNzaWNhIiwibm9uLWRyb3BwaW5nLXBhcnRpY2xlIjoiIiwicGFyc2UtbmFtZXMiOmZhbHNlLCJzdWZmaXgiOiIifSx7ImRyb3BwaW5nLXBhcnRpY2xlIjoiIiwiZmFtaWx5IjoiUGF1bGRlbiIsImdpdmVuIjoiTWlrZSIsIm5vbi1kcm9wcGluZy1wYXJ0aWNsZSI6IiIsInBhcnNlLW5hbWVzIjpmYWxzZSwic3VmZml4IjoiIn0seyJkcm9wcGluZy1wYXJ0aWNsZSI6IiIsImZhbWlseSI6IlN0YWRob3VkZXJzIiwiZ2l2ZW4iOiJOaWVrIiwibm9uLWRyb3BwaW5nLXBhcnRpY2xlIjoiIiwicGFyc2UtbmFtZXMiOmZhbHNlLCJzdWZmaXgiOiIifSx7ImRyb3BwaW5nLXBhcnRpY2xlIjoiIiwiZmFtaWx5IjoiVmFubmVzcyIsImdpdmVuIjoiRGF2aWQgSiIsIm5vbi1kcm9wcGluZy1wYXJ0aWNsZSI6IiIsInBhcnNlLW5hbWVzIjpmYWxzZSwic3VmZml4IjoiIn1dLCJjb250YWluZXItdGl0bGUiOiJUaGUgTGFuY2V0IEdsb2JhbCBIZWFsdGgiLCJpZCI6ImRhODUyYmZkLWY3YTEtNWQwOC04N2VlLTJmZjFiNjgwNTgzOCIsImlzc3VlIjoiMTAiLCJpc3N1ZWQiOnsiZGF0ZS1wYXJ0cyI6W1siMjAyMyIsIjEwIl1dfSwicGFnZSI6ImUxNTA4IiwidGl0bGUiOiJDaGFsbGVuZ2VzIG9mIGNhbGN1bGF0aW5nIGNvc3QtZWZmZWN0aXZlbmVzcyB0aHJlc2hvbGRzIiwidHlwZSI6ImFydGljbGUtam91cm5hbCIsInZvbHVtZSI6IjExIiwiY29udGFpbmVyLXRpdGxlLXNob3J0IjoiTGFuY2V0IEdsb2IgSGVhbHRoIn0sInVyaXMiOlsiaHR0cDovL3d3dy5tZW5kZWxleS5jb20vZG9jdW1lbnRzLz91dWlkPWZmYmQ2YmU5LTEzOWItNDlkNi1hM2FmLTg3OTNjOGNmZTEzMyJdLCJpc1RlbXBvcmFyeSI6ZmFsc2UsImxlZ2FjeURlc2t0b3BJZCI6ImZmYmQ2YmU5LTEzOWItNDlkNi1hM2FmLTg3OTNjOGNmZTEzMyJ9XX0=&quot;,&quot;citationItems&quot;:[{&quot;id&quot;:&quot;da852bfd-f7a1-5d08-87ee-2ff1b6805838&quot;,&quot;itemData&quot;:{&quot;DOI&quot;:&quot;10.1016/S2214-109X(23)00351-0&quot;,&quot;ISSN&quot;:&quot;2214109X&quot;,&quot;author&quot;:[{&quot;dropping-particle&quot;:&quot;&quot;,&quot;family&quot;:&quot;Vallejo-Torres&quot;,&quot;given&quot;:&quot;Laura&quot;,&quot;non-dropping-particle&quot;:&quot;&quot;,&quot;parse-names&quot;:false,&quot;suffix&quot;:&quot;&quot;},{&quot;dropping-particle&quot;:&quot;&quot;,&quot;family&quot;:&quot;Claxton&quot;,&quot;given&quot;:&quot;Karl&quot;,&quot;non-dropping-particle&quot;:&quot;&quot;,&quot;parse-names&quot;:false,&quot;suffix&quot;:&quot;&quot;},{&quot;dropping-particle&quot;:&quot;&quot;,&quot;family&quot;:&quot;Edney&quot;,&quot;given&quot;:&quot;Laura C&quot;,&quot;non-dropping-particle&quot;:&quot;&quot;,&quot;parse-names&quot;:false,&quot;suffix&quot;:&quot;&quot;},{&quot;dropping-particle&quot;:&quot;&quot;,&quot;family&quot;:&quot;Karnon&quot;,&quot;given&quot;:&quot;Jonathan&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Ochalek&quot;,&quot;given&quot;:&quot;Jessica&quot;,&quot;non-dropping-particle&quot;:&quot;&quot;,&quot;parse-names&quot;:false,&quot;suffix&quot;:&quot;&quot;},{&quot;dropping-particle&quot;:&quot;&quot;,&quot;family&quot;:&quot;Paulden&quot;,&quot;given&quot;:&quot;Mike&quot;,&quot;non-dropping-particle&quot;:&quot;&quot;,&quot;parse-names&quot;:false,&quot;suffix&quot;:&quot;&quot;},{&quot;dropping-particle&quot;:&quot;&quot;,&quot;family&quot;:&quot;Stadhouders&quot;,&quot;given&quot;:&quot;Niek&quot;,&quot;non-dropping-particle&quot;:&quot;&quot;,&quot;parse-names&quot;:false,&quot;suffix&quot;:&quot;&quot;},{&quot;dropping-particle&quot;:&quot;&quot;,&quot;family&quot;:&quot;Vanness&quot;,&quot;given&quot;:&quot;David J&quot;,&quot;non-dropping-particle&quot;:&quot;&quot;,&quot;parse-names&quot;:false,&quot;suffix&quot;:&quot;&quot;}],&quot;container-title&quot;:&quot;The Lancet Global Health&quot;,&quot;id&quot;:&quot;da852bfd-f7a1-5d08-87ee-2ff1b6805838&quot;,&quot;issue&quot;:&quot;10&quot;,&quot;issued&quot;:{&quot;date-parts&quot;:[[&quot;2023&quot;,&quot;10&quot;]]},&quot;page&quot;:&quot;e1508&quot;,&quot;title&quot;:&quot;Challenges of calculating cost-effectiveness thresholds&quot;,&quot;type&quot;:&quot;article-journal&quot;,&quot;volume&quot;:&quot;11&quot;,&quot;container-title-short&quot;:&quot;Lancet Glob Health&quot;},&quot;uris&quot;:[&quot;http://www.mendeley.com/documents/?uuid=ffbd6be9-139b-49d6-a3af-8793c8cfe133&quot;],&quot;isTemporary&quot;:false,&quot;legacyDesktopId&quot;:&quot;ffbd6be9-139b-49d6-a3af-8793c8cfe133&quot;}]},{&quot;citationID&quot;:&quot;MENDELEY_CITATION_5995e419-a65d-44db-a2be-66522a2b4842&quot;,&quot;properties&quot;:{&quot;noteIndex&quot;:0},&quot;isEdited&quot;:false,&quot;manualOverride&quot;:{&quot;citeprocText&quot;:&quot;[18]&quot;,&quot;isManuallyOverridden&quot;:false,&quot;manualOverrideText&quot;:&quot;&quot;},&quot;citationTag&quot;:&quot;MENDELEY_CITATION_v3_eyJjaXRhdGlvbklEIjoiTUVOREVMRVlfQ0lUQVRJT05fNTk5NWU0MTktYTY1ZC00NGRiLWEyYmUtNjY1MjJhMmI0ODQyIiwicHJvcGVydGllcyI6eyJub3RlSW5kZXgiOjB9LCJpc0VkaXRlZCI6ZmFsc2UsIm1hbnVhbE92ZXJyaWRlIjp7ImNpdGVwcm9jVGV4dCI6IlsxOF0iLCJpc01hbnVhbGx5T3ZlcnJpZGRlbiI6ZmFsc2UsIm1hbnVhbE92ZXJyaWRlVGV4dCI6IiJ9LCJjaXRhdGlvbkl0ZW1zIjpbeyJpZCI6ImNmOGI5NmFiLTA4YzgtNTc4OC04OTY5LTU5NWI1MWVmZGFkOCIsIml0ZW1EYXRhIjp7IkRPSSI6IjEwLjEwMDcvczQwMjU4LTAyMy0wMDgwMS16IiwiSVNCTiI6IjAxMjM0NTY3ODkiLCJJU1NOIjoiMTE3OTE4OTYiLCJQTUlEIjoiMzcwNDMxNTkiLCJhYnN0cmFjdCI6IkJhY2tncm91bmQ6IFRoZSB0cmFkaXRpb25hbCBjb3N0LWVmZmVjdGl2ZW5lc3MgYW5hbHlzaXMgZnJhbWV3b3JrIHVzdWFsbHkgdGFrZXMgYSBoZWFsdGhjYXJlIHN5c3RlbSBwZXJzcGVjdGl2ZSwgd2hlcmUgdGhlIGFpbSBpcyB0byBtYXhpbWlzZSBwb3B1bGF0aW9uIGhlYWx0aCBmcm9tIGEgZml4ZWQgYnVkZ2V0IGFsbG9jYXRlZCB0byBoZWFsdGhjYXJlLiBFeHRlbnNpb25zIHRvIHRoaXMgZnJhbWV3b3JrIGhhdmUgYmVlbiBzdWdnZXN0ZWQsIGluY2x1ZGluZzogKGkpIGluY29ycG9yYXRpbmcgaW1wYWN0cyB0aGF0IGZhbGwgb3V0c2lkZSB0aGUgaGVhbHRoY2FyZSBzZWN0b3I7IChpaSkgYWNjb3VudGluZyBmb3Igb3V0Y29tZXMgYmV5b25kIGhlYWx0aDsgYW5kIChpaWkpIGFzc2Vzc2luZyBlcXVpdHkgY29uc2lkZXJhdGlvbnMuIFNldmVyYWwgYWx0ZXJuYXRpdmVzIGhhdmUgYmVlbiBwcm9wb3NlZCB0aGF0IHNlcnZlIHRoZXNlIHB1cnBvc2VzLCBmb3IgZXhhbXBsZSwgdGhlIGV4dGVuZGVkIOKAnGltcGFjdCBpbnZlbnRvcnnigJ0sIHRoZSDigJxiZXlvbmQtdGhlLVFBTFnigJ0gYXBwcm9hY2ggYW5kIHRoZSBkaXN0cmlidXRpb25hbCBjb3N0LWVmZmVjdGl2ZW5lc3MgYW5hbHlzaXMuIE9iamVjdGl2ZTogVGhpcyBwYXBlciBhaW1zIHRvIGRldmVsb3AgYSBjb21wcmVoZW5zaXZlIGZyYW1ld29yayB0aGF0IGluY29ycG9yYXRlcyBpbnRvIHRoZSBjb3N0LWVmZmVjdGl2ZW5lc3MgYW5hbHlzaXMgZnJhbWV3b3JrIHNvbWUgb2YgaXRzIG1vc3QgYWR2b2NhdGVkIGV4dGVuc2lvbnMgYW5kIHByb3ZpZGVzIGEgbWVhbnMgb2YgYXJyaXZpbmcgYXQgYSB1bmlkaW1lbnNpb25hbCBjb3N0LWVmZmVjdGl2ZW5lc3MgYW5hbHlzaXMgcmVzdWx0IG1lYXN1cmUuIE1ldGhvZHM6IEJ1aWxkaW5nIG9uIHByZXZpb3VzIHdvcmssIEkgcHJvcG9zZWQgYSBmcmFtZXdvcmsgdGhhdCBleHBsaWNpdGx5IGluY29ycG9yYXRlcyB0aGUgZnVsbCBleHRlbnQgb2YgdGhlIG9wcG9ydHVuaXR5IGNvc3RzIHRoYXQgYXJpc2Ugd2hlbiBuZXcgZGltZW5zaW9ucyBhbmQgZGlzdHJpYnV0aW9uYWwgY29uY2VybnMgYXJlIGluY2x1ZGVkIGluIGNvc3QtZWZmZWN0aXZlbmVzcyBhbmFseXNlcy4gQSBoeXBvdGhldGljYWwgZXhhbXBsZSBpcyBwcm92aWRlZCBhcyBhIHdheSBvZiBpbGx1c3RyYXRpb24uIFJlc3VsdHM6IE9wZXJhdGlvbmFsaXNpbmcgdGhlIHByb3Bvc2VkIGZyYW1ld29yayByZXF1aXJlcyBzeXN0ZW0td2lkZSByZXByZXNlbnRhdGl2ZSB2YWx1ZXMgYW5kL29yIHJvYnVzdCBlc3RpbWF0ZXMgY29uY2VybmluZzogKGkpIHNlbGVjdGluZyBkaW1lbnNpb25zOyAoaWkpIG1lYXN1cmluZyBvcHBvcnR1bml0eSBjb3N0cyBhc3NvY2lhdGVkIHdpdGggZWFjaCBkaW1lbnNpb247IChpaWkpIHF1YW50aWZ5aW5nIGVxdWl0eSB3ZWlnaHRzIGFuZCBwZXJjZW50YWdlcyBvZiBiZW5lZmljaWFyaWVzIGFuZCBsb3NlcnMgbWVldGluZyBlcXVpdHkgY29uc2lkZXJhdGlvbnM7IGFuZCAoaXYpIGF0dGFjaGluZyBtb25ldGFyeSB2YWx1ZXMgdG8gZGltZW5zaW9ucyBtZWFzdXJlZCB1c2luZyBhIG5vbi1tb25ldGFyeSBtZXRyaWMuIENvbmNsdXNpb25zOiBFeHRlbmRpbmcgdGhlIGNvc3QtZWZmZWN0aXZlbmVzcyBhbmFseXNpcyBmcmFtZXdvcmsgZW50YWlscyBleHRlbmRpbmcgdGhlIG1lYXN1cmVtZW50IG9mIHRoZSBvcHBvcnR1bml0eSBjb3N0cyBvZiBmdW5kaW5nIGRlY2lzaW9ucy4gVGhpcyBpbXBsaWVzIHBvcHVsYXRpbmcgYW4gYW1iaXRpb3VzIHB1enpsZSB0aGF0IGluIHNvbWUgY2FzZXMgcG9zZXMgZnVuZGFtZW50YWwgY29uY2VwdHVhbCBhbmQgZW1waXJpY2FsIHF1ZXN0aW9ucy4gUG90ZW50aWFsIHJvdXRlcyBvZiBmdXJ0aGVyIHJlc2VhcmNoIHRoYXQgbWlnaHQgZmFjaWxpdGF0ZSBzdWNoIHVuZGVydGFraW5nIGFyZSBwcm9wb3NlZC4iLCJhdXRob3IiOlt7ImRyb3BwaW5nLXBhcnRpY2xlIjoiIiwiZmFtaWx5IjoiVmFsbGVqby1Ub3JyZXMiLCJnaXZlbiI6IkxhdXJhIiwibm9uLWRyb3BwaW5nLXBhcnRpY2xlIjoiIiwicGFyc2UtbmFtZXMiOmZhbHNlLCJzdWZmaXgiOiIifV0sImNvbnRhaW5lci10aXRsZSI6IkFwcGxpZWQgSGVhbHRoIEVjb25vbWljcyBhbmQgSGVhbHRoIFBvbGljeSIsImlkIjoiY2Y4Yjk2YWItMDhjOC01Nzg4LTg5NjktNTk1YjUxZWZkYWQ4IiwiaXNzdWUiOiIzIiwiaXNzdWVkIjp7ImRhdGUtcGFydHMiOltbIjIwMjMiXV19LCJwYWdlIjoiMzczLTM4NCIsInB1Ymxpc2hlciI6IlNwcmluZ2VyIEludGVybmF0aW9uYWwgUHVibGlzaGluZyIsInRpdGxlIjoiVGhlIEJyb2FkZXIgT3Bwb3J0dW5pdHkgQ29zdHMgaW4gdGhlIEJyb2FkZXIgQ29zdC1FZmZlY3RpdmVuZXNzIEFuYWx5c2lzIEZyYW1ld29yayIsInR5cGUiOiJhcnRpY2xlLWpvdXJuYWwiLCJ2b2x1bWUiOiIyMSIsImNvbnRhaW5lci10aXRsZS1zaG9ydCI6IkFwcGwgSGVhbHRoIEVjb24gSGVhbHRoIFBvbGljeSJ9LCJ1cmlzIjpbImh0dHA6Ly93d3cubWVuZGVsZXkuY29tL2RvY3VtZW50cy8/dXVpZD01OWJhYTMyMi1hNzcyLTRiNjUtYTFhOC0wZTRlNDliMDM3OWMiXSwiaXNUZW1wb3JhcnkiOmZhbHNlLCJsZWdhY3lEZXNrdG9wSWQiOiI1OWJhYTMyMi1hNzcyLTRiNjUtYTFhOC0wZTRlNDliMDM3OWMifV19&quot;,&quot;citationItems&quot;:[{&quot;id&quot;:&quot;cf8b96ab-08c8-5788-8969-595b51efdad8&quot;,&quot;itemData&quot;:{&quot;DOI&quot;:&quot;10.1007/s40258-023-00801-z&quot;,&quot;ISBN&quot;:&quot;0123456789&quot;,&quot;ISSN&quot;:&quot;11791896&quot;,&quot;PMID&quot;:&quot;37043159&quot;,&quot;abstract&quot;:&quot;Background: The traditional cost-effectiveness analysis framework usually takes a healthcare system perspective, where the aim is to maximise population health from a fixed budget allocated to healthcare. Extensions to this framework have been suggested, including: (i) incorporating impacts that fall outside the healthcare sector; (ii) accounting for outcomes beyond health; and (iii) assessing equity considerations. Several alternatives have been proposed that serve these purposes, for example, the extended “impact inventory”, the “beyond-the-QALY” approach and the distributional cost-effectiveness analysis. Objective: This paper aims to develop a comprehensive framework that incorporates into the cost-effectiveness analysis framework some of its most advocated extensions and provides a means of arriving at a unidimensional cost-effectiveness analysis result measure. Methods: Building on previous work, I proposed a framework that explicitly incorporates the full extent of the opportunity costs that arise when new dimensions and distributional concerns are included in cost-effectiveness analyses. A hypothetical example is provided as a way of illustration. Results: Operationalising the proposed framework requires system-wide representative values and/or robust estimates concerning: (i) selecting dimensions; (ii) measuring opportunity costs associated with each dimension; (iii) quantifying equity weights and percentages of beneficiaries and losers meeting equity considerations; and (iv) attaching monetary values to dimensions measured using a non-monetary metric. Conclusions: Extending the cost-effectiveness analysis framework entails extending the measurement of the opportunity costs of funding decisions. This implies populating an ambitious puzzle that in some cases poses fundamental conceptual and empirical questions. Potential routes of further research that might facilitate such undertaking are proposed.&quot;,&quot;author&quot;:[{&quot;dropping-particle&quot;:&quot;&quot;,&quot;family&quot;:&quot;Vallejo-Torres&quot;,&quot;given&quot;:&quot;Laura&quot;,&quot;non-dropping-particle&quot;:&quot;&quot;,&quot;parse-names&quot;:false,&quot;suffix&quot;:&quot;&quot;}],&quot;container-title&quot;:&quot;Applied Health Economics and Health Policy&quot;,&quot;id&quot;:&quot;cf8b96ab-08c8-5788-8969-595b51efdad8&quot;,&quot;issue&quot;:&quot;3&quot;,&quot;issued&quot;:{&quot;date-parts&quot;:[[&quot;2023&quot;]]},&quot;page&quot;:&quot;373-384&quot;,&quot;publisher&quot;:&quot;Springer International Publishing&quot;,&quot;title&quot;:&quot;The Broader Opportunity Costs in the Broader Cost-Effectiveness Analysis Framework&quot;,&quot;type&quot;:&quot;article-journal&quot;,&quot;volume&quot;:&quot;21&quot;,&quot;container-title-short&quot;:&quot;Appl Health Econ Health Policy&quot;},&quot;uris&quot;:[&quot;http://www.mendeley.com/documents/?uuid=59baa322-a772-4b65-a1a8-0e4e49b0379c&quot;],&quot;isTemporary&quot;:false,&quot;legacyDesktopId&quot;:&quot;59baa322-a772-4b65-a1a8-0e4e49b0379c&quot;}]},{&quot;citationID&quot;:&quot;MENDELEY_CITATION_e090df10-612b-41ed-94aa-7f07d3ddf00e&quot;,&quot;properties&quot;:{&quot;noteIndex&quot;:0},&quot;isEdited&quot;:false,&quot;manualOverride&quot;:{&quot;citeprocText&quot;:&quot;[19]&quot;,&quot;isManuallyOverridden&quot;:false,&quot;manualOverrideText&quot;:&quot;&quot;},&quot;citationTag&quot;:&quot;MENDELEY_CITATION_v3_eyJjaXRhdGlvbklEIjoiTUVOREVMRVlfQ0lUQVRJT05fZTA5MGRmMTAtNjEyYi00MWVkLTk0YWEtN2YwN2QzZGRmMDBlIiwicHJvcGVydGllcyI6eyJub3RlSW5kZXgiOjB9LCJpc0VkaXRlZCI6ZmFsc2UsIm1hbnVhbE92ZXJyaWRlIjp7ImNpdGVwcm9jVGV4dCI6IlsxOV0iLCJpc01hbnVhbGx5T3ZlcnJpZGRlbiI6ZmFsc2UsIm1hbnVhbE92ZXJyaWRlVGV4dCI6IiJ9LCJjaXRhdGlvbkl0ZW1zIjpbeyJpZCI6IjNlMDJhNmNjLTRlOTItNWQ3YS1iZmI4LTgwM2U3MWQ1NmI4NCIsIml0ZW1EYXRhIjp7IkRPSSI6IjEwLjEwODAvMDczNTAwMTUuMjAxNi4xMjI3NzExIiwiSVNTTiI6IjA3MzUtMDAxNSIsImF1dGhvciI6W3siZHJvcHBpbmctcGFydGljbGUiOiIiLCJmYW1pbHkiOiJPc3RlciIsImdpdmVuIjoiRW1pbHkiLCJub24tZHJvcHBpbmctcGFydGljbGUiOiIiLCJwYXJzZS1uYW1lcyI6ZmFsc2UsInN1ZmZpeCI6IiJ9XSwiY29udGFpbmVyLXRpdGxlIjoiSm91cm5hbCBvZiBCdXNpbmVzcyAmIEVjb25vbWljIFN0YXRpc3RpY3MiLCJpZCI6IjNlMDJhNmNjLTRlOTItNWQ3YS1iZmI4LTgwM2U3MWQ1NmI4NCIsImlzc3VlIjoiMiIsImlzc3VlZCI6eyJkYXRlLXBhcnRzIjpbWyIyMDE5IiwiNCIsIjMiXV19LCJwYWdlIjoiMTg3LTIwNCIsInRpdGxlIjoiVW5vYnNlcnZhYmxlIFNlbGVjdGlvbiBhbmQgQ29lZmZpY2llbnQgU3RhYmlsaXR5OiBUaGVvcnkgYW5kIEV2aWRlbmNlIiwidHlwZSI6ImFydGljbGUtam91cm5hbCIsInZvbHVtZSI6IjM3IiwiY29udGFpbmVyLXRpdGxlLXNob3J0IjoiIn0sInVyaXMiOlsiaHR0cDovL3d3dy5tZW5kZWxleS5jb20vZG9jdW1lbnRzLz91dWlkPWU4Nzk0YzMyLWIwYjktNGVjMi04NDIwLTljY2U2OWI1ZDYyNSJdLCJpc1RlbXBvcmFyeSI6ZmFsc2UsImxlZ2FjeURlc2t0b3BJZCI6ImU4Nzk0YzMyLWIwYjktNGVjMi04NDIwLTljY2U2OWI1ZDYyNSJ9XX0=&quot;,&quot;citationItems&quot;:[{&quot;id&quot;:&quot;3e02a6cc-4e92-5d7a-bfb8-803e71d56b84&quot;,&quot;itemData&quot;:{&quot;DOI&quot;:&quot;10.1080/07350015.2016.1227711&quot;,&quot;ISSN&quot;:&quot;0735-0015&quot;,&quot;author&quot;:[{&quot;dropping-particle&quot;:&quot;&quot;,&quot;family&quot;:&quot;Oster&quot;,&quot;given&quot;:&quot;Emily&quot;,&quot;non-dropping-particle&quot;:&quot;&quot;,&quot;parse-names&quot;:false,&quot;suffix&quot;:&quot;&quot;}],&quot;container-title&quot;:&quot;Journal of Business &amp; Economic Statistics&quot;,&quot;id&quot;:&quot;3e02a6cc-4e92-5d7a-bfb8-803e71d56b84&quot;,&quot;issue&quot;:&quot;2&quot;,&quot;issued&quot;:{&quot;date-parts&quot;:[[&quot;2019&quot;,&quot;4&quot;,&quot;3&quot;]]},&quot;page&quot;:&quot;187-204&quot;,&quot;title&quot;:&quot;Unobservable Selection and Coefficient Stability: Theory and Evidence&quot;,&quot;type&quot;:&quot;article-journal&quot;,&quot;volume&quot;:&quot;37&quot;,&quot;container-title-short&quot;:&quot;&quot;},&quot;uris&quot;:[&quot;http://www.mendeley.com/documents/?uuid=e8794c32-b0b9-4ec2-8420-9cce69b5d625&quot;],&quot;isTemporary&quot;:false,&quot;legacyDesktopId&quot;:&quot;e8794c32-b0b9-4ec2-8420-9cce69b5d625&quot;}]},{&quot;citationID&quot;:&quot;MENDELEY_CITATION_b9cb1a33-d13f-44a4-9af5-c193fa29d83b&quot;,&quot;properties&quot;:{&quot;noteIndex&quot;:0},&quot;isEdited&quot;:false,&quot;manualOverride&quot;:{&quot;citeprocText&quot;:&quot;[19]&quot;,&quot;isManuallyOverridden&quot;:false,&quot;manualOverrideText&quot;:&quot;&quot;},&quot;citationTag&quot;:&quot;MENDELEY_CITATION_v3_eyJjaXRhdGlvbklEIjoiTUVOREVMRVlfQ0lUQVRJT05fYjljYjFhMzMtZDEzZi00NGE0LTlhZjUtYzE5M2ZhMjlkODNiIiwicHJvcGVydGllcyI6eyJub3RlSW5kZXgiOjB9LCJpc0VkaXRlZCI6ZmFsc2UsIm1hbnVhbE92ZXJyaWRlIjp7ImNpdGVwcm9jVGV4dCI6IlsxOV0iLCJpc01hbnVhbGx5T3ZlcnJpZGRlbiI6ZmFsc2UsIm1hbnVhbE92ZXJyaWRlVGV4dCI6IiJ9LCJjaXRhdGlvbkl0ZW1zIjpbeyJpZCI6IjNlMDJhNmNjLTRlOTItNWQ3YS1iZmI4LTgwM2U3MWQ1NmI4NCIsIml0ZW1EYXRhIjp7IkRPSSI6IjEwLjEwODAvMDczNTAwMTUuMjAxNi4xMjI3NzExIiwiSVNTTiI6IjA3MzUtMDAxNSIsImF1dGhvciI6W3siZHJvcHBpbmctcGFydGljbGUiOiIiLCJmYW1pbHkiOiJPc3RlciIsImdpdmVuIjoiRW1pbHkiLCJub24tZHJvcHBpbmctcGFydGljbGUiOiIiLCJwYXJzZS1uYW1lcyI6ZmFsc2UsInN1ZmZpeCI6IiJ9XSwiY29udGFpbmVyLXRpdGxlIjoiSm91cm5hbCBvZiBCdXNpbmVzcyAmIEVjb25vbWljIFN0YXRpc3RpY3MiLCJpZCI6IjNlMDJhNmNjLTRlOTItNWQ3YS1iZmI4LTgwM2U3MWQ1NmI4NCIsImlzc3VlIjoiMiIsImlzc3VlZCI6eyJkYXRlLXBhcnRzIjpbWyIyMDE5IiwiNCIsIjMiXV19LCJwYWdlIjoiMTg3LTIwNCIsInRpdGxlIjoiVW5vYnNlcnZhYmxlIFNlbGVjdGlvbiBhbmQgQ29lZmZpY2llbnQgU3RhYmlsaXR5OiBUaGVvcnkgYW5kIEV2aWRlbmNlIiwidHlwZSI6ImFydGljbGUtam91cm5hbCIsInZvbHVtZSI6IjM3IiwiY29udGFpbmVyLXRpdGxlLXNob3J0IjoiIn0sInVyaXMiOlsiaHR0cDovL3d3dy5tZW5kZWxleS5jb20vZG9jdW1lbnRzLz91dWlkPWU4Nzk0YzMyLWIwYjktNGVjMi04NDIwLTljY2U2OWI1ZDYyNSJdLCJpc1RlbXBvcmFyeSI6ZmFsc2UsImxlZ2FjeURlc2t0b3BJZCI6ImU4Nzk0YzMyLWIwYjktNGVjMi04NDIwLTljY2U2OWI1ZDYyNSJ9XX0=&quot;,&quot;citationItems&quot;:[{&quot;id&quot;:&quot;3e02a6cc-4e92-5d7a-bfb8-803e71d56b84&quot;,&quot;itemData&quot;:{&quot;DOI&quot;:&quot;10.1080/07350015.2016.1227711&quot;,&quot;ISSN&quot;:&quot;0735-0015&quot;,&quot;author&quot;:[{&quot;dropping-particle&quot;:&quot;&quot;,&quot;family&quot;:&quot;Oster&quot;,&quot;given&quot;:&quot;Emily&quot;,&quot;non-dropping-particle&quot;:&quot;&quot;,&quot;parse-names&quot;:false,&quot;suffix&quot;:&quot;&quot;}],&quot;container-title&quot;:&quot;Journal of Business &amp; Economic Statistics&quot;,&quot;id&quot;:&quot;3e02a6cc-4e92-5d7a-bfb8-803e71d56b84&quot;,&quot;issue&quot;:&quot;2&quot;,&quot;issued&quot;:{&quot;date-parts&quot;:[[&quot;2019&quot;,&quot;4&quot;,&quot;3&quot;]]},&quot;page&quot;:&quot;187-204&quot;,&quot;title&quot;:&quot;Unobservable Selection and Coefficient Stability: Theory and Evidence&quot;,&quot;type&quot;:&quot;article-journal&quot;,&quot;volume&quot;:&quot;37&quot;,&quot;container-title-short&quot;:&quot;&quot;},&quot;uris&quot;:[&quot;http://www.mendeley.com/documents/?uuid=e8794c32-b0b9-4ec2-8420-9cce69b5d625&quot;],&quot;isTemporary&quot;:false,&quot;legacyDesktopId&quot;:&quot;e8794c32-b0b9-4ec2-8420-9cce69b5d625&quot;}]},{&quot;citationID&quot;:&quot;MENDELEY_CITATION_f2b32a5d-00e5-417e-baeb-e73054563cde&quot;,&quot;properties&quot;:{&quot;noteIndex&quot;:0},&quot;isEdited&quot;:false,&quot;manualOverride&quot;:{&quot;citeprocText&quot;:&quot;[19]&quot;,&quot;isManuallyOverridden&quot;:false,&quot;manualOverrideText&quot;:&quot;&quot;},&quot;citationTag&quot;:&quot;MENDELEY_CITATION_v3_eyJjaXRhdGlvbklEIjoiTUVOREVMRVlfQ0lUQVRJT05fZjJiMzJhNWQtMDBlNS00MTdlLWJhZWItZTczMDU0NTYzY2RlIiwicHJvcGVydGllcyI6eyJub3RlSW5kZXgiOjB9LCJpc0VkaXRlZCI6ZmFsc2UsIm1hbnVhbE92ZXJyaWRlIjp7ImNpdGVwcm9jVGV4dCI6IlsxOV0iLCJpc01hbnVhbGx5T3ZlcnJpZGRlbiI6ZmFsc2UsIm1hbnVhbE92ZXJyaWRlVGV4dCI6IiJ9LCJjaXRhdGlvbkl0ZW1zIjpbeyJpZCI6IjNlMDJhNmNjLTRlOTItNWQ3YS1iZmI4LTgwM2U3MWQ1NmI4NCIsIml0ZW1EYXRhIjp7IkRPSSI6IjEwLjEwODAvMDczNTAwMTUuMjAxNi4xMjI3NzExIiwiSVNTTiI6IjA3MzUtMDAxNSIsImF1dGhvciI6W3siZHJvcHBpbmctcGFydGljbGUiOiIiLCJmYW1pbHkiOiJPc3RlciIsImdpdmVuIjoiRW1pbHkiLCJub24tZHJvcHBpbmctcGFydGljbGUiOiIiLCJwYXJzZS1uYW1lcyI6ZmFsc2UsInN1ZmZpeCI6IiJ9XSwiY29udGFpbmVyLXRpdGxlIjoiSm91cm5hbCBvZiBCdXNpbmVzcyAmIEVjb25vbWljIFN0YXRpc3RpY3MiLCJpZCI6IjNlMDJhNmNjLTRlOTItNWQ3YS1iZmI4LTgwM2U3MWQ1NmI4NCIsImlzc3VlIjoiMiIsImlzc3VlZCI6eyJkYXRlLXBhcnRzIjpbWyIyMDE5IiwiNCIsIjMiXV19LCJwYWdlIjoiMTg3LTIwNCIsInRpdGxlIjoiVW5vYnNlcnZhYmxlIFNlbGVjdGlvbiBhbmQgQ29lZmZpY2llbnQgU3RhYmlsaXR5OiBUaGVvcnkgYW5kIEV2aWRlbmNlIiwidHlwZSI6ImFydGljbGUtam91cm5hbCIsInZvbHVtZSI6IjM3IiwiY29udGFpbmVyLXRpdGxlLXNob3J0IjoiIn0sInVyaXMiOlsiaHR0cDovL3d3dy5tZW5kZWxleS5jb20vZG9jdW1lbnRzLz91dWlkPWU4Nzk0YzMyLWIwYjktNGVjMi04NDIwLTljY2U2OWI1ZDYyNSJdLCJpc1RlbXBvcmFyeSI6ZmFsc2UsImxlZ2FjeURlc2t0b3BJZCI6ImU4Nzk0YzMyLWIwYjktNGVjMi04NDIwLTljY2U2OWI1ZDYyNSJ9XX0=&quot;,&quot;citationItems&quot;:[{&quot;id&quot;:&quot;3e02a6cc-4e92-5d7a-bfb8-803e71d56b84&quot;,&quot;itemData&quot;:{&quot;DOI&quot;:&quot;10.1080/07350015.2016.1227711&quot;,&quot;ISSN&quot;:&quot;0735-0015&quot;,&quot;author&quot;:[{&quot;dropping-particle&quot;:&quot;&quot;,&quot;family&quot;:&quot;Oster&quot;,&quot;given&quot;:&quot;Emily&quot;,&quot;non-dropping-particle&quot;:&quot;&quot;,&quot;parse-names&quot;:false,&quot;suffix&quot;:&quot;&quot;}],&quot;container-title&quot;:&quot;Journal of Business &amp; Economic Statistics&quot;,&quot;id&quot;:&quot;3e02a6cc-4e92-5d7a-bfb8-803e71d56b84&quot;,&quot;issue&quot;:&quot;2&quot;,&quot;issued&quot;:{&quot;date-parts&quot;:[[&quot;2019&quot;,&quot;4&quot;,&quot;3&quot;]]},&quot;page&quot;:&quot;187-204&quot;,&quot;title&quot;:&quot;Unobservable Selection and Coefficient Stability: Theory and Evidence&quot;,&quot;type&quot;:&quot;article-journal&quot;,&quot;volume&quot;:&quot;37&quot;,&quot;container-title-short&quot;:&quot;&quot;},&quot;uris&quot;:[&quot;http://www.mendeley.com/documents/?uuid=e8794c32-b0b9-4ec2-8420-9cce69b5d625&quot;],&quot;isTemporary&quot;:false,&quot;legacyDesktopId&quot;:&quot;e8794c32-b0b9-4ec2-8420-9cce69b5d625&quot;}]},{&quot;citationID&quot;:&quot;MENDELEY_CITATION_f0634875-fb47-4258-919f-b5123a450e3c&quot;,&quot;properties&quot;:{&quot;noteIndex&quot;:0},&quot;isEdited&quot;:false,&quot;manualOverride&quot;:{&quot;citeprocText&quot;:&quot;[20]&quot;,&quot;isManuallyOverridden&quot;:false,&quot;manualOverrideText&quot;:&quot;&quot;},&quot;citationTag&quot;:&quot;MENDELEY_CITATION_v3_eyJjaXRhdGlvbklEIjoiTUVOREVMRVlfQ0lUQVRJT05fZjA2MzQ4NzUtZmI0Ny00MjU4LTkxOWYtYjUxMjNhNDUwZTNjIiwicHJvcGVydGllcyI6eyJub3RlSW5kZXgiOjB9LCJpc0VkaXRlZCI6ZmFsc2UsIm1hbnVhbE92ZXJyaWRlIjp7ImNpdGVwcm9jVGV4dCI6IlsyMF0iLCJpc01hbnVhbGx5T3ZlcnJpZGRlbiI6ZmFsc2UsIm1hbnVhbE92ZXJyaWRlVGV4dCI6IiJ9LCJjaXRhdGlvbkl0ZW1zIjpbeyJpZCI6ImQxMzY4N2MxLTg2MWEtNWU5ZC05NWIzLWEwYWU2OGRkZjJiZCIsIml0ZW1EYXRhIjp7IkRPSSI6IjEwLjExMTEvb2Jlcy4xMjQ4OSIsIklTU04iOiIwMzA1LTkwNDkiLCJhYnN0cmFjdCI6IlRoZSBlZmZlY3Qgb2YgbWVudGFsIGhlYWx0aCBvbiBlbXBsb3ltZW50IGlzIGEga2V5IHBvbGljeSBxdWVzdGlvbiwgYnV0IHJlbGlhYmxlIGNhdXNhbCBlc3RpbWF0ZXMgYXJlIGVsdXNpdmUuIEV4cGxvaXRpbmcgcGFuZWwgZGF0YSBhbmQgZXh0ZW5kaW5nIHJlY2VudCB0ZWNobmlxdWVzIHVzaW5nIHNlbGVjdGlvbiBvbiBvYnNlcnZhYmxlcyB0byBwcm92aWRlIGluZm9ybWF0aW9uIG9uIHNlbGVjdGlvbiBhbG9uZyB1bm9ic2VydmFibGVzLCB3ZSBlc3RpbWF0ZSB0aGF0IHRyYW5zaXRpb25pbmcgaW50byBwb29yIG1lbnRhbCBoZWFsdGggbGVhZHMgdG8gYSAxLjYlIHBvaW50IHJlZHVjdGlvbiBpbiB0aGUgcHJvYmFiaWxpdHkgb2YgZW1wbG95bWVudDsgYXBwcm94aW1hdGVseSAxMCUgb2YgdGhlIHJhdyBlbXBsb3ltZW50IGdhcC4gU2VsZWN0aW9uIGludG8gbWVudGFsIGhlYWx0aCBpcyBhbG1vc3QgZW50aXJlbHkgYmFzZWQgb24gdGltZeKAkGludmFyaWFudCBjaGFyYWN0ZXJpc3RpY3MsIHJlbmRlcmluZyBmaXhlZCBlZmZlY3RzIGVzdGltYXRlcyB1bmJpYXNlZCBpbiB0aGlzIGNvbnRleHQsIG1lYW5pbmcgcmVzZWFyY2hlcnMgbm8gbG9uZ2VyIGhhdmUgdG8gcmVseSBvbiB0aGUgbmFycm93IGxvY2FsIGF2ZXJhZ2UgdHJlYXRtZW50IGVmZmVjdHMgb2YgbW9zdCBoZWFsdGgvd29yayBJViBzdHVkaWVzLiIsImF1dGhvciI6W3siZHJvcHBpbmctcGFydGljbGUiOiIiLCJmYW1pbHkiOiJCcnlhbiIsImdpdmVuIjoiTWFyayBMIiwibm9uLWRyb3BwaW5nLXBhcnRpY2xlIjoiIiwicGFyc2UtbmFtZXMiOmZhbHNlLCJzdWZmaXgiOiIifSx7ImRyb3BwaW5nLXBhcnRpY2xlIjoiIiwiZmFtaWx5IjoiUmljZSIsImdpdmVuIjoiTmlnZWwiLCJub24tZHJvcHBpbmctcGFydGljbGUiOiIiLCJwYXJzZS1uYW1lcyI6ZmFsc2UsInN1ZmZpeCI6IiJ9LHsiZHJvcHBpbmctcGFydGljbGUiOiIiLCJmYW1pbHkiOiJSb2JlcnRzIiwiZ2l2ZW4iOiJKZW5uaWZlciIsIm5vbi1kcm9wcGluZy1wYXJ0aWNsZSI6IiIsInBhcnNlLW5hbWVzIjpmYWxzZSwic3VmZml4IjoiIn0seyJkcm9wcGluZy1wYXJ0aWNsZSI6IiIsImZhbWlseSI6IlNlY2hlbCIsImdpdmVuIjoiQ3Jpc3RpbmEiLCJub24tZHJvcHBpbmctcGFydGljbGUiOiIiLCJwYXJzZS1uYW1lcyI6ZmFsc2UsInN1ZmZpeCI6IiJ9XSwiY29udGFpbmVyLXRpdGxlIjoiT3hmb3JkIEJ1bGxldGluIG9mIEVjb25vbWljcyBhbmQgU3RhdGlzdGljcyIsImlkIjoiZDEzNjg3YzEtODYxYS01ZTlkLTk1YjMtYTBhZTY4ZGRmMmJkIiwiaXNzdWUiOiI1IiwiaXNzdWVkIjp7ImRhdGUtcGFydHMiOltbIjIwMjIiLCIxMCIsIjUiXV19LCJwYWdlIjoiMTAxOC0xMDUxIiwidGl0bGUiOiJNZW50YWwgSGVhbHRoIGFuZCBFbXBsb3ltZW50OiBBIEJvdW5kaW5nIEFwcHJvYWNoIFVzaW5nIFBhbmVsIERhdGEqIiwidHlwZSI6ImFydGljbGUtam91cm5hbCIsInZvbHVtZSI6Ijg0IiwiY29udGFpbmVyLXRpdGxlLXNob3J0IjoiT3hmIEJ1bGwgRWNvbiBTdGF0In0sInVyaXMiOlsiaHR0cDovL3d3dy5tZW5kZWxleS5jb20vZG9jdW1lbnRzLz91dWlkPTQwMDQ0NTQwLTIwYWItNGY4Mi05NWIzLWMwMjBjMmVhMjg1MCJdLCJpc1RlbXBvcmFyeSI6ZmFsc2UsImxlZ2FjeURlc2t0b3BJZCI6IjQwMDQ0NTQwLTIwYWItNGY4Mi05NWIzLWMwMjBjMmVhMjg1MCJ9XX0=&quot;,&quot;citationItems&quot;:[{&quot;id&quot;:&quot;d13687c1-861a-5e9d-95b3-a0ae68ddf2bd&quot;,&quot;itemData&quot;:{&quot;DOI&quot;:&quot;10.1111/obes.12489&quot;,&quot;ISSN&quot;:&quot;0305-9049&quot;,&quot;abstract&quot;:&quot;The effect of mental health on employment is a key policy question, but reliable causal estimates are elusive. Exploiting panel data and extending recent techniques using selection on observables to provide information on selection along unobservables, we estimate that transitioning into poor mental health leads to a 1.6% point reduction in the probability of employment; approximately 10% of the raw employment gap. Selection into mental health is almost entirely based on time‐invariant characteristics, rendering fixed effects estimates unbiased in this context, meaning researchers no longer have to rely on the narrow local average treatment effects of most health/work IV studies.&quot;,&quot;author&quot;:[{&quot;dropping-particle&quot;:&quot;&quot;,&quot;family&quot;:&quot;Bryan&quot;,&quot;given&quot;:&quot;Mark L&quot;,&quot;non-dropping-particle&quot;:&quot;&quot;,&quot;parse-names&quot;:false,&quot;suffix&quot;:&quot;&quot;},{&quot;dropping-particle&quot;:&quot;&quot;,&quot;family&quot;:&quot;Rice&quot;,&quot;given&quot;:&quot;Nigel&quot;,&quot;non-dropping-particle&quot;:&quot;&quot;,&quot;parse-names&quot;:false,&quot;suffix&quot;:&quot;&quot;},{&quot;dropping-particle&quot;:&quot;&quot;,&quot;family&quot;:&quot;Roberts&quot;,&quot;given&quot;:&quot;Jennifer&quot;,&quot;non-dropping-particle&quot;:&quot;&quot;,&quot;parse-names&quot;:false,&quot;suffix&quot;:&quot;&quot;},{&quot;dropping-particle&quot;:&quot;&quot;,&quot;family&quot;:&quot;Sechel&quot;,&quot;given&quot;:&quot;Cristina&quot;,&quot;non-dropping-particle&quot;:&quot;&quot;,&quot;parse-names&quot;:false,&quot;suffix&quot;:&quot;&quot;}],&quot;container-title&quot;:&quot;Oxford Bulletin of Economics and Statistics&quot;,&quot;id&quot;:&quot;d13687c1-861a-5e9d-95b3-a0ae68ddf2bd&quot;,&quot;issue&quot;:&quot;5&quot;,&quot;issued&quot;:{&quot;date-parts&quot;:[[&quot;2022&quot;,&quot;10&quot;,&quot;5&quot;]]},&quot;page&quot;:&quot;1018-1051&quot;,&quot;title&quot;:&quot;Mental Health and Employment: A Bounding Approach Using Panel Data*&quot;,&quot;type&quot;:&quot;article-journal&quot;,&quot;volume&quot;:&quot;84&quot;,&quot;container-title-short&quot;:&quot;Oxf Bull Econ Stat&quot;},&quot;uris&quot;:[&quot;http://www.mendeley.com/documents/?uuid=40044540-20ab-4f82-95b3-c020c2ea2850&quot;],&quot;isTemporary&quot;:false,&quot;legacyDesktopId&quot;:&quot;40044540-20ab-4f82-95b3-c020c2ea2850&quot;}]},{&quot;citationID&quot;:&quot;MENDELEY_CITATION_4feac902-58ba-4999-a1df-4bf8ab10eec0&quot;,&quot;properties&quot;:{&quot;noteIndex&quot;:0},&quot;isEdited&quot;:false,&quot;manualOverride&quot;:{&quot;citeprocText&quot;:&quot;[6]&quot;,&quot;isManuallyOverridden&quot;:false,&quot;manualOverrideText&quot;:&quot;&quot;},&quot;citationTag&quot;:&quot;MENDELEY_CITATION_v3_eyJjaXRhdGlvbklEIjoiTUVOREVMRVlfQ0lUQVRJT05fNGZlYWM5MDItNThiYS00OTk5LWExZGYtNGJmOGFiMTBlZWMwIiwicHJvcGVydGllcyI6eyJub3RlSW5kZXgiOjB9LCJpc0VkaXRlZCI6ZmFsc2UsIm1hbnVhbE92ZXJyaWRlIjp7ImNpdGVwcm9jVGV4dCI6Ils2XSIsImlzTWFudWFsbHlPdmVycmlkZGVuIjpmYWxzZSwibWFudWFsT3ZlcnJpZGVUZXh0IjoiIn0sImNpdGF0aW9uSXRlbXMiOlt7ImlkIjoiNDkzNDIwZGQtZTE4Yy01ZWVkLTllOWQtYzAwNjBhNWJmNTMzIiwiaXRlbURhdGEiOnsiRE9JIjoiMTAuMTAwMi9oZWMuMzYzMyIsIklTU04iOiIxMDk5MTA1MCIsImFic3RyYWN0IjoiwqkgMjAxNyBKb2huIFdpbGV5ICYgU29ucywgTHRkLiBUaGUgY29zdCBvZiBnZW5lcmF0aW5nIGEgcXVhbGl0eS1hZGp1c3RlZCBsaWZlIHllYXIgKFFBTFkpIHdpdGhpbiBhIE5hdGlvbmFsIEhlYWx0aCBTZXJ2aWNlIHByb3ZpZGVzIGFuIGFwcHJveGltYXRpb24gb2YgdGhlIGF2ZXJhZ2Ugb3Bwb3J0dW5pdHkgY29zdCBvZiBmdW5kaW5nIGRlY2lzaW9ucy4gVGhpcyBpbmZvcm1hdGlvbiBjYW4gYmUgdXNlZCB0byBpbmZvcm0gYSBjb3N0LWVmZmVjdGl2ZW5lc3MgdGhyZXNob2xkLiBUaGUgYWltIG9mIHRoaXMgcGFwZXIgaXMgdG8gZXN0aW1hdGUgdGhlIGNvc3QgcGVyIFFBTFkgYXQgdGhlIFNwYW5pc2ggTmF0aW9uYWwgSGVhbHRoIFNlcnZpY2UuIFdlIGV4cGxvaXQgdmFyaWF0aW9uIGFjcm9zcyAxNyByZWdpb25hbCBoZWFsdGggc2VydmljZXMgYW5kIHRoZSBleG9nZW5vdXMgY2hhbmdlcyBpbiBleHBlbmRpdHVyZSB0aGF0IHRvb2sgcGxhY2UgYXMgYSBjb25zZXF1ZW5jZSBvZiB0aGUgZWNvbm9taWMgY3Jpc2lzIG92ZXIgNSB5ZWFycyBvZiBkYXRhLiBXZSBjb25kdWN0IGZpeGVkIGVmZmVjdCBtb2RlbHMgYW5kIHVzZSBhbiBpbnN0cnVtZW50YWwgdmFyaWFibGUgYXBwcm9hY2ggdG8gdGVzdCBmb3IgcG90ZW50aWFsIHJlbWFpbmluZyBlbmRvZ2VuZWl0eS4gT3VyIHJlc3VsdHMgc2hvdyB0aGF0IGhlYWx0aCBleHBlbmRpdHVyZSBoYXMgYSBwb3NpdGl2ZSBhbmQgc2lnbmlmaWNhbnQgZWZmZWN0IG9uIHBvcHVsYXRpb24gaGVhbHRoLCB3aXRoIGFuIGF2ZXJhZ2Ugc3BlbmRpbmcgZWxhc3RpY2l0eSBvZiAwLjA3LiBUaGlzIHRyYW5zbGF0ZXMgaW50byBhIGNvc3QgcGVyIFFBTFkgb2YgYmV0d2VlbiAyMiwwMDDigqwgYW5kIDI1LDAwMOKCrC4gVGhlc2UgdmFsdWVzIGFyZSBiZWxvdyB0aGUgY29zdC1lZmZlY3RpdmVuZXNzIHRocmVzaG9sZCBmaWd1cmUgb2YgMzAsMDAw4oKsIGNvbW1vbmx5IGNpdGVkIGluIFNwYWluLiIsImF1dGhvciI6W3siZHJvcHBpbmctcGFydGljbGUiOiIiLCJmYW1pbHkiOiJWYWxsZWpvLVRvcnJlcyIsImdpdmVuIjoiTC4iLCJub24tZHJvcHBpbmctcGFydGljbGUiOiIiLCJwYXJzZS1uYW1lcyI6ZmFsc2UsInN1ZmZpeCI6IiJ9LHsiZHJvcHBpbmctcGFydGljbGUiOiIiLCJmYW1pbHkiOiJHYXJjw61hLUxvcmVuem8iLCJnaXZlbiI6IkIuIiwibm9uLWRyb3BwaW5nLXBhcnRpY2xlIjoiIiwicGFyc2UtbmFtZXMiOmZhbHNlLCJzdWZmaXgiOiIifSx7ImRyb3BwaW5nLXBhcnRpY2xlIjoiIiwiZmFtaWx5IjoiU2VycmFuby1BZ3VpbGFyIiwiZ2l2ZW4iOiJQLiIsIm5vbi1kcm9wcGluZy1wYXJ0aWNsZSI6IiIsInBhcnNlLW5hbWVzIjpmYWxzZSwic3VmZml4IjoiIn1dLCJjb250YWluZXItdGl0bGUiOiJIZWFsdGggRWNvbm9taWNzIChVbml0ZWQgS2luZ2RvbSkiLCJpZCI6IjQ5MzQyMGRkLWUxOGMtNWVlZC05ZTlkLWMwMDYwYTViZjUzMyIsImlzc3VlZCI6eyJkYXRlLXBhcnRzIjpbWyIyMDE4Il1dfSwidGl0bGUiOiJFc3RpbWF0aW5nIGEgY29zdC1lZmZlY3RpdmVuZXNzIHRocmVzaG9sZCBmb3IgdGhlIFNwYW5pc2ggTkhTIiwidHlwZSI6ImFydGljbGUtam91cm5hbCIsImNvbnRhaW5lci10aXRsZS1zaG9ydCI6IiJ9LCJ1cmlzIjpbImh0dHA6Ly93d3cubWVuZGVsZXkuY29tL2RvY3VtZW50cy8/dXVpZD04OGYxNzNkNC04Y2FjLTRmNTMtYmQ5OS0xYWRiMDNkMDcyZDQiXSwiaXNUZW1wb3JhcnkiOmZhbHNlLCJsZWdhY3lEZXNrdG9wSWQiOiI4OGYxNzNkNC04Y2FjLTRmNTMtYmQ5OS0xYWRiMDNkMDcyZDQifV19&quot;,&quot;citationItems&quot;:[{&quot;id&quot;:&quot;493420dd-e18c-5eed-9e9d-c0060a5bf533&quot;,&quot;itemData&quot;:{&quot;DOI&quot;:&quot;10.1002/hec.3633&quot;,&quot;ISSN&quot;:&quot;10991050&quot;,&quot;abstract&quot;:&quot;© 2017 John Wiley &amp; Sons, Ltd. The cost of generating a quality-adjusted life year (QALY) within a National Health Service provides an approximation of the average opportunity cost of funding decisions. This information can be used to inform a cost-effectiveness threshold. The aim of this paper is to estimate the cost per QALY at the Spanish National Health Service. We exploit variation across 17 regional health services and the exogenous changes in expenditure that took place as a consequence of the economic crisis over 5 years of data. We conduct fixed effect models and use an instrumental variable approach to test for potential remaining endogeneity. Our results show that health expenditure has a positive and significant effect on population health, with an average spending elasticity of 0.07. This translates into a cost per QALY of between 22,000€ and 25,000€. These values are below the cost-effectiveness threshold figure of 30,000€ commonly cited in Spain.&quot;,&quot;author&quot;:[{&quot;dropping-particle&quot;:&quot;&quot;,&quot;family&quot;:&quot;Vallejo-Torres&quot;,&quot;given&quot;:&quot;L.&quot;,&quot;non-dropping-particle&quot;:&quot;&quot;,&quot;parse-names&quot;:false,&quot;suffix&quot;:&quot;&quot;},{&quot;dropping-particle&quot;:&quot;&quot;,&quot;family&quot;:&quot;García-Lorenzo&quot;,&quot;given&quot;:&quot;B.&quot;,&quot;non-dropping-particle&quot;:&quot;&quot;,&quot;parse-names&quot;:false,&quot;suffix&quot;:&quot;&quot;},{&quot;dropping-particle&quot;:&quot;&quot;,&quot;family&quot;:&quot;Serrano-Aguilar&quot;,&quot;given&quot;:&quot;P.&quot;,&quot;non-dropping-particle&quot;:&quot;&quot;,&quot;parse-names&quot;:false,&quot;suffix&quot;:&quot;&quot;}],&quot;container-title&quot;:&quot;Health Economics (United Kingdom)&quot;,&quot;id&quot;:&quot;493420dd-e18c-5eed-9e9d-c0060a5bf533&quot;,&quot;issued&quot;:{&quot;date-parts&quot;:[[&quot;2018&quot;]]},&quot;title&quot;:&quot;Estimating a cost-effectiveness threshold for the Spanish NHS&quot;,&quot;type&quot;:&quot;article-journal&quot;,&quot;container-title-short&quot;:&quot;&quot;},&quot;uris&quot;:[&quot;http://www.mendeley.com/documents/?uuid=88f173d4-8cac-4f53-bd99-1adb03d072d4&quot;],&quot;isTemporary&quot;:false,&quot;legacyDesktopId&quot;:&quot;88f173d4-8cac-4f53-bd99-1adb03d072d4&quot;}]},{&quot;citationID&quot;:&quot;MENDELEY_CITATION_3e60e450-59f5-49db-b976-064e92cb575b&quot;,&quot;properties&quot;:{&quot;noteIndex&quot;:0},&quot;isEdited&quot;:false,&quot;manualOverride&quot;:{&quot;citeprocText&quot;:&quot;[21]&quot;,&quot;isManuallyOverridden&quot;:false,&quot;manualOverrideText&quot;:&quot;&quot;},&quot;citationTag&quot;:&quot;MENDELEY_CITATION_v3_eyJjaXRhdGlvbklEIjoiTUVOREVMRVlfQ0lUQVRJT05fM2U2MGU0NTAtNTlmNS00OWRiLWI5NzYtMDY0ZTkyY2I1NzViIiwicHJvcGVydGllcyI6eyJub3RlSW5kZXgiOjB9LCJpc0VkaXRlZCI6ZmFsc2UsIm1hbnVhbE92ZXJyaWRlIjp7ImNpdGVwcm9jVGV4dCI6IlsyMV0iLCJpc01hbnVhbGx5T3ZlcnJpZGRlbiI6ZmFsc2UsIm1hbnVhbE92ZXJyaWRlVGV4dCI6IiJ9LCJjaXRhdGlvbkl0ZW1zIjpbeyJpZCI6IjQ2NmQ2MDdmLTZiNjQtNWMwMy04ZjAwLTRiMDcxNmUwNWJlNyIsIml0ZW1EYXRhIjp7IklTQk4iOiI4NC05NTA3NS01Ny0xIiwiYXV0aG9yIjpbeyJkcm9wcGluZy1wYXJ0aWNsZSI6IiIsImZhbWlseSI6IkdhbWluZGUiLCJnaXZlbiI6IklkYSIsIm5vbi1kcm9wcGluZy1wYXJ0aWNsZSI6IiIsInBhcnNlLW5hbWVzIjpmYWxzZSwic3VmZml4IjoiIn0seyJkcm9wcGluZy1wYXJ0aWNsZSI6IiIsImZhbWlseSI6IlJvc2V0IiwiZ2l2ZW4iOiJNIiwibm9uLWRyb3BwaW5nLXBhcnRpY2xlIjoiIiwicGFyc2UtbmFtZXMiOmZhbHNlLCJzdWZmaXgiOiIifV0sImNvbnRhaW5lci10aXRsZSI6IkRpc2N1c3Npb24gcGFwZXJzIC8gMTd0aCBQbGVuYXJ5IE1lZXRpbmcgb2YgdGhlIEV1cm9xb2wgR3JvdXAiLCJpZCI6IjQ2NmQ2MDdmLTZiNjQtNWMwMy04ZjAwLTRiMDcxNmUwNWJlNyIsImlzc3VlZCI6eyJkYXRlLXBhcnRzIjpbWyIyMDAxIl1dfSwidGl0bGUiOiJRdWFsaXR5IEFkanVzdGVkIExpZmUgRXhwZWN0YW5jeSIsInR5cGUiOiJjaGFwdGVyIiwiY29udGFpbmVyLXRpdGxlLXNob3J0IjoiIn0sInVyaXMiOlsiaHR0cDovL3d3dy5tZW5kZWxleS5jb20vZG9jdW1lbnRzLz91dWlkPTYxYjFjNWE3LTkyY2YtNDc1My1iNWRiLTc0OGE2MGRiMmUyNCJdLCJpc1RlbXBvcmFyeSI6ZmFsc2UsImxlZ2FjeURlc2t0b3BJZCI6IjYxYjFjNWE3LTkyY2YtNDc1My1iNWRiLTc0OGE2MGRiMmUyNCJ9XX0=&quot;,&quot;citationItems&quot;:[{&quot;id&quot;:&quot;466d607f-6b64-5c03-8f00-4b0716e05be7&quot;,&quot;itemData&quot;:{&quot;ISBN&quot;:&quot;84-95075-57-1&quot;,&quot;author&quot;:[{&quot;dropping-particle&quot;:&quot;&quot;,&quot;family&quot;:&quot;Gaminde&quot;,&quot;given&quot;:&quot;Ida&quot;,&quot;non-dropping-particle&quot;:&quot;&quot;,&quot;parse-names&quot;:false,&quot;suffix&quot;:&quot;&quot;},{&quot;dropping-particle&quot;:&quot;&quot;,&quot;family&quot;:&quot;Roset&quot;,&quot;given&quot;:&quot;M&quot;,&quot;non-dropping-particle&quot;:&quot;&quot;,&quot;parse-names&quot;:false,&quot;suffix&quot;:&quot;&quot;}],&quot;container-title&quot;:&quot;Discussion papers / 17th Plenary Meeting of the Euroqol Group&quot;,&quot;id&quot;:&quot;466d607f-6b64-5c03-8f00-4b0716e05be7&quot;,&quot;issued&quot;:{&quot;date-parts&quot;:[[&quot;2001&quot;]]},&quot;title&quot;:&quot;Quality Adjusted Life Expectancy&quot;,&quot;type&quot;:&quot;chapter&quot;,&quot;container-title-short&quot;:&quot;&quot;},&quot;uris&quot;:[&quot;http://www.mendeley.com/documents/?uuid=61b1c5a7-92cf-4753-b5db-748a60db2e24&quot;],&quot;isTemporary&quot;:false,&quot;legacyDesktopId&quot;:&quot;61b1c5a7-92cf-4753-b5db-748a60db2e24&quot;}]},{&quot;citationID&quot;:&quot;MENDELEY_CITATION_9e5fbd9f-f4c1-4099-97b9-c7c2b1e663d4&quot;,&quot;properties&quot;:{&quot;noteIndex&quot;:0},&quot;isEdited&quot;:false,&quot;manualOverride&quot;:{&quot;citeprocText&quot;:&quot;[7]&quot;,&quot;isManuallyOverridden&quot;:false,&quot;manualOverrideText&quot;:&quot;&quot;},&quot;citationTag&quot;:&quot;MENDELEY_CITATION_v3_eyJjaXRhdGlvbklEIjoiTUVOREVMRVlfQ0lUQVRJT05fOWU1ZmJkOWYtZjRjMS00MDk5LTk3YjktYzdjMmIxZTY2M2Q0IiwicHJvcGVydGllcyI6eyJub3RlSW5kZXgiOjB9LCJpc0VkaXRlZCI6ZmFsc2UsIm1hbnVhbE92ZXJyaWRlIjp7ImNpdGVwcm9jVGV4dCI6Ils3XSIsImlzTWFudWFsbHlPdmVycmlkZGVuIjpmYWxzZSwibWFudWFsT3ZlcnJpZGVUZXh0IjoiIn0sImNpdGF0aW9uSXRlbXMiOlt7ImlkIjoiODc2YmM3YjktZDY4My01NWY3LWFiNWQtNDAzYjA2NzExZjMyIiwiaXRlbURhdGEiOnsiRE9JIjoiMTAuMTAwNy9zMTAxOTgtMDE5LTAxMDM5LTAiLCJJU1NOIjoiMTYxOC03NTk4IiwiYXV0aG9yIjpbeyJkcm9wcGluZy1wYXJ0aWNsZSI6IiIsImZhbWlseSI6IlNpdmVyc2tvZyIsImdpdmVuIjoiSm9uYXRoYW4iLCJub24tZHJvcHBpbmctcGFydGljbGUiOiIiLCJwYXJzZS1uYW1lcyI6ZmFsc2UsInN1ZmZpeCI6IiJ9LHsiZHJvcHBpbmctcGFydGljbGUiOiIiLCJmYW1pbHkiOiJIZW5yaWtzc29uIiwiZ2l2ZW4iOiJNYXJ0aW4iLCJub24tZHJvcHBpbmctcGFydGljbGUiOiIiLCJwYXJzZS1uYW1lcyI6ZmFsc2UsInN1ZmZpeCI6IiJ9XSwiY29udGFpbmVyLXRpdGxlIjoiVGhlIEV1cm9wZWFuIEpvdXJuYWwgb2YgSGVhbHRoIEVjb25vbWljcyIsImlkIjoiODc2YmM3YjktZDY4My01NWY3LWFiNWQtNDAzYjA2NzExZjMyIiwiaXNzdWUiOiI1IiwiaXNzdWVkIjp7ImRhdGUtcGFydHMiOltbIjIwMTkiLCI3Il1dfSwicGFnZSI6Ijc1MS03NjIiLCJ0aXRsZSI6IkVzdGltYXRpbmcgdGhlIG1hcmdpbmFsIGNvc3Qgb2YgYSBsaWZlIHllYXIgaW4gU3dlZGVu4oCZcyBwdWJsaWMgaGVhbHRoY2FyZSBzZWN0b3IiLCJ0eXBlIjoiYXJ0aWNsZS1qb3VybmFsIiwidm9sdW1lIjoiMjAiLCJjb250YWluZXItdGl0bGUtc2hvcnQiOiIifSwidXJpcyI6WyJodHRwOi8vd3d3Lm1lbmRlbGV5LmNvbS9kb2N1bWVudHMvP3V1aWQ9MWIxOTk2YTAtM2U4MC00NThmLTgwMDItZGI3M2JhNzY0MTM3Il0sImlzVGVtcG9yYXJ5IjpmYWxzZSwibGVnYWN5RGVza3RvcElkIjoiMWIxOTk2YTAtM2U4MC00NThmLTgwMDItZGI3M2JhNzY0MTM3In1dfQ==&quot;,&quot;citationItems&quot;:[{&quot;id&quot;:&quot;876bc7b9-d683-55f7-ab5d-403b06711f32&quot;,&quot;itemData&quot;:{&quot;DOI&quot;:&quot;10.1007/s10198-019-01039-0&quot;,&quot;ISSN&quot;:&quot;1618-7598&quot;,&quot;author&quot;:[{&quot;dropping-particle&quot;:&quot;&quot;,&quot;family&quot;:&quot;Siverskog&quot;,&quot;given&quot;:&quot;Jonathan&quot;,&quot;non-dropping-particle&quot;:&quot;&quot;,&quot;parse-names&quot;:false,&quot;suffix&quot;:&quot;&quot;},{&quot;dropping-particle&quot;:&quot;&quot;,&quot;family&quot;:&quot;Henriksson&quot;,&quot;given&quot;:&quot;Martin&quot;,&quot;non-dropping-particle&quot;:&quot;&quot;,&quot;parse-names&quot;:false,&quot;suffix&quot;:&quot;&quot;}],&quot;container-title&quot;:&quot;The European Journal of Health Economics&quot;,&quot;id&quot;:&quot;876bc7b9-d683-55f7-ab5d-403b06711f32&quot;,&quot;issue&quot;:&quot;5&quot;,&quot;issued&quot;:{&quot;date-parts&quot;:[[&quot;2019&quot;,&quot;7&quot;]]},&quot;page&quot;:&quot;751-762&quot;,&quot;title&quot;:&quot;Estimating the marginal cost of a life year in Sweden’s public healthcare sector&quot;,&quot;type&quot;:&quot;article-journal&quot;,&quot;volume&quot;:&quot;20&quot;,&quot;container-title-short&quot;:&quot;&quot;},&quot;uris&quot;:[&quot;http://www.mendeley.com/documents/?uuid=1b1996a0-3e80-458f-8002-db73ba764137&quot;],&quot;isTemporary&quot;:false,&quot;legacyDesktopId&quot;:&quot;1b1996a0-3e80-458f-8002-db73ba764137&quot;}]},{&quot;citationID&quot;:&quot;MENDELEY_CITATION_9602e4a6-eb58-49c1-bdb0-5add7ef1f233&quot;,&quot;properties&quot;:{&quot;noteIndex&quot;:0},&quot;isEdited&quot;:false,&quot;manualOverride&quot;:{&quot;citeprocText&quot;:&quot;[7]&quot;,&quot;isManuallyOverridden&quot;:false,&quot;manualOverrideText&quot;:&quot;&quot;},&quot;citationTag&quot;:&quot;MENDELEY_CITATION_v3_eyJjaXRhdGlvbklEIjoiTUVOREVMRVlfQ0lUQVRJT05fOTYwMmU0YTYtZWI1OC00OWMxLWJkYjAtNWFkZDdlZjFmMjMzIiwicHJvcGVydGllcyI6eyJub3RlSW5kZXgiOjB9LCJpc0VkaXRlZCI6ZmFsc2UsIm1hbnVhbE92ZXJyaWRlIjp7ImNpdGVwcm9jVGV4dCI6Ils3XSIsImlzTWFudWFsbHlPdmVycmlkZGVuIjpmYWxzZSwibWFudWFsT3ZlcnJpZGVUZXh0IjoiIn0sImNpdGF0aW9uSXRlbXMiOlt7ImlkIjoiODc2YmM3YjktZDY4My01NWY3LWFiNWQtNDAzYjA2NzExZjMyIiwiaXRlbURhdGEiOnsiRE9JIjoiMTAuMTAwNy9zMTAxOTgtMDE5LTAxMDM5LTAiLCJJU1NOIjoiMTYxOC03NTk4IiwiYXV0aG9yIjpbeyJkcm9wcGluZy1wYXJ0aWNsZSI6IiIsImZhbWlseSI6IlNpdmVyc2tvZyIsImdpdmVuIjoiSm9uYXRoYW4iLCJub24tZHJvcHBpbmctcGFydGljbGUiOiIiLCJwYXJzZS1uYW1lcyI6ZmFsc2UsInN1ZmZpeCI6IiJ9LHsiZHJvcHBpbmctcGFydGljbGUiOiIiLCJmYW1pbHkiOiJIZW5yaWtzc29uIiwiZ2l2ZW4iOiJNYXJ0aW4iLCJub24tZHJvcHBpbmctcGFydGljbGUiOiIiLCJwYXJzZS1uYW1lcyI6ZmFsc2UsInN1ZmZpeCI6IiJ9XSwiY29udGFpbmVyLXRpdGxlIjoiVGhlIEV1cm9wZWFuIEpvdXJuYWwgb2YgSGVhbHRoIEVjb25vbWljcyIsImlkIjoiODc2YmM3YjktZDY4My01NWY3LWFiNWQtNDAzYjA2NzExZjMyIiwiaXNzdWUiOiI1IiwiaXNzdWVkIjp7ImRhdGUtcGFydHMiOltbIjIwMTkiLCI3Il1dfSwicGFnZSI6Ijc1MS03NjIiLCJ0aXRsZSI6IkVzdGltYXRpbmcgdGhlIG1hcmdpbmFsIGNvc3Qgb2YgYSBsaWZlIHllYXIgaW4gU3dlZGVu4oCZcyBwdWJsaWMgaGVhbHRoY2FyZSBzZWN0b3IiLCJ0eXBlIjoiYXJ0aWNsZS1qb3VybmFsIiwidm9sdW1lIjoiMjAiLCJjb250YWluZXItdGl0bGUtc2hvcnQiOiIifSwidXJpcyI6WyJodHRwOi8vd3d3Lm1lbmRlbGV5LmNvbS9kb2N1bWVudHMvP3V1aWQ9MWIxOTk2YTAtM2U4MC00NThmLTgwMDItZGI3M2JhNzY0MTM3Il0sImlzVGVtcG9yYXJ5IjpmYWxzZSwibGVnYWN5RGVza3RvcElkIjoiMWIxOTk2YTAtM2U4MC00NThmLTgwMDItZGI3M2JhNzY0MTM3In1dfQ==&quot;,&quot;citationItems&quot;:[{&quot;id&quot;:&quot;876bc7b9-d683-55f7-ab5d-403b06711f32&quot;,&quot;itemData&quot;:{&quot;DOI&quot;:&quot;10.1007/s10198-019-01039-0&quot;,&quot;ISSN&quot;:&quot;1618-7598&quot;,&quot;author&quot;:[{&quot;dropping-particle&quot;:&quot;&quot;,&quot;family&quot;:&quot;Siverskog&quot;,&quot;given&quot;:&quot;Jonathan&quot;,&quot;non-dropping-particle&quot;:&quot;&quot;,&quot;parse-names&quot;:false,&quot;suffix&quot;:&quot;&quot;},{&quot;dropping-particle&quot;:&quot;&quot;,&quot;family&quot;:&quot;Henriksson&quot;,&quot;given&quot;:&quot;Martin&quot;,&quot;non-dropping-particle&quot;:&quot;&quot;,&quot;parse-names&quot;:false,&quot;suffix&quot;:&quot;&quot;}],&quot;container-title&quot;:&quot;The European Journal of Health Economics&quot;,&quot;id&quot;:&quot;876bc7b9-d683-55f7-ab5d-403b06711f32&quot;,&quot;issue&quot;:&quot;5&quot;,&quot;issued&quot;:{&quot;date-parts&quot;:[[&quot;2019&quot;,&quot;7&quot;]]},&quot;page&quot;:&quot;751-762&quot;,&quot;title&quot;:&quot;Estimating the marginal cost of a life year in Sweden’s public healthcare sector&quot;,&quot;type&quot;:&quot;article-journal&quot;,&quot;volume&quot;:&quot;20&quot;,&quot;container-title-short&quot;:&quot;&quot;},&quot;uris&quot;:[&quot;http://www.mendeley.com/documents/?uuid=1b1996a0-3e80-458f-8002-db73ba764137&quot;],&quot;isTemporary&quot;:false,&quot;legacyDesktopId&quot;:&quot;1b1996a0-3e80-458f-8002-db73ba764137&quot;}]},{&quot;citationID&quot;:&quot;MENDELEY_CITATION_cf1aff11-4ec9-4d10-aac3-40264ad76806&quot;,&quot;properties&quot;:{&quot;noteIndex&quot;:0},&quot;isEdited&quot;:false,&quot;manualOverride&quot;:{&quot;citeprocText&quot;:&quot;[3,12]&quot;,&quot;isManuallyOverridden&quot;:false,&quot;manualOverrideText&quot;:&quot;&quot;},&quot;citationTag&quot;:&quot;MENDELEY_CITATION_v3_eyJjaXRhdGlvbklEIjoiTUVOREVMRVlfQ0lUQVRJT05fY2YxYWZmMTEtNGVjOS00ZDEwLWFhYzMtNDAyNjRhZDc2ODA2IiwicHJvcGVydGllcyI6eyJub3RlSW5kZXgiOjB9LCJpc0VkaXRlZCI6ZmFsc2UsIm1hbnVhbE92ZXJyaWRlIjp7ImNpdGVwcm9jVGV4dCI6IlszLDEyXSIsImlzTWFudWFsbHlPdmVycmlkZGVuIjpmYWxzZSwibWFudWFsT3ZlcnJpZGVUZXh0IjoiIn0sImNpdGF0aW9uSXRlbXMiOlt7ImlkIjoiYjIxNzRkMjQtNmI3Yy01NDQ3LWIwNDUtMjQ3NTY0NmJhNjU2IiwiaXRlbURhdGEiOnsiRE9JIjoiMTAuMTAwNy9zNDAyNTgtMDIxLTAwNjYzLTMiLCJJU1NOIjoiMTE3NS01NjUyIiwiYXV0aG9yIjpbeyJkcm9wcGluZy1wYXJ0aWNsZSI6IiIsImZhbWlseSI6Ik1hcnRpbiIsImdpdmVuIjoiU3RlcGhlbiIsIm5vbi1kcm9wcGluZy1wYXJ0aWNsZSI6IiIsInBhcnNlLW5hbWVzIjpmYWxzZSwic3VmZml4IjoiIn0seyJkcm9wcGluZy1wYXJ0aWNsZSI6IiIsImZhbWlseSI6IkxvbWFzIiwiZ2l2ZW4iOiJKYW1lcyIsIm5vbi1kcm9wcGluZy1wYXJ0aWNsZSI6IiIsInBhcnNlLW5hbWVzIjpmYWxzZSwic3VmZml4IjoiIn0seyJkcm9wcGluZy1wYXJ0aWNsZSI6IiIsImZhbWlseSI6IkNsYXh0b24iLCJnaXZlbiI6IkthcmwiLCJub24tZHJvcHBpbmctcGFydGljbGUiOiIiLCJwYXJzZS1uYW1lcyI6ZmFsc2UsInN1ZmZpeCI6IiJ9LHsiZHJvcHBpbmctcGFydGljbGUiOiIiLCJmYW1pbHkiOiJMb25nbyIsImdpdmVuIjoiRnJhbmNlc2NvIiwibm9uLWRyb3BwaW5nLXBhcnRpY2xlIjoiIiwicGFyc2UtbmFtZXMiOmZhbHNlLCJzdWZmaXgiOiIifV0sImNvbnRhaW5lci10aXRsZSI6IkFwcGxpZWQgSGVhbHRoIEVjb25vbWljcyBhbmQgSGVhbHRoIFBvbGljeSIsImlkIjoiYjIxNzRkMjQtNmI3Yy01NDQ3LWIwNDUtMjQ3NTY0NmJhNjU2IiwiaXNzdWVkIjp7ImRhdGUtcGFydHMiOltbIjIwMjEiLCI3Il1dfSwidGl0bGUiOiJIb3cgRWZmZWN0aXZlIGlzIE1hcmdpbmFsIEhlYWx0aGNhcmUgRXhwZW5kaXR1cmU/IE5ldyBFdmlkZW5jZSBmcm9tIEVuZ2xhbmQgZm9yIDIwMDMvMDQgdG8gMjAxMi8xMyIsInR5cGUiOiJhcnRpY2xlLWpvdXJuYWwiLCJjb250YWluZXItdGl0bGUtc2hvcnQiOiJBcHBsIEhlYWx0aCBFY29uIEhlYWx0aCBQb2xpY3kifSwidXJpcyI6WyJodHRwOi8vd3d3Lm1lbmRlbGV5LmNvbS9kb2N1bWVudHMvP3V1aWQ9ZWJjYjBlNjAtYzEzYy00MjY5LTlhODktYjRhZGZhMWZjZjBjIl0sImlzVGVtcG9yYXJ5IjpmYWxzZSwibGVnYWN5RGVza3RvcElkIjoiZWJjYjBlNjAtYzEzYy00MjY5LTlhODktYjRhZGZhMWZjZjBjIn0seyJpZCI6ImVlNDE3MWI4LWY1YmUtNWEyZC05ZTQ0LWMyN2YwMDQ1Yzc5MCIsIml0ZW1EYXRhIjp7IkRPSSI6IjEwLjMzMTAvaHRhMTkxNDAiLCJJU1NOIjoiMjA0Ni00OTI0IiwiUE1JRCI6IjI1NjkyMjExIiwiYWJzdHJhY3QiOiJCQUNLR1JPVU5EOiBDb3N0LWVmZmVjdGl2ZW5lc3MgYW5hbHlzaXMgaW52b2x2ZXMgdGhlIGNvbXBhcmlzb24gb2YgdGhlIGluY3JlbWVudGFsIGNvc3QtZWZmZWN0aXZlbmVzcyByYXRpbyBvZiBhIG5ldyB0ZWNobm9sb2d5LCB3aGljaCBpcyBtb3JlIGNvc3RseSB0aGFuIGV4aXN0aW5nIGFsdGVybmF0aXZlcywgd2l0aCB0aGUgY29zdC1lZmZlY3RpdmVuZXNzIHRocmVzaG9sZC4gVGhpcyBpbmRpY2F0ZXMgd2hldGhlciBvciBub3QgdGhlIGhlYWx0aCBleHBlY3RlZCB0byBiZSBnYWluZWQgZnJvbSBpdHMgdXNlIGV4Y2VlZHMgdGhlIGhlYWx0aCBleHBlY3RlZCB0byBiZSBsb3N0IGVsc2V3aGVyZSBhcyBvdGhlciBoZWFsdGgtY2FyZSBhY3Rpdml0aWVzIGFyZSBkaXNwbGFjZWQuIFRoZSB0aHJlc2hvbGQgdGhlcmVmb3JlIHJlcHJlc2VudHMgdGhlIGFkZGl0aW9uYWwgY29zdCB0aGF0IGhhcyB0byBiZSBpbXBvc2VkIG9uIHRoZSBzeXN0ZW0gdG8gZm9yZ28gMSBxdWFsaXR5LWFkanVzdGVkIGxpZmUteWVhciAoUUFMWSkgb2YgaGVhbHRoIHRocm91Z2ggZGlzcGxhY2VtZW50LiBUaGVyZSBhcmUgbm8gZW1waXJpY2FsIGVzdGltYXRlcyBvZiB0aGUgY29zdC1lZmZlY3RpdmVuZXNzIHRocmVzaG9sZCB1c2VkIGJ5IHRoZSBOYXRpb25hbCBJbnN0aXR1dGUgZm9yIEhlYWx0aCBhbmQgQ2FyZSBFeGNlbGxlbmNlLiBPQkpFQ1RJVkVTOiAoMSkgVG8gcHJvdmlkZSBhIGNvbmNlcHR1YWwgZnJhbWV3b3JrIHRvIGRlZmluZSB0aGUgY29zdC1lZmZlY3RpdmVuZXNzIHRocmVzaG9sZCBhbmQgdG8gcHJvdmlkZSB0aGUgYmFzaXMgZm9yIGl0cyBlbXBpcmljYWwgZXN0aW1hdGlvbi4gKDIpIFVzaW5nIHByb2dyYW1tZSBidWRnZXRpbmcgZGF0YSBmb3IgdGhlIEVuZ2xpc2ggTkhTLCB0byBlc3RpbWF0ZSB0aGUgcmVsYXRpb25zaGlwIGJldHdlZW4gY2hhbmdlcyBpbiBvdmVyYWxsIE5IUyBleHBlbmRpdHVyZSBhbmQgY2hhbmdlcyBpbiBtb3J0YWxpdHkuICgzKSBUbyBleHRlbmQgdGhpcyBtb3J0YWxpdHkgbWVhc3VyZSBvZiB0aGUgaGVhbHRoIGVmZmVjdHMgb2YgYSBjaGFuZ2UgaW4gZXhwZW5kaXR1cmUgdG8gbGlmZS15ZWFycyBhbmQgdG8gUUFMWXMgYnkgZXN0aW1hdGluZyB0aGUgcXVhbGl0eS1vZi1saWZlIChRb0wpIGFzc29jaWF0ZWQgd2l0aCBlZmZlY3RzIG9uIHllYXJzIG9mIGxpZmUgYW5kIHRoZSBhZGRpdGlvbmFsIGRpcmVjdCBpbXBhY3Qgb24gUW9MIGl0c2VsZi4gKDQpIFRvIHByZXNlbnQgdGhlIGJlc3QgZXN0aW1hdGUgb2YgdGhlIGNvc3QtZWZmZWN0aXZlbmVzcyB0aHJlc2hvbGQgZm9yIHBvbGljeSBwdXJwb3Nlcy4gTUVUSE9EUzogRWFybGllciBlY29ub21ldHJpYyBhbmFseXNpcyBlc3RpbWF0ZWQgdGhlIHJlbGF0aW9uc2hpcCBiZXR3ZWVuIGRpZmZlcmVuY2VzIGluIHByaW1hcnkgY2FyZSB0cnVzdCAoUENUKSBzcGVuZGluZywgYWNyb3NzIHByb2dyYW1tZSBidWRnZXQgY2F0ZWdvcmllcyAoUEJDcyksIGFuZCBhc3NvY2lhdGVkIGRpc2Vhc2Utc3BlY2lmaWMgbW9ydGFsaXR5LiBUaGlzIHJlc2VhcmNoIGlzIGV4dGVuZGVkIGluIHNldmVyYWwgd2F5cyBpbmNsdWRpbmcgZXN0aW1hdGluZyB0aGUgaW1wYWN0IG9mIG1hcmdpbmFsIGluY3JlYXNlcyBvciBkZWNyZWFzZXMgaW4gb3ZlcmFsbCBOSFMgZXhwZW5kaXR1cmUgb24gc3BlbmRpbmcgaW4gZWFjaCBvZiB0aGUgMjMgUEJDcy4gRnVydGhlciBzdGFnZXMgb2Ygd29yayBsaW5rIHRoZSBlY29ub21ldHJpY3MgdG8gYnJvYWRlciBoZWFsdGggZWZmZWN0cyBpbiB0ZXJtcyBvZiBRQUxZcy4gUkVTVUxUUzogVGhlIG1vc3QgcmVsZXZhbnQgJ2NlbnRyYWwnIHRocmVzaG9sZCBpcyBlc3RpbWF0ZWQgdG8gYmUgwqMxMiw5MzYgcGVyIFFBTFkgKDIwMDggZXhwZW5kaXR1cmUsIDIwMDgtMTAgbW9ydGFsaXR5KS4gVW5jZXJ0YWludHkgYW5hbHlzaXMgaW5kaWNhdGVzIHRoYXQgdGhlIHByb2JhYmlsaXR5IHRoYXQgdGhlIHRocmVzaG9sZCBpcyA8IMKjMjAsMDAwIHBlciBRQUxZIGlzIDAuODkgYW5kIHRoZSBwcm9iYWJpbGl0eSB0aGF0IGl0IGlzIDwgwqMzMCwwMDAgcGVyIFFBTFkgaXMgMC45Ny4gQWRkaXRpb25hbCAnc3RydWN0dXJhbCcgdW5jZXJ0YWludHkgc3VnZ2VzdHMsIG9uIGJhbGFuY2UsIHRoYXQgdGhlIGNlbnRyYWwgb3IgYmVzdCBlc3RpbWF0ZSBpcywgaWYgYW55dGhpbmcsIGxpa2VseSB0byBiZSBhbiBvdmVyZXN0aW1hdGUuIFRoZSBoZWFsdGggZWZmZWN0cyBvZiBjaGFuZ2VzIGluIGV4cGVuZGl0dXJlIGFyZSBncmVhdGVyIHdoZW4gUENUcyBhcmUgdW5kZXIgbW9yZSBmaW5hbmNpYWwgcHJlc3N1cmUgYW5kIGFyZSBtb3JlIGxpa2VseSB0byBiZSBkaXNpbnZlc3RpbmcgdGhhbiBpbnZlc3RpbmcuIFRoaXMgaW5kaWNhdGVzIHRoYXQgdGhlIGNlbnRyYWwgZXN0aW1hdGUgb2YgdGhlIHRocmVzaG9sZCBpcyBsaWtlbHkgdG8gYmUgYW4gb3ZlcmVzdGltYXRlIGZvciBhbGwgdGVjaG5vbG9naWVzIHdoaWNoIGltcG9zZSBu4oCmIiwiYXV0aG9yIjpbeyJkcm9wcGluZy1wYXJ0aWNsZSI6IiIsImZhbWlseSI6IkNsYXh0b24iLCJnaXZlbiI6IkthcmwiLCJub24tZHJvcHBpbmctcGFydGljbGUiOiIiLCJwYXJzZS1uYW1lcyI6ZmFsc2UsInN1ZmZpeCI6IiJ9LHsiZHJvcHBpbmctcGFydGljbGUiOiIiLCJmYW1pbHkiOiJNYXJ0aW4iLCJnaXZlbiI6IlN0ZXZlIiwibm9uLWRyb3BwaW5nLXBhcnRpY2xlIjoiIiwicGFyc2UtbmFtZXMiOmZhbHNlLCJzdWZmaXgiOiIifSx7ImRyb3BwaW5nLXBhcnRpY2xlIjoiIiwiZmFtaWx5IjoiU29hcmVzIiwiZ2l2ZW4iOiJNYXJ0YSIsIm5vbi1kcm9wcGluZy1wYXJ0aWNsZSI6IiIsInBhcnNlLW5hbWVzIjpmYWxzZSwic3VmZml4IjoiIn0seyJkcm9wcGluZy1wYXJ0aWNsZSI6IiIsImZhbWlseSI6IlJpY2UiLCJnaXZlbiI6Ik5pZ2VsIiwibm9uLWRyb3BwaW5nLXBhcnRpY2xlIjoiIiwicGFyc2UtbmFtZXMiOmZhbHNlLCJzdWZmaXgiOiIifSx7ImRyb3BwaW5nLXBhcnRpY2xlIjoiIiwiZmFtaWx5IjoiU3BhY2ttYW4iLCJnaXZlbiI6IkVsZG9uIiwibm9uLWRyb3BwaW5nLXBhcnRpY2xlIjoiIiwicGFyc2UtbmFtZXMiOmZhbHNlLCJzdWZmaXgiOiIifSx7ImRyb3BwaW5nLXBhcnRpY2xlIjoiIiwiZmFtaWx5IjoiSGluZGUiLCJnaXZlbiI6IlNlYmFzdGlhbiIsIm5vbi1kcm9wcGluZy1wYXJ0aWNsZSI6IiIsInBhcnNlLW5hbWVzIjpmYWxzZSwic3VmZml4IjoiIn0seyJkcm9wcGluZy1wYXJ0aWNsZSI6IiIsImZhbWlseSI6IkRldmxpbiIsImdpdmVuIjoiTmFuY3kiLCJub24tZHJvcHBpbmctcGFydGljbGUiOiIiLCJwYXJzZS1uYW1lcyI6ZmFsc2UsInN1ZmZpeCI6IiJ9LHsiZHJvcHBpbmctcGFydGljbGUiOiIiLCJmYW1pbHkiOiJTbWl0aCIsImdpdmVuIjoiUGV0ZXIgQyIsIm5vbi1kcm9wcGluZy1wYXJ0aWNsZSI6IiIsInBhcnNlLW5hbWVzIjpmYWxzZSwic3VmZml4IjoiIn0seyJkcm9wcGluZy1wYXJ0aWNsZSI6IiIsImZhbWlseSI6IlNjdWxwaGVyIiwiZ2l2ZW4iOiJNYXJrIiwibm9uLWRyb3BwaW5nLXBhcnRpY2xlIjoiIiwicGFyc2UtbmFtZXMiOmZhbHNlLCJzdWZmaXgiOiIifV0sImNvbnRhaW5lci10aXRsZSI6IkhlYWx0aCB0ZWNobm9sb2d5IGFzc2Vzc21lbnQgKFdpbmNoZXN0ZXIsIEVuZ2xhbmQpIiwiaWQiOiJlZTQxNzFiOC1mNWJlLTVhMmQtOWU0NC1jMjdmMDA0NWM3OTAiLCJpc3N1ZSI6IjE0IiwiaXNzdWVkIjp7ImRhdGUtcGFydHMiOltbIjIwMTUiLCIyIl1dfSwicGFnZSI6IjEtNTAzLCB2LXZpIiwidGl0bGUiOiJNZXRob2RzIGZvciB0aGUgZXN0aW1hdGlvbiBvZiB0aGUgTmF0aW9uYWwgSW5zdGl0dXRlIGZvciBIZWFsdGggYW5kIENhcmUgRXhjZWxsZW5jZSBjb3N0LWVmZmVjdGl2ZW5lc3MgdGhyZXNob2xkLiIsInR5cGUiOiJhcnRpY2xlLWpvdXJuYWwiLCJ2b2x1bWUiOiIxOSIsImNvbnRhaW5lci10aXRsZS1zaG9ydCI6IkhlYWx0aCBUZWNobm9sIEFzc2VzcyJ9LCJ1cmlzIjpbImh0dHA6Ly93d3cubWVuZGVsZXkuY29tL2RvY3VtZW50cy8/dXVpZD0xOTZmYmUzOC1lZmM4LTQ3YWYtYWY0Ni1mNTY1MGM4ZWQ1MTUiXSwiaXNUZW1wb3JhcnkiOmZhbHNlLCJsZWdhY3lEZXNrdG9wSWQiOiIxOTZmYmUzOC1lZmM4LTQ3YWYtYWY0Ni1mNTY1MGM4ZWQ1MTUifV19&quot;,&quot;citationItems&quot;:[{&quot;id&quot;:&quot;b2174d24-6b7c-5447-b045-2475646ba656&quot;,&quot;itemData&quot;:{&quot;DOI&quot;:&quot;10.1007/s40258-021-00663-3&quot;,&quot;ISSN&quot;:&quot;1175-5652&quot;,&quot;author&quot;:[{&quot;dropping-particle&quot;:&quot;&quot;,&quot;family&quot;:&quot;Martin&quot;,&quot;given&quot;:&quot;Stephen&quot;,&quot;non-dropping-particle&quot;:&quot;&quot;,&quot;parse-names&quot;:false,&quot;suffix&quot;:&quot;&quot;},{&quot;dropping-particle&quot;:&quot;&quot;,&quot;family&quot;:&quot;Lomas&quot;,&quot;given&quot;:&quot;James&quot;,&quot;non-dropping-particle&quot;:&quot;&quot;,&quot;parse-names&quot;:false,&quot;suffix&quot;:&quot;&quot;},{&quot;dropping-particle&quot;:&quot;&quot;,&quot;family&quot;:&quot;Claxton&quot;,&quot;given&quot;:&quot;Karl&quot;,&quot;non-dropping-particle&quot;:&quot;&quot;,&quot;parse-names&quot;:false,&quot;suffix&quot;:&quot;&quot;},{&quot;dropping-particle&quot;:&quot;&quot;,&quot;family&quot;:&quot;Longo&quot;,&quot;given&quot;:&quot;Francesco&quot;,&quot;non-dropping-particle&quot;:&quot;&quot;,&quot;parse-names&quot;:false,&quot;suffix&quot;:&quot;&quot;}],&quot;container-title&quot;:&quot;Applied Health Economics and Health Policy&quot;,&quot;id&quot;:&quot;b2174d24-6b7c-5447-b045-2475646ba656&quot;,&quot;issued&quot;:{&quot;date-parts&quot;:[[&quot;2021&quot;,&quot;7&quot;]]},&quot;title&quot;:&quot;How Effective is Marginal Healthcare Expenditure? New Evidence from England for 2003/04 to 2012/13&quot;,&quot;type&quot;:&quot;article-journal&quot;,&quot;container-title-short&quot;:&quot;Appl Health Econ Health Policy&quot;},&quot;uris&quot;:[&quot;http://www.mendeley.com/documents/?uuid=ebcb0e60-c13c-4269-9a89-b4adfa1fcf0c&quot;],&quot;isTemporary&quot;:false,&quot;legacyDesktopId&quot;:&quot;ebcb0e60-c13c-4269-9a89-b4adfa1fcf0c&quot;},{&quot;id&quot;:&quot;ee4171b8-f5be-5a2d-9e44-c27f0045c790&quot;,&quot;itemData&quot;:{&quot;DOI&quot;:&quot;10.3310/hta19140&quot;,&quot;ISSN&quot;:&quot;2046-4924&quot;,&quot;PMID&quot;:&quot;25692211&quot;,&quot;abstract&quot;:&quot;BACKGROUND: Cost-effectiveness analysis involves the comparison of the incremental cost-effectiveness ratio of a new technology, which is more costly than existing alternatives, with the cost-effectiveness threshold. This indicates whether or not the health expected to be gained from its use exceeds the health expected to be lost elsewhere as other health-care activities are displaced. The threshold therefore represents the additional cost that has to be imposed on the system to forgo 1 quality-adjusted life-year (QALY) of health through displacement. There are no empirical estimates of the cost-effectiveness threshold used by the National Institute for Health and Care Excellence. OBJECTIVES: (1) To provide a conceptual framework to define the cost-effectiveness threshold and to provide the basis for its empirical estimation. (2) Using programme budgeting data for the English NHS, to estimate the relationship between changes in overall NHS expenditure and changes in mortality. (3) To extend this mortality measure of the health effects of a change in expenditure to life-years and to QALYs by estimating the quality-of-life (QoL) associated with effects on years of life and the additional direct impact on QoL itself. (4) To present the best estimate of the cost-effectiveness threshold for policy purposes. METHODS: Earlier econometric analysis estimated the relationship between differences in primary care trust (PCT) spending, across programme budget categories (PBCs), and associated disease-specific mortality. This research is extended in several ways including estimating the impact of marginal increases or decreases in overall NHS expenditure on spending in each of the 23 PBCs. Further stages of work link the econometrics to broader health effects in terms of QALYs. RESULTS: The most relevant 'central' threshold is estimated to be £12,936 per QALY (2008 expenditure, 2008-10 mortality). Uncertainty analysis indicates that the probability that the threshold is &lt; £20,000 per QALY is 0.89 and the probability that it is &lt; £30,000 per QALY is 0.97. Additional 'structural' uncertainty suggests, on balance, that the central or best estimate is, if anything, likely to be an overestimate. The health effects of changes in expenditure are greater when PCTs are under more financial pressure and are more likely to be disinvesting than investing. This indicates that the central estimate of the threshold is likely to be an overestimate for all technologies which impose n…&quot;,&quot;author&quot;:[{&quot;dropping-particle&quot;:&quot;&quot;,&quot;family&quot;:&quot;Claxton&quot;,&quot;given&quot;:&quot;Karl&quot;,&quot;non-dropping-particle&quot;:&quot;&quot;,&quot;parse-names&quot;:false,&quot;suffix&quot;:&quot;&quot;},{&quot;dropping-particle&quot;:&quot;&quot;,&quot;family&quot;:&quot;Martin&quot;,&quot;given&quot;:&quot;Steve&quot;,&quot;non-dropping-particle&quot;:&quot;&quot;,&quot;parse-names&quot;:false,&quot;suffix&quot;:&quot;&quot;},{&quot;dropping-particle&quot;:&quot;&quot;,&quot;family&quot;:&quot;Soares&quot;,&quot;given&quot;:&quot;Marta&quot;,&quot;non-dropping-particle&quot;:&quot;&quot;,&quot;parse-names&quot;:false,&quot;suffix&quot;:&quot;&quot;},{&quot;dropping-particle&quot;:&quot;&quot;,&quot;family&quot;:&quot;Rice&quot;,&quot;given&quot;:&quot;Nigel&quot;,&quot;non-dropping-particle&quot;:&quot;&quot;,&quot;parse-names&quot;:false,&quot;suffix&quot;:&quot;&quot;},{&quot;dropping-particle&quot;:&quot;&quot;,&quot;family&quot;:&quot;Spackman&quot;,&quot;given&quot;:&quot;Eldon&quot;,&quot;non-dropping-particle&quot;:&quot;&quot;,&quot;parse-names&quot;:false,&quot;suffix&quot;:&quot;&quot;},{&quot;dropping-particle&quot;:&quot;&quot;,&quot;family&quot;:&quot;Hinde&quot;,&quot;given&quot;:&quot;Sebastian&quot;,&quot;non-dropping-particle&quot;:&quot;&quot;,&quot;parse-names&quot;:false,&quot;suffix&quot;:&quot;&quot;},{&quot;dropping-particle&quot;:&quot;&quot;,&quot;family&quot;:&quot;Devlin&quot;,&quot;given&quot;:&quot;Nancy&quot;,&quot;non-dropping-particle&quot;:&quot;&quot;,&quot;parse-names&quot;:false,&quot;suffix&quot;:&quot;&quot;},{&quot;dropping-particle&quot;:&quot;&quot;,&quot;family&quot;:&quot;Smith&quot;,&quot;given&quot;:&quot;Peter C&quot;,&quot;non-dropping-particle&quot;:&quot;&quot;,&quot;parse-names&quot;:false,&quot;suffix&quot;:&quot;&quot;},{&quot;dropping-particle&quot;:&quot;&quot;,&quot;family&quot;:&quot;Sculpher&quot;,&quot;given&quot;:&quot;Mark&quot;,&quot;non-dropping-particle&quot;:&quot;&quot;,&quot;parse-names&quot;:false,&quot;suffix&quot;:&quot;&quot;}],&quot;container-title&quot;:&quot;Health technology assessment (Winchester, England)&quot;,&quot;id&quot;:&quot;ee4171b8-f5be-5a2d-9e44-c27f0045c790&quot;,&quot;issue&quot;:&quot;14&quot;,&quot;issued&quot;:{&quot;date-parts&quot;:[[&quot;2015&quot;,&quot;2&quot;]]},&quot;page&quot;:&quot;1-503, v-vi&quot;,&quot;title&quot;:&quot;Methods for the estimation of the National Institute for Health and Care Excellence cost-effectiveness threshold.&quot;,&quot;type&quot;:&quot;article-journal&quot;,&quot;volume&quot;:&quot;19&quot;,&quot;container-title-short&quot;:&quot;Health Technol Assess&quot;},&quot;uris&quot;:[&quot;http://www.mendeley.com/documents/?uuid=196fbe38-efc8-47af-af46-f5650c8ed515&quot;],&quot;isTemporary&quot;:false,&quot;legacyDesktopId&quot;:&quot;196fbe38-efc8-47af-af46-f5650c8ed51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CD896-13C6-4388-8DAB-71567D4DE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644</Words>
  <Characters>3672</Characters>
  <Application>Microsoft Office Word</Application>
  <DocSecurity>0</DocSecurity>
  <Lines>30</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Vallejo Torres</dc:creator>
  <cp:keywords/>
  <dc:description/>
  <cp:lastModifiedBy>Sheela Devi R Rajendran K</cp:lastModifiedBy>
  <cp:revision>167</cp:revision>
  <cp:lastPrinted>2023-05-24T08:48:00Z</cp:lastPrinted>
  <dcterms:created xsi:type="dcterms:W3CDTF">2024-10-10T22:18:00Z</dcterms:created>
  <dcterms:modified xsi:type="dcterms:W3CDTF">2024-10-12T14:47:00Z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http://www.zotero.org/styles/applied-health-economics-and-health-policy</vt:lpwstr>
  </property>
  <property fmtid="{D5CDD505-2E9C-101B-9397-08002B2CF9AE}" pid="3" name="Mendeley Recent Style Name 0_1">
    <vt:lpwstr>Applied Health Economics and Health Policy</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http://www.zotero.org/styles/frontiers</vt:lpwstr>
  </property>
  <property fmtid="{D5CDD505-2E9C-101B-9397-08002B2CF9AE}" pid="9" name="Mendeley Recent Style Name 3_1">
    <vt:lpwstr>Frontiers journals</vt:lpwstr>
  </property>
  <property fmtid="{D5CDD505-2E9C-101B-9397-08002B2CF9AE}" pid="10" name="Mendeley Recent Style Id 4_1">
    <vt:lpwstr>http://www.zotero.org/styles/gaceta-sanitaria</vt:lpwstr>
  </property>
  <property fmtid="{D5CDD505-2E9C-101B-9397-08002B2CF9AE}" pid="11" name="Mendeley Recent Style Name 4_1">
    <vt:lpwstr>Gaceta Sanitaria (Spanish)</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http://www.zotero.org/styles/the-european-journal-of-health-economics</vt:lpwstr>
  </property>
  <property fmtid="{D5CDD505-2E9C-101B-9397-08002B2CF9AE}" pid="21" name="Mendeley Recent Style Name 9_1">
    <vt:lpwstr>The European Journal of Health Economics</vt:lpwstr>
  </property>
  <property fmtid="{D5CDD505-2E9C-101B-9397-08002B2CF9AE}" pid="22" name="Mendeley Document_1">
    <vt:lpwstr>True</vt:lpwstr>
  </property>
  <property fmtid="{D5CDD505-2E9C-101B-9397-08002B2CF9AE}" pid="23" name="Mendeley Unique User Id_1">
    <vt:lpwstr>42022735-b92d-3c1c-a812-eeceea380da0</vt:lpwstr>
  </property>
  <property fmtid="{D5CDD505-2E9C-101B-9397-08002B2CF9AE}" pid="24" name="Mendeley Citation Style_1">
    <vt:lpwstr>http://www.zotero.org/styles/applied-health-economics-and-health-policy</vt:lpwstr>
  </property>
</Properties>
</file>