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CB082" w14:textId="18243D79" w:rsidR="00E90958" w:rsidRPr="00C33017" w:rsidRDefault="00E90958" w:rsidP="00C33017">
      <w:pPr>
        <w:spacing w:after="240" w:line="360" w:lineRule="auto"/>
        <w:rPr>
          <w:rFonts w:ascii="Times New Roman" w:eastAsiaTheme="minorHAnsi" w:hAnsi="Times New Roman" w:cs="Times New Roman"/>
          <w:b/>
          <w:bCs/>
          <w:sz w:val="20"/>
          <w:szCs w:val="20"/>
        </w:rPr>
      </w:pPr>
      <w:r w:rsidRPr="00C33017">
        <w:rPr>
          <w:rFonts w:ascii="Times New Roman" w:eastAsiaTheme="minorHAnsi" w:hAnsi="Times New Roman" w:cs="Times New Roman"/>
          <w:b/>
          <w:bCs/>
          <w:sz w:val="20"/>
          <w:szCs w:val="20"/>
        </w:rPr>
        <w:t xml:space="preserve">Unravelling How Uncertainties in Model-based Economic Analysis </w:t>
      </w:r>
      <w:r w:rsidR="0079243A" w:rsidRPr="00C33017">
        <w:rPr>
          <w:rFonts w:ascii="Times New Roman" w:eastAsiaTheme="minorHAnsi" w:hAnsi="Times New Roman" w:cs="Times New Roman"/>
          <w:b/>
          <w:bCs/>
          <w:sz w:val="20"/>
          <w:szCs w:val="20"/>
        </w:rPr>
        <w:t xml:space="preserve">Were Associated </w:t>
      </w:r>
      <w:r w:rsidR="006B7319" w:rsidRPr="00C33017">
        <w:rPr>
          <w:rFonts w:ascii="Times New Roman" w:eastAsiaTheme="minorHAnsi" w:hAnsi="Times New Roman" w:cs="Times New Roman"/>
          <w:b/>
          <w:bCs/>
          <w:sz w:val="20"/>
          <w:szCs w:val="20"/>
        </w:rPr>
        <w:t>with Funding</w:t>
      </w:r>
      <w:r w:rsidRPr="00C33017">
        <w:rPr>
          <w:rFonts w:ascii="Times New Roman" w:eastAsiaTheme="minorHAnsi" w:hAnsi="Times New Roman" w:cs="Times New Roman"/>
          <w:b/>
          <w:bCs/>
          <w:sz w:val="20"/>
          <w:szCs w:val="20"/>
        </w:rPr>
        <w:t xml:space="preserve"> Recommendations of Medicines in Australia </w:t>
      </w:r>
    </w:p>
    <w:p w14:paraId="7A105B1A" w14:textId="77777777" w:rsidR="00C33017" w:rsidRPr="00C33017" w:rsidRDefault="0050205F" w:rsidP="00C33017">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5567DC">
        <w:rPr>
          <w:rFonts w:ascii="Times New Roman" w:eastAsiaTheme="minorHAnsi" w:hAnsi="Times New Roman" w:cs="Times New Roman"/>
          <w:kern w:val="2"/>
          <w:sz w:val="20"/>
          <w:szCs w:val="20"/>
        </w:rPr>
        <w:t xml:space="preserve">Appendix </w:t>
      </w:r>
      <w:r w:rsidR="006729BC" w:rsidRPr="005567DC">
        <w:rPr>
          <w:rFonts w:ascii="Times New Roman" w:eastAsiaTheme="minorHAnsi" w:hAnsi="Times New Roman" w:cs="Times New Roman"/>
          <w:kern w:val="2"/>
          <w:sz w:val="20"/>
          <w:szCs w:val="20"/>
        </w:rPr>
        <w:t>1</w:t>
      </w:r>
      <w:r w:rsidR="001D3E23" w:rsidRPr="005567DC">
        <w:rPr>
          <w:rFonts w:ascii="Times New Roman" w:eastAsiaTheme="minorHAnsi" w:hAnsi="Times New Roman" w:cs="Times New Roman"/>
          <w:kern w:val="2"/>
          <w:sz w:val="20"/>
          <w:szCs w:val="20"/>
        </w:rPr>
        <w:t xml:space="preserve">. </w:t>
      </w:r>
      <w:r w:rsidR="005567DC" w:rsidRPr="005567DC">
        <w:rPr>
          <w:rFonts w:ascii="Times New Roman" w:eastAsiaTheme="minorHAnsi" w:hAnsi="Times New Roman" w:cs="Times New Roman"/>
          <w:kern w:val="2"/>
          <w:sz w:val="20"/>
          <w:szCs w:val="20"/>
        </w:rPr>
        <w:t>A Guide for the measurement of four types of uncertainty</w:t>
      </w:r>
    </w:p>
    <w:p w14:paraId="5481EC75" w14:textId="21C768E8" w:rsidR="0050205F" w:rsidRPr="00810712" w:rsidRDefault="0050205F" w:rsidP="005567DC">
      <w:pPr>
        <w:pStyle w:val="1"/>
        <w:adjustRightInd w:val="0"/>
        <w:snapToGrid w:val="0"/>
        <w:spacing w:after="0" w:line="360" w:lineRule="auto"/>
        <w:rPr>
          <w:sz w:val="20"/>
          <w:szCs w:val="20"/>
        </w:rPr>
      </w:pPr>
      <w:r w:rsidRPr="00810712">
        <w:rPr>
          <w:sz w:val="20"/>
          <w:szCs w:val="20"/>
        </w:rPr>
        <w:t>INDEX: Table</w:t>
      </w:r>
      <w:r w:rsidR="008841F8" w:rsidRPr="00810712">
        <w:rPr>
          <w:sz w:val="20"/>
          <w:szCs w:val="20"/>
        </w:rPr>
        <w:t xml:space="preserve"> </w:t>
      </w:r>
      <w:r w:rsidRPr="00810712">
        <w:rPr>
          <w:sz w:val="20"/>
          <w:szCs w:val="20"/>
        </w:rPr>
        <w:t xml:space="preserve">included in Appendix </w:t>
      </w:r>
      <w:r w:rsidR="006729BC" w:rsidRPr="00810712">
        <w:rPr>
          <w:sz w:val="20"/>
          <w:szCs w:val="20"/>
        </w:rPr>
        <w:t>1</w:t>
      </w:r>
    </w:p>
    <w:p w14:paraId="17593400" w14:textId="6CC1FD5E" w:rsidR="0050205F" w:rsidRPr="00810712" w:rsidRDefault="0050205F" w:rsidP="006C41A0">
      <w:pPr>
        <w:pStyle w:val="1"/>
        <w:adjustRightInd w:val="0"/>
        <w:snapToGrid w:val="0"/>
        <w:spacing w:after="0" w:line="360" w:lineRule="auto"/>
        <w:rPr>
          <w:sz w:val="20"/>
          <w:szCs w:val="20"/>
        </w:rPr>
      </w:pPr>
      <w:r w:rsidRPr="00810712">
        <w:rPr>
          <w:sz w:val="20"/>
          <w:szCs w:val="20"/>
        </w:rPr>
        <w:t xml:space="preserve">Table </w:t>
      </w:r>
      <w:r w:rsidR="003A744A" w:rsidRPr="00810712">
        <w:rPr>
          <w:sz w:val="20"/>
          <w:szCs w:val="20"/>
        </w:rPr>
        <w:t>1-</w:t>
      </w:r>
      <w:r w:rsidRPr="00810712">
        <w:rPr>
          <w:sz w:val="20"/>
          <w:szCs w:val="20"/>
        </w:rPr>
        <w:t>1</w:t>
      </w:r>
      <w:r w:rsidR="0099753A" w:rsidRPr="00810712">
        <w:rPr>
          <w:sz w:val="20"/>
          <w:szCs w:val="20"/>
        </w:rPr>
        <w:t>.</w:t>
      </w:r>
      <w:r w:rsidRPr="00810712">
        <w:rPr>
          <w:sz w:val="20"/>
          <w:szCs w:val="20"/>
        </w:rPr>
        <w:t xml:space="preserve"> </w:t>
      </w:r>
      <w:r w:rsidR="00D929F0" w:rsidRPr="00810712">
        <w:rPr>
          <w:sz w:val="20"/>
          <w:szCs w:val="20"/>
        </w:rPr>
        <w:t xml:space="preserve">Summary of items in a reference case recommended by major </w:t>
      </w:r>
      <w:r w:rsidR="00823C35" w:rsidRPr="00810712">
        <w:rPr>
          <w:sz w:val="20"/>
          <w:szCs w:val="20"/>
        </w:rPr>
        <w:t>health technology assessment</w:t>
      </w:r>
      <w:r w:rsidR="00D929F0" w:rsidRPr="00810712">
        <w:rPr>
          <w:sz w:val="20"/>
          <w:szCs w:val="20"/>
        </w:rPr>
        <w:t xml:space="preserve"> </w:t>
      </w:r>
      <w:r w:rsidR="00890252">
        <w:rPr>
          <w:sz w:val="20"/>
          <w:szCs w:val="20"/>
        </w:rPr>
        <w:t>bodies</w:t>
      </w:r>
    </w:p>
    <w:p w14:paraId="0E35A5EC" w14:textId="2FFEDD0C" w:rsidR="001D3E23" w:rsidRPr="00810712" w:rsidRDefault="0050205F"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t xml:space="preserve">Appendix </w:t>
      </w:r>
      <w:r w:rsidR="006729BC" w:rsidRPr="00810712">
        <w:rPr>
          <w:rFonts w:ascii="Times New Roman" w:eastAsiaTheme="minorHAnsi" w:hAnsi="Times New Roman" w:cs="Times New Roman"/>
          <w:kern w:val="2"/>
          <w:sz w:val="20"/>
          <w:szCs w:val="20"/>
        </w:rPr>
        <w:t>2</w:t>
      </w:r>
      <w:r w:rsidR="001D3E23" w:rsidRPr="00810712">
        <w:rPr>
          <w:rFonts w:ascii="Times New Roman" w:eastAsiaTheme="minorHAnsi" w:hAnsi="Times New Roman" w:cs="Times New Roman"/>
          <w:kern w:val="2"/>
          <w:sz w:val="20"/>
          <w:szCs w:val="20"/>
        </w:rPr>
        <w:t>. Inclusion and exclusion criteria of medicine</w:t>
      </w:r>
      <w:r w:rsidR="006D2024">
        <w:rPr>
          <w:rFonts w:ascii="Times New Roman" w:eastAsiaTheme="minorHAnsi" w:hAnsi="Times New Roman" w:cs="Times New Roman"/>
          <w:kern w:val="2"/>
          <w:sz w:val="20"/>
          <w:szCs w:val="20"/>
        </w:rPr>
        <w:t>-</w:t>
      </w:r>
      <w:r w:rsidR="001D3E23" w:rsidRPr="00810712">
        <w:rPr>
          <w:rFonts w:ascii="Times New Roman" w:eastAsiaTheme="minorHAnsi" w:hAnsi="Times New Roman" w:cs="Times New Roman"/>
          <w:kern w:val="2"/>
          <w:sz w:val="20"/>
          <w:szCs w:val="20"/>
        </w:rPr>
        <w:t xml:space="preserve">indication pairs </w:t>
      </w:r>
    </w:p>
    <w:p w14:paraId="539480BB" w14:textId="7DCD9275" w:rsidR="0003028E" w:rsidRPr="00810712" w:rsidRDefault="0003028E" w:rsidP="00890554">
      <w:pPr>
        <w:pStyle w:val="Heading1"/>
        <w:adjustRightInd w:val="0"/>
        <w:snapToGrid w:val="0"/>
        <w:spacing w:before="120" w:after="120" w:line="360" w:lineRule="auto"/>
        <w:rPr>
          <w:rFonts w:ascii="Times New Roman" w:hAnsi="Times New Roman" w:cs="Times New Roman"/>
          <w:kern w:val="2"/>
          <w:sz w:val="20"/>
          <w:szCs w:val="20"/>
        </w:rPr>
      </w:pPr>
      <w:r w:rsidRPr="4F533E7D">
        <w:rPr>
          <w:rFonts w:ascii="Times New Roman" w:hAnsi="Times New Roman" w:cs="Times New Roman"/>
          <w:kern w:val="2"/>
          <w:sz w:val="20"/>
          <w:szCs w:val="20"/>
        </w:rPr>
        <w:t xml:space="preserve">Appendix </w:t>
      </w:r>
      <w:r w:rsidR="006729BC" w:rsidRPr="4F533E7D">
        <w:rPr>
          <w:rFonts w:ascii="Times New Roman" w:hAnsi="Times New Roman" w:cs="Times New Roman"/>
          <w:kern w:val="2"/>
          <w:sz w:val="20"/>
          <w:szCs w:val="20"/>
        </w:rPr>
        <w:t>3</w:t>
      </w:r>
      <w:r w:rsidR="00636806" w:rsidRPr="4F533E7D">
        <w:rPr>
          <w:rFonts w:ascii="Times New Roman" w:hAnsi="Times New Roman" w:cs="Times New Roman"/>
          <w:kern w:val="2"/>
          <w:sz w:val="20"/>
          <w:szCs w:val="20"/>
        </w:rPr>
        <w:t xml:space="preserve">. Agreement </w:t>
      </w:r>
      <w:r w:rsidR="300227B7" w:rsidRPr="4F533E7D">
        <w:rPr>
          <w:rFonts w:ascii="Times New Roman" w:hAnsi="Times New Roman" w:cs="Times New Roman"/>
          <w:kern w:val="2"/>
          <w:sz w:val="20"/>
          <w:szCs w:val="20"/>
        </w:rPr>
        <w:t xml:space="preserve">between </w:t>
      </w:r>
      <w:r w:rsidR="00636806" w:rsidRPr="4F533E7D">
        <w:rPr>
          <w:rFonts w:ascii="Times New Roman" w:hAnsi="Times New Roman" w:cs="Times New Roman"/>
          <w:kern w:val="2"/>
          <w:sz w:val="20"/>
          <w:szCs w:val="20"/>
        </w:rPr>
        <w:t xml:space="preserve">reviewers </w:t>
      </w:r>
      <w:r w:rsidR="766752B6" w:rsidRPr="4F533E7D">
        <w:rPr>
          <w:rFonts w:ascii="Times New Roman" w:hAnsi="Times New Roman" w:cs="Times New Roman"/>
          <w:kern w:val="2"/>
          <w:sz w:val="20"/>
          <w:szCs w:val="20"/>
        </w:rPr>
        <w:t>regarding abstracting from public summary documents (PSDs)</w:t>
      </w:r>
    </w:p>
    <w:p w14:paraId="0DC19EC9" w14:textId="4FEDB31F" w:rsidR="00636806" w:rsidRPr="00810712" w:rsidRDefault="00636806" w:rsidP="006C41A0">
      <w:pPr>
        <w:pStyle w:val="1"/>
        <w:adjustRightInd w:val="0"/>
        <w:snapToGrid w:val="0"/>
        <w:spacing w:after="0" w:line="360" w:lineRule="auto"/>
        <w:rPr>
          <w:sz w:val="20"/>
          <w:szCs w:val="20"/>
        </w:rPr>
      </w:pPr>
      <w:r w:rsidRPr="00810712">
        <w:rPr>
          <w:sz w:val="20"/>
          <w:szCs w:val="20"/>
        </w:rPr>
        <w:t xml:space="preserve">INDEX: Table included in Appendix </w:t>
      </w:r>
      <w:r w:rsidR="006729BC" w:rsidRPr="00810712">
        <w:rPr>
          <w:sz w:val="20"/>
          <w:szCs w:val="20"/>
        </w:rPr>
        <w:t>3</w:t>
      </w:r>
    </w:p>
    <w:p w14:paraId="1593C6AD" w14:textId="78A66438" w:rsidR="001D3E23" w:rsidRPr="00810712" w:rsidRDefault="001D3E23" w:rsidP="006C41A0">
      <w:pPr>
        <w:pStyle w:val="1"/>
        <w:adjustRightInd w:val="0"/>
        <w:snapToGrid w:val="0"/>
        <w:spacing w:after="0" w:line="360" w:lineRule="auto"/>
        <w:rPr>
          <w:sz w:val="20"/>
          <w:szCs w:val="20"/>
        </w:rPr>
      </w:pPr>
      <w:r w:rsidRPr="4F533E7D">
        <w:rPr>
          <w:sz w:val="20"/>
          <w:szCs w:val="20"/>
        </w:rPr>
        <w:t xml:space="preserve">Table </w:t>
      </w:r>
      <w:r w:rsidR="003A744A" w:rsidRPr="4F533E7D">
        <w:rPr>
          <w:sz w:val="20"/>
          <w:szCs w:val="20"/>
        </w:rPr>
        <w:t>3-1</w:t>
      </w:r>
      <w:r w:rsidR="0099753A" w:rsidRPr="4F533E7D">
        <w:rPr>
          <w:sz w:val="20"/>
          <w:szCs w:val="20"/>
        </w:rPr>
        <w:t>.</w:t>
      </w:r>
      <w:r w:rsidRPr="4F533E7D">
        <w:rPr>
          <w:sz w:val="20"/>
          <w:szCs w:val="20"/>
        </w:rPr>
        <w:t xml:space="preserve"> Agreement </w:t>
      </w:r>
      <w:r w:rsidR="1AA43A68" w:rsidRPr="4F533E7D">
        <w:rPr>
          <w:sz w:val="20"/>
          <w:szCs w:val="20"/>
        </w:rPr>
        <w:t xml:space="preserve">between </w:t>
      </w:r>
      <w:r w:rsidRPr="4F533E7D">
        <w:rPr>
          <w:sz w:val="20"/>
          <w:szCs w:val="20"/>
        </w:rPr>
        <w:t>reviewers</w:t>
      </w:r>
    </w:p>
    <w:p w14:paraId="23455A39" w14:textId="4721A449" w:rsidR="005040AF" w:rsidRPr="00810712" w:rsidRDefault="005040AF" w:rsidP="00890554">
      <w:pPr>
        <w:pStyle w:val="Heading1"/>
        <w:adjustRightInd w:val="0"/>
        <w:snapToGrid w:val="0"/>
        <w:spacing w:before="120" w:after="120" w:line="360" w:lineRule="auto"/>
        <w:rPr>
          <w:rFonts w:ascii="Times New Roman" w:hAnsi="Times New Roman" w:cs="Times New Roman"/>
          <w:sz w:val="20"/>
          <w:szCs w:val="20"/>
        </w:rPr>
      </w:pPr>
      <w:r w:rsidRPr="4F533E7D">
        <w:rPr>
          <w:rFonts w:ascii="Times New Roman" w:hAnsi="Times New Roman" w:cs="Times New Roman"/>
          <w:kern w:val="2"/>
          <w:sz w:val="20"/>
          <w:szCs w:val="20"/>
        </w:rPr>
        <w:t xml:space="preserve">Appendix </w:t>
      </w:r>
      <w:r w:rsidR="006729BC" w:rsidRPr="4F533E7D">
        <w:rPr>
          <w:rFonts w:ascii="Times New Roman" w:hAnsi="Times New Roman" w:cs="Times New Roman"/>
          <w:kern w:val="2"/>
          <w:sz w:val="20"/>
          <w:szCs w:val="20"/>
        </w:rPr>
        <w:t>4</w:t>
      </w:r>
      <w:r w:rsidRPr="4F533E7D">
        <w:rPr>
          <w:rFonts w:ascii="Times New Roman" w:hAnsi="Times New Roman" w:cs="Times New Roman"/>
          <w:kern w:val="2"/>
          <w:sz w:val="20"/>
          <w:szCs w:val="20"/>
        </w:rPr>
        <w:t>.</w:t>
      </w:r>
      <w:r w:rsidRPr="00810712">
        <w:rPr>
          <w:rFonts w:ascii="Times New Roman" w:hAnsi="Times New Roman" w:cs="Times New Roman"/>
          <w:sz w:val="20"/>
          <w:szCs w:val="20"/>
        </w:rPr>
        <w:t xml:space="preserve"> Description of variables identified</w:t>
      </w:r>
    </w:p>
    <w:p w14:paraId="5BBA4553" w14:textId="583620C7" w:rsidR="00260F37" w:rsidRPr="00810712" w:rsidRDefault="00260F37" w:rsidP="006C41A0">
      <w:pPr>
        <w:pStyle w:val="1"/>
        <w:adjustRightInd w:val="0"/>
        <w:snapToGrid w:val="0"/>
        <w:spacing w:after="0" w:line="360" w:lineRule="auto"/>
        <w:rPr>
          <w:sz w:val="20"/>
          <w:szCs w:val="20"/>
        </w:rPr>
      </w:pPr>
      <w:r w:rsidRPr="00810712">
        <w:rPr>
          <w:sz w:val="20"/>
          <w:szCs w:val="20"/>
        </w:rPr>
        <w:t xml:space="preserve">INDEX: Table included in Appendix </w:t>
      </w:r>
      <w:r w:rsidR="006729BC" w:rsidRPr="00810712">
        <w:rPr>
          <w:sz w:val="20"/>
          <w:szCs w:val="20"/>
        </w:rPr>
        <w:t>4</w:t>
      </w:r>
    </w:p>
    <w:p w14:paraId="503CFCEE" w14:textId="4CB518DF" w:rsidR="00260F37" w:rsidRPr="00810712" w:rsidRDefault="00260F37" w:rsidP="006C41A0">
      <w:pPr>
        <w:pStyle w:val="1"/>
        <w:adjustRightInd w:val="0"/>
        <w:snapToGrid w:val="0"/>
        <w:spacing w:after="0" w:line="360" w:lineRule="auto"/>
        <w:rPr>
          <w:sz w:val="20"/>
          <w:szCs w:val="20"/>
        </w:rPr>
      </w:pPr>
      <w:r w:rsidRPr="4F533E7D">
        <w:rPr>
          <w:sz w:val="20"/>
          <w:szCs w:val="20"/>
        </w:rPr>
        <w:t xml:space="preserve">Table </w:t>
      </w:r>
      <w:r w:rsidR="003A744A" w:rsidRPr="4F533E7D">
        <w:rPr>
          <w:sz w:val="20"/>
          <w:szCs w:val="20"/>
        </w:rPr>
        <w:t>4-1</w:t>
      </w:r>
      <w:r w:rsidR="0099753A" w:rsidRPr="4F533E7D">
        <w:rPr>
          <w:sz w:val="20"/>
          <w:szCs w:val="20"/>
        </w:rPr>
        <w:t>.</w:t>
      </w:r>
      <w:r w:rsidRPr="4F533E7D">
        <w:rPr>
          <w:sz w:val="20"/>
          <w:szCs w:val="20"/>
        </w:rPr>
        <w:t xml:space="preserve"> Description of variables </w:t>
      </w:r>
      <w:r w:rsidR="002032B7" w:rsidRPr="4F533E7D">
        <w:rPr>
          <w:sz w:val="20"/>
          <w:szCs w:val="20"/>
        </w:rPr>
        <w:t>identified.</w:t>
      </w:r>
    </w:p>
    <w:p w14:paraId="417B817E" w14:textId="40978CC0" w:rsidR="00D239A3" w:rsidRPr="00810712" w:rsidRDefault="00D239A3"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t xml:space="preserve">Appendix </w:t>
      </w:r>
      <w:r>
        <w:rPr>
          <w:rFonts w:ascii="Times New Roman" w:eastAsiaTheme="minorHAnsi" w:hAnsi="Times New Roman" w:cs="Times New Roman"/>
          <w:kern w:val="2"/>
          <w:sz w:val="20"/>
          <w:szCs w:val="20"/>
        </w:rPr>
        <w:t>5</w:t>
      </w:r>
      <w:r w:rsidRPr="00810712">
        <w:rPr>
          <w:rFonts w:ascii="Times New Roman" w:eastAsiaTheme="minorHAnsi" w:hAnsi="Times New Roman" w:cs="Times New Roman"/>
          <w:kern w:val="2"/>
          <w:sz w:val="20"/>
          <w:szCs w:val="20"/>
        </w:rPr>
        <w:t>. Flow diagram for medicine-indication pairs included</w:t>
      </w:r>
    </w:p>
    <w:p w14:paraId="3A23A799" w14:textId="77777777" w:rsidR="00D239A3" w:rsidRPr="00810712" w:rsidRDefault="00D239A3" w:rsidP="006C41A0">
      <w:pPr>
        <w:pStyle w:val="1"/>
        <w:adjustRightInd w:val="0"/>
        <w:snapToGrid w:val="0"/>
        <w:spacing w:after="0" w:line="360" w:lineRule="auto"/>
        <w:rPr>
          <w:sz w:val="20"/>
          <w:szCs w:val="20"/>
        </w:rPr>
      </w:pPr>
      <w:r w:rsidRPr="00810712">
        <w:rPr>
          <w:sz w:val="20"/>
          <w:szCs w:val="20"/>
        </w:rPr>
        <w:t>INDEX: Figure included in Appendix 5</w:t>
      </w:r>
    </w:p>
    <w:p w14:paraId="04E176D9" w14:textId="1130E2E9" w:rsidR="00D239A3" w:rsidRDefault="00D239A3" w:rsidP="006C41A0">
      <w:pPr>
        <w:pStyle w:val="1"/>
        <w:adjustRightInd w:val="0"/>
        <w:snapToGrid w:val="0"/>
        <w:spacing w:after="0" w:line="360" w:lineRule="auto"/>
        <w:rPr>
          <w:sz w:val="20"/>
          <w:szCs w:val="20"/>
        </w:rPr>
      </w:pPr>
      <w:r w:rsidRPr="00810712">
        <w:rPr>
          <w:sz w:val="20"/>
          <w:szCs w:val="20"/>
        </w:rPr>
        <w:t xml:space="preserve">Figure 5-1. Flowchart for medicine-indication pairs </w:t>
      </w:r>
      <w:r w:rsidR="002032B7" w:rsidRPr="00810712">
        <w:rPr>
          <w:sz w:val="20"/>
          <w:szCs w:val="20"/>
        </w:rPr>
        <w:t>included</w:t>
      </w:r>
    </w:p>
    <w:p w14:paraId="7C4674DB" w14:textId="39D368E2" w:rsidR="003153D2" w:rsidRPr="00810712" w:rsidRDefault="003153D2"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t xml:space="preserve">Appendix </w:t>
      </w:r>
      <w:r w:rsidR="00D239A3">
        <w:rPr>
          <w:rFonts w:ascii="Times New Roman" w:eastAsiaTheme="minorHAnsi" w:hAnsi="Times New Roman" w:cs="Times New Roman"/>
          <w:kern w:val="2"/>
          <w:sz w:val="20"/>
          <w:szCs w:val="20"/>
        </w:rPr>
        <w:t>6</w:t>
      </w:r>
      <w:r w:rsidRPr="00810712">
        <w:rPr>
          <w:rFonts w:ascii="Times New Roman" w:eastAsiaTheme="minorHAnsi" w:hAnsi="Times New Roman" w:cs="Times New Roman"/>
          <w:kern w:val="2"/>
          <w:sz w:val="20"/>
          <w:szCs w:val="20"/>
        </w:rPr>
        <w:t xml:space="preserve">. </w:t>
      </w:r>
      <w:r w:rsidR="006D2024">
        <w:rPr>
          <w:rFonts w:ascii="Times New Roman" w:eastAsiaTheme="minorHAnsi" w:hAnsi="Times New Roman" w:cs="Times New Roman"/>
          <w:kern w:val="2"/>
          <w:sz w:val="20"/>
          <w:szCs w:val="20"/>
        </w:rPr>
        <w:t>R</w:t>
      </w:r>
      <w:r w:rsidRPr="00810712">
        <w:rPr>
          <w:rFonts w:ascii="Times New Roman" w:eastAsiaTheme="minorHAnsi" w:hAnsi="Times New Roman" w:cs="Times New Roman"/>
          <w:kern w:val="2"/>
          <w:sz w:val="20"/>
          <w:szCs w:val="20"/>
        </w:rPr>
        <w:t>esults of the Kendall test of each uncertainty</w:t>
      </w:r>
    </w:p>
    <w:p w14:paraId="35FDDD43" w14:textId="06A2BDC9" w:rsidR="003153D2" w:rsidRPr="00810712" w:rsidRDefault="003153D2" w:rsidP="006C41A0">
      <w:pPr>
        <w:pStyle w:val="1"/>
        <w:adjustRightInd w:val="0"/>
        <w:snapToGrid w:val="0"/>
        <w:spacing w:after="0" w:line="360" w:lineRule="auto"/>
        <w:rPr>
          <w:b/>
          <w:bCs/>
          <w:sz w:val="20"/>
          <w:szCs w:val="20"/>
        </w:rPr>
      </w:pPr>
      <w:r w:rsidRPr="00810712">
        <w:rPr>
          <w:sz w:val="20"/>
          <w:szCs w:val="20"/>
        </w:rPr>
        <w:t>INDEX: Table included in Appendix 6</w:t>
      </w:r>
    </w:p>
    <w:p w14:paraId="671E15CD" w14:textId="7E6B6B08" w:rsidR="003153D2" w:rsidRPr="00810712" w:rsidRDefault="003153D2" w:rsidP="006C41A0">
      <w:pPr>
        <w:pStyle w:val="1"/>
        <w:adjustRightInd w:val="0"/>
        <w:snapToGrid w:val="0"/>
        <w:spacing w:after="0" w:line="360" w:lineRule="auto"/>
        <w:rPr>
          <w:sz w:val="20"/>
          <w:szCs w:val="20"/>
        </w:rPr>
      </w:pPr>
      <w:r w:rsidRPr="00810712">
        <w:rPr>
          <w:sz w:val="20"/>
          <w:szCs w:val="20"/>
        </w:rPr>
        <w:t xml:space="preserve">Table 6-1. </w:t>
      </w:r>
      <w:r w:rsidR="006D2024">
        <w:rPr>
          <w:sz w:val="20"/>
          <w:szCs w:val="20"/>
        </w:rPr>
        <w:t>R</w:t>
      </w:r>
      <w:r w:rsidRPr="00810712">
        <w:rPr>
          <w:sz w:val="20"/>
          <w:szCs w:val="20"/>
        </w:rPr>
        <w:t>esults of the Kendall test of each uncertainty</w:t>
      </w:r>
    </w:p>
    <w:p w14:paraId="083737BC" w14:textId="79F6164D" w:rsidR="003153D2" w:rsidRPr="00810712" w:rsidRDefault="003153D2" w:rsidP="006C41A0">
      <w:pPr>
        <w:pStyle w:val="1"/>
        <w:adjustRightInd w:val="0"/>
        <w:snapToGrid w:val="0"/>
        <w:spacing w:after="0" w:line="360" w:lineRule="auto"/>
        <w:rPr>
          <w:sz w:val="20"/>
          <w:szCs w:val="20"/>
        </w:rPr>
      </w:pPr>
      <w:r w:rsidRPr="00810712">
        <w:rPr>
          <w:sz w:val="20"/>
          <w:szCs w:val="20"/>
        </w:rPr>
        <w:t xml:space="preserve">Table 6-2. </w:t>
      </w:r>
      <w:r w:rsidR="006D2024">
        <w:rPr>
          <w:sz w:val="20"/>
          <w:szCs w:val="20"/>
        </w:rPr>
        <w:t>R</w:t>
      </w:r>
      <w:r w:rsidRPr="00810712">
        <w:rPr>
          <w:sz w:val="20"/>
          <w:szCs w:val="20"/>
        </w:rPr>
        <w:t>esults of the Kendall test of detailed sources of uncertainty</w:t>
      </w:r>
    </w:p>
    <w:p w14:paraId="5EBFB7E7" w14:textId="36327F09" w:rsidR="00507299" w:rsidRPr="00810712" w:rsidRDefault="00507299"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t xml:space="preserve">Appendix </w:t>
      </w:r>
      <w:r w:rsidR="00D239A3">
        <w:rPr>
          <w:rFonts w:ascii="Times New Roman" w:eastAsiaTheme="minorHAnsi" w:hAnsi="Times New Roman" w:cs="Times New Roman"/>
          <w:kern w:val="2"/>
          <w:sz w:val="20"/>
          <w:szCs w:val="20"/>
        </w:rPr>
        <w:t>7</w:t>
      </w:r>
      <w:r w:rsidRPr="00810712">
        <w:rPr>
          <w:rFonts w:ascii="Times New Roman" w:eastAsiaTheme="minorHAnsi" w:hAnsi="Times New Roman" w:cs="Times New Roman"/>
          <w:kern w:val="2"/>
          <w:sz w:val="20"/>
          <w:szCs w:val="20"/>
        </w:rPr>
        <w:t xml:space="preserve">. </w:t>
      </w:r>
      <w:r w:rsidR="005567DC" w:rsidRPr="4F533E7D">
        <w:rPr>
          <w:rFonts w:ascii="Times New Roman" w:eastAsiaTheme="majorEastAsia" w:hAnsi="Times New Roman" w:cs="Times New Roman"/>
          <w:sz w:val="20"/>
          <w:szCs w:val="20"/>
          <w:lang w:val="en-AU"/>
        </w:rPr>
        <w:t>R</w:t>
      </w:r>
      <w:r w:rsidR="005567DC" w:rsidRPr="4F533E7D">
        <w:rPr>
          <w:rFonts w:ascii="Times New Roman" w:eastAsiaTheme="majorEastAsia" w:hAnsi="Times New Roman" w:cs="Times New Roman"/>
          <w:kern w:val="0"/>
          <w:sz w:val="20"/>
          <w:szCs w:val="20"/>
          <w:lang w:val="en-AU" w:eastAsia="en-US"/>
        </w:rPr>
        <w:t>obustness check</w:t>
      </w:r>
      <w:r w:rsidR="005567DC">
        <w:rPr>
          <w:rFonts w:ascii="Times New Roman" w:eastAsiaTheme="majorEastAsia" w:hAnsi="Times New Roman" w:cs="Times New Roman"/>
          <w:kern w:val="0"/>
          <w:sz w:val="20"/>
          <w:szCs w:val="20"/>
          <w:lang w:val="en-AU" w:eastAsia="en-US"/>
        </w:rPr>
        <w:t>s</w:t>
      </w:r>
    </w:p>
    <w:p w14:paraId="7BFF0E1A" w14:textId="2BE89685" w:rsidR="00507299" w:rsidRPr="00810712" w:rsidRDefault="00507299" w:rsidP="00890554">
      <w:pPr>
        <w:pStyle w:val="1"/>
        <w:adjustRightInd w:val="0"/>
        <w:snapToGrid w:val="0"/>
        <w:spacing w:after="0" w:line="360" w:lineRule="auto"/>
        <w:rPr>
          <w:sz w:val="20"/>
          <w:szCs w:val="20"/>
        </w:rPr>
      </w:pPr>
      <w:r w:rsidRPr="00810712">
        <w:rPr>
          <w:sz w:val="20"/>
          <w:szCs w:val="20"/>
        </w:rPr>
        <w:t>INDEX: Table included in Appendix 7</w:t>
      </w:r>
    </w:p>
    <w:p w14:paraId="02CCFEF3" w14:textId="314C7A24" w:rsidR="00507299" w:rsidRDefault="00B26ECE"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B26ECE">
        <w:rPr>
          <w:rFonts w:ascii="Times New Roman" w:eastAsiaTheme="minorHAnsi" w:hAnsi="Times New Roman" w:cs="Times New Roman"/>
          <w:kern w:val="2"/>
          <w:sz w:val="20"/>
          <w:szCs w:val="20"/>
        </w:rPr>
        <w:t xml:space="preserve">Appendix 8. </w:t>
      </w:r>
      <w:r w:rsidR="00C33017" w:rsidRPr="00C33017">
        <w:rPr>
          <w:rFonts w:ascii="Times New Roman" w:eastAsiaTheme="minorHAnsi" w:hAnsi="Times New Roman" w:cs="Times New Roman"/>
          <w:kern w:val="2"/>
          <w:sz w:val="20"/>
          <w:szCs w:val="20"/>
        </w:rPr>
        <w:t>The CART analysis</w:t>
      </w:r>
    </w:p>
    <w:p w14:paraId="61315B25" w14:textId="5AC0638C" w:rsidR="00E210B0" w:rsidRPr="00810712" w:rsidRDefault="00E210B0" w:rsidP="006C41A0">
      <w:pPr>
        <w:pStyle w:val="1"/>
        <w:adjustRightInd w:val="0"/>
        <w:snapToGrid w:val="0"/>
        <w:spacing w:after="0" w:line="360" w:lineRule="auto"/>
        <w:rPr>
          <w:b/>
          <w:bCs/>
          <w:sz w:val="20"/>
          <w:szCs w:val="20"/>
        </w:rPr>
      </w:pPr>
      <w:r w:rsidRPr="00810712">
        <w:rPr>
          <w:sz w:val="20"/>
          <w:szCs w:val="20"/>
        </w:rPr>
        <w:t xml:space="preserve">INDEX: </w:t>
      </w:r>
      <w:r w:rsidR="00B51ED4" w:rsidRPr="00B51ED4">
        <w:rPr>
          <w:sz w:val="20"/>
          <w:szCs w:val="20"/>
        </w:rPr>
        <w:t xml:space="preserve">Figure included in Appendix </w:t>
      </w:r>
      <w:r w:rsidR="00B51ED4">
        <w:rPr>
          <w:sz w:val="20"/>
          <w:szCs w:val="20"/>
        </w:rPr>
        <w:t>8</w:t>
      </w:r>
    </w:p>
    <w:p w14:paraId="1E091D3F" w14:textId="35DB769B" w:rsidR="00B26ECE" w:rsidRDefault="00B26ECE" w:rsidP="006C41A0">
      <w:pPr>
        <w:pStyle w:val="1"/>
        <w:adjustRightInd w:val="0"/>
        <w:snapToGrid w:val="0"/>
        <w:spacing w:after="0" w:line="360" w:lineRule="auto"/>
        <w:rPr>
          <w:sz w:val="20"/>
          <w:szCs w:val="20"/>
        </w:rPr>
      </w:pPr>
      <w:r w:rsidRPr="00810712">
        <w:rPr>
          <w:sz w:val="20"/>
          <w:szCs w:val="20"/>
        </w:rPr>
        <w:t xml:space="preserve">Figure </w:t>
      </w:r>
      <w:r>
        <w:rPr>
          <w:sz w:val="20"/>
          <w:szCs w:val="20"/>
        </w:rPr>
        <w:t>8</w:t>
      </w:r>
      <w:r w:rsidRPr="00810712">
        <w:rPr>
          <w:sz w:val="20"/>
          <w:szCs w:val="20"/>
        </w:rPr>
        <w:t xml:space="preserve">-1. </w:t>
      </w:r>
      <w:r w:rsidRPr="00B26ECE">
        <w:rPr>
          <w:sz w:val="20"/>
          <w:szCs w:val="20"/>
        </w:rPr>
        <w:t>CART model for uncertainty classification for PBAC recommendations</w:t>
      </w:r>
    </w:p>
    <w:p w14:paraId="51033A4F" w14:textId="77777777" w:rsidR="0050205F" w:rsidRPr="00810712" w:rsidRDefault="0050205F" w:rsidP="00890554">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t xml:space="preserve">References </w:t>
      </w:r>
    </w:p>
    <w:p w14:paraId="1752BE20" w14:textId="143B0DCF" w:rsidR="008E3D75" w:rsidRPr="008F448B" w:rsidRDefault="008E3D75" w:rsidP="00AD61C8">
      <w:pPr>
        <w:widowControl/>
        <w:adjustRightInd w:val="0"/>
        <w:snapToGrid w:val="0"/>
        <w:spacing w:line="360" w:lineRule="auto"/>
        <w:jc w:val="left"/>
        <w:rPr>
          <w:rFonts w:ascii="Times New Roman" w:hAnsi="Times New Roman" w:cs="Times New Roman"/>
        </w:rPr>
      </w:pPr>
      <w:r w:rsidRPr="008F448B">
        <w:rPr>
          <w:rFonts w:ascii="Times New Roman" w:hAnsi="Times New Roman" w:cs="Times New Roman"/>
        </w:rPr>
        <w:br w:type="page"/>
      </w:r>
    </w:p>
    <w:p w14:paraId="061F87E4" w14:textId="40096AB3" w:rsidR="005703C0" w:rsidRPr="005668EA" w:rsidRDefault="005703C0" w:rsidP="006C41A0">
      <w:pPr>
        <w:pStyle w:val="Heading1"/>
        <w:widowControl/>
        <w:adjustRightInd w:val="0"/>
        <w:snapToGrid w:val="0"/>
        <w:spacing w:before="240" w:after="0" w:line="360" w:lineRule="auto"/>
        <w:jc w:val="left"/>
        <w:rPr>
          <w:rFonts w:ascii="Times New Roman" w:eastAsiaTheme="minorHAnsi" w:hAnsi="Times New Roman" w:cs="Times New Roman"/>
          <w:kern w:val="2"/>
          <w:sz w:val="20"/>
          <w:szCs w:val="20"/>
        </w:rPr>
      </w:pPr>
      <w:r w:rsidRPr="005668EA">
        <w:rPr>
          <w:rFonts w:ascii="Times New Roman" w:eastAsiaTheme="majorEastAsia" w:hAnsi="Times New Roman" w:cs="Times New Roman"/>
          <w:bCs w:val="0"/>
          <w:kern w:val="0"/>
          <w:sz w:val="20"/>
          <w:szCs w:val="20"/>
          <w:lang w:val="en-AU" w:eastAsia="en-US"/>
        </w:rPr>
        <w:lastRenderedPageBreak/>
        <w:t xml:space="preserve">Appendix </w:t>
      </w:r>
      <w:r w:rsidR="002D64BF" w:rsidRPr="005668EA">
        <w:rPr>
          <w:rFonts w:ascii="Times New Roman" w:eastAsiaTheme="majorEastAsia" w:hAnsi="Times New Roman" w:cs="Times New Roman"/>
          <w:bCs w:val="0"/>
          <w:kern w:val="0"/>
          <w:sz w:val="20"/>
          <w:szCs w:val="20"/>
          <w:lang w:val="en-AU" w:eastAsia="en-US"/>
        </w:rPr>
        <w:t xml:space="preserve">1. </w:t>
      </w:r>
      <w:r w:rsidR="005706FD">
        <w:rPr>
          <w:rFonts w:ascii="Times New Roman" w:eastAsiaTheme="majorEastAsia" w:hAnsi="Times New Roman" w:cs="Times New Roman"/>
          <w:bCs w:val="0"/>
          <w:kern w:val="0"/>
          <w:sz w:val="20"/>
          <w:szCs w:val="20"/>
          <w:lang w:val="en-AU" w:eastAsia="en-US"/>
        </w:rPr>
        <w:t xml:space="preserve">A </w:t>
      </w:r>
      <w:r w:rsidR="006D2024">
        <w:rPr>
          <w:rFonts w:ascii="Times New Roman" w:eastAsiaTheme="minorHAnsi" w:hAnsi="Times New Roman" w:cs="Times New Roman"/>
          <w:kern w:val="2"/>
          <w:sz w:val="20"/>
          <w:szCs w:val="20"/>
        </w:rPr>
        <w:t>G</w:t>
      </w:r>
      <w:r w:rsidRPr="005668EA">
        <w:rPr>
          <w:rFonts w:ascii="Times New Roman" w:eastAsiaTheme="minorHAnsi" w:hAnsi="Times New Roman" w:cs="Times New Roman"/>
          <w:kern w:val="2"/>
          <w:sz w:val="20"/>
          <w:szCs w:val="20"/>
        </w:rPr>
        <w:t>uid</w:t>
      </w:r>
      <w:r w:rsidR="005706FD">
        <w:rPr>
          <w:rFonts w:ascii="Times New Roman" w:eastAsiaTheme="minorHAnsi" w:hAnsi="Times New Roman" w:cs="Times New Roman"/>
          <w:kern w:val="2"/>
          <w:sz w:val="20"/>
          <w:szCs w:val="20"/>
        </w:rPr>
        <w:t>e</w:t>
      </w:r>
      <w:r w:rsidRPr="005668EA">
        <w:rPr>
          <w:rFonts w:ascii="Times New Roman" w:eastAsiaTheme="minorHAnsi" w:hAnsi="Times New Roman" w:cs="Times New Roman"/>
          <w:kern w:val="2"/>
          <w:sz w:val="20"/>
          <w:szCs w:val="20"/>
        </w:rPr>
        <w:t xml:space="preserve"> for the measurement of four types of uncertainty</w:t>
      </w:r>
    </w:p>
    <w:p w14:paraId="7103AC6F" w14:textId="70A8CD1B" w:rsidR="002C31A9" w:rsidRDefault="005703C0" w:rsidP="006C41A0">
      <w:pPr>
        <w:pStyle w:val="EndNoteBibliography"/>
        <w:adjustRightInd w:val="0"/>
        <w:snapToGrid w:val="0"/>
        <w:spacing w:line="360" w:lineRule="auto"/>
        <w:rPr>
          <w:szCs w:val="20"/>
        </w:rPr>
      </w:pPr>
      <w:bookmarkStart w:id="0" w:name="_Hlk159171018"/>
      <w:bookmarkStart w:id="1" w:name="_Hlk159170271"/>
      <w:r w:rsidRPr="4F533E7D">
        <w:t>This guid</w:t>
      </w:r>
      <w:r w:rsidR="005706FD">
        <w:t>e</w:t>
      </w:r>
      <w:r w:rsidRPr="4F533E7D">
        <w:t xml:space="preserve"> aims to provide reviewers with comprehensive explanations o</w:t>
      </w:r>
      <w:r w:rsidR="0097470D" w:rsidRPr="4F533E7D">
        <w:t>f</w:t>
      </w:r>
      <w:r w:rsidRPr="4F533E7D">
        <w:t xml:space="preserve"> the definitions, characteri</w:t>
      </w:r>
      <w:r w:rsidR="004C1F29" w:rsidRPr="4F533E7D">
        <w:t>s</w:t>
      </w:r>
      <w:r w:rsidRPr="4F533E7D">
        <w:t xml:space="preserve">ations, examples, and codes of uncertainties in </w:t>
      </w:r>
      <w:r w:rsidR="000077DA">
        <w:t>Public Summary Documents (PSDs)</w:t>
      </w:r>
      <w:r w:rsidRPr="4F533E7D">
        <w:t>. Reviewers</w:t>
      </w:r>
      <w:r w:rsidR="000077DA" w:rsidRPr="000077DA">
        <w:rPr>
          <w:szCs w:val="20"/>
        </w:rPr>
        <w:t xml:space="preserve"> </w:t>
      </w:r>
      <w:r w:rsidR="000077DA">
        <w:t xml:space="preserve">are expected to independently extract </w:t>
      </w:r>
      <w:r w:rsidRPr="4F533E7D">
        <w:t>the information in two rounds</w:t>
      </w:r>
      <w:r w:rsidR="00942325">
        <w:rPr>
          <w:szCs w:val="20"/>
        </w:rPr>
        <w:t xml:space="preserve">. </w:t>
      </w:r>
      <w:r w:rsidR="00942325" w:rsidRPr="4F533E7D">
        <w:t>During the first round, discussions on disputes are to be avoided, as the methodological background and beliefs of one reviewer may bias the other.</w:t>
      </w:r>
      <w:r w:rsidRPr="005668EA">
        <w:rPr>
          <w:szCs w:val="20"/>
        </w:rPr>
        <w:t xml:space="preserve"> </w:t>
      </w:r>
      <w:r w:rsidR="00A228BB" w:rsidRPr="4F533E7D">
        <w:t xml:space="preserve">After completing the initial round of independent </w:t>
      </w:r>
      <w:r w:rsidR="00817090" w:rsidRPr="4F533E7D">
        <w:t>extraction</w:t>
      </w:r>
      <w:r w:rsidR="00A228BB" w:rsidRPr="4F533E7D">
        <w:t>, reviewers procee</w:t>
      </w:r>
      <w:r w:rsidR="0093360F" w:rsidRPr="4F533E7D">
        <w:t>d</w:t>
      </w:r>
      <w:r w:rsidR="00A228BB" w:rsidRPr="4F533E7D">
        <w:t xml:space="preserve"> to the second round </w:t>
      </w:r>
      <w:r w:rsidR="002C31A9">
        <w:t xml:space="preserve">where </w:t>
      </w:r>
      <w:r w:rsidR="00E26034" w:rsidRPr="4F533E7D">
        <w:t xml:space="preserve">the reviewers are required to extract the </w:t>
      </w:r>
      <w:r w:rsidR="0093360F" w:rsidRPr="4F533E7D">
        <w:t xml:space="preserve">rationale of the PBAC </w:t>
      </w:r>
      <w:r w:rsidR="00817090">
        <w:t>for the unmatched items</w:t>
      </w:r>
      <w:r w:rsidR="0093360F">
        <w:rPr>
          <w:szCs w:val="20"/>
        </w:rPr>
        <w:t xml:space="preserve">. </w:t>
      </w:r>
      <w:r w:rsidR="00A228BB" w:rsidRPr="4F533E7D">
        <w:t xml:space="preserve">If an item is not described in the submissions, it is assumed that the PBAC did not consider it </w:t>
      </w:r>
      <w:r w:rsidR="002C31A9">
        <w:t>to</w:t>
      </w:r>
      <w:r w:rsidR="00A228BB" w:rsidRPr="4F533E7D">
        <w:t xml:space="preserve"> hav</w:t>
      </w:r>
      <w:r w:rsidR="002C31A9">
        <w:t>e</w:t>
      </w:r>
      <w:r w:rsidR="00A228BB" w:rsidRPr="4F533E7D">
        <w:t xml:space="preserve"> uncertainty</w:t>
      </w:r>
      <w:r w:rsidR="00A228BB">
        <w:rPr>
          <w:szCs w:val="20"/>
        </w:rPr>
        <w:t xml:space="preserve"> </w:t>
      </w:r>
      <w:r w:rsidRPr="4F533E7D">
        <w:rPr>
          <w:lang w:val="en-US"/>
        </w:rPr>
        <w:fldChar w:fldCharType="begin"/>
      </w:r>
      <w:r w:rsidRPr="4F533E7D">
        <w:rPr>
          <w:lang w:val="en-US"/>
        </w:rPr>
        <w:instrText xml:space="preserve"> ADDIN EN.CITE &lt;EndNote&gt;&lt;Cite&gt;&lt;Author&gt;Masucci&lt;/Author&gt;&lt;Year&gt;2017&lt;/Year&gt;&lt;RecNum&gt;18683&lt;/RecNum&gt;&lt;DisplayText&gt;[1]&lt;/DisplayText&gt;&lt;record&gt;&lt;rec-number&gt;18683&lt;/rec-number&gt;&lt;foreign-keys&gt;&lt;key app="EN" db-id="5zttwaa2gstv57epr5z5zxv325varaa5e9rp" timestamp="1653197616"&gt;18683&lt;/key&gt;&lt;/foreign-keys&gt;&lt;ref-type name="Journal Article"&gt;17&lt;/ref-type&gt;&lt;contributors&gt;&lt;authors&gt;&lt;author&gt;Masucci, L.&lt;/author&gt;&lt;author&gt;Beca, J.&lt;/author&gt;&lt;author&gt;Sabharwal, M.&lt;/author&gt;&lt;author&gt;Hoch, J. S.&lt;/author&gt;&lt;/authors&gt;&lt;/contributors&gt;&lt;auth-address&gt;St. Michael&amp;apos;s Hospital, 30 Bond Street, Toronto, ON, M5B 1W8, Canada. masuccil@smh.ca.&amp;#xD;Cancer Care Ontario, 620 University Avenue, Toronto, ON, M5G 2L7, Canada.&amp;#xD;Rexall, 5965 Coopers Ave., Mississauga, ON, L4Z 1R9, Canada.&amp;#xD;St. Michael&amp;apos;s Hospital, 30 Bond Street, Toronto, ON, M5B 1W8, Canada.&amp;#xD;University of California, Davis, 2103 Stockton Blvd., Sacramento, CA, 95817, USA.&lt;/auth-address&gt;&lt;titles&gt;&lt;title&gt;Methodological Issues in Economic Evaluations Submitted to the Pan-Canadian Oncology Drug Review (pCODR)&lt;/title&gt;&lt;secondary-title&gt;Pharmacoecon Open&lt;/secondary-title&gt;&lt;/titles&gt;&lt;periodical&gt;&lt;full-title&gt;Pharmacoecon Open&lt;/full-title&gt;&lt;/periodical&gt;&lt;pages&gt;255-263&lt;/pages&gt;&lt;volume&gt;1&lt;/volume&gt;&lt;number&gt;4&lt;/number&gt;&lt;edition&gt;2018/02/15&lt;/edition&gt;&lt;dates&gt;&lt;year&gt;2017&lt;/year&gt;&lt;pub-dates&gt;&lt;date&gt;Dec&lt;/date&gt;&lt;/pub-dates&gt;&lt;/dates&gt;&lt;isbn&gt;2509-4254 (Electronic)&amp;#xD;2509-4262 (Linking)&lt;/isbn&gt;&lt;accession-num&gt;29441502&lt;/accession-num&gt;&lt;urls&gt;&lt;related-urls&gt;&lt;url&gt;https://www.ncbi.nlm.nih.gov/pubmed/29441502&lt;/url&gt;&lt;/related-urls&gt;&lt;/urls&gt;&lt;custom2&gt;PMC5711746&lt;/custom2&gt;&lt;electronic-resource-num&gt;10.1007/s41669-017-0018-3&lt;/electronic-resource-num&gt;&lt;/record&gt;&lt;/Cite&gt;&lt;/EndNote&gt;</w:instrText>
      </w:r>
      <w:r w:rsidRPr="4F533E7D">
        <w:rPr>
          <w:lang w:val="en-US"/>
        </w:rPr>
        <w:fldChar w:fldCharType="separate"/>
      </w:r>
      <w:r w:rsidRPr="4F533E7D">
        <w:rPr>
          <w:noProof/>
          <w:lang w:val="en-US"/>
        </w:rPr>
        <w:t>[1]</w:t>
      </w:r>
      <w:r w:rsidRPr="4F533E7D">
        <w:rPr>
          <w:lang w:val="en-US"/>
        </w:rPr>
        <w:fldChar w:fldCharType="end"/>
      </w:r>
      <w:r w:rsidRPr="005668EA">
        <w:rPr>
          <w:szCs w:val="20"/>
        </w:rPr>
        <w:t>.</w:t>
      </w:r>
      <w:r w:rsidR="00475044" w:rsidRPr="4F533E7D">
        <w:rPr>
          <w:rFonts w:eastAsia="SimSun"/>
          <w:kern w:val="0"/>
          <w:lang w:val="en-US"/>
        </w:rPr>
        <w:t xml:space="preserve"> </w:t>
      </w:r>
      <w:r w:rsidR="00A228BB" w:rsidRPr="4F533E7D">
        <w:t xml:space="preserve">To ensure that reviewers </w:t>
      </w:r>
      <w:r w:rsidR="002C31A9">
        <w:t>are not affected</w:t>
      </w:r>
      <w:r w:rsidR="00A228BB" w:rsidRPr="4F533E7D">
        <w:t xml:space="preserve"> by the PBAC </w:t>
      </w:r>
      <w:r w:rsidR="002C31A9">
        <w:t>decisions</w:t>
      </w:r>
      <w:r w:rsidR="00A228BB" w:rsidRPr="4F533E7D">
        <w:t xml:space="preserve">, </w:t>
      </w:r>
      <w:r w:rsidR="002C31A9">
        <w:t>they are</w:t>
      </w:r>
      <w:r w:rsidR="00A228BB" w:rsidRPr="4F533E7D">
        <w:t xml:space="preserve"> extracted in the last step</w:t>
      </w:r>
      <w:r w:rsidR="00A228BB" w:rsidRPr="00640B25">
        <w:rPr>
          <w:szCs w:val="20"/>
        </w:rPr>
        <w:t xml:space="preserve"> </w:t>
      </w:r>
      <w:r w:rsidR="00817090">
        <w:t xml:space="preserve">following the approach </w:t>
      </w:r>
      <w:r w:rsidR="00890554">
        <w:t>of</w:t>
      </w:r>
      <w:r w:rsidR="00890554">
        <w:rPr>
          <w:rFonts w:hint="eastAsia"/>
        </w:rPr>
        <w:t xml:space="preserve"> </w:t>
      </w:r>
      <w:r w:rsidR="00A228BB" w:rsidRPr="4F533E7D">
        <w:t xml:space="preserve">Harris et al. </w:t>
      </w:r>
      <w:bookmarkEnd w:id="0"/>
      <w:r w:rsidR="00640B25" w:rsidRPr="00640B25">
        <w:rPr>
          <w:szCs w:val="20"/>
        </w:rPr>
        <w:fldChar w:fldCharType="begin">
          <w:fldData xml:space="preserve">PEVuZE5vdGU+PENpdGU+PEF1dGhvcj5IYXJyaXM8L0F1dGhvcj48WWVhcj4yMDA4PC9ZZWFyPjxS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</w:fldData>
        </w:fldChar>
      </w:r>
      <w:r w:rsidR="00640B25" w:rsidRPr="00640B25">
        <w:rPr>
          <w:szCs w:val="20"/>
        </w:rPr>
        <w:instrText xml:space="preserve"> ADDIN EN.CITE </w:instrText>
      </w:r>
      <w:r w:rsidR="00640B25" w:rsidRPr="00640B25">
        <w:rPr>
          <w:szCs w:val="20"/>
        </w:rPr>
        <w:fldChar w:fldCharType="begin">
          <w:fldData xml:space="preserve">PEVuZE5vdGU+PENpdGU+PEF1dGhvcj5IYXJyaXM8L0F1dGhvcj48WWVhcj4yMDA4PC9ZZWFyPjxS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</w:fldData>
        </w:fldChar>
      </w:r>
      <w:r w:rsidR="00640B25" w:rsidRPr="00640B25">
        <w:rPr>
          <w:szCs w:val="20"/>
        </w:rPr>
        <w:instrText xml:space="preserve"> ADDIN EN.CITE.DATA </w:instrText>
      </w:r>
      <w:r w:rsidR="00640B25" w:rsidRPr="00640B25">
        <w:rPr>
          <w:szCs w:val="20"/>
        </w:rPr>
      </w:r>
      <w:r w:rsidR="00640B25" w:rsidRPr="00640B25">
        <w:rPr>
          <w:szCs w:val="20"/>
        </w:rPr>
        <w:fldChar w:fldCharType="end"/>
      </w:r>
      <w:r w:rsidR="00640B25" w:rsidRPr="00640B25">
        <w:rPr>
          <w:szCs w:val="20"/>
        </w:rPr>
      </w:r>
      <w:r w:rsidR="00640B25" w:rsidRPr="00640B25">
        <w:rPr>
          <w:szCs w:val="20"/>
        </w:rPr>
        <w:fldChar w:fldCharType="separate"/>
      </w:r>
      <w:r w:rsidR="00640B25" w:rsidRPr="4F533E7D">
        <w:t>[2, 3]</w:t>
      </w:r>
      <w:r w:rsidR="00640B25" w:rsidRPr="00640B25">
        <w:rPr>
          <w:szCs w:val="20"/>
        </w:rPr>
        <w:fldChar w:fldCharType="end"/>
      </w:r>
      <w:r w:rsidR="00475044" w:rsidRPr="00640B25">
        <w:rPr>
          <w:rFonts w:hint="eastAsia"/>
          <w:szCs w:val="20"/>
        </w:rPr>
        <w:t>.</w:t>
      </w:r>
    </w:p>
    <w:p w14:paraId="1B60B1E8" w14:textId="1687C0FF" w:rsidR="003534DE" w:rsidRDefault="0093360F" w:rsidP="006C41A0">
      <w:pPr>
        <w:pStyle w:val="EndNoteBibliography"/>
        <w:adjustRightInd w:val="0"/>
        <w:snapToGrid w:val="0"/>
        <w:spacing w:line="360" w:lineRule="auto"/>
      </w:pPr>
      <w:r>
        <w:rPr>
          <w:szCs w:val="20"/>
        </w:rPr>
        <w:t xml:space="preserve"> </w:t>
      </w:r>
    </w:p>
    <w:bookmarkEnd w:id="1"/>
    <w:p w14:paraId="02ACE33D" w14:textId="28067950" w:rsidR="005703C0" w:rsidRPr="005668EA" w:rsidRDefault="005703C0" w:rsidP="006C41A0">
      <w:pPr>
        <w:pStyle w:val="EndNoteBibliography"/>
        <w:adjustRightInd w:val="0"/>
        <w:snapToGrid w:val="0"/>
        <w:spacing w:line="360" w:lineRule="auto"/>
        <w:rPr>
          <w:szCs w:val="20"/>
        </w:rPr>
      </w:pPr>
      <w:r w:rsidRPr="005668EA">
        <w:rPr>
          <w:szCs w:val="20"/>
        </w:rPr>
        <w:t>This guid</w:t>
      </w:r>
      <w:r w:rsidR="002C31A9">
        <w:rPr>
          <w:szCs w:val="20"/>
        </w:rPr>
        <w:t>e</w:t>
      </w:r>
      <w:r w:rsidRPr="005668EA">
        <w:rPr>
          <w:szCs w:val="20"/>
        </w:rPr>
        <w:t xml:space="preserve"> includes the following contents:</w:t>
      </w:r>
    </w:p>
    <w:p w14:paraId="3D96517C" w14:textId="75FEB3C5" w:rsidR="005703C0" w:rsidRPr="005668EA" w:rsidRDefault="005703C0" w:rsidP="006C41A0">
      <w:pPr>
        <w:pStyle w:val="EndNoteBibliography"/>
        <w:numPr>
          <w:ilvl w:val="0"/>
          <w:numId w:val="4"/>
        </w:numPr>
        <w:adjustRightInd w:val="0"/>
        <w:snapToGrid w:val="0"/>
        <w:spacing w:line="360" w:lineRule="auto"/>
        <w:rPr>
          <w:szCs w:val="20"/>
        </w:rPr>
      </w:pPr>
      <w:r w:rsidRPr="005668EA">
        <w:rPr>
          <w:szCs w:val="20"/>
        </w:rPr>
        <w:t xml:space="preserve">An overall framework for the </w:t>
      </w:r>
      <w:r w:rsidR="00354000">
        <w:rPr>
          <w:szCs w:val="20"/>
        </w:rPr>
        <w:t>characterisation</w:t>
      </w:r>
      <w:r w:rsidRPr="005668EA">
        <w:rPr>
          <w:szCs w:val="20"/>
        </w:rPr>
        <w:t xml:space="preserve"> of uncertainties in model-based economic analysis.</w:t>
      </w:r>
    </w:p>
    <w:p w14:paraId="4AC0CFF9" w14:textId="77777777" w:rsidR="005703C0" w:rsidRPr="005668EA" w:rsidRDefault="005703C0" w:rsidP="006C41A0">
      <w:pPr>
        <w:pStyle w:val="EndNoteBibliography"/>
        <w:numPr>
          <w:ilvl w:val="0"/>
          <w:numId w:val="4"/>
        </w:numPr>
        <w:adjustRightInd w:val="0"/>
        <w:snapToGrid w:val="0"/>
        <w:spacing w:line="360" w:lineRule="auto"/>
        <w:rPr>
          <w:szCs w:val="20"/>
        </w:rPr>
      </w:pPr>
      <w:r w:rsidRPr="005668EA">
        <w:rPr>
          <w:szCs w:val="20"/>
        </w:rPr>
        <w:t>The definition of four types of uncertainty.</w:t>
      </w:r>
    </w:p>
    <w:p w14:paraId="61F770B3" w14:textId="59722AA0" w:rsidR="005703C0" w:rsidRPr="005668EA" w:rsidRDefault="005703C0" w:rsidP="006C41A0">
      <w:pPr>
        <w:pStyle w:val="EndNoteBibliography"/>
        <w:numPr>
          <w:ilvl w:val="0"/>
          <w:numId w:val="4"/>
        </w:numPr>
        <w:adjustRightInd w:val="0"/>
        <w:snapToGrid w:val="0"/>
        <w:spacing w:line="360" w:lineRule="auto"/>
        <w:rPr>
          <w:szCs w:val="20"/>
        </w:rPr>
      </w:pPr>
      <w:r w:rsidRPr="005668EA">
        <w:rPr>
          <w:szCs w:val="20"/>
        </w:rPr>
        <w:t>The items for each type of uncertainty, together with code</w:t>
      </w:r>
      <w:r w:rsidR="002C31A9">
        <w:rPr>
          <w:szCs w:val="20"/>
        </w:rPr>
        <w:t>s</w:t>
      </w:r>
      <w:r w:rsidRPr="005668EA">
        <w:rPr>
          <w:szCs w:val="20"/>
        </w:rPr>
        <w:t xml:space="preserve"> and examples</w:t>
      </w:r>
      <w:r w:rsidR="00E13B76">
        <w:rPr>
          <w:szCs w:val="20"/>
        </w:rPr>
        <w:t xml:space="preserve">, </w:t>
      </w:r>
      <w:r w:rsidR="00F22C83">
        <w:rPr>
          <w:szCs w:val="20"/>
        </w:rPr>
        <w:t>are</w:t>
      </w:r>
      <w:r w:rsidR="00E13B76">
        <w:rPr>
          <w:szCs w:val="20"/>
        </w:rPr>
        <w:t xml:space="preserve"> from the </w:t>
      </w:r>
      <w:r w:rsidR="00817090">
        <w:rPr>
          <w:szCs w:val="20"/>
        </w:rPr>
        <w:t>PSDs</w:t>
      </w:r>
      <w:r w:rsidR="001E70D2">
        <w:rPr>
          <w:szCs w:val="20"/>
        </w:rPr>
        <w:t>.</w:t>
      </w:r>
    </w:p>
    <w:p w14:paraId="6CAB7CC9" w14:textId="5046288F" w:rsidR="005703C0" w:rsidRDefault="005703C0" w:rsidP="00C33017">
      <w:pPr>
        <w:pStyle w:val="Heading2"/>
        <w:adjustRightInd w:val="0"/>
        <w:snapToGrid w:val="0"/>
        <w:spacing w:before="480" w:after="120" w:line="360" w:lineRule="auto"/>
        <w:rPr>
          <w:rFonts w:ascii="Times New Roman" w:hAnsi="Times New Roman" w:cs="Times New Roman"/>
          <w:sz w:val="20"/>
          <w:szCs w:val="20"/>
        </w:rPr>
      </w:pPr>
      <w:r w:rsidRPr="005668EA">
        <w:rPr>
          <w:rFonts w:ascii="Times New Roman" w:hAnsi="Times New Roman" w:cs="Times New Roman"/>
          <w:sz w:val="20"/>
          <w:szCs w:val="20"/>
        </w:rPr>
        <w:t>1. Methodological uncertainty</w:t>
      </w:r>
    </w:p>
    <w:p w14:paraId="43F01DB9" w14:textId="3473A4C7" w:rsidR="00F234DD" w:rsidRDefault="005703C0" w:rsidP="006C41A0">
      <w:pPr>
        <w:widowControl/>
        <w:adjustRightInd w:val="0"/>
        <w:snapToGrid w:val="0"/>
        <w:spacing w:line="360" w:lineRule="auto"/>
        <w:rPr>
          <w:rFonts w:ascii="Times New Roman" w:hAnsi="Times New Roman" w:cs="Times New Roman"/>
          <w:sz w:val="20"/>
          <w:szCs w:val="20"/>
        </w:rPr>
      </w:pPr>
      <w:bookmarkStart w:id="2" w:name="_Hlk159171243"/>
      <w:r w:rsidRPr="005668EA">
        <w:rPr>
          <w:rFonts w:ascii="Times New Roman" w:hAnsi="Times New Roman" w:cs="Times New Roman"/>
          <w:sz w:val="20"/>
          <w:szCs w:val="20"/>
        </w:rPr>
        <w:t xml:space="preserve">In this study, methodological uncertainty </w:t>
      </w:r>
      <w:r w:rsidR="00EC7DC8" w:rsidRPr="00EC7DC8">
        <w:rPr>
          <w:rFonts w:ascii="Times New Roman" w:hAnsi="Times New Roman" w:cs="Times New Roman"/>
          <w:sz w:val="20"/>
          <w:szCs w:val="20"/>
        </w:rPr>
        <w:t>was defined as the deviations from the PBAC guidelines, in the absence of a reference case</w:t>
      </w:r>
      <w:r w:rsidRPr="005668EA">
        <w:rPr>
          <w:rFonts w:ascii="Times New Roman" w:hAnsi="Times New Roman" w:cs="Times New Roman"/>
          <w:sz w:val="20"/>
          <w:szCs w:val="20"/>
        </w:rPr>
        <w:t xml:space="preserve"> recommended by </w:t>
      </w:r>
      <w:r w:rsidR="002B092E" w:rsidRPr="002B092E">
        <w:rPr>
          <w:rFonts w:ascii="Times New Roman" w:hAnsi="Times New Roman" w:cs="Times New Roman"/>
          <w:sz w:val="20"/>
          <w:szCs w:val="20"/>
        </w:rPr>
        <w:t xml:space="preserve">health technology assessment </w:t>
      </w:r>
      <w:r w:rsidR="002B092E">
        <w:rPr>
          <w:rFonts w:ascii="Times New Roman" w:hAnsi="Times New Roman" w:cs="Times New Roman"/>
          <w:sz w:val="20"/>
          <w:szCs w:val="20"/>
        </w:rPr>
        <w:t>(</w:t>
      </w:r>
      <w:r w:rsidRPr="005668EA">
        <w:rPr>
          <w:rFonts w:ascii="Times New Roman" w:hAnsi="Times New Roman" w:cs="Times New Roman"/>
          <w:sz w:val="20"/>
          <w:szCs w:val="20"/>
        </w:rPr>
        <w:t>HTA</w:t>
      </w:r>
      <w:r w:rsidR="002B092E">
        <w:rPr>
          <w:rFonts w:ascii="Times New Roman" w:hAnsi="Times New Roman" w:cs="Times New Roman"/>
          <w:sz w:val="20"/>
          <w:szCs w:val="20"/>
        </w:rPr>
        <w:t>)</w:t>
      </w:r>
      <w:r w:rsidRPr="005668EA">
        <w:rPr>
          <w:rFonts w:ascii="Times New Roman" w:hAnsi="Times New Roman" w:cs="Times New Roman"/>
          <w:sz w:val="20"/>
          <w:szCs w:val="20"/>
        </w:rPr>
        <w:t xml:space="preserve"> guidelines</w:t>
      </w:r>
      <w:r w:rsidR="00CE76DE">
        <w:rPr>
          <w:rFonts w:ascii="Times New Roman" w:hAnsi="Times New Roman" w:cs="Times New Roman" w:hint="eastAsia"/>
          <w:sz w:val="20"/>
          <w:szCs w:val="20"/>
        </w:rPr>
        <w:t xml:space="preserve"> </w:t>
      </w:r>
      <w:r w:rsidR="000663DE">
        <w:rPr>
          <w:rFonts w:ascii="Times-Roman" w:eastAsia="Times New Roman" w:hAnsi="Times-Roman" w:cs="Times New Roman"/>
          <w:sz w:val="20"/>
          <w:szCs w:val="20"/>
          <w:lang w:val="en-AU"/>
        </w:rPr>
        <w:fldChar w:fldCharType="begin">
          <w:fldData xml:space="preserve">PEVuZE5vdGU+PENpdGU+PEF1dGhvcj5CcmlnZ3M8L0F1dGhvcj48WWVhcj4yMDAwPC9ZZWFyPjxS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</w:fldData>
        </w:fldChar>
      </w:r>
      <w:r w:rsidR="000663DE">
        <w:rPr>
          <w:rFonts w:ascii="Times-Roman" w:eastAsia="Times New Roman" w:hAnsi="Times-Roman" w:cs="Times New Roman"/>
          <w:sz w:val="20"/>
          <w:szCs w:val="20"/>
          <w:lang w:val="en-AU"/>
        </w:rPr>
        <w:instrText xml:space="preserve"> ADDIN EN.CITE </w:instrText>
      </w:r>
      <w:r w:rsidR="000663DE">
        <w:rPr>
          <w:rFonts w:ascii="Times-Roman" w:eastAsia="Times New Roman" w:hAnsi="Times-Roman" w:cs="Times New Roman"/>
          <w:sz w:val="20"/>
          <w:szCs w:val="20"/>
          <w:lang w:val="en-AU"/>
        </w:rPr>
        <w:fldChar w:fldCharType="begin">
          <w:fldData xml:space="preserve">PEVuZE5vdGU+PENpdGU+PEF1dGhvcj5CcmlnZ3M8L0F1dGhvcj48WWVhcj4yMDAwPC9ZZWFyPjxS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</w:fldData>
        </w:fldChar>
      </w:r>
      <w:r w:rsidR="000663DE">
        <w:rPr>
          <w:rFonts w:ascii="Times-Roman" w:eastAsia="Times New Roman" w:hAnsi="Times-Roman" w:cs="Times New Roman"/>
          <w:sz w:val="20"/>
          <w:szCs w:val="20"/>
          <w:lang w:val="en-AU"/>
        </w:rPr>
        <w:instrText xml:space="preserve"> ADDIN EN.CITE.DATA </w:instrText>
      </w:r>
      <w:r w:rsidR="000663DE">
        <w:rPr>
          <w:rFonts w:ascii="Times-Roman" w:eastAsia="Times New Roman" w:hAnsi="Times-Roman" w:cs="Times New Roman"/>
          <w:sz w:val="20"/>
          <w:szCs w:val="20"/>
          <w:lang w:val="en-AU"/>
        </w:rPr>
      </w:r>
      <w:r w:rsidR="000663DE">
        <w:rPr>
          <w:rFonts w:ascii="Times-Roman" w:eastAsia="Times New Roman" w:hAnsi="Times-Roman" w:cs="Times New Roman"/>
          <w:sz w:val="20"/>
          <w:szCs w:val="20"/>
          <w:lang w:val="en-AU"/>
        </w:rPr>
        <w:fldChar w:fldCharType="end"/>
      </w:r>
      <w:r w:rsidR="000663DE">
        <w:rPr>
          <w:rFonts w:ascii="Times-Roman" w:eastAsia="Times New Roman" w:hAnsi="Times-Roman" w:cs="Times New Roman"/>
          <w:sz w:val="20"/>
          <w:szCs w:val="20"/>
          <w:lang w:val="en-AU"/>
        </w:rPr>
      </w:r>
      <w:r w:rsidR="000663DE">
        <w:rPr>
          <w:rFonts w:ascii="Times-Roman" w:eastAsia="Times New Roman" w:hAnsi="Times-Roman" w:cs="Times New Roman"/>
          <w:sz w:val="20"/>
          <w:szCs w:val="20"/>
          <w:lang w:val="en-AU"/>
        </w:rPr>
        <w:fldChar w:fldCharType="separate"/>
      </w:r>
      <w:r w:rsidR="000663DE">
        <w:rPr>
          <w:rFonts w:ascii="Times-Roman" w:eastAsia="Times New Roman" w:hAnsi="Times-Roman" w:cs="Times New Roman"/>
          <w:noProof/>
          <w:sz w:val="20"/>
          <w:szCs w:val="20"/>
          <w:lang w:val="en-AU"/>
        </w:rPr>
        <w:t>[4-7]</w:t>
      </w:r>
      <w:r w:rsidR="000663DE">
        <w:rPr>
          <w:rFonts w:ascii="Times-Roman" w:eastAsia="Times New Roman" w:hAnsi="Times-Roman" w:cs="Times New Roman"/>
          <w:sz w:val="20"/>
          <w:szCs w:val="20"/>
          <w:lang w:val="en-AU"/>
        </w:rPr>
        <w:fldChar w:fldCharType="end"/>
      </w:r>
      <w:r w:rsidRPr="005668EA">
        <w:rPr>
          <w:rFonts w:ascii="Times New Roman" w:hAnsi="Times New Roman" w:cs="Times New Roman"/>
          <w:sz w:val="20"/>
          <w:szCs w:val="20"/>
        </w:rPr>
        <w:t>.</w:t>
      </w:r>
      <w:r w:rsidR="00890252">
        <w:rPr>
          <w:rFonts w:ascii="Times New Roman" w:hAnsi="Times New Roman" w:cs="Times New Roman"/>
          <w:sz w:val="20"/>
          <w:szCs w:val="20"/>
        </w:rPr>
        <w:t xml:space="preserve"> </w:t>
      </w:r>
      <w:r w:rsidRPr="005668EA">
        <w:rPr>
          <w:rFonts w:ascii="Times New Roman" w:hAnsi="Times New Roman" w:cs="Times New Roman"/>
          <w:sz w:val="20"/>
          <w:szCs w:val="20"/>
        </w:rPr>
        <w:t>HTA guidelines help to resolve most of the methodological uncertainty and promote the harmonisation of economic evaluation techniques</w:t>
      </w:r>
      <w:r w:rsidR="00861D67">
        <w:rPr>
          <w:rFonts w:ascii="Times New Roman" w:hAnsi="Times New Roman" w:cs="Times New Roman"/>
          <w:sz w:val="20"/>
          <w:szCs w:val="20"/>
        </w:rPr>
        <w:t xml:space="preserve"> </w:t>
      </w:r>
      <w:r w:rsidRPr="005668EA">
        <w:rPr>
          <w:rFonts w:ascii="Times New Roman" w:hAnsi="Times New Roman" w:cs="Times New Roman"/>
          <w:sz w:val="20"/>
          <w:szCs w:val="20"/>
        </w:rPr>
        <w:fldChar w:fldCharType="begin">
          <w:fldData xml:space="preserve">PEVuZE5vdGU+PENpdGU+PEF1dGhvcj5CcmlnZ3M8L0F1dGhvcj48WWVhcj4xOTk5PC9ZZWFyPjxS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=
</w:fldData>
        </w:fldChar>
      </w:r>
      <w:r w:rsidR="000663DE">
        <w:rPr>
          <w:rFonts w:ascii="Times New Roman" w:hAnsi="Times New Roman" w:cs="Times New Roman"/>
          <w:sz w:val="20"/>
          <w:szCs w:val="20"/>
        </w:rPr>
        <w:instrText xml:space="preserve"> ADDIN EN.CITE </w:instrText>
      </w:r>
      <w:r w:rsidR="000663DE">
        <w:rPr>
          <w:rFonts w:ascii="Times New Roman" w:hAnsi="Times New Roman" w:cs="Times New Roman"/>
          <w:sz w:val="20"/>
          <w:szCs w:val="20"/>
        </w:rPr>
        <w:fldChar w:fldCharType="begin">
          <w:fldData xml:space="preserve">PEVuZE5vdGU+PENpdGU+PEF1dGhvcj5CcmlnZ3M8L0F1dGhvcj48WWVhcj4xOTk5PC9ZZWFyPjxS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=
</w:fldData>
        </w:fldChar>
      </w:r>
      <w:r w:rsidR="000663DE">
        <w:rPr>
          <w:rFonts w:ascii="Times New Roman" w:hAnsi="Times New Roman" w:cs="Times New Roman"/>
          <w:sz w:val="20"/>
          <w:szCs w:val="20"/>
        </w:rPr>
        <w:instrText xml:space="preserve"> ADDIN EN.CITE.DATA </w:instrText>
      </w:r>
      <w:r w:rsidR="000663DE">
        <w:rPr>
          <w:rFonts w:ascii="Times New Roman" w:hAnsi="Times New Roman" w:cs="Times New Roman"/>
          <w:sz w:val="20"/>
          <w:szCs w:val="20"/>
        </w:rPr>
      </w:r>
      <w:r w:rsidR="000663DE">
        <w:rPr>
          <w:rFonts w:ascii="Times New Roman" w:hAnsi="Times New Roman" w:cs="Times New Roman"/>
          <w:sz w:val="20"/>
          <w:szCs w:val="20"/>
        </w:rPr>
        <w:fldChar w:fldCharType="end"/>
      </w:r>
      <w:r w:rsidRPr="005668EA">
        <w:rPr>
          <w:rFonts w:ascii="Times New Roman" w:hAnsi="Times New Roman" w:cs="Times New Roman"/>
          <w:sz w:val="20"/>
          <w:szCs w:val="20"/>
        </w:rPr>
      </w:r>
      <w:r w:rsidRPr="005668EA">
        <w:rPr>
          <w:rFonts w:ascii="Times New Roman" w:hAnsi="Times New Roman" w:cs="Times New Roman"/>
          <w:sz w:val="20"/>
          <w:szCs w:val="20"/>
        </w:rPr>
        <w:fldChar w:fldCharType="separate"/>
      </w:r>
      <w:r w:rsidR="000663DE">
        <w:rPr>
          <w:rFonts w:ascii="Times New Roman" w:hAnsi="Times New Roman" w:cs="Times New Roman"/>
          <w:noProof/>
          <w:sz w:val="20"/>
          <w:szCs w:val="20"/>
        </w:rPr>
        <w:t>[4, 6, 8-11]</w:t>
      </w:r>
      <w:r w:rsidRPr="005668EA">
        <w:rPr>
          <w:rFonts w:ascii="Times New Roman" w:hAnsi="Times New Roman" w:cs="Times New Roman"/>
          <w:sz w:val="20"/>
          <w:szCs w:val="20"/>
        </w:rPr>
        <w:fldChar w:fldCharType="end"/>
      </w:r>
      <w:r w:rsidRPr="005668EA">
        <w:rPr>
          <w:rFonts w:ascii="Times New Roman" w:hAnsi="Times New Roman" w:cs="Times New Roman"/>
          <w:sz w:val="20"/>
          <w:szCs w:val="20"/>
        </w:rPr>
        <w:t xml:space="preserve">. </w:t>
      </w:r>
      <w:r w:rsidR="00EC7DC8" w:rsidRPr="00EC7DC8">
        <w:rPr>
          <w:rFonts w:ascii="Times New Roman" w:hAnsi="Times New Roman" w:cs="Times New Roman"/>
          <w:sz w:val="20"/>
          <w:szCs w:val="20"/>
        </w:rPr>
        <w:t>To this end</w:t>
      </w:r>
      <w:r w:rsidRPr="005668EA">
        <w:rPr>
          <w:rFonts w:ascii="Times New Roman" w:hAnsi="Times New Roman" w:cs="Times New Roman"/>
          <w:sz w:val="20"/>
          <w:szCs w:val="20"/>
        </w:rPr>
        <w:t xml:space="preserve">, HTA </w:t>
      </w:r>
      <w:r w:rsidR="00890252">
        <w:rPr>
          <w:rFonts w:ascii="Times New Roman" w:hAnsi="Times New Roman" w:cs="Times New Roman"/>
          <w:sz w:val="20"/>
          <w:szCs w:val="20"/>
        </w:rPr>
        <w:t>bodies</w:t>
      </w:r>
      <w:r w:rsidRPr="005668EA">
        <w:rPr>
          <w:rFonts w:ascii="Times New Roman" w:hAnsi="Times New Roman" w:cs="Times New Roman"/>
          <w:sz w:val="20"/>
          <w:szCs w:val="20"/>
        </w:rPr>
        <w:t xml:space="preserve"> often propose a reference case</w:t>
      </w:r>
      <w:r w:rsidR="00EC7DC8">
        <w:rPr>
          <w:rFonts w:ascii="Times New Roman" w:hAnsi="Times New Roman" w:cs="Times New Roman"/>
          <w:sz w:val="20"/>
          <w:szCs w:val="20"/>
        </w:rPr>
        <w:t>, outlining</w:t>
      </w:r>
      <w:r w:rsidRPr="005668EA">
        <w:rPr>
          <w:rFonts w:ascii="Times New Roman" w:hAnsi="Times New Roman" w:cs="Times New Roman"/>
          <w:sz w:val="20"/>
          <w:szCs w:val="20"/>
        </w:rPr>
        <w:t xml:space="preserve"> a range of techniques for measuring cost, utility and model valuation </w:t>
      </w:r>
      <w:r w:rsidR="00EC7DC8">
        <w:rPr>
          <w:rFonts w:ascii="Times New Roman" w:hAnsi="Times New Roman" w:cs="Times New Roman"/>
          <w:sz w:val="20"/>
          <w:szCs w:val="20"/>
        </w:rPr>
        <w:t>for</w:t>
      </w:r>
      <w:r w:rsidRPr="005668EA">
        <w:rPr>
          <w:rFonts w:ascii="Times New Roman" w:hAnsi="Times New Roman" w:cs="Times New Roman"/>
          <w:sz w:val="20"/>
          <w:szCs w:val="20"/>
        </w:rPr>
        <w:t xml:space="preserve"> economic models. Nonetheless, disagreements among practitioners regarding the applied methodology can lead to ongoing methodological uncertainty</w:t>
      </w:r>
      <w:r w:rsidR="00861D67">
        <w:rPr>
          <w:rFonts w:ascii="Times New Roman" w:hAnsi="Times New Roman" w:cs="Times New Roman"/>
          <w:sz w:val="20"/>
          <w:szCs w:val="20"/>
        </w:rPr>
        <w:t xml:space="preserve"> </w:t>
      </w:r>
      <w:r w:rsidRPr="005668EA">
        <w:rPr>
          <w:rFonts w:ascii="Times New Roman" w:hAnsi="Times New Roman" w:cs="Times New Roman"/>
          <w:sz w:val="20"/>
          <w:szCs w:val="20"/>
        </w:rPr>
        <w:fldChar w:fldCharType="begin"/>
      </w:r>
      <w:r w:rsidR="00640B25">
        <w:rPr>
          <w:rFonts w:ascii="Times New Roman" w:hAnsi="Times New Roman" w:cs="Times New Roman"/>
          <w:sz w:val="20"/>
          <w:szCs w:val="20"/>
        </w:rPr>
        <w:instrText xml:space="preserve"> ADDIN EN.CITE &lt;EndNote&gt;&lt;Cite&gt;&lt;Author&gt;Briggs&lt;/Author&gt;&lt;Year&gt;2000&lt;/Year&gt;&lt;RecNum&gt;15241&lt;/RecNum&gt;&lt;DisplayText&gt;[4]&lt;/DisplayText&gt;&lt;record&gt;&lt;rec-number&gt;15241&lt;/rec-number&gt;&lt;foreign-keys&gt;&lt;key app="EN" db-id="5zttwaa2gstv57epr5z5zxv325varaa5e9rp" timestamp="1593914909"&gt;15241&lt;/key&gt;&lt;/foreign-keys&gt;&lt;ref-type name="Journal Article"&gt;17&lt;/ref-type&gt;&lt;contributors&gt;&lt;authors&gt;&lt;author&gt;Briggs, A. H.&lt;/author&gt;&lt;/authors&gt;&lt;/contributors&gt;&lt;auth-address&gt;Health Economics Research Centre, University of Oxford, England. andrew.briggs@ihs.ox.ac.uk&lt;/auth-address&gt;&lt;titles&gt;&lt;title&gt;Handling uncertainty in cost-effectiveness models&lt;/title&gt;&lt;secondary-title&gt;Pharmacoeconomics&lt;/secondary-title&gt;&lt;/titles&gt;&lt;periodical&gt;&lt;full-title&gt;Pharmacoeconomics&lt;/full-title&gt;&lt;abbr-1&gt;PharmacoEconomics&lt;/abbr-1&gt;&lt;/periodical&gt;&lt;pages&gt;479-500&lt;/pages&gt;&lt;volume&gt;17&lt;/volume&gt;&lt;number&gt;5&lt;/number&gt;&lt;edition&gt;2000/09/08&lt;/edition&gt;&lt;keywords&gt;&lt;keyword&gt;*Cost-Benefit Analysis&lt;/keyword&gt;&lt;keyword&gt;Decision Support Techniques&lt;/keyword&gt;&lt;keyword&gt;Humans&lt;/keyword&gt;&lt;keyword&gt;*Models, Economic&lt;/keyword&gt;&lt;keyword&gt;Probability&lt;/keyword&gt;&lt;/keywords&gt;&lt;dates&gt;&lt;year&gt;2000&lt;/year&gt;&lt;pub-dates&gt;&lt;date&gt;May&lt;/date&gt;&lt;/pub-dates&gt;&lt;/dates&gt;&lt;isbn&gt;1170-7690 (Print)&amp;#xD;1170-7690&lt;/isbn&gt;&lt;accession-num&gt;10977389&lt;/accession-num&gt;&lt;urls&gt;&lt;/urls&gt;&lt;electronic-resource-num&gt;10.2165/00019053-200017050-00006&lt;/electronic-resource-num&gt;&lt;remote-database-provider&gt;NLM&lt;/remote-database-provider&gt;&lt;language&gt;eng&lt;/language&gt;&lt;/record&gt;&lt;/Cite&gt;&lt;/EndNote&gt;</w:instrText>
      </w:r>
      <w:r w:rsidRPr="005668EA">
        <w:rPr>
          <w:rFonts w:ascii="Times New Roman" w:hAnsi="Times New Roman" w:cs="Times New Roman"/>
          <w:sz w:val="20"/>
          <w:szCs w:val="20"/>
        </w:rPr>
        <w:fldChar w:fldCharType="separate"/>
      </w:r>
      <w:r w:rsidR="00640B25">
        <w:rPr>
          <w:rFonts w:ascii="Times New Roman" w:hAnsi="Times New Roman" w:cs="Times New Roman"/>
          <w:noProof/>
          <w:sz w:val="20"/>
          <w:szCs w:val="20"/>
        </w:rPr>
        <w:t>[4]</w:t>
      </w:r>
      <w:r w:rsidRPr="005668EA">
        <w:rPr>
          <w:rFonts w:ascii="Times New Roman" w:hAnsi="Times New Roman" w:cs="Times New Roman"/>
          <w:sz w:val="20"/>
          <w:szCs w:val="20"/>
        </w:rPr>
        <w:fldChar w:fldCharType="end"/>
      </w:r>
      <w:r w:rsidRPr="005668EA">
        <w:rPr>
          <w:rFonts w:ascii="Times New Roman" w:hAnsi="Times New Roman" w:cs="Times New Roman"/>
          <w:sz w:val="20"/>
          <w:szCs w:val="20"/>
        </w:rPr>
        <w:t xml:space="preserve">. In theory, this </w:t>
      </w:r>
      <w:r w:rsidR="00D921B2" w:rsidRPr="00D921B2">
        <w:rPr>
          <w:rFonts w:ascii="Times New Roman" w:hAnsi="Times New Roman" w:cs="Times New Roman"/>
          <w:sz w:val="20"/>
          <w:szCs w:val="20"/>
        </w:rPr>
        <w:t xml:space="preserve">uncertainty </w:t>
      </w:r>
      <w:r w:rsidRPr="005668EA">
        <w:rPr>
          <w:rFonts w:ascii="Times New Roman" w:hAnsi="Times New Roman" w:cs="Times New Roman"/>
          <w:sz w:val="20"/>
          <w:szCs w:val="20"/>
        </w:rPr>
        <w:t xml:space="preserve">can be explored by comparing the results of </w:t>
      </w:r>
      <w:r w:rsidR="0097470D" w:rsidRPr="005668EA">
        <w:rPr>
          <w:rFonts w:ascii="Times New Roman" w:hAnsi="Times New Roman" w:cs="Times New Roman"/>
          <w:sz w:val="20"/>
          <w:szCs w:val="20"/>
        </w:rPr>
        <w:t xml:space="preserve">a </w:t>
      </w:r>
      <w:r w:rsidRPr="005668EA">
        <w:rPr>
          <w:rFonts w:ascii="Times New Roman" w:hAnsi="Times New Roman" w:cs="Times New Roman"/>
          <w:sz w:val="20"/>
          <w:szCs w:val="20"/>
        </w:rPr>
        <w:t>reference case analysis with those of a non-reference case analysis</w:t>
      </w:r>
      <w:r w:rsidR="00760094" w:rsidRPr="00F234DD">
        <w:rPr>
          <w:rFonts w:ascii="Times New Roman" w:hAnsi="Times New Roman" w:cs="Times New Roman"/>
          <w:sz w:val="20"/>
          <w:szCs w:val="20"/>
        </w:rPr>
        <w:t xml:space="preserve">, aiming to examine the impact </w:t>
      </w:r>
      <w:r w:rsidRPr="005668EA">
        <w:rPr>
          <w:rFonts w:ascii="Times New Roman" w:hAnsi="Times New Roman" w:cs="Times New Roman"/>
          <w:sz w:val="20"/>
          <w:szCs w:val="20"/>
        </w:rPr>
        <w:t xml:space="preserve">of methodological </w:t>
      </w:r>
      <w:r w:rsidR="00D921B2" w:rsidRPr="00EC7DC8">
        <w:rPr>
          <w:rFonts w:ascii="Times New Roman" w:hAnsi="Times New Roman" w:cs="Times New Roman"/>
          <w:sz w:val="20"/>
          <w:szCs w:val="20"/>
        </w:rPr>
        <w:t>deviations</w:t>
      </w:r>
      <w:r w:rsidRPr="005668EA">
        <w:rPr>
          <w:rFonts w:ascii="Times New Roman" w:hAnsi="Times New Roman" w:cs="Times New Roman"/>
          <w:sz w:val="20"/>
          <w:szCs w:val="20"/>
        </w:rPr>
        <w:t xml:space="preserve"> on </w:t>
      </w:r>
      <w:r w:rsidR="00F22C83">
        <w:rPr>
          <w:rFonts w:ascii="Times New Roman" w:hAnsi="Times New Roman" w:cs="Times New Roman"/>
          <w:sz w:val="20"/>
          <w:szCs w:val="20"/>
        </w:rPr>
        <w:t xml:space="preserve">the </w:t>
      </w:r>
      <w:r w:rsidR="004C2E44">
        <w:rPr>
          <w:rFonts w:ascii="Times New Roman" w:hAnsi="Times New Roman" w:cs="Times New Roman"/>
          <w:sz w:val="20"/>
          <w:szCs w:val="20"/>
        </w:rPr>
        <w:t>i</w:t>
      </w:r>
      <w:r w:rsidR="004C2E44" w:rsidRPr="004C2E44">
        <w:rPr>
          <w:rFonts w:ascii="Times New Roman" w:hAnsi="Times New Roman" w:cs="Times New Roman"/>
          <w:sz w:val="20"/>
          <w:szCs w:val="20"/>
        </w:rPr>
        <w:t>ncremental cost-effectiveness ratio</w:t>
      </w:r>
      <w:r w:rsidR="004C2E44">
        <w:rPr>
          <w:rFonts w:ascii="Times New Roman" w:hAnsi="Times New Roman" w:cs="Times New Roman"/>
          <w:sz w:val="20"/>
          <w:szCs w:val="20"/>
        </w:rPr>
        <w:t xml:space="preserve"> (</w:t>
      </w:r>
      <w:r w:rsidRPr="005668EA">
        <w:rPr>
          <w:rFonts w:ascii="Times New Roman" w:hAnsi="Times New Roman" w:cs="Times New Roman"/>
          <w:sz w:val="20"/>
          <w:szCs w:val="20"/>
        </w:rPr>
        <w:t>ICER</w:t>
      </w:r>
      <w:r w:rsidR="004C2E44">
        <w:rPr>
          <w:rFonts w:ascii="Times New Roman" w:hAnsi="Times New Roman" w:cs="Times New Roman"/>
          <w:sz w:val="20"/>
          <w:szCs w:val="20"/>
        </w:rPr>
        <w:t>)</w:t>
      </w:r>
      <w:r w:rsidR="004833CD">
        <w:rPr>
          <w:rFonts w:ascii="Times New Roman" w:hAnsi="Times New Roman" w:cs="Times New Roman"/>
          <w:sz w:val="20"/>
          <w:szCs w:val="20"/>
        </w:rPr>
        <w:t xml:space="preserve"> </w:t>
      </w:r>
      <w:r w:rsidRPr="005668EA">
        <w:rPr>
          <w:rFonts w:ascii="Times New Roman" w:hAnsi="Times New Roman" w:cs="Times New Roman"/>
          <w:sz w:val="20"/>
          <w:szCs w:val="20"/>
        </w:rPr>
        <w:fldChar w:fldCharType="begin"/>
      </w:r>
      <w:r w:rsidR="000663DE">
        <w:rPr>
          <w:rFonts w:ascii="Times New Roman" w:hAnsi="Times New Roman" w:cs="Times New Roman"/>
          <w:sz w:val="20"/>
          <w:szCs w:val="20"/>
        </w:rPr>
        <w:instrText xml:space="preserve"> ADDIN EN.CITE &lt;EndNote&gt;&lt;Cite&gt;&lt;Author&gt;Canadian Agency for Drugs and Technologies in Health&lt;/Author&gt;&lt;Year&gt;2017&lt;/Year&gt;&lt;RecNum&gt;18459&lt;/RecNum&gt;&lt;DisplayText&gt;[12]&lt;/DisplayText&gt;&lt;record&gt;&lt;rec-number&gt;18459&lt;/rec-number&gt;&lt;foreign-keys&gt;&lt;key app="EN" db-id="5zttwaa2gstv57epr5z5zxv325varaa5e9rp" timestamp="1646324932"&gt;18459&lt;/key&gt;&lt;/foreign-keys&gt;&lt;ref-type name="Government Document"&gt;46&lt;/ref-type&gt;&lt;contributors&gt;&lt;authors&gt;&lt;author&gt;Canadian Agency for Drugs and Technologies in Health, &lt;/author&gt;&lt;/authors&gt;&lt;secondary-authors&gt;&lt;author&gt; Canadian Agency for Drugs and Technologies in Health &lt;/author&gt;&lt;/secondary-authors&gt;&lt;/contributors&gt;&lt;titles&gt;&lt;title&gt;Guidelines for the Economic Evaluation of Health Technologies: Canada&lt;/title&gt;&lt;/titles&gt;&lt;dates&gt;&lt;year&gt;2017&lt;/year&gt;&lt;/dates&gt;&lt;urls&gt;&lt;related-urls&gt;&lt;url&gt;https://www.cadth.ca/sites/default/files/pdf/economic_guidelines_worked_example.pdf&lt;/url&gt;&lt;/related-urls&gt;&lt;/urls&gt;&lt;access-date&gt;10 Feb 2022&lt;/access-date&gt;&lt;/record&gt;&lt;/Cite&gt;&lt;/EndNote&gt;</w:instrText>
      </w:r>
      <w:r w:rsidRPr="005668EA">
        <w:rPr>
          <w:rFonts w:ascii="Times New Roman" w:hAnsi="Times New Roman" w:cs="Times New Roman"/>
          <w:sz w:val="20"/>
          <w:szCs w:val="20"/>
        </w:rPr>
        <w:fldChar w:fldCharType="separate"/>
      </w:r>
      <w:r w:rsidR="000663DE">
        <w:rPr>
          <w:rFonts w:ascii="Times New Roman" w:hAnsi="Times New Roman" w:cs="Times New Roman"/>
          <w:noProof/>
          <w:sz w:val="20"/>
          <w:szCs w:val="20"/>
        </w:rPr>
        <w:t>[12]</w:t>
      </w:r>
      <w:r w:rsidRPr="005668EA">
        <w:rPr>
          <w:rFonts w:ascii="Times New Roman" w:hAnsi="Times New Roman" w:cs="Times New Roman"/>
          <w:sz w:val="20"/>
          <w:szCs w:val="20"/>
        </w:rPr>
        <w:fldChar w:fldCharType="end"/>
      </w:r>
      <w:r w:rsidRPr="005668EA">
        <w:rPr>
          <w:rFonts w:ascii="Times New Roman" w:hAnsi="Times New Roman" w:cs="Times New Roman"/>
          <w:sz w:val="20"/>
          <w:szCs w:val="20"/>
        </w:rPr>
        <w:t xml:space="preserve">. However, the PBAC guideline </w:t>
      </w:r>
      <w:r w:rsidR="00D921B2">
        <w:rPr>
          <w:rFonts w:ascii="Times New Roman" w:hAnsi="Times New Roman" w:cs="Times New Roman"/>
          <w:sz w:val="20"/>
          <w:szCs w:val="20"/>
        </w:rPr>
        <w:t>has</w:t>
      </w:r>
      <w:r w:rsidR="00D921B2" w:rsidRPr="005668EA">
        <w:rPr>
          <w:rFonts w:ascii="Times New Roman" w:hAnsi="Times New Roman" w:cs="Times New Roman"/>
          <w:sz w:val="20"/>
          <w:szCs w:val="20"/>
        </w:rPr>
        <w:t xml:space="preserve"> </w:t>
      </w:r>
      <w:r w:rsidRPr="005668EA">
        <w:rPr>
          <w:rFonts w:ascii="Times New Roman" w:hAnsi="Times New Roman" w:cs="Times New Roman"/>
          <w:sz w:val="20"/>
          <w:szCs w:val="20"/>
        </w:rPr>
        <w:t>not define</w:t>
      </w:r>
      <w:r w:rsidR="00D921B2">
        <w:rPr>
          <w:rFonts w:ascii="Times New Roman" w:hAnsi="Times New Roman" w:cs="Times New Roman"/>
          <w:sz w:val="20"/>
          <w:szCs w:val="20"/>
        </w:rPr>
        <w:t>d</w:t>
      </w:r>
      <w:r w:rsidRPr="005668EA">
        <w:rPr>
          <w:rFonts w:ascii="Times New Roman" w:hAnsi="Times New Roman" w:cs="Times New Roman"/>
          <w:sz w:val="20"/>
          <w:szCs w:val="20"/>
        </w:rPr>
        <w:t xml:space="preserve"> a reference case. Out of the 12 key items retrieved from the reference case</w:t>
      </w:r>
      <w:r w:rsidR="00D921B2">
        <w:rPr>
          <w:rFonts w:ascii="Times New Roman" w:hAnsi="Times New Roman" w:cs="Times New Roman"/>
          <w:sz w:val="20"/>
          <w:szCs w:val="20"/>
        </w:rPr>
        <w:t>s</w:t>
      </w:r>
      <w:r w:rsidRPr="005668EA">
        <w:rPr>
          <w:rFonts w:ascii="Times New Roman" w:hAnsi="Times New Roman" w:cs="Times New Roman"/>
          <w:sz w:val="20"/>
          <w:szCs w:val="20"/>
        </w:rPr>
        <w:t xml:space="preserve"> recommended by other HTA guidelines (as shown in Table </w:t>
      </w:r>
      <w:r w:rsidR="00DB4637">
        <w:rPr>
          <w:rFonts w:ascii="Times New Roman" w:hAnsi="Times New Roman" w:cs="Times New Roman"/>
          <w:sz w:val="20"/>
          <w:szCs w:val="20"/>
        </w:rPr>
        <w:t>1-</w:t>
      </w:r>
      <w:r w:rsidRPr="005668EA">
        <w:rPr>
          <w:rFonts w:ascii="Times New Roman" w:hAnsi="Times New Roman" w:cs="Times New Roman"/>
          <w:sz w:val="20"/>
          <w:szCs w:val="20"/>
        </w:rPr>
        <w:t>1), five items are common, including how to define a decision problem, perspective of economic ev</w:t>
      </w:r>
      <w:r w:rsidR="00736F35" w:rsidRPr="005668EA">
        <w:rPr>
          <w:rFonts w:ascii="Times New Roman" w:hAnsi="Times New Roman" w:cs="Times New Roman"/>
          <w:sz w:val="20"/>
          <w:szCs w:val="20"/>
        </w:rPr>
        <w:t>a</w:t>
      </w:r>
      <w:r w:rsidRPr="005668EA">
        <w:rPr>
          <w:rFonts w:ascii="Times New Roman" w:hAnsi="Times New Roman" w:cs="Times New Roman"/>
          <w:sz w:val="20"/>
          <w:szCs w:val="20"/>
        </w:rPr>
        <w:t>luation, discounting rate, selection of comparators, and source of preference data for valuing changes in health-related quality of life. The remaining items varied to some extent.</w:t>
      </w:r>
      <w:r w:rsidR="00F06A4B">
        <w:rPr>
          <w:rFonts w:ascii="Times New Roman" w:hAnsi="Times New Roman" w:cs="Times New Roman"/>
          <w:sz w:val="20"/>
          <w:szCs w:val="20"/>
        </w:rPr>
        <w:t xml:space="preserve"> </w:t>
      </w:r>
    </w:p>
    <w:p w14:paraId="4EEB0DCF" w14:textId="77777777" w:rsidR="00675F53" w:rsidRPr="005668EA" w:rsidRDefault="00675F53" w:rsidP="006C41A0">
      <w:pPr>
        <w:widowControl/>
        <w:adjustRightInd w:val="0"/>
        <w:snapToGrid w:val="0"/>
        <w:spacing w:line="360" w:lineRule="auto"/>
        <w:rPr>
          <w:rFonts w:ascii="Times New Roman" w:hAnsi="Times New Roman" w:cs="Times New Roman"/>
          <w:sz w:val="20"/>
          <w:szCs w:val="20"/>
        </w:rPr>
      </w:pPr>
    </w:p>
    <w:bookmarkEnd w:id="2"/>
    <w:p w14:paraId="4CBE929A" w14:textId="6E547500" w:rsidR="005703C0" w:rsidRPr="005668EA" w:rsidRDefault="005703C0" w:rsidP="006C41A0">
      <w:pPr>
        <w:pStyle w:val="Heading3"/>
        <w:adjustRightInd w:val="0"/>
        <w:snapToGrid w:val="0"/>
        <w:spacing w:before="120" w:after="120" w:line="360" w:lineRule="auto"/>
        <w:rPr>
          <w:rFonts w:ascii="Times New Roman" w:hAnsi="Times New Roman" w:cs="Times New Roman"/>
          <w:sz w:val="20"/>
          <w:szCs w:val="20"/>
        </w:rPr>
      </w:pPr>
      <w:r w:rsidRPr="005668EA">
        <w:rPr>
          <w:rFonts w:ascii="Times New Roman" w:hAnsi="Times New Roman" w:cs="Times New Roman"/>
          <w:sz w:val="20"/>
          <w:szCs w:val="20"/>
        </w:rPr>
        <w:t>1.1 Un</w:t>
      </w:r>
      <w:r w:rsidR="00230578" w:rsidRPr="005668EA">
        <w:rPr>
          <w:rFonts w:ascii="Times New Roman" w:hAnsi="Times New Roman" w:cs="Times New Roman"/>
          <w:sz w:val="20"/>
          <w:szCs w:val="20"/>
        </w:rPr>
        <w:t>parameterisable</w:t>
      </w:r>
      <w:r w:rsidRPr="005668EA">
        <w:rPr>
          <w:rFonts w:ascii="Times New Roman" w:hAnsi="Times New Roman" w:cs="Times New Roman"/>
          <w:sz w:val="20"/>
          <w:szCs w:val="20"/>
        </w:rPr>
        <w:t xml:space="preserve"> methodological uncertainty </w:t>
      </w:r>
    </w:p>
    <w:p w14:paraId="460AF251" w14:textId="490D3F6A" w:rsidR="005703C0" w:rsidRPr="00AD61C8" w:rsidRDefault="005703C0" w:rsidP="00123299">
      <w:pPr>
        <w:pStyle w:val="Heading4"/>
        <w:spacing w:before="240" w:after="120" w:line="360" w:lineRule="auto"/>
        <w:rPr>
          <w:rFonts w:ascii="Times New Roman" w:hAnsi="Times New Roman" w:cs="Times New Roman"/>
          <w:sz w:val="20"/>
          <w:szCs w:val="20"/>
        </w:rPr>
      </w:pPr>
      <w:r w:rsidRPr="00AD61C8">
        <w:rPr>
          <w:rFonts w:ascii="Times New Roman" w:eastAsiaTheme="minorEastAsia" w:hAnsi="Times New Roman" w:cs="Times New Roman"/>
          <w:sz w:val="20"/>
          <w:szCs w:val="20"/>
        </w:rPr>
        <w:t>1.1.1 The treatment</w:t>
      </w:r>
      <w:r w:rsidR="00055689" w:rsidRPr="00AD61C8">
        <w:rPr>
          <w:rFonts w:ascii="Times New Roman" w:eastAsiaTheme="minorEastAsia" w:hAnsi="Times New Roman" w:cs="Times New Roman"/>
          <w:sz w:val="20"/>
          <w:szCs w:val="20"/>
        </w:rPr>
        <w:t xml:space="preserve"> proposed</w:t>
      </w:r>
      <w:r w:rsidRPr="00AD61C8">
        <w:rPr>
          <w:rFonts w:ascii="Times New Roman" w:eastAsiaTheme="minorEastAsia" w:hAnsi="Times New Roman" w:cs="Times New Roman"/>
          <w:sz w:val="20"/>
          <w:szCs w:val="20"/>
        </w:rPr>
        <w:t xml:space="preserve"> was not consistent with the clinical place in therapy, or the restriction listed on the Pharmaceutical Benefits Scheme (PBS) schedule</w:t>
      </w:r>
      <w:r w:rsidR="005E6833" w:rsidRPr="00AD61C8">
        <w:rPr>
          <w:rFonts w:ascii="Times New Roman" w:eastAsiaTheme="minorEastAsia" w:hAnsi="Times New Roman" w:cs="Times New Roman"/>
          <w:sz w:val="20"/>
          <w:szCs w:val="20"/>
        </w:rPr>
        <w:t xml:space="preserve"> </w:t>
      </w:r>
    </w:p>
    <w:p w14:paraId="2CFED522" w14:textId="2C1957DF" w:rsidR="005703C0" w:rsidRPr="005668EA" w:rsidRDefault="03F2ABF5" w:rsidP="006C41A0">
      <w:pPr>
        <w:pStyle w:val="1"/>
        <w:widowControl w:val="0"/>
        <w:adjustRightInd w:val="0"/>
        <w:snapToGrid w:val="0"/>
        <w:spacing w:line="360" w:lineRule="auto"/>
        <w:rPr>
          <w:sz w:val="20"/>
          <w:szCs w:val="20"/>
        </w:rPr>
      </w:pPr>
      <w:bookmarkStart w:id="3" w:name="_Hlk159174362"/>
      <w:r w:rsidRPr="4F533E7D">
        <w:rPr>
          <w:sz w:val="20"/>
          <w:szCs w:val="20"/>
        </w:rPr>
        <w:t xml:space="preserve">This </w:t>
      </w:r>
      <w:r w:rsidR="005703C0" w:rsidRPr="4F533E7D">
        <w:rPr>
          <w:sz w:val="20"/>
          <w:szCs w:val="20"/>
        </w:rPr>
        <w:t xml:space="preserve">refers to the situations where the proposed clinical place or restriction of medicine was not </w:t>
      </w:r>
      <w:r w:rsidR="00B449D9" w:rsidRPr="4F533E7D">
        <w:rPr>
          <w:sz w:val="20"/>
          <w:szCs w:val="20"/>
        </w:rPr>
        <w:t xml:space="preserve">applicable </w:t>
      </w:r>
      <w:r w:rsidR="005703C0" w:rsidRPr="4F533E7D">
        <w:rPr>
          <w:sz w:val="20"/>
          <w:szCs w:val="20"/>
        </w:rPr>
        <w:t xml:space="preserve">in the context of Australia. If the PBAC considered the submissions </w:t>
      </w:r>
      <w:r w:rsidR="00A22DE8">
        <w:rPr>
          <w:sz w:val="20"/>
          <w:szCs w:val="20"/>
        </w:rPr>
        <w:t>to have</w:t>
      </w:r>
      <w:r w:rsidR="00A22DE8" w:rsidRPr="4F533E7D">
        <w:rPr>
          <w:sz w:val="20"/>
          <w:szCs w:val="20"/>
        </w:rPr>
        <w:t xml:space="preserve"> </w:t>
      </w:r>
      <w:r w:rsidR="005703C0" w:rsidRPr="4F533E7D">
        <w:rPr>
          <w:sz w:val="20"/>
          <w:szCs w:val="20"/>
        </w:rPr>
        <w:t xml:space="preserve">the following </w:t>
      </w:r>
      <w:r w:rsidR="005703C0" w:rsidRPr="4F533E7D">
        <w:rPr>
          <w:sz w:val="20"/>
          <w:szCs w:val="20"/>
        </w:rPr>
        <w:lastRenderedPageBreak/>
        <w:t>issues, methodological uncertainty</w:t>
      </w:r>
      <w:r w:rsidR="00755B56" w:rsidRPr="4F533E7D">
        <w:rPr>
          <w:sz w:val="20"/>
          <w:szCs w:val="20"/>
        </w:rPr>
        <w:t xml:space="preserve"> was coded</w:t>
      </w:r>
      <w:r w:rsidR="005703C0" w:rsidRPr="4F533E7D">
        <w:rPr>
          <w:sz w:val="20"/>
          <w:szCs w:val="20"/>
        </w:rPr>
        <w:t xml:space="preserve">. </w:t>
      </w:r>
    </w:p>
    <w:bookmarkEnd w:id="3"/>
    <w:p w14:paraId="47434CAC" w14:textId="4C72DF77" w:rsidR="005703C0" w:rsidRPr="005668EA" w:rsidRDefault="005703C0" w:rsidP="006C41A0">
      <w:pPr>
        <w:adjustRightInd w:val="0"/>
        <w:snapToGrid w:val="0"/>
        <w:spacing w:line="360" w:lineRule="auto"/>
        <w:rPr>
          <w:rFonts w:ascii="Times New Roman" w:eastAsia="SimSun" w:hAnsi="Times New Roman" w:cs="Times New Roman"/>
          <w:sz w:val="20"/>
          <w:szCs w:val="20"/>
          <w:lang w:val="en-US"/>
        </w:rPr>
      </w:pPr>
      <w:r w:rsidRPr="4F533E7D">
        <w:rPr>
          <w:rFonts w:ascii="Times New Roman" w:eastAsia="SimSun" w:hAnsi="Times New Roman" w:cs="Times New Roman"/>
          <w:sz w:val="20"/>
          <w:szCs w:val="20"/>
          <w:lang w:val="en-US"/>
        </w:rPr>
        <w:t xml:space="preserve">(1) </w:t>
      </w:r>
      <w:bookmarkStart w:id="4" w:name="_Hlk159174934"/>
      <w:r w:rsidR="000663DE" w:rsidRPr="000663DE">
        <w:rPr>
          <w:rFonts w:ascii="Times New Roman" w:eastAsia="SimSun" w:hAnsi="Times New Roman" w:cs="Times New Roman"/>
          <w:sz w:val="20"/>
          <w:szCs w:val="20"/>
          <w:lang w:val="en-US"/>
        </w:rPr>
        <w:t>Unjustified variation to the current PBS restriction</w:t>
      </w:r>
      <w:r w:rsidRPr="4F533E7D">
        <w:rPr>
          <w:rFonts w:ascii="Times New Roman" w:eastAsia="SimSun" w:hAnsi="Times New Roman" w:cs="Times New Roman"/>
          <w:sz w:val="20"/>
          <w:szCs w:val="20"/>
          <w:lang w:val="en-US"/>
        </w:rPr>
        <w:t xml:space="preserve"> </w:t>
      </w:r>
    </w:p>
    <w:p w14:paraId="338D378C" w14:textId="77777777" w:rsidR="009A6C33" w:rsidRDefault="000663DE" w:rsidP="000663DE">
      <w:pPr>
        <w:adjustRightInd w:val="0"/>
        <w:snapToGrid w:val="0"/>
        <w:spacing w:line="360" w:lineRule="auto"/>
        <w:rPr>
          <w:rFonts w:ascii="Times New Roman" w:hAnsi="Times New Roman" w:cs="Times New Roman"/>
          <w:sz w:val="20"/>
          <w:szCs w:val="20"/>
        </w:rPr>
      </w:pPr>
      <w:r w:rsidRPr="000663DE">
        <w:rPr>
          <w:rFonts w:ascii="Times New Roman" w:hAnsi="Times New Roman" w:cs="Times New Roman"/>
          <w:sz w:val="20"/>
          <w:szCs w:val="20"/>
        </w:rPr>
        <w:t xml:space="preserve">The PBAC requires the sponsor to present a flowchart to depict the current management of the disease or condition in the target Australian population in the absence of the proposed listing of a new medicine [9]. If seeking a variation of the current PBS listing of a proposed medicine, restrict the clinical management algorithm to patients whose management will change. The PBAC expressed concerns when the proposed treatment algorithm (e.g., line of treatment, treatment options or stopping rules) was unclear, either broader or narrower than the existing PBS restriction criteria or not in line with Australian guidelines. It also happens when the relaxation or removal of restriction criteria or continuation criteria allows patients earlier access to treatment in the disease treatment algorithm (i.e., moving from a last line to an earlier line of therapy). For instance, in the submission of nivolumab for nivolumab in combination with ipilimumab as the first line treatment of Stage IV clear cell variant renal cell carcinoma (RCC) in patients meeting the International Metastatic Renal Cell Carcinoma Database Consortium intermediate to poor risk group criteria, the PBAC noted that the submission requested a flow-on change to the existing restrictions for second- and later-line RCC therapies: removal of the requirement for patients to have received prior TKI therapy before commencing second-line nivolumab, everolimus, axitinib, sorafenib or cabozantinib. The PBAC considered that this was not appropriate given that no evidence had been provided to support this change. Also, in the submission of olaparib for the treatment of metastatic castration-resistant prostate cancer (mCRPC), the PBAC noted that the appropriate clinical place for olaparib should be as the third-line treatment following failure on docetaxel and failure on a novel hormonal agent [10]. </w:t>
      </w:r>
      <w:bookmarkStart w:id="5" w:name="_Hlk159175348"/>
      <w:bookmarkEnd w:id="4"/>
    </w:p>
    <w:p w14:paraId="54E72B84" w14:textId="77777777" w:rsidR="00B07933" w:rsidRDefault="00B07933" w:rsidP="000663DE">
      <w:pPr>
        <w:adjustRightInd w:val="0"/>
        <w:snapToGrid w:val="0"/>
        <w:spacing w:line="360" w:lineRule="auto"/>
        <w:rPr>
          <w:rFonts w:ascii="Times New Roman" w:hAnsi="Times New Roman" w:cs="Times New Roman"/>
          <w:sz w:val="20"/>
          <w:szCs w:val="20"/>
        </w:rPr>
      </w:pPr>
    </w:p>
    <w:p w14:paraId="5E7232B5" w14:textId="751F637A" w:rsidR="00B07933" w:rsidRDefault="007E0D7F" w:rsidP="000663DE">
      <w:pPr>
        <w:adjustRightInd w:val="0"/>
        <w:snapToGrid w:val="0"/>
        <w:spacing w:line="360" w:lineRule="auto"/>
        <w:rPr>
          <w:rFonts w:ascii="Times New Roman" w:hAnsi="Times New Roman" w:cs="Times New Roman"/>
          <w:sz w:val="20"/>
          <w:szCs w:val="20"/>
        </w:rPr>
      </w:pPr>
      <w:r w:rsidRPr="00B07933">
        <w:rPr>
          <w:rFonts w:ascii="Times New Roman" w:hAnsi="Times New Roman" w:cs="Times New Roman"/>
          <w:sz w:val="20"/>
          <w:szCs w:val="20"/>
        </w:rPr>
        <w:t xml:space="preserve">(2) </w:t>
      </w:r>
      <w:r w:rsidR="00B07933">
        <w:rPr>
          <w:rFonts w:ascii="Times New Roman" w:hAnsi="Times New Roman" w:cs="Times New Roman"/>
          <w:sz w:val="20"/>
          <w:szCs w:val="20"/>
        </w:rPr>
        <w:t>M</w:t>
      </w:r>
      <w:r w:rsidR="000663DE" w:rsidRPr="00C33017">
        <w:rPr>
          <w:rFonts w:ascii="Times New Roman" w:hAnsi="Times New Roman" w:cs="Times New Roman"/>
          <w:sz w:val="20"/>
          <w:szCs w:val="20"/>
        </w:rPr>
        <w:t>isalignment</w:t>
      </w:r>
      <w:r w:rsidR="00B07933">
        <w:rPr>
          <w:rFonts w:ascii="Times New Roman" w:hAnsi="Times New Roman" w:cs="Times New Roman"/>
          <w:sz w:val="20"/>
          <w:szCs w:val="20"/>
        </w:rPr>
        <w:t>s</w:t>
      </w:r>
      <w:r w:rsidR="000663DE" w:rsidRPr="00C33017">
        <w:rPr>
          <w:rFonts w:ascii="Times New Roman" w:hAnsi="Times New Roman" w:cs="Times New Roman"/>
          <w:sz w:val="20"/>
          <w:szCs w:val="20"/>
        </w:rPr>
        <w:t xml:space="preserve"> between the TGA and the PBAC regarding the proposed indication or clinical place </w:t>
      </w:r>
    </w:p>
    <w:p w14:paraId="15D35B86" w14:textId="7D37BD9D" w:rsidR="007E0D7F" w:rsidRPr="00B07933" w:rsidRDefault="000663DE" w:rsidP="000663DE">
      <w:pPr>
        <w:adjustRightInd w:val="0"/>
        <w:snapToGrid w:val="0"/>
        <w:spacing w:line="360" w:lineRule="auto"/>
        <w:rPr>
          <w:rFonts w:ascii="Times New Roman" w:hAnsi="Times New Roman" w:cs="Times New Roman"/>
          <w:sz w:val="20"/>
          <w:szCs w:val="20"/>
        </w:rPr>
      </w:pPr>
      <w:r w:rsidRPr="00C33017">
        <w:rPr>
          <w:rFonts w:ascii="Times New Roman" w:hAnsi="Times New Roman" w:cs="Times New Roman"/>
          <w:sz w:val="20"/>
          <w:szCs w:val="20"/>
        </w:rPr>
        <w:t xml:space="preserve">This misalignment may occur when the patient population is either narrower or broader than the TGA-approved indication, or when the PBAC is still awaiting TGA’s approval for the clinical place of the proposed medicines. This situation often arose during the TGA/PBAC parallel process. </w:t>
      </w:r>
      <w:r w:rsidR="007E0D7F" w:rsidRPr="00B07933">
        <w:rPr>
          <w:rFonts w:ascii="Times New Roman" w:hAnsi="Times New Roman" w:cs="Times New Roman"/>
          <w:sz w:val="20"/>
          <w:szCs w:val="20"/>
        </w:rPr>
        <w:t xml:space="preserve">For instance, in the submission </w:t>
      </w:r>
      <w:r w:rsidR="737B4C7E" w:rsidRPr="00B07933">
        <w:rPr>
          <w:rFonts w:ascii="Times New Roman" w:hAnsi="Times New Roman" w:cs="Times New Roman"/>
          <w:sz w:val="20"/>
          <w:szCs w:val="20"/>
        </w:rPr>
        <w:t xml:space="preserve">for </w:t>
      </w:r>
      <w:r w:rsidR="007E0D7F" w:rsidRPr="00B07933">
        <w:rPr>
          <w:rFonts w:ascii="Times New Roman" w:hAnsi="Times New Roman" w:cs="Times New Roman"/>
          <w:sz w:val="20"/>
          <w:szCs w:val="20"/>
        </w:rPr>
        <w:t xml:space="preserve">dupilmab for </w:t>
      </w:r>
      <w:r w:rsidR="0097470D" w:rsidRPr="00B07933">
        <w:rPr>
          <w:rFonts w:ascii="Times New Roman" w:hAnsi="Times New Roman" w:cs="Times New Roman"/>
          <w:sz w:val="20"/>
          <w:szCs w:val="20"/>
        </w:rPr>
        <w:t xml:space="preserve">the </w:t>
      </w:r>
      <w:r w:rsidR="007E0D7F" w:rsidRPr="00B07933">
        <w:rPr>
          <w:rFonts w:ascii="Times New Roman" w:hAnsi="Times New Roman" w:cs="Times New Roman"/>
          <w:sz w:val="20"/>
          <w:szCs w:val="20"/>
        </w:rPr>
        <w:t>treatment of chronic severe atopic dermatitis, the PBAC noted that the proposed patient population was narrower than the TGA-approved indication</w:t>
      </w:r>
      <w:r w:rsidR="00B31CEA" w:rsidRPr="00B07933">
        <w:rPr>
          <w:rFonts w:ascii="Times New Roman" w:hAnsi="Times New Roman" w:cs="Times New Roman"/>
          <w:sz w:val="20"/>
          <w:szCs w:val="20"/>
        </w:rPr>
        <w:t xml:space="preserve"> </w:t>
      </w:r>
      <w:r w:rsidR="007E0D7F" w:rsidRPr="00C33017">
        <w:rPr>
          <w:rFonts w:ascii="Times New Roman" w:hAnsi="Times New Roman" w:cs="Times New Roman"/>
          <w:sz w:val="20"/>
          <w:szCs w:val="20"/>
        </w:rPr>
        <w:fldChar w:fldCharType="begin"/>
      </w:r>
      <w:r w:rsidR="00AD61C8" w:rsidRPr="00C33017">
        <w:rPr>
          <w:rFonts w:ascii="Times New Roman" w:hAnsi="Times New Roman" w:cs="Times New Roman"/>
          <w:sz w:val="20"/>
          <w:szCs w:val="20"/>
        </w:rPr>
        <w:instrText xml:space="preserve"> ADDIN EN.CITE &lt;EndNote&gt;&lt;Cite&gt;&lt;Author&gt;Pharmaceutical Benefits Advisory Committee&lt;/Author&gt;&lt;Year&gt;2018&lt;/Year&gt;&lt;RecNum&gt;19270&lt;/RecNum&gt;&lt;DisplayText&gt;[13]&lt;/DisplayText&gt;&lt;record&gt;&lt;rec-number&gt;19270&lt;/rec-number&gt;&lt;foreign-keys&gt;&lt;key app="EN" db-id="5zttwaa2gstv57epr5z5zxv325varaa5e9rp" timestamp="1681371961"&gt;19270&lt;/key&gt;&lt;/foreign-keys&gt;&lt;ref-type name="Government Document"&gt;46&lt;/ref-type&gt;&lt;contributors&gt;&lt;authors&gt;&lt;author&gt;Pharmaceutical Benefits Advisory Committee,&lt;/author&gt;&lt;/authors&gt;&lt;/contributors&gt;&lt;titles&gt;&lt;title&gt;Dupilumab: Injection 300 mg in 2 mL single dose pre-filled syringe; Dupixent®&lt;/title&gt;&lt;/titles&gt;&lt;dates&gt;&lt;year&gt;2018&lt;/year&gt;&lt;/dates&gt;&lt;urls&gt;&lt;related-urls&gt;&lt;url&gt;https://www.pbs.gov.au/info/industry/listing/elements/pbac-meetings/psd/2018-07/Dupilumab-psd-july-2018&lt;/url&gt;&lt;/related-urls&gt;&lt;/urls&gt;&lt;access-date&gt;30 Aug 2020&lt;/access-date&gt;&lt;/record&gt;&lt;/Cite&gt;&lt;/EndNote&gt;</w:instrText>
      </w:r>
      <w:r w:rsidR="007E0D7F" w:rsidRPr="00C33017">
        <w:rPr>
          <w:rFonts w:ascii="Times New Roman" w:hAnsi="Times New Roman" w:cs="Times New Roman"/>
          <w:sz w:val="20"/>
          <w:szCs w:val="20"/>
        </w:rPr>
        <w:fldChar w:fldCharType="separate"/>
      </w:r>
      <w:r w:rsidR="00AD61C8" w:rsidRPr="00C33017">
        <w:rPr>
          <w:rFonts w:ascii="Times New Roman" w:hAnsi="Times New Roman" w:cs="Times New Roman"/>
          <w:noProof/>
          <w:sz w:val="20"/>
          <w:szCs w:val="20"/>
        </w:rPr>
        <w:t>[13]</w:t>
      </w:r>
      <w:r w:rsidR="007E0D7F" w:rsidRPr="00C33017">
        <w:rPr>
          <w:rFonts w:ascii="Times New Roman" w:hAnsi="Times New Roman" w:cs="Times New Roman"/>
          <w:sz w:val="20"/>
          <w:szCs w:val="20"/>
        </w:rPr>
        <w:fldChar w:fldCharType="end"/>
      </w:r>
      <w:r w:rsidR="007E0D7F" w:rsidRPr="00B07933">
        <w:rPr>
          <w:rFonts w:ascii="Times New Roman" w:hAnsi="Times New Roman" w:cs="Times New Roman"/>
          <w:sz w:val="20"/>
          <w:szCs w:val="20"/>
        </w:rPr>
        <w:t>.</w:t>
      </w:r>
      <w:r w:rsidR="007E0D7F" w:rsidRPr="00C33017">
        <w:rPr>
          <w:rFonts w:ascii="Times New Roman" w:hAnsi="Times New Roman" w:cs="Times New Roman"/>
          <w:sz w:val="20"/>
          <w:szCs w:val="20"/>
        </w:rPr>
        <w:cr/>
      </w:r>
    </w:p>
    <w:bookmarkEnd w:id="5"/>
    <w:p w14:paraId="1D7B3DB5" w14:textId="66B775B7" w:rsidR="00B07933" w:rsidRDefault="007E0D7F" w:rsidP="006C41A0">
      <w:pPr>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w:t>
      </w:r>
      <w:r w:rsidR="000663DE">
        <w:rPr>
          <w:rFonts w:ascii="Times New Roman" w:hAnsi="Times New Roman" w:cs="Times New Roman"/>
          <w:sz w:val="20"/>
          <w:szCs w:val="20"/>
        </w:rPr>
        <w:t>3</w:t>
      </w:r>
      <w:r w:rsidRPr="4F533E7D">
        <w:rPr>
          <w:rFonts w:ascii="Times New Roman" w:hAnsi="Times New Roman" w:cs="Times New Roman"/>
          <w:sz w:val="20"/>
          <w:szCs w:val="20"/>
        </w:rPr>
        <w:t xml:space="preserve">) </w:t>
      </w:r>
      <w:r w:rsidR="000663DE" w:rsidRPr="000663DE">
        <w:rPr>
          <w:rFonts w:ascii="Times New Roman" w:hAnsi="Times New Roman" w:cs="Times New Roman"/>
          <w:sz w:val="20"/>
          <w:szCs w:val="20"/>
        </w:rPr>
        <w:t>Applicability of all relevant diagnostic criteria and/or tests to determine the target population (including tests to exclude patients or inform continuation criteria or stopping rules)</w:t>
      </w:r>
      <w:bookmarkStart w:id="6" w:name="_Hlk159175760"/>
      <w:bookmarkStart w:id="7" w:name="_Hlk159176065"/>
    </w:p>
    <w:p w14:paraId="6970414D" w14:textId="4D381E2A" w:rsidR="007E0D7F" w:rsidRDefault="007E0D7F" w:rsidP="006C41A0">
      <w:pPr>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 xml:space="preserve">For instance, in the submission </w:t>
      </w:r>
      <w:r w:rsidR="4DDFE78E" w:rsidRPr="4F533E7D">
        <w:rPr>
          <w:rFonts w:ascii="Times New Roman" w:hAnsi="Times New Roman" w:cs="Times New Roman"/>
          <w:sz w:val="20"/>
          <w:szCs w:val="20"/>
        </w:rPr>
        <w:t xml:space="preserve">for </w:t>
      </w:r>
      <w:r w:rsidRPr="4F533E7D">
        <w:rPr>
          <w:rFonts w:ascii="Times New Roman" w:hAnsi="Times New Roman" w:cs="Times New Roman"/>
          <w:sz w:val="20"/>
          <w:szCs w:val="20"/>
        </w:rPr>
        <w:t xml:space="preserve">pembrolizumab for </w:t>
      </w:r>
      <w:r w:rsidR="00F741A3" w:rsidRPr="4F533E7D">
        <w:rPr>
          <w:rFonts w:ascii="Times New Roman" w:hAnsi="Times New Roman" w:cs="Times New Roman"/>
          <w:sz w:val="20"/>
          <w:szCs w:val="20"/>
        </w:rPr>
        <w:t xml:space="preserve">the </w:t>
      </w:r>
      <w:r w:rsidRPr="4F533E7D">
        <w:rPr>
          <w:rFonts w:ascii="Times New Roman" w:hAnsi="Times New Roman" w:cs="Times New Roman"/>
          <w:sz w:val="20"/>
          <w:szCs w:val="20"/>
        </w:rPr>
        <w:t>treatment of locally advanced or metastatic non-small cell lung cancer</w:t>
      </w:r>
      <w:r w:rsidR="004D5B7D" w:rsidRPr="4F533E7D">
        <w:rPr>
          <w:rFonts w:ascii="Times New Roman" w:hAnsi="Times New Roman" w:cs="Times New Roman"/>
          <w:sz w:val="20"/>
          <w:szCs w:val="20"/>
        </w:rPr>
        <w:t>, g</w:t>
      </w:r>
      <w:r w:rsidR="00F741A3" w:rsidRPr="4F533E7D">
        <w:rPr>
          <w:rFonts w:ascii="Times New Roman" w:hAnsi="Times New Roman" w:cs="Times New Roman"/>
          <w:sz w:val="20"/>
          <w:szCs w:val="20"/>
        </w:rPr>
        <w:t>iven the availability of</w:t>
      </w:r>
      <w:r w:rsidRPr="4F533E7D">
        <w:rPr>
          <w:rFonts w:ascii="Times New Roman" w:hAnsi="Times New Roman" w:cs="Times New Roman"/>
          <w:sz w:val="20"/>
          <w:szCs w:val="20"/>
        </w:rPr>
        <w:t xml:space="preserve"> several Programmed cell death protein</w:t>
      </w:r>
      <w:r w:rsidR="004D5B7D" w:rsidRPr="4F533E7D">
        <w:rPr>
          <w:rFonts w:ascii="Times New Roman" w:hAnsi="Times New Roman" w:cs="Times New Roman"/>
          <w:sz w:val="20"/>
          <w:szCs w:val="20"/>
        </w:rPr>
        <w:t xml:space="preserve"> </w:t>
      </w:r>
      <w:r w:rsidRPr="4F533E7D">
        <w:rPr>
          <w:rFonts w:ascii="Times New Roman" w:hAnsi="Times New Roman" w:cs="Times New Roman"/>
          <w:sz w:val="20"/>
          <w:szCs w:val="20"/>
        </w:rPr>
        <w:t>(PD) 1</w:t>
      </w:r>
      <w:r w:rsidR="1FB0CFE6" w:rsidRPr="4F533E7D">
        <w:rPr>
          <w:rFonts w:ascii="Times New Roman" w:hAnsi="Times New Roman" w:cs="Times New Roman"/>
          <w:sz w:val="20"/>
          <w:szCs w:val="20"/>
        </w:rPr>
        <w:t xml:space="preserve"> or</w:t>
      </w:r>
      <w:r w:rsidRPr="4F533E7D">
        <w:rPr>
          <w:rFonts w:ascii="Times New Roman" w:hAnsi="Times New Roman" w:cs="Times New Roman"/>
          <w:sz w:val="20"/>
          <w:szCs w:val="20"/>
        </w:rPr>
        <w:t xml:space="preserve"> Programmed death-ligand 1 (PD-L1) tests, the proposal </w:t>
      </w:r>
      <w:r w:rsidR="00F741A3" w:rsidRPr="4F533E7D">
        <w:rPr>
          <w:rFonts w:ascii="Times New Roman" w:hAnsi="Times New Roman" w:cs="Times New Roman"/>
          <w:sz w:val="20"/>
          <w:szCs w:val="20"/>
        </w:rPr>
        <w:t xml:space="preserve">failed to </w:t>
      </w:r>
      <w:r w:rsidRPr="4F533E7D">
        <w:rPr>
          <w:rFonts w:ascii="Times New Roman" w:hAnsi="Times New Roman" w:cs="Times New Roman"/>
          <w:sz w:val="20"/>
          <w:szCs w:val="20"/>
        </w:rPr>
        <w:t xml:space="preserve">adequately address the applicability issue regarding which PD-L1 test </w:t>
      </w:r>
      <w:r w:rsidR="00F741A3" w:rsidRPr="4F533E7D">
        <w:rPr>
          <w:rFonts w:ascii="Times New Roman" w:hAnsi="Times New Roman" w:cs="Times New Roman"/>
          <w:sz w:val="20"/>
          <w:szCs w:val="20"/>
        </w:rPr>
        <w:t xml:space="preserve">would </w:t>
      </w:r>
      <w:r w:rsidRPr="4F533E7D">
        <w:rPr>
          <w:rFonts w:ascii="Times New Roman" w:hAnsi="Times New Roman" w:cs="Times New Roman"/>
          <w:sz w:val="20"/>
          <w:szCs w:val="20"/>
        </w:rPr>
        <w:t xml:space="preserve">be used in the Australian </w:t>
      </w:r>
      <w:r w:rsidR="007B1B07" w:rsidRPr="4F533E7D">
        <w:rPr>
          <w:rFonts w:ascii="Times New Roman" w:hAnsi="Times New Roman" w:cs="Times New Roman"/>
          <w:sz w:val="20"/>
          <w:szCs w:val="20"/>
        </w:rPr>
        <w:t>context. This</w:t>
      </w:r>
      <w:r w:rsidRPr="4F533E7D">
        <w:rPr>
          <w:rFonts w:ascii="Times New Roman" w:hAnsi="Times New Roman" w:cs="Times New Roman"/>
          <w:sz w:val="20"/>
          <w:szCs w:val="20"/>
        </w:rPr>
        <w:t xml:space="preserve"> could result in the accuracy and prevalence estimates used in the analysis </w:t>
      </w:r>
      <w:r w:rsidR="00F22C83" w:rsidRPr="00F22C83">
        <w:rPr>
          <w:rFonts w:ascii="Times New Roman" w:hAnsi="Times New Roman" w:cs="Times New Roman" w:hint="eastAsia"/>
          <w:sz w:val="20"/>
          <w:szCs w:val="20"/>
          <w:highlight w:val="yellow"/>
        </w:rPr>
        <w:t>that</w:t>
      </w:r>
      <w:r w:rsidR="00F22C83">
        <w:rPr>
          <w:rFonts w:ascii="Times New Roman" w:hAnsi="Times New Roman" w:cs="Times New Roman" w:hint="eastAsia"/>
          <w:sz w:val="20"/>
          <w:szCs w:val="20"/>
        </w:rPr>
        <w:t xml:space="preserve"> </w:t>
      </w:r>
      <w:r w:rsidRPr="4F533E7D">
        <w:rPr>
          <w:rFonts w:ascii="Times New Roman" w:hAnsi="Times New Roman" w:cs="Times New Roman"/>
          <w:sz w:val="20"/>
          <w:szCs w:val="20"/>
        </w:rPr>
        <w:t xml:space="preserve">may differ from Australian clinical practice depending on the assay(s) </w:t>
      </w:r>
      <w:r w:rsidR="00F741A3" w:rsidRPr="4F533E7D">
        <w:rPr>
          <w:rFonts w:ascii="Times New Roman" w:hAnsi="Times New Roman" w:cs="Times New Roman"/>
          <w:sz w:val="20"/>
          <w:szCs w:val="20"/>
        </w:rPr>
        <w:t xml:space="preserve">chosen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Committee&lt;/Author&gt;&lt;Year&gt;2016&lt;/Year&gt;&lt;RecNum&gt;18730&lt;/RecNum&gt;&lt;DisplayText&gt;[14]&lt;/DisplayText&gt;&lt;record&gt;&lt;rec-number&gt;18730&lt;/rec-number&gt;&lt;foreign-keys&gt;&lt;key app="EN" db-id="5zttwaa2gstv57epr5z5zxv325varaa5e9rp" timestamp="1656158947"&gt;18730&lt;/key&gt;&lt;/foreign-keys&gt;&lt;ref-type name="Government Document"&gt;46&lt;/ref-type&gt;&lt;contributors&gt;&lt;authors&gt;&lt;author&gt;Pharmaceutical Benefits Advisory Committee,&lt;/author&gt;&lt;/authors&gt;&lt;secondary-authors&gt;&lt;author&gt;Pharmaceutical Benefits Advisory Committee&lt;/author&gt;&lt;/secondary-authors&gt;&lt;/contributors&gt;&lt;titles&gt;&lt;title&gt;Pembrolizumab (NSCLC): Powder for injection 50 mg; Keytruda®&lt;/title&gt;&lt;/titles&gt;&lt;dates&gt;&lt;year&gt;2016&lt;/year&gt;&lt;/dates&gt;&lt;label&gt;87&lt;/label&gt;&lt;urls&gt;&lt;related-urls&gt;&lt;url&gt;https://www.pbs.gov.au/info/industry/listing/elements/pbac-meetings/psd/2016-11/pembrolizumab-nsclc-keytruda-psd-november-2016&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[14]</w:t>
      </w:r>
      <w:r w:rsidRPr="4F533E7D">
        <w:rPr>
          <w:rFonts w:ascii="Times New Roman" w:hAnsi="Times New Roman" w:cs="Times New Roman"/>
          <w:sz w:val="20"/>
          <w:szCs w:val="20"/>
        </w:rPr>
        <w:fldChar w:fldCharType="end"/>
      </w:r>
      <w:bookmarkEnd w:id="6"/>
      <w:r w:rsidRPr="4F533E7D">
        <w:rPr>
          <w:rFonts w:ascii="Times New Roman" w:hAnsi="Times New Roman" w:cs="Times New Roman"/>
          <w:sz w:val="20"/>
          <w:szCs w:val="20"/>
        </w:rPr>
        <w:t>.</w:t>
      </w:r>
    </w:p>
    <w:p w14:paraId="288E5238" w14:textId="77777777" w:rsidR="009A6C33" w:rsidRPr="005668EA" w:rsidRDefault="009A6C33" w:rsidP="006C41A0">
      <w:pPr>
        <w:adjustRightInd w:val="0"/>
        <w:snapToGrid w:val="0"/>
        <w:spacing w:line="360" w:lineRule="auto"/>
        <w:rPr>
          <w:rFonts w:ascii="Times New Roman" w:hAnsi="Times New Roman" w:cs="Times New Roman"/>
          <w:sz w:val="20"/>
          <w:szCs w:val="20"/>
        </w:rPr>
      </w:pPr>
    </w:p>
    <w:bookmarkEnd w:id="7"/>
    <w:p w14:paraId="28D7FEB3" w14:textId="14F34967" w:rsidR="00B07933" w:rsidRDefault="007E0D7F" w:rsidP="000663DE">
      <w:pPr>
        <w:pStyle w:val="CommentText"/>
        <w:adjustRightInd w:val="0"/>
        <w:snapToGrid w:val="0"/>
        <w:spacing w:line="360" w:lineRule="auto"/>
        <w:rPr>
          <w:rFonts w:ascii="Times New Roman" w:hAnsi="Times New Roman" w:cs="Times New Roman"/>
        </w:rPr>
      </w:pPr>
      <w:r w:rsidRPr="005668EA">
        <w:rPr>
          <w:rFonts w:ascii="Times New Roman" w:hAnsi="Times New Roman" w:cs="Times New Roman"/>
        </w:rPr>
        <w:t>(</w:t>
      </w:r>
      <w:r w:rsidR="000663DE">
        <w:rPr>
          <w:rFonts w:ascii="Times New Roman" w:hAnsi="Times New Roman" w:cs="Times New Roman"/>
        </w:rPr>
        <w:t>4</w:t>
      </w:r>
      <w:r w:rsidRPr="005668EA">
        <w:rPr>
          <w:rFonts w:ascii="Times New Roman" w:hAnsi="Times New Roman" w:cs="Times New Roman"/>
        </w:rPr>
        <w:t xml:space="preserve">) </w:t>
      </w:r>
      <w:bookmarkStart w:id="8" w:name="_Hlk159176396"/>
      <w:r w:rsidR="000663DE">
        <w:rPr>
          <w:rFonts w:ascii="Times New Roman" w:hAnsi="Times New Roman" w:cs="Times New Roman" w:hint="eastAsia"/>
        </w:rPr>
        <w:t xml:space="preserve">Unclear </w:t>
      </w:r>
      <w:r w:rsidR="000663DE">
        <w:rPr>
          <w:rFonts w:ascii="Times New Roman" w:hAnsi="Times New Roman" w:cs="Times New Roman"/>
        </w:rPr>
        <w:t xml:space="preserve">circumstances of use of the medicine </w:t>
      </w:r>
    </w:p>
    <w:p w14:paraId="79063333" w14:textId="025F9B5D" w:rsidR="009A6C33" w:rsidRDefault="000663DE" w:rsidP="000663DE">
      <w:pPr>
        <w:pStyle w:val="CommentText"/>
        <w:adjustRightInd w:val="0"/>
        <w:snapToGrid w:val="0"/>
        <w:spacing w:line="360" w:lineRule="auto"/>
        <w:rPr>
          <w:rFonts w:ascii="Times New Roman" w:hAnsi="Times New Roman" w:cs="Times New Roman"/>
        </w:rPr>
      </w:pPr>
      <w:r w:rsidRPr="000663DE">
        <w:rPr>
          <w:rFonts w:ascii="Times New Roman" w:hAnsi="Times New Roman" w:cs="Times New Roman"/>
        </w:rPr>
        <w:lastRenderedPageBreak/>
        <w:t>The issue arose when the PBAC faced uncertainties in defining a patient group for whom the treatment could be cost-effectively provided due to insufficient clinical evidence. Additionally, the patient group proposed did not align with those specified in Australian guidelines or the eligibility criteria of clinical trials. Uncertainty also occurred when the PBAC found the proposed PBS criteria to be inadequate (i.e., either too broad or too narrow) thereby failing to restrict treatment to the PBS patient population. For instance, in the submission of etanercept for the treatment of non-radiographic axial spondyloarthritis, the PBAC was unable to define a population in whom etanercept could be expected to be cost-effective given the short-term clinical data and uncertain economic analysis [12].</w:t>
      </w:r>
    </w:p>
    <w:p w14:paraId="3F95DD31" w14:textId="41FBEED5" w:rsidR="000663DE" w:rsidRDefault="000663DE" w:rsidP="000663DE">
      <w:pPr>
        <w:pStyle w:val="CommentText"/>
        <w:adjustRightInd w:val="0"/>
        <w:snapToGrid w:val="0"/>
        <w:spacing w:line="360" w:lineRule="auto"/>
        <w:rPr>
          <w:rFonts w:ascii="Times New Roman" w:hAnsi="Times New Roman" w:cs="Times New Roman"/>
        </w:rPr>
      </w:pPr>
      <w:r w:rsidRPr="000663DE" w:rsidDel="000663DE">
        <w:rPr>
          <w:rFonts w:ascii="Times New Roman" w:hAnsi="Times New Roman" w:cs="Times New Roman"/>
        </w:rPr>
        <w:t xml:space="preserve"> </w:t>
      </w:r>
      <w:bookmarkEnd w:id="8"/>
    </w:p>
    <w:p w14:paraId="3C9E4083" w14:textId="0E96E40A" w:rsidR="000663DE" w:rsidRPr="000663DE" w:rsidRDefault="000663DE" w:rsidP="000663DE">
      <w:pPr>
        <w:pStyle w:val="CommentText"/>
        <w:adjustRightInd w:val="0"/>
        <w:snapToGrid w:val="0"/>
        <w:spacing w:line="360" w:lineRule="auto"/>
        <w:rPr>
          <w:rFonts w:ascii="Times New Roman" w:hAnsi="Times New Roman" w:cs="Times New Roman"/>
        </w:rPr>
      </w:pPr>
      <w:r w:rsidRPr="000663DE">
        <w:rPr>
          <w:rFonts w:ascii="Times New Roman" w:hAnsi="Times New Roman" w:cs="Times New Roman"/>
        </w:rPr>
        <w:t xml:space="preserve">(5) </w:t>
      </w:r>
      <w:r w:rsidR="00687A2B">
        <w:rPr>
          <w:rFonts w:ascii="Times New Roman" w:hAnsi="Times New Roman" w:cs="Times New Roman" w:hint="eastAsia"/>
        </w:rPr>
        <w:t xml:space="preserve">There is </w:t>
      </w:r>
      <w:r w:rsidR="00F22C83">
        <w:rPr>
          <w:rFonts w:ascii="Times New Roman" w:hAnsi="Times New Roman" w:cs="Times New Roman"/>
        </w:rPr>
        <w:t xml:space="preserve">a </w:t>
      </w:r>
      <w:r w:rsidR="00687A2B">
        <w:rPr>
          <w:rFonts w:ascii="Times New Roman" w:hAnsi="Times New Roman" w:cs="Times New Roman"/>
        </w:rPr>
        <w:t>misalignment</w:t>
      </w:r>
      <w:r w:rsidR="00687A2B">
        <w:rPr>
          <w:rFonts w:ascii="Times New Roman" w:hAnsi="Times New Roman" w:cs="Times New Roman" w:hint="eastAsia"/>
        </w:rPr>
        <w:t xml:space="preserve"> between</w:t>
      </w:r>
      <w:r w:rsidR="00687A2B" w:rsidRPr="000663DE">
        <w:rPr>
          <w:rFonts w:ascii="Times New Roman" w:hAnsi="Times New Roman" w:cs="Times New Roman"/>
        </w:rPr>
        <w:t xml:space="preserve"> </w:t>
      </w:r>
      <w:r w:rsidR="00687A2B">
        <w:rPr>
          <w:rFonts w:ascii="Times New Roman" w:hAnsi="Times New Roman" w:cs="Times New Roman" w:hint="eastAsia"/>
        </w:rPr>
        <w:t>t</w:t>
      </w:r>
      <w:r w:rsidRPr="000663DE">
        <w:rPr>
          <w:rFonts w:ascii="Times New Roman" w:hAnsi="Times New Roman" w:cs="Times New Roman"/>
        </w:rPr>
        <w:t>he main body of treatment</w:t>
      </w:r>
      <w:r w:rsidR="00687A2B">
        <w:rPr>
          <w:rFonts w:ascii="Times New Roman" w:hAnsi="Times New Roman" w:cs="Times New Roman" w:hint="eastAsia"/>
        </w:rPr>
        <w:t xml:space="preserve"> proposed by sponsors with </w:t>
      </w:r>
      <w:r w:rsidR="00687A2B">
        <w:rPr>
          <w:rFonts w:ascii="Times New Roman" w:hAnsi="Times New Roman" w:cs="Times New Roman"/>
        </w:rPr>
        <w:t>Australian</w:t>
      </w:r>
      <w:r w:rsidR="00687A2B">
        <w:rPr>
          <w:rFonts w:ascii="Times New Roman" w:hAnsi="Times New Roman" w:cs="Times New Roman" w:hint="eastAsia"/>
        </w:rPr>
        <w:t xml:space="preserve"> practice. </w:t>
      </w:r>
      <w:r w:rsidR="00687A2B">
        <w:rPr>
          <w:rFonts w:ascii="Times New Roman" w:hAnsi="Times New Roman" w:cs="Times New Roman"/>
        </w:rPr>
        <w:t>S</w:t>
      </w:r>
      <w:r w:rsidR="00687A2B">
        <w:rPr>
          <w:rFonts w:ascii="Times New Roman" w:hAnsi="Times New Roman" w:cs="Times New Roman" w:hint="eastAsia"/>
        </w:rPr>
        <w:t>uch as</w:t>
      </w:r>
      <w:r w:rsidRPr="000663DE">
        <w:rPr>
          <w:rFonts w:ascii="Times New Roman" w:hAnsi="Times New Roman" w:cs="Times New Roman"/>
        </w:rPr>
        <w:t xml:space="preserve"> who is managing clinical care, and who will be prescribing the medicine</w:t>
      </w:r>
      <w:r w:rsidR="00687A2B">
        <w:rPr>
          <w:rFonts w:ascii="Times New Roman" w:hAnsi="Times New Roman" w:cs="Times New Roman" w:hint="eastAsia"/>
        </w:rPr>
        <w:t>, w</w:t>
      </w:r>
      <w:r w:rsidRPr="000663DE">
        <w:rPr>
          <w:rFonts w:ascii="Times New Roman" w:hAnsi="Times New Roman" w:cs="Times New Roman"/>
        </w:rPr>
        <w:t>hether any special training or specialised facilities are required for prescribing or administration.</w:t>
      </w:r>
    </w:p>
    <w:p w14:paraId="2823F7F1" w14:textId="77777777" w:rsidR="009A6C33" w:rsidRDefault="009A6C33" w:rsidP="000663DE">
      <w:pPr>
        <w:pStyle w:val="CommentText"/>
        <w:adjustRightInd w:val="0"/>
        <w:snapToGrid w:val="0"/>
        <w:spacing w:line="360" w:lineRule="auto"/>
        <w:rPr>
          <w:rFonts w:ascii="Times New Roman" w:hAnsi="Times New Roman" w:cs="Times New Roman"/>
        </w:rPr>
      </w:pPr>
    </w:p>
    <w:p w14:paraId="1E1DB9C8" w14:textId="3724AE60" w:rsidR="000663DE" w:rsidRPr="000663DE" w:rsidRDefault="000663DE" w:rsidP="000663DE">
      <w:pPr>
        <w:pStyle w:val="CommentText"/>
        <w:adjustRightInd w:val="0"/>
        <w:snapToGrid w:val="0"/>
        <w:spacing w:line="360" w:lineRule="auto"/>
        <w:rPr>
          <w:rFonts w:ascii="Times New Roman" w:hAnsi="Times New Roman" w:cs="Times New Roman"/>
        </w:rPr>
      </w:pPr>
      <w:r w:rsidRPr="000663DE">
        <w:rPr>
          <w:rFonts w:ascii="Times New Roman" w:hAnsi="Times New Roman" w:cs="Times New Roman"/>
        </w:rPr>
        <w:t>(6) Consideration of all streams of health care resource provision, both before and after the point in the algorithm that the proposed medicine is introduced</w:t>
      </w:r>
    </w:p>
    <w:p w14:paraId="756CFF7A" w14:textId="619FB842" w:rsidR="000663DE" w:rsidRPr="000663DE" w:rsidRDefault="000663DE" w:rsidP="000663DE">
      <w:pPr>
        <w:pStyle w:val="CommentText"/>
        <w:adjustRightInd w:val="0"/>
        <w:snapToGrid w:val="0"/>
        <w:spacing w:line="360" w:lineRule="auto"/>
        <w:rPr>
          <w:rFonts w:ascii="Times New Roman" w:hAnsi="Times New Roman" w:cs="Times New Roman"/>
        </w:rPr>
      </w:pPr>
      <w:r w:rsidRPr="000663DE">
        <w:rPr>
          <w:rFonts w:ascii="Times New Roman" w:hAnsi="Times New Roman" w:cs="Times New Roman"/>
        </w:rPr>
        <w:t>For instance, in the submission of febuxostat for the treatment of chronic gouty arthritis associated with hyperuricaemia, the PBAC considered that the model presented was not representative of clinical practice because the model did not include options for dose escalation or trying alternative treatments [13].</w:t>
      </w:r>
    </w:p>
    <w:p w14:paraId="087DEF01" w14:textId="77777777" w:rsidR="009A6C33" w:rsidRDefault="009A6C33" w:rsidP="006C41A0">
      <w:pPr>
        <w:adjustRightInd w:val="0"/>
        <w:snapToGrid w:val="0"/>
        <w:spacing w:line="360" w:lineRule="auto"/>
        <w:rPr>
          <w:rFonts w:ascii="Times New Roman" w:hAnsi="Times New Roman" w:cs="Times New Roman"/>
        </w:rPr>
      </w:pPr>
    </w:p>
    <w:p w14:paraId="1B1DBD59" w14:textId="7FB61CDB" w:rsidR="007E0D7F" w:rsidRPr="00C33017" w:rsidRDefault="000663DE" w:rsidP="006C41A0">
      <w:pPr>
        <w:adjustRightInd w:val="0"/>
        <w:snapToGrid w:val="0"/>
        <w:spacing w:line="360" w:lineRule="auto"/>
        <w:rPr>
          <w:rFonts w:ascii="Times New Roman" w:hAnsi="Times New Roman" w:cs="Times New Roman"/>
          <w:sz w:val="20"/>
          <w:szCs w:val="20"/>
        </w:rPr>
      </w:pPr>
      <w:r w:rsidRPr="00C33017">
        <w:rPr>
          <w:rFonts w:ascii="Times New Roman" w:hAnsi="Times New Roman" w:cs="Times New Roman"/>
          <w:sz w:val="20"/>
          <w:szCs w:val="20"/>
        </w:rPr>
        <w:t>If the PBAC considered the submissions to have the following issues, unparameterisable methodological uncertainty was coded.</w:t>
      </w:r>
    </w:p>
    <w:p w14:paraId="6C2F3D53" w14:textId="77777777" w:rsidR="009A6C33" w:rsidRPr="005668EA" w:rsidRDefault="009A6C33" w:rsidP="006C41A0">
      <w:pPr>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689"/>
        <w:gridCol w:w="5607"/>
      </w:tblGrid>
      <w:tr w:rsidR="007E0D7F" w:rsidRPr="005668EA" w14:paraId="07888DA6" w14:textId="77777777" w:rsidTr="00527B24">
        <w:tc>
          <w:tcPr>
            <w:tcW w:w="2689" w:type="dxa"/>
          </w:tcPr>
          <w:p w14:paraId="5EF5C683" w14:textId="77777777" w:rsidR="007E0D7F" w:rsidRPr="005668EA" w:rsidRDefault="007E0D7F" w:rsidP="006C41A0">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15CD7EDC" w14:textId="6F62C8E7" w:rsidR="007E0D7F" w:rsidRPr="005668EA" w:rsidRDefault="000663DE" w:rsidP="000663DE">
            <w:pPr>
              <w:pStyle w:val="EndNoteBibliography"/>
              <w:adjustRightInd w:val="0"/>
              <w:snapToGrid w:val="0"/>
              <w:rPr>
                <w:kern w:val="0"/>
                <w:szCs w:val="20"/>
              </w:rPr>
            </w:pPr>
            <w:r w:rsidRPr="000663DE">
              <w:rPr>
                <w:kern w:val="0"/>
                <w:szCs w:val="20"/>
              </w:rPr>
              <w:t>The treatment proposed was not consistent with the clinical place in therapy, or the restriction listed on the Pharmaceutical Benefits Scheme (PBS) schedule</w:t>
            </w:r>
            <w:r w:rsidR="007E0D7F" w:rsidRPr="005668EA">
              <w:rPr>
                <w:kern w:val="0"/>
                <w:szCs w:val="20"/>
              </w:rPr>
              <w:t xml:space="preserve">? </w:t>
            </w:r>
          </w:p>
        </w:tc>
      </w:tr>
      <w:tr w:rsidR="007E0D7F" w:rsidRPr="005668EA" w14:paraId="2EE33F09" w14:textId="77777777" w:rsidTr="00527B24">
        <w:tc>
          <w:tcPr>
            <w:tcW w:w="2689" w:type="dxa"/>
          </w:tcPr>
          <w:p w14:paraId="1CAED6F9" w14:textId="77777777" w:rsidR="007E0D7F" w:rsidRPr="005668EA" w:rsidRDefault="007E0D7F" w:rsidP="006C41A0">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7A79D4BD" w14:textId="50B70619" w:rsidR="007E0D7F" w:rsidRPr="005668EA" w:rsidRDefault="007B1B07" w:rsidP="006C41A0">
            <w:pPr>
              <w:pStyle w:val="EndNoteBibliography"/>
              <w:adjustRightInd w:val="0"/>
              <w:snapToGrid w:val="0"/>
              <w:spacing w:line="360" w:lineRule="auto"/>
              <w:rPr>
                <w:kern w:val="0"/>
                <w:szCs w:val="20"/>
              </w:rPr>
            </w:pPr>
            <w:r w:rsidRPr="007B1B07">
              <w:rPr>
                <w:szCs w:val="20"/>
              </w:rPr>
              <w:t>0 – yes, 1 – no</w:t>
            </w:r>
          </w:p>
        </w:tc>
      </w:tr>
    </w:tbl>
    <w:p w14:paraId="0ABD0EDD" w14:textId="3BC7534B" w:rsidR="007E0D7F" w:rsidRPr="008F448B" w:rsidRDefault="007E0D7F" w:rsidP="006C41A0">
      <w:pPr>
        <w:widowControl/>
        <w:adjustRightInd w:val="0"/>
        <w:snapToGrid w:val="0"/>
        <w:spacing w:beforeLines="50" w:before="156" w:line="360" w:lineRule="auto"/>
        <w:rPr>
          <w:rFonts w:ascii="Times New Roman" w:eastAsia="SimSun" w:hAnsi="Times New Roman" w:cs="Times New Roman"/>
          <w:kern w:val="0"/>
          <w:sz w:val="15"/>
          <w:szCs w:val="15"/>
        </w:rPr>
        <w:sectPr w:rsidR="007E0D7F" w:rsidRPr="008F448B" w:rsidSect="00E82899">
          <w:footerReference w:type="default" r:id="rId11"/>
          <w:type w:val="continuous"/>
          <w:pgSz w:w="11906" w:h="16838"/>
          <w:pgMar w:top="1440" w:right="1800" w:bottom="1440" w:left="1800" w:header="851" w:footer="992" w:gutter="0"/>
          <w:cols w:space="425"/>
          <w:docGrid w:type="lines" w:linePitch="312"/>
        </w:sectPr>
      </w:pPr>
    </w:p>
    <w:p w14:paraId="11EFE212" w14:textId="13703F4F" w:rsidR="005703C0" w:rsidRPr="008F448B" w:rsidRDefault="005703C0" w:rsidP="006C41A0">
      <w:pPr>
        <w:adjustRightInd w:val="0"/>
        <w:snapToGrid w:val="0"/>
        <w:spacing w:line="360" w:lineRule="auto"/>
        <w:rPr>
          <w:rFonts w:ascii="Times New Roman" w:eastAsia="SimSun" w:hAnsi="Times New Roman" w:cs="Times New Roman"/>
          <w:b/>
          <w:bCs/>
          <w:kern w:val="0"/>
          <w:szCs w:val="21"/>
        </w:rPr>
      </w:pPr>
      <w:r w:rsidRPr="008F448B">
        <w:rPr>
          <w:rFonts w:ascii="Times New Roman" w:eastAsia="SimSun" w:hAnsi="Times New Roman" w:cs="Times New Roman"/>
          <w:b/>
          <w:bCs/>
          <w:kern w:val="0"/>
          <w:szCs w:val="21"/>
        </w:rPr>
        <w:lastRenderedPageBreak/>
        <w:t xml:space="preserve">Table </w:t>
      </w:r>
      <w:r w:rsidR="003A744A" w:rsidRPr="008F448B">
        <w:rPr>
          <w:rFonts w:ascii="Times New Roman" w:eastAsia="SimSun" w:hAnsi="Times New Roman" w:cs="Times New Roman"/>
          <w:b/>
          <w:bCs/>
          <w:kern w:val="0"/>
          <w:szCs w:val="21"/>
        </w:rPr>
        <w:t>1-</w:t>
      </w:r>
      <w:r w:rsidRPr="008F448B">
        <w:rPr>
          <w:rFonts w:ascii="Times New Roman" w:eastAsia="SimSun" w:hAnsi="Times New Roman" w:cs="Times New Roman"/>
          <w:b/>
          <w:bCs/>
          <w:kern w:val="0"/>
          <w:szCs w:val="21"/>
        </w:rPr>
        <w:t>1</w:t>
      </w:r>
      <w:r w:rsidR="00BD341B" w:rsidRPr="008F448B">
        <w:rPr>
          <w:rFonts w:ascii="Times New Roman" w:eastAsia="SimSun" w:hAnsi="Times New Roman" w:cs="Times New Roman"/>
          <w:b/>
          <w:bCs/>
          <w:kern w:val="0"/>
          <w:szCs w:val="21"/>
        </w:rPr>
        <w:t xml:space="preserve"> </w:t>
      </w:r>
      <w:r w:rsidRPr="008F448B">
        <w:rPr>
          <w:rFonts w:ascii="Times New Roman" w:eastAsia="SimSun" w:hAnsi="Times New Roman" w:cs="Times New Roman"/>
          <w:b/>
          <w:bCs/>
          <w:kern w:val="0"/>
          <w:szCs w:val="21"/>
        </w:rPr>
        <w:t xml:space="preserve">Summary of items in a reference case recommended by major HTA </w:t>
      </w:r>
      <w:r w:rsidR="00890252">
        <w:rPr>
          <w:rFonts w:ascii="Times New Roman" w:eastAsia="SimSun" w:hAnsi="Times New Roman" w:cs="Times New Roman"/>
          <w:b/>
          <w:bCs/>
          <w:kern w:val="0"/>
          <w:szCs w:val="21"/>
        </w:rPr>
        <w:t>bodies</w:t>
      </w:r>
      <w:r w:rsidR="00540585" w:rsidRPr="008F448B">
        <w:rPr>
          <w:rFonts w:ascii="Times New Roman" w:eastAsia="SimSun" w:hAnsi="Times New Roman" w:cs="Times New Roman"/>
          <w:b/>
          <w:bCs/>
          <w:kern w:val="0"/>
          <w:szCs w:val="21"/>
        </w:rPr>
        <w:t>.</w:t>
      </w:r>
      <w:r w:rsidRPr="008F448B">
        <w:rPr>
          <w:rFonts w:ascii="Times New Roman" w:eastAsia="SimSun" w:hAnsi="Times New Roman" w:cs="Times New Roman"/>
          <w:b/>
          <w:bCs/>
          <w:kern w:val="0"/>
          <w:szCs w:val="21"/>
        </w:rPr>
        <w:t xml:space="preserve"> </w:t>
      </w:r>
    </w:p>
    <w:tbl>
      <w:tblPr>
        <w:tblW w:w="14127" w:type="dxa"/>
        <w:jc w:val="center"/>
        <w:tblLayout w:type="fixed"/>
        <w:tblLook w:val="04A0" w:firstRow="1" w:lastRow="0" w:firstColumn="1" w:lastColumn="0" w:noHBand="0" w:noVBand="1"/>
      </w:tblPr>
      <w:tblGrid>
        <w:gridCol w:w="661"/>
        <w:gridCol w:w="731"/>
        <w:gridCol w:w="1678"/>
        <w:gridCol w:w="2410"/>
        <w:gridCol w:w="2410"/>
        <w:gridCol w:w="2126"/>
        <w:gridCol w:w="2268"/>
        <w:gridCol w:w="1843"/>
      </w:tblGrid>
      <w:tr w:rsidR="005703C0" w:rsidRPr="00FE2C92" w14:paraId="723BA934" w14:textId="77777777" w:rsidTr="003574E8">
        <w:trPr>
          <w:trHeight w:val="114"/>
          <w:jc w:val="center"/>
        </w:trPr>
        <w:tc>
          <w:tcPr>
            <w:tcW w:w="661" w:type="dxa"/>
            <w:tcBorders>
              <w:top w:val="single" w:sz="4" w:space="0" w:color="000000"/>
              <w:bottom w:val="single" w:sz="4" w:space="0" w:color="000000"/>
            </w:tcBorders>
            <w:shd w:val="clear" w:color="auto" w:fill="auto"/>
            <w:noWrap/>
            <w:vAlign w:val="center"/>
          </w:tcPr>
          <w:p w14:paraId="3AC07F57" w14:textId="77777777" w:rsidR="005703C0" w:rsidRPr="00FE2C92" w:rsidRDefault="005703C0" w:rsidP="00C15362">
            <w:pPr>
              <w:widowControl/>
              <w:adjustRightInd w:val="0"/>
              <w:snapToGrid w:val="0"/>
              <w:spacing w:line="360" w:lineRule="auto"/>
              <w:jc w:val="left"/>
              <w:rPr>
                <w:rFonts w:ascii="Times New Roman" w:hAnsi="Times New Roman" w:cs="Times New Roman"/>
                <w:kern w:val="0"/>
                <w:sz w:val="18"/>
                <w:szCs w:val="18"/>
              </w:rPr>
            </w:pPr>
            <w:r w:rsidRPr="00FE2C92">
              <w:rPr>
                <w:rFonts w:ascii="Times New Roman" w:hAnsi="Times New Roman" w:cs="Times New Roman"/>
                <w:kern w:val="0"/>
                <w:sz w:val="18"/>
                <w:szCs w:val="18"/>
              </w:rPr>
              <w:t>No</w:t>
            </w:r>
          </w:p>
        </w:tc>
        <w:tc>
          <w:tcPr>
            <w:tcW w:w="2409" w:type="dxa"/>
            <w:gridSpan w:val="2"/>
            <w:tcBorders>
              <w:top w:val="single" w:sz="4" w:space="0" w:color="000000"/>
              <w:bottom w:val="single" w:sz="4" w:space="0" w:color="000000"/>
            </w:tcBorders>
            <w:shd w:val="clear" w:color="auto" w:fill="auto"/>
            <w:vAlign w:val="center"/>
          </w:tcPr>
          <w:p w14:paraId="05E20C4B"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Items</w:t>
            </w:r>
          </w:p>
        </w:tc>
        <w:tc>
          <w:tcPr>
            <w:tcW w:w="2410" w:type="dxa"/>
            <w:tcBorders>
              <w:top w:val="single" w:sz="4" w:space="0" w:color="000000"/>
              <w:bottom w:val="single" w:sz="4" w:space="0" w:color="000000"/>
            </w:tcBorders>
            <w:shd w:val="clear" w:color="auto" w:fill="auto"/>
            <w:vAlign w:val="center"/>
          </w:tcPr>
          <w:p w14:paraId="4BFE4B00"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NICE</w:t>
            </w:r>
          </w:p>
        </w:tc>
        <w:tc>
          <w:tcPr>
            <w:tcW w:w="2410" w:type="dxa"/>
            <w:tcBorders>
              <w:top w:val="single" w:sz="4" w:space="0" w:color="000000"/>
              <w:bottom w:val="single" w:sz="4" w:space="0" w:color="000000"/>
            </w:tcBorders>
            <w:shd w:val="clear" w:color="auto" w:fill="auto"/>
            <w:vAlign w:val="center"/>
          </w:tcPr>
          <w:p w14:paraId="759009DA"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CADTH</w:t>
            </w:r>
          </w:p>
        </w:tc>
        <w:tc>
          <w:tcPr>
            <w:tcW w:w="2126" w:type="dxa"/>
            <w:tcBorders>
              <w:top w:val="single" w:sz="4" w:space="0" w:color="000000"/>
              <w:bottom w:val="single" w:sz="4" w:space="0" w:color="000000"/>
            </w:tcBorders>
            <w:shd w:val="clear" w:color="auto" w:fill="auto"/>
            <w:vAlign w:val="center"/>
          </w:tcPr>
          <w:p w14:paraId="31D6DBA5"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ICER</w:t>
            </w:r>
          </w:p>
        </w:tc>
        <w:tc>
          <w:tcPr>
            <w:tcW w:w="2268" w:type="dxa"/>
            <w:tcBorders>
              <w:top w:val="single" w:sz="4" w:space="0" w:color="000000"/>
              <w:bottom w:val="single" w:sz="4" w:space="0" w:color="000000"/>
            </w:tcBorders>
            <w:shd w:val="clear" w:color="auto" w:fill="auto"/>
            <w:vAlign w:val="center"/>
          </w:tcPr>
          <w:p w14:paraId="1AB50EB4"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PBAC</w:t>
            </w:r>
          </w:p>
        </w:tc>
        <w:tc>
          <w:tcPr>
            <w:tcW w:w="1843" w:type="dxa"/>
            <w:tcBorders>
              <w:top w:val="single" w:sz="4" w:space="0" w:color="000000"/>
              <w:bottom w:val="single" w:sz="4" w:space="0" w:color="000000"/>
            </w:tcBorders>
            <w:shd w:val="clear" w:color="auto" w:fill="auto"/>
            <w:vAlign w:val="center"/>
          </w:tcPr>
          <w:p w14:paraId="2F01C6FD"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proofErr w:type="spellStart"/>
            <w:r w:rsidRPr="00FE2C92">
              <w:rPr>
                <w:rFonts w:ascii="Times New Roman" w:eastAsia="SimSun" w:hAnsi="Times New Roman" w:cs="Times New Roman"/>
                <w:kern w:val="0"/>
                <w:sz w:val="18"/>
                <w:szCs w:val="18"/>
              </w:rPr>
              <w:t>NoMA</w:t>
            </w:r>
            <w:proofErr w:type="spellEnd"/>
          </w:p>
        </w:tc>
      </w:tr>
      <w:tr w:rsidR="005703C0" w:rsidRPr="00FE2C92" w14:paraId="1E577C21" w14:textId="77777777" w:rsidTr="003574E8">
        <w:trPr>
          <w:trHeight w:val="280"/>
          <w:jc w:val="center"/>
        </w:trPr>
        <w:tc>
          <w:tcPr>
            <w:tcW w:w="661" w:type="dxa"/>
            <w:tcBorders>
              <w:top w:val="single" w:sz="4" w:space="0" w:color="000000"/>
              <w:bottom w:val="dotted" w:sz="4" w:space="0" w:color="000000"/>
            </w:tcBorders>
            <w:shd w:val="clear" w:color="auto" w:fill="auto"/>
            <w:vAlign w:val="center"/>
          </w:tcPr>
          <w:p w14:paraId="75D73329"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1</w:t>
            </w:r>
          </w:p>
        </w:tc>
        <w:tc>
          <w:tcPr>
            <w:tcW w:w="2409" w:type="dxa"/>
            <w:gridSpan w:val="2"/>
            <w:tcBorders>
              <w:top w:val="single" w:sz="4" w:space="0" w:color="000000"/>
              <w:bottom w:val="dotted" w:sz="4" w:space="0" w:color="000000"/>
            </w:tcBorders>
            <w:shd w:val="clear" w:color="auto" w:fill="auto"/>
            <w:vAlign w:val="center"/>
          </w:tcPr>
          <w:p w14:paraId="5BD2B516"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Defining the decision problem (including target population and event pathways)</w:t>
            </w:r>
          </w:p>
        </w:tc>
        <w:tc>
          <w:tcPr>
            <w:tcW w:w="2410" w:type="dxa"/>
            <w:tcBorders>
              <w:top w:val="single" w:sz="4" w:space="0" w:color="000000"/>
              <w:bottom w:val="dotted" w:sz="4" w:space="0" w:color="000000"/>
            </w:tcBorders>
            <w:shd w:val="clear" w:color="auto" w:fill="auto"/>
            <w:vAlign w:val="center"/>
          </w:tcPr>
          <w:p w14:paraId="3D79FD4F" w14:textId="77777777" w:rsidR="005703C0" w:rsidRPr="00FE2C92" w:rsidRDefault="005703C0" w:rsidP="00C15362">
            <w:pPr>
              <w:widowControl/>
              <w:adjustRightInd w:val="0"/>
              <w:snapToGrid w:val="0"/>
              <w:spacing w:line="360" w:lineRule="auto"/>
              <w:ind w:firstLineChars="100" w:firstLine="180"/>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t>
            </w:r>
          </w:p>
        </w:tc>
        <w:tc>
          <w:tcPr>
            <w:tcW w:w="2410" w:type="dxa"/>
            <w:tcBorders>
              <w:top w:val="single" w:sz="4" w:space="0" w:color="000000"/>
              <w:bottom w:val="dotted" w:sz="4" w:space="0" w:color="000000"/>
            </w:tcBorders>
            <w:shd w:val="clear" w:color="auto" w:fill="auto"/>
            <w:vAlign w:val="center"/>
          </w:tcPr>
          <w:p w14:paraId="0BF7A442" w14:textId="77777777" w:rsidR="005703C0" w:rsidRPr="00FE2C92" w:rsidRDefault="005703C0" w:rsidP="00C15362">
            <w:pPr>
              <w:widowControl/>
              <w:adjustRightInd w:val="0"/>
              <w:snapToGrid w:val="0"/>
              <w:spacing w:line="360" w:lineRule="auto"/>
              <w:ind w:firstLineChars="100" w:firstLine="180"/>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t>
            </w:r>
          </w:p>
        </w:tc>
        <w:tc>
          <w:tcPr>
            <w:tcW w:w="2126" w:type="dxa"/>
            <w:tcBorders>
              <w:top w:val="single" w:sz="4" w:space="0" w:color="000000"/>
              <w:bottom w:val="dotted" w:sz="4" w:space="0" w:color="000000"/>
            </w:tcBorders>
            <w:shd w:val="clear" w:color="auto" w:fill="auto"/>
            <w:vAlign w:val="center"/>
          </w:tcPr>
          <w:p w14:paraId="36652250"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t>
            </w:r>
          </w:p>
        </w:tc>
        <w:tc>
          <w:tcPr>
            <w:tcW w:w="2268" w:type="dxa"/>
            <w:tcBorders>
              <w:top w:val="single" w:sz="4" w:space="0" w:color="000000"/>
              <w:bottom w:val="dotted" w:sz="4" w:space="0" w:color="000000"/>
            </w:tcBorders>
            <w:shd w:val="clear" w:color="auto" w:fill="auto"/>
            <w:vAlign w:val="center"/>
          </w:tcPr>
          <w:p w14:paraId="60E22297" w14:textId="77777777" w:rsidR="005703C0" w:rsidRPr="00FE2C92" w:rsidRDefault="005703C0" w:rsidP="00C15362">
            <w:pPr>
              <w:widowControl/>
              <w:adjustRightInd w:val="0"/>
              <w:snapToGrid w:val="0"/>
              <w:spacing w:line="360" w:lineRule="auto"/>
              <w:ind w:firstLineChars="100" w:firstLine="180"/>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t>
            </w:r>
          </w:p>
        </w:tc>
        <w:tc>
          <w:tcPr>
            <w:tcW w:w="1843" w:type="dxa"/>
            <w:tcBorders>
              <w:top w:val="single" w:sz="4" w:space="0" w:color="000000"/>
              <w:bottom w:val="dotted" w:sz="4" w:space="0" w:color="000000"/>
            </w:tcBorders>
            <w:shd w:val="clear" w:color="auto" w:fill="auto"/>
            <w:noWrap/>
            <w:vAlign w:val="center"/>
          </w:tcPr>
          <w:p w14:paraId="5E55D84A"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t>
            </w:r>
          </w:p>
        </w:tc>
      </w:tr>
      <w:tr w:rsidR="005703C0" w:rsidRPr="00FE2C92" w14:paraId="72EF4D89"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1D41D163"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2</w:t>
            </w:r>
          </w:p>
        </w:tc>
        <w:tc>
          <w:tcPr>
            <w:tcW w:w="2409" w:type="dxa"/>
            <w:gridSpan w:val="2"/>
            <w:tcBorders>
              <w:top w:val="dotted" w:sz="4" w:space="0" w:color="000000"/>
              <w:bottom w:val="dotted" w:sz="4" w:space="0" w:color="000000"/>
            </w:tcBorders>
            <w:shd w:val="clear" w:color="auto" w:fill="auto"/>
            <w:vAlign w:val="center"/>
          </w:tcPr>
          <w:p w14:paraId="010A7CD0"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Types of Evaluations</w:t>
            </w:r>
          </w:p>
        </w:tc>
        <w:tc>
          <w:tcPr>
            <w:tcW w:w="2410" w:type="dxa"/>
            <w:tcBorders>
              <w:top w:val="dotted" w:sz="4" w:space="0" w:color="000000"/>
              <w:bottom w:val="dotted" w:sz="4" w:space="0" w:color="000000"/>
            </w:tcBorders>
            <w:shd w:val="clear" w:color="auto" w:fill="auto"/>
            <w:vAlign w:val="center"/>
          </w:tcPr>
          <w:p w14:paraId="0A62F3BC"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CUA/ CMA</w:t>
            </w:r>
          </w:p>
        </w:tc>
        <w:tc>
          <w:tcPr>
            <w:tcW w:w="2410" w:type="dxa"/>
            <w:tcBorders>
              <w:top w:val="dotted" w:sz="4" w:space="0" w:color="000000"/>
              <w:bottom w:val="dotted" w:sz="4" w:space="0" w:color="000000"/>
            </w:tcBorders>
            <w:shd w:val="clear" w:color="auto" w:fill="auto"/>
            <w:vAlign w:val="center"/>
          </w:tcPr>
          <w:p w14:paraId="112D214F" w14:textId="77777777" w:rsidR="005703C0" w:rsidRPr="00FE2C92" w:rsidRDefault="005703C0" w:rsidP="00C15362">
            <w:pPr>
              <w:widowControl/>
              <w:adjustRightInd w:val="0"/>
              <w:snapToGrid w:val="0"/>
              <w:spacing w:line="360" w:lineRule="auto"/>
              <w:ind w:firstLineChars="100" w:firstLine="180"/>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CUA</w:t>
            </w:r>
          </w:p>
        </w:tc>
        <w:tc>
          <w:tcPr>
            <w:tcW w:w="2126" w:type="dxa"/>
            <w:tcBorders>
              <w:top w:val="dotted" w:sz="4" w:space="0" w:color="000000"/>
              <w:bottom w:val="dotted" w:sz="4" w:space="0" w:color="000000"/>
            </w:tcBorders>
            <w:shd w:val="clear" w:color="auto" w:fill="auto"/>
            <w:vAlign w:val="center"/>
          </w:tcPr>
          <w:p w14:paraId="0B63808C"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CUA</w:t>
            </w:r>
          </w:p>
        </w:tc>
        <w:tc>
          <w:tcPr>
            <w:tcW w:w="2268" w:type="dxa"/>
            <w:tcBorders>
              <w:top w:val="dotted" w:sz="4" w:space="0" w:color="000000"/>
              <w:bottom w:val="dotted" w:sz="4" w:space="0" w:color="000000"/>
            </w:tcBorders>
            <w:shd w:val="clear" w:color="auto" w:fill="auto"/>
            <w:vAlign w:val="center"/>
          </w:tcPr>
          <w:p w14:paraId="03473678"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CEA/CUA/CMA</w:t>
            </w:r>
          </w:p>
        </w:tc>
        <w:tc>
          <w:tcPr>
            <w:tcW w:w="1843" w:type="dxa"/>
            <w:tcBorders>
              <w:top w:val="dotted" w:sz="4" w:space="0" w:color="000000"/>
              <w:bottom w:val="dotted" w:sz="4" w:space="0" w:color="000000"/>
            </w:tcBorders>
            <w:shd w:val="clear" w:color="auto" w:fill="auto"/>
            <w:vAlign w:val="center"/>
          </w:tcPr>
          <w:p w14:paraId="5E014CE1"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CUA</w:t>
            </w:r>
          </w:p>
        </w:tc>
      </w:tr>
      <w:tr w:rsidR="005703C0" w:rsidRPr="00FE2C92" w14:paraId="5C4C6CA9"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617E683E"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3</w:t>
            </w:r>
          </w:p>
        </w:tc>
        <w:tc>
          <w:tcPr>
            <w:tcW w:w="2409" w:type="dxa"/>
            <w:gridSpan w:val="2"/>
            <w:tcBorders>
              <w:top w:val="dotted" w:sz="4" w:space="0" w:color="000000"/>
              <w:bottom w:val="dotted" w:sz="4" w:space="0" w:color="000000"/>
            </w:tcBorders>
            <w:shd w:val="clear" w:color="auto" w:fill="auto"/>
            <w:vAlign w:val="center"/>
          </w:tcPr>
          <w:p w14:paraId="49720CE2"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Perspective </w:t>
            </w:r>
          </w:p>
        </w:tc>
        <w:tc>
          <w:tcPr>
            <w:tcW w:w="2410" w:type="dxa"/>
            <w:tcBorders>
              <w:top w:val="dotted" w:sz="4" w:space="0" w:color="000000"/>
              <w:bottom w:val="dotted" w:sz="4" w:space="0" w:color="000000"/>
            </w:tcBorders>
            <w:shd w:val="clear" w:color="auto" w:fill="auto"/>
            <w:vAlign w:val="center"/>
          </w:tcPr>
          <w:p w14:paraId="37650555"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Perspective on outcomes: All health effects, whether for patients or when appropriate carers. </w:t>
            </w:r>
          </w:p>
          <w:p w14:paraId="398A4F71"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Perspective on costs: NHS and personal social services </w:t>
            </w:r>
          </w:p>
        </w:tc>
        <w:tc>
          <w:tcPr>
            <w:tcW w:w="2410" w:type="dxa"/>
            <w:tcBorders>
              <w:top w:val="dotted" w:sz="4" w:space="0" w:color="000000"/>
              <w:bottom w:val="dotted" w:sz="4" w:space="0" w:color="000000"/>
            </w:tcBorders>
            <w:shd w:val="clear" w:color="auto" w:fill="auto"/>
            <w:vAlign w:val="center"/>
          </w:tcPr>
          <w:p w14:paraId="0A16796C"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Health care sector</w:t>
            </w:r>
          </w:p>
        </w:tc>
        <w:tc>
          <w:tcPr>
            <w:tcW w:w="2126" w:type="dxa"/>
            <w:tcBorders>
              <w:top w:val="dotted" w:sz="4" w:space="0" w:color="000000"/>
              <w:bottom w:val="dotted" w:sz="4" w:space="0" w:color="000000"/>
            </w:tcBorders>
            <w:shd w:val="clear" w:color="auto" w:fill="auto"/>
            <w:vAlign w:val="center"/>
          </w:tcPr>
          <w:p w14:paraId="1B3CCFC5"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Health care sector</w:t>
            </w:r>
          </w:p>
        </w:tc>
        <w:tc>
          <w:tcPr>
            <w:tcW w:w="2268" w:type="dxa"/>
            <w:tcBorders>
              <w:top w:val="dotted" w:sz="4" w:space="0" w:color="000000"/>
              <w:bottom w:val="dotted" w:sz="4" w:space="0" w:color="000000"/>
            </w:tcBorders>
            <w:shd w:val="clear" w:color="auto" w:fill="auto"/>
            <w:vAlign w:val="center"/>
          </w:tcPr>
          <w:p w14:paraId="06FB8080"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health system perspective</w:t>
            </w:r>
          </w:p>
        </w:tc>
        <w:tc>
          <w:tcPr>
            <w:tcW w:w="1843" w:type="dxa"/>
            <w:tcBorders>
              <w:top w:val="dotted" w:sz="4" w:space="0" w:color="000000"/>
              <w:bottom w:val="dotted" w:sz="4" w:space="0" w:color="000000"/>
            </w:tcBorders>
            <w:shd w:val="clear" w:color="auto" w:fill="auto"/>
            <w:vAlign w:val="center"/>
          </w:tcPr>
          <w:p w14:paraId="797D705C"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Health service sector</w:t>
            </w:r>
          </w:p>
        </w:tc>
      </w:tr>
      <w:tr w:rsidR="005703C0" w:rsidRPr="00FE2C92" w14:paraId="5986D6C2"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7AF17751"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4</w:t>
            </w:r>
          </w:p>
        </w:tc>
        <w:tc>
          <w:tcPr>
            <w:tcW w:w="2409" w:type="dxa"/>
            <w:gridSpan w:val="2"/>
            <w:tcBorders>
              <w:top w:val="dotted" w:sz="4" w:space="0" w:color="000000"/>
              <w:bottom w:val="dotted" w:sz="4" w:space="0" w:color="000000"/>
            </w:tcBorders>
            <w:shd w:val="clear" w:color="auto" w:fill="auto"/>
            <w:vAlign w:val="center"/>
          </w:tcPr>
          <w:p w14:paraId="1C7B5C28"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Comparator(s)</w:t>
            </w:r>
          </w:p>
        </w:tc>
        <w:tc>
          <w:tcPr>
            <w:tcW w:w="2410" w:type="dxa"/>
            <w:tcBorders>
              <w:top w:val="dotted" w:sz="4" w:space="0" w:color="000000"/>
              <w:bottom w:val="dotted" w:sz="4" w:space="0" w:color="000000"/>
            </w:tcBorders>
            <w:shd w:val="clear" w:color="auto" w:fill="auto"/>
            <w:vAlign w:val="center"/>
          </w:tcPr>
          <w:p w14:paraId="438B3C94"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All potentially relevant comparators are established practices in the NHS. </w:t>
            </w:r>
          </w:p>
        </w:tc>
        <w:tc>
          <w:tcPr>
            <w:tcW w:w="2410" w:type="dxa"/>
            <w:tcBorders>
              <w:top w:val="dotted" w:sz="4" w:space="0" w:color="000000"/>
              <w:bottom w:val="dotted" w:sz="4" w:space="0" w:color="000000"/>
            </w:tcBorders>
            <w:shd w:val="clear" w:color="auto" w:fill="auto"/>
            <w:vAlign w:val="center"/>
          </w:tcPr>
          <w:p w14:paraId="4F9FCFA2" w14:textId="6EB17A8C"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All relevant interventions, including “current care” </w:t>
            </w:r>
          </w:p>
        </w:tc>
        <w:tc>
          <w:tcPr>
            <w:tcW w:w="2126" w:type="dxa"/>
            <w:tcBorders>
              <w:top w:val="dotted" w:sz="4" w:space="0" w:color="000000"/>
              <w:bottom w:val="dotted" w:sz="4" w:space="0" w:color="000000"/>
            </w:tcBorders>
            <w:shd w:val="clear" w:color="auto" w:fill="auto"/>
            <w:vAlign w:val="center"/>
          </w:tcPr>
          <w:p w14:paraId="40ED59D6"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Available and feasible relevant alternative treatments, including specific active comparators, “usual care”, or a “do-nothing” option</w:t>
            </w:r>
          </w:p>
        </w:tc>
        <w:tc>
          <w:tcPr>
            <w:tcW w:w="2268" w:type="dxa"/>
            <w:tcBorders>
              <w:top w:val="dotted" w:sz="4" w:space="0" w:color="000000"/>
              <w:bottom w:val="dotted" w:sz="4" w:space="0" w:color="000000"/>
            </w:tcBorders>
            <w:shd w:val="clear" w:color="auto" w:fill="auto"/>
            <w:vAlign w:val="center"/>
          </w:tcPr>
          <w:p w14:paraId="6C9C345E"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Alternative therapies in Australia and the therapies most likely to be replaced in clinical practice.</w:t>
            </w:r>
          </w:p>
        </w:tc>
        <w:tc>
          <w:tcPr>
            <w:tcW w:w="1843" w:type="dxa"/>
            <w:tcBorders>
              <w:top w:val="dotted" w:sz="4" w:space="0" w:color="000000"/>
              <w:bottom w:val="dotted" w:sz="4" w:space="0" w:color="000000"/>
            </w:tcBorders>
            <w:shd w:val="clear" w:color="auto" w:fill="auto"/>
            <w:vAlign w:val="center"/>
          </w:tcPr>
          <w:p w14:paraId="3F91DAE2"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The treatment alternative(s) the new pharmaceutical is likely to replace</w:t>
            </w:r>
          </w:p>
        </w:tc>
      </w:tr>
      <w:tr w:rsidR="005703C0" w:rsidRPr="00FE2C92" w14:paraId="4F342DA5" w14:textId="77777777" w:rsidTr="003574E8">
        <w:trPr>
          <w:trHeight w:val="728"/>
          <w:jc w:val="center"/>
        </w:trPr>
        <w:tc>
          <w:tcPr>
            <w:tcW w:w="661" w:type="dxa"/>
            <w:tcBorders>
              <w:top w:val="dotted" w:sz="4" w:space="0" w:color="000000"/>
              <w:bottom w:val="dotted" w:sz="4" w:space="0" w:color="000000"/>
            </w:tcBorders>
            <w:shd w:val="clear" w:color="auto" w:fill="auto"/>
            <w:vAlign w:val="center"/>
          </w:tcPr>
          <w:p w14:paraId="24E9B555"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5</w:t>
            </w:r>
          </w:p>
        </w:tc>
        <w:tc>
          <w:tcPr>
            <w:tcW w:w="2409" w:type="dxa"/>
            <w:gridSpan w:val="2"/>
            <w:tcBorders>
              <w:top w:val="dotted" w:sz="4" w:space="0" w:color="000000"/>
              <w:bottom w:val="dotted" w:sz="4" w:space="0" w:color="000000"/>
            </w:tcBorders>
            <w:shd w:val="clear" w:color="auto" w:fill="auto"/>
            <w:vAlign w:val="center"/>
          </w:tcPr>
          <w:p w14:paraId="34DE4416"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Time horizon</w:t>
            </w:r>
          </w:p>
        </w:tc>
        <w:tc>
          <w:tcPr>
            <w:tcW w:w="2410" w:type="dxa"/>
            <w:tcBorders>
              <w:top w:val="dotted" w:sz="4" w:space="0" w:color="000000"/>
              <w:bottom w:val="dotted" w:sz="4" w:space="0" w:color="000000"/>
            </w:tcBorders>
            <w:shd w:val="clear" w:color="auto" w:fill="auto"/>
            <w:vAlign w:val="center"/>
          </w:tcPr>
          <w:p w14:paraId="2D61E4FE" w14:textId="7BA61A44" w:rsidR="005703C0" w:rsidRPr="00FE2C92" w:rsidRDefault="005703C0" w:rsidP="00C15362">
            <w:pPr>
              <w:widowControl/>
              <w:adjustRightInd w:val="0"/>
              <w:snapToGrid w:val="0"/>
              <w:spacing w:line="360" w:lineRule="auto"/>
              <w:jc w:val="left"/>
              <w:rPr>
                <w:rFonts w:ascii="Times New Roman" w:hAnsi="Times New Roman" w:cs="Times New Roman"/>
                <w:kern w:val="0"/>
                <w:sz w:val="18"/>
                <w:szCs w:val="18"/>
                <w:lang w:val="en-US"/>
              </w:rPr>
            </w:pPr>
            <w:r w:rsidRPr="00FE2C92">
              <w:rPr>
                <w:rFonts w:ascii="Times New Roman" w:eastAsia="SimSun" w:hAnsi="Times New Roman" w:cs="Times New Roman"/>
                <w:kern w:val="0"/>
                <w:sz w:val="18"/>
                <w:szCs w:val="18"/>
              </w:rPr>
              <w:t>Long enough</w:t>
            </w:r>
            <w:r w:rsidRPr="00FE2C92">
              <w:rPr>
                <w:rFonts w:ascii="Times New Roman" w:eastAsia="SimSun" w:hAnsi="Times New Roman" w:cs="Times New Roman"/>
                <w:kern w:val="0"/>
                <w:sz w:val="18"/>
                <w:szCs w:val="18"/>
                <w:lang w:val="en-US"/>
              </w:rPr>
              <w:t xml:space="preserve"> to capture all relevant differences in the future costs and outcomes associated with the proposed treatment (long enough hereinafter)</w:t>
            </w:r>
          </w:p>
        </w:tc>
        <w:tc>
          <w:tcPr>
            <w:tcW w:w="2410" w:type="dxa"/>
            <w:tcBorders>
              <w:top w:val="dotted" w:sz="4" w:space="0" w:color="000000"/>
              <w:bottom w:val="dotted" w:sz="4" w:space="0" w:color="000000"/>
            </w:tcBorders>
            <w:shd w:val="clear" w:color="auto" w:fill="auto"/>
            <w:vAlign w:val="center"/>
          </w:tcPr>
          <w:p w14:paraId="1F9A9D12"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Long enough</w:t>
            </w:r>
          </w:p>
        </w:tc>
        <w:tc>
          <w:tcPr>
            <w:tcW w:w="2126" w:type="dxa"/>
            <w:tcBorders>
              <w:top w:val="dotted" w:sz="4" w:space="0" w:color="000000"/>
              <w:bottom w:val="dotted" w:sz="4" w:space="0" w:color="000000"/>
            </w:tcBorders>
            <w:shd w:val="clear" w:color="auto" w:fill="auto"/>
            <w:vAlign w:val="center"/>
          </w:tcPr>
          <w:p w14:paraId="0988893E"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Lifetime (default)</w:t>
            </w:r>
          </w:p>
        </w:tc>
        <w:tc>
          <w:tcPr>
            <w:tcW w:w="2268" w:type="dxa"/>
            <w:tcBorders>
              <w:top w:val="dotted" w:sz="4" w:space="0" w:color="000000"/>
              <w:bottom w:val="dotted" w:sz="4" w:space="0" w:color="000000"/>
            </w:tcBorders>
            <w:shd w:val="clear" w:color="auto" w:fill="auto"/>
            <w:vAlign w:val="center"/>
          </w:tcPr>
          <w:p w14:paraId="5605D0DC"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Long enough</w:t>
            </w:r>
          </w:p>
        </w:tc>
        <w:tc>
          <w:tcPr>
            <w:tcW w:w="1843" w:type="dxa"/>
            <w:tcBorders>
              <w:top w:val="dotted" w:sz="4" w:space="0" w:color="000000"/>
              <w:bottom w:val="dotted" w:sz="4" w:space="0" w:color="000000"/>
            </w:tcBorders>
            <w:shd w:val="clear" w:color="auto" w:fill="auto"/>
            <w:vAlign w:val="center"/>
          </w:tcPr>
          <w:p w14:paraId="382A70BF"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Long enough</w:t>
            </w:r>
          </w:p>
        </w:tc>
      </w:tr>
      <w:tr w:rsidR="005703C0" w:rsidRPr="00FE2C92" w14:paraId="3CA9F024"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1FC8001D"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6</w:t>
            </w:r>
          </w:p>
        </w:tc>
        <w:tc>
          <w:tcPr>
            <w:tcW w:w="2409" w:type="dxa"/>
            <w:gridSpan w:val="2"/>
            <w:tcBorders>
              <w:top w:val="dotted" w:sz="4" w:space="0" w:color="000000"/>
              <w:bottom w:val="dotted" w:sz="4" w:space="0" w:color="000000"/>
            </w:tcBorders>
            <w:shd w:val="clear" w:color="auto" w:fill="auto"/>
            <w:vAlign w:val="center"/>
          </w:tcPr>
          <w:p w14:paraId="56B924F6"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Discounting</w:t>
            </w:r>
          </w:p>
        </w:tc>
        <w:tc>
          <w:tcPr>
            <w:tcW w:w="2410" w:type="dxa"/>
            <w:tcBorders>
              <w:top w:val="dotted" w:sz="4" w:space="0" w:color="000000"/>
              <w:bottom w:val="dotted" w:sz="4" w:space="0" w:color="000000"/>
            </w:tcBorders>
            <w:shd w:val="clear" w:color="auto" w:fill="auto"/>
            <w:vAlign w:val="center"/>
          </w:tcPr>
          <w:p w14:paraId="17CBD5B3"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3.5%</w:t>
            </w:r>
          </w:p>
        </w:tc>
        <w:tc>
          <w:tcPr>
            <w:tcW w:w="2410" w:type="dxa"/>
            <w:tcBorders>
              <w:top w:val="dotted" w:sz="4" w:space="0" w:color="000000"/>
              <w:bottom w:val="dotted" w:sz="4" w:space="0" w:color="000000"/>
            </w:tcBorders>
            <w:shd w:val="clear" w:color="auto" w:fill="auto"/>
            <w:vAlign w:val="center"/>
          </w:tcPr>
          <w:p w14:paraId="01D1EFD3"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1.5%</w:t>
            </w:r>
          </w:p>
        </w:tc>
        <w:tc>
          <w:tcPr>
            <w:tcW w:w="2126" w:type="dxa"/>
            <w:tcBorders>
              <w:top w:val="dotted" w:sz="4" w:space="0" w:color="000000"/>
              <w:bottom w:val="dotted" w:sz="4" w:space="0" w:color="000000"/>
            </w:tcBorders>
            <w:shd w:val="clear" w:color="auto" w:fill="auto"/>
            <w:vAlign w:val="center"/>
          </w:tcPr>
          <w:p w14:paraId="6DEA232D"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3%</w:t>
            </w:r>
          </w:p>
        </w:tc>
        <w:tc>
          <w:tcPr>
            <w:tcW w:w="2268" w:type="dxa"/>
            <w:tcBorders>
              <w:top w:val="dotted" w:sz="4" w:space="0" w:color="000000"/>
              <w:bottom w:val="dotted" w:sz="4" w:space="0" w:color="000000"/>
            </w:tcBorders>
            <w:shd w:val="clear" w:color="auto" w:fill="auto"/>
            <w:vAlign w:val="center"/>
          </w:tcPr>
          <w:p w14:paraId="4A547806"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5%</w:t>
            </w:r>
          </w:p>
        </w:tc>
        <w:tc>
          <w:tcPr>
            <w:tcW w:w="1843" w:type="dxa"/>
            <w:tcBorders>
              <w:top w:val="dotted" w:sz="4" w:space="0" w:color="000000"/>
              <w:bottom w:val="dotted" w:sz="4" w:space="0" w:color="000000"/>
            </w:tcBorders>
            <w:shd w:val="clear" w:color="auto" w:fill="auto"/>
            <w:vAlign w:val="center"/>
          </w:tcPr>
          <w:p w14:paraId="258D66B5"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4%</w:t>
            </w:r>
          </w:p>
        </w:tc>
      </w:tr>
      <w:tr w:rsidR="005703C0" w:rsidRPr="00FE2C92" w14:paraId="3BEB3E30"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5E6E6C5E"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lastRenderedPageBreak/>
              <w:t>7</w:t>
            </w:r>
          </w:p>
        </w:tc>
        <w:tc>
          <w:tcPr>
            <w:tcW w:w="2409" w:type="dxa"/>
            <w:gridSpan w:val="2"/>
            <w:tcBorders>
              <w:top w:val="dotted" w:sz="4" w:space="0" w:color="000000"/>
              <w:bottom w:val="dotted" w:sz="4" w:space="0" w:color="000000"/>
            </w:tcBorders>
            <w:shd w:val="clear" w:color="auto" w:fill="auto"/>
            <w:vAlign w:val="center"/>
          </w:tcPr>
          <w:p w14:paraId="4D404371" w14:textId="7C8D95E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Evidence o</w:t>
            </w:r>
            <w:r w:rsidR="0097470D" w:rsidRPr="00FE2C92">
              <w:rPr>
                <w:rFonts w:ascii="Times New Roman" w:eastAsia="SimSun" w:hAnsi="Times New Roman" w:cs="Times New Roman"/>
                <w:kern w:val="0"/>
                <w:sz w:val="18"/>
                <w:szCs w:val="18"/>
              </w:rPr>
              <w:t>f</w:t>
            </w:r>
            <w:r w:rsidRPr="00FE2C92">
              <w:rPr>
                <w:rFonts w:ascii="Times New Roman" w:eastAsia="SimSun" w:hAnsi="Times New Roman" w:cs="Times New Roman"/>
                <w:kern w:val="0"/>
                <w:sz w:val="18"/>
                <w:szCs w:val="18"/>
              </w:rPr>
              <w:t xml:space="preserve"> resource use and costs</w:t>
            </w:r>
          </w:p>
        </w:tc>
        <w:tc>
          <w:tcPr>
            <w:tcW w:w="2410" w:type="dxa"/>
            <w:tcBorders>
              <w:top w:val="dotted" w:sz="4" w:space="0" w:color="000000"/>
              <w:bottom w:val="dotted" w:sz="4" w:space="0" w:color="000000"/>
            </w:tcBorders>
            <w:shd w:val="clear" w:color="auto" w:fill="auto"/>
            <w:vAlign w:val="center"/>
          </w:tcPr>
          <w:p w14:paraId="3568121B" w14:textId="63E3EE5E"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Relating NHS and PSS resources should be valued using the prices relevant to the NHS and PSS</w:t>
            </w:r>
          </w:p>
        </w:tc>
        <w:tc>
          <w:tcPr>
            <w:tcW w:w="2410" w:type="dxa"/>
            <w:tcBorders>
              <w:top w:val="dotted" w:sz="4" w:space="0" w:color="000000"/>
              <w:bottom w:val="dotted" w:sz="4" w:space="0" w:color="000000"/>
            </w:tcBorders>
            <w:shd w:val="clear" w:color="auto" w:fill="auto"/>
            <w:vAlign w:val="center"/>
          </w:tcPr>
          <w:p w14:paraId="748B574B"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Estimate Canadian resources and costs using data that reflect the jurisdiction(s) of interest.</w:t>
            </w:r>
          </w:p>
        </w:tc>
        <w:tc>
          <w:tcPr>
            <w:tcW w:w="2126" w:type="dxa"/>
            <w:tcBorders>
              <w:top w:val="dotted" w:sz="4" w:space="0" w:color="000000"/>
              <w:bottom w:val="dotted" w:sz="4" w:space="0" w:color="000000"/>
            </w:tcBorders>
            <w:shd w:val="clear" w:color="auto" w:fill="auto"/>
            <w:vAlign w:val="center"/>
          </w:tcPr>
          <w:p w14:paraId="20A0CF02"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Based on the health system </w:t>
            </w:r>
            <w:r w:rsidRPr="00FE2C92">
              <w:rPr>
                <w:rFonts w:ascii="Times New Roman" w:eastAsia="SimSun" w:hAnsi="Times New Roman" w:cs="Times New Roman"/>
                <w:kern w:val="0"/>
                <w:sz w:val="18"/>
                <w:szCs w:val="18"/>
              </w:rPr>
              <w:br/>
              <w:t>payer perspective</w:t>
            </w:r>
          </w:p>
        </w:tc>
        <w:tc>
          <w:tcPr>
            <w:tcW w:w="2268" w:type="dxa"/>
            <w:tcBorders>
              <w:top w:val="dotted" w:sz="4" w:space="0" w:color="000000"/>
              <w:bottom w:val="dotted" w:sz="4" w:space="0" w:color="000000"/>
            </w:tcBorders>
            <w:shd w:val="clear" w:color="auto" w:fill="auto"/>
            <w:vAlign w:val="center"/>
          </w:tcPr>
          <w:p w14:paraId="543255D1"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Recommend the sources should be included</w:t>
            </w:r>
            <w:r w:rsidRPr="00FE2C92">
              <w:rPr>
                <w:rFonts w:ascii="Times New Roman" w:eastAsia="SimSun" w:hAnsi="Times New Roman" w:cs="Times New Roman"/>
                <w:kern w:val="0"/>
                <w:sz w:val="18"/>
                <w:szCs w:val="18"/>
                <w:vertAlign w:val="superscript"/>
              </w:rPr>
              <w:t>†</w:t>
            </w:r>
          </w:p>
        </w:tc>
        <w:tc>
          <w:tcPr>
            <w:tcW w:w="1843" w:type="dxa"/>
            <w:tcBorders>
              <w:top w:val="dotted" w:sz="4" w:space="0" w:color="000000"/>
              <w:bottom w:val="dotted" w:sz="4" w:space="0" w:color="000000"/>
            </w:tcBorders>
            <w:shd w:val="clear" w:color="auto" w:fill="auto"/>
            <w:vAlign w:val="center"/>
          </w:tcPr>
          <w:p w14:paraId="2A1327D1"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Recommend the sources should not be included</w:t>
            </w:r>
            <w:r w:rsidRPr="00FE2C92">
              <w:rPr>
                <w:rFonts w:ascii="Times New Roman" w:eastAsia="SimSun" w:hAnsi="Times New Roman" w:cs="Times New Roman"/>
                <w:kern w:val="0"/>
                <w:sz w:val="18"/>
                <w:szCs w:val="18"/>
                <w:vertAlign w:val="superscript"/>
              </w:rPr>
              <w:t>‡</w:t>
            </w:r>
          </w:p>
        </w:tc>
      </w:tr>
      <w:tr w:rsidR="005703C0" w:rsidRPr="00FE2C92" w14:paraId="26DAB4C4"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4ABD994B"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bookmarkStart w:id="9" w:name="_Hlk97548832"/>
            <w:r w:rsidRPr="00FE2C92">
              <w:rPr>
                <w:rFonts w:ascii="Times New Roman" w:eastAsia="SimSun" w:hAnsi="Times New Roman" w:cs="Times New Roman"/>
                <w:kern w:val="0"/>
                <w:sz w:val="18"/>
                <w:szCs w:val="18"/>
              </w:rPr>
              <w:t>8</w:t>
            </w:r>
          </w:p>
        </w:tc>
        <w:tc>
          <w:tcPr>
            <w:tcW w:w="2409" w:type="dxa"/>
            <w:gridSpan w:val="2"/>
            <w:tcBorders>
              <w:top w:val="dotted" w:sz="4" w:space="0" w:color="000000"/>
              <w:bottom w:val="dotted" w:sz="4" w:space="0" w:color="000000"/>
            </w:tcBorders>
            <w:shd w:val="clear" w:color="auto" w:fill="auto"/>
            <w:vAlign w:val="center"/>
          </w:tcPr>
          <w:p w14:paraId="66AEB4A0"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Measurement and Valuation of Health</w:t>
            </w:r>
          </w:p>
        </w:tc>
        <w:tc>
          <w:tcPr>
            <w:tcW w:w="2410" w:type="dxa"/>
            <w:tcBorders>
              <w:top w:val="dotted" w:sz="4" w:space="0" w:color="000000"/>
              <w:bottom w:val="dotted" w:sz="4" w:space="0" w:color="000000"/>
            </w:tcBorders>
            <w:shd w:val="clear" w:color="auto" w:fill="auto"/>
            <w:vAlign w:val="center"/>
          </w:tcPr>
          <w:p w14:paraId="57544AEB"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Expressed in </w:t>
            </w:r>
            <w:bookmarkStart w:id="10" w:name="OLE_LINK10"/>
            <w:r w:rsidRPr="00FE2C92">
              <w:rPr>
                <w:rFonts w:ascii="Times New Roman" w:eastAsia="SimSun" w:hAnsi="Times New Roman" w:cs="Times New Roman"/>
                <w:kern w:val="0"/>
                <w:sz w:val="18"/>
                <w:szCs w:val="18"/>
              </w:rPr>
              <w:t>QALYs</w:t>
            </w:r>
            <w:bookmarkEnd w:id="10"/>
            <w:r w:rsidRPr="00FE2C92">
              <w:rPr>
                <w:rFonts w:ascii="Times New Roman" w:eastAsia="SimSun" w:hAnsi="Times New Roman" w:cs="Times New Roman"/>
                <w:kern w:val="0"/>
                <w:sz w:val="18"/>
                <w:szCs w:val="18"/>
              </w:rPr>
              <w:t xml:space="preserve">. </w:t>
            </w:r>
          </w:p>
          <w:p w14:paraId="57CB0FAF"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The EQ-5D is preferred.</w:t>
            </w:r>
          </w:p>
        </w:tc>
        <w:tc>
          <w:tcPr>
            <w:tcW w:w="2410" w:type="dxa"/>
            <w:tcBorders>
              <w:top w:val="dotted" w:sz="4" w:space="0" w:color="000000"/>
              <w:bottom w:val="dotted" w:sz="4" w:space="0" w:color="000000"/>
            </w:tcBorders>
            <w:shd w:val="clear" w:color="auto" w:fill="auto"/>
            <w:vAlign w:val="center"/>
          </w:tcPr>
          <w:p w14:paraId="24257F26"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Expressed in QALYs.</w:t>
            </w:r>
          </w:p>
          <w:p w14:paraId="4D8B8EB9"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The generic preference-based measure is recommended; no specific generic, preference-based measure is required.</w:t>
            </w:r>
          </w:p>
        </w:tc>
        <w:tc>
          <w:tcPr>
            <w:tcW w:w="2126" w:type="dxa"/>
            <w:tcBorders>
              <w:top w:val="dotted" w:sz="4" w:space="0" w:color="000000"/>
              <w:bottom w:val="dotted" w:sz="4" w:space="0" w:color="000000"/>
            </w:tcBorders>
            <w:shd w:val="clear" w:color="auto" w:fill="auto"/>
            <w:vAlign w:val="center"/>
          </w:tcPr>
          <w:p w14:paraId="7DEF38B4"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bookmarkStart w:id="11" w:name="OLE_LINK9"/>
            <w:r w:rsidRPr="00FE2C92">
              <w:rPr>
                <w:rFonts w:ascii="Times New Roman" w:eastAsia="SimSun" w:hAnsi="Times New Roman" w:cs="Times New Roman"/>
                <w:kern w:val="0"/>
                <w:sz w:val="18"/>
                <w:szCs w:val="18"/>
              </w:rPr>
              <w:t>Expressed in QALYs.</w:t>
            </w:r>
          </w:p>
          <w:bookmarkEnd w:id="11"/>
          <w:p w14:paraId="5D5F4800" w14:textId="3A3C798B"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The generic preference-based measure is recommended; no specific generic, preference-based measure is required, but EQ-5D is preferred if available</w:t>
            </w:r>
            <w:r w:rsidR="00F22C83">
              <w:rPr>
                <w:rFonts w:ascii="Times New Roman" w:eastAsia="SimSun" w:hAnsi="Times New Roman" w:cs="Times New Roman"/>
                <w:kern w:val="0"/>
                <w:sz w:val="18"/>
                <w:szCs w:val="18"/>
              </w:rPr>
              <w:t>.</w:t>
            </w:r>
          </w:p>
        </w:tc>
        <w:tc>
          <w:tcPr>
            <w:tcW w:w="2268" w:type="dxa"/>
            <w:tcBorders>
              <w:top w:val="dotted" w:sz="4" w:space="0" w:color="000000"/>
              <w:bottom w:val="dotted" w:sz="4" w:space="0" w:color="000000"/>
            </w:tcBorders>
            <w:shd w:val="clear" w:color="auto" w:fill="auto"/>
            <w:vAlign w:val="center"/>
          </w:tcPr>
          <w:p w14:paraId="2B5A1685"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Expressed in QALYs.</w:t>
            </w:r>
          </w:p>
          <w:p w14:paraId="3A1EC316"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No specific generic, preference-based measure is required</w:t>
            </w:r>
          </w:p>
        </w:tc>
        <w:tc>
          <w:tcPr>
            <w:tcW w:w="1843" w:type="dxa"/>
            <w:tcBorders>
              <w:top w:val="dotted" w:sz="4" w:space="0" w:color="000000"/>
              <w:bottom w:val="dotted" w:sz="4" w:space="0" w:color="000000"/>
            </w:tcBorders>
            <w:shd w:val="clear" w:color="auto" w:fill="auto"/>
            <w:vAlign w:val="center"/>
          </w:tcPr>
          <w:p w14:paraId="492EE381"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Generic preference-based instruments (mainly EQ-5D-3L).</w:t>
            </w:r>
          </w:p>
        </w:tc>
      </w:tr>
      <w:tr w:rsidR="005703C0" w:rsidRPr="00FE2C92" w14:paraId="68821F5C"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2F558212" w14:textId="626EF3C2" w:rsidR="005703C0" w:rsidRPr="00FE2C92" w:rsidRDefault="0004139D"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 </w:t>
            </w:r>
            <w:r w:rsidR="005703C0" w:rsidRPr="00FE2C92">
              <w:rPr>
                <w:rFonts w:ascii="Times New Roman" w:eastAsia="SimSun" w:hAnsi="Times New Roman" w:cs="Times New Roman"/>
                <w:kern w:val="0"/>
                <w:sz w:val="18"/>
                <w:szCs w:val="18"/>
              </w:rPr>
              <w:t>9</w:t>
            </w:r>
          </w:p>
        </w:tc>
        <w:tc>
          <w:tcPr>
            <w:tcW w:w="2409" w:type="dxa"/>
            <w:gridSpan w:val="2"/>
            <w:tcBorders>
              <w:top w:val="dotted" w:sz="4" w:space="0" w:color="000000"/>
              <w:bottom w:val="dotted" w:sz="4" w:space="0" w:color="000000"/>
            </w:tcBorders>
            <w:shd w:val="clear" w:color="auto" w:fill="auto"/>
            <w:vAlign w:val="center"/>
          </w:tcPr>
          <w:p w14:paraId="7E6BAF39"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Quantifying Effects of Interventions</w:t>
            </w:r>
          </w:p>
        </w:tc>
        <w:tc>
          <w:tcPr>
            <w:tcW w:w="2410" w:type="dxa"/>
            <w:tcBorders>
              <w:top w:val="dotted" w:sz="4" w:space="0" w:color="000000"/>
              <w:bottom w:val="dotted" w:sz="4" w:space="0" w:color="000000"/>
            </w:tcBorders>
            <w:shd w:val="clear" w:color="auto" w:fill="auto"/>
            <w:vAlign w:val="center"/>
          </w:tcPr>
          <w:p w14:paraId="042E10E0"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Based on a systematic review</w:t>
            </w:r>
          </w:p>
        </w:tc>
        <w:tc>
          <w:tcPr>
            <w:tcW w:w="2410" w:type="dxa"/>
            <w:tcBorders>
              <w:top w:val="dotted" w:sz="4" w:space="0" w:color="000000"/>
              <w:bottom w:val="dotted" w:sz="4" w:space="0" w:color="000000"/>
            </w:tcBorders>
            <w:shd w:val="clear" w:color="auto" w:fill="auto"/>
            <w:vAlign w:val="center"/>
          </w:tcPr>
          <w:p w14:paraId="764A1BE4" w14:textId="77777777" w:rsidR="005703C0" w:rsidRPr="00FE2C92" w:rsidRDefault="005703C0" w:rsidP="00C15362">
            <w:pPr>
              <w:widowControl/>
              <w:adjustRightInd w:val="0"/>
              <w:snapToGrid w:val="0"/>
              <w:spacing w:line="360" w:lineRule="auto"/>
              <w:ind w:firstLineChars="100" w:firstLine="180"/>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NR</w:t>
            </w:r>
          </w:p>
        </w:tc>
        <w:tc>
          <w:tcPr>
            <w:tcW w:w="2126" w:type="dxa"/>
            <w:tcBorders>
              <w:top w:val="dotted" w:sz="4" w:space="0" w:color="000000"/>
              <w:bottom w:val="dotted" w:sz="4" w:space="0" w:color="000000"/>
            </w:tcBorders>
            <w:shd w:val="clear" w:color="auto" w:fill="auto"/>
            <w:vAlign w:val="center"/>
          </w:tcPr>
          <w:p w14:paraId="141CF4B7" w14:textId="2E4A9439"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A systematic review is preferred</w:t>
            </w:r>
          </w:p>
        </w:tc>
        <w:tc>
          <w:tcPr>
            <w:tcW w:w="2268" w:type="dxa"/>
            <w:tcBorders>
              <w:top w:val="dotted" w:sz="4" w:space="0" w:color="000000"/>
              <w:bottom w:val="dotted" w:sz="4" w:space="0" w:color="000000"/>
            </w:tcBorders>
            <w:shd w:val="clear" w:color="auto" w:fill="auto"/>
            <w:vAlign w:val="center"/>
          </w:tcPr>
          <w:p w14:paraId="35E4BFC3"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Based on direct randomised trials are preferred</w:t>
            </w:r>
          </w:p>
        </w:tc>
        <w:tc>
          <w:tcPr>
            <w:tcW w:w="1843" w:type="dxa"/>
            <w:tcBorders>
              <w:top w:val="dotted" w:sz="4" w:space="0" w:color="000000"/>
              <w:bottom w:val="dotted" w:sz="4" w:space="0" w:color="000000"/>
            </w:tcBorders>
            <w:shd w:val="clear" w:color="auto" w:fill="auto"/>
            <w:noWrap/>
            <w:vAlign w:val="center"/>
          </w:tcPr>
          <w:p w14:paraId="239D66EC"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NR</w:t>
            </w:r>
          </w:p>
        </w:tc>
      </w:tr>
      <w:tr w:rsidR="005703C0" w:rsidRPr="00FE2C92" w14:paraId="06B5C0FC"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62F9EC07"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10</w:t>
            </w:r>
          </w:p>
        </w:tc>
        <w:tc>
          <w:tcPr>
            <w:tcW w:w="2409" w:type="dxa"/>
            <w:gridSpan w:val="2"/>
            <w:tcBorders>
              <w:top w:val="dotted" w:sz="4" w:space="0" w:color="000000"/>
              <w:bottom w:val="dotted" w:sz="4" w:space="0" w:color="000000"/>
            </w:tcBorders>
            <w:shd w:val="clear" w:color="auto" w:fill="auto"/>
            <w:vAlign w:val="center"/>
          </w:tcPr>
          <w:p w14:paraId="28E0C00E"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Source of data for measurement of health-related quality of life</w:t>
            </w:r>
          </w:p>
        </w:tc>
        <w:tc>
          <w:tcPr>
            <w:tcW w:w="2410" w:type="dxa"/>
            <w:tcBorders>
              <w:top w:val="dotted" w:sz="4" w:space="0" w:color="000000"/>
              <w:bottom w:val="dotted" w:sz="4" w:space="0" w:color="000000"/>
            </w:tcBorders>
            <w:shd w:val="clear" w:color="auto" w:fill="auto"/>
            <w:vAlign w:val="center"/>
          </w:tcPr>
          <w:p w14:paraId="5134A80F"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Reported directly by patients or carers, or both.</w:t>
            </w:r>
          </w:p>
        </w:tc>
        <w:tc>
          <w:tcPr>
            <w:tcW w:w="2410" w:type="dxa"/>
            <w:tcBorders>
              <w:top w:val="dotted" w:sz="4" w:space="0" w:color="000000"/>
              <w:bottom w:val="dotted" w:sz="4" w:space="0" w:color="000000"/>
            </w:tcBorders>
            <w:shd w:val="clear" w:color="auto" w:fill="auto"/>
            <w:vAlign w:val="center"/>
          </w:tcPr>
          <w:p w14:paraId="6C203285"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Obtain health preferences from an indirect measurement method based on a generic classification system.</w:t>
            </w:r>
          </w:p>
        </w:tc>
        <w:tc>
          <w:tcPr>
            <w:tcW w:w="2126" w:type="dxa"/>
            <w:tcBorders>
              <w:top w:val="dotted" w:sz="4" w:space="0" w:color="000000"/>
              <w:bottom w:val="dotted" w:sz="4" w:space="0" w:color="000000"/>
            </w:tcBorders>
            <w:shd w:val="clear" w:color="auto" w:fill="auto"/>
            <w:vAlign w:val="center"/>
          </w:tcPr>
          <w:p w14:paraId="2A3F07D0"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Usually from an indirect way of measurement based on a generic classification system</w:t>
            </w:r>
          </w:p>
        </w:tc>
        <w:tc>
          <w:tcPr>
            <w:tcW w:w="2268" w:type="dxa"/>
            <w:tcBorders>
              <w:top w:val="dotted" w:sz="4" w:space="0" w:color="000000"/>
              <w:bottom w:val="dotted" w:sz="4" w:space="0" w:color="000000"/>
            </w:tcBorders>
            <w:shd w:val="clear" w:color="auto" w:fill="auto"/>
            <w:vAlign w:val="center"/>
          </w:tcPr>
          <w:p w14:paraId="4F1B74D4"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Within-trial evidence is preferred</w:t>
            </w:r>
          </w:p>
        </w:tc>
        <w:tc>
          <w:tcPr>
            <w:tcW w:w="1843" w:type="dxa"/>
            <w:tcBorders>
              <w:top w:val="dotted" w:sz="4" w:space="0" w:color="000000"/>
              <w:bottom w:val="dotted" w:sz="4" w:space="0" w:color="000000"/>
            </w:tcBorders>
            <w:shd w:val="clear" w:color="auto" w:fill="auto"/>
            <w:noWrap/>
            <w:vAlign w:val="center"/>
          </w:tcPr>
          <w:p w14:paraId="6B5DC0AE"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NR</w:t>
            </w:r>
          </w:p>
        </w:tc>
      </w:tr>
      <w:bookmarkEnd w:id="9"/>
      <w:tr w:rsidR="005703C0" w:rsidRPr="00FE2C92" w14:paraId="6B80D9A4" w14:textId="77777777" w:rsidTr="003574E8">
        <w:trPr>
          <w:trHeight w:val="280"/>
          <w:jc w:val="center"/>
        </w:trPr>
        <w:tc>
          <w:tcPr>
            <w:tcW w:w="661" w:type="dxa"/>
            <w:tcBorders>
              <w:top w:val="dotted" w:sz="4" w:space="0" w:color="000000"/>
              <w:bottom w:val="dotted" w:sz="4" w:space="0" w:color="000000"/>
            </w:tcBorders>
            <w:shd w:val="clear" w:color="auto" w:fill="auto"/>
            <w:vAlign w:val="center"/>
          </w:tcPr>
          <w:p w14:paraId="05B93B13"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11</w:t>
            </w:r>
          </w:p>
        </w:tc>
        <w:tc>
          <w:tcPr>
            <w:tcW w:w="2409" w:type="dxa"/>
            <w:gridSpan w:val="2"/>
            <w:tcBorders>
              <w:top w:val="dotted" w:sz="4" w:space="0" w:color="000000"/>
              <w:bottom w:val="dotted" w:sz="4" w:space="0" w:color="000000"/>
            </w:tcBorders>
            <w:shd w:val="clear" w:color="auto" w:fill="auto"/>
            <w:vAlign w:val="center"/>
          </w:tcPr>
          <w:p w14:paraId="2E1BEBDF"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Source of preference data for valuation of changes in health-related quality of life</w:t>
            </w:r>
          </w:p>
        </w:tc>
        <w:tc>
          <w:tcPr>
            <w:tcW w:w="2410" w:type="dxa"/>
            <w:tcBorders>
              <w:top w:val="dotted" w:sz="4" w:space="0" w:color="000000"/>
              <w:bottom w:val="dotted" w:sz="4" w:space="0" w:color="000000"/>
            </w:tcBorders>
            <w:shd w:val="clear" w:color="auto" w:fill="auto"/>
            <w:vAlign w:val="center"/>
          </w:tcPr>
          <w:p w14:paraId="003484AF"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A representative sample of the UK population</w:t>
            </w:r>
          </w:p>
        </w:tc>
        <w:tc>
          <w:tcPr>
            <w:tcW w:w="2410" w:type="dxa"/>
            <w:tcBorders>
              <w:top w:val="dotted" w:sz="4" w:space="0" w:color="000000"/>
              <w:bottom w:val="dotted" w:sz="4" w:space="0" w:color="000000"/>
            </w:tcBorders>
            <w:shd w:val="clear" w:color="auto" w:fill="auto"/>
            <w:vAlign w:val="center"/>
          </w:tcPr>
          <w:p w14:paraId="79D2E9AA"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Preferred </w:t>
            </w:r>
            <w:r w:rsidRPr="00FE2C92">
              <w:rPr>
                <w:rFonts w:ascii="Times New Roman" w:eastAsia="SimSun" w:hAnsi="Times New Roman" w:cs="Times New Roman"/>
                <w:kern w:val="0"/>
                <w:sz w:val="18"/>
                <w:szCs w:val="18"/>
                <w:lang w:val="en-US"/>
              </w:rPr>
              <w:t xml:space="preserve">Canadian </w:t>
            </w:r>
            <w:r w:rsidRPr="00FE2C92">
              <w:rPr>
                <w:rFonts w:ascii="Times New Roman" w:eastAsia="SimSun" w:hAnsi="Times New Roman" w:cs="Times New Roman"/>
                <w:kern w:val="0"/>
                <w:sz w:val="18"/>
                <w:szCs w:val="18"/>
              </w:rPr>
              <w:t>population-based health preference.</w:t>
            </w:r>
          </w:p>
        </w:tc>
        <w:tc>
          <w:tcPr>
            <w:tcW w:w="2126" w:type="dxa"/>
            <w:tcBorders>
              <w:top w:val="dotted" w:sz="4" w:space="0" w:color="000000"/>
              <w:bottom w:val="dotted" w:sz="4" w:space="0" w:color="000000"/>
            </w:tcBorders>
            <w:shd w:val="clear" w:color="auto" w:fill="auto"/>
            <w:vAlign w:val="center"/>
          </w:tcPr>
          <w:p w14:paraId="2B5B1286"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Health preferences should reflect those of the general US population</w:t>
            </w:r>
          </w:p>
        </w:tc>
        <w:tc>
          <w:tcPr>
            <w:tcW w:w="2268" w:type="dxa"/>
            <w:tcBorders>
              <w:top w:val="dotted" w:sz="4" w:space="0" w:color="000000"/>
              <w:bottom w:val="dotted" w:sz="4" w:space="0" w:color="000000"/>
            </w:tcBorders>
            <w:shd w:val="clear" w:color="auto" w:fill="auto"/>
            <w:vAlign w:val="center"/>
          </w:tcPr>
          <w:p w14:paraId="5FE278F7"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Preferred Australia population-based preference</w:t>
            </w:r>
          </w:p>
        </w:tc>
        <w:tc>
          <w:tcPr>
            <w:tcW w:w="1843" w:type="dxa"/>
            <w:tcBorders>
              <w:top w:val="dotted" w:sz="4" w:space="0" w:color="000000"/>
              <w:bottom w:val="dotted" w:sz="4" w:space="0" w:color="000000"/>
            </w:tcBorders>
            <w:shd w:val="clear" w:color="auto" w:fill="auto"/>
            <w:noWrap/>
            <w:vAlign w:val="center"/>
          </w:tcPr>
          <w:p w14:paraId="0E479737" w14:textId="77777777" w:rsidR="005703C0" w:rsidRPr="00FE2C92" w:rsidRDefault="005703C0"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Population-based tariffs (mainly UK tariffs</w:t>
            </w:r>
          </w:p>
        </w:tc>
      </w:tr>
      <w:tr w:rsidR="005703C0" w:rsidRPr="00FE2C92" w14:paraId="5C7F0303" w14:textId="77777777" w:rsidTr="003574E8">
        <w:trPr>
          <w:trHeight w:val="380"/>
          <w:jc w:val="center"/>
        </w:trPr>
        <w:tc>
          <w:tcPr>
            <w:tcW w:w="661" w:type="dxa"/>
            <w:vMerge w:val="restart"/>
            <w:tcBorders>
              <w:top w:val="dotted" w:sz="4" w:space="0" w:color="000000"/>
              <w:bottom w:val="dotted" w:sz="4" w:space="0" w:color="000000"/>
            </w:tcBorders>
            <w:shd w:val="clear" w:color="auto" w:fill="auto"/>
            <w:vAlign w:val="center"/>
          </w:tcPr>
          <w:p w14:paraId="492A5F6A" w14:textId="77777777" w:rsidR="005703C0" w:rsidRPr="00FE2C92" w:rsidRDefault="005703C0" w:rsidP="00C15362">
            <w:pPr>
              <w:widowControl/>
              <w:adjustRightInd w:val="0"/>
              <w:snapToGrid w:val="0"/>
              <w:spacing w:line="360" w:lineRule="auto"/>
              <w:jc w:val="center"/>
              <w:rPr>
                <w:rFonts w:ascii="Times New Roman" w:eastAsia="SimSun" w:hAnsi="Times New Roman" w:cs="Times New Roman"/>
                <w:kern w:val="0"/>
                <w:sz w:val="18"/>
                <w:szCs w:val="18"/>
              </w:rPr>
            </w:pPr>
            <w:bookmarkStart w:id="12" w:name="_Hlk97548867"/>
            <w:r w:rsidRPr="00FE2C92">
              <w:rPr>
                <w:rFonts w:ascii="Times New Roman" w:eastAsia="SimSun" w:hAnsi="Times New Roman" w:cs="Times New Roman"/>
                <w:kern w:val="0"/>
                <w:sz w:val="18"/>
                <w:szCs w:val="18"/>
              </w:rPr>
              <w:t>12</w:t>
            </w:r>
          </w:p>
        </w:tc>
        <w:tc>
          <w:tcPr>
            <w:tcW w:w="731" w:type="dxa"/>
            <w:vMerge w:val="restart"/>
            <w:tcBorders>
              <w:top w:val="dotted" w:sz="4" w:space="0" w:color="000000"/>
              <w:bottom w:val="dotted" w:sz="4" w:space="0" w:color="000000"/>
            </w:tcBorders>
            <w:shd w:val="clear" w:color="auto" w:fill="auto"/>
            <w:vAlign w:val="center"/>
          </w:tcPr>
          <w:p w14:paraId="799B42A4"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Methods to address uncertainty</w:t>
            </w:r>
          </w:p>
        </w:tc>
        <w:tc>
          <w:tcPr>
            <w:tcW w:w="1678" w:type="dxa"/>
            <w:tcBorders>
              <w:top w:val="dotted" w:sz="4" w:space="0" w:color="000000"/>
              <w:bottom w:val="dotted" w:sz="4" w:space="0" w:color="000000"/>
            </w:tcBorders>
            <w:shd w:val="clear" w:color="auto" w:fill="auto"/>
            <w:vAlign w:val="center"/>
          </w:tcPr>
          <w:p w14:paraId="54588550"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Methodological uncertainty</w:t>
            </w:r>
          </w:p>
        </w:tc>
        <w:tc>
          <w:tcPr>
            <w:tcW w:w="2410" w:type="dxa"/>
            <w:tcBorders>
              <w:top w:val="dotted" w:sz="4" w:space="0" w:color="000000"/>
              <w:bottom w:val="dotted" w:sz="4" w:space="0" w:color="000000"/>
            </w:tcBorders>
            <w:shd w:val="clear" w:color="auto" w:fill="auto"/>
            <w:vAlign w:val="center"/>
          </w:tcPr>
          <w:p w14:paraId="62FF3217" w14:textId="77777777"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Comparing the reference case results to those from a non-reference case analysis.</w:t>
            </w:r>
          </w:p>
        </w:tc>
        <w:tc>
          <w:tcPr>
            <w:tcW w:w="2410" w:type="dxa"/>
            <w:tcBorders>
              <w:top w:val="dotted" w:sz="4" w:space="0" w:color="000000"/>
              <w:bottom w:val="dotted" w:sz="4" w:space="0" w:color="000000"/>
            </w:tcBorders>
            <w:shd w:val="clear" w:color="auto" w:fill="auto"/>
            <w:vAlign w:val="center"/>
          </w:tcPr>
          <w:p w14:paraId="73318900" w14:textId="77777777"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Comparing the reference case results to those from a non-reference case analysis.</w:t>
            </w:r>
          </w:p>
        </w:tc>
        <w:tc>
          <w:tcPr>
            <w:tcW w:w="2126" w:type="dxa"/>
            <w:tcBorders>
              <w:top w:val="dotted" w:sz="4" w:space="0" w:color="000000"/>
              <w:bottom w:val="dotted" w:sz="4" w:space="0" w:color="000000"/>
            </w:tcBorders>
            <w:shd w:val="clear" w:color="auto" w:fill="auto"/>
            <w:vAlign w:val="center"/>
          </w:tcPr>
          <w:p w14:paraId="4E61AD60"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NR</w:t>
            </w:r>
          </w:p>
        </w:tc>
        <w:tc>
          <w:tcPr>
            <w:tcW w:w="2268" w:type="dxa"/>
            <w:tcBorders>
              <w:top w:val="dotted" w:sz="4" w:space="0" w:color="000000"/>
              <w:bottom w:val="dotted" w:sz="4" w:space="0" w:color="000000"/>
            </w:tcBorders>
            <w:shd w:val="clear" w:color="auto" w:fill="auto"/>
            <w:vAlign w:val="center"/>
          </w:tcPr>
          <w:p w14:paraId="144516C4" w14:textId="1A9ACD89" w:rsidR="005703C0" w:rsidRPr="00FE2C92" w:rsidRDefault="00194EF5" w:rsidP="00C15362">
            <w:pPr>
              <w:widowControl/>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Prefers</w:t>
            </w:r>
            <w:r w:rsidR="005703C0" w:rsidRPr="00FE2C92">
              <w:rPr>
                <w:rFonts w:ascii="Times New Roman" w:eastAsia="SimSun" w:hAnsi="Times New Roman" w:cs="Times New Roman"/>
                <w:kern w:val="0"/>
                <w:sz w:val="18"/>
                <w:szCs w:val="18"/>
              </w:rPr>
              <w:t xml:space="preserve"> certain approaches or information to be presented as </w:t>
            </w:r>
          </w:p>
          <w:p w14:paraId="39871D58" w14:textId="77777777" w:rsidR="005703C0" w:rsidRPr="00FE2C92" w:rsidRDefault="005703C0" w:rsidP="00C15362">
            <w:pPr>
              <w:adjustRightInd w:val="0"/>
              <w:snapToGrid w:val="0"/>
              <w:spacing w:line="360" w:lineRule="auto"/>
              <w:jc w:val="left"/>
              <w:rPr>
                <w:rFonts w:ascii="Times New Roman" w:eastAsia="SimSun" w:hAnsi="Times New Roman" w:cs="Times New Roman"/>
                <w:strike/>
                <w:kern w:val="0"/>
                <w:sz w:val="18"/>
                <w:szCs w:val="18"/>
              </w:rPr>
            </w:pPr>
            <w:r w:rsidRPr="00FE2C92">
              <w:rPr>
                <w:rFonts w:ascii="Times New Roman" w:eastAsia="SimSun" w:hAnsi="Times New Roman" w:cs="Times New Roman"/>
                <w:kern w:val="0"/>
                <w:sz w:val="18"/>
                <w:szCs w:val="18"/>
              </w:rPr>
              <w:t>supplementary analyses</w:t>
            </w:r>
          </w:p>
        </w:tc>
        <w:tc>
          <w:tcPr>
            <w:tcW w:w="1843" w:type="dxa"/>
            <w:tcBorders>
              <w:top w:val="dotted" w:sz="4" w:space="0" w:color="000000"/>
              <w:bottom w:val="dotted" w:sz="4" w:space="0" w:color="000000"/>
            </w:tcBorders>
            <w:shd w:val="clear" w:color="auto" w:fill="auto"/>
            <w:vAlign w:val="center"/>
          </w:tcPr>
          <w:p w14:paraId="0F7D7F08" w14:textId="0C33DB6C" w:rsidR="005703C0" w:rsidRPr="00FE2C92" w:rsidRDefault="006143D5" w:rsidP="00C15362">
            <w:pPr>
              <w:adjustRightInd w:val="0"/>
              <w:snapToGrid w:val="0"/>
              <w:spacing w:line="360" w:lineRule="auto"/>
              <w:jc w:val="left"/>
              <w:rPr>
                <w:rFonts w:ascii="Times New Roman" w:eastAsia="SimSun" w:hAnsi="Times New Roman" w:cs="Times New Roman"/>
                <w:kern w:val="0"/>
                <w:sz w:val="18"/>
                <w:szCs w:val="18"/>
              </w:rPr>
            </w:pPr>
            <w:r>
              <w:rPr>
                <w:rFonts w:ascii="Times New Roman" w:eastAsia="SimSun" w:hAnsi="Times New Roman" w:cs="Times New Roman"/>
                <w:kern w:val="0"/>
                <w:sz w:val="18"/>
                <w:szCs w:val="18"/>
              </w:rPr>
              <w:t>DSA</w:t>
            </w:r>
          </w:p>
        </w:tc>
      </w:tr>
      <w:tr w:rsidR="005703C0" w:rsidRPr="00FE2C92" w14:paraId="2F7227BB" w14:textId="77777777" w:rsidTr="003574E8">
        <w:trPr>
          <w:trHeight w:val="54"/>
          <w:jc w:val="center"/>
        </w:trPr>
        <w:tc>
          <w:tcPr>
            <w:tcW w:w="661" w:type="dxa"/>
            <w:vMerge/>
            <w:tcBorders>
              <w:top w:val="dotted" w:sz="4" w:space="0" w:color="000000"/>
              <w:bottom w:val="dotted" w:sz="4" w:space="0" w:color="000000"/>
            </w:tcBorders>
            <w:shd w:val="clear" w:color="auto" w:fill="auto"/>
            <w:vAlign w:val="center"/>
          </w:tcPr>
          <w:p w14:paraId="0FA37145"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p>
        </w:tc>
        <w:tc>
          <w:tcPr>
            <w:tcW w:w="731" w:type="dxa"/>
            <w:vMerge/>
            <w:tcBorders>
              <w:top w:val="dotted" w:sz="4" w:space="0" w:color="000000"/>
              <w:bottom w:val="dotted" w:sz="4" w:space="0" w:color="000000"/>
            </w:tcBorders>
            <w:shd w:val="clear" w:color="auto" w:fill="auto"/>
            <w:vAlign w:val="center"/>
          </w:tcPr>
          <w:p w14:paraId="0C3D1C1E"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p>
        </w:tc>
        <w:tc>
          <w:tcPr>
            <w:tcW w:w="1678" w:type="dxa"/>
            <w:tcBorders>
              <w:top w:val="dotted" w:sz="4" w:space="0" w:color="000000"/>
              <w:bottom w:val="dotted" w:sz="4" w:space="0" w:color="000000"/>
            </w:tcBorders>
            <w:shd w:val="clear" w:color="auto" w:fill="auto"/>
            <w:vAlign w:val="center"/>
          </w:tcPr>
          <w:p w14:paraId="1F6C5948"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Structural uncertainty</w:t>
            </w:r>
          </w:p>
        </w:tc>
        <w:tc>
          <w:tcPr>
            <w:tcW w:w="2410" w:type="dxa"/>
            <w:tcBorders>
              <w:top w:val="dotted" w:sz="4" w:space="0" w:color="000000"/>
              <w:bottom w:val="dotted" w:sz="4" w:space="0" w:color="000000"/>
            </w:tcBorders>
            <w:shd w:val="clear" w:color="auto" w:fill="auto"/>
            <w:vAlign w:val="center"/>
          </w:tcPr>
          <w:p w14:paraId="1AA9E358" w14:textId="5EE7F3A7"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Scenario analyses and threshold </w:t>
            </w:r>
            <w:r w:rsidR="00194EF5" w:rsidRPr="00FE2C92">
              <w:rPr>
                <w:rFonts w:ascii="Times New Roman" w:eastAsia="SimSun" w:hAnsi="Times New Roman" w:cs="Times New Roman"/>
                <w:kern w:val="0"/>
                <w:sz w:val="18"/>
                <w:szCs w:val="18"/>
              </w:rPr>
              <w:t>analyses</w:t>
            </w:r>
          </w:p>
        </w:tc>
        <w:tc>
          <w:tcPr>
            <w:tcW w:w="2410" w:type="dxa"/>
            <w:tcBorders>
              <w:top w:val="dotted" w:sz="4" w:space="0" w:color="000000"/>
              <w:bottom w:val="dotted" w:sz="4" w:space="0" w:color="000000"/>
            </w:tcBorders>
            <w:shd w:val="clear" w:color="auto" w:fill="auto"/>
            <w:vAlign w:val="center"/>
          </w:tcPr>
          <w:p w14:paraId="028365B0" w14:textId="77777777"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Scenario analysis.</w:t>
            </w:r>
          </w:p>
        </w:tc>
        <w:tc>
          <w:tcPr>
            <w:tcW w:w="2126" w:type="dxa"/>
            <w:tcBorders>
              <w:top w:val="dotted" w:sz="4" w:space="0" w:color="000000"/>
              <w:bottom w:val="dotted" w:sz="4" w:space="0" w:color="000000"/>
            </w:tcBorders>
            <w:shd w:val="clear" w:color="auto" w:fill="auto"/>
            <w:vAlign w:val="center"/>
          </w:tcPr>
          <w:p w14:paraId="05E0C5B1"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Scenario analyses</w:t>
            </w:r>
          </w:p>
        </w:tc>
        <w:tc>
          <w:tcPr>
            <w:tcW w:w="2268" w:type="dxa"/>
            <w:tcBorders>
              <w:top w:val="dotted" w:sz="4" w:space="0" w:color="000000"/>
              <w:bottom w:val="dotted" w:sz="4" w:space="0" w:color="000000"/>
            </w:tcBorders>
            <w:shd w:val="clear" w:color="auto" w:fill="auto"/>
            <w:vAlign w:val="center"/>
          </w:tcPr>
          <w:p w14:paraId="1B0CC5FC" w14:textId="77EEDD68"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Parameterise structural </w:t>
            </w:r>
            <w:r w:rsidR="00194EF5" w:rsidRPr="00FE2C92">
              <w:rPr>
                <w:rFonts w:ascii="Times New Roman" w:eastAsia="SimSun" w:hAnsi="Times New Roman" w:cs="Times New Roman"/>
                <w:kern w:val="0"/>
                <w:sz w:val="18"/>
                <w:szCs w:val="18"/>
              </w:rPr>
              <w:t>assumptions.</w:t>
            </w:r>
          </w:p>
          <w:p w14:paraId="5414253C"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lastRenderedPageBreak/>
              <w:t>scenario analyses</w:t>
            </w:r>
          </w:p>
        </w:tc>
        <w:tc>
          <w:tcPr>
            <w:tcW w:w="1843" w:type="dxa"/>
            <w:tcBorders>
              <w:top w:val="dotted" w:sz="4" w:space="0" w:color="000000"/>
              <w:bottom w:val="dotted" w:sz="4" w:space="0" w:color="000000"/>
            </w:tcBorders>
            <w:shd w:val="clear" w:color="auto" w:fill="auto"/>
            <w:vAlign w:val="center"/>
          </w:tcPr>
          <w:p w14:paraId="23E55171" w14:textId="6ADF1BC8" w:rsidR="005703C0" w:rsidRPr="00FE2C92" w:rsidRDefault="00D52C82" w:rsidP="00C15362">
            <w:pPr>
              <w:adjustRightInd w:val="0"/>
              <w:snapToGrid w:val="0"/>
              <w:spacing w:line="360" w:lineRule="auto"/>
              <w:jc w:val="left"/>
              <w:rPr>
                <w:rFonts w:ascii="Times New Roman" w:eastAsia="SimSun" w:hAnsi="Times New Roman" w:cs="Times New Roman"/>
                <w:kern w:val="0"/>
                <w:sz w:val="18"/>
                <w:szCs w:val="18"/>
              </w:rPr>
            </w:pPr>
            <w:r>
              <w:rPr>
                <w:rFonts w:ascii="Times New Roman" w:eastAsia="SimSun" w:hAnsi="Times New Roman" w:cs="Times New Roman"/>
                <w:kern w:val="0"/>
                <w:sz w:val="18"/>
                <w:szCs w:val="18"/>
              </w:rPr>
              <w:lastRenderedPageBreak/>
              <w:t>DSA</w:t>
            </w:r>
          </w:p>
        </w:tc>
      </w:tr>
      <w:tr w:rsidR="005703C0" w:rsidRPr="00FE2C92" w14:paraId="3DC579B4" w14:textId="77777777" w:rsidTr="003574E8">
        <w:trPr>
          <w:trHeight w:val="380"/>
          <w:jc w:val="center"/>
        </w:trPr>
        <w:tc>
          <w:tcPr>
            <w:tcW w:w="661" w:type="dxa"/>
            <w:vMerge/>
            <w:tcBorders>
              <w:top w:val="dotted" w:sz="4" w:space="0" w:color="000000"/>
              <w:bottom w:val="dotted" w:sz="4" w:space="0" w:color="000000"/>
            </w:tcBorders>
            <w:shd w:val="clear" w:color="auto" w:fill="auto"/>
            <w:vAlign w:val="center"/>
          </w:tcPr>
          <w:p w14:paraId="496AF5F1"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p>
        </w:tc>
        <w:tc>
          <w:tcPr>
            <w:tcW w:w="731" w:type="dxa"/>
            <w:vMerge/>
            <w:tcBorders>
              <w:top w:val="dotted" w:sz="4" w:space="0" w:color="000000"/>
              <w:bottom w:val="single" w:sz="4" w:space="0" w:color="auto"/>
            </w:tcBorders>
            <w:shd w:val="clear" w:color="auto" w:fill="auto"/>
            <w:vAlign w:val="center"/>
          </w:tcPr>
          <w:p w14:paraId="276A038E"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p>
        </w:tc>
        <w:tc>
          <w:tcPr>
            <w:tcW w:w="1678" w:type="dxa"/>
            <w:tcBorders>
              <w:top w:val="dotted" w:sz="4" w:space="0" w:color="000000"/>
              <w:bottom w:val="single" w:sz="4" w:space="0" w:color="auto"/>
            </w:tcBorders>
            <w:shd w:val="clear" w:color="auto" w:fill="auto"/>
            <w:vAlign w:val="center"/>
          </w:tcPr>
          <w:p w14:paraId="291732BB" w14:textId="77777777" w:rsidR="005703C0" w:rsidRPr="00FE2C92" w:rsidRDefault="005703C0" w:rsidP="00C15362">
            <w:pPr>
              <w:widowControl/>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Parameter uncertainty</w:t>
            </w:r>
          </w:p>
        </w:tc>
        <w:tc>
          <w:tcPr>
            <w:tcW w:w="2410" w:type="dxa"/>
            <w:tcBorders>
              <w:top w:val="dotted" w:sz="4" w:space="0" w:color="000000"/>
              <w:bottom w:val="single" w:sz="4" w:space="0" w:color="auto"/>
            </w:tcBorders>
            <w:shd w:val="clear" w:color="auto" w:fill="auto"/>
            <w:vAlign w:val="center"/>
          </w:tcPr>
          <w:p w14:paraId="7A020918" w14:textId="77777777"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DSA and PSA</w:t>
            </w:r>
          </w:p>
        </w:tc>
        <w:tc>
          <w:tcPr>
            <w:tcW w:w="2410" w:type="dxa"/>
            <w:tcBorders>
              <w:top w:val="dotted" w:sz="4" w:space="0" w:color="000000"/>
              <w:bottom w:val="single" w:sz="4" w:space="0" w:color="auto"/>
            </w:tcBorders>
            <w:shd w:val="clear" w:color="auto" w:fill="auto"/>
            <w:vAlign w:val="center"/>
          </w:tcPr>
          <w:p w14:paraId="3B23E3C4" w14:textId="75C796FE" w:rsidR="005703C0" w:rsidRPr="00FE2C92" w:rsidRDefault="005703C0" w:rsidP="00C15362">
            <w:pPr>
              <w:adjustRightInd w:val="0"/>
              <w:snapToGrid w:val="0"/>
              <w:spacing w:line="360" w:lineRule="auto"/>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cost-effectiveness acceptability curves </w:t>
            </w:r>
            <w:r w:rsidRPr="00FE2C92">
              <w:rPr>
                <w:rFonts w:ascii="Times New Roman" w:eastAsia="SimSun" w:hAnsi="Times New Roman" w:cs="Times New Roman"/>
                <w:kern w:val="0"/>
                <w:sz w:val="18"/>
                <w:szCs w:val="18"/>
              </w:rPr>
              <w:br/>
              <w:t xml:space="preserve">and cost-effectiveness acceptability frontiers </w:t>
            </w:r>
          </w:p>
        </w:tc>
        <w:tc>
          <w:tcPr>
            <w:tcW w:w="2126" w:type="dxa"/>
            <w:tcBorders>
              <w:top w:val="dotted" w:sz="4" w:space="0" w:color="000000"/>
              <w:bottom w:val="single" w:sz="4" w:space="0" w:color="auto"/>
            </w:tcBorders>
            <w:shd w:val="clear" w:color="auto" w:fill="auto"/>
            <w:vAlign w:val="center"/>
          </w:tcPr>
          <w:p w14:paraId="6AE5AE64"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One-way sensitivity </w:t>
            </w:r>
          </w:p>
          <w:p w14:paraId="08602A84"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through probabilistic analysis, using sufficient sampling to reflect distributional uncertainty (e.g., 1,000 simulations).   </w:t>
            </w:r>
          </w:p>
        </w:tc>
        <w:tc>
          <w:tcPr>
            <w:tcW w:w="2268" w:type="dxa"/>
            <w:tcBorders>
              <w:top w:val="dotted" w:sz="4" w:space="0" w:color="000000"/>
              <w:bottom w:val="single" w:sz="4" w:space="0" w:color="auto"/>
            </w:tcBorders>
            <w:shd w:val="clear" w:color="auto" w:fill="auto"/>
            <w:vAlign w:val="center"/>
          </w:tcPr>
          <w:p w14:paraId="6C4BCAEA"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DSA</w:t>
            </w:r>
            <w:r w:rsidRPr="00FE2C92">
              <w:rPr>
                <w:rFonts w:ascii="Times New Roman" w:eastAsia="SimSun" w:hAnsi="Times New Roman" w:cs="Times New Roman"/>
                <w:kern w:val="0"/>
                <w:sz w:val="18"/>
                <w:szCs w:val="18"/>
                <w:lang w:val="en-US"/>
              </w:rPr>
              <w:t>.</w:t>
            </w:r>
            <w:r w:rsidRPr="00FE2C92">
              <w:rPr>
                <w:rFonts w:ascii="Times New Roman" w:eastAsia="SimSun" w:hAnsi="Times New Roman" w:cs="Times New Roman"/>
                <w:kern w:val="0"/>
                <w:sz w:val="18"/>
                <w:szCs w:val="18"/>
              </w:rPr>
              <w:t xml:space="preserve"> PSA</w:t>
            </w:r>
            <w:r w:rsidRPr="00FE2C92">
              <w:rPr>
                <w:rStyle w:val="CommentReference"/>
                <w:rFonts w:ascii="Times New Roman" w:hAnsi="Times New Roman" w:cs="Times New Roman"/>
                <w:sz w:val="18"/>
                <w:szCs w:val="18"/>
                <w:lang w:val="en-US"/>
              </w:rPr>
              <w:t xml:space="preserve"> is not required.</w:t>
            </w:r>
          </w:p>
        </w:tc>
        <w:tc>
          <w:tcPr>
            <w:tcW w:w="1843" w:type="dxa"/>
            <w:tcBorders>
              <w:top w:val="dotted" w:sz="4" w:space="0" w:color="000000"/>
              <w:bottom w:val="single" w:sz="4" w:space="0" w:color="auto"/>
            </w:tcBorders>
            <w:shd w:val="clear" w:color="auto" w:fill="auto"/>
            <w:vAlign w:val="center"/>
          </w:tcPr>
          <w:p w14:paraId="32B45F5B"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One-way sensitivity analyses</w:t>
            </w:r>
          </w:p>
          <w:p w14:paraId="4CBAF2B6"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 xml:space="preserve">Multiway sensitivity analyses (mainly scenario analyses) </w:t>
            </w:r>
          </w:p>
          <w:p w14:paraId="3AFE02FD" w14:textId="77777777" w:rsidR="005703C0" w:rsidRPr="00FE2C92" w:rsidRDefault="005703C0" w:rsidP="00C15362">
            <w:pPr>
              <w:adjustRightInd w:val="0"/>
              <w:snapToGrid w:val="0"/>
              <w:spacing w:line="360" w:lineRule="auto"/>
              <w:jc w:val="left"/>
              <w:rPr>
                <w:rFonts w:ascii="Times New Roman" w:eastAsia="SimSun" w:hAnsi="Times New Roman" w:cs="Times New Roman"/>
                <w:kern w:val="0"/>
                <w:sz w:val="18"/>
                <w:szCs w:val="18"/>
              </w:rPr>
            </w:pPr>
            <w:r w:rsidRPr="00FE2C92">
              <w:rPr>
                <w:rFonts w:ascii="Times New Roman" w:eastAsia="SimSun" w:hAnsi="Times New Roman" w:cs="Times New Roman"/>
                <w:kern w:val="0"/>
                <w:sz w:val="18"/>
                <w:szCs w:val="18"/>
              </w:rPr>
              <w:t>PSA</w:t>
            </w:r>
          </w:p>
        </w:tc>
      </w:tr>
    </w:tbl>
    <w:p w14:paraId="7320B286" w14:textId="54228C88" w:rsidR="005703C0" w:rsidRPr="008F448B" w:rsidRDefault="005703C0" w:rsidP="00C15362">
      <w:pPr>
        <w:adjustRightInd w:val="0"/>
        <w:snapToGrid w:val="0"/>
        <w:spacing w:line="360" w:lineRule="auto"/>
        <w:rPr>
          <w:rFonts w:ascii="Times New Roman" w:eastAsia="SimSun" w:hAnsi="Times New Roman" w:cs="Times New Roman"/>
          <w:kern w:val="0"/>
          <w:sz w:val="16"/>
          <w:szCs w:val="16"/>
        </w:rPr>
      </w:pPr>
      <w:bookmarkStart w:id="13" w:name="OLE_LINK16"/>
      <w:bookmarkEnd w:id="12"/>
      <w:r w:rsidRPr="008F448B">
        <w:rPr>
          <w:rFonts w:ascii="Times New Roman" w:eastAsia="SimSun" w:hAnsi="Times New Roman" w:cs="Times New Roman"/>
          <w:kern w:val="0"/>
          <w:sz w:val="16"/>
          <w:szCs w:val="16"/>
        </w:rPr>
        <w:t>CADTH</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Canadian Agency for Drugs &amp; Technologies in Health, CMA</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cost-minimization analysis, CUA</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cost-utility analysis</w:t>
      </w:r>
      <w:r w:rsidR="00C92887">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DSA</w:t>
      </w:r>
      <w:r w:rsidR="006A072B">
        <w:rPr>
          <w:rFonts w:ascii="Times New Roman" w:eastAsia="SimSun" w:hAnsi="Times New Roman" w:cs="Times New Roman"/>
          <w:kern w:val="0"/>
          <w:sz w:val="16"/>
          <w:szCs w:val="16"/>
        </w:rPr>
        <w:t xml:space="preserve"> </w:t>
      </w:r>
      <w:r w:rsidR="00343EEA">
        <w:rPr>
          <w:rFonts w:ascii="Times New Roman" w:eastAsia="SimSun" w:hAnsi="Times New Roman" w:cs="Times New Roman"/>
          <w:kern w:val="0"/>
          <w:sz w:val="16"/>
          <w:szCs w:val="16"/>
        </w:rPr>
        <w:t>d</w:t>
      </w:r>
      <w:r w:rsidRPr="008F448B">
        <w:rPr>
          <w:rFonts w:ascii="Times New Roman" w:eastAsia="SimSun" w:hAnsi="Times New Roman" w:cs="Times New Roman"/>
          <w:kern w:val="0"/>
          <w:sz w:val="16"/>
          <w:szCs w:val="16"/>
        </w:rPr>
        <w:t>eterministic sensitivity analysis</w:t>
      </w:r>
      <w:r w:rsidR="00C92887">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ICER</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Institute for Clinical and Economic Review</w:t>
      </w:r>
      <w:r w:rsidR="00C92887">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NICE</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The National Institute for Health and Care Excellence</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w:t>
      </w:r>
      <w:proofErr w:type="spellStart"/>
      <w:r w:rsidRPr="008F448B">
        <w:rPr>
          <w:rFonts w:ascii="Times New Roman" w:eastAsia="SimSun" w:hAnsi="Times New Roman" w:cs="Times New Roman"/>
          <w:kern w:val="0"/>
          <w:sz w:val="16"/>
          <w:szCs w:val="16"/>
        </w:rPr>
        <w:t>NoMA</w:t>
      </w:r>
      <w:proofErr w:type="spellEnd"/>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Norwegian Medicines Agency</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PBAC</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Pharmaceutical Benefits Advisory Committee</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PSA</w:t>
      </w:r>
      <w:r w:rsidR="006A072B">
        <w:rPr>
          <w:rFonts w:ascii="Times New Roman" w:eastAsia="SimSun" w:hAnsi="Times New Roman" w:cs="Times New Roman"/>
          <w:kern w:val="0"/>
          <w:sz w:val="16"/>
          <w:szCs w:val="16"/>
        </w:rPr>
        <w:t xml:space="preserve"> </w:t>
      </w:r>
      <w:r w:rsidR="00F87DEF">
        <w:rPr>
          <w:rFonts w:ascii="Times New Roman" w:eastAsia="SimSun" w:hAnsi="Times New Roman" w:cs="Times New Roman"/>
          <w:kern w:val="0"/>
          <w:sz w:val="16"/>
          <w:szCs w:val="16"/>
        </w:rPr>
        <w:t>p</w:t>
      </w:r>
      <w:r w:rsidRPr="008F448B">
        <w:rPr>
          <w:rFonts w:ascii="Times New Roman" w:eastAsia="SimSun" w:hAnsi="Times New Roman" w:cs="Times New Roman"/>
          <w:kern w:val="0"/>
          <w:sz w:val="16"/>
          <w:szCs w:val="16"/>
        </w:rPr>
        <w:t>robabilistic sensitivity analysis</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w:t>
      </w:r>
      <w:r w:rsidR="006057C8" w:rsidRPr="006057C8">
        <w:rPr>
          <w:rFonts w:ascii="Times New Roman" w:eastAsia="SimSun" w:hAnsi="Times New Roman" w:cs="Times New Roman"/>
          <w:kern w:val="0"/>
          <w:sz w:val="16"/>
          <w:szCs w:val="16"/>
        </w:rPr>
        <w:t>PSS</w:t>
      </w:r>
      <w:r w:rsidR="00F87DEF">
        <w:rPr>
          <w:rFonts w:ascii="Times New Roman" w:eastAsia="SimSun" w:hAnsi="Times New Roman" w:cs="Times New Roman"/>
          <w:kern w:val="0"/>
          <w:sz w:val="16"/>
          <w:szCs w:val="16"/>
        </w:rPr>
        <w:t xml:space="preserve"> p</w:t>
      </w:r>
      <w:r w:rsidR="006057C8" w:rsidRPr="006057C8">
        <w:rPr>
          <w:rFonts w:ascii="Times New Roman" w:eastAsia="SimSun" w:hAnsi="Times New Roman" w:cs="Times New Roman"/>
          <w:kern w:val="0"/>
          <w:sz w:val="16"/>
          <w:szCs w:val="16"/>
        </w:rPr>
        <w:t>ersonal social services</w:t>
      </w:r>
      <w:r w:rsidR="00F87DEF">
        <w:rPr>
          <w:rFonts w:ascii="Times New Roman" w:eastAsia="SimSun" w:hAnsi="Times New Roman" w:cs="Times New Roman"/>
          <w:kern w:val="0"/>
          <w:sz w:val="16"/>
          <w:szCs w:val="16"/>
        </w:rPr>
        <w:t>,</w:t>
      </w:r>
      <w:r w:rsidR="006057C8">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QALY</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Quality-adjusted life year</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EQ-5D</w:t>
      </w:r>
      <w:r w:rsidR="006A072B">
        <w:rPr>
          <w:rFonts w:ascii="Times New Roman" w:eastAsia="SimSun" w:hAnsi="Times New Roman" w:cs="Times New Roman"/>
          <w:kern w:val="0"/>
          <w:sz w:val="16"/>
          <w:szCs w:val="16"/>
        </w:rPr>
        <w:t xml:space="preserve"> </w:t>
      </w:r>
      <w:r w:rsidR="004127E1" w:rsidRPr="004127E1">
        <w:rPr>
          <w:rFonts w:ascii="Times New Roman" w:eastAsia="SimSun" w:hAnsi="Times New Roman" w:cs="Times New Roman"/>
          <w:kern w:val="0"/>
          <w:sz w:val="16"/>
          <w:szCs w:val="16"/>
        </w:rPr>
        <w:t>European Quality of Life</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UK</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United Kingdom</w:t>
      </w:r>
      <w:r w:rsidR="00F87DEF">
        <w:rPr>
          <w:rFonts w:ascii="Times New Roman" w:eastAsia="SimSun" w:hAnsi="Times New Roman" w:cs="Times New Roman"/>
          <w:kern w:val="0"/>
          <w:sz w:val="16"/>
          <w:szCs w:val="16"/>
        </w:rPr>
        <w:t>,</w:t>
      </w:r>
      <w:r w:rsidRPr="008F448B">
        <w:rPr>
          <w:rFonts w:ascii="Times New Roman" w:eastAsia="SimSun" w:hAnsi="Times New Roman" w:cs="Times New Roman"/>
          <w:kern w:val="0"/>
          <w:sz w:val="16"/>
          <w:szCs w:val="16"/>
        </w:rPr>
        <w:t xml:space="preserve"> US</w:t>
      </w:r>
      <w:r w:rsidR="006A072B">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United States.</w:t>
      </w:r>
    </w:p>
    <w:p w14:paraId="486DC567" w14:textId="7B4EF148" w:rsidR="005703C0" w:rsidRPr="008F448B" w:rsidRDefault="005703C0" w:rsidP="00C15362">
      <w:pPr>
        <w:adjustRightInd w:val="0"/>
        <w:snapToGrid w:val="0"/>
        <w:spacing w:line="360" w:lineRule="auto"/>
        <w:rPr>
          <w:rFonts w:ascii="Times New Roman" w:eastAsia="SimSun" w:hAnsi="Times New Roman" w:cs="Times New Roman"/>
          <w:kern w:val="0"/>
          <w:sz w:val="16"/>
          <w:szCs w:val="16"/>
        </w:rPr>
      </w:pPr>
      <w:r w:rsidRPr="008F448B">
        <w:rPr>
          <w:rFonts w:ascii="Times New Roman" w:eastAsia="SimSun" w:hAnsi="Times New Roman" w:cs="Times New Roman"/>
          <w:kern w:val="0"/>
          <w:sz w:val="16"/>
          <w:szCs w:val="16"/>
        </w:rPr>
        <w:t>NR Not specifically reported</w:t>
      </w:r>
      <w:r w:rsidR="007F6F53">
        <w:rPr>
          <w:rFonts w:ascii="Times New Roman" w:eastAsia="SimSun" w:hAnsi="Times New Roman" w:cs="Times New Roman"/>
          <w:kern w:val="0"/>
          <w:sz w:val="16"/>
          <w:szCs w:val="16"/>
        </w:rPr>
        <w:t>,</w:t>
      </w:r>
      <w:r w:rsidR="006057C8">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w:t>
      </w:r>
      <w:r w:rsidR="007F6F53">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 xml:space="preserve">the scope of guidelines covers background information on the disease or health condition, the technologies, the population, </w:t>
      </w:r>
      <w:r w:rsidR="00C2324C">
        <w:rPr>
          <w:rFonts w:ascii="Times New Roman" w:eastAsia="SimSun" w:hAnsi="Times New Roman" w:cs="Times New Roman"/>
          <w:kern w:val="0"/>
          <w:sz w:val="16"/>
          <w:szCs w:val="16"/>
        </w:rPr>
        <w:t xml:space="preserve">and the </w:t>
      </w:r>
      <w:r w:rsidRPr="008F448B">
        <w:rPr>
          <w:rFonts w:ascii="Times New Roman" w:eastAsia="SimSun" w:hAnsi="Times New Roman" w:cs="Times New Roman"/>
          <w:kern w:val="0"/>
          <w:sz w:val="16"/>
          <w:szCs w:val="16"/>
        </w:rPr>
        <w:t>care pathway.</w:t>
      </w:r>
    </w:p>
    <w:p w14:paraId="363ACAAC" w14:textId="45FB51BA" w:rsidR="005703C0" w:rsidRPr="008F448B" w:rsidRDefault="005703C0" w:rsidP="00C15362">
      <w:pPr>
        <w:adjustRightInd w:val="0"/>
        <w:snapToGrid w:val="0"/>
        <w:spacing w:line="360" w:lineRule="auto"/>
        <w:rPr>
          <w:rFonts w:ascii="Times New Roman" w:eastAsia="SimSun" w:hAnsi="Times New Roman" w:cs="Times New Roman"/>
          <w:kern w:val="0"/>
          <w:sz w:val="16"/>
          <w:szCs w:val="16"/>
        </w:rPr>
      </w:pPr>
      <w:r w:rsidRPr="008F448B">
        <w:rPr>
          <w:rFonts w:ascii="Times New Roman" w:eastAsia="SimSun" w:hAnsi="Times New Roman" w:cs="Times New Roman"/>
          <w:kern w:val="0"/>
          <w:sz w:val="16"/>
          <w:szCs w:val="16"/>
        </w:rPr>
        <w:t>†</w:t>
      </w:r>
      <w:r w:rsidR="007F6F53">
        <w:rPr>
          <w:rFonts w:ascii="Times New Roman" w:eastAsia="SimSun" w:hAnsi="Times New Roman" w:cs="Times New Roman"/>
          <w:kern w:val="0"/>
          <w:sz w:val="16"/>
          <w:szCs w:val="16"/>
        </w:rPr>
        <w:t xml:space="preserve"> </w:t>
      </w:r>
      <w:r w:rsidRPr="008F448B">
        <w:rPr>
          <w:rFonts w:ascii="Times New Roman" w:eastAsia="SimSun" w:hAnsi="Times New Roman" w:cs="Times New Roman"/>
          <w:kern w:val="0"/>
          <w:sz w:val="16"/>
          <w:szCs w:val="16"/>
        </w:rPr>
        <w:t>If appropriate, consider the following resource items: 1). Medicines (direct costs of treatment and medicines used to treat adverse reactions), 2). Medical services, including procedures, 3). hospital services, 4</w:t>
      </w:r>
      <w:r w:rsidR="006057C8" w:rsidRPr="008F448B">
        <w:rPr>
          <w:rFonts w:ascii="Times New Roman" w:eastAsia="SimSun" w:hAnsi="Times New Roman" w:cs="Times New Roman"/>
          <w:kern w:val="0"/>
          <w:sz w:val="16"/>
          <w:szCs w:val="16"/>
        </w:rPr>
        <w:t>). diagnostic</w:t>
      </w:r>
      <w:r w:rsidRPr="008F448B">
        <w:rPr>
          <w:rFonts w:ascii="Times New Roman" w:eastAsia="SimSun" w:hAnsi="Times New Roman" w:cs="Times New Roman"/>
          <w:kern w:val="0"/>
          <w:sz w:val="16"/>
          <w:szCs w:val="16"/>
        </w:rPr>
        <w:t xml:space="preserve"> and investigational services,5). Community-based services,6). Any other direct medical costs.</w:t>
      </w:r>
    </w:p>
    <w:p w14:paraId="087E028D" w14:textId="6E7B80DF" w:rsidR="005703C0" w:rsidRPr="008F448B" w:rsidRDefault="005703C0" w:rsidP="00C15362">
      <w:pPr>
        <w:adjustRightInd w:val="0"/>
        <w:snapToGrid w:val="0"/>
        <w:spacing w:line="360" w:lineRule="auto"/>
        <w:rPr>
          <w:rFonts w:ascii="Times New Roman" w:eastAsia="SimSun" w:hAnsi="Times New Roman" w:cs="Times New Roman"/>
          <w:kern w:val="0"/>
          <w:sz w:val="16"/>
          <w:szCs w:val="16"/>
        </w:rPr>
      </w:pPr>
      <w:r w:rsidRPr="008F448B">
        <w:rPr>
          <w:rFonts w:ascii="Times New Roman" w:eastAsia="SimSun" w:hAnsi="Times New Roman" w:cs="Times New Roman"/>
          <w:kern w:val="0"/>
          <w:sz w:val="16"/>
          <w:szCs w:val="16"/>
          <w:vertAlign w:val="superscript"/>
        </w:rPr>
        <w:t>‡</w:t>
      </w:r>
      <w:r w:rsidR="007F6F53">
        <w:rPr>
          <w:rFonts w:ascii="Times New Roman" w:eastAsia="SimSun" w:hAnsi="Times New Roman" w:cs="Times New Roman"/>
          <w:kern w:val="0"/>
          <w:sz w:val="16"/>
          <w:szCs w:val="16"/>
          <w:vertAlign w:val="superscript"/>
        </w:rPr>
        <w:t xml:space="preserve"> </w:t>
      </w:r>
      <w:r w:rsidRPr="008F448B">
        <w:rPr>
          <w:rFonts w:ascii="Times New Roman" w:eastAsia="SimSun" w:hAnsi="Times New Roman" w:cs="Times New Roman"/>
          <w:kern w:val="0"/>
          <w:sz w:val="16"/>
          <w:szCs w:val="16"/>
        </w:rPr>
        <w:t>The following cost</w:t>
      </w:r>
      <w:r w:rsidR="00C2324C">
        <w:rPr>
          <w:rFonts w:ascii="Times New Roman" w:eastAsia="SimSun" w:hAnsi="Times New Roman" w:cs="Times New Roman"/>
          <w:kern w:val="0"/>
          <w:sz w:val="16"/>
          <w:szCs w:val="16"/>
        </w:rPr>
        <w:t>s</w:t>
      </w:r>
      <w:r w:rsidRPr="008F448B">
        <w:rPr>
          <w:rFonts w:ascii="Times New Roman" w:eastAsia="SimSun" w:hAnsi="Times New Roman" w:cs="Times New Roman"/>
          <w:kern w:val="0"/>
          <w:sz w:val="16"/>
          <w:szCs w:val="16"/>
        </w:rPr>
        <w:t xml:space="preserve"> should not be included: 1). Value added tax (VAT) 2). Productivity changes </w:t>
      </w:r>
      <w:proofErr w:type="gramStart"/>
      <w:r w:rsidRPr="008F448B">
        <w:rPr>
          <w:rFonts w:ascii="Times New Roman" w:eastAsia="SimSun" w:hAnsi="Times New Roman" w:cs="Times New Roman"/>
          <w:kern w:val="0"/>
          <w:sz w:val="16"/>
          <w:szCs w:val="16"/>
        </w:rPr>
        <w:t>as a result of</w:t>
      </w:r>
      <w:proofErr w:type="gramEnd"/>
      <w:r w:rsidRPr="008F448B">
        <w:rPr>
          <w:rFonts w:ascii="Times New Roman" w:eastAsia="SimSun" w:hAnsi="Times New Roman" w:cs="Times New Roman"/>
          <w:kern w:val="0"/>
          <w:sz w:val="16"/>
          <w:szCs w:val="16"/>
        </w:rPr>
        <w:t xml:space="preserve"> the new medicine Marginal costs of </w:t>
      </w:r>
      <w:r w:rsidR="00C2324C">
        <w:rPr>
          <w:rFonts w:ascii="Times New Roman" w:eastAsia="SimSun" w:hAnsi="Times New Roman" w:cs="Times New Roman"/>
          <w:kern w:val="0"/>
          <w:sz w:val="16"/>
          <w:szCs w:val="16"/>
        </w:rPr>
        <w:t xml:space="preserve">the </w:t>
      </w:r>
      <w:r w:rsidRPr="008F448B">
        <w:rPr>
          <w:rFonts w:ascii="Times New Roman" w:eastAsia="SimSun" w:hAnsi="Times New Roman" w:cs="Times New Roman"/>
          <w:kern w:val="0"/>
          <w:sz w:val="16"/>
          <w:szCs w:val="16"/>
        </w:rPr>
        <w:t>public fund 3</w:t>
      </w:r>
      <w:r w:rsidR="006057C8" w:rsidRPr="008F448B">
        <w:rPr>
          <w:rFonts w:ascii="Times New Roman" w:eastAsia="SimSun" w:hAnsi="Times New Roman" w:cs="Times New Roman"/>
          <w:kern w:val="0"/>
          <w:sz w:val="16"/>
          <w:szCs w:val="16"/>
        </w:rPr>
        <w:t>). Unrelated</w:t>
      </w:r>
      <w:r w:rsidRPr="008F448B">
        <w:rPr>
          <w:rFonts w:ascii="Times New Roman" w:eastAsia="SimSun" w:hAnsi="Times New Roman" w:cs="Times New Roman"/>
          <w:kern w:val="0"/>
          <w:sz w:val="16"/>
          <w:szCs w:val="16"/>
        </w:rPr>
        <w:t>, future health service costs and savings, 4</w:t>
      </w:r>
      <w:r w:rsidR="00A36FDC" w:rsidRPr="008F448B">
        <w:rPr>
          <w:rFonts w:ascii="Times New Roman" w:eastAsia="SimSun" w:hAnsi="Times New Roman" w:cs="Times New Roman"/>
          <w:kern w:val="0"/>
          <w:sz w:val="16"/>
          <w:szCs w:val="16"/>
        </w:rPr>
        <w:t>). Marginal</w:t>
      </w:r>
      <w:r w:rsidRPr="008F448B">
        <w:rPr>
          <w:rFonts w:ascii="Times New Roman" w:eastAsia="SimSun" w:hAnsi="Times New Roman" w:cs="Times New Roman"/>
          <w:kern w:val="0"/>
          <w:sz w:val="16"/>
          <w:szCs w:val="16"/>
        </w:rPr>
        <w:t xml:space="preserve"> costs of public funds </w:t>
      </w:r>
      <w:bookmarkEnd w:id="13"/>
    </w:p>
    <w:p w14:paraId="65349B6F" w14:textId="77777777" w:rsidR="005703C0" w:rsidRPr="008F448B" w:rsidRDefault="005703C0" w:rsidP="006C41A0">
      <w:pPr>
        <w:pStyle w:val="Heading3"/>
        <w:adjustRightInd w:val="0"/>
        <w:snapToGrid w:val="0"/>
        <w:spacing w:before="120" w:after="120" w:line="360" w:lineRule="auto"/>
        <w:rPr>
          <w:rFonts w:ascii="Times New Roman" w:hAnsi="Times New Roman" w:cs="Times New Roman"/>
          <w:sz w:val="21"/>
          <w:szCs w:val="21"/>
        </w:rPr>
        <w:sectPr w:rsidR="005703C0" w:rsidRPr="008F448B" w:rsidSect="00E82899">
          <w:type w:val="continuous"/>
          <w:pgSz w:w="16838" w:h="11906" w:orient="landscape"/>
          <w:pgMar w:top="1531" w:right="1440" w:bottom="1797" w:left="1247" w:header="851" w:footer="992" w:gutter="0"/>
          <w:cols w:space="425"/>
          <w:docGrid w:type="lines" w:linePitch="312"/>
        </w:sectPr>
      </w:pPr>
    </w:p>
    <w:p w14:paraId="3C77AFFB" w14:textId="38CFA40B" w:rsidR="005703C0" w:rsidRPr="00AD61C8" w:rsidRDefault="005703C0" w:rsidP="00147202">
      <w:pPr>
        <w:pStyle w:val="Heading4"/>
        <w:spacing w:before="240" w:after="120" w:line="360" w:lineRule="auto"/>
        <w:rPr>
          <w:rFonts w:ascii="Times New Roman" w:eastAsiaTheme="minorEastAsia" w:hAnsi="Times New Roman" w:cs="Times New Roman"/>
          <w:sz w:val="20"/>
          <w:szCs w:val="20"/>
        </w:rPr>
      </w:pPr>
      <w:r w:rsidRPr="00AD61C8">
        <w:rPr>
          <w:rFonts w:ascii="Times New Roman" w:eastAsiaTheme="minorEastAsia" w:hAnsi="Times New Roman" w:cs="Times New Roman"/>
          <w:sz w:val="20"/>
          <w:szCs w:val="20"/>
        </w:rPr>
        <w:lastRenderedPageBreak/>
        <w:t xml:space="preserve">1.1.2 Comparators </w:t>
      </w:r>
      <w:r w:rsidR="5FE9610D" w:rsidRPr="00AD61C8">
        <w:rPr>
          <w:rFonts w:ascii="Times New Roman" w:eastAsiaTheme="minorEastAsia" w:hAnsi="Times New Roman" w:cs="Times New Roman"/>
          <w:sz w:val="20"/>
          <w:szCs w:val="20"/>
        </w:rPr>
        <w:t xml:space="preserve">were </w:t>
      </w:r>
      <w:r w:rsidRPr="00AD61C8">
        <w:rPr>
          <w:rFonts w:ascii="Times New Roman" w:eastAsiaTheme="minorEastAsia" w:hAnsi="Times New Roman" w:cs="Times New Roman"/>
          <w:sz w:val="20"/>
          <w:szCs w:val="20"/>
        </w:rPr>
        <w:t>unacceptable</w:t>
      </w:r>
    </w:p>
    <w:p w14:paraId="7550C78B" w14:textId="5AEB9B6B" w:rsidR="008B0698" w:rsidRPr="005668EA" w:rsidRDefault="005703C0" w:rsidP="006C41A0">
      <w:pPr>
        <w:pStyle w:val="1"/>
        <w:adjustRightInd w:val="0"/>
        <w:snapToGrid w:val="0"/>
        <w:spacing w:after="0" w:line="360" w:lineRule="auto"/>
        <w:rPr>
          <w:sz w:val="20"/>
          <w:szCs w:val="20"/>
        </w:rPr>
      </w:pPr>
      <w:bookmarkStart w:id="14" w:name="_Hlk159177565"/>
      <w:r w:rsidRPr="4F533E7D">
        <w:rPr>
          <w:sz w:val="20"/>
          <w:szCs w:val="20"/>
        </w:rPr>
        <w:t xml:space="preserve">If the PBAC </w:t>
      </w:r>
      <w:r w:rsidR="00755B56" w:rsidRPr="4F533E7D">
        <w:rPr>
          <w:sz w:val="20"/>
          <w:szCs w:val="20"/>
        </w:rPr>
        <w:t xml:space="preserve">deemed </w:t>
      </w:r>
      <w:r w:rsidRPr="4F533E7D">
        <w:rPr>
          <w:sz w:val="20"/>
          <w:szCs w:val="20"/>
        </w:rPr>
        <w:t>the nominated comparator inappropriate, it</w:t>
      </w:r>
      <w:r w:rsidR="00755B56" w:rsidRPr="4F533E7D">
        <w:rPr>
          <w:sz w:val="20"/>
          <w:szCs w:val="20"/>
        </w:rPr>
        <w:t xml:space="preserve"> was coded</w:t>
      </w:r>
      <w:r w:rsidRPr="4F533E7D">
        <w:rPr>
          <w:sz w:val="20"/>
          <w:szCs w:val="20"/>
        </w:rPr>
        <w:t xml:space="preserve"> as uncertain</w:t>
      </w:r>
      <w:r w:rsidR="00755B56" w:rsidRPr="4F533E7D">
        <w:rPr>
          <w:sz w:val="20"/>
          <w:szCs w:val="20"/>
        </w:rPr>
        <w:t>ty</w:t>
      </w:r>
      <w:r w:rsidRPr="4F533E7D">
        <w:rPr>
          <w:sz w:val="20"/>
          <w:szCs w:val="20"/>
        </w:rPr>
        <w:t xml:space="preserve"> around the comparator. </w:t>
      </w:r>
      <w:r w:rsidR="004B43CE" w:rsidRPr="4F533E7D">
        <w:rPr>
          <w:sz w:val="20"/>
          <w:szCs w:val="20"/>
        </w:rPr>
        <w:t xml:space="preserve">This situation </w:t>
      </w:r>
      <w:r w:rsidR="00317411" w:rsidRPr="4F533E7D">
        <w:rPr>
          <w:sz w:val="20"/>
          <w:szCs w:val="20"/>
        </w:rPr>
        <w:t>arose</w:t>
      </w:r>
      <w:r w:rsidR="004B43CE" w:rsidRPr="4F533E7D">
        <w:rPr>
          <w:sz w:val="20"/>
          <w:szCs w:val="20"/>
        </w:rPr>
        <w:t xml:space="preserve"> when the main comparator was not accepted based on the PBAC</w:t>
      </w:r>
      <w:r w:rsidR="00317411" w:rsidRPr="4F533E7D">
        <w:rPr>
          <w:sz w:val="20"/>
          <w:szCs w:val="20"/>
        </w:rPr>
        <w:t xml:space="preserve"> judgment</w:t>
      </w:r>
      <w:r w:rsidR="004B43CE" w:rsidRPr="4F533E7D">
        <w:rPr>
          <w:sz w:val="20"/>
          <w:szCs w:val="20"/>
        </w:rPr>
        <w:t xml:space="preserve">. </w:t>
      </w:r>
      <w:r w:rsidRPr="4F533E7D">
        <w:rPr>
          <w:sz w:val="20"/>
          <w:szCs w:val="20"/>
        </w:rPr>
        <w:t xml:space="preserve">For instance, in the submission </w:t>
      </w:r>
      <w:r w:rsidR="4049AF03" w:rsidRPr="4F533E7D">
        <w:rPr>
          <w:sz w:val="20"/>
          <w:szCs w:val="20"/>
        </w:rPr>
        <w:t xml:space="preserve">for </w:t>
      </w:r>
      <w:r w:rsidRPr="4F533E7D">
        <w:rPr>
          <w:sz w:val="20"/>
          <w:szCs w:val="20"/>
        </w:rPr>
        <w:t>abiraterone for</w:t>
      </w:r>
      <w:r w:rsidR="608830AD" w:rsidRPr="4F533E7D">
        <w:rPr>
          <w:sz w:val="20"/>
          <w:szCs w:val="20"/>
        </w:rPr>
        <w:t xml:space="preserve"> the</w:t>
      </w:r>
      <w:r w:rsidRPr="4F533E7D">
        <w:rPr>
          <w:sz w:val="20"/>
          <w:szCs w:val="20"/>
        </w:rPr>
        <w:t xml:space="preserve"> treatment of mCRPC after treatment failure with androgen deprivation therapy</w:t>
      </w:r>
      <w:r w:rsidR="007B1B07" w:rsidRPr="4F533E7D">
        <w:rPr>
          <w:sz w:val="20"/>
          <w:szCs w:val="20"/>
        </w:rPr>
        <w:t>,</w:t>
      </w:r>
      <w:r w:rsidRPr="4F533E7D">
        <w:rPr>
          <w:sz w:val="20"/>
          <w:szCs w:val="20"/>
        </w:rPr>
        <w:t xml:space="preserve"> </w:t>
      </w:r>
      <w:r w:rsidR="007B1B07" w:rsidRPr="4F533E7D">
        <w:rPr>
          <w:sz w:val="20"/>
          <w:szCs w:val="20"/>
        </w:rPr>
        <w:t>t</w:t>
      </w:r>
      <w:r w:rsidRPr="4F533E7D">
        <w:rPr>
          <w:sz w:val="20"/>
          <w:szCs w:val="20"/>
        </w:rPr>
        <w:t xml:space="preserve">he submission nominated watchful waiting as the comparator. </w:t>
      </w:r>
      <w:r w:rsidR="1BCE78F9" w:rsidRPr="4F533E7D">
        <w:rPr>
          <w:sz w:val="20"/>
          <w:szCs w:val="20"/>
        </w:rPr>
        <w:t>T</w:t>
      </w:r>
      <w:r w:rsidRPr="4F533E7D">
        <w:rPr>
          <w:sz w:val="20"/>
          <w:szCs w:val="20"/>
        </w:rPr>
        <w:t xml:space="preserve">he PBAC did not </w:t>
      </w:r>
      <w:r w:rsidR="00317411" w:rsidRPr="4F533E7D">
        <w:rPr>
          <w:sz w:val="20"/>
          <w:szCs w:val="20"/>
        </w:rPr>
        <w:t>regard</w:t>
      </w:r>
      <w:r w:rsidRPr="4F533E7D">
        <w:rPr>
          <w:sz w:val="20"/>
          <w:szCs w:val="20"/>
        </w:rPr>
        <w:t xml:space="preserve"> “watchful waiting” </w:t>
      </w:r>
      <w:r w:rsidR="00317411" w:rsidRPr="4F533E7D">
        <w:rPr>
          <w:sz w:val="20"/>
          <w:szCs w:val="20"/>
        </w:rPr>
        <w:t>as</w:t>
      </w:r>
      <w:r w:rsidRPr="4F533E7D">
        <w:rPr>
          <w:sz w:val="20"/>
          <w:szCs w:val="20"/>
        </w:rPr>
        <w:t xml:space="preserve"> an appropriate comparator for abiraterone to establish cost-effectiveness in the new treatment setting. A mixed comparator of watchful waiting, docetaxel and best support</w:t>
      </w:r>
      <w:r w:rsidR="00623070" w:rsidRPr="4F533E7D">
        <w:rPr>
          <w:sz w:val="20"/>
          <w:szCs w:val="20"/>
        </w:rPr>
        <w:t>ive</w:t>
      </w:r>
      <w:r w:rsidRPr="4F533E7D">
        <w:rPr>
          <w:sz w:val="20"/>
          <w:szCs w:val="20"/>
        </w:rPr>
        <w:t xml:space="preserve"> care </w:t>
      </w:r>
      <w:r w:rsidR="00317411" w:rsidRPr="4F533E7D">
        <w:rPr>
          <w:sz w:val="20"/>
          <w:szCs w:val="20"/>
        </w:rPr>
        <w:t xml:space="preserve">might be considered </w:t>
      </w:r>
      <w:r w:rsidRPr="4F533E7D">
        <w:rPr>
          <w:sz w:val="20"/>
          <w:szCs w:val="20"/>
        </w:rPr>
        <w:t>the appropriate comparator</w:t>
      </w:r>
      <w:r w:rsidR="0078323F" w:rsidRPr="4F533E7D">
        <w:rPr>
          <w:sz w:val="20"/>
          <w:szCs w:val="20"/>
        </w:rPr>
        <w:t xml:space="preserve"> </w:t>
      </w:r>
      <w:bookmarkEnd w:id="14"/>
      <w:r w:rsidRPr="4F533E7D">
        <w:rPr>
          <w:sz w:val="20"/>
          <w:szCs w:val="20"/>
        </w:rPr>
        <w:fldChar w:fldCharType="begin"/>
      </w:r>
      <w:r w:rsidR="00AD61C8">
        <w:rPr>
          <w:sz w:val="20"/>
          <w:szCs w:val="20"/>
        </w:rPr>
        <w:instrText xml:space="preserve"> ADDIN EN.CITE &lt;EndNote&gt;&lt;Cite&gt;&lt;Author&gt;Pharmaceutical Benefits Advisory Committee&lt;/Author&gt;&lt;Year&gt;2014&lt;/Year&gt;&lt;RecNum&gt;19274&lt;/RecNum&gt;&lt;DisplayText&gt;[15]&lt;/DisplayText&gt;&lt;record&gt;&lt;rec-number&gt;19274&lt;/rec-number&gt;&lt;foreign-keys&gt;&lt;key app="EN" db-id="5zttwaa2gstv57epr5z5zxv325varaa5e9rp" timestamp="1681373617"&gt;19274&lt;/key&gt;&lt;/foreign-keys&gt;&lt;ref-type name="Government Document"&gt;46&lt;/ref-type&gt;&lt;contributors&gt;&lt;authors&gt;&lt;author&gt;Pharmaceutical Benefits Advisory Committee,&lt;/author&gt;&lt;/authors&gt;&lt;/contributors&gt;&lt;titles&gt;&lt;title&gt;Abiraterone Acetate, tablet, 250 mg, Zytiga®, Janssen-Cilag Pty Ltd&lt;/title&gt;&lt;/titles&gt;&lt;dates&gt;&lt;year&gt;2014&lt;/year&gt;&lt;/dates&gt;&lt;urls&gt;&lt;related-urls&gt;&lt;url&gt;https://www.pbs.gov.au/info/industry/listing/elements/pbac-meetings/psd/2014-07/abiraterone-psd-07-2014&lt;/url&gt;&lt;/related-urls&gt;&lt;/urls&gt;&lt;access-date&gt;30 Aug 2020&lt;/access-date&gt;&lt;/record&gt;&lt;/Cite&gt;&lt;/EndNote&gt;</w:instrText>
      </w:r>
      <w:r w:rsidRPr="4F533E7D">
        <w:rPr>
          <w:sz w:val="20"/>
          <w:szCs w:val="20"/>
        </w:rPr>
        <w:fldChar w:fldCharType="separate"/>
      </w:r>
      <w:r w:rsidR="00AD61C8">
        <w:rPr>
          <w:noProof/>
          <w:sz w:val="20"/>
          <w:szCs w:val="20"/>
        </w:rPr>
        <w:t>[15]</w:t>
      </w:r>
      <w:r w:rsidRPr="4F533E7D">
        <w:rPr>
          <w:sz w:val="20"/>
          <w:szCs w:val="20"/>
        </w:rPr>
        <w:fldChar w:fldCharType="end"/>
      </w:r>
      <w:r w:rsidRPr="4F533E7D">
        <w:rPr>
          <w:sz w:val="20"/>
          <w:szCs w:val="20"/>
        </w:rPr>
        <w:t>.</w:t>
      </w:r>
    </w:p>
    <w:p w14:paraId="6996C175" w14:textId="2DA7537F" w:rsidR="4F533E7D" w:rsidRDefault="4F533E7D" w:rsidP="00C15362">
      <w:pPr>
        <w:pStyle w:val="1"/>
        <w:adjustRightInd w:val="0"/>
        <w:snapToGrid w:val="0"/>
        <w:spacing w:after="0" w:line="360" w:lineRule="auto"/>
        <w:rPr>
          <w:sz w:val="20"/>
          <w:szCs w:val="20"/>
        </w:rPr>
      </w:pPr>
    </w:p>
    <w:tbl>
      <w:tblPr>
        <w:tblStyle w:val="TableGrid"/>
        <w:tblW w:w="0" w:type="auto"/>
        <w:tblLook w:val="04A0" w:firstRow="1" w:lastRow="0" w:firstColumn="1" w:lastColumn="0" w:noHBand="0" w:noVBand="1"/>
      </w:tblPr>
      <w:tblGrid>
        <w:gridCol w:w="2689"/>
        <w:gridCol w:w="5607"/>
      </w:tblGrid>
      <w:tr w:rsidR="005703C0" w:rsidRPr="005668EA" w14:paraId="3304553E" w14:textId="77777777" w:rsidTr="4F533E7D">
        <w:trPr>
          <w:trHeight w:val="132"/>
        </w:trPr>
        <w:tc>
          <w:tcPr>
            <w:tcW w:w="2689" w:type="dxa"/>
          </w:tcPr>
          <w:p w14:paraId="3B82B98A"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2114B8DA" w14:textId="1F24BBB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Did the PBAC </w:t>
            </w:r>
            <w:r w:rsidR="00097381">
              <w:rPr>
                <w:kern w:val="0"/>
                <w:szCs w:val="20"/>
              </w:rPr>
              <w:t>consider</w:t>
            </w:r>
            <w:r w:rsidRPr="005668EA">
              <w:rPr>
                <w:kern w:val="0"/>
                <w:szCs w:val="20"/>
              </w:rPr>
              <w:t xml:space="preserve"> the </w:t>
            </w:r>
            <w:r w:rsidR="00097381" w:rsidRPr="005668EA">
              <w:rPr>
                <w:kern w:val="0"/>
                <w:szCs w:val="20"/>
              </w:rPr>
              <w:t xml:space="preserve">proposed </w:t>
            </w:r>
            <w:r w:rsidRPr="005668EA">
              <w:rPr>
                <w:kern w:val="0"/>
                <w:szCs w:val="20"/>
              </w:rPr>
              <w:t>comparator</w:t>
            </w:r>
            <w:r w:rsidR="00097381">
              <w:rPr>
                <w:kern w:val="0"/>
                <w:szCs w:val="20"/>
              </w:rPr>
              <w:t xml:space="preserve"> as unacceptable</w:t>
            </w:r>
            <w:r w:rsidRPr="005668EA">
              <w:rPr>
                <w:kern w:val="0"/>
                <w:szCs w:val="20"/>
              </w:rPr>
              <w:t xml:space="preserve">? </w:t>
            </w:r>
          </w:p>
        </w:tc>
      </w:tr>
      <w:tr w:rsidR="005703C0" w:rsidRPr="005668EA" w14:paraId="015C7FB1" w14:textId="77777777" w:rsidTr="4F533E7D">
        <w:tc>
          <w:tcPr>
            <w:tcW w:w="2689" w:type="dxa"/>
          </w:tcPr>
          <w:p w14:paraId="48470164"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670D394F" w14:textId="4CBB35A2" w:rsidR="005703C0" w:rsidRPr="005668EA" w:rsidRDefault="007B1B07" w:rsidP="00C15362">
            <w:pPr>
              <w:pStyle w:val="EndNoteBibliography"/>
              <w:adjustRightInd w:val="0"/>
              <w:snapToGrid w:val="0"/>
              <w:spacing w:line="360" w:lineRule="auto"/>
              <w:rPr>
                <w:kern w:val="0"/>
                <w:szCs w:val="20"/>
              </w:rPr>
            </w:pPr>
            <w:r w:rsidRPr="007B1B07">
              <w:rPr>
                <w:kern w:val="0"/>
                <w:szCs w:val="20"/>
              </w:rPr>
              <w:t>0 – yes, 1 – no</w:t>
            </w:r>
          </w:p>
        </w:tc>
      </w:tr>
    </w:tbl>
    <w:p w14:paraId="549B63AB" w14:textId="02787004" w:rsidR="005703C0" w:rsidRPr="00147202" w:rsidRDefault="005703C0" w:rsidP="00C33017">
      <w:pPr>
        <w:pStyle w:val="Heading4"/>
        <w:spacing w:before="480" w:after="120" w:line="360" w:lineRule="auto"/>
        <w:rPr>
          <w:rFonts w:ascii="Times New Roman" w:eastAsiaTheme="minorEastAsia" w:hAnsi="Times New Roman" w:cs="Times New Roman"/>
          <w:sz w:val="20"/>
          <w:szCs w:val="20"/>
        </w:rPr>
      </w:pPr>
      <w:r w:rsidRPr="00147202">
        <w:rPr>
          <w:rFonts w:ascii="Times New Roman" w:eastAsiaTheme="minorEastAsia" w:hAnsi="Times New Roman" w:cs="Times New Roman"/>
          <w:sz w:val="20"/>
          <w:szCs w:val="20"/>
        </w:rPr>
        <w:t xml:space="preserve">1.1.3 </w:t>
      </w:r>
      <w:r w:rsidR="007C41B2" w:rsidRPr="00147202">
        <w:rPr>
          <w:rFonts w:ascii="Times New Roman" w:eastAsiaTheme="minorEastAsia" w:hAnsi="Times New Roman" w:cs="Times New Roman"/>
          <w:sz w:val="20"/>
          <w:szCs w:val="20"/>
        </w:rPr>
        <w:t xml:space="preserve">The perspective </w:t>
      </w:r>
      <w:r w:rsidRPr="00147202">
        <w:rPr>
          <w:rFonts w:ascii="Times New Roman" w:eastAsiaTheme="minorEastAsia" w:hAnsi="Times New Roman" w:cs="Times New Roman"/>
          <w:sz w:val="20"/>
          <w:szCs w:val="20"/>
        </w:rPr>
        <w:t>of the economic evaluation was not consistent with the guideline</w:t>
      </w:r>
      <w:r w:rsidR="000E3DBE" w:rsidRPr="00147202">
        <w:rPr>
          <w:rFonts w:ascii="Times New Roman" w:eastAsiaTheme="minorEastAsia" w:hAnsi="Times New Roman" w:cs="Times New Roman"/>
          <w:sz w:val="20"/>
          <w:szCs w:val="20"/>
        </w:rPr>
        <w:t>s</w:t>
      </w:r>
      <w:r w:rsidRPr="00147202">
        <w:rPr>
          <w:rFonts w:ascii="Times New Roman" w:eastAsiaTheme="minorEastAsia" w:hAnsi="Times New Roman" w:cs="Times New Roman"/>
          <w:sz w:val="20"/>
          <w:szCs w:val="20"/>
        </w:rPr>
        <w:t xml:space="preserve"> </w:t>
      </w:r>
    </w:p>
    <w:p w14:paraId="7C41F7B7" w14:textId="2DD0AF57" w:rsidR="009E41A8" w:rsidRDefault="005703C0" w:rsidP="006C41A0">
      <w:pPr>
        <w:widowControl/>
        <w:adjustRightInd w:val="0"/>
        <w:snapToGrid w:val="0"/>
        <w:spacing w:line="360" w:lineRule="auto"/>
        <w:rPr>
          <w:rFonts w:ascii="Times New Roman" w:hAnsi="Times New Roman" w:cs="Times New Roman"/>
          <w:sz w:val="20"/>
          <w:szCs w:val="20"/>
        </w:rPr>
      </w:pPr>
      <w:bookmarkStart w:id="15" w:name="_Hlk159178481"/>
      <w:r w:rsidRPr="4F533E7D">
        <w:rPr>
          <w:rFonts w:ascii="Times New Roman" w:hAnsi="Times New Roman" w:cs="Times New Roman"/>
          <w:sz w:val="20"/>
          <w:szCs w:val="20"/>
        </w:rPr>
        <w:t>The perspective of an economic evaluation prerequisite to determine which cost and health-related outcomes are included</w:t>
      </w:r>
      <w:r w:rsidR="007B1B07" w:rsidRPr="4F533E7D">
        <w:rPr>
          <w:rFonts w:ascii="Times New Roman" w:hAnsi="Times New Roman" w:cs="Times New Roman"/>
          <w:sz w:val="20"/>
          <w:szCs w:val="20"/>
        </w:rPr>
        <w:t xml:space="preserve">. This could influence </w:t>
      </w:r>
      <w:r w:rsidRPr="00377B4F">
        <w:rPr>
          <w:rFonts w:ascii="Times New Roman" w:hAnsi="Times New Roman" w:cs="Times New Roman"/>
          <w:sz w:val="20"/>
          <w:szCs w:val="20"/>
        </w:rPr>
        <w:t>the cost-effectiveness of treatment.</w:t>
      </w:r>
      <w:r w:rsidR="002E1828" w:rsidRPr="00377B4F">
        <w:rPr>
          <w:rFonts w:ascii="Times New Roman" w:hAnsi="Times New Roman" w:cs="Times New Roman"/>
          <w:sz w:val="20"/>
          <w:szCs w:val="20"/>
        </w:rPr>
        <w:t xml:space="preserve"> </w:t>
      </w:r>
      <w:r w:rsidRPr="00377B4F">
        <w:rPr>
          <w:rFonts w:ascii="Times New Roman" w:hAnsi="Times New Roman" w:cs="Times New Roman"/>
          <w:sz w:val="20"/>
          <w:szCs w:val="20"/>
        </w:rPr>
        <w:t>The PBAC prefer</w:t>
      </w:r>
      <w:r w:rsidR="00317411" w:rsidRPr="00377B4F">
        <w:rPr>
          <w:rFonts w:ascii="Times New Roman" w:hAnsi="Times New Roman" w:cs="Times New Roman"/>
          <w:sz w:val="20"/>
          <w:szCs w:val="20"/>
        </w:rPr>
        <w:t>s</w:t>
      </w:r>
      <w:r w:rsidRPr="00377B4F">
        <w:rPr>
          <w:rFonts w:ascii="Times New Roman" w:hAnsi="Times New Roman" w:cs="Times New Roman"/>
          <w:sz w:val="20"/>
          <w:szCs w:val="20"/>
        </w:rPr>
        <w:t xml:space="preserve"> </w:t>
      </w:r>
      <w:r w:rsidR="00097381" w:rsidRPr="00377B4F">
        <w:rPr>
          <w:rFonts w:ascii="Times New Roman" w:hAnsi="Times New Roman" w:cs="Times New Roman"/>
          <w:sz w:val="20"/>
          <w:szCs w:val="20"/>
        </w:rPr>
        <w:t xml:space="preserve">the perspective of </w:t>
      </w:r>
      <w:r w:rsidR="007C41B2" w:rsidRPr="00377B4F">
        <w:rPr>
          <w:rFonts w:ascii="Times New Roman" w:hAnsi="Times New Roman" w:cs="Times New Roman"/>
          <w:sz w:val="20"/>
          <w:szCs w:val="20"/>
        </w:rPr>
        <w:t xml:space="preserve">the </w:t>
      </w:r>
      <w:r w:rsidRPr="00377B4F">
        <w:rPr>
          <w:rFonts w:ascii="Times New Roman" w:hAnsi="Times New Roman" w:cs="Times New Roman"/>
          <w:sz w:val="20"/>
          <w:szCs w:val="20"/>
        </w:rPr>
        <w:t>healthcare system</w:t>
      </w:r>
      <w:r w:rsidR="0078323F" w:rsidRPr="00377B4F">
        <w:rPr>
          <w:rFonts w:ascii="Times New Roman" w:hAnsi="Times New Roman" w:cs="Times New Roman"/>
          <w:sz w:val="20"/>
          <w:szCs w:val="20"/>
        </w:rPr>
        <w:t xml:space="preserve"> </w:t>
      </w:r>
      <w:r w:rsidR="4351656E" w:rsidRPr="00377B4F">
        <w:rPr>
          <w:rFonts w:ascii="Times New Roman" w:hAnsi="Times New Roman" w:cs="Times New Roman"/>
          <w:sz w:val="20"/>
          <w:szCs w:val="20"/>
        </w:rPr>
        <w:t xml:space="preserve">in the base case </w:t>
      </w:r>
      <w:r w:rsidRPr="00377B4F">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Committee&lt;/Author&gt;&lt;Year&gt;2016&lt;/Year&gt;&lt;RecNum&gt;15366&lt;/RecNum&gt;&lt;DisplayText&gt;[16]&lt;/DisplayText&gt;&lt;record&gt;&lt;rec-number&gt;15366&lt;/rec-number&gt;&lt;foreign-keys&gt;&lt;key app="EN" db-id="5zttwaa2gstv57epr5z5zxv325varaa5e9rp" timestamp="1596551342"&gt;15366&lt;/key&gt;&lt;/foreign-keys&gt;&lt;ref-type name="Government Document"&gt;46&lt;/ref-type&gt;&lt;contributors&gt;&lt;authors&gt;&lt;author&gt;Pharmaceutical Benefits Advisory Committee,&lt;/author&gt;&lt;/authors&gt;&lt;secondary-authors&gt;&lt;author&gt;Pharmaceutical Benefits Advisory Committee &lt;/author&gt;&lt;/secondary-authors&gt;&lt;/contributors&gt;&lt;titles&gt;&lt;title&gt;Guidelines for preparing submissions to the Pharmaceutical Benefits Advisory Committee&lt;/title&gt;&lt;/titles&gt;&lt;dates&gt;&lt;year&gt;2016&lt;/year&gt;&lt;/dates&gt;&lt;label&gt;&lt;style face="normal" font="defau</w:instrText>
      </w:r>
      <w:r w:rsidR="00AD61C8">
        <w:rPr>
          <w:rFonts w:ascii="Times New Roman" w:hAnsi="Times New Roman" w:cs="Times New Roman" w:hint="eastAsia"/>
          <w:sz w:val="20"/>
          <w:szCs w:val="20"/>
        </w:rPr>
        <w:instrText>lt" charset="134" size="100%"&gt;</w:instrText>
      </w:r>
      <w:r w:rsidR="00AD61C8">
        <w:rPr>
          <w:rFonts w:ascii="Times New Roman" w:hAnsi="Times New Roman" w:cs="Times New Roman" w:hint="eastAsia"/>
          <w:sz w:val="20"/>
          <w:szCs w:val="20"/>
        </w:rPr>
        <w:instrText>指南</w:instrText>
      </w:r>
      <w:r w:rsidR="00AD61C8">
        <w:rPr>
          <w:rFonts w:ascii="Times New Roman" w:hAnsi="Times New Roman" w:cs="Times New Roman" w:hint="eastAsia"/>
          <w:sz w:val="20"/>
          <w:szCs w:val="20"/>
        </w:rPr>
        <w:instrText>&lt;/style&gt;&lt;/label&gt;&lt;urls&gt;&lt;related-urls&gt;&lt;url&gt;https://pbac.pbs.gov.au/content/information/files/pbac-guidelines-version-5.pdf&lt;/url&gt;&lt;/related-urls&gt;&lt;/urls&gt;&lt;access-date&gt;30 May 2020&lt;/access-date&gt;&lt;/record&gt;&lt;/Cite&gt;&lt;/EndNote&gt;</w:instrText>
      </w:r>
      <w:r w:rsidRPr="00377B4F">
        <w:rPr>
          <w:rFonts w:ascii="Times New Roman" w:hAnsi="Times New Roman" w:cs="Times New Roman"/>
          <w:sz w:val="20"/>
          <w:szCs w:val="20"/>
        </w:rPr>
        <w:fldChar w:fldCharType="separate"/>
      </w:r>
      <w:r w:rsidR="00AD61C8">
        <w:rPr>
          <w:rFonts w:ascii="Times New Roman" w:hAnsi="Times New Roman" w:cs="Times New Roman"/>
          <w:noProof/>
          <w:sz w:val="20"/>
          <w:szCs w:val="20"/>
        </w:rPr>
        <w:t>[16]</w:t>
      </w:r>
      <w:r w:rsidRPr="00377B4F">
        <w:rPr>
          <w:rFonts w:ascii="Times New Roman" w:hAnsi="Times New Roman" w:cs="Times New Roman"/>
          <w:sz w:val="20"/>
          <w:szCs w:val="20"/>
        </w:rPr>
        <w:fldChar w:fldCharType="end"/>
      </w:r>
      <w:r w:rsidRPr="00377B4F">
        <w:rPr>
          <w:rFonts w:ascii="Times New Roman" w:hAnsi="Times New Roman" w:cs="Times New Roman"/>
          <w:sz w:val="20"/>
          <w:szCs w:val="20"/>
        </w:rPr>
        <w:t xml:space="preserve">. Costs incurred by the patient, as well as </w:t>
      </w:r>
      <w:r w:rsidR="002554FC" w:rsidRPr="00377B4F">
        <w:rPr>
          <w:rFonts w:ascii="Times New Roman" w:hAnsi="Times New Roman" w:cs="Times New Roman"/>
          <w:sz w:val="20"/>
          <w:szCs w:val="20"/>
        </w:rPr>
        <w:t xml:space="preserve">those by </w:t>
      </w:r>
      <w:r w:rsidRPr="00377B4F">
        <w:rPr>
          <w:rFonts w:ascii="Times New Roman" w:hAnsi="Times New Roman" w:cs="Times New Roman"/>
          <w:sz w:val="20"/>
          <w:szCs w:val="20"/>
        </w:rPr>
        <w:t>the public or private healthcare provider</w:t>
      </w:r>
      <w:r w:rsidR="00ED1F67" w:rsidRPr="00377B4F">
        <w:rPr>
          <w:rFonts w:ascii="Times New Roman" w:hAnsi="Times New Roman" w:cs="Times New Roman"/>
          <w:sz w:val="20"/>
          <w:szCs w:val="20"/>
        </w:rPr>
        <w:t>,</w:t>
      </w:r>
      <w:r w:rsidRPr="00377B4F">
        <w:rPr>
          <w:rFonts w:ascii="Times New Roman" w:hAnsi="Times New Roman" w:cs="Times New Roman"/>
          <w:sz w:val="20"/>
          <w:szCs w:val="20"/>
        </w:rPr>
        <w:t xml:space="preserve"> should be included</w:t>
      </w:r>
      <w:r w:rsidR="686B7FEE" w:rsidRPr="00377B4F">
        <w:rPr>
          <w:rFonts w:ascii="Times New Roman" w:hAnsi="Times New Roman" w:cs="Times New Roman"/>
          <w:sz w:val="20"/>
          <w:szCs w:val="20"/>
        </w:rPr>
        <w:t xml:space="preserve"> under this </w:t>
      </w:r>
      <w:r w:rsidR="5490F9E8" w:rsidRPr="00377B4F">
        <w:rPr>
          <w:rFonts w:ascii="Times New Roman" w:hAnsi="Times New Roman" w:cs="Times New Roman"/>
          <w:sz w:val="20"/>
          <w:szCs w:val="20"/>
        </w:rPr>
        <w:t>perspective</w:t>
      </w:r>
      <w:r w:rsidRPr="00377B4F">
        <w:rPr>
          <w:rFonts w:ascii="Times New Roman" w:hAnsi="Times New Roman" w:cs="Times New Roman"/>
          <w:sz w:val="20"/>
          <w:szCs w:val="20"/>
        </w:rPr>
        <w:t xml:space="preserve">. The outcomes should be associated with the patient. The PBAC does not recommend </w:t>
      </w:r>
      <w:r w:rsidR="00ED1F67" w:rsidRPr="00377B4F">
        <w:rPr>
          <w:rFonts w:ascii="Times New Roman" w:hAnsi="Times New Roman" w:cs="Times New Roman"/>
          <w:sz w:val="20"/>
          <w:szCs w:val="20"/>
        </w:rPr>
        <w:t>including</w:t>
      </w:r>
      <w:r w:rsidRPr="00377B4F">
        <w:rPr>
          <w:rFonts w:ascii="Times New Roman" w:hAnsi="Times New Roman" w:cs="Times New Roman"/>
          <w:sz w:val="20"/>
          <w:szCs w:val="20"/>
        </w:rPr>
        <w:t xml:space="preserve"> costs and outcomes that deviate from this perspective but suggests presenting a supplementary analysis if the sponsor incorporates a broader societal perspective</w:t>
      </w:r>
      <w:r w:rsidR="004577F5" w:rsidRPr="00377B4F">
        <w:rPr>
          <w:rFonts w:ascii="Times New Roman" w:hAnsi="Times New Roman" w:cs="Times New Roman"/>
          <w:sz w:val="20"/>
          <w:szCs w:val="20"/>
        </w:rPr>
        <w:t xml:space="preserve"> </w:t>
      </w:r>
      <w:r w:rsidRPr="00377B4F">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Committee&lt;/Author&gt;&lt;Year&gt;2016&lt;/Year&gt;&lt;RecNum&gt;15366&lt;/RecNum&gt;&lt;DisplayText&gt;[16]&lt;/DisplayText&gt;&lt;record&gt;&lt;rec-number&gt;15366&lt;/rec-number&gt;&lt;foreign-keys&gt;&lt;key app="EN" db-id="5zttwaa2gstv57epr5z5zxv325varaa5e9rp" timestamp="1596551342"&gt;15366&lt;/key&gt;&lt;/foreign-keys&gt;&lt;ref-type name="Government Document"&gt;46&lt;/ref-type&gt;&lt;contributors&gt;&lt;authors&gt;&lt;author&gt;Pharmaceutical Benefits Advisory Committee,&lt;/author&gt;&lt;/authors&gt;&lt;secondary-authors&gt;&lt;author&gt;Pharmaceutical Benefits Advisory Committee &lt;/author&gt;&lt;/secondary-authors&gt;&lt;/contributors&gt;&lt;titles&gt;&lt;title&gt;Guidelines for preparing submissions to the Pharmaceutical Benefits Advisory Committee&lt;/title&gt;&lt;/titles&gt;&lt;dates&gt;&lt;year&gt;2016&lt;/year&gt;&lt;/dates&gt;&lt;label&gt;&lt;style face="normal" font="defau</w:instrText>
      </w:r>
      <w:r w:rsidR="00AD61C8">
        <w:rPr>
          <w:rFonts w:ascii="Times New Roman" w:hAnsi="Times New Roman" w:cs="Times New Roman" w:hint="eastAsia"/>
          <w:sz w:val="20"/>
          <w:szCs w:val="20"/>
        </w:rPr>
        <w:instrText>lt" charset="134" size="100%"&gt;</w:instrText>
      </w:r>
      <w:r w:rsidR="00AD61C8">
        <w:rPr>
          <w:rFonts w:ascii="Times New Roman" w:hAnsi="Times New Roman" w:cs="Times New Roman" w:hint="eastAsia"/>
          <w:sz w:val="20"/>
          <w:szCs w:val="20"/>
        </w:rPr>
        <w:instrText>指南</w:instrText>
      </w:r>
      <w:r w:rsidR="00AD61C8">
        <w:rPr>
          <w:rFonts w:ascii="Times New Roman" w:hAnsi="Times New Roman" w:cs="Times New Roman" w:hint="eastAsia"/>
          <w:sz w:val="20"/>
          <w:szCs w:val="20"/>
        </w:rPr>
        <w:instrText>&lt;/style&gt;&lt;/label&gt;&lt;urls&gt;&lt;related-urls&gt;&lt;url&gt;https://pbac.pbs.gov.au/content/information/files/pbac-guidelines-version-5.pdf&lt;/url&gt;&lt;/related-urls&gt;&lt;/urls&gt;&lt;access-date&gt;30 May 2020&lt;/access-date&gt;&lt;/record&gt;&lt;/Cite&gt;&lt;/EndNote&gt;</w:instrText>
      </w:r>
      <w:r w:rsidRPr="00377B4F">
        <w:rPr>
          <w:rFonts w:ascii="Times New Roman" w:hAnsi="Times New Roman" w:cs="Times New Roman"/>
          <w:sz w:val="20"/>
          <w:szCs w:val="20"/>
        </w:rPr>
        <w:fldChar w:fldCharType="separate"/>
      </w:r>
      <w:r w:rsidR="00AD61C8">
        <w:rPr>
          <w:rFonts w:ascii="Times New Roman" w:hAnsi="Times New Roman" w:cs="Times New Roman"/>
          <w:noProof/>
          <w:sz w:val="20"/>
          <w:szCs w:val="20"/>
        </w:rPr>
        <w:t>[16]</w:t>
      </w:r>
      <w:r w:rsidRPr="00377B4F">
        <w:rPr>
          <w:rFonts w:ascii="Times New Roman" w:hAnsi="Times New Roman" w:cs="Times New Roman"/>
          <w:sz w:val="20"/>
          <w:szCs w:val="20"/>
        </w:rPr>
        <w:fldChar w:fldCharType="end"/>
      </w:r>
      <w:r w:rsidRPr="00377B4F">
        <w:rPr>
          <w:rFonts w:ascii="Times New Roman" w:hAnsi="Times New Roman" w:cs="Times New Roman"/>
          <w:sz w:val="20"/>
          <w:szCs w:val="20"/>
        </w:rPr>
        <w:t xml:space="preserve">. If the perspective of an economic evaluation </w:t>
      </w:r>
      <w:r w:rsidR="00AF2466" w:rsidRPr="00377B4F">
        <w:rPr>
          <w:rFonts w:ascii="Times New Roman" w:hAnsi="Times New Roman" w:cs="Times New Roman"/>
          <w:sz w:val="20"/>
          <w:szCs w:val="20"/>
        </w:rPr>
        <w:t xml:space="preserve">was </w:t>
      </w:r>
      <w:r w:rsidR="002554FC" w:rsidRPr="00377B4F">
        <w:rPr>
          <w:rFonts w:ascii="Times New Roman" w:hAnsi="Times New Roman" w:cs="Times New Roman"/>
          <w:sz w:val="20"/>
          <w:szCs w:val="20"/>
        </w:rPr>
        <w:t>found</w:t>
      </w:r>
      <w:r w:rsidRPr="00377B4F">
        <w:rPr>
          <w:rFonts w:ascii="Times New Roman" w:hAnsi="Times New Roman" w:cs="Times New Roman"/>
          <w:sz w:val="20"/>
          <w:szCs w:val="20"/>
        </w:rPr>
        <w:t xml:space="preserve"> to violate PBAC guidelines, a submission </w:t>
      </w:r>
      <w:r w:rsidR="018781F6" w:rsidRPr="00377B4F">
        <w:rPr>
          <w:rFonts w:ascii="Times New Roman" w:hAnsi="Times New Roman" w:cs="Times New Roman"/>
          <w:sz w:val="20"/>
          <w:szCs w:val="20"/>
        </w:rPr>
        <w:t>was</w:t>
      </w:r>
      <w:r w:rsidR="00AF2466" w:rsidRPr="00377B4F">
        <w:rPr>
          <w:rFonts w:ascii="Times New Roman" w:hAnsi="Times New Roman" w:cs="Times New Roman"/>
          <w:sz w:val="20"/>
          <w:szCs w:val="20"/>
        </w:rPr>
        <w:t xml:space="preserve"> </w:t>
      </w:r>
      <w:r w:rsidRPr="00377B4F">
        <w:rPr>
          <w:rFonts w:ascii="Times New Roman" w:hAnsi="Times New Roman" w:cs="Times New Roman"/>
          <w:sz w:val="20"/>
          <w:szCs w:val="20"/>
        </w:rPr>
        <w:t>considered to have methodological uncertainty.</w:t>
      </w:r>
    </w:p>
    <w:bookmarkEnd w:id="15"/>
    <w:p w14:paraId="5ADB225A" w14:textId="3607EC9B" w:rsidR="005703C0" w:rsidRPr="005668EA" w:rsidRDefault="005703C0" w:rsidP="00C15362">
      <w:pPr>
        <w:widowControl/>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 xml:space="preserve">For instance, in the submission </w:t>
      </w:r>
      <w:r w:rsidR="312D36E4" w:rsidRPr="4F533E7D">
        <w:rPr>
          <w:rFonts w:ascii="Times New Roman" w:hAnsi="Times New Roman" w:cs="Times New Roman"/>
          <w:sz w:val="20"/>
          <w:szCs w:val="20"/>
        </w:rPr>
        <w:t xml:space="preserve">for </w:t>
      </w:r>
      <w:r w:rsidRPr="4F533E7D">
        <w:rPr>
          <w:rFonts w:ascii="Times New Roman" w:hAnsi="Times New Roman" w:cs="Times New Roman"/>
          <w:sz w:val="20"/>
          <w:szCs w:val="20"/>
        </w:rPr>
        <w:t>prolonged release subcutaneous injection for the treatment of opioid dependence</w:t>
      </w:r>
      <w:r w:rsidR="008B3344">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Committee&lt;/Author&gt;&lt;Year&gt;2018&lt;/Year&gt;&lt;RecNum&gt;18691&lt;/RecNum&gt;&lt;DisplayText&gt;[17]&lt;/DisplayText&gt;&lt;record&gt;&lt;rec-number&gt;18691&lt;/rec-number&gt;&lt;foreign-keys&gt;&lt;key app="EN" db-id="5zttwaa2gstv57epr5z5zxv325varaa5e9rp" timestamp="1653877051"&gt;18691&lt;/key&gt;&lt;/foreign-keys&gt;&lt;ref-type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Committee&lt;/author&gt;&lt;/secondary-authors&gt;&lt;/contributors&gt;&lt;titles&gt;&lt;title&gt;Buprenorphine: Injection 8 mg in 0.16 mL pre-filled syringe, Injection 16 mg in 0.32 mL pre-filled syringe, Injection 24 mg in 0.48 mL pre-filled syringe, Injection 32 mg in 0.64 mL pre-filled syringe, Injection 64 mg in 0.18 mL pre-filled syringe, Injection 96 mg in 0.27 mL pre-filled syringe, Injection 128 mg in 0.36 mL pre-filled syringe; Buvidal®&lt;/title&gt;&lt;/titles&gt;&lt;dates&gt;&lt;year&gt;2018&lt;/year&gt;&lt;/dates&gt;&lt;publisher&gt;The Pharmaceutical Benefits Advisory Committee&lt;/publisher&gt;&lt;urls&gt;&lt;related-urls&gt;&lt;url&gt;https://www.pbs.gov.au/info/industry/listing/elements/pbac-meetings/psd/2018-11/Buprenorphine-psd-november-2018&lt;/url&gt;&lt;/related-urls&gt;&lt;/urls&gt;&lt;access-date&gt;30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[17]</w:t>
      </w:r>
      <w:r w:rsidRPr="4F533E7D">
        <w:rPr>
          <w:rFonts w:ascii="Times New Roman" w:hAnsi="Times New Roman" w:cs="Times New Roman"/>
          <w:sz w:val="20"/>
          <w:szCs w:val="20"/>
        </w:rPr>
        <w:fldChar w:fldCharType="end"/>
      </w:r>
      <w:r w:rsidR="00AF2466" w:rsidRPr="4F533E7D">
        <w:rPr>
          <w:rFonts w:ascii="Times New Roman" w:hAnsi="Times New Roman" w:cs="Times New Roman"/>
          <w:sz w:val="20"/>
          <w:szCs w:val="20"/>
        </w:rPr>
        <w:t>,</w:t>
      </w:r>
      <w:r w:rsidR="008B3344">
        <w:rPr>
          <w:rFonts w:ascii="Times New Roman" w:hAnsi="Times New Roman" w:cs="Times New Roman"/>
          <w:sz w:val="20"/>
          <w:szCs w:val="20"/>
        </w:rPr>
        <w:t xml:space="preserve"> </w:t>
      </w:r>
      <w:r w:rsidR="00AF2466" w:rsidRPr="4F533E7D">
        <w:rPr>
          <w:rFonts w:ascii="Times New Roman" w:hAnsi="Times New Roman" w:cs="Times New Roman"/>
          <w:sz w:val="20"/>
          <w:szCs w:val="20"/>
        </w:rPr>
        <w:t>i</w:t>
      </w:r>
      <w:r w:rsidRPr="4F533E7D">
        <w:rPr>
          <w:rFonts w:ascii="Times New Roman" w:hAnsi="Times New Roman" w:cs="Times New Roman"/>
          <w:sz w:val="20"/>
          <w:szCs w:val="20"/>
        </w:rPr>
        <w:t>ts economic evaluations of treatments for substance use disorders frequently consider</w:t>
      </w:r>
      <w:r w:rsidR="00AF2466" w:rsidRPr="4F533E7D">
        <w:rPr>
          <w:rFonts w:ascii="Times New Roman" w:hAnsi="Times New Roman" w:cs="Times New Roman"/>
          <w:sz w:val="20"/>
          <w:szCs w:val="20"/>
        </w:rPr>
        <w:t>ed</w:t>
      </w:r>
      <w:r w:rsidRPr="4F533E7D">
        <w:rPr>
          <w:rFonts w:ascii="Times New Roman" w:hAnsi="Times New Roman" w:cs="Times New Roman"/>
          <w:sz w:val="20"/>
          <w:szCs w:val="20"/>
        </w:rPr>
        <w:t xml:space="preserve"> the broader societal impact of treating these disorders. This broader impact generally include</w:t>
      </w:r>
      <w:r w:rsidR="00AF2466" w:rsidRPr="4F533E7D">
        <w:rPr>
          <w:rFonts w:ascii="Times New Roman" w:hAnsi="Times New Roman" w:cs="Times New Roman"/>
          <w:sz w:val="20"/>
          <w:szCs w:val="20"/>
        </w:rPr>
        <w:t>d</w:t>
      </w:r>
      <w:r w:rsidRPr="4F533E7D">
        <w:rPr>
          <w:rFonts w:ascii="Times New Roman" w:hAnsi="Times New Roman" w:cs="Times New Roman"/>
          <w:sz w:val="20"/>
          <w:szCs w:val="20"/>
        </w:rPr>
        <w:t xml:space="preserve"> factors such as reduced crime, legal system costs, costs of incarceration and other unproductive distortions in the economy. In a sensitivity analysis, the economic model included the acquisition cost of heroin as a proxy measure of this broader societal impact. When these costs ($186.40 per day applied </w:t>
      </w:r>
      <w:r w:rsidR="00ED1F67" w:rsidRPr="4F533E7D">
        <w:rPr>
          <w:rFonts w:ascii="Times New Roman" w:hAnsi="Times New Roman" w:cs="Times New Roman"/>
          <w:sz w:val="20"/>
          <w:szCs w:val="20"/>
        </w:rPr>
        <w:t xml:space="preserve">to </w:t>
      </w:r>
      <w:r w:rsidRPr="4F533E7D">
        <w:rPr>
          <w:rFonts w:ascii="Times New Roman" w:hAnsi="Times New Roman" w:cs="Times New Roman"/>
          <w:sz w:val="20"/>
          <w:szCs w:val="20"/>
        </w:rPr>
        <w:t xml:space="preserve">the proportion “using”) were included in the economic evaluation, prolonged release buprenorphine became dominant (lower costs and higher benefits) compared with sublingual buprenorphine/naloxone. This analysis </w:t>
      </w:r>
      <w:r w:rsidR="0DD3A3A9" w:rsidRPr="4F533E7D">
        <w:rPr>
          <w:rFonts w:ascii="Times New Roman" w:hAnsi="Times New Roman" w:cs="Times New Roman"/>
          <w:sz w:val="20"/>
          <w:szCs w:val="20"/>
        </w:rPr>
        <w:t xml:space="preserve">was </w:t>
      </w:r>
      <w:r w:rsidRPr="4F533E7D">
        <w:rPr>
          <w:rFonts w:ascii="Times New Roman" w:hAnsi="Times New Roman" w:cs="Times New Roman"/>
          <w:sz w:val="20"/>
          <w:szCs w:val="20"/>
        </w:rPr>
        <w:t xml:space="preserve">dependent upon the assumption that the cost of heroin is a relevant proxy for the societal costs of illicit opioid use. </w:t>
      </w:r>
      <w:r w:rsidR="007C41B2" w:rsidRPr="4F533E7D">
        <w:rPr>
          <w:rFonts w:ascii="Times New Roman" w:hAnsi="Times New Roman" w:cs="Times New Roman"/>
          <w:sz w:val="20"/>
          <w:szCs w:val="20"/>
        </w:rPr>
        <w:t xml:space="preserve">However, </w:t>
      </w:r>
      <w:r w:rsidRPr="4F533E7D">
        <w:rPr>
          <w:rFonts w:ascii="Times New Roman" w:hAnsi="Times New Roman" w:cs="Times New Roman"/>
          <w:sz w:val="20"/>
          <w:szCs w:val="20"/>
        </w:rPr>
        <w:t xml:space="preserve">the PBAC admitted the consideration of broader value but denied the proxy measurement. It mentioned that “The </w:t>
      </w:r>
      <w:r w:rsidR="00AA55A2" w:rsidRPr="4F533E7D">
        <w:rPr>
          <w:rFonts w:ascii="Times New Roman" w:hAnsi="Times New Roman" w:cs="Times New Roman"/>
          <w:sz w:val="20"/>
          <w:szCs w:val="20"/>
        </w:rPr>
        <w:t>Economics Sub Committee (</w:t>
      </w:r>
      <w:r w:rsidRPr="4F533E7D">
        <w:rPr>
          <w:rFonts w:ascii="Times New Roman" w:hAnsi="Times New Roman" w:cs="Times New Roman"/>
          <w:sz w:val="20"/>
          <w:szCs w:val="20"/>
        </w:rPr>
        <w:t>ESC</w:t>
      </w:r>
      <w:r w:rsidR="00AA55A2" w:rsidRPr="4F533E7D">
        <w:rPr>
          <w:rFonts w:ascii="Times New Roman" w:hAnsi="Times New Roman" w:cs="Times New Roman"/>
          <w:sz w:val="20"/>
          <w:szCs w:val="20"/>
        </w:rPr>
        <w:t>)</w:t>
      </w:r>
      <w:r w:rsidRPr="4F533E7D">
        <w:rPr>
          <w:rFonts w:ascii="Times New Roman" w:hAnsi="Times New Roman" w:cs="Times New Roman"/>
          <w:sz w:val="20"/>
          <w:szCs w:val="20"/>
        </w:rPr>
        <w:t xml:space="preserve"> considered that these costs were not reasonable, particularly as the demographics of opioid misuse are changing, with increasing misuse of prescription opioids in place of illicit opioids.”</w:t>
      </w:r>
    </w:p>
    <w:p w14:paraId="27DB20AB" w14:textId="27F82484" w:rsidR="008B51A1" w:rsidRPr="005668EA" w:rsidRDefault="005703C0" w:rsidP="006C41A0">
      <w:pPr>
        <w:widowControl/>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 xml:space="preserve">For instance, in the submission </w:t>
      </w:r>
      <w:r w:rsidR="5A62087E" w:rsidRPr="4F533E7D">
        <w:rPr>
          <w:rFonts w:ascii="Times New Roman" w:hAnsi="Times New Roman" w:cs="Times New Roman"/>
          <w:sz w:val="20"/>
          <w:szCs w:val="20"/>
        </w:rPr>
        <w:t xml:space="preserve">for </w:t>
      </w:r>
      <w:r w:rsidRPr="4F533E7D">
        <w:rPr>
          <w:rFonts w:ascii="Times New Roman" w:hAnsi="Times New Roman" w:cs="Times New Roman"/>
          <w:sz w:val="20"/>
          <w:szCs w:val="20"/>
        </w:rPr>
        <w:t xml:space="preserve">cannabidiol for </w:t>
      </w:r>
      <w:r w:rsidR="500F2AAB" w:rsidRPr="4F533E7D">
        <w:rPr>
          <w:rFonts w:ascii="Times New Roman" w:hAnsi="Times New Roman" w:cs="Times New Roman"/>
          <w:sz w:val="20"/>
          <w:szCs w:val="20"/>
        </w:rPr>
        <w:t xml:space="preserve">the </w:t>
      </w:r>
      <w:r w:rsidRPr="4F533E7D">
        <w:rPr>
          <w:rFonts w:ascii="Times New Roman" w:hAnsi="Times New Roman" w:cs="Times New Roman"/>
          <w:sz w:val="20"/>
          <w:szCs w:val="20"/>
        </w:rPr>
        <w:t>treatment of seizures associated with severe myoclonic epilepsy in infancy for patients two years of age and older</w:t>
      </w:r>
      <w:r w:rsidR="00AF2466" w:rsidRPr="4F533E7D">
        <w:rPr>
          <w:rFonts w:ascii="Times New Roman" w:hAnsi="Times New Roman" w:cs="Times New Roman"/>
          <w:sz w:val="20"/>
          <w:szCs w:val="20"/>
        </w:rPr>
        <w:t>, t</w:t>
      </w:r>
      <w:r w:rsidRPr="4F533E7D">
        <w:rPr>
          <w:rFonts w:ascii="Times New Roman" w:hAnsi="Times New Roman" w:cs="Times New Roman"/>
          <w:sz w:val="20"/>
          <w:szCs w:val="20"/>
        </w:rPr>
        <w:t xml:space="preserve">he sponsor </w:t>
      </w:r>
      <w:r w:rsidR="00DA2AFA" w:rsidRPr="4F533E7D">
        <w:rPr>
          <w:rFonts w:ascii="Times New Roman" w:hAnsi="Times New Roman" w:cs="Times New Roman"/>
          <w:sz w:val="20"/>
          <w:szCs w:val="20"/>
        </w:rPr>
        <w:t xml:space="preserve">included </w:t>
      </w:r>
      <w:r w:rsidRPr="4F533E7D">
        <w:rPr>
          <w:rFonts w:ascii="Times New Roman" w:hAnsi="Times New Roman" w:cs="Times New Roman"/>
          <w:sz w:val="20"/>
          <w:szCs w:val="20"/>
        </w:rPr>
        <w:t xml:space="preserve">carer utilities in the submission. </w:t>
      </w:r>
      <w:r w:rsidR="007C41B2" w:rsidRPr="4F533E7D">
        <w:rPr>
          <w:rFonts w:ascii="Times New Roman" w:hAnsi="Times New Roman" w:cs="Times New Roman"/>
          <w:sz w:val="20"/>
          <w:szCs w:val="20"/>
        </w:rPr>
        <w:t xml:space="preserve">However, </w:t>
      </w:r>
      <w:r w:rsidRPr="4F533E7D">
        <w:rPr>
          <w:rFonts w:ascii="Times New Roman" w:hAnsi="Times New Roman" w:cs="Times New Roman"/>
          <w:sz w:val="20"/>
          <w:szCs w:val="20"/>
        </w:rPr>
        <w:t xml:space="preserve">the PBAC noted </w:t>
      </w:r>
      <w:r w:rsidR="4C0AA5BF" w:rsidRPr="4F533E7D">
        <w:rPr>
          <w:rFonts w:ascii="Times New Roman" w:hAnsi="Times New Roman" w:cs="Times New Roman"/>
          <w:sz w:val="20"/>
          <w:szCs w:val="20"/>
        </w:rPr>
        <w:t>their</w:t>
      </w:r>
      <w:r w:rsidRPr="4F533E7D">
        <w:rPr>
          <w:rFonts w:ascii="Times New Roman" w:hAnsi="Times New Roman" w:cs="Times New Roman"/>
          <w:sz w:val="20"/>
          <w:szCs w:val="20"/>
        </w:rPr>
        <w:t xml:space="preserve"> preference for the use of a healthcare perspective and </w:t>
      </w:r>
      <w:r w:rsidRPr="4F533E7D">
        <w:rPr>
          <w:rFonts w:ascii="Times New Roman" w:hAnsi="Times New Roman" w:cs="Times New Roman"/>
          <w:sz w:val="20"/>
          <w:szCs w:val="20"/>
        </w:rPr>
        <w:lastRenderedPageBreak/>
        <w:t xml:space="preserve">outcomes beyond the treated patient population should only be included as supplementary analyses. </w:t>
      </w:r>
      <w:r w:rsidR="00AF2466" w:rsidRPr="4F533E7D">
        <w:rPr>
          <w:rFonts w:ascii="Times New Roman" w:hAnsi="Times New Roman" w:cs="Times New Roman"/>
          <w:sz w:val="20"/>
          <w:szCs w:val="20"/>
        </w:rPr>
        <w:t xml:space="preserve">The PBAC </w:t>
      </w:r>
      <w:r w:rsidRPr="4F533E7D">
        <w:rPr>
          <w:rFonts w:ascii="Times New Roman" w:hAnsi="Times New Roman" w:cs="Times New Roman"/>
          <w:sz w:val="20"/>
          <w:szCs w:val="20"/>
        </w:rPr>
        <w:t>considered the submission should exclude the carers’ utility in the base case.</w:t>
      </w:r>
    </w:p>
    <w:p w14:paraId="0B6D7B7B" w14:textId="6D572FE2" w:rsidR="4F533E7D" w:rsidRDefault="4F533E7D" w:rsidP="00C15362">
      <w:pPr>
        <w:widowControl/>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5749"/>
      </w:tblGrid>
      <w:tr w:rsidR="005703C0" w:rsidRPr="005668EA" w14:paraId="3D905457" w14:textId="77777777" w:rsidTr="4F533E7D">
        <w:tc>
          <w:tcPr>
            <w:tcW w:w="2547" w:type="dxa"/>
          </w:tcPr>
          <w:p w14:paraId="5CF0F7A6"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749" w:type="dxa"/>
          </w:tcPr>
          <w:p w14:paraId="23598D59"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Was the perspective performed in the submissions wrong?</w:t>
            </w:r>
          </w:p>
        </w:tc>
      </w:tr>
      <w:tr w:rsidR="005703C0" w:rsidRPr="005668EA" w14:paraId="068E9118" w14:textId="77777777" w:rsidTr="4F533E7D">
        <w:tc>
          <w:tcPr>
            <w:tcW w:w="2547" w:type="dxa"/>
          </w:tcPr>
          <w:p w14:paraId="6500729B"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749" w:type="dxa"/>
          </w:tcPr>
          <w:p w14:paraId="5D399ED1" w14:textId="36E63A6B" w:rsidR="005703C0" w:rsidRPr="005668EA" w:rsidRDefault="00AF2466" w:rsidP="00C15362">
            <w:pPr>
              <w:pStyle w:val="EndNoteBibliography"/>
              <w:adjustRightInd w:val="0"/>
              <w:snapToGrid w:val="0"/>
              <w:spacing w:line="360" w:lineRule="auto"/>
              <w:rPr>
                <w:kern w:val="0"/>
                <w:szCs w:val="20"/>
              </w:rPr>
            </w:pPr>
            <w:r w:rsidRPr="007B1B07">
              <w:rPr>
                <w:kern w:val="0"/>
                <w:szCs w:val="20"/>
              </w:rPr>
              <w:t>0 – yes, 1 – no</w:t>
            </w:r>
          </w:p>
        </w:tc>
      </w:tr>
    </w:tbl>
    <w:p w14:paraId="2660FF0A" w14:textId="605F1205" w:rsidR="005703C0" w:rsidRPr="005668EA" w:rsidRDefault="005703C0" w:rsidP="00C33017">
      <w:pPr>
        <w:pStyle w:val="Heading3"/>
        <w:adjustRightInd w:val="0"/>
        <w:snapToGrid w:val="0"/>
        <w:spacing w:before="480" w:after="120" w:line="360" w:lineRule="auto"/>
        <w:rPr>
          <w:rFonts w:ascii="Times New Roman" w:hAnsi="Times New Roman" w:cs="Times New Roman"/>
          <w:sz w:val="20"/>
          <w:szCs w:val="20"/>
        </w:rPr>
      </w:pPr>
      <w:r w:rsidRPr="005668EA">
        <w:rPr>
          <w:rFonts w:ascii="Times New Roman" w:hAnsi="Times New Roman" w:cs="Times New Roman"/>
          <w:sz w:val="20"/>
          <w:szCs w:val="20"/>
        </w:rPr>
        <w:t xml:space="preserve">1.2 </w:t>
      </w:r>
      <w:r w:rsidR="00230578" w:rsidRPr="005668EA">
        <w:rPr>
          <w:rFonts w:ascii="Times New Roman" w:hAnsi="Times New Roman" w:cs="Times New Roman"/>
          <w:sz w:val="20"/>
          <w:szCs w:val="20"/>
        </w:rPr>
        <w:t>Parameterisable</w:t>
      </w:r>
      <w:r w:rsidRPr="005668EA">
        <w:rPr>
          <w:rFonts w:ascii="Times New Roman" w:hAnsi="Times New Roman" w:cs="Times New Roman"/>
          <w:sz w:val="20"/>
          <w:szCs w:val="20"/>
        </w:rPr>
        <w:t xml:space="preserve"> methodological uncertainty </w:t>
      </w:r>
    </w:p>
    <w:p w14:paraId="7224FABF" w14:textId="4DE8B3C1" w:rsidR="005703C0" w:rsidRPr="003039D5" w:rsidRDefault="005703C0" w:rsidP="003039D5">
      <w:pPr>
        <w:pStyle w:val="Heading4"/>
        <w:adjustRightInd w:val="0"/>
        <w:snapToGrid w:val="0"/>
        <w:spacing w:before="120" w:after="120" w:line="360" w:lineRule="auto"/>
        <w:rPr>
          <w:rFonts w:ascii="Times New Roman" w:hAnsi="Times New Roman" w:cs="Times New Roman"/>
          <w:sz w:val="20"/>
          <w:szCs w:val="20"/>
        </w:rPr>
      </w:pPr>
      <w:r w:rsidRPr="003039D5">
        <w:rPr>
          <w:rFonts w:ascii="Times New Roman" w:eastAsiaTheme="minorEastAsia" w:hAnsi="Times New Roman" w:cs="Times New Roman"/>
          <w:sz w:val="20"/>
          <w:szCs w:val="20"/>
        </w:rPr>
        <w:t>1.2.1 Means of valuing health gains</w:t>
      </w:r>
    </w:p>
    <w:p w14:paraId="773E41DB" w14:textId="30C7F08F" w:rsidR="000F10D4" w:rsidRPr="000F10D4" w:rsidRDefault="005703C0" w:rsidP="000F10D4">
      <w:pPr>
        <w:rPr>
          <w:rFonts w:ascii="Times New Roman" w:hAnsi="Times New Roman" w:cs="Times New Roman"/>
          <w:sz w:val="20"/>
          <w:szCs w:val="20"/>
        </w:rPr>
      </w:pPr>
      <w:bookmarkStart w:id="16" w:name="_Hlk159179799"/>
      <w:r w:rsidRPr="000F10D4">
        <w:rPr>
          <w:rFonts w:ascii="Times New Roman" w:hAnsi="Times New Roman" w:cs="Times New Roman"/>
          <w:sz w:val="20"/>
          <w:szCs w:val="20"/>
        </w:rPr>
        <w:t xml:space="preserve">QALYs </w:t>
      </w:r>
      <w:r w:rsidR="007C41B2" w:rsidRPr="000F10D4">
        <w:rPr>
          <w:rFonts w:ascii="Times New Roman" w:hAnsi="Times New Roman" w:cs="Times New Roman"/>
          <w:sz w:val="20"/>
          <w:szCs w:val="20"/>
        </w:rPr>
        <w:t xml:space="preserve">are </w:t>
      </w:r>
      <w:r w:rsidRPr="000F10D4">
        <w:rPr>
          <w:rFonts w:ascii="Times New Roman" w:hAnsi="Times New Roman" w:cs="Times New Roman"/>
          <w:sz w:val="20"/>
          <w:szCs w:val="20"/>
        </w:rPr>
        <w:t xml:space="preserve">used to measure the health gains of patients in terms of different combinations of quality of life and duration. The method assigns a utility between zero and one for each health state, where </w:t>
      </w:r>
      <w:r w:rsidR="00AF2466" w:rsidRPr="000F10D4">
        <w:rPr>
          <w:rFonts w:ascii="Times New Roman" w:hAnsi="Times New Roman" w:cs="Times New Roman"/>
          <w:sz w:val="20"/>
          <w:szCs w:val="20"/>
        </w:rPr>
        <w:t xml:space="preserve">zero </w:t>
      </w:r>
      <w:r w:rsidRPr="000F10D4">
        <w:rPr>
          <w:rFonts w:ascii="Times New Roman" w:hAnsi="Times New Roman" w:cs="Times New Roman"/>
          <w:sz w:val="20"/>
          <w:szCs w:val="20"/>
        </w:rPr>
        <w:t xml:space="preserve">represents death and one represents perfect health. This utility is then multiplied by the time spent in the </w:t>
      </w:r>
      <w:r w:rsidR="009C58A0" w:rsidRPr="000F10D4">
        <w:rPr>
          <w:rFonts w:ascii="Times New Roman" w:hAnsi="Times New Roman" w:cs="Times New Roman"/>
          <w:sz w:val="20"/>
          <w:szCs w:val="20"/>
        </w:rPr>
        <w:t>specific</w:t>
      </w:r>
      <w:r w:rsidRPr="000F10D4">
        <w:rPr>
          <w:rFonts w:ascii="Times New Roman" w:hAnsi="Times New Roman" w:cs="Times New Roman"/>
          <w:sz w:val="20"/>
          <w:szCs w:val="20"/>
        </w:rPr>
        <w:t xml:space="preserve"> health state to calculate QALYs. Various techniques such as standard gambl</w:t>
      </w:r>
      <w:r w:rsidR="00623070" w:rsidRPr="000F10D4">
        <w:rPr>
          <w:rFonts w:ascii="Times New Roman" w:hAnsi="Times New Roman" w:cs="Times New Roman"/>
          <w:sz w:val="20"/>
          <w:szCs w:val="20"/>
        </w:rPr>
        <w:t>ing</w:t>
      </w:r>
      <w:r w:rsidRPr="000F10D4">
        <w:rPr>
          <w:rFonts w:ascii="Times New Roman" w:hAnsi="Times New Roman" w:cs="Times New Roman"/>
          <w:sz w:val="20"/>
          <w:szCs w:val="20"/>
        </w:rPr>
        <w:t>, time trade-off</w:t>
      </w:r>
      <w:r w:rsidR="007C41B2" w:rsidRPr="000F10D4">
        <w:rPr>
          <w:rFonts w:ascii="Times New Roman" w:hAnsi="Times New Roman" w:cs="Times New Roman"/>
          <w:sz w:val="20"/>
          <w:szCs w:val="20"/>
        </w:rPr>
        <w:t>s</w:t>
      </w:r>
      <w:r w:rsidRPr="000F10D4">
        <w:rPr>
          <w:rFonts w:ascii="Times New Roman" w:hAnsi="Times New Roman" w:cs="Times New Roman"/>
          <w:sz w:val="20"/>
          <w:szCs w:val="20"/>
        </w:rPr>
        <w:t xml:space="preserve">, and rating scales can be used to elicit the utility value. The submissions should justify the QALYs used to reflect the comparative clinical performance of the treatment. A submission was considered to have methodological uncertainty if </w:t>
      </w:r>
      <w:r w:rsidR="00AF2466" w:rsidRPr="000F10D4">
        <w:rPr>
          <w:rFonts w:ascii="Times New Roman" w:hAnsi="Times New Roman" w:cs="Times New Roman"/>
          <w:sz w:val="20"/>
          <w:szCs w:val="20"/>
        </w:rPr>
        <w:t xml:space="preserve">the </w:t>
      </w:r>
      <w:r w:rsidR="009C58A0" w:rsidRPr="000F10D4">
        <w:rPr>
          <w:rFonts w:ascii="Times New Roman" w:hAnsi="Times New Roman" w:cs="Times New Roman"/>
          <w:sz w:val="20"/>
          <w:szCs w:val="20"/>
        </w:rPr>
        <w:t xml:space="preserve">PBAC judged </w:t>
      </w:r>
      <w:r w:rsidRPr="000F10D4">
        <w:rPr>
          <w:rFonts w:ascii="Times New Roman" w:hAnsi="Times New Roman" w:cs="Times New Roman"/>
          <w:sz w:val="20"/>
          <w:szCs w:val="20"/>
        </w:rPr>
        <w:t>the techniques used in the submission to have validity or reliability issues in at least one of the following areas</w:t>
      </w:r>
      <w:r w:rsidR="002635AE" w:rsidRPr="000F10D4">
        <w:rPr>
          <w:rFonts w:ascii="Times New Roman" w:hAnsi="Times New Roman" w:cs="Times New Roman"/>
          <w:sz w:val="20"/>
          <w:szCs w:val="20"/>
        </w:rPr>
        <w:t xml:space="preserve">. </w:t>
      </w:r>
      <w:r w:rsidR="005567DC">
        <w:rPr>
          <w:rFonts w:ascii="Times New Roman" w:hAnsi="Times New Roman" w:cs="Times New Roman" w:hint="eastAsia"/>
          <w:sz w:val="20"/>
          <w:szCs w:val="20"/>
        </w:rPr>
        <w:t xml:space="preserve">When the PBAC did not express their views on these issues, we assume they did not consider the means of valuing health gains having methodological uncertainty. </w:t>
      </w:r>
      <w:r w:rsidR="00377B4F" w:rsidRPr="000F10D4">
        <w:rPr>
          <w:rFonts w:ascii="Times New Roman" w:hAnsi="Times New Roman" w:cs="Times New Roman"/>
          <w:sz w:val="20"/>
          <w:szCs w:val="20"/>
        </w:rPr>
        <w:t xml:space="preserve">It is noteworthy that </w:t>
      </w:r>
      <w:r w:rsidR="005A20E3" w:rsidRPr="000F10D4">
        <w:rPr>
          <w:rFonts w:ascii="Times New Roman" w:hAnsi="Times New Roman" w:cs="Times New Roman"/>
          <w:sz w:val="20"/>
          <w:szCs w:val="20"/>
        </w:rPr>
        <w:t xml:space="preserve">the reviewers only need to focus on whether the utility was trial-based or </w:t>
      </w:r>
      <w:r w:rsidR="00F22C83">
        <w:rPr>
          <w:rFonts w:ascii="Times New Roman" w:hAnsi="Times New Roman" w:cs="Times New Roman"/>
          <w:sz w:val="20"/>
          <w:szCs w:val="20"/>
        </w:rPr>
        <w:t xml:space="preserve">whether </w:t>
      </w:r>
      <w:r w:rsidR="005A20E3" w:rsidRPr="000F10D4">
        <w:rPr>
          <w:rFonts w:ascii="Times New Roman" w:hAnsi="Times New Roman" w:cs="Times New Roman"/>
          <w:sz w:val="20"/>
          <w:szCs w:val="20"/>
        </w:rPr>
        <w:t xml:space="preserve">the PBAC expressed concerns </w:t>
      </w:r>
      <w:r w:rsidR="00F22C83">
        <w:rPr>
          <w:rFonts w:ascii="Times New Roman" w:hAnsi="Times New Roman" w:cs="Times New Roman"/>
          <w:sz w:val="20"/>
          <w:szCs w:val="20"/>
        </w:rPr>
        <w:t>about</w:t>
      </w:r>
      <w:r w:rsidR="005A20E3" w:rsidRPr="000F10D4">
        <w:rPr>
          <w:rFonts w:ascii="Times New Roman" w:hAnsi="Times New Roman" w:cs="Times New Roman"/>
          <w:sz w:val="20"/>
          <w:szCs w:val="20"/>
        </w:rPr>
        <w:t xml:space="preserve"> the applicability of the scoring algorithm of the instruments used to estimate utilities in the Australian population. </w:t>
      </w:r>
      <w:r w:rsidR="00062318" w:rsidRPr="000F10D4">
        <w:rPr>
          <w:rFonts w:ascii="Times New Roman" w:hAnsi="Times New Roman" w:cs="Times New Roman"/>
          <w:sz w:val="20"/>
          <w:szCs w:val="20"/>
        </w:rPr>
        <w:t>The remaining uncertainty around utility was classified into parameter uncertainty.</w:t>
      </w:r>
      <w:bookmarkEnd w:id="16"/>
    </w:p>
    <w:p w14:paraId="16379978" w14:textId="18DAB392" w:rsidR="005703C0" w:rsidRPr="000F10D4" w:rsidRDefault="00EB431A" w:rsidP="00C33017">
      <w:pPr>
        <w:pStyle w:val="Heading5"/>
        <w:adjustRightInd w:val="0"/>
        <w:snapToGrid w:val="0"/>
        <w:spacing w:before="480" w:after="120" w:line="360" w:lineRule="auto"/>
        <w:rPr>
          <w:rFonts w:ascii="Times New Roman" w:hAnsi="Times New Roman" w:cs="Times New Roman"/>
          <w:sz w:val="20"/>
          <w:szCs w:val="20"/>
        </w:rPr>
      </w:pPr>
      <w:r w:rsidRPr="000F10D4">
        <w:rPr>
          <w:rFonts w:ascii="Times New Roman" w:hAnsi="Times New Roman" w:cs="Times New Roman"/>
          <w:sz w:val="20"/>
          <w:szCs w:val="20"/>
        </w:rPr>
        <w:t>1.2.1.1</w:t>
      </w:r>
      <w:r w:rsidR="005703C0" w:rsidRPr="000F10D4">
        <w:rPr>
          <w:rFonts w:ascii="Times New Roman" w:hAnsi="Times New Roman" w:cs="Times New Roman"/>
          <w:sz w:val="20"/>
          <w:szCs w:val="20"/>
        </w:rPr>
        <w:t xml:space="preserve"> The scoring algorithm of the instruments used to estimate utility weights was not applicable to </w:t>
      </w:r>
      <w:r w:rsidR="00623070" w:rsidRPr="000F10D4">
        <w:rPr>
          <w:rFonts w:ascii="Times New Roman" w:hAnsi="Times New Roman" w:cs="Times New Roman"/>
          <w:sz w:val="20"/>
          <w:szCs w:val="20"/>
        </w:rPr>
        <w:t xml:space="preserve">the </w:t>
      </w:r>
      <w:r w:rsidR="005703C0" w:rsidRPr="000F10D4">
        <w:rPr>
          <w:rFonts w:ascii="Times New Roman" w:hAnsi="Times New Roman" w:cs="Times New Roman"/>
          <w:sz w:val="20"/>
          <w:szCs w:val="20"/>
        </w:rPr>
        <w:t>Australia</w:t>
      </w:r>
      <w:r w:rsidR="00623070" w:rsidRPr="000F10D4">
        <w:rPr>
          <w:rFonts w:ascii="Times New Roman" w:hAnsi="Times New Roman" w:cs="Times New Roman"/>
          <w:sz w:val="20"/>
          <w:szCs w:val="20"/>
        </w:rPr>
        <w:t>n</w:t>
      </w:r>
      <w:r w:rsidR="005703C0" w:rsidRPr="000F10D4">
        <w:rPr>
          <w:rFonts w:ascii="Times New Roman" w:hAnsi="Times New Roman" w:cs="Times New Roman"/>
          <w:sz w:val="20"/>
          <w:szCs w:val="20"/>
        </w:rPr>
        <w:t xml:space="preserve"> population</w:t>
      </w:r>
    </w:p>
    <w:p w14:paraId="6E075D2B" w14:textId="4ED8EB17" w:rsidR="005703C0" w:rsidRPr="005668EA" w:rsidRDefault="005703C0" w:rsidP="006C41A0">
      <w:pPr>
        <w:widowControl/>
        <w:adjustRightInd w:val="0"/>
        <w:snapToGrid w:val="0"/>
        <w:spacing w:after="120" w:line="360" w:lineRule="auto"/>
        <w:rPr>
          <w:rFonts w:ascii="Times New Roman" w:hAnsi="Times New Roman" w:cs="Times New Roman"/>
          <w:sz w:val="20"/>
          <w:szCs w:val="20"/>
        </w:rPr>
      </w:pPr>
      <w:bookmarkStart w:id="17" w:name="_Hlk159179967"/>
      <w:r w:rsidRPr="4F533E7D">
        <w:rPr>
          <w:rFonts w:ascii="Times New Roman" w:hAnsi="Times New Roman" w:cs="Times New Roman"/>
          <w:sz w:val="20"/>
          <w:szCs w:val="20"/>
        </w:rPr>
        <w:t xml:space="preserve">For instance, in the submission </w:t>
      </w:r>
      <w:r w:rsidR="50E9F17F" w:rsidRPr="4F533E7D">
        <w:rPr>
          <w:rFonts w:ascii="Times New Roman" w:hAnsi="Times New Roman" w:cs="Times New Roman"/>
          <w:sz w:val="20"/>
          <w:szCs w:val="20"/>
        </w:rPr>
        <w:t xml:space="preserve">for </w:t>
      </w:r>
      <w:r w:rsidRPr="4F533E7D">
        <w:rPr>
          <w:rFonts w:ascii="Times New Roman" w:hAnsi="Times New Roman" w:cs="Times New Roman"/>
          <w:sz w:val="20"/>
          <w:szCs w:val="20"/>
        </w:rPr>
        <w:t xml:space="preserve">fulvestrant for </w:t>
      </w:r>
      <w:r w:rsidR="00623070" w:rsidRPr="4F533E7D">
        <w:rPr>
          <w:rFonts w:ascii="Times New Roman" w:hAnsi="Times New Roman" w:cs="Times New Roman"/>
          <w:sz w:val="20"/>
          <w:szCs w:val="20"/>
        </w:rPr>
        <w:t xml:space="preserve">the </w:t>
      </w:r>
      <w:r w:rsidRPr="4F533E7D">
        <w:rPr>
          <w:rFonts w:ascii="Times New Roman" w:hAnsi="Times New Roman" w:cs="Times New Roman"/>
          <w:sz w:val="20"/>
          <w:szCs w:val="20"/>
        </w:rPr>
        <w:t xml:space="preserve">treatment of advanced or metastatic breast cancer, the PBAC judged it was inappropriate </w:t>
      </w:r>
      <w:r w:rsidR="64062333" w:rsidRPr="4F533E7D">
        <w:rPr>
          <w:rFonts w:ascii="Times New Roman" w:hAnsi="Times New Roman" w:cs="Times New Roman"/>
          <w:sz w:val="20"/>
          <w:szCs w:val="20"/>
        </w:rPr>
        <w:t xml:space="preserve">not </w:t>
      </w:r>
      <w:r w:rsidR="00F22C83">
        <w:rPr>
          <w:rFonts w:ascii="Times New Roman" w:hAnsi="Times New Roman" w:cs="Times New Roman"/>
          <w:sz w:val="20"/>
          <w:szCs w:val="20"/>
        </w:rPr>
        <w:t xml:space="preserve">to </w:t>
      </w:r>
      <w:r w:rsidR="64062333" w:rsidRPr="4F533E7D">
        <w:rPr>
          <w:rFonts w:ascii="Times New Roman" w:hAnsi="Times New Roman" w:cs="Times New Roman"/>
          <w:sz w:val="20"/>
          <w:szCs w:val="20"/>
        </w:rPr>
        <w:t xml:space="preserve">use </w:t>
      </w:r>
      <w:r w:rsidRPr="4F533E7D">
        <w:rPr>
          <w:rFonts w:ascii="Times New Roman" w:hAnsi="Times New Roman" w:cs="Times New Roman"/>
          <w:sz w:val="20"/>
          <w:szCs w:val="20"/>
        </w:rPr>
        <w:t xml:space="preserve">the Australian scoring algorithm, which </w:t>
      </w:r>
      <w:r w:rsidR="00AE7D61" w:rsidRPr="4F533E7D">
        <w:rPr>
          <w:rFonts w:ascii="Times New Roman" w:hAnsi="Times New Roman" w:cs="Times New Roman"/>
          <w:sz w:val="20"/>
          <w:szCs w:val="20"/>
        </w:rPr>
        <w:t xml:space="preserve">was </w:t>
      </w:r>
      <w:r w:rsidRPr="4F533E7D">
        <w:rPr>
          <w:rFonts w:ascii="Times New Roman" w:hAnsi="Times New Roman" w:cs="Times New Roman"/>
          <w:sz w:val="20"/>
          <w:szCs w:val="20"/>
        </w:rPr>
        <w:t xml:space="preserve">also available for </w:t>
      </w:r>
      <w:r w:rsidR="004127E1" w:rsidRPr="4F533E7D">
        <w:rPr>
          <w:rFonts w:ascii="Times New Roman" w:hAnsi="Times New Roman" w:cs="Times New Roman"/>
          <w:sz w:val="20"/>
          <w:szCs w:val="20"/>
        </w:rPr>
        <w:t>EQ</w:t>
      </w:r>
      <w:r w:rsidR="00E07176" w:rsidRPr="4F533E7D">
        <w:rPr>
          <w:rFonts w:ascii="Times New Roman" w:hAnsi="Times New Roman" w:cs="Times New Roman"/>
          <w:sz w:val="20"/>
          <w:szCs w:val="20"/>
        </w:rPr>
        <w:t>-5 d</w:t>
      </w:r>
      <w:r w:rsidRPr="4F533E7D">
        <w:rPr>
          <w:rFonts w:ascii="Times New Roman" w:hAnsi="Times New Roman" w:cs="Times New Roman"/>
          <w:sz w:val="20"/>
          <w:szCs w:val="20"/>
        </w:rPr>
        <w:t>imensions 3 Level Version</w:t>
      </w:r>
      <w:r w:rsidR="0000742B"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Committee&lt;/Author&gt;&lt;Year&gt;2020&lt;/Year&gt;&lt;RecNum&gt;19275&lt;/RecNum&gt;&lt;DisplayText&gt;[18]&lt;/DisplayText&gt;&lt;record&gt;&lt;rec-number&gt;19275&lt;/rec-number&gt;&lt;foreign-keys&gt;&lt;key app="EN" db-id="5zttwaa2gstv57epr5z5zxv325varaa5e9rp" timestamp="1681373808"&gt;19275&lt;/key&gt;&lt;/foreign-keys&gt;&lt;ref-type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Committee&lt;/author&gt;&lt;/secondary-authors&gt;&lt;/contributors&gt;&lt;titles&gt;&lt;title&gt;Fulvestrant: Injection 250 mg in 5 mL pre-filled syringe; Faslodex®&lt;/title&gt;&lt;/titles&gt;&lt;dates&gt;&lt;year&gt;2020&lt;/year&gt;&lt;/dates&gt;&lt;urls&gt;&lt;related-urls&gt;&lt;url&gt;https://www.pbs.gov.au/info/industry/listing/elements/pbac-meetings/psd/2020-07/fulvestrant-injection-250-mg-in-5-ml-pre-filled-syringe&lt;/url&gt;&lt;/related-urls&gt;&lt;/urls&gt;&lt;access-date&gt;15 Apr 2021&lt;/access-date&gt;&lt;/record&gt;&lt;/Cite&gt;&lt;/EndNote&gt;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[18]</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w:t>
      </w:r>
    </w:p>
    <w:bookmarkEnd w:id="17"/>
    <w:p w14:paraId="2B8E2CE3" w14:textId="7DB59DDE" w:rsidR="005703C0" w:rsidRPr="00062318" w:rsidRDefault="00EB431A" w:rsidP="00C33017">
      <w:pPr>
        <w:pStyle w:val="Heading5"/>
        <w:adjustRightInd w:val="0"/>
        <w:snapToGrid w:val="0"/>
        <w:spacing w:before="480" w:after="120" w:line="360" w:lineRule="auto"/>
        <w:rPr>
          <w:rFonts w:ascii="Times New Roman" w:hAnsi="Times New Roman" w:cs="Times New Roman"/>
          <w:sz w:val="20"/>
          <w:szCs w:val="20"/>
        </w:rPr>
      </w:pPr>
      <w:r w:rsidRPr="00B51ED4">
        <w:rPr>
          <w:rFonts w:ascii="Times New Roman" w:hAnsi="Times New Roman" w:cs="Times New Roman"/>
          <w:sz w:val="20"/>
          <w:szCs w:val="20"/>
        </w:rPr>
        <w:t xml:space="preserve">1.2.1.2 </w:t>
      </w:r>
      <w:r w:rsidR="005703C0" w:rsidRPr="00B51ED4">
        <w:rPr>
          <w:rFonts w:ascii="Times New Roman" w:hAnsi="Times New Roman" w:cs="Times New Roman"/>
          <w:sz w:val="20"/>
          <w:szCs w:val="20"/>
        </w:rPr>
        <w:t xml:space="preserve">The utility value estimation was not </w:t>
      </w:r>
      <w:proofErr w:type="gramStart"/>
      <w:r w:rsidR="00684F61" w:rsidRPr="00B51ED4">
        <w:rPr>
          <w:rFonts w:ascii="Times New Roman" w:hAnsi="Times New Roman" w:cs="Times New Roman"/>
          <w:sz w:val="20"/>
          <w:szCs w:val="20"/>
        </w:rPr>
        <w:t>trial-</w:t>
      </w:r>
      <w:r w:rsidR="001E5C07" w:rsidRPr="00B51ED4">
        <w:rPr>
          <w:rFonts w:ascii="Times New Roman" w:hAnsi="Times New Roman" w:cs="Times New Roman"/>
          <w:sz w:val="20"/>
          <w:szCs w:val="20"/>
        </w:rPr>
        <w:t>based</w:t>
      </w:r>
      <w:proofErr w:type="gramEnd"/>
      <w:r w:rsidR="005703C0" w:rsidRPr="00B51ED4">
        <w:rPr>
          <w:rFonts w:ascii="Times New Roman" w:hAnsi="Times New Roman" w:cs="Times New Roman"/>
          <w:sz w:val="20"/>
          <w:szCs w:val="20"/>
        </w:rPr>
        <w:t>.</w:t>
      </w:r>
    </w:p>
    <w:p w14:paraId="085CDA75" w14:textId="11F3E8C1" w:rsidR="005703C0" w:rsidRPr="005668EA" w:rsidRDefault="005703C0" w:rsidP="006C41A0">
      <w:pPr>
        <w:widowControl/>
        <w:adjustRightInd w:val="0"/>
        <w:snapToGrid w:val="0"/>
        <w:spacing w:after="120" w:line="360" w:lineRule="auto"/>
        <w:rPr>
          <w:rFonts w:ascii="Times New Roman" w:hAnsi="Times New Roman" w:cs="Times New Roman"/>
          <w:sz w:val="20"/>
          <w:szCs w:val="20"/>
        </w:rPr>
      </w:pPr>
      <w:bookmarkStart w:id="18" w:name="_Hlk159180282"/>
      <w:r w:rsidRPr="4F533E7D">
        <w:rPr>
          <w:rFonts w:ascii="Times New Roman" w:hAnsi="Times New Roman" w:cs="Times New Roman"/>
          <w:sz w:val="20"/>
          <w:szCs w:val="20"/>
        </w:rPr>
        <w:t xml:space="preserve">For instance, in the submission </w:t>
      </w:r>
      <w:r w:rsidR="1C447201" w:rsidRPr="4F533E7D">
        <w:rPr>
          <w:rFonts w:ascii="Times New Roman" w:hAnsi="Times New Roman" w:cs="Times New Roman"/>
          <w:sz w:val="20"/>
          <w:szCs w:val="20"/>
        </w:rPr>
        <w:t xml:space="preserve">for </w:t>
      </w:r>
      <w:r w:rsidR="00B32892">
        <w:rPr>
          <w:rFonts w:ascii="Times New Roman" w:hAnsi="Times New Roman" w:cs="Times New Roman"/>
          <w:sz w:val="20"/>
          <w:szCs w:val="20"/>
        </w:rPr>
        <w:t>apremilast</w:t>
      </w:r>
      <w:r w:rsidR="00B32892" w:rsidRPr="00B32892">
        <w:rPr>
          <w:rFonts w:ascii="Times New Roman" w:hAnsi="Times New Roman" w:cs="Times New Roman"/>
          <w:sz w:val="20"/>
          <w:szCs w:val="20"/>
        </w:rPr>
        <w:t xml:space="preserve"> </w:t>
      </w:r>
      <w:r w:rsidRPr="4F533E7D">
        <w:rPr>
          <w:rFonts w:ascii="Times New Roman" w:hAnsi="Times New Roman" w:cs="Times New Roman"/>
          <w:sz w:val="20"/>
          <w:szCs w:val="20"/>
        </w:rPr>
        <w:t>for</w:t>
      </w:r>
      <w:r w:rsidR="00F40352">
        <w:rPr>
          <w:rFonts w:ascii="Times New Roman" w:hAnsi="Times New Roman" w:cs="Times New Roman"/>
          <w:sz w:val="20"/>
          <w:szCs w:val="20"/>
        </w:rPr>
        <w:t xml:space="preserve"> </w:t>
      </w:r>
      <w:r w:rsidR="00B32892" w:rsidRPr="00B32892">
        <w:rPr>
          <w:rFonts w:ascii="Times New Roman" w:hAnsi="Times New Roman" w:cs="Times New Roman"/>
          <w:sz w:val="20"/>
          <w:szCs w:val="20"/>
        </w:rPr>
        <w:t>the treatment of severe active psoriatic arthritis</w:t>
      </w:r>
      <w:r w:rsidR="00B32892" w:rsidRPr="00B32892" w:rsidDel="00B32892">
        <w:rPr>
          <w:rFonts w:ascii="Times New Roman" w:hAnsi="Times New Roman" w:cs="Times New Roman"/>
          <w:sz w:val="20"/>
          <w:szCs w:val="20"/>
        </w:rPr>
        <w:t xml:space="preserve"> </w:t>
      </w:r>
      <w:r w:rsidR="00B32892">
        <w:rPr>
          <w:rFonts w:ascii="Times New Roman" w:hAnsi="Times New Roman" w:cs="Times New Roman"/>
          <w:sz w:val="20"/>
          <w:szCs w:val="20"/>
        </w:rPr>
        <w:t xml:space="preserve">the utility used in the model was from </w:t>
      </w:r>
      <w:r w:rsidR="00F22C83">
        <w:rPr>
          <w:rFonts w:ascii="Times New Roman" w:hAnsi="Times New Roman" w:cs="Times New Roman"/>
          <w:sz w:val="20"/>
          <w:szCs w:val="20"/>
        </w:rPr>
        <w:t xml:space="preserve">a </w:t>
      </w:r>
      <w:r w:rsidR="00B32892">
        <w:rPr>
          <w:rFonts w:ascii="Times New Roman" w:hAnsi="Times New Roman" w:cs="Times New Roman"/>
          <w:sz w:val="20"/>
          <w:szCs w:val="20"/>
        </w:rPr>
        <w:t>pivotal clinical trial (</w:t>
      </w:r>
      <w:r w:rsidR="00B32892" w:rsidRPr="00B32892">
        <w:rPr>
          <w:rFonts w:ascii="Times New Roman" w:hAnsi="Times New Roman" w:cs="Times New Roman"/>
          <w:sz w:val="20"/>
          <w:szCs w:val="20"/>
        </w:rPr>
        <w:t>PALACE 1-3</w:t>
      </w:r>
      <w:r w:rsidR="00B32892">
        <w:rPr>
          <w:rFonts w:ascii="Times New Roman" w:hAnsi="Times New Roman" w:cs="Times New Roman"/>
          <w:sz w:val="20"/>
          <w:szCs w:val="20"/>
        </w:rPr>
        <w:t>)</w:t>
      </w:r>
      <w:bookmarkEnd w:id="18"/>
      <w:r w:rsidRPr="4F533E7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2547"/>
        <w:gridCol w:w="5749"/>
      </w:tblGrid>
      <w:tr w:rsidR="005703C0" w:rsidRPr="005668EA" w14:paraId="276D0F9B" w14:textId="77777777" w:rsidTr="4F533E7D">
        <w:tc>
          <w:tcPr>
            <w:tcW w:w="2547" w:type="dxa"/>
          </w:tcPr>
          <w:p w14:paraId="6D3573BF"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749" w:type="dxa"/>
          </w:tcPr>
          <w:p w14:paraId="36A65DE6" w14:textId="33660A8B"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Were the methods to measure utility judged </w:t>
            </w:r>
            <w:r w:rsidR="007C41B2">
              <w:rPr>
                <w:kern w:val="0"/>
                <w:szCs w:val="20"/>
              </w:rPr>
              <w:t xml:space="preserve">as </w:t>
            </w:r>
            <w:r w:rsidR="007D234D">
              <w:rPr>
                <w:kern w:val="0"/>
                <w:szCs w:val="20"/>
              </w:rPr>
              <w:t>having</w:t>
            </w:r>
            <w:r w:rsidRPr="005668EA">
              <w:rPr>
                <w:kern w:val="0"/>
                <w:szCs w:val="20"/>
              </w:rPr>
              <w:t xml:space="preserve"> </w:t>
            </w:r>
            <w:r w:rsidR="007D234D">
              <w:rPr>
                <w:kern w:val="0"/>
                <w:szCs w:val="20"/>
              </w:rPr>
              <w:t>uncertainty</w:t>
            </w:r>
            <w:r w:rsidRPr="005668EA">
              <w:rPr>
                <w:kern w:val="0"/>
                <w:szCs w:val="20"/>
              </w:rPr>
              <w:t>?</w:t>
            </w:r>
          </w:p>
        </w:tc>
      </w:tr>
      <w:tr w:rsidR="005703C0" w:rsidRPr="005668EA" w14:paraId="7A3F8A5F" w14:textId="77777777" w:rsidTr="4F533E7D">
        <w:tc>
          <w:tcPr>
            <w:tcW w:w="2547" w:type="dxa"/>
          </w:tcPr>
          <w:p w14:paraId="1DFC78FD"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749" w:type="dxa"/>
          </w:tcPr>
          <w:p w14:paraId="79BA46EA" w14:textId="647EFD6D" w:rsidR="005703C0" w:rsidRPr="005668EA" w:rsidRDefault="00AE7D61" w:rsidP="00C15362">
            <w:pPr>
              <w:pStyle w:val="EndNoteBibliography"/>
              <w:adjustRightInd w:val="0"/>
              <w:snapToGrid w:val="0"/>
              <w:spacing w:line="360" w:lineRule="auto"/>
              <w:rPr>
                <w:kern w:val="0"/>
                <w:szCs w:val="20"/>
              </w:rPr>
            </w:pPr>
            <w:r w:rsidRPr="007B1B07">
              <w:rPr>
                <w:kern w:val="0"/>
                <w:szCs w:val="20"/>
              </w:rPr>
              <w:t>0 – yes, 1 – no</w:t>
            </w:r>
          </w:p>
        </w:tc>
      </w:tr>
    </w:tbl>
    <w:p w14:paraId="72AC5904" w14:textId="769476C9" w:rsidR="005703C0" w:rsidRPr="00062318" w:rsidRDefault="005703C0" w:rsidP="003039D5">
      <w:pPr>
        <w:pStyle w:val="Heading4"/>
        <w:adjustRightInd w:val="0"/>
        <w:snapToGrid w:val="0"/>
        <w:spacing w:before="120" w:after="120" w:line="360" w:lineRule="auto"/>
        <w:rPr>
          <w:rFonts w:ascii="Times New Roman" w:hAnsi="Times New Roman" w:cs="Times New Roman"/>
          <w:sz w:val="20"/>
          <w:szCs w:val="20"/>
        </w:rPr>
      </w:pPr>
      <w:r w:rsidRPr="00062318">
        <w:rPr>
          <w:rFonts w:ascii="Times New Roman" w:eastAsiaTheme="minorEastAsia" w:hAnsi="Times New Roman" w:cs="Times New Roman"/>
          <w:sz w:val="20"/>
          <w:szCs w:val="20"/>
        </w:rPr>
        <w:lastRenderedPageBreak/>
        <w:t xml:space="preserve">1.2.2 </w:t>
      </w:r>
      <w:r w:rsidR="001E5C07" w:rsidRPr="00062318">
        <w:rPr>
          <w:rFonts w:ascii="Times New Roman" w:eastAsiaTheme="minorEastAsia" w:hAnsi="Times New Roman" w:cs="Times New Roman"/>
          <w:sz w:val="20"/>
          <w:szCs w:val="20"/>
        </w:rPr>
        <w:t>The d</w:t>
      </w:r>
      <w:r w:rsidRPr="00062318">
        <w:rPr>
          <w:rFonts w:ascii="Times New Roman" w:eastAsiaTheme="minorEastAsia" w:hAnsi="Times New Roman" w:cs="Times New Roman"/>
          <w:sz w:val="20"/>
          <w:szCs w:val="20"/>
        </w:rPr>
        <w:t>iscount rate was not consistent with the guideline</w:t>
      </w:r>
      <w:r w:rsidR="00684F61" w:rsidRPr="00062318">
        <w:rPr>
          <w:rFonts w:ascii="Times New Roman" w:eastAsiaTheme="minorEastAsia" w:hAnsi="Times New Roman" w:cs="Times New Roman"/>
          <w:sz w:val="20"/>
          <w:szCs w:val="20"/>
        </w:rPr>
        <w:t>s</w:t>
      </w:r>
      <w:r w:rsidRPr="00062318">
        <w:rPr>
          <w:rFonts w:ascii="Times New Roman" w:eastAsiaTheme="minorEastAsia" w:hAnsi="Times New Roman" w:cs="Times New Roman"/>
          <w:sz w:val="20"/>
          <w:szCs w:val="20"/>
        </w:rPr>
        <w:t xml:space="preserve"> </w:t>
      </w:r>
    </w:p>
    <w:p w14:paraId="5BA8E787" w14:textId="5534E14B" w:rsidR="00BC249E" w:rsidRDefault="005703C0" w:rsidP="006C41A0">
      <w:pPr>
        <w:widowControl/>
        <w:adjustRightInd w:val="0"/>
        <w:snapToGrid w:val="0"/>
        <w:spacing w:line="360" w:lineRule="auto"/>
        <w:rPr>
          <w:rFonts w:ascii="Times New Roman" w:hAnsi="Times New Roman" w:cs="Times New Roman"/>
          <w:sz w:val="20"/>
          <w:szCs w:val="20"/>
        </w:rPr>
      </w:pPr>
      <w:bookmarkStart w:id="19" w:name="_Hlk159180677"/>
      <w:r w:rsidRPr="4F533E7D">
        <w:rPr>
          <w:rFonts w:ascii="Times New Roman" w:hAnsi="Times New Roman" w:cs="Times New Roman"/>
          <w:sz w:val="20"/>
          <w:szCs w:val="20"/>
        </w:rPr>
        <w:t xml:space="preserve">In cost-effectiveness analysis, future costs and health benefits are incorporated into the economic model </w:t>
      </w:r>
      <w:r w:rsidR="00CA73BD" w:rsidRPr="4F533E7D">
        <w:rPr>
          <w:rFonts w:ascii="Times New Roman" w:hAnsi="Times New Roman" w:cs="Times New Roman"/>
          <w:sz w:val="20"/>
          <w:szCs w:val="20"/>
        </w:rPr>
        <w:t>using</w:t>
      </w:r>
      <w:r w:rsidRPr="4F533E7D">
        <w:rPr>
          <w:rFonts w:ascii="Times New Roman" w:hAnsi="Times New Roman" w:cs="Times New Roman"/>
          <w:sz w:val="20"/>
          <w:szCs w:val="20"/>
        </w:rPr>
        <w:t xml:space="preserve"> discount rate</w:t>
      </w:r>
      <w:r w:rsidR="00F22C83">
        <w:rPr>
          <w:rFonts w:ascii="Times New Roman" w:hAnsi="Times New Roman" w:cs="Times New Roman"/>
          <w:sz w:val="20"/>
          <w:szCs w:val="20"/>
        </w:rPr>
        <w:t>s</w:t>
      </w:r>
      <w:r w:rsidRPr="4F533E7D">
        <w:rPr>
          <w:rFonts w:ascii="Times New Roman" w:hAnsi="Times New Roman" w:cs="Times New Roman"/>
          <w:sz w:val="20"/>
          <w:szCs w:val="20"/>
        </w:rPr>
        <w:t xml:space="preserve">, </w:t>
      </w:r>
      <w:r w:rsidR="0000742B" w:rsidRPr="4F533E7D">
        <w:rPr>
          <w:rFonts w:ascii="Times New Roman" w:hAnsi="Times New Roman" w:cs="Times New Roman"/>
          <w:sz w:val="20"/>
          <w:szCs w:val="20"/>
        </w:rPr>
        <w:t>reflecting the relative importance of these outcomes compared to short-term costs and benefits.</w:t>
      </w:r>
      <w:r w:rsidRPr="4F533E7D">
        <w:rPr>
          <w:rFonts w:ascii="Times New Roman" w:hAnsi="Times New Roman" w:cs="Times New Roman"/>
          <w:sz w:val="20"/>
          <w:szCs w:val="20"/>
        </w:rPr>
        <w:t xml:space="preserve"> The higher </w:t>
      </w:r>
      <w:r w:rsidR="00623070" w:rsidRPr="4F533E7D">
        <w:rPr>
          <w:rFonts w:ascii="Times New Roman" w:hAnsi="Times New Roman" w:cs="Times New Roman"/>
          <w:sz w:val="20"/>
          <w:szCs w:val="20"/>
        </w:rPr>
        <w:t xml:space="preserve">the </w:t>
      </w:r>
      <w:r w:rsidRPr="4F533E7D">
        <w:rPr>
          <w:rFonts w:ascii="Times New Roman" w:hAnsi="Times New Roman" w:cs="Times New Roman"/>
          <w:sz w:val="20"/>
          <w:szCs w:val="20"/>
        </w:rPr>
        <w:t xml:space="preserve">discount </w:t>
      </w:r>
      <w:r w:rsidR="00B32892" w:rsidRPr="4F533E7D">
        <w:rPr>
          <w:rFonts w:ascii="Times New Roman" w:hAnsi="Times New Roman" w:cs="Times New Roman"/>
          <w:sz w:val="20"/>
          <w:szCs w:val="20"/>
        </w:rPr>
        <w:t>rate,</w:t>
      </w:r>
      <w:r w:rsidRPr="4F533E7D">
        <w:rPr>
          <w:rFonts w:ascii="Times New Roman" w:hAnsi="Times New Roman" w:cs="Times New Roman"/>
          <w:sz w:val="20"/>
          <w:szCs w:val="20"/>
        </w:rPr>
        <w:t xml:space="preserve"> the less importance is attached to future costs and health benefits. The PBAC recommends using a 5% annual discount rate for </w:t>
      </w:r>
      <w:r w:rsidR="000D71EB" w:rsidRPr="4F533E7D">
        <w:rPr>
          <w:rFonts w:ascii="Times New Roman" w:hAnsi="Times New Roman" w:cs="Times New Roman"/>
          <w:sz w:val="20"/>
          <w:szCs w:val="20"/>
        </w:rPr>
        <w:t xml:space="preserve">both </w:t>
      </w:r>
      <w:r w:rsidRPr="4F533E7D">
        <w:rPr>
          <w:rFonts w:ascii="Times New Roman" w:hAnsi="Times New Roman" w:cs="Times New Roman"/>
          <w:sz w:val="20"/>
          <w:szCs w:val="20"/>
        </w:rPr>
        <w:t>cost and utility, any violation from it could over or under-</w:t>
      </w:r>
      <w:r w:rsidR="00C01845" w:rsidRPr="4F533E7D">
        <w:rPr>
          <w:rFonts w:ascii="Times New Roman" w:hAnsi="Times New Roman" w:cs="Times New Roman"/>
          <w:sz w:val="20"/>
          <w:szCs w:val="20"/>
        </w:rPr>
        <w:t xml:space="preserve">estimate the </w:t>
      </w:r>
      <w:r w:rsidRPr="4F533E7D">
        <w:rPr>
          <w:rFonts w:ascii="Times New Roman" w:hAnsi="Times New Roman" w:cs="Times New Roman"/>
          <w:sz w:val="20"/>
          <w:szCs w:val="20"/>
        </w:rPr>
        <w:t>ICER</w:t>
      </w:r>
      <w:r w:rsidR="0000742B"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&lt;EndNote&gt;&lt;Cite&gt;&lt;Author&gt;Devlin&lt;/Author&gt;&lt;Year&gt;2020&lt;/Year&gt;&lt;RecNum&gt;15175&lt;/RecNum&gt;&lt;DisplayText&gt;[19]&lt;/DisplayText&gt;&lt;record&gt;&lt;rec-number&gt;15175&lt;/rec-number&gt;&lt;foreign-keys&gt;&lt;key app="EN" db-id="5zttwaa2gstv57epr5z5zxv325varaa5e9rp" timestamp="1593571072"&gt;15175&lt;/key&gt;&lt;/foreign-keys&gt;&lt;ref-type name="Journal Article"&gt;17&lt;/ref-type&gt;&lt;contributors&gt;&lt;authors&gt;&lt;author&gt;Devlin, N.&lt;/author&gt;&lt;author&gt;Scuffham, P.&lt;/author&gt;&lt;/authors&gt;&lt;/contributors&gt;&lt;auth-address&gt;Centre for Health Policy, Melbourne School of Population and Global Health, The University of Melbourne, 207 Bouverie Street, Melbourne, Vic. 3010, Australia; and Corresponding author. Email: nancy.devlin@unimelb.edu.au.&amp;#xD;Centre for Applied Health Economics, Menzies Health Institute Queensland, Griffith University, G40_8.83, Gold Coast Campus, Southport, Qld 4222, Australia. Email: p.scuffham@griffith.edu.au.&lt;/auth-address&gt;&lt;titles&gt;&lt;title&gt;Health today versus health tomorrow: does Australia really care less about its future health than other countries do?&lt;/title&gt;&lt;secondary-title&gt;Aust Health Rev&lt;/secondary-title&gt;&lt;/titles&gt;&lt;periodical&gt;&lt;full-title&gt;Aust Health Rev&lt;/full-title&gt;&lt;abbr-1&gt;Australian health review : a publication of the Australian Hospital Association&lt;/abbr-1&gt;&lt;/periodical&gt;&lt;pages&gt;337-339&lt;/pages&gt;&lt;volume&gt;44&lt;/volu</w:instrText>
      </w:r>
      <w:r w:rsidR="00AD61C8">
        <w:rPr>
          <w:rFonts w:ascii="Times New Roman" w:hAnsi="Times New Roman" w:cs="Times New Roman" w:hint="eastAsia"/>
          <w:sz w:val="20"/>
          <w:szCs w:val="20"/>
        </w:rPr>
        <w:instrText>me&gt;&lt;number&gt;3&lt;/number&gt;&lt;edition&gt;2020/06/02&lt;/edition&gt;&lt;dates&gt;&lt;year&gt;2020&lt;/year&gt;&lt;pub-dates&gt;&lt;date&gt;Jun&lt;/date&gt;&lt;/pub-dates&gt;&lt;/dates&gt;&lt;isbn&gt;0156-5788&lt;/isbn&gt;&lt;accession-num&gt;32475385&lt;/accession-num&gt;&lt;label&gt;&lt;style face="normal" font="default" charset="134" size="100%"&gt;</w:instrText>
      </w:r>
      <w:r w:rsidR="00AD61C8">
        <w:rPr>
          <w:rFonts w:ascii="Times New Roman" w:hAnsi="Times New Roman" w:cs="Times New Roman" w:hint="eastAsia"/>
          <w:sz w:val="20"/>
          <w:szCs w:val="20"/>
        </w:rPr>
        <w:instrText>现状综述</w:instrText>
      </w:r>
      <w:r w:rsidR="00AD61C8">
        <w:rPr>
          <w:rFonts w:ascii="Times New Roman" w:hAnsi="Times New Roman" w:cs="Times New Roman"/>
          <w:sz w:val="20"/>
          <w:szCs w:val="20"/>
        </w:rPr>
        <w:instrText>&lt;/style&gt;&lt;/label&gt;&lt;urls&gt;&lt;/urls&gt;&lt;electronic-resource-num&gt;10.1071/ah20057&lt;/electronic-resource-num&gt;&lt;remote-database-provider&gt;NLM&lt;/remote-database-provider&gt;&lt;language&gt;eng&lt;/language&gt;&lt;/record&gt;&lt;/Cite&gt;&lt;/EndNote&gt;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[19]</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 xml:space="preserve">. </w:t>
      </w:r>
    </w:p>
    <w:p w14:paraId="40FF0C8B" w14:textId="77777777" w:rsidR="00542732" w:rsidRDefault="00542732" w:rsidP="006C41A0">
      <w:pPr>
        <w:widowControl/>
        <w:adjustRightInd w:val="0"/>
        <w:snapToGrid w:val="0"/>
        <w:spacing w:line="360" w:lineRule="auto"/>
        <w:rPr>
          <w:rFonts w:ascii="Times New Roman" w:hAnsi="Times New Roman" w:cs="Times New Roman"/>
          <w:sz w:val="20"/>
          <w:szCs w:val="20"/>
        </w:rPr>
      </w:pPr>
      <w:bookmarkStart w:id="20" w:name="_Hlk159181009"/>
      <w:bookmarkEnd w:id="19"/>
    </w:p>
    <w:p w14:paraId="21BC75D1" w14:textId="3CCC4905" w:rsidR="005703C0" w:rsidRPr="005668EA" w:rsidRDefault="005703C0" w:rsidP="006C41A0">
      <w:pPr>
        <w:widowControl/>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Submissions that deviate</w:t>
      </w:r>
      <w:r w:rsidR="00C01845" w:rsidRPr="4F533E7D">
        <w:rPr>
          <w:rFonts w:ascii="Times New Roman" w:hAnsi="Times New Roman" w:cs="Times New Roman"/>
          <w:sz w:val="20"/>
          <w:szCs w:val="20"/>
        </w:rPr>
        <w:t>d</w:t>
      </w:r>
      <w:r w:rsidRPr="4F533E7D">
        <w:rPr>
          <w:rFonts w:ascii="Times New Roman" w:hAnsi="Times New Roman" w:cs="Times New Roman"/>
          <w:sz w:val="20"/>
          <w:szCs w:val="20"/>
        </w:rPr>
        <w:t xml:space="preserve"> from the recommended discount rate in the following ways </w:t>
      </w:r>
      <w:r w:rsidR="00C01845" w:rsidRPr="4F533E7D">
        <w:rPr>
          <w:rFonts w:ascii="Times New Roman" w:hAnsi="Times New Roman" w:cs="Times New Roman"/>
          <w:sz w:val="20"/>
          <w:szCs w:val="20"/>
        </w:rPr>
        <w:t xml:space="preserve">should be </w:t>
      </w:r>
      <w:r w:rsidRPr="4F533E7D">
        <w:rPr>
          <w:rFonts w:ascii="Times New Roman" w:hAnsi="Times New Roman" w:cs="Times New Roman"/>
          <w:sz w:val="20"/>
          <w:szCs w:val="20"/>
        </w:rPr>
        <w:t>considered to have methodological uncertainty: 1</w:t>
      </w:r>
      <w:r w:rsidR="000D71EB" w:rsidRPr="4F533E7D">
        <w:rPr>
          <w:rFonts w:ascii="Times New Roman" w:hAnsi="Times New Roman" w:cs="Times New Roman"/>
          <w:sz w:val="20"/>
          <w:szCs w:val="20"/>
        </w:rPr>
        <w:t xml:space="preserve">) </w:t>
      </w:r>
      <w:r w:rsidRPr="4F533E7D">
        <w:rPr>
          <w:rFonts w:ascii="Times New Roman" w:hAnsi="Times New Roman" w:cs="Times New Roman"/>
          <w:sz w:val="20"/>
          <w:szCs w:val="20"/>
        </w:rPr>
        <w:t>The submission did not appl</w:t>
      </w:r>
      <w:r w:rsidR="00012E01" w:rsidRPr="4F533E7D">
        <w:rPr>
          <w:rFonts w:ascii="Times New Roman" w:hAnsi="Times New Roman" w:cs="Times New Roman"/>
          <w:sz w:val="20"/>
          <w:szCs w:val="20"/>
        </w:rPr>
        <w:t>y</w:t>
      </w:r>
      <w:r w:rsidRPr="4F533E7D">
        <w:rPr>
          <w:rFonts w:ascii="Times New Roman" w:hAnsi="Times New Roman" w:cs="Times New Roman"/>
          <w:sz w:val="20"/>
          <w:szCs w:val="20"/>
        </w:rPr>
        <w:t xml:space="preserve"> discou</w:t>
      </w:r>
      <w:r w:rsidR="00012E01" w:rsidRPr="4F533E7D">
        <w:rPr>
          <w:rFonts w:ascii="Times New Roman" w:hAnsi="Times New Roman" w:cs="Times New Roman"/>
          <w:sz w:val="20"/>
          <w:szCs w:val="20"/>
        </w:rPr>
        <w:t>n</w:t>
      </w:r>
      <w:r w:rsidRPr="4F533E7D">
        <w:rPr>
          <w:rFonts w:ascii="Times New Roman" w:hAnsi="Times New Roman" w:cs="Times New Roman"/>
          <w:sz w:val="20"/>
          <w:szCs w:val="20"/>
        </w:rPr>
        <w:t>t</w:t>
      </w:r>
      <w:r w:rsidR="00012E01" w:rsidRPr="4F533E7D">
        <w:rPr>
          <w:rFonts w:ascii="Times New Roman" w:hAnsi="Times New Roman" w:cs="Times New Roman"/>
          <w:sz w:val="20"/>
          <w:szCs w:val="20"/>
        </w:rPr>
        <w:t>ing</w:t>
      </w:r>
      <w:r w:rsidRPr="4F533E7D">
        <w:rPr>
          <w:rFonts w:ascii="Times New Roman" w:hAnsi="Times New Roman" w:cs="Times New Roman"/>
          <w:sz w:val="20"/>
          <w:szCs w:val="20"/>
        </w:rPr>
        <w:t xml:space="preserve"> for cost and health outcome. 2</w:t>
      </w:r>
      <w:r w:rsidR="000D71EB" w:rsidRPr="4F533E7D">
        <w:rPr>
          <w:rFonts w:ascii="Times New Roman" w:hAnsi="Times New Roman" w:cs="Times New Roman"/>
          <w:sz w:val="20"/>
          <w:szCs w:val="20"/>
        </w:rPr>
        <w:t xml:space="preserve">) Differential </w:t>
      </w:r>
      <w:r w:rsidRPr="4F533E7D">
        <w:rPr>
          <w:rFonts w:ascii="Times New Roman" w:hAnsi="Times New Roman" w:cs="Times New Roman"/>
          <w:sz w:val="20"/>
          <w:szCs w:val="20"/>
        </w:rPr>
        <w:t xml:space="preserve">annual discount rates </w:t>
      </w:r>
      <w:r w:rsidR="000D71EB" w:rsidRPr="4F533E7D">
        <w:rPr>
          <w:rFonts w:ascii="Times New Roman" w:hAnsi="Times New Roman" w:cs="Times New Roman"/>
          <w:sz w:val="20"/>
          <w:szCs w:val="20"/>
        </w:rPr>
        <w:t xml:space="preserve">were applied </w:t>
      </w:r>
      <w:r w:rsidRPr="4F533E7D">
        <w:rPr>
          <w:rFonts w:ascii="Times New Roman" w:hAnsi="Times New Roman" w:cs="Times New Roman"/>
          <w:sz w:val="20"/>
          <w:szCs w:val="20"/>
        </w:rPr>
        <w:t>for costs and health outcome</w:t>
      </w:r>
      <w:r w:rsidR="00DD5D74" w:rsidRPr="4F533E7D">
        <w:rPr>
          <w:rFonts w:ascii="Times New Roman" w:hAnsi="Times New Roman" w:cs="Times New Roman"/>
          <w:sz w:val="20"/>
          <w:szCs w:val="20"/>
        </w:rPr>
        <w:t>s</w:t>
      </w:r>
      <w:r w:rsidRPr="4F533E7D">
        <w:rPr>
          <w:rFonts w:ascii="Times New Roman" w:hAnsi="Times New Roman" w:cs="Times New Roman"/>
          <w:sz w:val="20"/>
          <w:szCs w:val="20"/>
        </w:rPr>
        <w:t>. 3)</w:t>
      </w:r>
      <w:r w:rsidR="000D71EB" w:rsidRPr="4F533E7D">
        <w:rPr>
          <w:rFonts w:ascii="Times New Roman" w:hAnsi="Times New Roman" w:cs="Times New Roman"/>
          <w:sz w:val="20"/>
          <w:szCs w:val="20"/>
        </w:rPr>
        <w:t xml:space="preserve"> Discounting was applied only </w:t>
      </w:r>
      <w:r w:rsidRPr="4F533E7D">
        <w:rPr>
          <w:rFonts w:ascii="Times New Roman" w:hAnsi="Times New Roman" w:cs="Times New Roman"/>
          <w:sz w:val="20"/>
          <w:szCs w:val="20"/>
        </w:rPr>
        <w:t>to some costs or outcomes. 4</w:t>
      </w:r>
      <w:r w:rsidR="000D71EB" w:rsidRPr="4F533E7D">
        <w:rPr>
          <w:rFonts w:ascii="Times New Roman" w:hAnsi="Times New Roman" w:cs="Times New Roman"/>
          <w:sz w:val="20"/>
          <w:szCs w:val="20"/>
        </w:rPr>
        <w:t xml:space="preserve">) Discounting was applied to </w:t>
      </w:r>
      <w:r w:rsidRPr="4F533E7D">
        <w:rPr>
          <w:rFonts w:ascii="Times New Roman" w:hAnsi="Times New Roman" w:cs="Times New Roman"/>
          <w:sz w:val="20"/>
          <w:szCs w:val="20"/>
        </w:rPr>
        <w:t xml:space="preserve">some cycles of treatment, rather than covering </w:t>
      </w:r>
      <w:r w:rsidR="003C4A18" w:rsidRPr="4F533E7D">
        <w:rPr>
          <w:rFonts w:ascii="Times New Roman" w:hAnsi="Times New Roman" w:cs="Times New Roman"/>
          <w:sz w:val="20"/>
          <w:szCs w:val="20"/>
        </w:rPr>
        <w:t>full</w:t>
      </w:r>
      <w:r w:rsidR="004E38C7" w:rsidRPr="4F533E7D">
        <w:rPr>
          <w:rFonts w:ascii="Times New Roman" w:hAnsi="Times New Roman" w:cs="Times New Roman"/>
          <w:sz w:val="20"/>
          <w:szCs w:val="20"/>
        </w:rPr>
        <w:t xml:space="preserve"> time</w:t>
      </w:r>
      <w:r w:rsidRPr="4F533E7D">
        <w:rPr>
          <w:rFonts w:ascii="Times New Roman" w:hAnsi="Times New Roman" w:cs="Times New Roman"/>
          <w:sz w:val="20"/>
          <w:szCs w:val="20"/>
        </w:rPr>
        <w:t xml:space="preserve"> horizon.</w:t>
      </w:r>
      <w:r w:rsidR="37203B8B" w:rsidRPr="4F533E7D">
        <w:rPr>
          <w:rFonts w:ascii="Times New Roman" w:hAnsi="Times New Roman" w:cs="Times New Roman"/>
          <w:sz w:val="20"/>
          <w:szCs w:val="20"/>
        </w:rPr>
        <w:t xml:space="preserve"> </w:t>
      </w:r>
      <w:bookmarkEnd w:id="20"/>
      <w:r w:rsidRPr="005668EA">
        <w:rPr>
          <w:rFonts w:ascii="Times New Roman" w:hAnsi="Times New Roman" w:cs="Times New Roman"/>
          <w:sz w:val="20"/>
          <w:szCs w:val="20"/>
        </w:rPr>
        <w:t xml:space="preserve">For instance, in the submission </w:t>
      </w:r>
      <w:r w:rsidR="3ABFFBED" w:rsidRPr="005668EA">
        <w:rPr>
          <w:rFonts w:ascii="Times New Roman" w:hAnsi="Times New Roman" w:cs="Times New Roman"/>
          <w:sz w:val="20"/>
          <w:szCs w:val="20"/>
        </w:rPr>
        <w:t xml:space="preserve">for </w:t>
      </w:r>
      <w:r w:rsidRPr="005668EA">
        <w:rPr>
          <w:rFonts w:ascii="Times New Roman" w:hAnsi="Times New Roman" w:cs="Times New Roman"/>
          <w:sz w:val="20"/>
          <w:szCs w:val="20"/>
        </w:rPr>
        <w:t>pertuzumab in combination with trastuzumab and docetaxel for the treatment of a patient with human epidermal growth factor receptor</w:t>
      </w:r>
      <w:r w:rsidRPr="005668EA">
        <w:rPr>
          <w:rFonts w:ascii="Times New Roman" w:hAnsi="Times New Roman" w:cs="Times New Roman"/>
          <w:sz w:val="20"/>
          <w:szCs w:val="20"/>
          <w:shd w:val="clear" w:color="auto" w:fill="FFFFFF"/>
        </w:rPr>
        <w:t xml:space="preserve"> </w:t>
      </w:r>
      <w:r w:rsidRPr="005668EA">
        <w:rPr>
          <w:rFonts w:ascii="Times New Roman" w:hAnsi="Times New Roman" w:cs="Times New Roman"/>
          <w:sz w:val="20"/>
          <w:szCs w:val="20"/>
        </w:rPr>
        <w:t>2-positive metastatic breast cancer</w:t>
      </w:r>
      <w:r w:rsidR="00C01845" w:rsidRPr="4F533E7D">
        <w:rPr>
          <w:rFonts w:ascii="Times New Roman" w:hAnsi="Times New Roman" w:cs="Times New Roman"/>
          <w:sz w:val="20"/>
          <w:szCs w:val="20"/>
        </w:rPr>
        <w:t>,</w:t>
      </w:r>
      <w:r w:rsidRPr="005668EA">
        <w:rPr>
          <w:rFonts w:ascii="Times New Roman" w:hAnsi="Times New Roman" w:cs="Times New Roman"/>
          <w:sz w:val="20"/>
          <w:szCs w:val="20"/>
        </w:rPr>
        <w:t xml:space="preserve"> </w:t>
      </w:r>
      <w:r w:rsidR="00C01845" w:rsidRPr="4F533E7D">
        <w:rPr>
          <w:rFonts w:ascii="Times New Roman" w:hAnsi="Times New Roman" w:cs="Times New Roman"/>
          <w:sz w:val="20"/>
          <w:szCs w:val="20"/>
        </w:rPr>
        <w:t>t</w:t>
      </w:r>
      <w:r w:rsidRPr="005668EA">
        <w:rPr>
          <w:rFonts w:ascii="Times New Roman" w:hAnsi="Times New Roman" w:cs="Times New Roman"/>
          <w:sz w:val="20"/>
          <w:szCs w:val="20"/>
        </w:rPr>
        <w:t xml:space="preserve">he sponsor did not use discounting in the model. This </w:t>
      </w:r>
      <w:r w:rsidR="00524718">
        <w:rPr>
          <w:rFonts w:ascii="Times New Roman" w:hAnsi="Times New Roman" w:cs="Times New Roman"/>
          <w:sz w:val="20"/>
          <w:szCs w:val="20"/>
        </w:rPr>
        <w:t>was</w:t>
      </w:r>
      <w:r w:rsidRPr="005668EA">
        <w:rPr>
          <w:rFonts w:ascii="Times New Roman" w:hAnsi="Times New Roman" w:cs="Times New Roman"/>
          <w:sz w:val="20"/>
          <w:szCs w:val="20"/>
        </w:rPr>
        <w:t xml:space="preserve"> likely to favour </w:t>
      </w:r>
      <w:r w:rsidR="00910F00">
        <w:rPr>
          <w:rFonts w:ascii="Times New Roman" w:hAnsi="Times New Roman" w:cs="Times New Roman"/>
          <w:sz w:val="20"/>
          <w:szCs w:val="20"/>
        </w:rPr>
        <w:t>p</w:t>
      </w:r>
      <w:r w:rsidR="00910F00" w:rsidRPr="005668EA">
        <w:rPr>
          <w:rFonts w:ascii="Times New Roman" w:hAnsi="Times New Roman" w:cs="Times New Roman"/>
          <w:sz w:val="20"/>
          <w:szCs w:val="20"/>
        </w:rPr>
        <w:t>ertuzumab</w:t>
      </w:r>
      <w:r w:rsidRPr="005668EA">
        <w:rPr>
          <w:rFonts w:ascii="Times New Roman" w:hAnsi="Times New Roman" w:cs="Times New Roman"/>
          <w:sz w:val="20"/>
          <w:szCs w:val="20"/>
        </w:rPr>
        <w:t xml:space="preserve">. In the submission </w:t>
      </w:r>
      <w:r w:rsidR="72185EF0" w:rsidRPr="005668EA">
        <w:rPr>
          <w:rFonts w:ascii="Times New Roman" w:hAnsi="Times New Roman" w:cs="Times New Roman"/>
          <w:sz w:val="20"/>
          <w:szCs w:val="20"/>
        </w:rPr>
        <w:t xml:space="preserve">for </w:t>
      </w:r>
      <w:r w:rsidR="7861E0B3" w:rsidRPr="005668EA">
        <w:rPr>
          <w:rFonts w:ascii="Times New Roman" w:hAnsi="Times New Roman" w:cs="Times New Roman"/>
          <w:sz w:val="20"/>
          <w:szCs w:val="20"/>
        </w:rPr>
        <w:t>r</w:t>
      </w:r>
      <w:r w:rsidRPr="005668EA">
        <w:rPr>
          <w:rFonts w:ascii="Times New Roman" w:hAnsi="Times New Roman" w:cs="Times New Roman"/>
          <w:sz w:val="20"/>
          <w:szCs w:val="20"/>
        </w:rPr>
        <w:t xml:space="preserve">omidepsin for </w:t>
      </w:r>
      <w:r w:rsidR="44BDFC3F" w:rsidRPr="005668EA">
        <w:rPr>
          <w:rFonts w:ascii="Times New Roman" w:hAnsi="Times New Roman" w:cs="Times New Roman"/>
          <w:sz w:val="20"/>
          <w:szCs w:val="20"/>
        </w:rPr>
        <w:t xml:space="preserve">the </w:t>
      </w:r>
      <w:r w:rsidRPr="005668EA">
        <w:rPr>
          <w:rFonts w:ascii="Times New Roman" w:hAnsi="Times New Roman" w:cs="Times New Roman"/>
          <w:sz w:val="20"/>
          <w:szCs w:val="20"/>
        </w:rPr>
        <w:t xml:space="preserve">treatment of relapsed or chemotherapy-refractory peripheral T-cell lymphoma, only 5% </w:t>
      </w:r>
      <w:r w:rsidR="00791C55" w:rsidRPr="4F533E7D">
        <w:rPr>
          <w:rFonts w:ascii="Times New Roman" w:hAnsi="Times New Roman" w:cs="Times New Roman"/>
          <w:sz w:val="20"/>
          <w:szCs w:val="20"/>
        </w:rPr>
        <w:t xml:space="preserve">was applied </w:t>
      </w:r>
      <w:r w:rsidRPr="005668EA">
        <w:rPr>
          <w:rFonts w:ascii="Times New Roman" w:hAnsi="Times New Roman" w:cs="Times New Roman"/>
          <w:sz w:val="20"/>
          <w:szCs w:val="20"/>
        </w:rPr>
        <w:t xml:space="preserve">for health outcomes and costs were not discounted. The PBAC advised that it was inappropriate in the context of the PBAC </w:t>
      </w:r>
      <w:r w:rsidR="004E38C7">
        <w:rPr>
          <w:rFonts w:ascii="Times New Roman" w:hAnsi="Times New Roman" w:cs="Times New Roman"/>
          <w:sz w:val="20"/>
          <w:szCs w:val="20"/>
        </w:rPr>
        <w:t>g</w:t>
      </w:r>
      <w:r w:rsidRPr="005668EA">
        <w:rPr>
          <w:rFonts w:ascii="Times New Roman" w:hAnsi="Times New Roman" w:cs="Times New Roman"/>
          <w:sz w:val="20"/>
          <w:szCs w:val="20"/>
        </w:rPr>
        <w:t>uideline</w:t>
      </w:r>
      <w:r w:rsidR="009D225E">
        <w:rPr>
          <w:rFonts w:ascii="Times New Roman" w:hAnsi="Times New Roman" w:cs="Times New Roman"/>
          <w:sz w:val="20"/>
          <w:szCs w:val="20"/>
        </w:rPr>
        <w:t>s</w:t>
      </w:r>
      <w:r w:rsidR="00524718">
        <w:rPr>
          <w:rFonts w:ascii="Times New Roman" w:hAnsi="Times New Roman" w:cs="Times New Roman"/>
          <w:sz w:val="20"/>
          <w:szCs w:val="20"/>
        </w:rPr>
        <w:t xml:space="preserve"> </w:t>
      </w:r>
      <w:r w:rsidR="009D225E">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Committee&lt;/Author&gt;&lt;Year&gt;2016&lt;/Year&gt;&lt;RecNum&gt;15366&lt;/RecNum&gt;&lt;DisplayText&gt;[16]&lt;/DisplayText&gt;&lt;record&gt;&lt;rec-number&gt;15366&lt;/rec-number&gt;&lt;foreign-keys&gt;&lt;key app="EN" db-id="5zttwaa2gstv57epr5z5zxv325varaa5e9rp" timestamp="1596551342"&gt;15366&lt;/key&gt;&lt;/foreign-keys&gt;&lt;ref-type name="Government Document"&gt;46&lt;/ref-type&gt;&lt;contributors&gt;&lt;authors&gt;&lt;author&gt;Pharmaceutical Benefits Advisory Committee,&lt;/author&gt;&lt;/authors&gt;&lt;secondary-authors&gt;&lt;author&gt;Pharmaceutical Benefits Advisory Committee &lt;/author&gt;&lt;/secondary-authors&gt;&lt;/contributors&gt;&lt;titles&gt;&lt;title&gt;Guidelines for preparing submissions to the Pharmaceutical Benefits Advisory Committee&lt;/title&gt;&lt;/titles&gt;&lt;dates&gt;&lt;year&gt;2016&lt;/year&gt;&lt;/dates&gt;&lt;label&gt;&lt;style face="normal" font="defau</w:instrText>
      </w:r>
      <w:r w:rsidR="00AD61C8">
        <w:rPr>
          <w:rFonts w:ascii="Times New Roman" w:hAnsi="Times New Roman" w:cs="Times New Roman" w:hint="eastAsia"/>
          <w:sz w:val="20"/>
          <w:szCs w:val="20"/>
        </w:rPr>
        <w:instrText>lt" charset="134" size="100%"&gt;</w:instrText>
      </w:r>
      <w:r w:rsidR="00AD61C8">
        <w:rPr>
          <w:rFonts w:ascii="Times New Roman" w:hAnsi="Times New Roman" w:cs="Times New Roman" w:hint="eastAsia"/>
          <w:sz w:val="20"/>
          <w:szCs w:val="20"/>
        </w:rPr>
        <w:instrText>指南</w:instrText>
      </w:r>
      <w:r w:rsidR="00AD61C8">
        <w:rPr>
          <w:rFonts w:ascii="Times New Roman" w:hAnsi="Times New Roman" w:cs="Times New Roman" w:hint="eastAsia"/>
          <w:sz w:val="20"/>
          <w:szCs w:val="20"/>
        </w:rPr>
        <w:instrText>&lt;/style&gt;&lt;/label&gt;&lt;urls&gt;&lt;related-urls&gt;&lt;url&gt;https://pbac.pbs.gov.au/content/information/files/pbac-guidelines-version-5.pdf&lt;/url&gt;&lt;/related-urls&gt;&lt;/urls&gt;&lt;access-date&gt;30 May 2020&lt;/access-date&gt;&lt;/record&gt;&lt;/Cite&gt;&lt;/EndNote&gt;</w:instrText>
      </w:r>
      <w:r w:rsidR="009D225E">
        <w:rPr>
          <w:rFonts w:ascii="Times New Roman" w:hAnsi="Times New Roman" w:cs="Times New Roman"/>
          <w:sz w:val="20"/>
          <w:szCs w:val="20"/>
        </w:rPr>
        <w:fldChar w:fldCharType="separate"/>
      </w:r>
      <w:r w:rsidR="00AD61C8">
        <w:rPr>
          <w:rFonts w:ascii="Times New Roman" w:hAnsi="Times New Roman" w:cs="Times New Roman"/>
          <w:noProof/>
          <w:sz w:val="20"/>
          <w:szCs w:val="20"/>
        </w:rPr>
        <w:t>[16]</w:t>
      </w:r>
      <w:r w:rsidR="009D225E">
        <w:rPr>
          <w:rFonts w:ascii="Times New Roman" w:hAnsi="Times New Roman" w:cs="Times New Roman"/>
          <w:sz w:val="20"/>
          <w:szCs w:val="20"/>
        </w:rPr>
        <w:fldChar w:fldCharType="end"/>
      </w:r>
      <w:r w:rsidR="009D225E">
        <w:rPr>
          <w:rFonts w:ascii="Times New Roman" w:hAnsi="Times New Roman" w:cs="Times New Roman"/>
          <w:sz w:val="20"/>
          <w:szCs w:val="20"/>
        </w:rPr>
        <w:t>.</w:t>
      </w:r>
    </w:p>
    <w:p w14:paraId="24B942C4" w14:textId="2DB48A56" w:rsidR="4F533E7D" w:rsidRDefault="4F533E7D" w:rsidP="00C15362">
      <w:pPr>
        <w:widowControl/>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5749"/>
      </w:tblGrid>
      <w:tr w:rsidR="005703C0" w:rsidRPr="005668EA" w14:paraId="7F71531A" w14:textId="77777777" w:rsidTr="4F533E7D">
        <w:tc>
          <w:tcPr>
            <w:tcW w:w="2547" w:type="dxa"/>
          </w:tcPr>
          <w:p w14:paraId="56008786"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749" w:type="dxa"/>
          </w:tcPr>
          <w:p w14:paraId="6D5C0D26" w14:textId="01DE359C"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Was the discount rate in the submissions not 5% for cost </w:t>
            </w:r>
            <w:r w:rsidR="009C0A4C">
              <w:rPr>
                <w:kern w:val="0"/>
                <w:szCs w:val="20"/>
              </w:rPr>
              <w:t>and</w:t>
            </w:r>
            <w:r w:rsidRPr="005668EA">
              <w:rPr>
                <w:kern w:val="0"/>
                <w:szCs w:val="20"/>
              </w:rPr>
              <w:t xml:space="preserve"> health outcomes?</w:t>
            </w:r>
          </w:p>
        </w:tc>
      </w:tr>
      <w:tr w:rsidR="005703C0" w:rsidRPr="005668EA" w14:paraId="1D8ED1D4" w14:textId="77777777" w:rsidTr="4F533E7D">
        <w:tc>
          <w:tcPr>
            <w:tcW w:w="2547" w:type="dxa"/>
          </w:tcPr>
          <w:p w14:paraId="398E06A7"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749" w:type="dxa"/>
          </w:tcPr>
          <w:p w14:paraId="18A21866" w14:textId="1EDE7D1D" w:rsidR="005703C0" w:rsidRPr="005668EA" w:rsidRDefault="0023319F" w:rsidP="00C15362">
            <w:pPr>
              <w:pStyle w:val="EndNoteBibliography"/>
              <w:adjustRightInd w:val="0"/>
              <w:snapToGrid w:val="0"/>
              <w:spacing w:line="360" w:lineRule="auto"/>
              <w:rPr>
                <w:kern w:val="0"/>
                <w:szCs w:val="20"/>
              </w:rPr>
            </w:pPr>
            <w:r w:rsidRPr="007B1B07">
              <w:rPr>
                <w:kern w:val="0"/>
                <w:szCs w:val="20"/>
              </w:rPr>
              <w:t>0 – yes, 1 – no</w:t>
            </w:r>
          </w:p>
        </w:tc>
      </w:tr>
    </w:tbl>
    <w:p w14:paraId="3D8BB943" w14:textId="6D24EC89" w:rsidR="009A1297" w:rsidRPr="005668EA" w:rsidRDefault="009A1297" w:rsidP="00C33017">
      <w:pPr>
        <w:pStyle w:val="Heading2"/>
        <w:adjustRightInd w:val="0"/>
        <w:snapToGrid w:val="0"/>
        <w:spacing w:before="480" w:after="120" w:line="360" w:lineRule="auto"/>
        <w:rPr>
          <w:rFonts w:ascii="Times New Roman" w:hAnsi="Times New Roman" w:cs="Times New Roman"/>
          <w:sz w:val="20"/>
          <w:szCs w:val="20"/>
        </w:rPr>
      </w:pPr>
      <w:r>
        <w:rPr>
          <w:rFonts w:ascii="Times New Roman" w:hAnsi="Times New Roman" w:cs="Times New Roman" w:hint="eastAsia"/>
          <w:sz w:val="20"/>
          <w:szCs w:val="20"/>
        </w:rPr>
        <w:t>2</w:t>
      </w:r>
      <w:r w:rsidRPr="005668EA">
        <w:rPr>
          <w:rFonts w:ascii="Times New Roman" w:hAnsi="Times New Roman" w:cs="Times New Roman"/>
          <w:sz w:val="20"/>
          <w:szCs w:val="20"/>
        </w:rPr>
        <w:t xml:space="preserve">. </w:t>
      </w:r>
      <w:r>
        <w:rPr>
          <w:rFonts w:ascii="Times New Roman" w:hAnsi="Times New Roman" w:cs="Times New Roman"/>
          <w:sz w:val="20"/>
          <w:szCs w:val="20"/>
        </w:rPr>
        <w:t>Generalisability u</w:t>
      </w:r>
      <w:r w:rsidRPr="005668EA">
        <w:rPr>
          <w:rFonts w:ascii="Times New Roman" w:hAnsi="Times New Roman" w:cs="Times New Roman"/>
          <w:sz w:val="20"/>
          <w:szCs w:val="20"/>
        </w:rPr>
        <w:t xml:space="preserve">ncertainty </w:t>
      </w:r>
    </w:p>
    <w:p w14:paraId="344F17E8" w14:textId="3212F979" w:rsidR="009A1297" w:rsidRDefault="009A1297" w:rsidP="009A1297">
      <w:pPr>
        <w:widowControl/>
        <w:adjustRightInd w:val="0"/>
        <w:snapToGrid w:val="0"/>
        <w:spacing w:line="360" w:lineRule="auto"/>
        <w:rPr>
          <w:rFonts w:ascii="Times New Roman" w:eastAsiaTheme="minorHAnsi" w:hAnsi="Times New Roman" w:cs="Times New Roman"/>
          <w:sz w:val="20"/>
          <w:szCs w:val="20"/>
        </w:rPr>
      </w:pPr>
      <w:r w:rsidRPr="005668EA">
        <w:rPr>
          <w:rFonts w:ascii="Times New Roman" w:eastAsiaTheme="minorHAnsi" w:hAnsi="Times New Roman" w:cs="Times New Roman"/>
          <w:sz w:val="20"/>
          <w:szCs w:val="20"/>
        </w:rPr>
        <w:t xml:space="preserve">The </w:t>
      </w:r>
      <w:r w:rsidR="00CE4964">
        <w:rPr>
          <w:rFonts w:ascii="Times New Roman" w:eastAsiaTheme="minorHAnsi" w:hAnsi="Times New Roman" w:cs="Times New Roman"/>
          <w:sz w:val="20"/>
          <w:szCs w:val="20"/>
        </w:rPr>
        <w:t xml:space="preserve">trial and (or) </w:t>
      </w:r>
      <w:r w:rsidRPr="005668EA">
        <w:rPr>
          <w:rFonts w:ascii="Times New Roman" w:eastAsiaTheme="minorHAnsi" w:hAnsi="Times New Roman" w:cs="Times New Roman"/>
          <w:sz w:val="20"/>
          <w:szCs w:val="20"/>
        </w:rPr>
        <w:t xml:space="preserve">modelled population represents the target Australian population that </w:t>
      </w:r>
      <w:r w:rsidRPr="004755EB">
        <w:rPr>
          <w:rFonts w:ascii="Times New Roman" w:eastAsiaTheme="minorHAnsi" w:hAnsi="Times New Roman" w:cs="Times New Roman"/>
          <w:sz w:val="20"/>
          <w:szCs w:val="20"/>
        </w:rPr>
        <w:t xml:space="preserve">would </w:t>
      </w:r>
      <w:r w:rsidRPr="005668EA">
        <w:rPr>
          <w:rFonts w:ascii="Times New Roman" w:eastAsiaTheme="minorHAnsi" w:hAnsi="Times New Roman" w:cs="Times New Roman"/>
          <w:sz w:val="20"/>
          <w:szCs w:val="20"/>
        </w:rPr>
        <w:t xml:space="preserve">use the proposed medicine. However, uncertainties could arise if any of the following factors relevant to the </w:t>
      </w:r>
      <w:r w:rsidR="00CE4964">
        <w:rPr>
          <w:rFonts w:ascii="Times New Roman" w:eastAsiaTheme="minorHAnsi" w:hAnsi="Times New Roman" w:cs="Times New Roman"/>
          <w:sz w:val="20"/>
          <w:szCs w:val="20"/>
        </w:rPr>
        <w:t xml:space="preserve">trial and (or) </w:t>
      </w:r>
      <w:r w:rsidRPr="005668EA">
        <w:rPr>
          <w:rFonts w:ascii="Times New Roman" w:eastAsiaTheme="minorHAnsi" w:hAnsi="Times New Roman" w:cs="Times New Roman"/>
          <w:sz w:val="20"/>
          <w:szCs w:val="20"/>
        </w:rPr>
        <w:t xml:space="preserve">model population did not apply to the Australian population </w:t>
      </w:r>
      <w:r w:rsidR="00CE4964">
        <w:rPr>
          <w:rFonts w:ascii="Times New Roman" w:eastAsiaTheme="minorHAnsi" w:hAnsi="Times New Roman" w:cs="Times New Roman"/>
          <w:sz w:val="20"/>
          <w:szCs w:val="20"/>
        </w:rPr>
        <w:t>(</w:t>
      </w:r>
      <w:r w:rsidRPr="005668EA">
        <w:rPr>
          <w:rFonts w:ascii="Times New Roman" w:eastAsiaTheme="minorHAnsi" w:hAnsi="Times New Roman" w:cs="Times New Roman"/>
          <w:sz w:val="20"/>
          <w:szCs w:val="20"/>
        </w:rPr>
        <w:t>or</w:t>
      </w:r>
      <w:r w:rsidR="00CE4964">
        <w:rPr>
          <w:rFonts w:ascii="Times New Roman" w:eastAsiaTheme="minorHAnsi" w:hAnsi="Times New Roman" w:cs="Times New Roman"/>
          <w:sz w:val="20"/>
          <w:szCs w:val="20"/>
        </w:rPr>
        <w:t xml:space="preserve"> PBS population).</w:t>
      </w:r>
      <w:r>
        <w:rPr>
          <w:rFonts w:ascii="Times New Roman" w:eastAsiaTheme="minorHAnsi" w:hAnsi="Times New Roman" w:cs="Times New Roman"/>
          <w:sz w:val="20"/>
          <w:szCs w:val="20"/>
        </w:rPr>
        <w:t xml:space="preserve"> </w:t>
      </w:r>
      <w:bookmarkStart w:id="21" w:name="_Hlk171719822"/>
      <w:r w:rsidRPr="009113E1">
        <w:rPr>
          <w:rFonts w:ascii="Times New Roman" w:eastAsiaTheme="minorHAnsi" w:hAnsi="Times New Roman" w:cs="Times New Roman"/>
          <w:sz w:val="20"/>
          <w:szCs w:val="20"/>
        </w:rPr>
        <w:t>It is noteworthy that generali</w:t>
      </w:r>
      <w:r>
        <w:rPr>
          <w:rFonts w:ascii="Times New Roman" w:eastAsiaTheme="minorHAnsi" w:hAnsi="Times New Roman" w:cs="Times New Roman"/>
          <w:sz w:val="20"/>
          <w:szCs w:val="20"/>
        </w:rPr>
        <w:t>s</w:t>
      </w:r>
      <w:r w:rsidRPr="009113E1">
        <w:rPr>
          <w:rFonts w:ascii="Times New Roman" w:eastAsiaTheme="minorHAnsi" w:hAnsi="Times New Roman" w:cs="Times New Roman"/>
          <w:sz w:val="20"/>
          <w:szCs w:val="20"/>
        </w:rPr>
        <w:t>ability uncertainty pertain</w:t>
      </w:r>
      <w:r>
        <w:rPr>
          <w:rFonts w:ascii="Times New Roman" w:eastAsiaTheme="minorHAnsi" w:hAnsi="Times New Roman" w:cs="Times New Roman"/>
          <w:sz w:val="20"/>
          <w:szCs w:val="20"/>
        </w:rPr>
        <w:t>ed</w:t>
      </w:r>
      <w:r w:rsidRPr="009113E1">
        <w:rPr>
          <w:rFonts w:ascii="Times New Roman" w:eastAsiaTheme="minorHAnsi" w:hAnsi="Times New Roman" w:cs="Times New Roman"/>
          <w:sz w:val="20"/>
          <w:szCs w:val="20"/>
        </w:rPr>
        <w:t xml:space="preserve"> specifically to the concerns the PBAC expressed regarding the applicability to the PBS population</w:t>
      </w:r>
      <w:r>
        <w:rPr>
          <w:rFonts w:ascii="Times New Roman" w:eastAsiaTheme="minorHAnsi" w:hAnsi="Times New Roman" w:cs="Times New Roman"/>
          <w:sz w:val="20"/>
          <w:szCs w:val="20"/>
        </w:rPr>
        <w:t xml:space="preserve"> without</w:t>
      </w:r>
      <w:r w:rsidR="001D0EDE">
        <w:rPr>
          <w:rFonts w:ascii="Times New Roman" w:eastAsiaTheme="minorHAnsi" w:hAnsi="Times New Roman" w:cs="Times New Roman" w:hint="eastAsia"/>
          <w:sz w:val="20"/>
          <w:szCs w:val="20"/>
        </w:rPr>
        <w:t xml:space="preserve"> consideration whether it could be </w:t>
      </w:r>
      <w:r w:rsidR="0045695F">
        <w:rPr>
          <w:rFonts w:ascii="Times New Roman" w:eastAsiaTheme="minorHAnsi" w:hAnsi="Times New Roman" w:cs="Times New Roman" w:hint="eastAsia"/>
          <w:sz w:val="20"/>
          <w:szCs w:val="20"/>
        </w:rPr>
        <w:t xml:space="preserve">explored using </w:t>
      </w:r>
      <w:r w:rsidRPr="009113E1">
        <w:rPr>
          <w:rFonts w:ascii="Times New Roman" w:eastAsiaTheme="minorHAnsi" w:hAnsi="Times New Roman" w:cs="Times New Roman"/>
          <w:sz w:val="20"/>
          <w:szCs w:val="20"/>
        </w:rPr>
        <w:t xml:space="preserve">alternative data sources (e.g., </w:t>
      </w:r>
      <w:r w:rsidRPr="00F303AA">
        <w:rPr>
          <w:rFonts w:ascii="Times New Roman" w:eastAsiaTheme="minorHAnsi" w:hAnsi="Times New Roman" w:cs="Times New Roman"/>
          <w:sz w:val="20"/>
          <w:szCs w:val="20"/>
        </w:rPr>
        <w:t xml:space="preserve">Intention-to-treat </w:t>
      </w:r>
      <w:r>
        <w:rPr>
          <w:rFonts w:ascii="Times New Roman" w:eastAsiaTheme="minorHAnsi" w:hAnsi="Times New Roman" w:cs="Times New Roman" w:hint="eastAsia"/>
          <w:sz w:val="20"/>
          <w:szCs w:val="20"/>
        </w:rPr>
        <w:t>(</w:t>
      </w:r>
      <w:r w:rsidRPr="009113E1">
        <w:rPr>
          <w:rFonts w:ascii="Times New Roman" w:eastAsiaTheme="minorHAnsi" w:hAnsi="Times New Roman" w:cs="Times New Roman"/>
          <w:sz w:val="20"/>
          <w:szCs w:val="20"/>
        </w:rPr>
        <w:t>ITT</w:t>
      </w:r>
      <w:r>
        <w:rPr>
          <w:rFonts w:ascii="Times New Roman" w:eastAsiaTheme="minorHAnsi" w:hAnsi="Times New Roman" w:cs="Times New Roman" w:hint="eastAsia"/>
          <w:sz w:val="20"/>
          <w:szCs w:val="20"/>
        </w:rPr>
        <w:t xml:space="preserve">) </w:t>
      </w:r>
      <w:r w:rsidRPr="009113E1">
        <w:rPr>
          <w:rFonts w:ascii="Times New Roman" w:eastAsiaTheme="minorHAnsi" w:hAnsi="Times New Roman" w:cs="Times New Roman"/>
          <w:sz w:val="20"/>
          <w:szCs w:val="20"/>
        </w:rPr>
        <w:t>population or subgroup population.</w:t>
      </w:r>
      <w:r w:rsidR="00CE4964">
        <w:rPr>
          <w:rFonts w:ascii="Times New Roman" w:eastAsiaTheme="minorHAnsi" w:hAnsi="Times New Roman" w:cs="Times New Roman"/>
          <w:sz w:val="20"/>
          <w:szCs w:val="20"/>
        </w:rPr>
        <w:t xml:space="preserve"> If the sponsor used the evidence which was based on </w:t>
      </w:r>
      <w:r w:rsidR="00F22C83">
        <w:rPr>
          <w:rFonts w:ascii="Times New Roman" w:eastAsiaTheme="minorHAnsi" w:hAnsi="Times New Roman" w:cs="Times New Roman"/>
          <w:sz w:val="20"/>
          <w:szCs w:val="20"/>
        </w:rPr>
        <w:t xml:space="preserve">the </w:t>
      </w:r>
      <w:r w:rsidR="00CE4964">
        <w:rPr>
          <w:rFonts w:ascii="Times New Roman" w:eastAsiaTheme="minorHAnsi" w:hAnsi="Times New Roman" w:cs="Times New Roman"/>
          <w:sz w:val="20"/>
          <w:szCs w:val="20"/>
        </w:rPr>
        <w:t>subgroup population</w:t>
      </w:r>
      <w:r w:rsidR="000D0F00">
        <w:rPr>
          <w:rFonts w:ascii="Times New Roman" w:eastAsiaTheme="minorHAnsi" w:hAnsi="Times New Roman" w:cs="Times New Roman"/>
          <w:sz w:val="20"/>
          <w:szCs w:val="20"/>
        </w:rPr>
        <w:t xml:space="preserve"> to explore generalisability uncertainty</w:t>
      </w:r>
      <w:r w:rsidR="00CE4964">
        <w:rPr>
          <w:rFonts w:ascii="Times New Roman" w:eastAsiaTheme="minorHAnsi" w:hAnsi="Times New Roman" w:cs="Times New Roman"/>
          <w:sz w:val="20"/>
          <w:szCs w:val="20"/>
        </w:rPr>
        <w:t xml:space="preserve">, </w:t>
      </w:r>
      <w:r w:rsidR="000D0F00">
        <w:rPr>
          <w:rFonts w:ascii="Times New Roman" w:eastAsiaTheme="minorHAnsi" w:hAnsi="Times New Roman" w:cs="Times New Roman"/>
          <w:sz w:val="20"/>
          <w:szCs w:val="20"/>
        </w:rPr>
        <w:t xml:space="preserve">the correspondent parameter uncertainty was </w:t>
      </w:r>
      <w:r w:rsidR="000D0F00" w:rsidRPr="000D0F00">
        <w:rPr>
          <w:rFonts w:ascii="Times New Roman" w:eastAsiaTheme="minorHAnsi" w:hAnsi="Times New Roman" w:cs="Times New Roman"/>
          <w:sz w:val="20"/>
          <w:szCs w:val="20"/>
        </w:rPr>
        <w:t>considered negligible</w:t>
      </w:r>
      <w:r w:rsidR="000D0F00">
        <w:rPr>
          <w:rFonts w:ascii="Times New Roman" w:eastAsiaTheme="minorHAnsi" w:hAnsi="Times New Roman" w:cs="Times New Roman"/>
          <w:sz w:val="20"/>
          <w:szCs w:val="20"/>
        </w:rPr>
        <w:t>.</w:t>
      </w:r>
    </w:p>
    <w:bookmarkEnd w:id="21"/>
    <w:p w14:paraId="57C5E3F0" w14:textId="77777777" w:rsidR="00542732" w:rsidRDefault="00542732" w:rsidP="009A1297">
      <w:pPr>
        <w:pStyle w:val="TableText"/>
        <w:adjustRightInd w:val="0"/>
        <w:snapToGrid w:val="0"/>
        <w:spacing w:line="360" w:lineRule="auto"/>
        <w:jc w:val="both"/>
        <w:rPr>
          <w:rFonts w:ascii="Times New Roman" w:eastAsiaTheme="minorEastAsia" w:hAnsi="Times New Roman" w:cs="Times New Roman"/>
          <w:b/>
          <w:sz w:val="20"/>
          <w:szCs w:val="20"/>
        </w:rPr>
      </w:pPr>
    </w:p>
    <w:p w14:paraId="2A2B3FDA" w14:textId="0DA39633" w:rsidR="009A1297" w:rsidRPr="00B51ED4" w:rsidRDefault="009A1297" w:rsidP="009A1297">
      <w:pPr>
        <w:pStyle w:val="TableText"/>
        <w:adjustRightInd w:val="0"/>
        <w:snapToGrid w:val="0"/>
        <w:spacing w:line="360" w:lineRule="auto"/>
        <w:jc w:val="both"/>
        <w:rPr>
          <w:rFonts w:ascii="Times New Roman" w:eastAsiaTheme="minorEastAsia" w:hAnsi="Times New Roman" w:cs="Times New Roman"/>
          <w:b/>
          <w:sz w:val="20"/>
          <w:szCs w:val="20"/>
        </w:rPr>
      </w:pPr>
      <w:r>
        <w:rPr>
          <w:rFonts w:ascii="Times New Roman" w:eastAsiaTheme="minorEastAsia" w:hAnsi="Times New Roman" w:cs="Times New Roman" w:hint="eastAsia"/>
          <w:b/>
          <w:sz w:val="20"/>
          <w:szCs w:val="20"/>
        </w:rPr>
        <w:t>2</w:t>
      </w:r>
      <w:r w:rsidRPr="00B51ED4">
        <w:rPr>
          <w:rFonts w:ascii="Times New Roman" w:eastAsiaTheme="minorEastAsia" w:hAnsi="Times New Roman" w:cs="Times New Roman"/>
          <w:b/>
          <w:sz w:val="20"/>
          <w:szCs w:val="20"/>
        </w:rPr>
        <w:t>.1 The patient characteristics in the economic model were not consistent with the PBS population</w:t>
      </w:r>
    </w:p>
    <w:p w14:paraId="583D560D" w14:textId="58A02B83" w:rsidR="009A1297" w:rsidRPr="000E3D38" w:rsidRDefault="009A1297" w:rsidP="009A1297">
      <w:pPr>
        <w:pStyle w:val="TableText"/>
        <w:adjustRightInd w:val="0"/>
        <w:snapToGrid w:val="0"/>
        <w:spacing w:after="120" w:line="360" w:lineRule="auto"/>
        <w:jc w:val="both"/>
        <w:rPr>
          <w:rFonts w:ascii="Times New Roman" w:eastAsiaTheme="minorEastAsia" w:hAnsi="Times New Roman" w:cs="Times New Roman"/>
          <w:sz w:val="20"/>
          <w:szCs w:val="20"/>
        </w:rPr>
      </w:pPr>
      <w:r w:rsidRPr="4F533E7D">
        <w:rPr>
          <w:rFonts w:ascii="Times New Roman" w:eastAsiaTheme="minorEastAsia" w:hAnsi="Times New Roman" w:cs="Times New Roman"/>
          <w:sz w:val="20"/>
          <w:szCs w:val="20"/>
        </w:rPr>
        <w:t xml:space="preserve">For instance, in the submission for glatiramer acetate for the treatment of a clinically isolated syndrome suggestive of multiple sclerosis </w:t>
      </w:r>
      <w:r w:rsidRPr="4F533E7D">
        <w:rPr>
          <w:rFonts w:ascii="Times New Roman" w:eastAsiaTheme="minorEastAsia" w:hAnsi="Times New Roman" w:cs="Times New Roman"/>
          <w:sz w:val="20"/>
          <w:szCs w:val="20"/>
        </w:rPr>
        <w:fldChar w:fldCharType="begin"/>
      </w:r>
      <w:r w:rsidR="00AD61C8">
        <w:rPr>
          <w:rFonts w:ascii="Times New Roman" w:eastAsiaTheme="minorEastAsia" w:hAnsi="Times New Roman" w:cs="Times New Roman"/>
          <w:sz w:val="20"/>
          <w:szCs w:val="20"/>
        </w:rPr>
        <w:instrText xml:space="preserve"> ADDIN EN.CITE &lt;EndNote&gt;&lt;Cite&gt;&lt;Author&gt;Pharmaceutical Benefits Advisory Committee&lt;/Author&gt;&lt;Year&gt;2021&lt;/Year&gt;&lt;RecNum&gt;19294&lt;/RecNum&gt;&lt;DisplayText&gt;[20]&lt;/DisplayText&gt;&lt;record&gt;&lt;rec-number&gt;19294&lt;/rec-number&gt;&lt;foreign-keys&gt;&lt;key app="EN" db-id="5zttwaa2gstv57epr5z5zxv325varaa5e9rp" timestamp="1681382871"&gt;19294&lt;/key&gt;&lt;/foreign-keys&gt;&lt;ref-type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Committee&lt;/author&gt;&lt;/secondary-authors&gt;&lt;/contributors&gt;&lt;titles&gt;&lt;title&gt;Glatiramer: Injection containing glatiramer acetate 20 mg in 1 mL single dose pre-filled syringe; Injection containing glatiramer acetate 40 mg in 1 mL single dose pre-filled syringe; Glatira®&lt;/title&gt;&lt;/titles&gt;&lt;dates&gt;&lt;year&gt;2021&lt;/year&gt;&lt;/dates&gt;&lt;urls&gt;&lt;related-urls&gt;&lt;url&gt;https://www.pbs.gov.au/info/industry/listing/elements/pbac-meetings/psd/2021-03/glatiramer-injection-containing-glatiramer-acetate-20-mg&lt;/url&gt;&lt;/related-urls&gt;&lt;/urls&gt;&lt;access-date&gt;30 Mar 2022&lt;/access-date&gt;&lt;/record&gt;&lt;/Cite&gt;&lt;/EndNote&gt;</w:instrText>
      </w:r>
      <w:r w:rsidRPr="4F533E7D">
        <w:rPr>
          <w:rFonts w:ascii="Times New Roman" w:eastAsiaTheme="minorEastAsia" w:hAnsi="Times New Roman" w:cs="Times New Roman"/>
          <w:sz w:val="20"/>
          <w:szCs w:val="20"/>
        </w:rPr>
        <w:fldChar w:fldCharType="separate"/>
      </w:r>
      <w:r w:rsidR="00AD61C8">
        <w:rPr>
          <w:rFonts w:ascii="Times New Roman" w:eastAsiaTheme="minorEastAsia" w:hAnsi="Times New Roman" w:cs="Times New Roman"/>
          <w:noProof/>
          <w:sz w:val="20"/>
          <w:szCs w:val="20"/>
        </w:rPr>
        <w:t>[20]</w:t>
      </w:r>
      <w:r w:rsidRPr="4F533E7D">
        <w:rPr>
          <w:rFonts w:ascii="Times New Roman" w:eastAsiaTheme="minorEastAsia" w:hAnsi="Times New Roman" w:cs="Times New Roman"/>
          <w:sz w:val="20"/>
          <w:szCs w:val="20"/>
        </w:rPr>
        <w:fldChar w:fldCharType="end"/>
      </w:r>
      <w:r w:rsidRPr="4F533E7D">
        <w:rPr>
          <w:rFonts w:ascii="Times New Roman" w:eastAsiaTheme="minorEastAsia" w:hAnsi="Times New Roman" w:cs="Times New Roman"/>
          <w:sz w:val="20"/>
          <w:szCs w:val="20"/>
        </w:rPr>
        <w:t xml:space="preserve">, the model estimation was based on a hypothetical cohort of patients thought to be at high risk of diagnosis with multiple sclerosis within five years, as determined by an </w:t>
      </w:r>
      <w:r w:rsidRPr="4F533E7D">
        <w:rPr>
          <w:rFonts w:ascii="Times New Roman" w:eastAsiaTheme="minorEastAsia" w:hAnsi="Times New Roman" w:cs="Times New Roman"/>
          <w:sz w:val="20"/>
          <w:szCs w:val="20"/>
        </w:rPr>
        <w:lastRenderedPageBreak/>
        <w:t>analysis of the MS Base patient database</w:t>
      </w:r>
      <w:r w:rsidRPr="00EF4CE3">
        <w:rPr>
          <w:vertAlign w:val="superscript"/>
        </w:rPr>
        <w:footnoteReference w:id="1"/>
      </w:r>
      <w:r w:rsidRPr="4F533E7D">
        <w:rPr>
          <w:rFonts w:ascii="Times New Roman" w:eastAsiaTheme="minorEastAsia" w:hAnsi="Times New Roman" w:cs="Times New Roman"/>
          <w:sz w:val="20"/>
          <w:szCs w:val="20"/>
        </w:rPr>
        <w:t>. The PBAC judged that it was unclear whether the proposed method would be effective in identifying patients at an equally high risk of multiple sclerosis diagnosis within the routine Australian population.</w:t>
      </w:r>
    </w:p>
    <w:p w14:paraId="17B38F35" w14:textId="77777777" w:rsidR="00542732" w:rsidRDefault="00542732" w:rsidP="009A1297">
      <w:pPr>
        <w:pStyle w:val="TableText"/>
        <w:adjustRightInd w:val="0"/>
        <w:snapToGrid w:val="0"/>
        <w:spacing w:line="360" w:lineRule="auto"/>
        <w:jc w:val="both"/>
        <w:rPr>
          <w:rFonts w:ascii="Times New Roman" w:eastAsiaTheme="minorEastAsia" w:hAnsi="Times New Roman" w:cs="Times New Roman"/>
          <w:b/>
          <w:sz w:val="20"/>
          <w:szCs w:val="20"/>
        </w:rPr>
      </w:pPr>
    </w:p>
    <w:p w14:paraId="441B11FB" w14:textId="123D9FD2" w:rsidR="009A1297" w:rsidRPr="00B51ED4" w:rsidRDefault="009A1297" w:rsidP="009A1297">
      <w:pPr>
        <w:pStyle w:val="TableText"/>
        <w:adjustRightInd w:val="0"/>
        <w:snapToGrid w:val="0"/>
        <w:spacing w:line="360" w:lineRule="auto"/>
        <w:jc w:val="both"/>
        <w:rPr>
          <w:rFonts w:ascii="Times New Roman" w:eastAsiaTheme="minorEastAsia" w:hAnsi="Times New Roman" w:cs="Times New Roman"/>
          <w:b/>
          <w:sz w:val="20"/>
          <w:szCs w:val="20"/>
        </w:rPr>
      </w:pPr>
      <w:r>
        <w:rPr>
          <w:rFonts w:ascii="Times New Roman" w:eastAsiaTheme="minorEastAsia" w:hAnsi="Times New Roman" w:cs="Times New Roman" w:hint="eastAsia"/>
          <w:b/>
          <w:sz w:val="20"/>
          <w:szCs w:val="20"/>
        </w:rPr>
        <w:t>2</w:t>
      </w:r>
      <w:r w:rsidRPr="00B51ED4">
        <w:rPr>
          <w:rFonts w:ascii="Times New Roman" w:eastAsiaTheme="minorEastAsia" w:hAnsi="Times New Roman" w:cs="Times New Roman"/>
          <w:b/>
          <w:sz w:val="20"/>
          <w:szCs w:val="20"/>
        </w:rPr>
        <w:t>.2 The patient characteristics in the clinical trials were not consistent with the PBS population</w:t>
      </w:r>
    </w:p>
    <w:p w14:paraId="5D8D9B2E" w14:textId="1862F1BB" w:rsidR="009A1297" w:rsidRPr="000E3D38" w:rsidRDefault="009A1297" w:rsidP="009A1297">
      <w:pPr>
        <w:pStyle w:val="TableText"/>
        <w:adjustRightInd w:val="0"/>
        <w:snapToGrid w:val="0"/>
        <w:spacing w:line="360" w:lineRule="auto"/>
        <w:jc w:val="both"/>
        <w:rPr>
          <w:rFonts w:ascii="Times New Roman" w:eastAsiaTheme="minorEastAsia" w:hAnsi="Times New Roman" w:cs="Times New Roman"/>
          <w:sz w:val="20"/>
          <w:szCs w:val="20"/>
        </w:rPr>
      </w:pPr>
      <w:r w:rsidRPr="4F533E7D">
        <w:rPr>
          <w:rFonts w:ascii="Times New Roman" w:eastAsiaTheme="minorEastAsia" w:hAnsi="Times New Roman" w:cs="Times New Roman"/>
          <w:sz w:val="20"/>
          <w:szCs w:val="20"/>
        </w:rPr>
        <w:t>For instance, in the submission for blinatumomab for the treatment of relapsed or refractory philadelphia negative B-precursor acute lymphoblastic leukaemia</w:t>
      </w:r>
      <w:r w:rsidR="00542732">
        <w:rPr>
          <w:rFonts w:ascii="Times New Roman" w:eastAsiaTheme="minorEastAsia" w:hAnsi="Times New Roman" w:cs="Times New Roman"/>
          <w:sz w:val="20"/>
          <w:szCs w:val="20"/>
        </w:rPr>
        <w:t xml:space="preserve"> </w:t>
      </w:r>
      <w:r w:rsidRPr="4F533E7D">
        <w:rPr>
          <w:rFonts w:ascii="Times New Roman" w:eastAsiaTheme="minorEastAsia" w:hAnsi="Times New Roman" w:cs="Times New Roman"/>
          <w:sz w:val="20"/>
          <w:szCs w:val="20"/>
        </w:rPr>
        <w:fldChar w:fldCharType="begin"/>
      </w:r>
      <w:r w:rsidR="00AD61C8">
        <w:rPr>
          <w:rFonts w:ascii="Times New Roman" w:eastAsiaTheme="minorEastAsia" w:hAnsi="Times New Roman" w:cs="Times New Roman"/>
          <w:sz w:val="20"/>
          <w:szCs w:val="20"/>
        </w:rPr>
        <w:instrText xml:space="preserve"> ADDIN EN.CITE &lt;EndNote&gt;&lt;Cite&gt;&lt;Author&gt;Pharmaceutical Benefits Advisory Committee&lt;/Author&gt;&lt;Year&gt;2015&lt;/Year&gt;&lt;RecNum&gt;19295&lt;/RecNum&gt;&lt;DisplayText&gt;[21]&lt;/DisplayText&gt;&lt;record&gt;&lt;rec-number&gt;19295&lt;/rec-number&gt;&lt;foreign-keys&gt;&lt;key app="EN" db-id="5zttwaa2gstv57epr5z5zxv325varaa5e9rp" timestamp="1681383246"&gt;19295&lt;/key&gt;&lt;/foreign-keys&gt;&lt;ref-type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Committee&lt;/author&gt;&lt;/secondary-authors&gt;&lt;/contributors&gt;&lt;titles&gt;&lt;title&gt;Blinatumomab: powder for IV infusion, 38.5 µg, Blincyto®&lt;/title&gt;&lt;/titles&gt;&lt;dates&gt;&lt;year&gt;2015&lt;/year&gt;&lt;/dates&gt;&lt;urls&gt;&lt;related-urls&gt;&lt;url&gt;https://www.pbs.gov.au/info/industry/listing/elements/pbac-meetings/psd/2015-11/blinatumomab-blincyto-psd-november-2015&lt;/url&gt;&lt;/related-urls&gt;&lt;/urls&gt;&lt;access-date&gt;30 Aug 2020&lt;/access-date&gt;&lt;/record&gt;&lt;/Cite&gt;&lt;/EndNote&gt;</w:instrText>
      </w:r>
      <w:r w:rsidRPr="4F533E7D">
        <w:rPr>
          <w:rFonts w:ascii="Times New Roman" w:eastAsiaTheme="minorEastAsia" w:hAnsi="Times New Roman" w:cs="Times New Roman"/>
          <w:sz w:val="20"/>
          <w:szCs w:val="20"/>
        </w:rPr>
        <w:fldChar w:fldCharType="separate"/>
      </w:r>
      <w:r w:rsidR="00AD61C8">
        <w:rPr>
          <w:rFonts w:ascii="Times New Roman" w:eastAsiaTheme="minorEastAsia" w:hAnsi="Times New Roman" w:cs="Times New Roman"/>
          <w:noProof/>
          <w:sz w:val="20"/>
          <w:szCs w:val="20"/>
        </w:rPr>
        <w:t>[21]</w:t>
      </w:r>
      <w:r w:rsidRPr="4F533E7D">
        <w:rPr>
          <w:rFonts w:ascii="Times New Roman" w:eastAsiaTheme="minorEastAsia" w:hAnsi="Times New Roman" w:cs="Times New Roman"/>
          <w:sz w:val="20"/>
          <w:szCs w:val="20"/>
        </w:rPr>
        <w:fldChar w:fldCharType="end"/>
      </w:r>
      <w:r w:rsidRPr="4F533E7D">
        <w:rPr>
          <w:rFonts w:ascii="Times New Roman" w:eastAsiaTheme="minorEastAsia" w:hAnsi="Times New Roman" w:cs="Times New Roman"/>
          <w:sz w:val="20"/>
          <w:szCs w:val="20"/>
        </w:rPr>
        <w:t xml:space="preserve">, patients in the key clinical trial had more severe diseases than those in the proposed PBS population. Therefore, the results from this study might underestimate the true effect in the proposed PBS population. </w:t>
      </w:r>
    </w:p>
    <w:p w14:paraId="1C871B1D" w14:textId="77777777" w:rsidR="009A1297" w:rsidRDefault="009A1297" w:rsidP="009A1297">
      <w:pPr>
        <w:pStyle w:val="TableText"/>
        <w:adjustRightInd w:val="0"/>
        <w:snapToGrid w:val="0"/>
        <w:spacing w:line="360" w:lineRule="auto"/>
        <w:jc w:val="both"/>
        <w:rPr>
          <w:rFonts w:ascii="Times New Roman" w:eastAsiaTheme="minorEastAsia" w:hAnsi="Times New Roman" w:cs="Times New Roman"/>
          <w:sz w:val="20"/>
          <w:szCs w:val="20"/>
        </w:rPr>
      </w:pPr>
    </w:p>
    <w:tbl>
      <w:tblPr>
        <w:tblStyle w:val="TableGrid"/>
        <w:tblW w:w="0" w:type="auto"/>
        <w:tblLook w:val="04A0" w:firstRow="1" w:lastRow="0" w:firstColumn="1" w:lastColumn="0" w:noHBand="0" w:noVBand="1"/>
      </w:tblPr>
      <w:tblGrid>
        <w:gridCol w:w="2689"/>
        <w:gridCol w:w="5607"/>
      </w:tblGrid>
      <w:tr w:rsidR="009A1297" w:rsidRPr="005668EA" w14:paraId="03925C0F" w14:textId="77777777" w:rsidTr="00CB0D0B">
        <w:trPr>
          <w:trHeight w:val="386"/>
        </w:trPr>
        <w:tc>
          <w:tcPr>
            <w:tcW w:w="2689" w:type="dxa"/>
            <w:vAlign w:val="center"/>
          </w:tcPr>
          <w:p w14:paraId="0627F47E" w14:textId="77777777" w:rsidR="009A1297" w:rsidRPr="005668EA" w:rsidRDefault="009A1297" w:rsidP="00CB0D0B">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vAlign w:val="center"/>
          </w:tcPr>
          <w:p w14:paraId="45DB27CA" w14:textId="77777777" w:rsidR="009A1297" w:rsidRPr="005668EA" w:rsidRDefault="009A1297" w:rsidP="00CB0D0B">
            <w:pPr>
              <w:pStyle w:val="EndNoteBibliography"/>
              <w:adjustRightInd w:val="0"/>
              <w:snapToGrid w:val="0"/>
              <w:spacing w:line="360" w:lineRule="auto"/>
              <w:rPr>
                <w:kern w:val="0"/>
                <w:szCs w:val="20"/>
              </w:rPr>
            </w:pPr>
            <w:r w:rsidRPr="005668EA">
              <w:rPr>
                <w:kern w:val="0"/>
                <w:szCs w:val="20"/>
              </w:rPr>
              <w:t xml:space="preserve">Was the submission involved one of uncertainty around </w:t>
            </w:r>
            <w:r>
              <w:rPr>
                <w:kern w:val="0"/>
                <w:szCs w:val="20"/>
              </w:rPr>
              <w:t>generalisability</w:t>
            </w:r>
            <w:r w:rsidRPr="005668EA">
              <w:rPr>
                <w:kern w:val="0"/>
                <w:szCs w:val="20"/>
              </w:rPr>
              <w:t>?</w:t>
            </w:r>
          </w:p>
        </w:tc>
      </w:tr>
      <w:tr w:rsidR="009A1297" w:rsidRPr="005668EA" w14:paraId="1BF2C6F9" w14:textId="77777777" w:rsidTr="00CB0D0B">
        <w:trPr>
          <w:trHeight w:val="188"/>
        </w:trPr>
        <w:tc>
          <w:tcPr>
            <w:tcW w:w="2689" w:type="dxa"/>
            <w:vAlign w:val="center"/>
          </w:tcPr>
          <w:p w14:paraId="20E25F9A" w14:textId="77777777" w:rsidR="009A1297" w:rsidRPr="005668EA" w:rsidRDefault="009A1297" w:rsidP="00CB0D0B">
            <w:pPr>
              <w:pStyle w:val="EndNoteBibliography"/>
              <w:adjustRightInd w:val="0"/>
              <w:snapToGrid w:val="0"/>
              <w:spacing w:line="360" w:lineRule="auto"/>
              <w:rPr>
                <w:kern w:val="0"/>
                <w:szCs w:val="20"/>
              </w:rPr>
            </w:pPr>
            <w:r w:rsidRPr="005668EA">
              <w:rPr>
                <w:kern w:val="0"/>
                <w:szCs w:val="20"/>
              </w:rPr>
              <w:t xml:space="preserve">Code </w:t>
            </w:r>
          </w:p>
        </w:tc>
        <w:tc>
          <w:tcPr>
            <w:tcW w:w="5607" w:type="dxa"/>
            <w:vAlign w:val="center"/>
          </w:tcPr>
          <w:p w14:paraId="277A5A9B" w14:textId="77777777" w:rsidR="009A1297" w:rsidRPr="005668EA" w:rsidRDefault="009A1297" w:rsidP="00CB0D0B">
            <w:pPr>
              <w:pStyle w:val="EndNoteBibliography"/>
              <w:adjustRightInd w:val="0"/>
              <w:snapToGrid w:val="0"/>
              <w:spacing w:line="360" w:lineRule="auto"/>
              <w:rPr>
                <w:kern w:val="0"/>
                <w:szCs w:val="20"/>
              </w:rPr>
            </w:pPr>
            <w:r>
              <w:rPr>
                <w:kern w:val="0"/>
                <w:szCs w:val="20"/>
              </w:rPr>
              <w:t>0 – yes, 1 – no</w:t>
            </w:r>
            <w:r w:rsidRPr="005668EA">
              <w:rPr>
                <w:kern w:val="0"/>
                <w:szCs w:val="20"/>
              </w:rPr>
              <w:t xml:space="preserve"> </w:t>
            </w:r>
          </w:p>
        </w:tc>
      </w:tr>
    </w:tbl>
    <w:p w14:paraId="0B148484" w14:textId="0914AC12" w:rsidR="005703C0" w:rsidRPr="005668EA" w:rsidRDefault="001A447C" w:rsidP="00C33017">
      <w:pPr>
        <w:pStyle w:val="Heading2"/>
        <w:adjustRightInd w:val="0"/>
        <w:snapToGrid w:val="0"/>
        <w:spacing w:before="480" w:after="120" w:line="360" w:lineRule="auto"/>
        <w:rPr>
          <w:rFonts w:ascii="Times New Roman" w:hAnsi="Times New Roman" w:cs="Times New Roman"/>
          <w:sz w:val="20"/>
          <w:szCs w:val="20"/>
        </w:rPr>
      </w:pPr>
      <w:r>
        <w:rPr>
          <w:rFonts w:ascii="Times New Roman" w:hAnsi="Times New Roman" w:cs="Times New Roman"/>
          <w:sz w:val="20"/>
          <w:szCs w:val="20"/>
        </w:rPr>
        <w:t>3</w:t>
      </w:r>
      <w:r w:rsidR="005703C0" w:rsidRPr="005668EA">
        <w:rPr>
          <w:rFonts w:ascii="Times New Roman" w:hAnsi="Times New Roman" w:cs="Times New Roman"/>
          <w:sz w:val="20"/>
          <w:szCs w:val="20"/>
        </w:rPr>
        <w:t xml:space="preserve">. Structural uncertainty </w:t>
      </w:r>
    </w:p>
    <w:p w14:paraId="2D2C6EE8" w14:textId="6B668BE7" w:rsidR="005703C0" w:rsidRDefault="005703C0" w:rsidP="00C15362">
      <w:pPr>
        <w:adjustRightInd w:val="0"/>
        <w:snapToGrid w:val="0"/>
        <w:spacing w:line="360" w:lineRule="auto"/>
        <w:rPr>
          <w:rFonts w:ascii="Times New Roman" w:hAnsi="Times New Roman" w:cs="Times New Roman"/>
          <w:sz w:val="20"/>
          <w:szCs w:val="20"/>
        </w:rPr>
      </w:pPr>
      <w:bookmarkStart w:id="22" w:name="_Hlk159182410"/>
      <w:r w:rsidRPr="005668EA">
        <w:rPr>
          <w:rFonts w:ascii="Times New Roman" w:hAnsi="Times New Roman" w:cs="Times New Roman"/>
          <w:sz w:val="20"/>
          <w:szCs w:val="20"/>
        </w:rPr>
        <w:t>Economic evaluations construct decision models to synthesise evidence from various sources to produce the cost-effectiveness of the proposed treatment.</w:t>
      </w:r>
      <w:r w:rsidRPr="005668EA" w:rsidDel="00C047C0">
        <w:rPr>
          <w:rFonts w:ascii="Times New Roman" w:hAnsi="Times New Roman" w:cs="Times New Roman"/>
          <w:sz w:val="20"/>
          <w:szCs w:val="20"/>
        </w:rPr>
        <w:t xml:space="preserve"> </w:t>
      </w:r>
      <w:r w:rsidRPr="005668EA">
        <w:rPr>
          <w:rFonts w:ascii="Times New Roman" w:hAnsi="Times New Roman" w:cs="Times New Roman"/>
          <w:sz w:val="20"/>
          <w:szCs w:val="20"/>
        </w:rPr>
        <w:t xml:space="preserve">The decision models are simplifications of actual </w:t>
      </w:r>
      <w:r w:rsidR="00443D3C" w:rsidRPr="4F533E7D">
        <w:rPr>
          <w:rFonts w:ascii="Times New Roman" w:hAnsi="Times New Roman" w:cs="Times New Roman"/>
          <w:sz w:val="20"/>
          <w:szCs w:val="20"/>
        </w:rPr>
        <w:t xml:space="preserve">processes of </w:t>
      </w:r>
      <w:r w:rsidRPr="005668EA">
        <w:rPr>
          <w:rFonts w:ascii="Times New Roman" w:hAnsi="Times New Roman" w:cs="Times New Roman"/>
          <w:sz w:val="20"/>
          <w:szCs w:val="20"/>
        </w:rPr>
        <w:t>disease and healthcare consumption proces</w:t>
      </w:r>
      <w:r w:rsidR="00DD5D74" w:rsidRPr="005668EA">
        <w:rPr>
          <w:rFonts w:ascii="Times New Roman" w:hAnsi="Times New Roman" w:cs="Times New Roman"/>
          <w:sz w:val="20"/>
          <w:szCs w:val="20"/>
        </w:rPr>
        <w:t>se</w:t>
      </w:r>
      <w:r w:rsidRPr="005668EA">
        <w:rPr>
          <w:rFonts w:ascii="Times New Roman" w:hAnsi="Times New Roman" w:cs="Times New Roman"/>
          <w:sz w:val="20"/>
          <w:szCs w:val="20"/>
        </w:rPr>
        <w:t>s. Appropriate assumptions need</w:t>
      </w:r>
      <w:r w:rsidR="00B32892">
        <w:rPr>
          <w:rFonts w:ascii="Times New Roman" w:hAnsi="Times New Roman" w:cs="Times New Roman"/>
          <w:sz w:val="20"/>
          <w:szCs w:val="20"/>
        </w:rPr>
        <w:t>ed</w:t>
      </w:r>
      <w:r w:rsidRPr="005668EA">
        <w:rPr>
          <w:rFonts w:ascii="Times New Roman" w:hAnsi="Times New Roman" w:cs="Times New Roman"/>
          <w:sz w:val="20"/>
          <w:szCs w:val="20"/>
        </w:rPr>
        <w:t xml:space="preserve"> to be made regarding which events, stages, or health states should be included or excluded, as well as how patients progress from one state to another. </w:t>
      </w:r>
      <w:r w:rsidR="005F488F" w:rsidRPr="4F533E7D">
        <w:rPr>
          <w:rFonts w:ascii="Times New Roman" w:hAnsi="Times New Roman" w:cs="Times New Roman"/>
          <w:sz w:val="20"/>
          <w:szCs w:val="20"/>
        </w:rPr>
        <w:t xml:space="preserve">Misalignment of these </w:t>
      </w:r>
      <w:r w:rsidRPr="005668EA">
        <w:rPr>
          <w:rFonts w:ascii="Times New Roman" w:hAnsi="Times New Roman" w:cs="Times New Roman"/>
          <w:sz w:val="20"/>
          <w:szCs w:val="20"/>
        </w:rPr>
        <w:t>assumptions with the nature of disease</w:t>
      </w:r>
      <w:r w:rsidR="005F488F" w:rsidRPr="4F533E7D">
        <w:rPr>
          <w:rFonts w:ascii="Times New Roman" w:hAnsi="Times New Roman" w:cs="Times New Roman"/>
          <w:sz w:val="20"/>
          <w:szCs w:val="20"/>
        </w:rPr>
        <w:t xml:space="preserve"> </w:t>
      </w:r>
      <w:r w:rsidRPr="005668EA">
        <w:rPr>
          <w:rFonts w:ascii="Times New Roman" w:hAnsi="Times New Roman" w:cs="Times New Roman"/>
          <w:sz w:val="20"/>
          <w:szCs w:val="20"/>
        </w:rPr>
        <w:t xml:space="preserve">can </w:t>
      </w:r>
      <w:r w:rsidR="005F488F" w:rsidRPr="4F533E7D">
        <w:rPr>
          <w:rFonts w:ascii="Times New Roman" w:hAnsi="Times New Roman" w:cs="Times New Roman"/>
          <w:sz w:val="20"/>
          <w:szCs w:val="20"/>
        </w:rPr>
        <w:t>cause</w:t>
      </w:r>
      <w:r w:rsidRPr="005668EA">
        <w:rPr>
          <w:rFonts w:ascii="Times New Roman" w:hAnsi="Times New Roman" w:cs="Times New Roman"/>
          <w:sz w:val="20"/>
          <w:szCs w:val="20"/>
        </w:rPr>
        <w:t xml:space="preserve"> structural uncertainty. Structural uncertainty was separated into two aspects: un</w:t>
      </w:r>
      <w:r w:rsidR="00230578" w:rsidRPr="005668EA">
        <w:rPr>
          <w:rFonts w:ascii="Times New Roman" w:hAnsi="Times New Roman" w:cs="Times New Roman"/>
          <w:sz w:val="20"/>
          <w:szCs w:val="20"/>
        </w:rPr>
        <w:t>parameterisable</w:t>
      </w:r>
      <w:r w:rsidRPr="005668EA">
        <w:rPr>
          <w:rFonts w:ascii="Times New Roman" w:hAnsi="Times New Roman" w:cs="Times New Roman"/>
          <w:sz w:val="20"/>
          <w:szCs w:val="20"/>
        </w:rPr>
        <w:t xml:space="preserve"> and </w:t>
      </w:r>
      <w:r w:rsidR="00687A2B">
        <w:rPr>
          <w:rFonts w:ascii="Times New Roman" w:hAnsi="Times New Roman" w:cs="Times New Roman"/>
          <w:sz w:val="20"/>
          <w:szCs w:val="20"/>
        </w:rPr>
        <w:t>parameteri</w:t>
      </w:r>
      <w:r w:rsidR="00687A2B">
        <w:rPr>
          <w:rFonts w:ascii="Times New Roman" w:hAnsi="Times New Roman" w:cs="Times New Roman" w:hint="eastAsia"/>
          <w:sz w:val="20"/>
          <w:szCs w:val="20"/>
        </w:rPr>
        <w:t>s</w:t>
      </w:r>
      <w:r w:rsidR="00687A2B">
        <w:rPr>
          <w:rFonts w:ascii="Times New Roman" w:hAnsi="Times New Roman" w:cs="Times New Roman"/>
          <w:sz w:val="20"/>
          <w:szCs w:val="20"/>
        </w:rPr>
        <w:t>able</w:t>
      </w:r>
      <w:bookmarkEnd w:id="22"/>
      <w:r w:rsidR="00687A2B">
        <w:rPr>
          <w:rFonts w:ascii="Times New Roman" w:hAnsi="Times New Roman" w:cs="Times New Roman" w:hint="eastAsia"/>
          <w:sz w:val="20"/>
          <w:szCs w:val="20"/>
        </w:rPr>
        <w:t xml:space="preserve"> uncertainty</w:t>
      </w:r>
      <w:r w:rsidRPr="005668EA">
        <w:rPr>
          <w:rFonts w:ascii="Times New Roman" w:hAnsi="Times New Roman" w:cs="Times New Roman"/>
          <w:sz w:val="20"/>
          <w:szCs w:val="20"/>
        </w:rPr>
        <w:t>.</w:t>
      </w:r>
    </w:p>
    <w:p w14:paraId="1CA7818A" w14:textId="349A06E9" w:rsidR="005703C0" w:rsidRPr="005668EA" w:rsidRDefault="001A447C" w:rsidP="00C33017">
      <w:pPr>
        <w:pStyle w:val="Heading3"/>
        <w:adjustRightInd w:val="0"/>
        <w:snapToGrid w:val="0"/>
        <w:spacing w:before="480" w:after="120" w:line="36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3</w:t>
      </w:r>
      <w:r w:rsidR="005703C0" w:rsidRPr="005668EA">
        <w:rPr>
          <w:rFonts w:ascii="Times New Roman" w:eastAsiaTheme="majorEastAsia" w:hAnsi="Times New Roman" w:cs="Times New Roman"/>
          <w:sz w:val="20"/>
          <w:szCs w:val="20"/>
        </w:rPr>
        <w:t>.1 Un</w:t>
      </w:r>
      <w:r w:rsidR="00230578" w:rsidRPr="005668EA">
        <w:rPr>
          <w:rFonts w:ascii="Times New Roman" w:eastAsiaTheme="majorEastAsia" w:hAnsi="Times New Roman" w:cs="Times New Roman"/>
          <w:sz w:val="20"/>
          <w:szCs w:val="20"/>
        </w:rPr>
        <w:t>parameterisable</w:t>
      </w:r>
      <w:r w:rsidR="005703C0" w:rsidRPr="005668EA">
        <w:rPr>
          <w:rFonts w:ascii="Times New Roman" w:eastAsiaTheme="majorEastAsia" w:hAnsi="Times New Roman" w:cs="Times New Roman"/>
          <w:sz w:val="20"/>
          <w:szCs w:val="20"/>
        </w:rPr>
        <w:t xml:space="preserve"> structural uncertainty</w:t>
      </w:r>
    </w:p>
    <w:p w14:paraId="61215B01" w14:textId="2B0C12E3" w:rsidR="005703C0" w:rsidRPr="005668EA" w:rsidRDefault="001A447C" w:rsidP="006C41A0">
      <w:pPr>
        <w:pStyle w:val="Heading4"/>
        <w:adjustRightInd w:val="0"/>
        <w:snapToGrid w:val="0"/>
        <w:spacing w:before="0" w:after="0" w:line="360" w:lineRule="auto"/>
        <w:rPr>
          <w:rFonts w:ascii="Times New Roman" w:hAnsi="Times New Roman" w:cs="Times New Roman"/>
          <w:sz w:val="20"/>
          <w:szCs w:val="20"/>
        </w:rPr>
      </w:pPr>
      <w:r>
        <w:rPr>
          <w:rFonts w:ascii="Times New Roman" w:hAnsi="Times New Roman" w:cs="Times New Roman"/>
          <w:sz w:val="20"/>
          <w:szCs w:val="20"/>
        </w:rPr>
        <w:t>3</w:t>
      </w:r>
      <w:r w:rsidR="005703C0" w:rsidRPr="005668EA">
        <w:rPr>
          <w:rFonts w:ascii="Times New Roman" w:hAnsi="Times New Roman" w:cs="Times New Roman"/>
          <w:sz w:val="20"/>
          <w:szCs w:val="20"/>
        </w:rPr>
        <w:t xml:space="preserve">.1.1 Uncertainty around health states </w:t>
      </w:r>
    </w:p>
    <w:p w14:paraId="1C2034FF" w14:textId="135367DA" w:rsidR="00327E24" w:rsidRDefault="005703C0" w:rsidP="006C41A0">
      <w:pPr>
        <w:adjustRightInd w:val="0"/>
        <w:snapToGrid w:val="0"/>
        <w:spacing w:after="120" w:line="360" w:lineRule="auto"/>
        <w:rPr>
          <w:rFonts w:ascii="Times New Roman" w:eastAsiaTheme="minorHAnsi" w:hAnsi="Times New Roman" w:cs="Times New Roman"/>
          <w:sz w:val="20"/>
          <w:szCs w:val="20"/>
        </w:rPr>
      </w:pPr>
      <w:bookmarkStart w:id="23" w:name="_Hlk159182527"/>
      <w:r w:rsidRPr="005668EA">
        <w:rPr>
          <w:rFonts w:ascii="Times New Roman" w:eastAsiaTheme="minorHAnsi" w:hAnsi="Times New Roman" w:cs="Times New Roman"/>
          <w:sz w:val="20"/>
          <w:szCs w:val="20"/>
        </w:rPr>
        <w:t xml:space="preserve">The model structure should capture all relevant health states or clinical events along the disease or condition pathway, </w:t>
      </w:r>
      <w:r w:rsidR="005F488F" w:rsidRPr="005F488F">
        <w:rPr>
          <w:rFonts w:ascii="Times New Roman" w:eastAsiaTheme="minorHAnsi" w:hAnsi="Times New Roman" w:cs="Times New Roman"/>
          <w:sz w:val="20"/>
          <w:szCs w:val="20"/>
        </w:rPr>
        <w:t>ensuring alignment</w:t>
      </w:r>
      <w:r w:rsidR="005F488F">
        <w:rPr>
          <w:rFonts w:ascii="Times New Roman" w:eastAsiaTheme="minorHAnsi" w:hAnsi="Times New Roman" w:cs="Times New Roman"/>
          <w:sz w:val="20"/>
          <w:szCs w:val="20"/>
        </w:rPr>
        <w:t xml:space="preserve"> </w:t>
      </w:r>
      <w:r w:rsidRPr="005668EA">
        <w:rPr>
          <w:rFonts w:ascii="Times New Roman" w:eastAsiaTheme="minorHAnsi" w:hAnsi="Times New Roman" w:cs="Times New Roman"/>
          <w:sz w:val="20"/>
          <w:szCs w:val="20"/>
        </w:rPr>
        <w:t xml:space="preserve">with the treatment and disease algorithms applicable in </w:t>
      </w:r>
      <w:r w:rsidR="00910F00">
        <w:rPr>
          <w:rFonts w:ascii="Times New Roman" w:eastAsiaTheme="minorHAnsi" w:hAnsi="Times New Roman" w:cs="Times New Roman" w:hint="eastAsia"/>
          <w:sz w:val="20"/>
          <w:szCs w:val="20"/>
        </w:rPr>
        <w:t xml:space="preserve">the </w:t>
      </w:r>
      <w:r w:rsidRPr="005668EA">
        <w:rPr>
          <w:rFonts w:ascii="Times New Roman" w:eastAsiaTheme="minorHAnsi" w:hAnsi="Times New Roman" w:cs="Times New Roman"/>
          <w:sz w:val="20"/>
          <w:szCs w:val="20"/>
        </w:rPr>
        <w:t xml:space="preserve">Australian setting. </w:t>
      </w:r>
    </w:p>
    <w:p w14:paraId="19C2358A" w14:textId="41F14103" w:rsidR="00327E24" w:rsidRPr="005668EA" w:rsidRDefault="005703C0" w:rsidP="006C41A0">
      <w:pPr>
        <w:adjustRightInd w:val="0"/>
        <w:snapToGrid w:val="0"/>
        <w:spacing w:after="120" w:line="360" w:lineRule="auto"/>
        <w:rPr>
          <w:rFonts w:ascii="Times New Roman" w:hAnsi="Times New Roman" w:cs="Times New Roman"/>
          <w:sz w:val="20"/>
          <w:szCs w:val="20"/>
        </w:rPr>
      </w:pPr>
      <w:r w:rsidRPr="4F533E7D">
        <w:rPr>
          <w:rFonts w:ascii="Times New Roman" w:hAnsi="Times New Roman" w:cs="Times New Roman"/>
          <w:sz w:val="20"/>
          <w:szCs w:val="20"/>
        </w:rPr>
        <w:t>In economic evaluation</w:t>
      </w:r>
      <w:r w:rsidR="00542732">
        <w:rPr>
          <w:rFonts w:ascii="Times New Roman" w:hAnsi="Times New Roman" w:cs="Times New Roman"/>
          <w:sz w:val="20"/>
          <w:szCs w:val="20"/>
        </w:rPr>
        <w:t>s</w:t>
      </w:r>
      <w:r w:rsidRPr="4F533E7D">
        <w:rPr>
          <w:rFonts w:ascii="Times New Roman" w:hAnsi="Times New Roman" w:cs="Times New Roman"/>
          <w:sz w:val="20"/>
          <w:szCs w:val="20"/>
        </w:rPr>
        <w:t xml:space="preserve">, a health state refers to a clinical event that occurs </w:t>
      </w:r>
      <w:r w:rsidR="005F488F" w:rsidRPr="4F533E7D">
        <w:rPr>
          <w:rFonts w:ascii="Times New Roman" w:hAnsi="Times New Roman" w:cs="Times New Roman"/>
          <w:sz w:val="20"/>
          <w:szCs w:val="20"/>
        </w:rPr>
        <w:t xml:space="preserve">during </w:t>
      </w:r>
      <w:r w:rsidRPr="4F533E7D">
        <w:rPr>
          <w:rFonts w:ascii="Times New Roman" w:hAnsi="Times New Roman" w:cs="Times New Roman"/>
          <w:sz w:val="20"/>
          <w:szCs w:val="20"/>
        </w:rPr>
        <w:t>disease</w:t>
      </w:r>
      <w:r w:rsidR="00910F00" w:rsidRPr="4F533E7D">
        <w:rPr>
          <w:rFonts w:ascii="Times New Roman" w:hAnsi="Times New Roman" w:cs="Times New Roman"/>
          <w:sz w:val="20"/>
          <w:szCs w:val="20"/>
        </w:rPr>
        <w:t xml:space="preserve"> progression</w:t>
      </w:r>
      <w:r w:rsidRPr="4F533E7D">
        <w:rPr>
          <w:rFonts w:ascii="Times New Roman" w:hAnsi="Times New Roman" w:cs="Times New Roman"/>
          <w:sz w:val="20"/>
          <w:szCs w:val="20"/>
        </w:rPr>
        <w:t xml:space="preserve">. The definition of a clinical event is critical in determining clinical effectiveness. For instance, when translating continuous data into dichotomous data to define health states, </w:t>
      </w:r>
      <w:r w:rsidR="00327E24" w:rsidRPr="4F533E7D">
        <w:rPr>
          <w:rFonts w:ascii="Times New Roman" w:hAnsi="Times New Roman" w:cs="Times New Roman"/>
          <w:sz w:val="20"/>
          <w:szCs w:val="20"/>
        </w:rPr>
        <w:t xml:space="preserve">uncertainty around health states </w:t>
      </w:r>
      <w:r w:rsidR="00910F00" w:rsidRPr="4F533E7D">
        <w:rPr>
          <w:rFonts w:ascii="Times New Roman" w:hAnsi="Times New Roman" w:cs="Times New Roman"/>
          <w:sz w:val="20"/>
          <w:szCs w:val="20"/>
        </w:rPr>
        <w:t xml:space="preserve">could </w:t>
      </w:r>
      <w:r w:rsidR="005F488F" w:rsidRPr="4F533E7D">
        <w:rPr>
          <w:rFonts w:ascii="Times New Roman" w:hAnsi="Times New Roman" w:cs="Times New Roman"/>
          <w:sz w:val="20"/>
          <w:szCs w:val="20"/>
        </w:rPr>
        <w:t>ar</w:t>
      </w:r>
      <w:r w:rsidR="00910F00" w:rsidRPr="4F533E7D">
        <w:rPr>
          <w:rFonts w:ascii="Times New Roman" w:hAnsi="Times New Roman" w:cs="Times New Roman"/>
          <w:sz w:val="20"/>
          <w:szCs w:val="20"/>
        </w:rPr>
        <w:t>i</w:t>
      </w:r>
      <w:r w:rsidR="005F488F" w:rsidRPr="4F533E7D">
        <w:rPr>
          <w:rFonts w:ascii="Times New Roman" w:hAnsi="Times New Roman" w:cs="Times New Roman"/>
          <w:sz w:val="20"/>
          <w:szCs w:val="20"/>
        </w:rPr>
        <w:t xml:space="preserve">se </w:t>
      </w:r>
      <w:r w:rsidR="00327E24" w:rsidRPr="4F533E7D">
        <w:rPr>
          <w:rFonts w:ascii="Times New Roman" w:hAnsi="Times New Roman" w:cs="Times New Roman"/>
          <w:sz w:val="20"/>
          <w:szCs w:val="20"/>
        </w:rPr>
        <w:t xml:space="preserve">if the threshold used to convert the data </w:t>
      </w:r>
      <w:r w:rsidR="005F488F" w:rsidRPr="4F533E7D">
        <w:rPr>
          <w:rFonts w:ascii="Times New Roman" w:hAnsi="Times New Roman" w:cs="Times New Roman"/>
          <w:sz w:val="20"/>
          <w:szCs w:val="20"/>
        </w:rPr>
        <w:t xml:space="preserve">was </w:t>
      </w:r>
      <w:r w:rsidR="00327E24" w:rsidRPr="4F533E7D">
        <w:rPr>
          <w:rFonts w:ascii="Times New Roman" w:hAnsi="Times New Roman" w:cs="Times New Roman"/>
          <w:sz w:val="20"/>
          <w:szCs w:val="20"/>
        </w:rPr>
        <w:t xml:space="preserve">not adequately justified. Unparameterisable structural uncertainty </w:t>
      </w:r>
      <w:r w:rsidR="005F488F" w:rsidRPr="4F533E7D">
        <w:rPr>
          <w:rFonts w:ascii="Times New Roman" w:hAnsi="Times New Roman" w:cs="Times New Roman"/>
          <w:sz w:val="20"/>
          <w:szCs w:val="20"/>
        </w:rPr>
        <w:t xml:space="preserve">occurred </w:t>
      </w:r>
      <w:r w:rsidR="00327E24" w:rsidRPr="4F533E7D">
        <w:rPr>
          <w:rFonts w:ascii="Times New Roman" w:hAnsi="Times New Roman" w:cs="Times New Roman"/>
          <w:sz w:val="20"/>
          <w:szCs w:val="20"/>
        </w:rPr>
        <w:t xml:space="preserve">if the PBAC </w:t>
      </w:r>
      <w:r w:rsidR="005F488F" w:rsidRPr="4F533E7D">
        <w:rPr>
          <w:rFonts w:ascii="Times New Roman" w:hAnsi="Times New Roman" w:cs="Times New Roman"/>
          <w:sz w:val="20"/>
          <w:szCs w:val="20"/>
        </w:rPr>
        <w:t xml:space="preserve">judged </w:t>
      </w:r>
      <w:r w:rsidR="00327E24" w:rsidRPr="4F533E7D">
        <w:rPr>
          <w:rFonts w:ascii="Times New Roman" w:hAnsi="Times New Roman" w:cs="Times New Roman"/>
          <w:sz w:val="20"/>
          <w:szCs w:val="20"/>
        </w:rPr>
        <w:t>any of the following issues in a submission</w:t>
      </w:r>
      <w:r w:rsidR="00542732">
        <w:rPr>
          <w:rFonts w:ascii="Times New Roman" w:hAnsi="Times New Roman" w:cs="Times New Roman"/>
          <w:sz w:val="20"/>
          <w:szCs w:val="20"/>
        </w:rPr>
        <w:t>.</w:t>
      </w:r>
    </w:p>
    <w:bookmarkEnd w:id="23"/>
    <w:p w14:paraId="28CAA5EC" w14:textId="0D8DA195" w:rsidR="005703C0" w:rsidRPr="005668EA" w:rsidRDefault="00542732" w:rsidP="006C41A0">
      <w:pPr>
        <w:pStyle w:val="Heading5"/>
        <w:adjustRightInd w:val="0"/>
        <w:snapToGrid w:val="0"/>
        <w:spacing w:before="0" w:after="0" w:line="36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lastRenderedPageBreak/>
        <w:t>3</w:t>
      </w:r>
      <w:r w:rsidR="005703C0" w:rsidRPr="4F533E7D">
        <w:rPr>
          <w:rFonts w:ascii="Times New Roman" w:eastAsiaTheme="majorEastAsia" w:hAnsi="Times New Roman" w:cs="Times New Roman"/>
          <w:sz w:val="20"/>
          <w:szCs w:val="20"/>
        </w:rPr>
        <w:t xml:space="preserve">.1.1.1 Health states were too simple or too </w:t>
      </w:r>
      <w:r w:rsidR="009B04D1" w:rsidRPr="4F533E7D">
        <w:rPr>
          <w:rFonts w:ascii="Times New Roman" w:eastAsiaTheme="majorEastAsia" w:hAnsi="Times New Roman" w:cs="Times New Roman"/>
          <w:sz w:val="20"/>
          <w:szCs w:val="20"/>
        </w:rPr>
        <w:t>complicated</w:t>
      </w:r>
    </w:p>
    <w:p w14:paraId="74118E50" w14:textId="5DECB8E0" w:rsidR="009E158E" w:rsidRPr="005668EA" w:rsidRDefault="00C62E40" w:rsidP="006C41A0">
      <w:pPr>
        <w:widowControl/>
        <w:adjustRightInd w:val="0"/>
        <w:snapToGrid w:val="0"/>
        <w:spacing w:after="120" w:line="360" w:lineRule="auto"/>
        <w:rPr>
          <w:rFonts w:ascii="Times New Roman" w:hAnsi="Times New Roman" w:cs="Times New Roman"/>
          <w:sz w:val="20"/>
          <w:szCs w:val="20"/>
        </w:rPr>
      </w:pPr>
      <w:bookmarkStart w:id="24" w:name="_Hlk159183040"/>
      <w:r w:rsidRPr="4F533E7D">
        <w:rPr>
          <w:rFonts w:ascii="Times New Roman" w:hAnsi="Times New Roman" w:cs="Times New Roman"/>
          <w:sz w:val="20"/>
          <w:szCs w:val="20"/>
        </w:rPr>
        <w:t>The appropriateness of</w:t>
      </w:r>
      <w:r w:rsidR="005703C0" w:rsidRPr="4F533E7D">
        <w:rPr>
          <w:rFonts w:ascii="Times New Roman" w:hAnsi="Times New Roman" w:cs="Times New Roman"/>
          <w:sz w:val="20"/>
          <w:szCs w:val="20"/>
        </w:rPr>
        <w:t xml:space="preserve"> health states in a model </w:t>
      </w:r>
      <w:r w:rsidR="00B32892">
        <w:rPr>
          <w:rFonts w:ascii="Times New Roman" w:hAnsi="Times New Roman" w:cs="Times New Roman"/>
          <w:sz w:val="20"/>
          <w:szCs w:val="20"/>
        </w:rPr>
        <w:t>wa</w:t>
      </w:r>
      <w:r w:rsidR="00B32892" w:rsidRPr="4F533E7D">
        <w:rPr>
          <w:rFonts w:ascii="Times New Roman" w:hAnsi="Times New Roman" w:cs="Times New Roman"/>
          <w:sz w:val="20"/>
          <w:szCs w:val="20"/>
        </w:rPr>
        <w:t xml:space="preserve">s </w:t>
      </w:r>
      <w:r w:rsidR="005703C0" w:rsidRPr="4F533E7D">
        <w:rPr>
          <w:rFonts w:ascii="Times New Roman" w:hAnsi="Times New Roman" w:cs="Times New Roman"/>
          <w:sz w:val="20"/>
          <w:szCs w:val="20"/>
        </w:rPr>
        <w:t xml:space="preserve">determined by the nature of the target disease. </w:t>
      </w:r>
      <w:r w:rsidR="00E37FAB" w:rsidRPr="4F533E7D">
        <w:rPr>
          <w:rFonts w:ascii="Times New Roman" w:hAnsi="Times New Roman" w:cs="Times New Roman"/>
          <w:sz w:val="20"/>
          <w:szCs w:val="20"/>
        </w:rPr>
        <w:t xml:space="preserve">For instance, in the submission </w:t>
      </w:r>
      <w:r w:rsidR="5E99B7F9" w:rsidRPr="4F533E7D">
        <w:rPr>
          <w:rFonts w:ascii="Times New Roman" w:hAnsi="Times New Roman" w:cs="Times New Roman"/>
          <w:sz w:val="20"/>
          <w:szCs w:val="20"/>
        </w:rPr>
        <w:t xml:space="preserve">for </w:t>
      </w:r>
      <w:r w:rsidR="00513777" w:rsidRPr="4F533E7D">
        <w:rPr>
          <w:rFonts w:ascii="Times New Roman" w:hAnsi="Times New Roman" w:cs="Times New Roman"/>
          <w:sz w:val="20"/>
          <w:szCs w:val="20"/>
        </w:rPr>
        <w:t>ciclosporin for the treatment of patients with severe keratitis with dry eye disease</w:t>
      </w:r>
      <w:r w:rsidR="007B29D6" w:rsidRPr="4F533E7D">
        <w:rPr>
          <w:rFonts w:ascii="Times New Roman" w:hAnsi="Times New Roman" w:cs="Times New Roman"/>
          <w:sz w:val="20"/>
          <w:szCs w:val="20"/>
        </w:rPr>
        <w:t>, t</w:t>
      </w:r>
      <w:r w:rsidR="00EC6249" w:rsidRPr="4F533E7D">
        <w:rPr>
          <w:rFonts w:ascii="Times New Roman" w:hAnsi="Times New Roman" w:cs="Times New Roman"/>
          <w:sz w:val="20"/>
          <w:szCs w:val="20"/>
        </w:rPr>
        <w:t xml:space="preserve">he </w:t>
      </w:r>
      <w:r w:rsidR="0A8F0C21" w:rsidRPr="4F533E7D">
        <w:rPr>
          <w:rFonts w:ascii="Times New Roman" w:hAnsi="Times New Roman" w:cs="Times New Roman"/>
          <w:sz w:val="20"/>
          <w:szCs w:val="20"/>
        </w:rPr>
        <w:t>model had</w:t>
      </w:r>
      <w:r w:rsidR="3099CEF6" w:rsidRPr="4F533E7D">
        <w:rPr>
          <w:rFonts w:ascii="Times New Roman" w:hAnsi="Times New Roman" w:cs="Times New Roman"/>
          <w:sz w:val="20"/>
          <w:szCs w:val="20"/>
        </w:rPr>
        <w:t xml:space="preserve"> </w:t>
      </w:r>
      <w:r w:rsidRPr="4F533E7D">
        <w:rPr>
          <w:rFonts w:ascii="Times New Roman" w:hAnsi="Times New Roman" w:cs="Times New Roman"/>
          <w:sz w:val="20"/>
          <w:szCs w:val="20"/>
        </w:rPr>
        <w:t>four</w:t>
      </w:r>
      <w:r w:rsidR="009E158E" w:rsidRPr="4F533E7D">
        <w:rPr>
          <w:rFonts w:ascii="Times New Roman" w:hAnsi="Times New Roman" w:cs="Times New Roman"/>
          <w:sz w:val="20"/>
          <w:szCs w:val="20"/>
        </w:rPr>
        <w:t xml:space="preserve"> health states (</w:t>
      </w:r>
      <w:r w:rsidR="008A4278" w:rsidRPr="4F533E7D">
        <w:rPr>
          <w:rFonts w:ascii="Times New Roman" w:hAnsi="Times New Roman" w:cs="Times New Roman"/>
          <w:sz w:val="20"/>
          <w:szCs w:val="20"/>
        </w:rPr>
        <w:t>t</w:t>
      </w:r>
      <w:r w:rsidR="009E158E" w:rsidRPr="4F533E7D">
        <w:rPr>
          <w:rFonts w:ascii="Times New Roman" w:hAnsi="Times New Roman" w:cs="Times New Roman"/>
          <w:sz w:val="20"/>
          <w:szCs w:val="20"/>
        </w:rPr>
        <w:t xml:space="preserve">reatment initiation, </w:t>
      </w:r>
      <w:r w:rsidR="008A4278" w:rsidRPr="4F533E7D">
        <w:rPr>
          <w:rFonts w:ascii="Times New Roman" w:hAnsi="Times New Roman" w:cs="Times New Roman"/>
          <w:sz w:val="20"/>
          <w:szCs w:val="20"/>
        </w:rPr>
        <w:t>i</w:t>
      </w:r>
      <w:r w:rsidR="009E158E" w:rsidRPr="4F533E7D">
        <w:rPr>
          <w:rFonts w:ascii="Times New Roman" w:hAnsi="Times New Roman" w:cs="Times New Roman"/>
          <w:sz w:val="20"/>
          <w:szCs w:val="20"/>
        </w:rPr>
        <w:t xml:space="preserve">n response, </w:t>
      </w:r>
      <w:r w:rsidR="008A4278" w:rsidRPr="4F533E7D">
        <w:rPr>
          <w:rFonts w:ascii="Times New Roman" w:hAnsi="Times New Roman" w:cs="Times New Roman"/>
          <w:sz w:val="20"/>
          <w:szCs w:val="20"/>
        </w:rPr>
        <w:t>n</w:t>
      </w:r>
      <w:r w:rsidR="009E158E" w:rsidRPr="4F533E7D">
        <w:rPr>
          <w:rFonts w:ascii="Times New Roman" w:hAnsi="Times New Roman" w:cs="Times New Roman"/>
          <w:sz w:val="20"/>
          <w:szCs w:val="20"/>
        </w:rPr>
        <w:t xml:space="preserve">ot in response, </w:t>
      </w:r>
      <w:r w:rsidR="008A4278" w:rsidRPr="4F533E7D">
        <w:rPr>
          <w:rFonts w:ascii="Times New Roman" w:hAnsi="Times New Roman" w:cs="Times New Roman"/>
          <w:sz w:val="20"/>
          <w:szCs w:val="20"/>
        </w:rPr>
        <w:t>d</w:t>
      </w:r>
      <w:r w:rsidR="009E158E" w:rsidRPr="4F533E7D">
        <w:rPr>
          <w:rFonts w:ascii="Times New Roman" w:hAnsi="Times New Roman" w:cs="Times New Roman"/>
          <w:sz w:val="20"/>
          <w:szCs w:val="20"/>
        </w:rPr>
        <w:t xml:space="preserve">ead). The model presented was an adaptation of a model previously assessed by </w:t>
      </w:r>
      <w:r w:rsidR="00DD5D74" w:rsidRPr="4F533E7D">
        <w:rPr>
          <w:rFonts w:ascii="Times New Roman" w:hAnsi="Times New Roman" w:cs="Times New Roman"/>
          <w:sz w:val="20"/>
          <w:szCs w:val="20"/>
        </w:rPr>
        <w:t xml:space="preserve">the </w:t>
      </w:r>
      <w:r w:rsidR="00AA7842" w:rsidRPr="005668EA">
        <w:rPr>
          <w:rFonts w:ascii="Times New Roman" w:eastAsia="SimSun" w:hAnsi="Times New Roman" w:cs="Times New Roman"/>
          <w:kern w:val="0"/>
          <w:sz w:val="20"/>
          <w:szCs w:val="20"/>
        </w:rPr>
        <w:t>NICE</w:t>
      </w:r>
      <w:r w:rsidR="00D74A3E" w:rsidRPr="005668EA">
        <w:rPr>
          <w:rFonts w:ascii="Times New Roman" w:eastAsia="SimSun" w:hAnsi="Times New Roman" w:cs="Times New Roman"/>
          <w:kern w:val="0"/>
          <w:sz w:val="20"/>
          <w:szCs w:val="20"/>
        </w:rPr>
        <w:t xml:space="preserve"> and</w:t>
      </w:r>
      <w:r w:rsidR="009E158E" w:rsidRPr="4F533E7D">
        <w:rPr>
          <w:rFonts w:ascii="Times New Roman" w:hAnsi="Times New Roman" w:cs="Times New Roman"/>
          <w:sz w:val="20"/>
          <w:szCs w:val="20"/>
        </w:rPr>
        <w:t xml:space="preserve"> for the same indication </w:t>
      </w:r>
      <w:r w:rsidR="00D74A3E" w:rsidRPr="00F22C83">
        <w:rPr>
          <w:rFonts w:ascii="Times New Roman" w:hAnsi="Times New Roman" w:cs="Times New Roman"/>
          <w:sz w:val="20"/>
          <w:szCs w:val="20"/>
        </w:rPr>
        <w:t>a</w:t>
      </w:r>
      <w:r w:rsidR="00F22C83" w:rsidRPr="00F22C83">
        <w:rPr>
          <w:rFonts w:ascii="Times New Roman" w:hAnsi="Times New Roman" w:cs="Times New Roman"/>
          <w:sz w:val="20"/>
          <w:szCs w:val="20"/>
        </w:rPr>
        <w:t>s</w:t>
      </w:r>
      <w:r w:rsidR="00AE6F59" w:rsidRPr="00F22C83">
        <w:rPr>
          <w:rFonts w:ascii="Times New Roman" w:hAnsi="Times New Roman" w:cs="Times New Roman"/>
          <w:sz w:val="20"/>
          <w:szCs w:val="20"/>
        </w:rPr>
        <w:t xml:space="preserve"> </w:t>
      </w:r>
      <w:r w:rsidR="00F22C83" w:rsidRPr="00F22C83">
        <w:rPr>
          <w:rFonts w:ascii="Times New Roman" w:hAnsi="Times New Roman" w:cs="Times New Roman"/>
          <w:sz w:val="20"/>
          <w:szCs w:val="20"/>
        </w:rPr>
        <w:t xml:space="preserve">the </w:t>
      </w:r>
      <w:r w:rsidR="00F703EE" w:rsidRPr="00F22C83">
        <w:rPr>
          <w:rFonts w:ascii="Times New Roman" w:hAnsi="Times New Roman" w:cs="Times New Roman"/>
          <w:sz w:val="20"/>
          <w:szCs w:val="20"/>
        </w:rPr>
        <w:t>Scottish</w:t>
      </w:r>
      <w:r w:rsidR="00F703EE" w:rsidRPr="4F533E7D">
        <w:rPr>
          <w:rFonts w:ascii="Times New Roman" w:hAnsi="Times New Roman" w:cs="Times New Roman"/>
          <w:sz w:val="20"/>
          <w:szCs w:val="20"/>
        </w:rPr>
        <w:t xml:space="preserve"> Medicines </w:t>
      </w:r>
      <w:r w:rsidR="00776AB3" w:rsidRPr="4F533E7D">
        <w:rPr>
          <w:rFonts w:ascii="Times New Roman" w:hAnsi="Times New Roman" w:cs="Times New Roman"/>
          <w:sz w:val="20"/>
          <w:szCs w:val="20"/>
        </w:rPr>
        <w:t>Consortium (</w:t>
      </w:r>
      <w:r w:rsidR="00AA7842" w:rsidRPr="4F533E7D">
        <w:rPr>
          <w:rFonts w:ascii="Times New Roman" w:hAnsi="Times New Roman" w:cs="Times New Roman"/>
          <w:sz w:val="20"/>
          <w:szCs w:val="20"/>
        </w:rPr>
        <w:t>SMC)</w:t>
      </w:r>
      <w:r w:rsidRPr="4F533E7D">
        <w:rPr>
          <w:rFonts w:ascii="Times New Roman" w:hAnsi="Times New Roman" w:cs="Times New Roman"/>
          <w:sz w:val="20"/>
          <w:szCs w:val="20"/>
        </w:rPr>
        <w:t xml:space="preserve">, which </w:t>
      </w:r>
      <w:r w:rsidR="009E158E" w:rsidRPr="4F533E7D">
        <w:rPr>
          <w:rFonts w:ascii="Times New Roman" w:hAnsi="Times New Roman" w:cs="Times New Roman"/>
          <w:sz w:val="20"/>
          <w:szCs w:val="20"/>
        </w:rPr>
        <w:t xml:space="preserve">had </w:t>
      </w:r>
      <w:r w:rsidR="007B29D6" w:rsidRPr="4F533E7D">
        <w:rPr>
          <w:rFonts w:ascii="Times New Roman" w:hAnsi="Times New Roman" w:cs="Times New Roman"/>
          <w:sz w:val="20"/>
          <w:szCs w:val="20"/>
        </w:rPr>
        <w:t xml:space="preserve">seven </w:t>
      </w:r>
      <w:r w:rsidR="009E158E" w:rsidRPr="4F533E7D">
        <w:rPr>
          <w:rFonts w:ascii="Times New Roman" w:hAnsi="Times New Roman" w:cs="Times New Roman"/>
          <w:sz w:val="20"/>
          <w:szCs w:val="20"/>
        </w:rPr>
        <w:t xml:space="preserve">health states. The main differences were </w:t>
      </w:r>
      <w:r w:rsidR="001A52D0" w:rsidRPr="4F533E7D">
        <w:rPr>
          <w:rFonts w:ascii="Times New Roman" w:hAnsi="Times New Roman" w:cs="Times New Roman"/>
          <w:sz w:val="20"/>
          <w:szCs w:val="20"/>
        </w:rPr>
        <w:t>three</w:t>
      </w:r>
      <w:r w:rsidR="009E158E" w:rsidRPr="4F533E7D">
        <w:rPr>
          <w:rFonts w:ascii="Times New Roman" w:hAnsi="Times New Roman" w:cs="Times New Roman"/>
          <w:sz w:val="20"/>
          <w:szCs w:val="20"/>
        </w:rPr>
        <w:t xml:space="preserve"> additional health states related to punct</w:t>
      </w:r>
      <w:r w:rsidR="00DD5D74" w:rsidRPr="4F533E7D">
        <w:rPr>
          <w:rFonts w:ascii="Times New Roman" w:hAnsi="Times New Roman" w:cs="Times New Roman"/>
          <w:sz w:val="20"/>
          <w:szCs w:val="20"/>
        </w:rPr>
        <w:t>u</w:t>
      </w:r>
      <w:r w:rsidR="009E158E" w:rsidRPr="4F533E7D">
        <w:rPr>
          <w:rFonts w:ascii="Times New Roman" w:hAnsi="Times New Roman" w:cs="Times New Roman"/>
          <w:sz w:val="20"/>
          <w:szCs w:val="20"/>
        </w:rPr>
        <w:t xml:space="preserve">al plugs. The </w:t>
      </w:r>
      <w:r w:rsidR="00546787" w:rsidRPr="4F533E7D">
        <w:rPr>
          <w:rFonts w:ascii="Times New Roman" w:hAnsi="Times New Roman" w:cs="Times New Roman"/>
          <w:sz w:val="20"/>
          <w:szCs w:val="20"/>
        </w:rPr>
        <w:t xml:space="preserve">PBAC considered </w:t>
      </w:r>
      <w:r w:rsidR="00A40745" w:rsidRPr="4F533E7D">
        <w:rPr>
          <w:rFonts w:ascii="Times New Roman" w:hAnsi="Times New Roman" w:cs="Times New Roman"/>
          <w:sz w:val="20"/>
          <w:szCs w:val="20"/>
        </w:rPr>
        <w:t xml:space="preserve">the impact on ICER was unclear when the </w:t>
      </w:r>
      <w:r w:rsidR="007B29D6" w:rsidRPr="4F533E7D">
        <w:rPr>
          <w:rFonts w:ascii="Times New Roman" w:hAnsi="Times New Roman" w:cs="Times New Roman"/>
          <w:sz w:val="20"/>
          <w:szCs w:val="20"/>
        </w:rPr>
        <w:t xml:space="preserve">three </w:t>
      </w:r>
      <w:r w:rsidR="00AA6FC8" w:rsidRPr="4F533E7D">
        <w:rPr>
          <w:rFonts w:ascii="Times New Roman" w:hAnsi="Times New Roman" w:cs="Times New Roman"/>
          <w:sz w:val="20"/>
          <w:szCs w:val="20"/>
        </w:rPr>
        <w:t>additional health states</w:t>
      </w:r>
      <w:r w:rsidR="10F5A285" w:rsidRPr="4F533E7D">
        <w:rPr>
          <w:rFonts w:ascii="Times New Roman" w:hAnsi="Times New Roman" w:cs="Times New Roman"/>
          <w:sz w:val="20"/>
          <w:szCs w:val="20"/>
        </w:rPr>
        <w:t xml:space="preserve"> were excluded</w:t>
      </w:r>
      <w:r w:rsidR="00542732">
        <w:rPr>
          <w:rFonts w:ascii="Times New Roman" w:hAnsi="Times New Roman" w:cs="Times New Roman"/>
          <w:sz w:val="20"/>
          <w:szCs w:val="20"/>
        </w:rPr>
        <w:t xml:space="preserve"> </w:t>
      </w:r>
      <w:r w:rsidR="00AE6F59"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Committee&lt;/Author&gt;&lt;Year&gt;2021&lt;/Year&gt;&lt;RecNum&gt;19277&lt;/RecNum&gt;&lt;DisplayText&gt;[22]&lt;/DisplayText&gt;&lt;record&gt;&lt;rec-number&gt;19277&lt;/rec-number&gt;&lt;foreign-keys&gt;&lt;key app="EN" db-id="5zttwaa2gstv57epr5z5zxv325varaa5e9rp" timestamp="1681375243"&gt;19277&lt;/key&gt;&lt;/foreign-keys&gt;&lt;ref-type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Committee&lt;/author&gt;&lt;/secondary-authors&gt;&lt;/contributors&gt;&lt;titles&gt;&lt;title&gt;Ciclosporin: Eye drops 0.1%, single dose units 0.4 mL, 30; Ikervis®&lt;/title&gt;&lt;/titles&gt;&lt;dates&gt;&lt;year&gt;2021&lt;/year&gt;&lt;/dates&gt;&lt;urls&gt;&lt;related-urls&gt;&lt;url&gt;https://www.pbs.gov.au/info/industry/listing/elements/pbac-meetings/psd/2021-03/ciclosporin-eye-drops-0-1-single-dose-units-0-4-ml-30&lt;/url&gt;&lt;/related-urls&gt;&lt;/urls&gt;&lt;access-date&gt;30 Mar 2022&lt;/access-date&gt;&lt;/record&gt;&lt;/Cite&gt;&lt;/EndNote&gt;</w:instrText>
      </w:r>
      <w:r w:rsidR="00AE6F59"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[22]</w:t>
      </w:r>
      <w:r w:rsidR="00AE6F59" w:rsidRPr="4F533E7D">
        <w:rPr>
          <w:rFonts w:ascii="Times New Roman" w:hAnsi="Times New Roman" w:cs="Times New Roman"/>
          <w:sz w:val="20"/>
          <w:szCs w:val="20"/>
        </w:rPr>
        <w:fldChar w:fldCharType="end"/>
      </w:r>
      <w:r w:rsidR="00AA6FC8" w:rsidRPr="4F533E7D">
        <w:rPr>
          <w:rFonts w:ascii="Times New Roman" w:hAnsi="Times New Roman" w:cs="Times New Roman"/>
          <w:sz w:val="20"/>
          <w:szCs w:val="20"/>
        </w:rPr>
        <w:t>.</w:t>
      </w:r>
    </w:p>
    <w:bookmarkEnd w:id="24"/>
    <w:p w14:paraId="0C8A88F9" w14:textId="110A7700" w:rsidR="005703C0" w:rsidRPr="005668EA" w:rsidRDefault="00542732" w:rsidP="00C33017">
      <w:pPr>
        <w:pStyle w:val="Heading5"/>
        <w:adjustRightInd w:val="0"/>
        <w:snapToGrid w:val="0"/>
        <w:spacing w:before="480" w:after="120" w:line="360" w:lineRule="auto"/>
        <w:rPr>
          <w:rFonts w:ascii="Times New Roman" w:hAnsi="Times New Roman" w:cs="Times New Roman"/>
          <w:sz w:val="20"/>
          <w:szCs w:val="20"/>
        </w:rPr>
      </w:pPr>
      <w:r>
        <w:rPr>
          <w:rFonts w:ascii="Times New Roman" w:hAnsi="Times New Roman" w:cs="Times New Roman"/>
          <w:sz w:val="20"/>
          <w:szCs w:val="20"/>
        </w:rPr>
        <w:t>3</w:t>
      </w:r>
      <w:r w:rsidR="005703C0" w:rsidRPr="4F533E7D">
        <w:rPr>
          <w:rFonts w:ascii="Times New Roman" w:hAnsi="Times New Roman" w:cs="Times New Roman"/>
          <w:sz w:val="20"/>
          <w:szCs w:val="20"/>
        </w:rPr>
        <w:t>.1.1.2 Definition of health states was inconsistent with treatment and disease algorithms</w:t>
      </w:r>
    </w:p>
    <w:p w14:paraId="7FE94245" w14:textId="4970F8DE" w:rsidR="005703C0" w:rsidRDefault="00917998" w:rsidP="006C41A0">
      <w:pPr>
        <w:widowControl/>
        <w:adjustRightInd w:val="0"/>
        <w:snapToGrid w:val="0"/>
        <w:spacing w:line="360" w:lineRule="auto"/>
        <w:rPr>
          <w:rFonts w:ascii="Times New Roman" w:hAnsi="Times New Roman" w:cs="Times New Roman"/>
          <w:sz w:val="20"/>
          <w:szCs w:val="20"/>
        </w:rPr>
      </w:pPr>
      <w:bookmarkStart w:id="25" w:name="_Hlk159183345"/>
      <w:r w:rsidRPr="4F533E7D">
        <w:rPr>
          <w:rFonts w:ascii="Times New Roman" w:hAnsi="Times New Roman" w:cs="Times New Roman"/>
          <w:sz w:val="20"/>
          <w:szCs w:val="20"/>
        </w:rPr>
        <w:t>A h</w:t>
      </w:r>
      <w:r w:rsidR="005703C0" w:rsidRPr="4F533E7D">
        <w:rPr>
          <w:rFonts w:ascii="Times New Roman" w:hAnsi="Times New Roman" w:cs="Times New Roman"/>
          <w:sz w:val="20"/>
          <w:szCs w:val="20"/>
        </w:rPr>
        <w:t xml:space="preserve">ealth state refers to </w:t>
      </w:r>
      <w:r w:rsidR="00DD5D74" w:rsidRPr="4F533E7D">
        <w:rPr>
          <w:rFonts w:ascii="Times New Roman" w:hAnsi="Times New Roman" w:cs="Times New Roman"/>
          <w:sz w:val="20"/>
          <w:szCs w:val="20"/>
        </w:rPr>
        <w:t xml:space="preserve">the </w:t>
      </w:r>
      <w:r w:rsidR="005703C0" w:rsidRPr="4F533E7D">
        <w:rPr>
          <w:rFonts w:ascii="Times New Roman" w:hAnsi="Times New Roman" w:cs="Times New Roman"/>
          <w:sz w:val="20"/>
          <w:szCs w:val="20"/>
        </w:rPr>
        <w:t xml:space="preserve">clinical event </w:t>
      </w:r>
      <w:r w:rsidR="00DD5D74" w:rsidRPr="4F533E7D">
        <w:rPr>
          <w:rFonts w:ascii="Times New Roman" w:hAnsi="Times New Roman" w:cs="Times New Roman"/>
          <w:sz w:val="20"/>
          <w:szCs w:val="20"/>
        </w:rPr>
        <w:t xml:space="preserve">that </w:t>
      </w:r>
      <w:r w:rsidRPr="4F533E7D">
        <w:rPr>
          <w:rFonts w:ascii="Times New Roman" w:hAnsi="Times New Roman" w:cs="Times New Roman"/>
          <w:sz w:val="20"/>
          <w:szCs w:val="20"/>
        </w:rPr>
        <w:t>occurs</w:t>
      </w:r>
      <w:r w:rsidR="005703C0" w:rsidRPr="4F533E7D">
        <w:rPr>
          <w:rFonts w:ascii="Times New Roman" w:hAnsi="Times New Roman" w:cs="Times New Roman"/>
          <w:sz w:val="20"/>
          <w:szCs w:val="20"/>
        </w:rPr>
        <w:t xml:space="preserve"> in each disease. </w:t>
      </w:r>
      <w:r w:rsidR="00C62E40" w:rsidRPr="4F533E7D">
        <w:rPr>
          <w:rFonts w:ascii="Times New Roman" w:hAnsi="Times New Roman" w:cs="Times New Roman"/>
          <w:sz w:val="20"/>
          <w:szCs w:val="20"/>
        </w:rPr>
        <w:t xml:space="preserve">Defining </w:t>
      </w:r>
      <w:r w:rsidR="005703C0" w:rsidRPr="4F533E7D">
        <w:rPr>
          <w:rFonts w:ascii="Times New Roman" w:hAnsi="Times New Roman" w:cs="Times New Roman"/>
          <w:sz w:val="20"/>
          <w:szCs w:val="20"/>
        </w:rPr>
        <w:t>clinical event</w:t>
      </w:r>
      <w:r w:rsidR="00DD5D74" w:rsidRPr="4F533E7D">
        <w:rPr>
          <w:rFonts w:ascii="Times New Roman" w:hAnsi="Times New Roman" w:cs="Times New Roman"/>
          <w:sz w:val="20"/>
          <w:szCs w:val="20"/>
        </w:rPr>
        <w:t>s</w:t>
      </w:r>
      <w:r w:rsidR="005703C0" w:rsidRPr="4F533E7D">
        <w:rPr>
          <w:rFonts w:ascii="Times New Roman" w:hAnsi="Times New Roman" w:cs="Times New Roman"/>
          <w:sz w:val="20"/>
          <w:szCs w:val="20"/>
        </w:rPr>
        <w:t xml:space="preserve"> is crucial </w:t>
      </w:r>
      <w:r w:rsidR="00C62E40" w:rsidRPr="4F533E7D">
        <w:rPr>
          <w:rFonts w:ascii="Times New Roman" w:hAnsi="Times New Roman" w:cs="Times New Roman"/>
          <w:sz w:val="20"/>
          <w:szCs w:val="20"/>
        </w:rPr>
        <w:t xml:space="preserve">for </w:t>
      </w:r>
      <w:r w:rsidR="007B29D6" w:rsidRPr="4F533E7D">
        <w:rPr>
          <w:rFonts w:ascii="Times New Roman" w:hAnsi="Times New Roman" w:cs="Times New Roman"/>
          <w:sz w:val="20"/>
          <w:szCs w:val="20"/>
        </w:rPr>
        <w:t>estimating</w:t>
      </w:r>
      <w:r w:rsidR="00C62E40" w:rsidRPr="4F533E7D">
        <w:rPr>
          <w:rFonts w:ascii="Times New Roman" w:hAnsi="Times New Roman" w:cs="Times New Roman"/>
          <w:sz w:val="20"/>
          <w:szCs w:val="20"/>
        </w:rPr>
        <w:t xml:space="preserve"> </w:t>
      </w:r>
      <w:r w:rsidR="005703C0" w:rsidRPr="4F533E7D">
        <w:rPr>
          <w:rFonts w:ascii="Times New Roman" w:hAnsi="Times New Roman" w:cs="Times New Roman"/>
          <w:sz w:val="20"/>
          <w:szCs w:val="20"/>
        </w:rPr>
        <w:t xml:space="preserve">clinical effectiveness. </w:t>
      </w:r>
      <w:r w:rsidR="006228AC" w:rsidRPr="4F533E7D">
        <w:rPr>
          <w:rFonts w:ascii="Times New Roman" w:hAnsi="Times New Roman" w:cs="Times New Roman"/>
          <w:sz w:val="20"/>
          <w:szCs w:val="20"/>
        </w:rPr>
        <w:t xml:space="preserve">Uncertainty around health states </w:t>
      </w:r>
      <w:r w:rsidR="007B29D6" w:rsidRPr="4F533E7D">
        <w:rPr>
          <w:rFonts w:ascii="Times New Roman" w:hAnsi="Times New Roman" w:cs="Times New Roman"/>
          <w:sz w:val="20"/>
          <w:szCs w:val="20"/>
        </w:rPr>
        <w:t xml:space="preserve">could </w:t>
      </w:r>
      <w:r w:rsidR="006228AC" w:rsidRPr="4F533E7D">
        <w:rPr>
          <w:rFonts w:ascii="Times New Roman" w:hAnsi="Times New Roman" w:cs="Times New Roman"/>
          <w:sz w:val="20"/>
          <w:szCs w:val="20"/>
        </w:rPr>
        <w:t xml:space="preserve">arise in economic evaluations when there is a need to convert continuous data to dichotomous data </w:t>
      </w:r>
      <w:r w:rsidR="00C62E40" w:rsidRPr="4F533E7D">
        <w:rPr>
          <w:rFonts w:ascii="Times New Roman" w:hAnsi="Times New Roman" w:cs="Times New Roman"/>
          <w:sz w:val="20"/>
          <w:szCs w:val="20"/>
        </w:rPr>
        <w:t xml:space="preserve">for defining </w:t>
      </w:r>
      <w:r w:rsidR="006228AC" w:rsidRPr="4F533E7D">
        <w:rPr>
          <w:rFonts w:ascii="Times New Roman" w:hAnsi="Times New Roman" w:cs="Times New Roman"/>
          <w:sz w:val="20"/>
          <w:szCs w:val="20"/>
        </w:rPr>
        <w:t xml:space="preserve">health states, </w:t>
      </w:r>
      <w:r w:rsidR="00C62E40" w:rsidRPr="4F533E7D">
        <w:rPr>
          <w:rFonts w:ascii="Times New Roman" w:hAnsi="Times New Roman" w:cs="Times New Roman"/>
          <w:sz w:val="20"/>
          <w:szCs w:val="20"/>
        </w:rPr>
        <w:t xml:space="preserve">and </w:t>
      </w:r>
      <w:r w:rsidR="006228AC" w:rsidRPr="4F533E7D">
        <w:rPr>
          <w:rFonts w:ascii="Times New Roman" w:hAnsi="Times New Roman" w:cs="Times New Roman"/>
          <w:sz w:val="20"/>
          <w:szCs w:val="20"/>
        </w:rPr>
        <w:t>the threshold used for this conversion is not adequately justified.</w:t>
      </w:r>
      <w:r w:rsidR="6DE24866" w:rsidRPr="4F533E7D">
        <w:rPr>
          <w:rFonts w:ascii="Times New Roman" w:hAnsi="Times New Roman" w:cs="Times New Roman"/>
          <w:sz w:val="20"/>
          <w:szCs w:val="20"/>
        </w:rPr>
        <w:t xml:space="preserve"> </w:t>
      </w:r>
      <w:bookmarkEnd w:id="25"/>
      <w:r w:rsidR="005703C0" w:rsidRPr="4F533E7D">
        <w:rPr>
          <w:rFonts w:ascii="Times New Roman" w:hAnsi="Times New Roman" w:cs="Times New Roman"/>
          <w:sz w:val="20"/>
          <w:szCs w:val="20"/>
        </w:rPr>
        <w:t xml:space="preserve">For instance, in the submissions </w:t>
      </w:r>
      <w:r w:rsidR="7048151D" w:rsidRPr="4F533E7D">
        <w:rPr>
          <w:rFonts w:ascii="Times New Roman" w:hAnsi="Times New Roman" w:cs="Times New Roman"/>
          <w:sz w:val="20"/>
          <w:szCs w:val="20"/>
        </w:rPr>
        <w:t xml:space="preserve">for </w:t>
      </w:r>
      <w:proofErr w:type="spellStart"/>
      <w:r w:rsidR="005703C0" w:rsidRPr="4F533E7D">
        <w:rPr>
          <w:rFonts w:ascii="Times New Roman" w:hAnsi="Times New Roman" w:cs="Times New Roman"/>
          <w:sz w:val="20"/>
          <w:szCs w:val="20"/>
        </w:rPr>
        <w:t>asfotase</w:t>
      </w:r>
      <w:proofErr w:type="spellEnd"/>
      <w:r w:rsidR="005703C0" w:rsidRPr="4F533E7D">
        <w:rPr>
          <w:rFonts w:ascii="Times New Roman" w:hAnsi="Times New Roman" w:cs="Times New Roman"/>
          <w:sz w:val="20"/>
          <w:szCs w:val="20"/>
        </w:rPr>
        <w:t xml:space="preserve"> alfa rch for treatment patients with paediatric onset hypophosphatasia (HPP)</w:t>
      </w:r>
      <w:r w:rsidR="005703C0"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Committee&lt;/Author&gt;&lt;Year&gt;2017&lt;/Year&gt;&lt;RecNum&gt;19278&lt;/RecNum&gt;&lt;DisplayText&gt;[23]&lt;/DisplayText&gt;&lt;record&gt;&lt;rec-number&gt;19278&lt;/rec-number&gt;&lt;foreign-keys&gt;&lt;key app="EN" db-id="5zttwaa2gstv57epr5z5zxv325varaa5e9rp" timestamp="1681375548"&gt;19278&lt;/key&gt;&lt;/foreign-keys&gt;&lt;ref-type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Committee&lt;/author&gt;&lt;/secondary-authors&gt;&lt;/contributors&gt;&lt;titles&gt;&lt;title&gt;Asfotase alfa: Injection 18 mg in 0.45 mL, vial, Injection 28 mg in 0.7 mL, vial, Injection 40 mg in 1 mL, vial, Injection 80 mg in 0.8 mL, vial; Strensiq®&lt;/title&gt;&lt;/titles&gt;&lt;dates&gt;&lt;year&gt;2017&lt;/year&gt;&lt;/dates&gt;&lt;urls&gt;&lt;related-urls&gt;&lt;url&gt;https://www.pbs.gov.au/info/industry/listing/elements/pbac-meetings/psd/2017-07/asfotase-alfa-rch-psd-july-2017&lt;/url&gt;&lt;/related-urls&gt;&lt;/urls&gt;&lt;access-date&gt;30 Aug 2020&lt;/access-date&gt;&lt;/record&gt;&lt;/Cite&gt;&lt;/EndNote&gt;</w:instrText>
      </w:r>
      <w:r w:rsidR="005703C0"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[23]</w:t>
      </w:r>
      <w:r w:rsidR="005703C0" w:rsidRPr="4F533E7D">
        <w:rPr>
          <w:rFonts w:ascii="Times New Roman" w:hAnsi="Times New Roman" w:cs="Times New Roman"/>
          <w:sz w:val="20"/>
          <w:szCs w:val="20"/>
        </w:rPr>
        <w:fldChar w:fldCharType="end"/>
      </w:r>
      <w:r w:rsidR="007B29D6" w:rsidRPr="4F533E7D">
        <w:rPr>
          <w:rFonts w:ascii="Times New Roman" w:hAnsi="Times New Roman" w:cs="Times New Roman"/>
          <w:sz w:val="20"/>
          <w:szCs w:val="20"/>
        </w:rPr>
        <w:t>,</w:t>
      </w:r>
      <w:r w:rsidR="005703C0" w:rsidRPr="4F533E7D">
        <w:rPr>
          <w:rFonts w:ascii="Times New Roman" w:hAnsi="Times New Roman" w:cs="Times New Roman"/>
          <w:sz w:val="20"/>
          <w:szCs w:val="20"/>
        </w:rPr>
        <w:t xml:space="preserve"> </w:t>
      </w:r>
      <w:r w:rsidR="007B29D6" w:rsidRPr="4F533E7D">
        <w:rPr>
          <w:rFonts w:ascii="Times New Roman" w:hAnsi="Times New Roman" w:cs="Times New Roman"/>
          <w:sz w:val="20"/>
          <w:szCs w:val="20"/>
        </w:rPr>
        <w:t>t</w:t>
      </w:r>
      <w:r w:rsidR="005703C0" w:rsidRPr="4F533E7D">
        <w:rPr>
          <w:rFonts w:ascii="Times New Roman" w:hAnsi="Times New Roman" w:cs="Times New Roman"/>
          <w:sz w:val="20"/>
          <w:szCs w:val="20"/>
        </w:rPr>
        <w:t>he economic model included four alive health states (Severity levels I, II, III and IV) and two dead states (HPP death, which was only relevant in the analyses including those aged ≤4 years, and overall death). The alive health states for severity levels I-IV were defined based on two times the estimated minimal clinically important difference (MCID) calculated for the per cent predicted distance on the six-minute walk test (6MWT) derived for Duchenne muscular dystrophy (DMD) of 8.9% (see below).</w:t>
      </w:r>
    </w:p>
    <w:p w14:paraId="6A89BEA3" w14:textId="77777777" w:rsidR="00542732" w:rsidRPr="005668EA" w:rsidRDefault="00542732" w:rsidP="006C41A0">
      <w:pPr>
        <w:widowControl/>
        <w:adjustRightInd w:val="0"/>
        <w:snapToGrid w:val="0"/>
        <w:spacing w:line="360" w:lineRule="auto"/>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939"/>
        <w:gridCol w:w="5321"/>
      </w:tblGrid>
      <w:tr w:rsidR="005703C0" w:rsidRPr="00DA638C" w14:paraId="717C6979" w14:textId="77777777" w:rsidTr="4F533E7D">
        <w:trPr>
          <w:trHeight w:val="319"/>
          <w:tblHeader/>
        </w:trPr>
        <w:tc>
          <w:tcPr>
            <w:tcW w:w="2939" w:type="dxa"/>
            <w:tcBorders>
              <w:top w:val="single" w:sz="4" w:space="0" w:color="auto"/>
              <w:bottom w:val="single" w:sz="4" w:space="0" w:color="auto"/>
            </w:tcBorders>
          </w:tcPr>
          <w:p w14:paraId="32A0432F"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Alive health states</w:t>
            </w:r>
          </w:p>
        </w:tc>
        <w:tc>
          <w:tcPr>
            <w:tcW w:w="5321" w:type="dxa"/>
            <w:tcBorders>
              <w:top w:val="single" w:sz="4" w:space="0" w:color="auto"/>
              <w:bottom w:val="single" w:sz="4" w:space="0" w:color="auto"/>
            </w:tcBorders>
          </w:tcPr>
          <w:p w14:paraId="493E2E20"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Definition</w:t>
            </w:r>
          </w:p>
        </w:tc>
      </w:tr>
      <w:tr w:rsidR="005703C0" w:rsidRPr="00DA638C" w14:paraId="14E672B7" w14:textId="77777777" w:rsidTr="4F533E7D">
        <w:trPr>
          <w:trHeight w:val="311"/>
        </w:trPr>
        <w:tc>
          <w:tcPr>
            <w:tcW w:w="2939" w:type="dxa"/>
            <w:tcBorders>
              <w:top w:val="single" w:sz="4" w:space="0" w:color="auto"/>
            </w:tcBorders>
          </w:tcPr>
          <w:p w14:paraId="4CE73DB8"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Severity level I</w:t>
            </w:r>
          </w:p>
        </w:tc>
        <w:tc>
          <w:tcPr>
            <w:tcW w:w="5321" w:type="dxa"/>
            <w:tcBorders>
              <w:top w:val="single" w:sz="4" w:space="0" w:color="auto"/>
            </w:tcBorders>
          </w:tcPr>
          <w:p w14:paraId="5E3791EF"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6MWT score &gt;82.2% of predicted value</w:t>
            </w:r>
          </w:p>
        </w:tc>
      </w:tr>
      <w:tr w:rsidR="005703C0" w:rsidRPr="00DA638C" w14:paraId="12E4DB1F" w14:textId="77777777" w:rsidTr="4F533E7D">
        <w:trPr>
          <w:trHeight w:val="319"/>
        </w:trPr>
        <w:tc>
          <w:tcPr>
            <w:tcW w:w="2939" w:type="dxa"/>
          </w:tcPr>
          <w:p w14:paraId="67CB97BE"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Severity level II</w:t>
            </w:r>
          </w:p>
        </w:tc>
        <w:tc>
          <w:tcPr>
            <w:tcW w:w="5321" w:type="dxa"/>
          </w:tcPr>
          <w:p w14:paraId="088935E2"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82.2%≥ 6MWT score &gt;64.4% of predicted value</w:t>
            </w:r>
          </w:p>
        </w:tc>
      </w:tr>
      <w:tr w:rsidR="005703C0" w:rsidRPr="00DA638C" w14:paraId="7120AFAE" w14:textId="77777777" w:rsidTr="4F533E7D">
        <w:trPr>
          <w:trHeight w:val="311"/>
        </w:trPr>
        <w:tc>
          <w:tcPr>
            <w:tcW w:w="2939" w:type="dxa"/>
          </w:tcPr>
          <w:p w14:paraId="70B6FAB1"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Severity level III</w:t>
            </w:r>
          </w:p>
        </w:tc>
        <w:tc>
          <w:tcPr>
            <w:tcW w:w="5321" w:type="dxa"/>
          </w:tcPr>
          <w:p w14:paraId="36BC4E9D"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64.4%≥ 6MWT score &gt;46.6% of predicted value</w:t>
            </w:r>
          </w:p>
        </w:tc>
      </w:tr>
      <w:tr w:rsidR="005703C0" w:rsidRPr="00DA638C" w14:paraId="18B77A41" w14:textId="77777777" w:rsidTr="4F533E7D">
        <w:trPr>
          <w:trHeight w:val="319"/>
        </w:trPr>
        <w:tc>
          <w:tcPr>
            <w:tcW w:w="2939" w:type="dxa"/>
          </w:tcPr>
          <w:p w14:paraId="0E008D77"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Severity level IV</w:t>
            </w:r>
          </w:p>
        </w:tc>
        <w:tc>
          <w:tcPr>
            <w:tcW w:w="5321" w:type="dxa"/>
          </w:tcPr>
          <w:p w14:paraId="463FCD65" w14:textId="77777777" w:rsidR="005703C0" w:rsidRPr="00DA638C" w:rsidRDefault="005703C0" w:rsidP="00C15362">
            <w:pPr>
              <w:pStyle w:val="TableText"/>
              <w:adjustRightInd w:val="0"/>
              <w:snapToGrid w:val="0"/>
              <w:spacing w:line="360" w:lineRule="auto"/>
              <w:jc w:val="both"/>
              <w:rPr>
                <w:rFonts w:ascii="Times New Roman" w:eastAsiaTheme="minorEastAsia" w:hAnsi="Times New Roman" w:cs="Times New Roman"/>
                <w:sz w:val="20"/>
                <w:szCs w:val="20"/>
                <w:lang w:val="en-GB"/>
              </w:rPr>
            </w:pPr>
            <w:r w:rsidRPr="4F533E7D">
              <w:rPr>
                <w:rFonts w:ascii="Times New Roman" w:eastAsiaTheme="minorEastAsia" w:hAnsi="Times New Roman" w:cs="Times New Roman"/>
                <w:sz w:val="20"/>
                <w:szCs w:val="20"/>
                <w:lang w:val="en-GB"/>
              </w:rPr>
              <w:t>6MWT score ≤46.6% of predicted value</w:t>
            </w:r>
          </w:p>
        </w:tc>
      </w:tr>
    </w:tbl>
    <w:p w14:paraId="78FCD055" w14:textId="77777777" w:rsidR="00542732" w:rsidRDefault="00542732" w:rsidP="006C41A0">
      <w:pPr>
        <w:widowControl/>
        <w:adjustRightInd w:val="0"/>
        <w:snapToGrid w:val="0"/>
        <w:spacing w:beforeLines="50" w:before="156" w:line="360" w:lineRule="auto"/>
        <w:rPr>
          <w:rFonts w:ascii="Times New Roman" w:hAnsi="Times New Roman" w:cs="Times New Roman"/>
          <w:sz w:val="20"/>
          <w:szCs w:val="20"/>
        </w:rPr>
      </w:pPr>
      <w:bookmarkStart w:id="26" w:name="_Hlk159183744"/>
    </w:p>
    <w:p w14:paraId="51D9CBEE" w14:textId="436AF319" w:rsidR="005703C0" w:rsidRDefault="005703C0" w:rsidP="006C41A0">
      <w:pPr>
        <w:widowControl/>
        <w:adjustRightInd w:val="0"/>
        <w:snapToGrid w:val="0"/>
        <w:spacing w:beforeLines="50" w:before="156" w:line="360" w:lineRule="auto"/>
        <w:rPr>
          <w:rFonts w:ascii="Times New Roman" w:hAnsi="Times New Roman" w:cs="Times New Roman"/>
          <w:sz w:val="20"/>
          <w:szCs w:val="20"/>
        </w:rPr>
      </w:pPr>
      <w:r w:rsidRPr="4F533E7D">
        <w:rPr>
          <w:rFonts w:ascii="Times New Roman" w:hAnsi="Times New Roman" w:cs="Times New Roman"/>
          <w:sz w:val="20"/>
          <w:szCs w:val="20"/>
        </w:rPr>
        <w:t xml:space="preserve">The reliability of </w:t>
      </w:r>
      <w:r w:rsidR="009D3DE8" w:rsidRPr="4F533E7D">
        <w:rPr>
          <w:rFonts w:ascii="Times New Roman" w:hAnsi="Times New Roman" w:cs="Times New Roman"/>
          <w:sz w:val="20"/>
          <w:szCs w:val="20"/>
        </w:rPr>
        <w:t xml:space="preserve">using </w:t>
      </w:r>
      <w:r w:rsidRPr="4F533E7D">
        <w:rPr>
          <w:rFonts w:ascii="Times New Roman" w:hAnsi="Times New Roman" w:cs="Times New Roman"/>
          <w:sz w:val="20"/>
          <w:szCs w:val="20"/>
        </w:rPr>
        <w:t>an MCID based on patients with DMD was uncertain, given that DMD is a progressive disease with a short life</w:t>
      </w:r>
      <w:r w:rsidR="00DD5D74" w:rsidRPr="4F533E7D">
        <w:rPr>
          <w:rFonts w:ascii="Times New Roman" w:hAnsi="Times New Roman" w:cs="Times New Roman"/>
          <w:sz w:val="20"/>
          <w:szCs w:val="20"/>
        </w:rPr>
        <w:t xml:space="preserve"> </w:t>
      </w:r>
      <w:r w:rsidRPr="4F533E7D">
        <w:rPr>
          <w:rFonts w:ascii="Times New Roman" w:hAnsi="Times New Roman" w:cs="Times New Roman"/>
          <w:sz w:val="20"/>
          <w:szCs w:val="20"/>
        </w:rPr>
        <w:t>expectancy</w:t>
      </w:r>
      <w:r w:rsidR="001B6959" w:rsidRPr="4F533E7D">
        <w:rPr>
          <w:rFonts w:ascii="Times New Roman" w:hAnsi="Times New Roman" w:cs="Times New Roman"/>
          <w:sz w:val="20"/>
          <w:szCs w:val="20"/>
        </w:rPr>
        <w:t>. Therefore</w:t>
      </w:r>
      <w:r w:rsidRPr="4F533E7D">
        <w:rPr>
          <w:rFonts w:ascii="Times New Roman" w:hAnsi="Times New Roman" w:cs="Times New Roman"/>
          <w:sz w:val="20"/>
          <w:szCs w:val="20"/>
        </w:rPr>
        <w:t xml:space="preserve">, the PBAC judged that there was little reason to assume the MCID thresholds would be the same for both conditions, </w:t>
      </w:r>
      <w:r w:rsidR="007B29D6" w:rsidRPr="4F533E7D">
        <w:rPr>
          <w:rFonts w:ascii="Times New Roman" w:hAnsi="Times New Roman" w:cs="Times New Roman"/>
          <w:sz w:val="20"/>
          <w:szCs w:val="20"/>
        </w:rPr>
        <w:t xml:space="preserve">and </w:t>
      </w:r>
      <w:r w:rsidRPr="4F533E7D">
        <w:rPr>
          <w:rFonts w:ascii="Times New Roman" w:hAnsi="Times New Roman" w:cs="Times New Roman"/>
          <w:sz w:val="20"/>
          <w:szCs w:val="20"/>
        </w:rPr>
        <w:t xml:space="preserve">it </w:t>
      </w:r>
      <w:r w:rsidR="007B29D6" w:rsidRPr="4F533E7D">
        <w:rPr>
          <w:rFonts w:ascii="Times New Roman" w:hAnsi="Times New Roman" w:cs="Times New Roman"/>
          <w:sz w:val="20"/>
          <w:szCs w:val="20"/>
        </w:rPr>
        <w:t xml:space="preserve">was </w:t>
      </w:r>
      <w:r w:rsidRPr="4F533E7D">
        <w:rPr>
          <w:rFonts w:ascii="Times New Roman" w:hAnsi="Times New Roman" w:cs="Times New Roman"/>
          <w:sz w:val="20"/>
          <w:szCs w:val="20"/>
        </w:rPr>
        <w:t xml:space="preserve">noted that the MCID estimated for HPP was only slightly </w:t>
      </w:r>
      <w:r w:rsidR="007B29D6" w:rsidRPr="4F533E7D">
        <w:rPr>
          <w:rFonts w:ascii="Times New Roman" w:hAnsi="Times New Roman" w:cs="Times New Roman"/>
          <w:sz w:val="20"/>
          <w:szCs w:val="20"/>
        </w:rPr>
        <w:t>different at</w:t>
      </w:r>
      <w:r w:rsidRPr="4F533E7D">
        <w:rPr>
          <w:rFonts w:ascii="Times New Roman" w:hAnsi="Times New Roman" w:cs="Times New Roman"/>
          <w:sz w:val="20"/>
          <w:szCs w:val="20"/>
        </w:rPr>
        <w:t xml:space="preserve"> 8.8%.</w:t>
      </w:r>
    </w:p>
    <w:p w14:paraId="5FC2FDBC" w14:textId="77777777" w:rsidR="00542732" w:rsidRPr="005668EA" w:rsidRDefault="00542732" w:rsidP="006C41A0">
      <w:pPr>
        <w:widowControl/>
        <w:adjustRightInd w:val="0"/>
        <w:snapToGrid w:val="0"/>
        <w:spacing w:beforeLines="50" w:before="156"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689"/>
        <w:gridCol w:w="5607"/>
      </w:tblGrid>
      <w:tr w:rsidR="005703C0" w:rsidRPr="005668EA" w14:paraId="74F9FAF9" w14:textId="77777777" w:rsidTr="00487EA9">
        <w:trPr>
          <w:trHeight w:val="159"/>
        </w:trPr>
        <w:tc>
          <w:tcPr>
            <w:tcW w:w="2689" w:type="dxa"/>
          </w:tcPr>
          <w:bookmarkEnd w:id="26"/>
          <w:p w14:paraId="2B714BC5"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34748408" w14:textId="1E10F92D" w:rsidR="005703C0" w:rsidRPr="005668EA" w:rsidRDefault="005703C0" w:rsidP="00C15362">
            <w:pPr>
              <w:pStyle w:val="EndNoteBibliography"/>
              <w:adjustRightInd w:val="0"/>
              <w:snapToGrid w:val="0"/>
              <w:spacing w:line="360" w:lineRule="auto"/>
              <w:rPr>
                <w:kern w:val="0"/>
                <w:szCs w:val="20"/>
              </w:rPr>
            </w:pPr>
            <w:r w:rsidRPr="005668EA">
              <w:rPr>
                <w:kern w:val="0"/>
                <w:szCs w:val="20"/>
              </w:rPr>
              <w:t>W</w:t>
            </w:r>
            <w:r w:rsidR="00AB2396" w:rsidRPr="005668EA">
              <w:rPr>
                <w:kern w:val="0"/>
                <w:szCs w:val="20"/>
              </w:rPr>
              <w:t>ere</w:t>
            </w:r>
            <w:r w:rsidRPr="005668EA">
              <w:rPr>
                <w:kern w:val="0"/>
                <w:szCs w:val="20"/>
              </w:rPr>
              <w:t xml:space="preserve"> the health states incorporated uncertain?</w:t>
            </w:r>
          </w:p>
        </w:tc>
      </w:tr>
      <w:tr w:rsidR="005703C0" w:rsidRPr="005668EA" w14:paraId="03203798" w14:textId="77777777" w:rsidTr="00487EA9">
        <w:tc>
          <w:tcPr>
            <w:tcW w:w="2689" w:type="dxa"/>
          </w:tcPr>
          <w:p w14:paraId="351E1B05"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5EFF4C55" w14:textId="46BAEAF1" w:rsidR="005703C0" w:rsidRPr="005668EA" w:rsidRDefault="007B29D6" w:rsidP="00C15362">
            <w:pPr>
              <w:pStyle w:val="EndNoteBibliography"/>
              <w:adjustRightInd w:val="0"/>
              <w:snapToGrid w:val="0"/>
              <w:spacing w:line="360" w:lineRule="auto"/>
              <w:rPr>
                <w:kern w:val="0"/>
                <w:szCs w:val="20"/>
              </w:rPr>
            </w:pPr>
            <w:r w:rsidRPr="007B29D6">
              <w:rPr>
                <w:kern w:val="0"/>
                <w:szCs w:val="20"/>
              </w:rPr>
              <w:t>0 – yes, 1 – no</w:t>
            </w:r>
          </w:p>
        </w:tc>
      </w:tr>
    </w:tbl>
    <w:p w14:paraId="7EB71A3C" w14:textId="65873CFC" w:rsidR="005703C0" w:rsidRPr="005668EA" w:rsidRDefault="00542732" w:rsidP="008B2436">
      <w:pPr>
        <w:pStyle w:val="Heading4"/>
        <w:adjustRightInd w:val="0"/>
        <w:snapToGrid w:val="0"/>
        <w:spacing w:before="480" w:after="120"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3</w:t>
      </w:r>
      <w:r w:rsidR="005703C0" w:rsidRPr="005668EA">
        <w:rPr>
          <w:rFonts w:ascii="Times New Roman" w:eastAsiaTheme="minorEastAsia" w:hAnsi="Times New Roman" w:cs="Times New Roman"/>
          <w:sz w:val="20"/>
          <w:szCs w:val="20"/>
        </w:rPr>
        <w:t xml:space="preserve">.1.2 Uncertainty around </w:t>
      </w:r>
      <w:r w:rsidR="0097470D" w:rsidRPr="005668EA">
        <w:rPr>
          <w:rFonts w:ascii="Times New Roman" w:eastAsiaTheme="minorEastAsia" w:hAnsi="Times New Roman" w:cs="Times New Roman"/>
          <w:sz w:val="20"/>
          <w:szCs w:val="20"/>
        </w:rPr>
        <w:t xml:space="preserve">the </w:t>
      </w:r>
      <w:r w:rsidR="005703C0" w:rsidRPr="005668EA">
        <w:rPr>
          <w:rFonts w:ascii="Times New Roman" w:eastAsiaTheme="minorEastAsia" w:hAnsi="Times New Roman" w:cs="Times New Roman"/>
          <w:sz w:val="20"/>
          <w:szCs w:val="20"/>
        </w:rPr>
        <w:t xml:space="preserve">transition of patients between health states </w:t>
      </w:r>
    </w:p>
    <w:p w14:paraId="51766D5E" w14:textId="103B6DA9" w:rsidR="005703C0" w:rsidRPr="005668EA" w:rsidRDefault="00542732" w:rsidP="006C41A0">
      <w:pPr>
        <w:pStyle w:val="Heading5"/>
        <w:adjustRightInd w:val="0"/>
        <w:snapToGrid w:val="0"/>
        <w:spacing w:before="0" w:after="0" w:line="360" w:lineRule="auto"/>
        <w:rPr>
          <w:rFonts w:ascii="Times New Roman" w:hAnsi="Times New Roman" w:cs="Times New Roman"/>
          <w:sz w:val="20"/>
          <w:szCs w:val="20"/>
        </w:rPr>
      </w:pPr>
      <w:r>
        <w:rPr>
          <w:rFonts w:ascii="Times New Roman" w:hAnsi="Times New Roman" w:cs="Times New Roman"/>
          <w:sz w:val="20"/>
          <w:szCs w:val="20"/>
        </w:rPr>
        <w:t>3</w:t>
      </w:r>
      <w:r w:rsidR="005703C0" w:rsidRPr="005668EA">
        <w:rPr>
          <w:rFonts w:ascii="Times New Roman" w:hAnsi="Times New Roman" w:cs="Times New Roman"/>
          <w:sz w:val="20"/>
          <w:szCs w:val="20"/>
        </w:rPr>
        <w:t xml:space="preserve">.1.2.1 </w:t>
      </w:r>
      <w:r w:rsidR="00AB2396" w:rsidRPr="005668EA">
        <w:rPr>
          <w:rFonts w:ascii="Times New Roman" w:hAnsi="Times New Roman" w:cs="Times New Roman"/>
          <w:sz w:val="20"/>
          <w:szCs w:val="20"/>
        </w:rPr>
        <w:t>I</w:t>
      </w:r>
      <w:r w:rsidR="00A5098C" w:rsidRPr="005668EA">
        <w:rPr>
          <w:rFonts w:ascii="Times New Roman" w:hAnsi="Times New Roman" w:cs="Times New Roman"/>
          <w:sz w:val="20"/>
          <w:szCs w:val="20"/>
        </w:rPr>
        <w:t>nvalid</w:t>
      </w:r>
      <w:r w:rsidR="005703C0" w:rsidRPr="005668EA">
        <w:rPr>
          <w:rFonts w:ascii="Times New Roman" w:hAnsi="Times New Roman" w:cs="Times New Roman"/>
          <w:sz w:val="20"/>
          <w:szCs w:val="20"/>
        </w:rPr>
        <w:t xml:space="preserve"> surrogate relationship between surrogate outcome and clinical endpoint</w:t>
      </w:r>
    </w:p>
    <w:p w14:paraId="2B1DE141" w14:textId="4EC32EBD" w:rsidR="005703C0" w:rsidRPr="005668EA" w:rsidRDefault="005703C0" w:rsidP="006C41A0">
      <w:pPr>
        <w:adjustRightInd w:val="0"/>
        <w:snapToGrid w:val="0"/>
        <w:spacing w:line="360" w:lineRule="auto"/>
        <w:rPr>
          <w:rFonts w:ascii="Times New Roman" w:hAnsi="Times New Roman" w:cs="Times New Roman"/>
          <w:sz w:val="20"/>
          <w:szCs w:val="20"/>
        </w:rPr>
      </w:pPr>
      <w:bookmarkStart w:id="27" w:name="_Hlk159231806"/>
      <w:r w:rsidRPr="4F533E7D">
        <w:rPr>
          <w:rFonts w:ascii="Times New Roman" w:hAnsi="Times New Roman" w:cs="Times New Roman"/>
          <w:sz w:val="20"/>
          <w:szCs w:val="20"/>
        </w:rPr>
        <w:t xml:space="preserve">The PBAC requires the sponsors to present the relationship between </w:t>
      </w:r>
      <w:r w:rsidR="00ED1F67" w:rsidRPr="4F533E7D">
        <w:rPr>
          <w:rFonts w:ascii="Times New Roman" w:hAnsi="Times New Roman" w:cs="Times New Roman"/>
          <w:sz w:val="20"/>
          <w:szCs w:val="20"/>
        </w:rPr>
        <w:t xml:space="preserve">the </w:t>
      </w:r>
      <w:r w:rsidRPr="4F533E7D">
        <w:rPr>
          <w:rFonts w:ascii="Times New Roman" w:hAnsi="Times New Roman" w:cs="Times New Roman"/>
          <w:sz w:val="20"/>
          <w:szCs w:val="20"/>
        </w:rPr>
        <w:t>surrogate</w:t>
      </w:r>
      <w:r w:rsidR="009D3DE8" w:rsidRPr="4F533E7D">
        <w:rPr>
          <w:rFonts w:ascii="Times New Roman" w:hAnsi="Times New Roman" w:cs="Times New Roman"/>
          <w:sz w:val="20"/>
          <w:szCs w:val="20"/>
        </w:rPr>
        <w:t xml:space="preserve"> outcome</w:t>
      </w:r>
      <w:r w:rsidRPr="4F533E7D">
        <w:rPr>
          <w:rFonts w:ascii="Times New Roman" w:hAnsi="Times New Roman" w:cs="Times New Roman"/>
          <w:sz w:val="20"/>
          <w:szCs w:val="20"/>
        </w:rPr>
        <w:t xml:space="preserve"> and clinical endpoint in accordance with the guideline</w:t>
      </w:r>
      <w:r w:rsidR="00E34D4F" w:rsidRPr="4F533E7D">
        <w:rPr>
          <w:rFonts w:ascii="Times New Roman" w:hAnsi="Times New Roman" w:cs="Times New Roman"/>
          <w:sz w:val="20"/>
          <w:szCs w:val="20"/>
        </w:rPr>
        <w:t>s</w:t>
      </w:r>
      <w:r w:rsidRPr="4F533E7D">
        <w:rPr>
          <w:rFonts w:ascii="Times New Roman" w:hAnsi="Times New Roman" w:cs="Times New Roman"/>
          <w:sz w:val="20"/>
          <w:szCs w:val="20"/>
        </w:rPr>
        <w:t xml:space="preserve">. However, the information disclosed was limited. </w:t>
      </w:r>
      <w:r w:rsidR="009D3DE8" w:rsidRPr="4F533E7D">
        <w:rPr>
          <w:rFonts w:ascii="Times New Roman" w:hAnsi="Times New Roman" w:cs="Times New Roman"/>
          <w:sz w:val="20"/>
          <w:szCs w:val="20"/>
        </w:rPr>
        <w:t xml:space="preserve">Uncertainty </w:t>
      </w:r>
      <w:r w:rsidR="007B29D6" w:rsidRPr="4F533E7D">
        <w:rPr>
          <w:rFonts w:ascii="Times New Roman" w:hAnsi="Times New Roman" w:cs="Times New Roman"/>
          <w:sz w:val="20"/>
          <w:szCs w:val="20"/>
        </w:rPr>
        <w:t>could</w:t>
      </w:r>
      <w:r w:rsidR="009D3DE8" w:rsidRPr="4F533E7D">
        <w:rPr>
          <w:rFonts w:ascii="Times New Roman" w:hAnsi="Times New Roman" w:cs="Times New Roman"/>
          <w:sz w:val="20"/>
          <w:szCs w:val="20"/>
        </w:rPr>
        <w:t xml:space="preserve"> arise w</w:t>
      </w:r>
      <w:r w:rsidRPr="4F533E7D">
        <w:rPr>
          <w:rFonts w:ascii="Times New Roman" w:hAnsi="Times New Roman" w:cs="Times New Roman"/>
          <w:sz w:val="20"/>
          <w:szCs w:val="20"/>
        </w:rPr>
        <w:t xml:space="preserve">hen the PBAC judged that the treatment effect on the surrogate outcome cannot be translated to </w:t>
      </w:r>
      <w:r w:rsidR="00ED1F67" w:rsidRPr="4F533E7D">
        <w:rPr>
          <w:rFonts w:ascii="Times New Roman" w:hAnsi="Times New Roman" w:cs="Times New Roman"/>
          <w:sz w:val="20"/>
          <w:szCs w:val="20"/>
        </w:rPr>
        <w:t xml:space="preserve">the </w:t>
      </w:r>
      <w:r w:rsidRPr="4F533E7D">
        <w:rPr>
          <w:rFonts w:ascii="Times New Roman" w:hAnsi="Times New Roman" w:cs="Times New Roman"/>
          <w:sz w:val="20"/>
          <w:szCs w:val="20"/>
        </w:rPr>
        <w:t xml:space="preserve">treatment effect on </w:t>
      </w:r>
      <w:r w:rsidR="00ED1F67" w:rsidRPr="4F533E7D">
        <w:rPr>
          <w:rFonts w:ascii="Times New Roman" w:hAnsi="Times New Roman" w:cs="Times New Roman"/>
          <w:sz w:val="20"/>
          <w:szCs w:val="20"/>
        </w:rPr>
        <w:t xml:space="preserve">a </w:t>
      </w:r>
      <w:r w:rsidRPr="4F533E7D">
        <w:rPr>
          <w:rFonts w:ascii="Times New Roman" w:hAnsi="Times New Roman" w:cs="Times New Roman"/>
          <w:sz w:val="20"/>
          <w:szCs w:val="20"/>
        </w:rPr>
        <w:t xml:space="preserve">clinical endpoint. For instance, in the submission </w:t>
      </w:r>
      <w:r w:rsidR="23C56C3D" w:rsidRPr="4F533E7D">
        <w:rPr>
          <w:rFonts w:ascii="Times New Roman" w:hAnsi="Times New Roman" w:cs="Times New Roman"/>
          <w:sz w:val="20"/>
          <w:szCs w:val="20"/>
        </w:rPr>
        <w:t xml:space="preserve">for </w:t>
      </w:r>
      <w:r w:rsidRPr="4F533E7D">
        <w:rPr>
          <w:rFonts w:ascii="Times New Roman" w:hAnsi="Times New Roman" w:cs="Times New Roman"/>
          <w:sz w:val="20"/>
          <w:szCs w:val="20"/>
        </w:rPr>
        <w:t>olaparib for the targeted treatment of advanced, high-grade epithelial ovarian cancer</w:t>
      </w:r>
      <w:r w:rsidR="00B32892">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Committee&lt;/Author&gt;&lt;Year&gt;2019&lt;/Year&gt;&lt;RecNum&gt;19279&lt;/RecNum&gt;&lt;DisplayText&gt;[24]&lt;/DisplayText&gt;&lt;record&gt;&lt;rec-number&gt;19279&lt;/rec-number&gt;&lt;foreign-keys&gt;&lt;key app="EN" db-id="5zttwaa2gstv57epr5z5zxv325varaa5e9rp" timestamp="1681376061"&gt;19279&lt;/key&gt;&lt;/foreign-keys&gt;&lt;ref-type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Committee&lt;/author&gt;&lt;/secondary-authors&gt;&lt;/contributors&gt;&lt;titles&gt;&lt;title&gt;Olaparib: Tablet 100 mg, Tablet 150 mg ; Lynparza®&lt;/title&gt;&lt;/titles&gt;&lt;dates&gt;&lt;year&gt;2019&lt;/year&gt;&lt;/dates&gt;&lt;urls&gt;&lt;related-urls&gt;&lt;url&gt;https://www.pbs.gov.au/info/industry/listing/elements/pbac-meetings/psd/2019-11/olaparib-tablet-100-mg-tablet-150-mg-lynparza&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[24]</w:t>
      </w:r>
      <w:r w:rsidRPr="4F533E7D">
        <w:rPr>
          <w:rFonts w:ascii="Times New Roman" w:hAnsi="Times New Roman" w:cs="Times New Roman"/>
          <w:sz w:val="20"/>
          <w:szCs w:val="20"/>
        </w:rPr>
        <w:fldChar w:fldCharType="end"/>
      </w:r>
      <w:r w:rsidR="009D3DE8" w:rsidRPr="4F533E7D">
        <w:rPr>
          <w:rFonts w:ascii="Times New Roman" w:hAnsi="Times New Roman" w:cs="Times New Roman"/>
          <w:sz w:val="20"/>
          <w:szCs w:val="20"/>
        </w:rPr>
        <w:t>,</w:t>
      </w:r>
      <w:r w:rsidR="00542732">
        <w:rPr>
          <w:rFonts w:ascii="Times New Roman" w:hAnsi="Times New Roman" w:cs="Times New Roman"/>
          <w:sz w:val="20"/>
          <w:szCs w:val="20"/>
        </w:rPr>
        <w:t xml:space="preserve"> </w:t>
      </w:r>
      <w:r w:rsidR="3AB27861" w:rsidRPr="4F533E7D">
        <w:rPr>
          <w:rFonts w:ascii="Times New Roman" w:hAnsi="Times New Roman" w:cs="Times New Roman"/>
          <w:sz w:val="20"/>
          <w:szCs w:val="20"/>
        </w:rPr>
        <w:t xml:space="preserve">the model had </w:t>
      </w:r>
      <w:r w:rsidR="009D3DE8" w:rsidRPr="4F533E7D">
        <w:rPr>
          <w:rFonts w:ascii="Times New Roman" w:hAnsi="Times New Roman" w:cs="Times New Roman"/>
          <w:sz w:val="20"/>
          <w:szCs w:val="20"/>
        </w:rPr>
        <w:t>f</w:t>
      </w:r>
      <w:r w:rsidRPr="4F533E7D">
        <w:rPr>
          <w:rFonts w:ascii="Times New Roman" w:hAnsi="Times New Roman" w:cs="Times New Roman"/>
          <w:sz w:val="20"/>
          <w:szCs w:val="20"/>
        </w:rPr>
        <w:t>our health states (</w:t>
      </w:r>
      <w:r w:rsidR="00B32892">
        <w:rPr>
          <w:rFonts w:ascii="Times New Roman" w:hAnsi="Times New Roman" w:cs="Times New Roman"/>
          <w:sz w:val="20"/>
          <w:szCs w:val="20"/>
        </w:rPr>
        <w:t>p</w:t>
      </w:r>
      <w:r w:rsidR="00B32892" w:rsidRPr="4F533E7D">
        <w:rPr>
          <w:rFonts w:ascii="Times New Roman" w:hAnsi="Times New Roman" w:cs="Times New Roman"/>
          <w:sz w:val="20"/>
          <w:szCs w:val="20"/>
        </w:rPr>
        <w:t>rogression</w:t>
      </w:r>
      <w:r w:rsidRPr="4F533E7D">
        <w:rPr>
          <w:rFonts w:ascii="Times New Roman" w:hAnsi="Times New Roman" w:cs="Times New Roman"/>
          <w:sz w:val="20"/>
          <w:szCs w:val="20"/>
        </w:rPr>
        <w:t>-free following 1</w:t>
      </w:r>
      <w:r w:rsidRPr="4F533E7D">
        <w:rPr>
          <w:rFonts w:ascii="Times New Roman" w:hAnsi="Times New Roman" w:cs="Times New Roman"/>
          <w:sz w:val="20"/>
          <w:szCs w:val="20"/>
          <w:vertAlign w:val="superscript"/>
        </w:rPr>
        <w:t>st</w:t>
      </w:r>
      <w:r w:rsidRPr="4F533E7D">
        <w:rPr>
          <w:rFonts w:ascii="Times New Roman" w:hAnsi="Times New Roman" w:cs="Times New Roman"/>
          <w:sz w:val="20"/>
          <w:szCs w:val="20"/>
        </w:rPr>
        <w:t xml:space="preserve"> line platinum regimen, </w:t>
      </w:r>
      <w:r w:rsidR="00B32892">
        <w:rPr>
          <w:rFonts w:ascii="Times New Roman" w:hAnsi="Times New Roman" w:cs="Times New Roman"/>
          <w:sz w:val="20"/>
          <w:szCs w:val="20"/>
        </w:rPr>
        <w:t>p</w:t>
      </w:r>
      <w:r w:rsidR="00B32892" w:rsidRPr="4F533E7D">
        <w:rPr>
          <w:rFonts w:ascii="Times New Roman" w:hAnsi="Times New Roman" w:cs="Times New Roman"/>
          <w:sz w:val="20"/>
          <w:szCs w:val="20"/>
        </w:rPr>
        <w:t>rogression</w:t>
      </w:r>
      <w:r w:rsidRPr="4F533E7D">
        <w:rPr>
          <w:rFonts w:ascii="Times New Roman" w:hAnsi="Times New Roman" w:cs="Times New Roman"/>
          <w:sz w:val="20"/>
          <w:szCs w:val="20"/>
        </w:rPr>
        <w:t>-free following 2</w:t>
      </w:r>
      <w:r w:rsidRPr="4F533E7D">
        <w:rPr>
          <w:rFonts w:ascii="Times New Roman" w:hAnsi="Times New Roman" w:cs="Times New Roman"/>
          <w:sz w:val="20"/>
          <w:szCs w:val="20"/>
          <w:vertAlign w:val="superscript"/>
        </w:rPr>
        <w:t>nd</w:t>
      </w:r>
      <w:r w:rsidRPr="4F533E7D">
        <w:rPr>
          <w:rFonts w:ascii="Times New Roman" w:hAnsi="Times New Roman" w:cs="Times New Roman"/>
          <w:sz w:val="20"/>
          <w:szCs w:val="20"/>
        </w:rPr>
        <w:t xml:space="preserve"> </w:t>
      </w:r>
      <w:r w:rsidR="009A1277" w:rsidRPr="4F533E7D">
        <w:rPr>
          <w:rFonts w:ascii="Times New Roman" w:hAnsi="Times New Roman" w:cs="Times New Roman"/>
          <w:sz w:val="20"/>
          <w:szCs w:val="20"/>
        </w:rPr>
        <w:t>line (</w:t>
      </w:r>
      <w:r w:rsidRPr="4F533E7D">
        <w:rPr>
          <w:rFonts w:ascii="Times New Roman" w:hAnsi="Times New Roman" w:cs="Times New Roman"/>
          <w:sz w:val="20"/>
          <w:szCs w:val="20"/>
        </w:rPr>
        <w:t xml:space="preserve">PFS2) platinum regimen, </w:t>
      </w:r>
      <w:r w:rsidR="00B32892">
        <w:rPr>
          <w:rFonts w:ascii="Times New Roman" w:hAnsi="Times New Roman" w:cs="Times New Roman"/>
          <w:sz w:val="20"/>
          <w:szCs w:val="20"/>
        </w:rPr>
        <w:t>p</w:t>
      </w:r>
      <w:r w:rsidR="00B32892" w:rsidRPr="4F533E7D">
        <w:rPr>
          <w:rFonts w:ascii="Times New Roman" w:hAnsi="Times New Roman" w:cs="Times New Roman"/>
          <w:sz w:val="20"/>
          <w:szCs w:val="20"/>
        </w:rPr>
        <w:t xml:space="preserve">rogressive </w:t>
      </w:r>
      <w:r w:rsidRPr="4F533E7D">
        <w:rPr>
          <w:rFonts w:ascii="Times New Roman" w:hAnsi="Times New Roman" w:cs="Times New Roman"/>
          <w:sz w:val="20"/>
          <w:szCs w:val="20"/>
        </w:rPr>
        <w:t xml:space="preserve">disease, </w:t>
      </w:r>
      <w:r w:rsidR="00B32892">
        <w:rPr>
          <w:rFonts w:ascii="Times New Roman" w:hAnsi="Times New Roman" w:cs="Times New Roman"/>
          <w:sz w:val="20"/>
          <w:szCs w:val="20"/>
        </w:rPr>
        <w:t>d</w:t>
      </w:r>
      <w:r w:rsidR="00B32892" w:rsidRPr="4F533E7D">
        <w:rPr>
          <w:rFonts w:ascii="Times New Roman" w:hAnsi="Times New Roman" w:cs="Times New Roman"/>
          <w:sz w:val="20"/>
          <w:szCs w:val="20"/>
        </w:rPr>
        <w:t>eath</w:t>
      </w:r>
      <w:r w:rsidRPr="4F533E7D">
        <w:rPr>
          <w:rFonts w:ascii="Times New Roman" w:hAnsi="Times New Roman" w:cs="Times New Roman"/>
          <w:sz w:val="20"/>
          <w:szCs w:val="20"/>
        </w:rPr>
        <w:t xml:space="preserve">). The PBAC considered that it was inappropriate to use PFS2 as a surrogate </w:t>
      </w:r>
      <w:r w:rsidR="00636769" w:rsidRPr="4F533E7D">
        <w:rPr>
          <w:rFonts w:ascii="Times New Roman" w:hAnsi="Times New Roman" w:cs="Times New Roman"/>
          <w:sz w:val="20"/>
          <w:szCs w:val="20"/>
        </w:rPr>
        <w:t xml:space="preserve">outcome </w:t>
      </w:r>
      <w:r w:rsidRPr="4F533E7D">
        <w:rPr>
          <w:rFonts w:ascii="Times New Roman" w:hAnsi="Times New Roman" w:cs="Times New Roman"/>
          <w:sz w:val="20"/>
          <w:szCs w:val="20"/>
        </w:rPr>
        <w:t xml:space="preserve">for </w:t>
      </w:r>
      <w:r w:rsidR="00BB0E9D" w:rsidRPr="4F533E7D">
        <w:rPr>
          <w:rFonts w:ascii="Times New Roman" w:hAnsi="Times New Roman" w:cs="Times New Roman"/>
          <w:sz w:val="20"/>
          <w:szCs w:val="20"/>
        </w:rPr>
        <w:t>overall survival (</w:t>
      </w:r>
      <w:r w:rsidRPr="4F533E7D">
        <w:rPr>
          <w:rFonts w:ascii="Times New Roman" w:hAnsi="Times New Roman" w:cs="Times New Roman"/>
          <w:sz w:val="20"/>
          <w:szCs w:val="20"/>
        </w:rPr>
        <w:t>OS</w:t>
      </w:r>
      <w:r w:rsidR="00BB0E9D" w:rsidRPr="4F533E7D">
        <w:rPr>
          <w:rFonts w:ascii="Times New Roman" w:hAnsi="Times New Roman" w:cs="Times New Roman"/>
          <w:sz w:val="20"/>
          <w:szCs w:val="20"/>
        </w:rPr>
        <w:t xml:space="preserve">) </w:t>
      </w:r>
      <w:r w:rsidRPr="4F533E7D">
        <w:rPr>
          <w:rFonts w:ascii="Times New Roman" w:hAnsi="Times New Roman" w:cs="Times New Roman"/>
          <w:sz w:val="20"/>
          <w:szCs w:val="20"/>
        </w:rPr>
        <w:t>as no clinical evidence to support the translation of the second progression to OS</w:t>
      </w:r>
      <w:r w:rsidR="00636769" w:rsidRPr="4F533E7D">
        <w:rPr>
          <w:rFonts w:ascii="Times New Roman" w:hAnsi="Times New Roman" w:cs="Times New Roman"/>
          <w:sz w:val="20"/>
          <w:szCs w:val="20"/>
        </w:rPr>
        <w:t>.</w:t>
      </w:r>
      <w:r w:rsidRPr="4F533E7D">
        <w:rPr>
          <w:rFonts w:ascii="Times New Roman" w:hAnsi="Times New Roman" w:cs="Times New Roman"/>
          <w:sz w:val="20"/>
          <w:szCs w:val="20"/>
        </w:rPr>
        <w:t xml:space="preserve"> </w:t>
      </w:r>
      <w:r w:rsidR="00636769" w:rsidRPr="4F533E7D">
        <w:rPr>
          <w:rFonts w:ascii="Times New Roman" w:hAnsi="Times New Roman" w:cs="Times New Roman"/>
          <w:sz w:val="20"/>
          <w:szCs w:val="20"/>
        </w:rPr>
        <w:t>T</w:t>
      </w:r>
      <w:r w:rsidRPr="4F533E7D">
        <w:rPr>
          <w:rFonts w:ascii="Times New Roman" w:hAnsi="Times New Roman" w:cs="Times New Roman"/>
          <w:sz w:val="20"/>
          <w:szCs w:val="20"/>
        </w:rPr>
        <w:t xml:space="preserve">his approach was highly </w:t>
      </w:r>
      <w:r w:rsidR="009A1277" w:rsidRPr="4F533E7D">
        <w:rPr>
          <w:rFonts w:ascii="Times New Roman" w:hAnsi="Times New Roman" w:cs="Times New Roman"/>
          <w:sz w:val="20"/>
          <w:szCs w:val="20"/>
        </w:rPr>
        <w:t>favo</w:t>
      </w:r>
      <w:r w:rsidR="002E3C7E" w:rsidRPr="4F533E7D">
        <w:rPr>
          <w:rFonts w:ascii="Times New Roman" w:hAnsi="Times New Roman" w:cs="Times New Roman"/>
          <w:sz w:val="20"/>
          <w:szCs w:val="20"/>
        </w:rPr>
        <w:t>u</w:t>
      </w:r>
      <w:r w:rsidR="009A1277" w:rsidRPr="4F533E7D">
        <w:rPr>
          <w:rFonts w:ascii="Times New Roman" w:hAnsi="Times New Roman" w:cs="Times New Roman"/>
          <w:sz w:val="20"/>
          <w:szCs w:val="20"/>
        </w:rPr>
        <w:t>rable</w:t>
      </w:r>
      <w:r w:rsidRPr="4F533E7D">
        <w:rPr>
          <w:rFonts w:ascii="Times New Roman" w:hAnsi="Times New Roman" w:cs="Times New Roman"/>
          <w:sz w:val="20"/>
          <w:szCs w:val="20"/>
        </w:rPr>
        <w:t xml:space="preserve"> to olaparib.</w:t>
      </w:r>
    </w:p>
    <w:p w14:paraId="0FE32472" w14:textId="313EF9FB" w:rsidR="4F533E7D" w:rsidRDefault="4F533E7D" w:rsidP="00C15362">
      <w:pPr>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5749"/>
      </w:tblGrid>
      <w:tr w:rsidR="005703C0" w:rsidRPr="005668EA" w14:paraId="3DFF14E4" w14:textId="77777777" w:rsidTr="4F533E7D">
        <w:tc>
          <w:tcPr>
            <w:tcW w:w="2547" w:type="dxa"/>
          </w:tcPr>
          <w:bookmarkEnd w:id="27"/>
          <w:p w14:paraId="3457568D"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749" w:type="dxa"/>
          </w:tcPr>
          <w:p w14:paraId="15A03432" w14:textId="2F2CC9D2" w:rsidR="005703C0" w:rsidRPr="005668EA" w:rsidRDefault="002E3C7E" w:rsidP="00C15362">
            <w:pPr>
              <w:pStyle w:val="EndNoteBibliography"/>
              <w:adjustRightInd w:val="0"/>
              <w:snapToGrid w:val="0"/>
              <w:spacing w:line="360" w:lineRule="auto"/>
              <w:rPr>
                <w:kern w:val="0"/>
                <w:szCs w:val="20"/>
              </w:rPr>
            </w:pPr>
            <w:r>
              <w:rPr>
                <w:kern w:val="0"/>
                <w:szCs w:val="20"/>
              </w:rPr>
              <w:t>D</w:t>
            </w:r>
            <w:r w:rsidR="0093320E">
              <w:rPr>
                <w:kern w:val="0"/>
                <w:szCs w:val="20"/>
              </w:rPr>
              <w:t>id</w:t>
            </w:r>
            <w:r w:rsidRPr="005668EA">
              <w:rPr>
                <w:kern w:val="0"/>
                <w:szCs w:val="20"/>
              </w:rPr>
              <w:t xml:space="preserve"> </w:t>
            </w:r>
            <w:r w:rsidR="005703C0" w:rsidRPr="005668EA">
              <w:rPr>
                <w:kern w:val="0"/>
                <w:szCs w:val="20"/>
              </w:rPr>
              <w:t xml:space="preserve">the PBAC think the surrogate outcome </w:t>
            </w:r>
            <w:r w:rsidR="00F22C83">
              <w:rPr>
                <w:kern w:val="0"/>
                <w:szCs w:val="20"/>
              </w:rPr>
              <w:t>wa</w:t>
            </w:r>
            <w:r w:rsidR="005703C0" w:rsidRPr="005668EA">
              <w:rPr>
                <w:kern w:val="0"/>
                <w:szCs w:val="20"/>
              </w:rPr>
              <w:t>s invalid?</w:t>
            </w:r>
          </w:p>
        </w:tc>
      </w:tr>
      <w:tr w:rsidR="005703C0" w:rsidRPr="005668EA" w14:paraId="3A41A5DA" w14:textId="77777777" w:rsidTr="4F533E7D">
        <w:tc>
          <w:tcPr>
            <w:tcW w:w="2547" w:type="dxa"/>
          </w:tcPr>
          <w:p w14:paraId="7DD1478A"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749" w:type="dxa"/>
          </w:tcPr>
          <w:p w14:paraId="60B27BBB" w14:textId="1F92BC5B" w:rsidR="005703C0" w:rsidRPr="005668EA" w:rsidRDefault="007B29D6" w:rsidP="00C15362">
            <w:pPr>
              <w:pStyle w:val="EndNoteBibliography"/>
              <w:adjustRightInd w:val="0"/>
              <w:snapToGrid w:val="0"/>
              <w:spacing w:line="360" w:lineRule="auto"/>
              <w:rPr>
                <w:kern w:val="0"/>
                <w:szCs w:val="20"/>
              </w:rPr>
            </w:pPr>
            <w:r w:rsidRPr="007B29D6">
              <w:rPr>
                <w:kern w:val="0"/>
                <w:szCs w:val="20"/>
              </w:rPr>
              <w:t>0 – yes, 1 – no</w:t>
            </w:r>
          </w:p>
        </w:tc>
      </w:tr>
    </w:tbl>
    <w:p w14:paraId="03846BC6" w14:textId="50863425" w:rsidR="005703C0" w:rsidRPr="005668EA" w:rsidRDefault="00542732" w:rsidP="00C33017">
      <w:pPr>
        <w:pStyle w:val="Heading5"/>
        <w:adjustRightInd w:val="0"/>
        <w:snapToGrid w:val="0"/>
        <w:spacing w:before="480" w:after="0" w:line="360" w:lineRule="auto"/>
        <w:rPr>
          <w:rFonts w:ascii="Times New Roman" w:hAnsi="Times New Roman" w:cs="Times New Roman"/>
          <w:sz w:val="20"/>
          <w:szCs w:val="20"/>
        </w:rPr>
      </w:pPr>
      <w:r>
        <w:rPr>
          <w:rFonts w:ascii="Times New Roman" w:hAnsi="Times New Roman" w:cs="Times New Roman"/>
          <w:sz w:val="20"/>
          <w:szCs w:val="20"/>
        </w:rPr>
        <w:t>3</w:t>
      </w:r>
      <w:r w:rsidR="005703C0" w:rsidRPr="005668EA">
        <w:rPr>
          <w:rFonts w:ascii="Times New Roman" w:hAnsi="Times New Roman" w:cs="Times New Roman"/>
          <w:sz w:val="20"/>
          <w:szCs w:val="20"/>
        </w:rPr>
        <w:t>.1.2.2 Unjustified assumption on the direction or frequency of patients</w:t>
      </w:r>
      <w:r w:rsidR="00AB2396" w:rsidRPr="005668EA">
        <w:rPr>
          <w:rFonts w:ascii="Times New Roman" w:hAnsi="Times New Roman" w:cs="Times New Roman"/>
          <w:sz w:val="20"/>
          <w:szCs w:val="20"/>
        </w:rPr>
        <w:t>'</w:t>
      </w:r>
      <w:r w:rsidR="005703C0" w:rsidRPr="005668EA">
        <w:rPr>
          <w:rFonts w:ascii="Times New Roman" w:hAnsi="Times New Roman" w:cs="Times New Roman"/>
          <w:sz w:val="20"/>
          <w:szCs w:val="20"/>
        </w:rPr>
        <w:t xml:space="preserve"> transition between health states</w:t>
      </w:r>
      <w:r w:rsidR="007B29D6">
        <w:rPr>
          <w:rFonts w:ascii="Times New Roman" w:hAnsi="Times New Roman" w:cs="Times New Roman"/>
          <w:sz w:val="20"/>
          <w:szCs w:val="20"/>
        </w:rPr>
        <w:t xml:space="preserve"> </w:t>
      </w:r>
    </w:p>
    <w:p w14:paraId="558EA5FF" w14:textId="4F3BDC54" w:rsidR="005703C0" w:rsidRDefault="005703C0" w:rsidP="006C41A0">
      <w:pPr>
        <w:pStyle w:val="CommentText"/>
        <w:adjustRightInd w:val="0"/>
        <w:snapToGrid w:val="0"/>
        <w:spacing w:line="360" w:lineRule="auto"/>
        <w:rPr>
          <w:rFonts w:ascii="Times New Roman" w:hAnsi="Times New Roman" w:cs="Times New Roman"/>
        </w:rPr>
      </w:pPr>
      <w:bookmarkStart w:id="28" w:name="_Hlk159232723"/>
      <w:r w:rsidRPr="005668EA">
        <w:rPr>
          <w:rFonts w:ascii="Times New Roman" w:hAnsi="Times New Roman" w:cs="Times New Roman"/>
        </w:rPr>
        <w:t xml:space="preserve">The PBAC considered uncertainty to arise if the assumption regarding whether the treatment effect </w:t>
      </w:r>
      <w:r w:rsidR="00636769" w:rsidRPr="4F533E7D">
        <w:rPr>
          <w:rFonts w:ascii="Times New Roman" w:hAnsi="Times New Roman" w:cs="Times New Roman"/>
        </w:rPr>
        <w:t xml:space="preserve">was </w:t>
      </w:r>
      <w:r w:rsidRPr="005668EA">
        <w:rPr>
          <w:rFonts w:ascii="Times New Roman" w:hAnsi="Times New Roman" w:cs="Times New Roman"/>
        </w:rPr>
        <w:t>on progression, prevention, or both directions was unjustified</w:t>
      </w:r>
      <w:r w:rsidR="007B29D6">
        <w:rPr>
          <w:rFonts w:ascii="Times New Roman" w:hAnsi="Times New Roman" w:cs="Times New Roman"/>
        </w:rPr>
        <w:t xml:space="preserve"> </w:t>
      </w:r>
      <w:r w:rsidRPr="005668EA">
        <w:rPr>
          <w:rFonts w:ascii="Times New Roman" w:hAnsi="Times New Roman" w:cs="Times New Roman"/>
        </w:rPr>
        <w:fldChar w:fldCharType="begin">
          <w:fldData xml:space="preserve">PEVuZE5vdGU+PENpdGU+PEF1dGhvcj5IYWppIEFsaSBBZnphbGk8L0F1dGhvcj48WWVhcj4yMDE4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</w:fldData>
        </w:fldChar>
      </w:r>
      <w:r w:rsidR="00687A2B">
        <w:rPr>
          <w:rFonts w:ascii="Times New Roman" w:hAnsi="Times New Roman" w:cs="Times New Roman"/>
        </w:rPr>
        <w:instrText xml:space="preserve"> ADDIN EN.CITE </w:instrText>
      </w:r>
      <w:r w:rsidR="00687A2B">
        <w:rPr>
          <w:rFonts w:ascii="Times New Roman" w:hAnsi="Times New Roman" w:cs="Times New Roman"/>
        </w:rPr>
        <w:fldChar w:fldCharType="begin">
          <w:fldData xml:space="preserve">PEVuZE5vdGU+PENpdGU+PEF1dGhvcj5IYWppIEFsaSBBZnphbGk8L0F1dGhvcj48WWVhcj4yMDE4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</w:fldData>
        </w:fldChar>
      </w:r>
      <w:r w:rsidR="00687A2B">
        <w:rPr>
          <w:rFonts w:ascii="Times New Roman" w:hAnsi="Times New Roman" w:cs="Times New Roman"/>
        </w:rPr>
        <w:instrText xml:space="preserve"> ADDIN EN.CITE.DATA </w:instrText>
      </w:r>
      <w:r w:rsidR="00687A2B">
        <w:rPr>
          <w:rFonts w:ascii="Times New Roman" w:hAnsi="Times New Roman" w:cs="Times New Roman"/>
        </w:rPr>
      </w:r>
      <w:r w:rsidR="00687A2B">
        <w:rPr>
          <w:rFonts w:ascii="Times New Roman" w:hAnsi="Times New Roman" w:cs="Times New Roman"/>
        </w:rPr>
        <w:fldChar w:fldCharType="end"/>
      </w:r>
      <w:r w:rsidRPr="005668EA">
        <w:rPr>
          <w:rFonts w:ascii="Times New Roman" w:hAnsi="Times New Roman" w:cs="Times New Roman"/>
        </w:rPr>
      </w:r>
      <w:r w:rsidRPr="005668EA">
        <w:rPr>
          <w:rFonts w:ascii="Times New Roman" w:hAnsi="Times New Roman" w:cs="Times New Roman"/>
        </w:rPr>
        <w:fldChar w:fldCharType="separate"/>
      </w:r>
      <w:r w:rsidR="00687A2B">
        <w:rPr>
          <w:rFonts w:ascii="Times New Roman" w:hAnsi="Times New Roman" w:cs="Times New Roman"/>
          <w:noProof/>
        </w:rPr>
        <w:t>[25]</w:t>
      </w:r>
      <w:r w:rsidRPr="005668EA">
        <w:rPr>
          <w:rFonts w:ascii="Times New Roman" w:hAnsi="Times New Roman" w:cs="Times New Roman"/>
        </w:rPr>
        <w:fldChar w:fldCharType="end"/>
      </w:r>
      <w:r w:rsidRPr="005668EA">
        <w:rPr>
          <w:rFonts w:ascii="Times New Roman" w:hAnsi="Times New Roman" w:cs="Times New Roman"/>
        </w:rPr>
        <w:t>.</w:t>
      </w:r>
      <w:r w:rsidR="00C04CE1">
        <w:rPr>
          <w:rFonts w:ascii="Times New Roman" w:hAnsi="Times New Roman" w:cs="Times New Roman"/>
        </w:rPr>
        <w:t xml:space="preserve"> </w:t>
      </w:r>
      <w:r w:rsidRPr="4F533E7D">
        <w:rPr>
          <w:rFonts w:ascii="Times New Roman" w:hAnsi="Times New Roman" w:cs="Times New Roman"/>
        </w:rPr>
        <w:t xml:space="preserve">For instance, in the submission </w:t>
      </w:r>
      <w:r w:rsidR="3674FD47" w:rsidRPr="4F533E7D">
        <w:rPr>
          <w:rFonts w:ascii="Times New Roman" w:hAnsi="Times New Roman" w:cs="Times New Roman"/>
        </w:rPr>
        <w:t xml:space="preserve">for </w:t>
      </w:r>
      <w:r w:rsidRPr="4F533E7D">
        <w:rPr>
          <w:rFonts w:ascii="Times New Roman" w:hAnsi="Times New Roman" w:cs="Times New Roman"/>
        </w:rPr>
        <w:t xml:space="preserve">glatiramer for </w:t>
      </w:r>
      <w:r w:rsidR="00636769" w:rsidRPr="4F533E7D">
        <w:rPr>
          <w:rFonts w:ascii="Times New Roman" w:hAnsi="Times New Roman" w:cs="Times New Roman"/>
        </w:rPr>
        <w:t xml:space="preserve">the </w:t>
      </w:r>
      <w:r w:rsidRPr="4F533E7D">
        <w:rPr>
          <w:rFonts w:ascii="Times New Roman" w:hAnsi="Times New Roman" w:cs="Times New Roman"/>
        </w:rPr>
        <w:t>treatment of multiple sclerosis, patients in multiple sclerosis health states cannot transit more than once or more than one step on the Expanded Disability Status Scale within each annual cycle.</w:t>
      </w:r>
      <w:r w:rsidR="007B29D6" w:rsidRPr="4F533E7D">
        <w:rPr>
          <w:rFonts w:ascii="Times New Roman" w:hAnsi="Times New Roman" w:cs="Times New Roman"/>
        </w:rPr>
        <w:t xml:space="preserve"> </w:t>
      </w:r>
      <w:r w:rsidRPr="4F533E7D">
        <w:rPr>
          <w:rFonts w:ascii="Times New Roman" w:hAnsi="Times New Roman" w:cs="Times New Roman"/>
        </w:rPr>
        <w:t xml:space="preserve">Another example is rivaroxaban for </w:t>
      </w:r>
      <w:r w:rsidR="3B43ED14" w:rsidRPr="4F533E7D">
        <w:rPr>
          <w:rFonts w:ascii="Times New Roman" w:hAnsi="Times New Roman" w:cs="Times New Roman"/>
        </w:rPr>
        <w:t xml:space="preserve">the </w:t>
      </w:r>
      <w:r w:rsidRPr="4F533E7D">
        <w:rPr>
          <w:rFonts w:ascii="Times New Roman" w:hAnsi="Times New Roman" w:cs="Times New Roman"/>
        </w:rPr>
        <w:t>treatment of recurrent cardiovascular events,</w:t>
      </w:r>
      <w:r w:rsidR="007B29D6" w:rsidRPr="4F533E7D">
        <w:rPr>
          <w:rFonts w:ascii="Times New Roman" w:hAnsi="Times New Roman" w:cs="Times New Roman"/>
        </w:rPr>
        <w:t xml:space="preserve"> where</w:t>
      </w:r>
      <w:r w:rsidRPr="4F533E7D">
        <w:rPr>
          <w:rFonts w:ascii="Times New Roman" w:hAnsi="Times New Roman" w:cs="Times New Roman"/>
        </w:rPr>
        <w:t xml:space="preserve"> the model assumed that all patients would remain fully adherent and persistent while on therapy</w:t>
      </w:r>
      <w:r w:rsidR="000578E2" w:rsidRPr="4F533E7D">
        <w:rPr>
          <w:rFonts w:ascii="Times New Roman" w:hAnsi="Times New Roman" w:cs="Times New Roman"/>
        </w:rPr>
        <w:t xml:space="preserve"> without any</w:t>
      </w:r>
      <w:r w:rsidRPr="4F533E7D">
        <w:rPr>
          <w:rFonts w:ascii="Times New Roman" w:hAnsi="Times New Roman" w:cs="Times New Roman"/>
        </w:rPr>
        <w:t xml:space="preserve"> treatment interruptions. The PBAC considered </w:t>
      </w:r>
      <w:r w:rsidR="000578E2" w:rsidRPr="4F533E7D">
        <w:rPr>
          <w:rFonts w:ascii="Times New Roman" w:hAnsi="Times New Roman" w:cs="Times New Roman"/>
        </w:rPr>
        <w:t xml:space="preserve">these assumptions were not reasonable </w:t>
      </w:r>
      <w:r w:rsidRPr="4F533E7D">
        <w:rPr>
          <w:rFonts w:ascii="Times New Roman" w:hAnsi="Times New Roman" w:cs="Times New Roman"/>
        </w:rPr>
        <w:t xml:space="preserve">in the context of </w:t>
      </w:r>
      <w:r w:rsidR="00AB2396" w:rsidRPr="4F533E7D">
        <w:rPr>
          <w:rFonts w:ascii="Times New Roman" w:hAnsi="Times New Roman" w:cs="Times New Roman"/>
        </w:rPr>
        <w:t xml:space="preserve">a </w:t>
      </w:r>
      <w:r w:rsidRPr="4F533E7D">
        <w:rPr>
          <w:rFonts w:ascii="Times New Roman" w:hAnsi="Times New Roman" w:cs="Times New Roman"/>
        </w:rPr>
        <w:t>30-year time horizon.</w:t>
      </w:r>
    </w:p>
    <w:p w14:paraId="36552D80" w14:textId="77777777" w:rsidR="00542732" w:rsidRPr="00BB0E9D" w:rsidRDefault="00542732" w:rsidP="006C41A0">
      <w:pPr>
        <w:pStyle w:val="CommentText"/>
        <w:adjustRightInd w:val="0"/>
        <w:snapToGrid w:val="0"/>
        <w:spacing w:line="360" w:lineRule="auto"/>
        <w:rPr>
          <w:rFonts w:ascii="Times New Roman" w:hAnsi="Times New Roman" w:cs="Times New Roman"/>
        </w:rPr>
      </w:pPr>
    </w:p>
    <w:tbl>
      <w:tblPr>
        <w:tblStyle w:val="TableGrid"/>
        <w:tblW w:w="0" w:type="auto"/>
        <w:tblLook w:val="04A0" w:firstRow="1" w:lastRow="0" w:firstColumn="1" w:lastColumn="0" w:noHBand="0" w:noVBand="1"/>
      </w:tblPr>
      <w:tblGrid>
        <w:gridCol w:w="2547"/>
        <w:gridCol w:w="5749"/>
      </w:tblGrid>
      <w:tr w:rsidR="005703C0" w:rsidRPr="005668EA" w14:paraId="443C09F7" w14:textId="77777777" w:rsidTr="4F533E7D">
        <w:tc>
          <w:tcPr>
            <w:tcW w:w="2547" w:type="dxa"/>
          </w:tcPr>
          <w:bookmarkEnd w:id="28"/>
          <w:p w14:paraId="5C83097E"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749" w:type="dxa"/>
          </w:tcPr>
          <w:p w14:paraId="2A100928" w14:textId="53D97D0E" w:rsidR="005703C0" w:rsidRPr="005668EA" w:rsidRDefault="005703C0" w:rsidP="00C15362">
            <w:pPr>
              <w:pStyle w:val="EndNoteBibliography"/>
              <w:adjustRightInd w:val="0"/>
              <w:snapToGrid w:val="0"/>
              <w:spacing w:line="360" w:lineRule="auto"/>
              <w:rPr>
                <w:kern w:val="0"/>
                <w:szCs w:val="20"/>
              </w:rPr>
            </w:pPr>
            <w:r w:rsidRPr="005668EA">
              <w:rPr>
                <w:kern w:val="0"/>
                <w:szCs w:val="20"/>
              </w:rPr>
              <w:t>Were there uncertainties around unjustified assumption</w:t>
            </w:r>
            <w:r w:rsidR="00AB2396" w:rsidRPr="005668EA">
              <w:rPr>
                <w:kern w:val="0"/>
                <w:szCs w:val="20"/>
              </w:rPr>
              <w:t>s</w:t>
            </w:r>
            <w:r w:rsidRPr="005668EA">
              <w:rPr>
                <w:kern w:val="0"/>
                <w:szCs w:val="20"/>
              </w:rPr>
              <w:t xml:space="preserve"> around the direction of patients</w:t>
            </w:r>
            <w:r w:rsidR="00AB2396" w:rsidRPr="005668EA">
              <w:rPr>
                <w:kern w:val="0"/>
                <w:szCs w:val="20"/>
              </w:rPr>
              <w:t>'</w:t>
            </w:r>
            <w:r w:rsidRPr="005668EA">
              <w:rPr>
                <w:kern w:val="0"/>
                <w:szCs w:val="20"/>
              </w:rPr>
              <w:t xml:space="preserve"> transition between health states?</w:t>
            </w:r>
          </w:p>
        </w:tc>
      </w:tr>
      <w:tr w:rsidR="005703C0" w:rsidRPr="005668EA" w14:paraId="7563E1F0" w14:textId="77777777" w:rsidTr="4F533E7D">
        <w:tc>
          <w:tcPr>
            <w:tcW w:w="2547" w:type="dxa"/>
          </w:tcPr>
          <w:p w14:paraId="4E5718AE"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749" w:type="dxa"/>
          </w:tcPr>
          <w:p w14:paraId="7E5A9DC7" w14:textId="4A2E7871" w:rsidR="005703C0" w:rsidRPr="005668EA" w:rsidRDefault="00D44EAD" w:rsidP="00C15362">
            <w:pPr>
              <w:pStyle w:val="EndNoteBibliography"/>
              <w:adjustRightInd w:val="0"/>
              <w:snapToGrid w:val="0"/>
              <w:spacing w:line="360" w:lineRule="auto"/>
              <w:rPr>
                <w:kern w:val="0"/>
                <w:szCs w:val="20"/>
              </w:rPr>
            </w:pPr>
            <w:r w:rsidRPr="007B29D6">
              <w:rPr>
                <w:kern w:val="0"/>
                <w:szCs w:val="20"/>
              </w:rPr>
              <w:t>0 – yes, 1 – no</w:t>
            </w:r>
          </w:p>
        </w:tc>
      </w:tr>
    </w:tbl>
    <w:p w14:paraId="13DF9DC4" w14:textId="4449EDED" w:rsidR="005703C0" w:rsidRPr="005668EA" w:rsidRDefault="001A447C" w:rsidP="008B2436">
      <w:pPr>
        <w:pStyle w:val="Heading3"/>
        <w:adjustRightInd w:val="0"/>
        <w:snapToGrid w:val="0"/>
        <w:spacing w:before="480" w:after="0" w:line="360" w:lineRule="auto"/>
        <w:rPr>
          <w:rFonts w:ascii="Times New Roman" w:hAnsi="Times New Roman" w:cs="Times New Roman"/>
          <w:sz w:val="20"/>
          <w:szCs w:val="20"/>
        </w:rPr>
      </w:pPr>
      <w:r>
        <w:rPr>
          <w:rFonts w:ascii="Times New Roman" w:hAnsi="Times New Roman" w:cs="Times New Roman"/>
          <w:sz w:val="20"/>
          <w:szCs w:val="20"/>
        </w:rPr>
        <w:t>3</w:t>
      </w:r>
      <w:r w:rsidR="005703C0" w:rsidRPr="005668EA">
        <w:rPr>
          <w:rFonts w:ascii="Times New Roman" w:hAnsi="Times New Roman" w:cs="Times New Roman"/>
          <w:sz w:val="20"/>
          <w:szCs w:val="20"/>
        </w:rPr>
        <w:t xml:space="preserve">.2 </w:t>
      </w:r>
      <w:r w:rsidR="00230578" w:rsidRPr="005668EA">
        <w:rPr>
          <w:rFonts w:ascii="Times New Roman" w:hAnsi="Times New Roman" w:cs="Times New Roman"/>
          <w:sz w:val="20"/>
          <w:szCs w:val="20"/>
        </w:rPr>
        <w:t>Parameterisable</w:t>
      </w:r>
      <w:r w:rsidR="005703C0" w:rsidRPr="005668EA">
        <w:rPr>
          <w:rFonts w:ascii="Times New Roman" w:hAnsi="Times New Roman" w:cs="Times New Roman"/>
          <w:sz w:val="20"/>
          <w:szCs w:val="20"/>
        </w:rPr>
        <w:t xml:space="preserve"> structural uncertainty</w:t>
      </w:r>
      <w:r w:rsidR="008B2436">
        <w:rPr>
          <w:rFonts w:ascii="Times New Roman" w:hAnsi="Times New Roman" w:cs="Times New Roman" w:hint="eastAsia"/>
          <w:sz w:val="20"/>
          <w:szCs w:val="20"/>
        </w:rPr>
        <w:t xml:space="preserve"> (uncertainty around extrapolation)</w:t>
      </w:r>
    </w:p>
    <w:p w14:paraId="5E192D82" w14:textId="77777777" w:rsidR="008B2436" w:rsidRPr="00C33017" w:rsidRDefault="005703C0" w:rsidP="00C33017">
      <w:pPr>
        <w:rPr>
          <w:rFonts w:ascii="Times New Roman" w:hAnsi="Times New Roman" w:cs="Times New Roman"/>
          <w:sz w:val="20"/>
          <w:szCs w:val="20"/>
        </w:rPr>
      </w:pPr>
      <w:r w:rsidRPr="00C33017">
        <w:rPr>
          <w:rFonts w:ascii="Times New Roman" w:hAnsi="Times New Roman" w:cs="Times New Roman"/>
          <w:sz w:val="20"/>
          <w:szCs w:val="20"/>
        </w:rPr>
        <w:t xml:space="preserve">Extrapolation is used when available observed data within a specific time horizon cannot capture the essential differences in costs and outcomes between the proposed medicine and comparator(s) groups. Submissions are required to justify the methods used to extrapolate and </w:t>
      </w:r>
      <w:r w:rsidR="00D44EAD" w:rsidRPr="00C33017">
        <w:rPr>
          <w:rFonts w:ascii="Times New Roman" w:hAnsi="Times New Roman" w:cs="Times New Roman"/>
          <w:sz w:val="20"/>
          <w:szCs w:val="20"/>
        </w:rPr>
        <w:t xml:space="preserve">support </w:t>
      </w:r>
      <w:r w:rsidRPr="00C33017">
        <w:rPr>
          <w:rFonts w:ascii="Times New Roman" w:hAnsi="Times New Roman" w:cs="Times New Roman"/>
          <w:sz w:val="20"/>
          <w:szCs w:val="20"/>
        </w:rPr>
        <w:t>assumption</w:t>
      </w:r>
      <w:r w:rsidR="00AB2396" w:rsidRPr="00C33017">
        <w:rPr>
          <w:rFonts w:ascii="Times New Roman" w:hAnsi="Times New Roman" w:cs="Times New Roman"/>
          <w:sz w:val="20"/>
          <w:szCs w:val="20"/>
        </w:rPr>
        <w:t>s</w:t>
      </w:r>
      <w:r w:rsidRPr="00C33017">
        <w:rPr>
          <w:rFonts w:ascii="Times New Roman" w:hAnsi="Times New Roman" w:cs="Times New Roman"/>
          <w:sz w:val="20"/>
          <w:szCs w:val="20"/>
        </w:rPr>
        <w:t xml:space="preserve">. All assumptions regarding selected time points, proportional hazards, treatment effects beyond the observed period, and alternative survival models should be justified. </w:t>
      </w:r>
      <w:r w:rsidR="00B32892" w:rsidRPr="00C33017">
        <w:rPr>
          <w:rFonts w:ascii="Times New Roman" w:hAnsi="Times New Roman" w:cs="Times New Roman"/>
          <w:sz w:val="20"/>
          <w:szCs w:val="20"/>
        </w:rPr>
        <w:t>P</w:t>
      </w:r>
      <w:r w:rsidRPr="00C33017">
        <w:rPr>
          <w:rFonts w:ascii="Times New Roman" w:hAnsi="Times New Roman" w:cs="Times New Roman"/>
          <w:sz w:val="20"/>
          <w:szCs w:val="20"/>
        </w:rPr>
        <w:t xml:space="preserve">otential structural uncertainty around extrapolation may arise when the PBAC </w:t>
      </w:r>
      <w:r w:rsidR="002D31BA" w:rsidRPr="00C33017">
        <w:rPr>
          <w:rFonts w:ascii="Times New Roman" w:hAnsi="Times New Roman" w:cs="Times New Roman"/>
          <w:sz w:val="20"/>
          <w:szCs w:val="20"/>
        </w:rPr>
        <w:t xml:space="preserve">considered </w:t>
      </w:r>
      <w:r w:rsidRPr="00C33017">
        <w:rPr>
          <w:rFonts w:ascii="Times New Roman" w:hAnsi="Times New Roman" w:cs="Times New Roman"/>
          <w:sz w:val="20"/>
          <w:szCs w:val="20"/>
        </w:rPr>
        <w:t>the following assumptions to be unjustified:</w:t>
      </w:r>
    </w:p>
    <w:p w14:paraId="6725AE35" w14:textId="0F76DD6C" w:rsidR="005703C0" w:rsidRPr="00C33017" w:rsidRDefault="001A447C" w:rsidP="008B2436">
      <w:pPr>
        <w:pStyle w:val="Heading4"/>
        <w:adjustRightInd w:val="0"/>
        <w:snapToGrid w:val="0"/>
        <w:spacing w:before="480" w:after="0" w:line="360" w:lineRule="auto"/>
        <w:rPr>
          <w:rFonts w:ascii="Times New Roman" w:eastAsiaTheme="minorEastAsia" w:hAnsi="Times New Roman" w:cs="Times New Roman"/>
          <w:sz w:val="20"/>
          <w:szCs w:val="20"/>
        </w:rPr>
      </w:pPr>
      <w:r w:rsidRPr="00C33017">
        <w:rPr>
          <w:rFonts w:ascii="Times New Roman" w:eastAsiaTheme="minorEastAsia" w:hAnsi="Times New Roman" w:cs="Times New Roman"/>
          <w:sz w:val="20"/>
          <w:szCs w:val="20"/>
        </w:rPr>
        <w:lastRenderedPageBreak/>
        <w:t>3</w:t>
      </w:r>
      <w:r w:rsidR="000A5196" w:rsidRPr="00C33017">
        <w:rPr>
          <w:rFonts w:ascii="Times New Roman" w:eastAsiaTheme="minorEastAsia" w:hAnsi="Times New Roman" w:cs="Times New Roman"/>
          <w:sz w:val="20"/>
          <w:szCs w:val="20"/>
        </w:rPr>
        <w:t>.2.1</w:t>
      </w:r>
      <w:r w:rsidR="008B2436" w:rsidRPr="00C33017">
        <w:rPr>
          <w:rFonts w:ascii="Times New Roman" w:eastAsiaTheme="minorEastAsia" w:hAnsi="Times New Roman" w:cs="Times New Roman" w:hint="eastAsia"/>
          <w:sz w:val="20"/>
          <w:szCs w:val="20"/>
        </w:rPr>
        <w:t xml:space="preserve"> </w:t>
      </w:r>
      <w:r w:rsidR="005703C0" w:rsidRPr="00C33017">
        <w:rPr>
          <w:rFonts w:ascii="Times New Roman" w:eastAsiaTheme="minorEastAsia" w:hAnsi="Times New Roman" w:cs="Times New Roman"/>
          <w:sz w:val="20"/>
          <w:szCs w:val="20"/>
        </w:rPr>
        <w:t xml:space="preserve">Inappropriate time horizon </w:t>
      </w:r>
    </w:p>
    <w:p w14:paraId="288B96FD" w14:textId="2B9CE797" w:rsidR="005703C0" w:rsidRDefault="005703C0" w:rsidP="006C41A0">
      <w:pPr>
        <w:widowControl/>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The submission should define and justify the time horizon over which the costs and outcomes of the proposed treatment and comparator are estimated. The time horizon is required to be long enough to capture all critical differences in costs and outcomes</w:t>
      </w:r>
      <w:r w:rsidR="005C3CCB" w:rsidRPr="4F533E7D">
        <w:rPr>
          <w:rFonts w:ascii="Times New Roman" w:hAnsi="Times New Roman" w:cs="Times New Roman"/>
          <w:sz w:val="20"/>
          <w:szCs w:val="20"/>
        </w:rPr>
        <w:t>, yet it</w:t>
      </w:r>
      <w:r w:rsidRPr="4F533E7D">
        <w:rPr>
          <w:rFonts w:ascii="Times New Roman" w:hAnsi="Times New Roman" w:cs="Times New Roman"/>
          <w:sz w:val="20"/>
          <w:szCs w:val="20"/>
        </w:rPr>
        <w:t xml:space="preserve"> should not extend unnecessarily beyond </w:t>
      </w:r>
      <w:r w:rsidR="005C3CCB" w:rsidRPr="4F533E7D">
        <w:rPr>
          <w:rFonts w:ascii="Times New Roman" w:hAnsi="Times New Roman" w:cs="Times New Roman"/>
          <w:sz w:val="20"/>
          <w:szCs w:val="20"/>
        </w:rPr>
        <w:t>it</w:t>
      </w:r>
      <w:r w:rsidRPr="4F533E7D">
        <w:rPr>
          <w:rFonts w:ascii="Times New Roman" w:hAnsi="Times New Roman" w:cs="Times New Roman"/>
          <w:sz w:val="20"/>
          <w:szCs w:val="20"/>
        </w:rPr>
        <w:t>. If the PBAC judged the time horizon applied in the model was too long or too short, it may result in uncertainty.</w:t>
      </w:r>
      <w:r w:rsidR="00D44EAD"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For instance, </w:t>
      </w:r>
      <w:r w:rsidR="009113E1" w:rsidRPr="4F533E7D">
        <w:rPr>
          <w:rFonts w:ascii="Times New Roman" w:hAnsi="Times New Roman" w:cs="Times New Roman"/>
          <w:sz w:val="20"/>
          <w:szCs w:val="20"/>
        </w:rPr>
        <w:t xml:space="preserve">a time horizon of 30 years was proposed </w:t>
      </w:r>
      <w:r w:rsidRPr="4F533E7D">
        <w:rPr>
          <w:rFonts w:ascii="Times New Roman" w:hAnsi="Times New Roman" w:cs="Times New Roman"/>
          <w:sz w:val="20"/>
          <w:szCs w:val="20"/>
        </w:rPr>
        <w:t xml:space="preserve">in the submission </w:t>
      </w:r>
      <w:r w:rsidR="2286B2A7" w:rsidRPr="4F533E7D">
        <w:rPr>
          <w:rFonts w:ascii="Times New Roman" w:hAnsi="Times New Roman" w:cs="Times New Roman"/>
          <w:sz w:val="20"/>
          <w:szCs w:val="20"/>
        </w:rPr>
        <w:t xml:space="preserve">for </w:t>
      </w:r>
      <w:r w:rsidRPr="4F533E7D">
        <w:rPr>
          <w:rFonts w:ascii="Times New Roman" w:hAnsi="Times New Roman" w:cs="Times New Roman"/>
          <w:sz w:val="20"/>
          <w:szCs w:val="20"/>
        </w:rPr>
        <w:t>anakinra for</w:t>
      </w:r>
      <w:r w:rsidR="2431B8A3" w:rsidRPr="4F533E7D">
        <w:rPr>
          <w:rFonts w:ascii="Times New Roman" w:hAnsi="Times New Roman" w:cs="Times New Roman"/>
          <w:sz w:val="20"/>
          <w:szCs w:val="20"/>
        </w:rPr>
        <w:t xml:space="preserve"> the</w:t>
      </w:r>
      <w:r w:rsidRPr="4F533E7D">
        <w:rPr>
          <w:rFonts w:ascii="Times New Roman" w:hAnsi="Times New Roman" w:cs="Times New Roman"/>
          <w:sz w:val="20"/>
          <w:szCs w:val="20"/>
        </w:rPr>
        <w:t xml:space="preserve"> treatment of cryopyrin-associated periodic syndromes</w:t>
      </w:r>
      <w:r w:rsidR="005F05DA"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Committee&lt;/Author&gt;&lt;Year&gt;2014&lt;/Year&gt;&lt;RecNum&gt;19276&lt;/RecNum&gt;&lt;DisplayText&gt;[26]&lt;/DisplayText&gt;&lt;record&gt;&lt;rec-number&gt;19276&lt;/rec-number&gt;&lt;foreign-keys&gt;&lt;key app="EN" db-id="5zttwaa2gstv57epr5z5zxv325varaa5e9rp" timestamp="1681374119"&gt;19276&lt;/key&gt;&lt;/foreign-keys&gt;&lt;ref-type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Committee&lt;/author&gt;&lt;/secondary-authors&gt;&lt;/contributors&gt;&lt;titles&gt;&lt;title&gt;Anakinra; 100 mg/0.67 mL, 28 X 0.67 mL syringes; Kineret®&lt;/title&gt;&lt;/titles&gt;&lt;dates&gt;&lt;year&gt;2014&lt;/year&gt;&lt;/dates&gt;&lt;urls&gt;&lt;related-urls&gt;&lt;url&gt;https://www.pbs.gov.au/info/industry/listing/elements/pbac-meetings/psd/2014-11/anakinra-psd-11-2014&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[26]</w:t>
      </w:r>
      <w:r w:rsidRPr="4F533E7D">
        <w:rPr>
          <w:rFonts w:ascii="Times New Roman" w:hAnsi="Times New Roman" w:cs="Times New Roman"/>
          <w:sz w:val="20"/>
          <w:szCs w:val="20"/>
        </w:rPr>
        <w:fldChar w:fldCharType="end"/>
      </w:r>
      <w:r w:rsidR="004644A7" w:rsidRPr="4F533E7D">
        <w:rPr>
          <w:rFonts w:ascii="Times New Roman" w:hAnsi="Times New Roman" w:cs="Times New Roman"/>
          <w:sz w:val="20"/>
          <w:szCs w:val="20"/>
        </w:rPr>
        <w:t xml:space="preserve">. </w:t>
      </w:r>
      <w:r w:rsidR="009113E1">
        <w:rPr>
          <w:rFonts w:ascii="Times New Roman" w:hAnsi="Times New Roman" w:cs="Times New Roman"/>
          <w:sz w:val="20"/>
          <w:szCs w:val="20"/>
        </w:rPr>
        <w:t>G</w:t>
      </w:r>
      <w:r w:rsidR="005F05DA" w:rsidRPr="4F533E7D">
        <w:rPr>
          <w:rFonts w:ascii="Times New Roman" w:hAnsi="Times New Roman" w:cs="Times New Roman"/>
          <w:sz w:val="20"/>
          <w:szCs w:val="20"/>
        </w:rPr>
        <w:t xml:space="preserve">iven the </w:t>
      </w:r>
      <w:r w:rsidR="00F13809" w:rsidRPr="4F533E7D">
        <w:rPr>
          <w:rFonts w:ascii="Times New Roman" w:hAnsi="Times New Roman" w:cs="Times New Roman"/>
          <w:sz w:val="20"/>
          <w:szCs w:val="20"/>
        </w:rPr>
        <w:t xml:space="preserve">short </w:t>
      </w:r>
      <w:r w:rsidR="005F05DA" w:rsidRPr="4F533E7D">
        <w:rPr>
          <w:rFonts w:ascii="Times New Roman" w:hAnsi="Times New Roman" w:cs="Times New Roman"/>
          <w:sz w:val="20"/>
          <w:szCs w:val="20"/>
        </w:rPr>
        <w:t xml:space="preserve">follow-up period in the clinical trial included, the PBAC </w:t>
      </w:r>
      <w:r w:rsidR="00F13809" w:rsidRPr="4F533E7D">
        <w:rPr>
          <w:rFonts w:ascii="Times New Roman" w:hAnsi="Times New Roman" w:cs="Times New Roman"/>
          <w:sz w:val="20"/>
          <w:szCs w:val="20"/>
        </w:rPr>
        <w:t xml:space="preserve">noted </w:t>
      </w:r>
      <w:r w:rsidR="005F05DA" w:rsidRPr="4F533E7D">
        <w:rPr>
          <w:rFonts w:ascii="Times New Roman" w:hAnsi="Times New Roman" w:cs="Times New Roman"/>
          <w:sz w:val="20"/>
          <w:szCs w:val="20"/>
        </w:rPr>
        <w:t xml:space="preserve">that a time horizon of </w:t>
      </w:r>
      <w:r w:rsidR="00D44EAD" w:rsidRPr="4F533E7D">
        <w:rPr>
          <w:rFonts w:ascii="Times New Roman" w:hAnsi="Times New Roman" w:cs="Times New Roman"/>
          <w:sz w:val="20"/>
          <w:szCs w:val="20"/>
        </w:rPr>
        <w:t xml:space="preserve">six </w:t>
      </w:r>
      <w:r w:rsidR="005F05DA" w:rsidRPr="4F533E7D">
        <w:rPr>
          <w:rFonts w:ascii="Times New Roman" w:hAnsi="Times New Roman" w:cs="Times New Roman"/>
          <w:sz w:val="20"/>
          <w:szCs w:val="20"/>
        </w:rPr>
        <w:t>years for the long-term model would be more appropriate</w:t>
      </w:r>
      <w:r w:rsidRPr="4F533E7D">
        <w:rPr>
          <w:rFonts w:ascii="Times New Roman" w:hAnsi="Times New Roman" w:cs="Times New Roman"/>
          <w:sz w:val="20"/>
          <w:szCs w:val="20"/>
        </w:rPr>
        <w:t>.</w:t>
      </w:r>
      <w:r w:rsidR="007E24B6" w:rsidRPr="4F533E7D">
        <w:rPr>
          <w:rFonts w:ascii="Times New Roman" w:hAnsi="Times New Roman" w:cs="Times New Roman"/>
          <w:sz w:val="20"/>
          <w:szCs w:val="20"/>
        </w:rPr>
        <w:t xml:space="preserve"> </w:t>
      </w:r>
      <w:r w:rsidR="0A78A064" w:rsidRPr="4F533E7D">
        <w:rPr>
          <w:rFonts w:ascii="Times New Roman" w:hAnsi="Times New Roman" w:cs="Times New Roman"/>
          <w:sz w:val="20"/>
          <w:szCs w:val="20"/>
        </w:rPr>
        <w:t>In contrast</w:t>
      </w:r>
      <w:r w:rsidR="004644A7" w:rsidRPr="4F533E7D">
        <w:rPr>
          <w:rFonts w:ascii="Times New Roman" w:hAnsi="Times New Roman" w:cs="Times New Roman"/>
          <w:sz w:val="20"/>
          <w:szCs w:val="20"/>
        </w:rPr>
        <w:t>,</w:t>
      </w:r>
      <w:r w:rsidRPr="4F533E7D">
        <w:rPr>
          <w:rFonts w:ascii="Times New Roman" w:hAnsi="Times New Roman" w:cs="Times New Roman"/>
          <w:sz w:val="20"/>
          <w:szCs w:val="20"/>
        </w:rPr>
        <w:t xml:space="preserve"> in the submission </w:t>
      </w:r>
      <w:r w:rsidR="37CCDE4F" w:rsidRPr="4F533E7D">
        <w:rPr>
          <w:rFonts w:ascii="Times New Roman" w:hAnsi="Times New Roman" w:cs="Times New Roman"/>
          <w:sz w:val="20"/>
          <w:szCs w:val="20"/>
        </w:rPr>
        <w:t xml:space="preserve">for </w:t>
      </w:r>
      <w:r w:rsidRPr="4F533E7D">
        <w:rPr>
          <w:rFonts w:ascii="Times New Roman" w:hAnsi="Times New Roman" w:cs="Times New Roman"/>
          <w:sz w:val="20"/>
          <w:szCs w:val="20"/>
        </w:rPr>
        <w:t>adalimumab for the initial treatment of moderate</w:t>
      </w:r>
      <w:r w:rsidR="005E4A08">
        <w:rPr>
          <w:rFonts w:ascii="Times New Roman" w:hAnsi="Times New Roman" w:cs="Times New Roman" w:hint="eastAsia"/>
          <w:sz w:val="20"/>
          <w:szCs w:val="20"/>
        </w:rPr>
        <w:t xml:space="preserve"> </w:t>
      </w:r>
      <w:r w:rsidRPr="4F533E7D">
        <w:rPr>
          <w:rFonts w:ascii="Times New Roman" w:hAnsi="Times New Roman" w:cs="Times New Roman"/>
          <w:sz w:val="20"/>
          <w:szCs w:val="20"/>
        </w:rPr>
        <w:t>to</w:t>
      </w:r>
      <w:r w:rsidR="005E4A08">
        <w:rPr>
          <w:rFonts w:ascii="Times New Roman" w:hAnsi="Times New Roman" w:cs="Times New Roman" w:hint="eastAsia"/>
          <w:sz w:val="20"/>
          <w:szCs w:val="20"/>
        </w:rPr>
        <w:t xml:space="preserve"> </w:t>
      </w:r>
      <w:r w:rsidRPr="4F533E7D">
        <w:rPr>
          <w:rFonts w:ascii="Times New Roman" w:hAnsi="Times New Roman" w:cs="Times New Roman"/>
          <w:sz w:val="20"/>
          <w:szCs w:val="20"/>
        </w:rPr>
        <w:t>severe hidradenitis suppurativa</w:t>
      </w:r>
      <w:r w:rsidR="00C65F66"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Committee&lt;/Author&gt;&lt;Year&gt;2016&lt;/Year&gt;&lt;RecNum&gt;19280&lt;/RecNum&gt;&lt;DisplayText&gt;[27]&lt;/DisplayText&gt;&lt;record&gt;&lt;rec-number&gt;19280&lt;/rec-number&gt;&lt;foreign-keys&gt;&lt;key app="EN" db-id="5zttwaa2gstv57epr5z5zxv325varaa5e9rp" timestamp="1681377026"&gt;19280&lt;/key&gt;&lt;/foreign-keys&gt;&lt;ref-type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Committee&lt;/author&gt;&lt;/secondary-authors&gt;&lt;/contributors&gt;&lt;titles&gt;&lt;title&gt;Adalimumab: 40 mg/0.8 mL injection, 2 x 0.8 mL cartridges 40 mg/0.8 mL injection, 2 x 0.8 mL syringes 40 mg/0.8 mL injection, 6 x 0.8 mL cartridges 40 mg/0.8 mL injection, 6 x 0.8 mL syringes, Humira®&lt;/title&gt;&lt;/titles&gt;&lt;dates&gt;&lt;year&gt;2016&lt;/year&gt;&lt;/dates&gt;&lt;urls&gt;&lt;related-urls&gt;&lt;url&gt;https://www.pbs.gov.au/info/industry/listing/elements/pbac-meetings/psd/2016-03/adalimumab-humira-hs-psd-03-2016&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[27]</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 the PBAC noted that the time horizon was the major driver of the model since the ICER increased dramatically when the time horizon reduced from 20 years to 10 years. The PBAC judged it was uncertain</w:t>
      </w:r>
      <w:r w:rsidR="00DF7B31" w:rsidRPr="4F533E7D">
        <w:rPr>
          <w:rFonts w:ascii="Times New Roman" w:hAnsi="Times New Roman" w:cs="Times New Roman"/>
          <w:sz w:val="20"/>
          <w:szCs w:val="20"/>
        </w:rPr>
        <w:t>, but</w:t>
      </w:r>
      <w:r w:rsidR="002E3C7E"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the sponsor argued in the pre-PBAC response that a time horizon of 20 years was appropriate as the chronic nature of </w:t>
      </w:r>
      <w:r w:rsidR="00F13809" w:rsidRPr="4F533E7D">
        <w:rPr>
          <w:rFonts w:ascii="Times New Roman" w:hAnsi="Times New Roman" w:cs="Times New Roman"/>
          <w:sz w:val="20"/>
          <w:szCs w:val="20"/>
        </w:rPr>
        <w:t>hidradenitis suppurativa. T</w:t>
      </w:r>
      <w:r w:rsidRPr="4F533E7D">
        <w:rPr>
          <w:rFonts w:ascii="Times New Roman" w:hAnsi="Times New Roman" w:cs="Times New Roman"/>
          <w:sz w:val="20"/>
          <w:szCs w:val="20"/>
        </w:rPr>
        <w:t>he PBAC then accepted it but thought the assumption of continued treatment effect with adalimumab following cessation of therapy was irrational.</w:t>
      </w:r>
    </w:p>
    <w:p w14:paraId="0D652B40" w14:textId="77777777" w:rsidR="00542732" w:rsidRPr="00BB0E9D" w:rsidRDefault="00542732" w:rsidP="006C41A0">
      <w:pPr>
        <w:widowControl/>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256"/>
        <w:gridCol w:w="5040"/>
      </w:tblGrid>
      <w:tr w:rsidR="005703C0" w:rsidRPr="005668EA" w14:paraId="58480079" w14:textId="77777777" w:rsidTr="00487EA9">
        <w:tc>
          <w:tcPr>
            <w:tcW w:w="3256" w:type="dxa"/>
          </w:tcPr>
          <w:p w14:paraId="0E2C2D4C"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040" w:type="dxa"/>
          </w:tcPr>
          <w:p w14:paraId="4FD277BA" w14:textId="0C1605A8"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Was the time horizon used </w:t>
            </w:r>
            <w:r w:rsidR="00456B20">
              <w:rPr>
                <w:kern w:val="0"/>
                <w:szCs w:val="20"/>
              </w:rPr>
              <w:t>in</w:t>
            </w:r>
            <w:r w:rsidRPr="005668EA">
              <w:rPr>
                <w:kern w:val="0"/>
                <w:szCs w:val="20"/>
              </w:rPr>
              <w:t>correctly?</w:t>
            </w:r>
          </w:p>
        </w:tc>
      </w:tr>
      <w:tr w:rsidR="005703C0" w:rsidRPr="005668EA" w14:paraId="38107A4C" w14:textId="77777777" w:rsidTr="00487EA9">
        <w:tc>
          <w:tcPr>
            <w:tcW w:w="3256" w:type="dxa"/>
          </w:tcPr>
          <w:p w14:paraId="5D46FCFE"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040" w:type="dxa"/>
          </w:tcPr>
          <w:p w14:paraId="076490B7" w14:textId="423FCF50" w:rsidR="005703C0" w:rsidRPr="005668EA" w:rsidRDefault="00112827" w:rsidP="00C15362">
            <w:pPr>
              <w:pStyle w:val="EndNoteBibliography"/>
              <w:adjustRightInd w:val="0"/>
              <w:snapToGrid w:val="0"/>
              <w:spacing w:line="360" w:lineRule="auto"/>
              <w:rPr>
                <w:kern w:val="0"/>
                <w:szCs w:val="20"/>
              </w:rPr>
            </w:pPr>
            <w:r>
              <w:rPr>
                <w:kern w:val="0"/>
                <w:szCs w:val="20"/>
              </w:rPr>
              <w:t>0 – yes, 1 – no</w:t>
            </w:r>
          </w:p>
        </w:tc>
      </w:tr>
    </w:tbl>
    <w:p w14:paraId="40246A26" w14:textId="6B84EFE7" w:rsidR="005703C0" w:rsidRPr="005668EA" w:rsidRDefault="001A447C" w:rsidP="008B2436">
      <w:pPr>
        <w:pStyle w:val="Heading4"/>
        <w:adjustRightInd w:val="0"/>
        <w:snapToGrid w:val="0"/>
        <w:spacing w:before="480" w:after="0" w:line="360" w:lineRule="auto"/>
        <w:rPr>
          <w:rFonts w:ascii="Times New Roman" w:hAnsi="Times New Roman" w:cs="Times New Roman"/>
          <w:sz w:val="20"/>
          <w:szCs w:val="20"/>
        </w:rPr>
      </w:pPr>
      <w:r>
        <w:rPr>
          <w:rFonts w:ascii="Times New Roman" w:hAnsi="Times New Roman" w:cs="Times New Roman"/>
          <w:sz w:val="20"/>
          <w:szCs w:val="20"/>
        </w:rPr>
        <w:t>3</w:t>
      </w:r>
      <w:r w:rsidR="000A5196" w:rsidRPr="4F533E7D">
        <w:rPr>
          <w:rFonts w:ascii="Times New Roman" w:hAnsi="Times New Roman" w:cs="Times New Roman"/>
          <w:sz w:val="20"/>
          <w:szCs w:val="20"/>
        </w:rPr>
        <w:t>.2</w:t>
      </w:r>
      <w:r w:rsidR="60A62243" w:rsidRPr="4F533E7D">
        <w:rPr>
          <w:rFonts w:ascii="Times New Roman" w:hAnsi="Times New Roman" w:cs="Times New Roman"/>
          <w:sz w:val="20"/>
          <w:szCs w:val="20"/>
        </w:rPr>
        <w:t>.</w:t>
      </w:r>
      <w:r w:rsidR="000A5196" w:rsidRPr="4F533E7D">
        <w:rPr>
          <w:rFonts w:ascii="Times New Roman" w:hAnsi="Times New Roman" w:cs="Times New Roman"/>
          <w:sz w:val="20"/>
          <w:szCs w:val="20"/>
        </w:rPr>
        <w:t xml:space="preserve">2 </w:t>
      </w:r>
      <w:bookmarkStart w:id="29" w:name="_Hlk171789406"/>
      <w:r w:rsidR="005703C0" w:rsidRPr="4F533E7D">
        <w:rPr>
          <w:rFonts w:ascii="Times New Roman" w:hAnsi="Times New Roman" w:cs="Times New Roman"/>
          <w:sz w:val="20"/>
          <w:szCs w:val="20"/>
        </w:rPr>
        <w:t>Unjustified relationship between time and transition probabilities or treatment effect</w:t>
      </w:r>
      <w:r w:rsidR="00060AC9" w:rsidRPr="4F533E7D">
        <w:rPr>
          <w:rFonts w:ascii="Times New Roman" w:hAnsi="Times New Roman" w:cs="Times New Roman"/>
          <w:sz w:val="20"/>
          <w:szCs w:val="20"/>
        </w:rPr>
        <w:t xml:space="preserve"> </w:t>
      </w:r>
      <w:bookmarkEnd w:id="29"/>
    </w:p>
    <w:p w14:paraId="43CBE89F" w14:textId="0BE1F3DD" w:rsidR="4F533E7D" w:rsidRDefault="7512D9BC" w:rsidP="00C15362">
      <w:pPr>
        <w:pStyle w:val="TableText"/>
        <w:adjustRightInd w:val="0"/>
        <w:snapToGrid w:val="0"/>
        <w:spacing w:line="360" w:lineRule="auto"/>
        <w:jc w:val="both"/>
        <w:rPr>
          <w:rFonts w:ascii="Times New Roman" w:eastAsiaTheme="minorEastAsia" w:hAnsi="Times New Roman" w:cs="Times New Roman"/>
          <w:sz w:val="20"/>
          <w:szCs w:val="20"/>
        </w:rPr>
      </w:pPr>
      <w:r w:rsidRPr="4F533E7D">
        <w:rPr>
          <w:rFonts w:ascii="Times New Roman" w:eastAsiaTheme="minorEastAsia" w:hAnsi="Times New Roman" w:cs="Times New Roman"/>
          <w:sz w:val="20"/>
          <w:szCs w:val="20"/>
        </w:rPr>
        <w:t xml:space="preserve">There may be uncertainty or an unjustified relationship between time and transition probabilities or treatment effects in the economic model. </w:t>
      </w:r>
      <w:r w:rsidR="005703C0" w:rsidRPr="4F533E7D">
        <w:rPr>
          <w:rFonts w:ascii="Times New Roman" w:eastAsiaTheme="minorEastAsia" w:hAnsi="Times New Roman" w:cs="Times New Roman"/>
          <w:sz w:val="20"/>
          <w:szCs w:val="20"/>
        </w:rPr>
        <w:t xml:space="preserve">For instance, in the submission </w:t>
      </w:r>
      <w:r w:rsidR="1B2CD25E" w:rsidRPr="4F533E7D">
        <w:rPr>
          <w:rFonts w:ascii="Times New Roman" w:eastAsiaTheme="minorEastAsia" w:hAnsi="Times New Roman" w:cs="Times New Roman"/>
          <w:sz w:val="20"/>
          <w:szCs w:val="20"/>
        </w:rPr>
        <w:t xml:space="preserve">for </w:t>
      </w:r>
      <w:r w:rsidR="005703C0" w:rsidRPr="4F533E7D">
        <w:rPr>
          <w:rFonts w:ascii="Times New Roman" w:eastAsiaTheme="minorEastAsia" w:hAnsi="Times New Roman" w:cs="Times New Roman"/>
          <w:sz w:val="20"/>
          <w:szCs w:val="20"/>
        </w:rPr>
        <w:t>pertuzumab for the treatment of early breast cancer. The sponsor assumed that the treatment effect decreases linearly</w:t>
      </w:r>
      <w:r w:rsidR="004C2D76" w:rsidRPr="4F533E7D">
        <w:rPr>
          <w:rFonts w:ascii="Times New Roman" w:eastAsiaTheme="minorEastAsia" w:hAnsi="Times New Roman" w:cs="Times New Roman"/>
          <w:sz w:val="20"/>
          <w:szCs w:val="20"/>
        </w:rPr>
        <w:t xml:space="preserve"> </w:t>
      </w:r>
      <w:r w:rsidR="005703C0"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Committee&lt;/Author&gt;&lt;Year&gt;2018&lt;/Year&gt;&lt;RecNum&gt;19281&lt;/RecNum&gt;&lt;DisplayText&gt;[28]&lt;/DisplayText&gt;&lt;record&gt;&lt;rec-number&gt;19281&lt;/rec-number&gt;&lt;foreign-keys&gt;&lt;key app="EN" db-id="5zttwaa2gstv57epr5z5zxv325varaa5e9rp" timestamp="1681377543"&gt;19281&lt;/key&gt;&lt;/foreign-keys&gt;&lt;ref-type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Committee&lt;/author&gt;&lt;/secondary-authors&gt;&lt;/contributors&gt;&lt;titles&gt;&lt;title&gt;Pertuzumab: Solution for I.V. infusion 420 mg in 14 ml; Perjeta®&lt;/title&gt;&lt;/titles&gt;&lt;dates&gt;&lt;year&gt;2018&lt;/year&gt;&lt;/dates&gt;&lt;urls&gt;&lt;related-urls&gt;&lt;url&gt;https://www.pbs.gov.au/info/industry/listing/elements/pbac-meetings/psd/2018-07/Pertuzumab-psd-july-2018&lt;/url&gt;&lt;/related-urls&gt;&lt;/urls&gt;&lt;access-date&gt;30 Aug 2020&lt;/access-date&gt;&lt;/record&gt;&lt;/Cite&gt;&lt;/EndNote&gt;</w:instrText>
      </w:r>
      <w:r w:rsidR="005703C0"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[28]</w:t>
      </w:r>
      <w:r w:rsidR="005703C0" w:rsidRPr="4F533E7D">
        <w:rPr>
          <w:rFonts w:ascii="Times New Roman" w:hAnsi="Times New Roman" w:cs="Times New Roman"/>
          <w:sz w:val="20"/>
          <w:szCs w:val="20"/>
        </w:rPr>
        <w:fldChar w:fldCharType="end"/>
      </w:r>
      <w:r w:rsidR="005703C0" w:rsidRPr="4F533E7D">
        <w:rPr>
          <w:rFonts w:ascii="Times New Roman" w:eastAsiaTheme="minorEastAsia" w:hAnsi="Times New Roman" w:cs="Times New Roman"/>
          <w:sz w:val="20"/>
          <w:szCs w:val="20"/>
        </w:rPr>
        <w:t xml:space="preserve">. There was no treatment effect after X(confidential) year. The PBAC judged that applying a time-limited treatment effect </w:t>
      </w:r>
      <w:r w:rsidR="00BD71A9" w:rsidRPr="4F533E7D">
        <w:rPr>
          <w:rFonts w:ascii="Times New Roman" w:eastAsiaTheme="minorEastAsia" w:hAnsi="Times New Roman" w:cs="Times New Roman"/>
          <w:sz w:val="20"/>
          <w:szCs w:val="20"/>
        </w:rPr>
        <w:t xml:space="preserve">was </w:t>
      </w:r>
      <w:r w:rsidR="005703C0" w:rsidRPr="4F533E7D">
        <w:rPr>
          <w:rFonts w:ascii="Times New Roman" w:eastAsiaTheme="minorEastAsia" w:hAnsi="Times New Roman" w:cs="Times New Roman"/>
          <w:sz w:val="20"/>
          <w:szCs w:val="20"/>
        </w:rPr>
        <w:t xml:space="preserve">appropriate, but whether the treatment effect could last over X years </w:t>
      </w:r>
      <w:r w:rsidR="7B797020" w:rsidRPr="4F533E7D">
        <w:rPr>
          <w:rFonts w:ascii="Times New Roman" w:eastAsiaTheme="minorEastAsia" w:hAnsi="Times New Roman" w:cs="Times New Roman"/>
          <w:sz w:val="20"/>
          <w:szCs w:val="20"/>
        </w:rPr>
        <w:t xml:space="preserve">was </w:t>
      </w:r>
      <w:r w:rsidR="005703C0" w:rsidRPr="4F533E7D">
        <w:rPr>
          <w:rFonts w:ascii="Times New Roman" w:eastAsiaTheme="minorEastAsia" w:hAnsi="Times New Roman" w:cs="Times New Roman"/>
          <w:sz w:val="20"/>
          <w:szCs w:val="20"/>
        </w:rPr>
        <w:t>unknown</w:t>
      </w:r>
      <w:r w:rsidR="00112827" w:rsidRPr="4F533E7D">
        <w:rPr>
          <w:rFonts w:ascii="Times New Roman" w:eastAsiaTheme="minorEastAsia" w:hAnsi="Times New Roman" w:cs="Times New Roman"/>
          <w:sz w:val="20"/>
          <w:szCs w:val="20"/>
        </w:rPr>
        <w:t>, therefore, this</w:t>
      </w:r>
      <w:r w:rsidR="005703C0" w:rsidRPr="4F533E7D">
        <w:rPr>
          <w:rFonts w:ascii="Times New Roman" w:eastAsiaTheme="minorEastAsia" w:hAnsi="Times New Roman" w:cs="Times New Roman"/>
          <w:sz w:val="20"/>
          <w:szCs w:val="20"/>
        </w:rPr>
        <w:t xml:space="preserve"> </w:t>
      </w:r>
      <w:r w:rsidR="00BD71A9" w:rsidRPr="4F533E7D">
        <w:rPr>
          <w:rFonts w:ascii="Times New Roman" w:eastAsiaTheme="minorEastAsia" w:hAnsi="Times New Roman" w:cs="Times New Roman"/>
          <w:sz w:val="20"/>
          <w:szCs w:val="20"/>
        </w:rPr>
        <w:t xml:space="preserve">introduced </w:t>
      </w:r>
      <w:r w:rsidR="005703C0" w:rsidRPr="4F533E7D">
        <w:rPr>
          <w:rFonts w:ascii="Times New Roman" w:eastAsiaTheme="minorEastAsia" w:hAnsi="Times New Roman" w:cs="Times New Roman"/>
          <w:sz w:val="20"/>
          <w:szCs w:val="20"/>
        </w:rPr>
        <w:t>uncertainty.</w:t>
      </w:r>
      <w:r w:rsidR="00112827" w:rsidRPr="4F533E7D">
        <w:rPr>
          <w:rFonts w:ascii="Times New Roman" w:eastAsiaTheme="minorEastAsia" w:hAnsi="Times New Roman" w:cs="Times New Roman"/>
          <w:sz w:val="20"/>
          <w:szCs w:val="20"/>
        </w:rPr>
        <w:t xml:space="preserve"> </w:t>
      </w:r>
      <w:r w:rsidR="005703C0" w:rsidRPr="4F533E7D">
        <w:rPr>
          <w:rFonts w:ascii="Times New Roman" w:eastAsiaTheme="minorEastAsia" w:hAnsi="Times New Roman" w:cs="Times New Roman"/>
          <w:sz w:val="20"/>
          <w:szCs w:val="20"/>
        </w:rPr>
        <w:t>Another example is evolocumab for the treatment of hypercholesterolemia</w:t>
      </w:r>
      <w:r w:rsidR="006B3A21" w:rsidRPr="4F533E7D">
        <w:rPr>
          <w:rFonts w:ascii="Times New Roman" w:eastAsiaTheme="minorEastAsia" w:hAnsi="Times New Roman" w:cs="Times New Roman"/>
          <w:sz w:val="20"/>
          <w:szCs w:val="20"/>
        </w:rPr>
        <w:t>. T</w:t>
      </w:r>
      <w:r w:rsidR="005703C0" w:rsidRPr="4F533E7D">
        <w:rPr>
          <w:rFonts w:ascii="Times New Roman" w:eastAsiaTheme="minorEastAsia" w:hAnsi="Times New Roman" w:cs="Times New Roman"/>
          <w:sz w:val="20"/>
          <w:szCs w:val="20"/>
        </w:rPr>
        <w:t xml:space="preserve">he model assumed all patients remain on treatment until death, with a constant and continuing treatment effect. The PBAC considered </w:t>
      </w:r>
      <w:r w:rsidR="00BD71A9" w:rsidRPr="4F533E7D">
        <w:rPr>
          <w:rFonts w:ascii="Times New Roman" w:eastAsiaTheme="minorEastAsia" w:hAnsi="Times New Roman" w:cs="Times New Roman"/>
          <w:sz w:val="20"/>
          <w:szCs w:val="20"/>
        </w:rPr>
        <w:t>this assumption to be</w:t>
      </w:r>
      <w:r w:rsidR="005703C0" w:rsidRPr="4F533E7D">
        <w:rPr>
          <w:rFonts w:ascii="Times New Roman" w:eastAsiaTheme="minorEastAsia" w:hAnsi="Times New Roman" w:cs="Times New Roman"/>
          <w:sz w:val="20"/>
          <w:szCs w:val="20"/>
        </w:rPr>
        <w:t xml:space="preserve"> unrealistic. </w:t>
      </w:r>
    </w:p>
    <w:p w14:paraId="50797066" w14:textId="77777777" w:rsidR="00542732" w:rsidRDefault="00542732" w:rsidP="00C15362">
      <w:pPr>
        <w:pStyle w:val="TableText"/>
        <w:adjustRightInd w:val="0"/>
        <w:snapToGrid w:val="0"/>
        <w:spacing w:line="360" w:lineRule="auto"/>
        <w:jc w:val="both"/>
        <w:rPr>
          <w:rFonts w:ascii="Times New Roman" w:eastAsiaTheme="minorEastAsia" w:hAnsi="Times New Roman" w:cs="Times New Roman"/>
          <w:sz w:val="20"/>
          <w:szCs w:val="20"/>
        </w:rPr>
      </w:pPr>
    </w:p>
    <w:tbl>
      <w:tblPr>
        <w:tblStyle w:val="TableGrid"/>
        <w:tblW w:w="0" w:type="auto"/>
        <w:tblLook w:val="04A0" w:firstRow="1" w:lastRow="0" w:firstColumn="1" w:lastColumn="0" w:noHBand="0" w:noVBand="1"/>
      </w:tblPr>
      <w:tblGrid>
        <w:gridCol w:w="3256"/>
        <w:gridCol w:w="5040"/>
      </w:tblGrid>
      <w:tr w:rsidR="005703C0" w:rsidRPr="005668EA" w14:paraId="3A6A0643" w14:textId="77777777" w:rsidTr="00487EA9">
        <w:tc>
          <w:tcPr>
            <w:tcW w:w="3256" w:type="dxa"/>
          </w:tcPr>
          <w:p w14:paraId="19B801CE"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040" w:type="dxa"/>
          </w:tcPr>
          <w:p w14:paraId="4329ECB0"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Were the </w:t>
            </w:r>
            <w:r w:rsidRPr="005668EA">
              <w:rPr>
                <w:rFonts w:eastAsia="SimSun"/>
                <w:kern w:val="0"/>
                <w:szCs w:val="20"/>
              </w:rPr>
              <w:t>assumptions on the duration of treatment or treatment effect after trial follow-up unjustified</w:t>
            </w:r>
            <w:r w:rsidRPr="005668EA">
              <w:rPr>
                <w:kern w:val="0"/>
                <w:szCs w:val="20"/>
              </w:rPr>
              <w:t>?</w:t>
            </w:r>
          </w:p>
        </w:tc>
      </w:tr>
      <w:tr w:rsidR="005703C0" w:rsidRPr="005668EA" w14:paraId="7EDC6D18" w14:textId="77777777" w:rsidTr="00487EA9">
        <w:tc>
          <w:tcPr>
            <w:tcW w:w="3256" w:type="dxa"/>
          </w:tcPr>
          <w:p w14:paraId="107F0884"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040" w:type="dxa"/>
          </w:tcPr>
          <w:p w14:paraId="74767110" w14:textId="44735253"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69521C57" w14:textId="65F46BB9" w:rsidR="005703C0" w:rsidRPr="005668EA" w:rsidRDefault="001A447C" w:rsidP="008B2436">
      <w:pPr>
        <w:pStyle w:val="Heading4"/>
        <w:adjustRightInd w:val="0"/>
        <w:snapToGrid w:val="0"/>
        <w:spacing w:before="480" w:after="0" w:line="360" w:lineRule="auto"/>
        <w:rPr>
          <w:rFonts w:ascii="Times New Roman" w:hAnsi="Times New Roman" w:cs="Times New Roman"/>
          <w:sz w:val="20"/>
          <w:szCs w:val="20"/>
        </w:rPr>
      </w:pPr>
      <w:r>
        <w:rPr>
          <w:rFonts w:ascii="Times New Roman" w:hAnsi="Times New Roman" w:cs="Times New Roman"/>
          <w:sz w:val="20"/>
          <w:szCs w:val="20"/>
        </w:rPr>
        <w:t>3</w:t>
      </w:r>
      <w:r w:rsidR="000A5196" w:rsidRPr="4F533E7D">
        <w:rPr>
          <w:rFonts w:ascii="Times New Roman" w:hAnsi="Times New Roman" w:cs="Times New Roman"/>
          <w:sz w:val="20"/>
          <w:szCs w:val="20"/>
        </w:rPr>
        <w:t xml:space="preserve">.2.3 </w:t>
      </w:r>
      <w:r w:rsidR="005703C0" w:rsidRPr="4F533E7D">
        <w:rPr>
          <w:rFonts w:ascii="Times New Roman" w:hAnsi="Times New Roman" w:cs="Times New Roman"/>
          <w:sz w:val="20"/>
          <w:szCs w:val="20"/>
        </w:rPr>
        <w:t xml:space="preserve">Uncertainty in </w:t>
      </w:r>
      <w:r w:rsidR="0097470D" w:rsidRPr="4F533E7D">
        <w:rPr>
          <w:rFonts w:ascii="Times New Roman" w:hAnsi="Times New Roman" w:cs="Times New Roman"/>
          <w:sz w:val="20"/>
          <w:szCs w:val="20"/>
        </w:rPr>
        <w:t xml:space="preserve">the </w:t>
      </w:r>
      <w:r w:rsidR="005703C0" w:rsidRPr="4F533E7D">
        <w:rPr>
          <w:rFonts w:ascii="Times New Roman" w:hAnsi="Times New Roman" w:cs="Times New Roman"/>
          <w:sz w:val="20"/>
          <w:szCs w:val="20"/>
        </w:rPr>
        <w:t xml:space="preserve">choice of </w:t>
      </w:r>
      <w:r w:rsidR="3A1E5552" w:rsidRPr="4F533E7D">
        <w:rPr>
          <w:rFonts w:ascii="Times New Roman" w:hAnsi="Times New Roman" w:cs="Times New Roman"/>
          <w:sz w:val="20"/>
          <w:szCs w:val="20"/>
        </w:rPr>
        <w:t xml:space="preserve">the </w:t>
      </w:r>
      <w:r w:rsidR="005703C0" w:rsidRPr="4F533E7D">
        <w:rPr>
          <w:rFonts w:ascii="Times New Roman" w:hAnsi="Times New Roman" w:cs="Times New Roman"/>
          <w:sz w:val="20"/>
          <w:szCs w:val="20"/>
        </w:rPr>
        <w:t xml:space="preserve">parametric survival </w:t>
      </w:r>
      <w:r w:rsidR="3575847E" w:rsidRPr="4F533E7D">
        <w:rPr>
          <w:rFonts w:ascii="Times New Roman" w:hAnsi="Times New Roman" w:cs="Times New Roman"/>
          <w:sz w:val="20"/>
          <w:szCs w:val="20"/>
        </w:rPr>
        <w:t xml:space="preserve">function </w:t>
      </w:r>
    </w:p>
    <w:p w14:paraId="0E1621BB" w14:textId="100EAF11" w:rsidR="005703C0" w:rsidRPr="005668EA" w:rsidRDefault="18EC95C9" w:rsidP="006C41A0">
      <w:pPr>
        <w:widowControl/>
        <w:adjustRightInd w:val="0"/>
        <w:snapToGrid w:val="0"/>
        <w:spacing w:line="360" w:lineRule="auto"/>
        <w:rPr>
          <w:rFonts w:ascii="Times New Roman" w:hAnsi="Times New Roman" w:cs="Times New Roman"/>
          <w:sz w:val="20"/>
          <w:szCs w:val="20"/>
        </w:rPr>
      </w:pPr>
      <w:r w:rsidRPr="4F533E7D">
        <w:rPr>
          <w:rFonts w:ascii="Times New Roman" w:hAnsi="Times New Roman" w:cs="Times New Roman"/>
          <w:sz w:val="20"/>
          <w:szCs w:val="20"/>
        </w:rPr>
        <w:t xml:space="preserve">There may be uncertainty in the choice of the parametric survival </w:t>
      </w:r>
      <w:r w:rsidR="703102E0" w:rsidRPr="4F533E7D">
        <w:rPr>
          <w:rFonts w:ascii="Times New Roman" w:hAnsi="Times New Roman" w:cs="Times New Roman"/>
          <w:sz w:val="20"/>
          <w:szCs w:val="20"/>
        </w:rPr>
        <w:t xml:space="preserve">function </w:t>
      </w:r>
      <w:r w:rsidRPr="4F533E7D">
        <w:rPr>
          <w:rFonts w:ascii="Times New Roman" w:hAnsi="Times New Roman" w:cs="Times New Roman"/>
          <w:sz w:val="20"/>
          <w:szCs w:val="20"/>
        </w:rPr>
        <w:t xml:space="preserve">used to extrapolate health outcomes in the economic model. </w:t>
      </w:r>
      <w:bookmarkStart w:id="30" w:name="_Hlk159235552"/>
      <w:r w:rsidR="005703C0" w:rsidRPr="4F533E7D">
        <w:rPr>
          <w:rFonts w:ascii="Times New Roman" w:hAnsi="Times New Roman" w:cs="Times New Roman"/>
          <w:sz w:val="20"/>
          <w:szCs w:val="20"/>
        </w:rPr>
        <w:t xml:space="preserve">For instance, in the </w:t>
      </w:r>
      <w:r w:rsidR="00112827" w:rsidRPr="4F533E7D">
        <w:rPr>
          <w:rFonts w:ascii="Times New Roman" w:hAnsi="Times New Roman" w:cs="Times New Roman"/>
          <w:sz w:val="20"/>
          <w:szCs w:val="20"/>
        </w:rPr>
        <w:t xml:space="preserve">submission </w:t>
      </w:r>
      <w:r w:rsidR="1A24417F" w:rsidRPr="4F533E7D">
        <w:rPr>
          <w:rFonts w:ascii="Times New Roman" w:hAnsi="Times New Roman" w:cs="Times New Roman"/>
          <w:sz w:val="20"/>
          <w:szCs w:val="20"/>
        </w:rPr>
        <w:t xml:space="preserve">for </w:t>
      </w:r>
      <w:r w:rsidR="005703C0" w:rsidRPr="4F533E7D">
        <w:rPr>
          <w:rFonts w:ascii="Times New Roman" w:hAnsi="Times New Roman" w:cs="Times New Roman"/>
          <w:sz w:val="20"/>
          <w:szCs w:val="20"/>
        </w:rPr>
        <w:t xml:space="preserve">lenalidomide for </w:t>
      </w:r>
      <w:r w:rsidR="00BD71A9" w:rsidRPr="4F533E7D">
        <w:rPr>
          <w:rFonts w:ascii="Times New Roman" w:hAnsi="Times New Roman" w:cs="Times New Roman"/>
          <w:sz w:val="20"/>
          <w:szCs w:val="20"/>
        </w:rPr>
        <w:t xml:space="preserve">the </w:t>
      </w:r>
      <w:r w:rsidR="005703C0" w:rsidRPr="4F533E7D">
        <w:rPr>
          <w:rFonts w:ascii="Times New Roman" w:hAnsi="Times New Roman" w:cs="Times New Roman"/>
          <w:sz w:val="20"/>
          <w:szCs w:val="20"/>
        </w:rPr>
        <w:t>treat</w:t>
      </w:r>
      <w:r w:rsidR="00BD71A9" w:rsidRPr="4F533E7D">
        <w:rPr>
          <w:rFonts w:ascii="Times New Roman" w:hAnsi="Times New Roman" w:cs="Times New Roman"/>
          <w:sz w:val="20"/>
          <w:szCs w:val="20"/>
        </w:rPr>
        <w:t>ment</w:t>
      </w:r>
      <w:r w:rsidR="005703C0" w:rsidRPr="4F533E7D">
        <w:rPr>
          <w:rFonts w:ascii="Times New Roman" w:hAnsi="Times New Roman" w:cs="Times New Roman"/>
          <w:sz w:val="20"/>
          <w:szCs w:val="20"/>
        </w:rPr>
        <w:t xml:space="preserve"> </w:t>
      </w:r>
      <w:r w:rsidR="004755EB" w:rsidRPr="4F533E7D">
        <w:rPr>
          <w:rFonts w:ascii="Times New Roman" w:hAnsi="Times New Roman" w:cs="Times New Roman"/>
          <w:sz w:val="20"/>
          <w:szCs w:val="20"/>
        </w:rPr>
        <w:t xml:space="preserve">of </w:t>
      </w:r>
      <w:r w:rsidR="005703C0" w:rsidRPr="4F533E7D">
        <w:rPr>
          <w:rFonts w:ascii="Times New Roman" w:hAnsi="Times New Roman" w:cs="Times New Roman"/>
          <w:sz w:val="20"/>
          <w:szCs w:val="20"/>
        </w:rPr>
        <w:t>patients with newly diagnosed symptomatic multiple myeloma</w:t>
      </w:r>
      <w:r w:rsidR="00542732">
        <w:rPr>
          <w:rFonts w:ascii="Times New Roman" w:hAnsi="Times New Roman" w:cs="Times New Roman"/>
          <w:sz w:val="20"/>
          <w:szCs w:val="20"/>
        </w:rPr>
        <w:t xml:space="preserve"> </w:t>
      </w:r>
      <w:r w:rsidR="005703C0"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Committee&lt;/Author&gt;&lt;Year&gt;2015&lt;/Year&gt;&lt;RecNum&gt;19282&lt;/RecNum&gt;&lt;DisplayText&gt;[29]&lt;/DisplayText&gt;&lt;record&gt;&lt;rec-number&gt;19282&lt;/rec-number&gt;&lt;foreign-keys&gt;&lt;key app="EN" db-id="5zttwaa2gstv57epr5z5zxv325varaa5e9rp" timestamp="1681378965"&gt;19282&lt;/key&gt;&lt;/foreign-keys&gt;&lt;ref-type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Committee&lt;/author&gt;&lt;/secondary-authors&gt;&lt;/contributors&gt;&lt;titles&gt;&lt;title&gt;Lenalidomide: capsules, 5 mg, 10 mg, 15 mg, 25 mg, Revlimid®&lt;/title&gt;&lt;/titles&gt;&lt;dates&gt;&lt;year&gt;2015&lt;/year&gt;&lt;/dates&gt;&lt;urls&gt;&lt;related-urls&gt;&lt;url&gt;https://www.pbs.gov.au/info/industry/listing/elements/pbac-meetings/psd/2015-11/lenalidomide-revlimid-psd-11-2015&lt;/url&gt;&lt;/related-urls&gt;&lt;/urls&gt;&lt;access-date&gt;30 Aug 2020&lt;/access-date&gt;&lt;/record&gt;&lt;/Cite&gt;&lt;/EndNote&gt;</w:instrText>
      </w:r>
      <w:r w:rsidR="005703C0"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[29]</w:t>
      </w:r>
      <w:r w:rsidR="005703C0" w:rsidRPr="4F533E7D">
        <w:rPr>
          <w:rFonts w:ascii="Times New Roman" w:hAnsi="Times New Roman" w:cs="Times New Roman"/>
          <w:sz w:val="20"/>
          <w:szCs w:val="20"/>
        </w:rPr>
        <w:fldChar w:fldCharType="end"/>
      </w:r>
      <w:r w:rsidR="00112827" w:rsidRPr="4F533E7D">
        <w:rPr>
          <w:rFonts w:ascii="Times New Roman" w:hAnsi="Times New Roman" w:cs="Times New Roman"/>
          <w:sz w:val="20"/>
          <w:szCs w:val="20"/>
        </w:rPr>
        <w:t>,</w:t>
      </w:r>
      <w:r w:rsidR="005703C0" w:rsidRPr="4F533E7D">
        <w:rPr>
          <w:rFonts w:ascii="Times New Roman" w:hAnsi="Times New Roman" w:cs="Times New Roman"/>
          <w:sz w:val="20"/>
          <w:szCs w:val="20"/>
        </w:rPr>
        <w:t xml:space="preserve"> </w:t>
      </w:r>
      <w:r w:rsidR="00112827" w:rsidRPr="4F533E7D">
        <w:rPr>
          <w:rFonts w:ascii="Times New Roman" w:hAnsi="Times New Roman" w:cs="Times New Roman"/>
          <w:sz w:val="20"/>
          <w:szCs w:val="20"/>
        </w:rPr>
        <w:t>t</w:t>
      </w:r>
      <w:r w:rsidR="005703C0" w:rsidRPr="4F533E7D">
        <w:rPr>
          <w:rFonts w:ascii="Times New Roman" w:hAnsi="Times New Roman" w:cs="Times New Roman"/>
          <w:sz w:val="20"/>
          <w:szCs w:val="20"/>
        </w:rPr>
        <w:t>he sponsor used</w:t>
      </w:r>
      <w:r w:rsidR="20BFC924" w:rsidRPr="4F533E7D">
        <w:rPr>
          <w:rFonts w:ascii="Times New Roman" w:hAnsi="Times New Roman" w:cs="Times New Roman"/>
          <w:sz w:val="20"/>
          <w:szCs w:val="20"/>
        </w:rPr>
        <w:t xml:space="preserve"> a</w:t>
      </w:r>
      <w:r w:rsidR="005703C0" w:rsidRPr="4F533E7D">
        <w:rPr>
          <w:rFonts w:ascii="Times New Roman" w:hAnsi="Times New Roman" w:cs="Times New Roman"/>
          <w:sz w:val="20"/>
          <w:szCs w:val="20"/>
        </w:rPr>
        <w:t xml:space="preserve"> log-logistic </w:t>
      </w:r>
      <w:r w:rsidR="009113E1" w:rsidRPr="4F533E7D">
        <w:rPr>
          <w:rFonts w:ascii="Times New Roman" w:hAnsi="Times New Roman" w:cs="Times New Roman"/>
          <w:sz w:val="20"/>
          <w:szCs w:val="20"/>
        </w:rPr>
        <w:t>func</w:t>
      </w:r>
      <w:r w:rsidR="009113E1">
        <w:rPr>
          <w:rFonts w:ascii="Times New Roman" w:hAnsi="Times New Roman" w:cs="Times New Roman"/>
          <w:sz w:val="20"/>
          <w:szCs w:val="20"/>
        </w:rPr>
        <w:t>ti</w:t>
      </w:r>
      <w:r w:rsidR="009113E1" w:rsidRPr="4F533E7D">
        <w:rPr>
          <w:rFonts w:ascii="Times New Roman" w:hAnsi="Times New Roman" w:cs="Times New Roman"/>
          <w:sz w:val="20"/>
          <w:szCs w:val="20"/>
        </w:rPr>
        <w:t xml:space="preserve">on </w:t>
      </w:r>
      <w:r w:rsidR="005703C0" w:rsidRPr="4F533E7D">
        <w:rPr>
          <w:rFonts w:ascii="Times New Roman" w:hAnsi="Times New Roman" w:cs="Times New Roman"/>
          <w:sz w:val="20"/>
          <w:szCs w:val="20"/>
        </w:rPr>
        <w:t xml:space="preserve">for </w:t>
      </w:r>
      <w:r w:rsidR="3640837E" w:rsidRPr="4F533E7D">
        <w:rPr>
          <w:rFonts w:ascii="Times New Roman" w:hAnsi="Times New Roman" w:cs="Times New Roman"/>
          <w:sz w:val="20"/>
          <w:szCs w:val="20"/>
        </w:rPr>
        <w:t>l</w:t>
      </w:r>
      <w:r w:rsidR="00112827" w:rsidRPr="4F533E7D">
        <w:rPr>
          <w:rFonts w:ascii="Times New Roman" w:hAnsi="Times New Roman" w:cs="Times New Roman"/>
          <w:sz w:val="20"/>
          <w:szCs w:val="20"/>
        </w:rPr>
        <w:t>enalidomide and low-dose dexamethasone (</w:t>
      </w:r>
      <w:r w:rsidR="005703C0" w:rsidRPr="4F533E7D">
        <w:rPr>
          <w:rFonts w:ascii="Times New Roman" w:hAnsi="Times New Roman" w:cs="Times New Roman"/>
          <w:sz w:val="20"/>
          <w:szCs w:val="20"/>
        </w:rPr>
        <w:t>Rd</w:t>
      </w:r>
      <w:r w:rsidR="00112827" w:rsidRPr="4F533E7D">
        <w:rPr>
          <w:rFonts w:ascii="Times New Roman" w:hAnsi="Times New Roman" w:cs="Times New Roman"/>
          <w:sz w:val="20"/>
          <w:szCs w:val="20"/>
        </w:rPr>
        <w:t>)</w:t>
      </w:r>
      <w:r w:rsidR="005703C0" w:rsidRPr="4F533E7D">
        <w:rPr>
          <w:rFonts w:ascii="Times New Roman" w:hAnsi="Times New Roman" w:cs="Times New Roman"/>
          <w:sz w:val="20"/>
          <w:szCs w:val="20"/>
        </w:rPr>
        <w:t xml:space="preserve"> and </w:t>
      </w:r>
      <w:r w:rsidR="1EB37E54" w:rsidRPr="4F533E7D">
        <w:rPr>
          <w:rFonts w:ascii="Times New Roman" w:hAnsi="Times New Roman" w:cs="Times New Roman"/>
          <w:sz w:val="20"/>
          <w:szCs w:val="20"/>
        </w:rPr>
        <w:t xml:space="preserve">an </w:t>
      </w:r>
      <w:r w:rsidR="005703C0" w:rsidRPr="4F533E7D">
        <w:rPr>
          <w:rFonts w:ascii="Times New Roman" w:hAnsi="Times New Roman" w:cs="Times New Roman"/>
          <w:sz w:val="20"/>
          <w:szCs w:val="20"/>
        </w:rPr>
        <w:t xml:space="preserve">exponential </w:t>
      </w:r>
      <w:r w:rsidR="19D80F68" w:rsidRPr="4F533E7D">
        <w:rPr>
          <w:rFonts w:ascii="Times New Roman" w:hAnsi="Times New Roman" w:cs="Times New Roman"/>
          <w:sz w:val="20"/>
          <w:szCs w:val="20"/>
        </w:rPr>
        <w:t xml:space="preserve">function </w:t>
      </w:r>
      <w:r w:rsidR="005703C0" w:rsidRPr="4F533E7D">
        <w:rPr>
          <w:rFonts w:ascii="Times New Roman" w:hAnsi="Times New Roman" w:cs="Times New Roman"/>
          <w:sz w:val="20"/>
          <w:szCs w:val="20"/>
        </w:rPr>
        <w:t xml:space="preserve">for the </w:t>
      </w:r>
      <w:r w:rsidR="005703C0" w:rsidRPr="4F533E7D">
        <w:rPr>
          <w:rFonts w:ascii="Times New Roman" w:hAnsi="Times New Roman" w:cs="Times New Roman"/>
          <w:sz w:val="20"/>
          <w:szCs w:val="20"/>
        </w:rPr>
        <w:lastRenderedPageBreak/>
        <w:t xml:space="preserve">controlled group for PFS and exponential for both Rd and </w:t>
      </w:r>
      <w:r w:rsidR="00112827" w:rsidRPr="4F533E7D">
        <w:rPr>
          <w:rFonts w:ascii="Times New Roman" w:hAnsi="Times New Roman" w:cs="Times New Roman"/>
          <w:sz w:val="20"/>
          <w:szCs w:val="20"/>
        </w:rPr>
        <w:t xml:space="preserve">melphalan plus prednisone and thalidomide </w:t>
      </w:r>
      <w:r w:rsidR="005703C0" w:rsidRPr="4F533E7D">
        <w:rPr>
          <w:rFonts w:ascii="Times New Roman" w:hAnsi="Times New Roman" w:cs="Times New Roman"/>
          <w:sz w:val="20"/>
          <w:szCs w:val="20"/>
        </w:rPr>
        <w:t xml:space="preserve">for OS. The PBAC </w:t>
      </w:r>
      <w:r w:rsidR="004755EB" w:rsidRPr="4F533E7D">
        <w:rPr>
          <w:rFonts w:ascii="Times New Roman" w:hAnsi="Times New Roman" w:cs="Times New Roman"/>
          <w:sz w:val="20"/>
          <w:szCs w:val="20"/>
        </w:rPr>
        <w:t xml:space="preserve">considered using a log-logistic </w:t>
      </w:r>
      <w:r w:rsidR="25B9C291" w:rsidRPr="4F533E7D">
        <w:rPr>
          <w:rFonts w:ascii="Times New Roman" w:hAnsi="Times New Roman" w:cs="Times New Roman"/>
          <w:sz w:val="20"/>
          <w:szCs w:val="20"/>
        </w:rPr>
        <w:t xml:space="preserve">function </w:t>
      </w:r>
      <w:r w:rsidR="004755EB" w:rsidRPr="4F533E7D">
        <w:rPr>
          <w:rFonts w:ascii="Times New Roman" w:hAnsi="Times New Roman" w:cs="Times New Roman"/>
          <w:sz w:val="20"/>
          <w:szCs w:val="20"/>
        </w:rPr>
        <w:t xml:space="preserve">to be </w:t>
      </w:r>
      <w:r w:rsidR="005703C0" w:rsidRPr="4F533E7D">
        <w:rPr>
          <w:rFonts w:ascii="Times New Roman" w:hAnsi="Times New Roman" w:cs="Times New Roman"/>
          <w:sz w:val="20"/>
          <w:szCs w:val="20"/>
        </w:rPr>
        <w:t xml:space="preserve">inadequately justified. </w:t>
      </w:r>
    </w:p>
    <w:p w14:paraId="2FB45783" w14:textId="71E0ECE4" w:rsidR="4F533E7D" w:rsidRDefault="4F533E7D" w:rsidP="00C15362">
      <w:pPr>
        <w:widowControl/>
        <w:adjustRightInd w:val="0"/>
        <w:snapToGrid w:val="0"/>
        <w:spacing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235"/>
        <w:gridCol w:w="5061"/>
      </w:tblGrid>
      <w:tr w:rsidR="005703C0" w:rsidRPr="005668EA" w14:paraId="105F0A4F" w14:textId="77777777" w:rsidTr="4F533E7D">
        <w:tc>
          <w:tcPr>
            <w:tcW w:w="3235" w:type="dxa"/>
          </w:tcPr>
          <w:bookmarkEnd w:id="30"/>
          <w:p w14:paraId="0218BA89"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061" w:type="dxa"/>
          </w:tcPr>
          <w:p w14:paraId="09B8C4B5" w14:textId="4BB45B14" w:rsidR="005703C0" w:rsidRPr="005668EA" w:rsidRDefault="005703C0" w:rsidP="00C15362">
            <w:pPr>
              <w:pStyle w:val="EndNoteBibliography"/>
              <w:adjustRightInd w:val="0"/>
              <w:snapToGrid w:val="0"/>
              <w:spacing w:line="360" w:lineRule="auto"/>
            </w:pPr>
            <w:r w:rsidRPr="4F533E7D">
              <w:rPr>
                <w:kern w:val="0"/>
              </w:rPr>
              <w:t xml:space="preserve">Did the submission derive inappropriately estimated parametric survival </w:t>
            </w:r>
            <w:r w:rsidR="6B07394D" w:rsidRPr="4F533E7D">
              <w:rPr>
                <w:kern w:val="0"/>
              </w:rPr>
              <w:t>functions</w:t>
            </w:r>
            <w:r w:rsidRPr="4F533E7D">
              <w:rPr>
                <w:kern w:val="0"/>
              </w:rPr>
              <w:t>?</w:t>
            </w:r>
          </w:p>
        </w:tc>
      </w:tr>
      <w:tr w:rsidR="005703C0" w:rsidRPr="005668EA" w14:paraId="5730DB3F" w14:textId="77777777" w:rsidTr="4F533E7D">
        <w:tc>
          <w:tcPr>
            <w:tcW w:w="3235" w:type="dxa"/>
          </w:tcPr>
          <w:p w14:paraId="291B25CC"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061" w:type="dxa"/>
          </w:tcPr>
          <w:p w14:paraId="1185DB0A" w14:textId="4449F0E6"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0857E275" w14:textId="12D06998" w:rsidR="005703C0" w:rsidRPr="005668EA" w:rsidRDefault="00E301EC" w:rsidP="00C33017">
      <w:pPr>
        <w:pStyle w:val="Heading2"/>
        <w:adjustRightInd w:val="0"/>
        <w:snapToGrid w:val="0"/>
        <w:spacing w:before="480" w:after="0" w:line="360" w:lineRule="auto"/>
        <w:rPr>
          <w:rFonts w:ascii="Times New Roman" w:hAnsi="Times New Roman" w:cs="Times New Roman"/>
          <w:sz w:val="20"/>
          <w:szCs w:val="20"/>
        </w:rPr>
      </w:pPr>
      <w:r w:rsidRPr="005668EA">
        <w:rPr>
          <w:rFonts w:ascii="Times New Roman" w:hAnsi="Times New Roman" w:cs="Times New Roman"/>
          <w:sz w:val="20"/>
          <w:szCs w:val="20"/>
        </w:rPr>
        <w:t xml:space="preserve">4. </w:t>
      </w:r>
      <w:r w:rsidR="005703C0" w:rsidRPr="005668EA">
        <w:rPr>
          <w:rFonts w:ascii="Times New Roman" w:hAnsi="Times New Roman" w:cs="Times New Roman"/>
          <w:sz w:val="20"/>
          <w:szCs w:val="20"/>
        </w:rPr>
        <w:t xml:space="preserve">Parameter uncertainty </w:t>
      </w:r>
    </w:p>
    <w:p w14:paraId="2E976724" w14:textId="59675AE6" w:rsidR="005703C0" w:rsidRPr="005668EA" w:rsidRDefault="005703C0" w:rsidP="006C41A0">
      <w:pPr>
        <w:widowControl/>
        <w:adjustRightInd w:val="0"/>
        <w:snapToGrid w:val="0"/>
        <w:spacing w:line="360" w:lineRule="auto"/>
        <w:rPr>
          <w:rFonts w:ascii="Times New Roman" w:hAnsi="Times New Roman" w:cs="Times New Roman"/>
          <w:sz w:val="20"/>
          <w:szCs w:val="20"/>
        </w:rPr>
      </w:pPr>
      <w:r w:rsidRPr="005668EA">
        <w:rPr>
          <w:rFonts w:ascii="Times New Roman" w:hAnsi="Times New Roman" w:cs="Times New Roman"/>
          <w:sz w:val="20"/>
          <w:szCs w:val="20"/>
        </w:rPr>
        <w:t xml:space="preserve">Parameter uncertainty refers to the uncertainty in the </w:t>
      </w:r>
      <w:r w:rsidR="002D61F4">
        <w:rPr>
          <w:rFonts w:ascii="Times New Roman" w:hAnsi="Times New Roman" w:cs="Times New Roman"/>
          <w:sz w:val="20"/>
          <w:szCs w:val="20"/>
        </w:rPr>
        <w:t>“</w:t>
      </w:r>
      <w:r w:rsidRPr="005668EA">
        <w:rPr>
          <w:rFonts w:ascii="Times New Roman" w:hAnsi="Times New Roman" w:cs="Times New Roman"/>
          <w:sz w:val="20"/>
          <w:szCs w:val="20"/>
        </w:rPr>
        <w:t>true value</w:t>
      </w:r>
      <w:r w:rsidR="002D61F4">
        <w:rPr>
          <w:rFonts w:ascii="Times New Roman" w:hAnsi="Times New Roman" w:cs="Times New Roman"/>
          <w:sz w:val="20"/>
          <w:szCs w:val="20"/>
        </w:rPr>
        <w:t>”</w:t>
      </w:r>
      <w:r w:rsidRPr="005668EA">
        <w:rPr>
          <w:rFonts w:ascii="Times New Roman" w:hAnsi="Times New Roman" w:cs="Times New Roman"/>
          <w:sz w:val="20"/>
          <w:szCs w:val="20"/>
        </w:rPr>
        <w:t xml:space="preserve"> of parameters</w:t>
      </w:r>
      <w:r w:rsidR="00C53DC0">
        <w:rPr>
          <w:rFonts w:ascii="Times-Roman" w:eastAsia="Times New Roman" w:hAnsi="Times-Roman" w:cs="Times New Roman"/>
          <w:sz w:val="20"/>
          <w:szCs w:val="20"/>
          <w:lang w:val="en-AU"/>
        </w:rPr>
        <w:t xml:space="preserve"> </w:t>
      </w:r>
      <w:r w:rsidR="00C53DC0">
        <w:rPr>
          <w:rFonts w:ascii="Times-Roman" w:eastAsia="Times New Roman" w:hAnsi="Times-Roman" w:cs="Times New Roman"/>
          <w:sz w:val="20"/>
          <w:szCs w:val="20"/>
          <w:lang w:val="en-AU"/>
        </w:rPr>
        <w:fldChar w:fldCharType="begin">
          <w:fldData xml:space="preserve">PEVuZE5vdGU+PENpdGU+PEF1dGhvcj5CcmlnZ3M8L0F1dGhvcj48WWVhcj4yMDEyPC9ZZWFyPjxS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</w:fldData>
        </w:fldChar>
      </w:r>
      <w:r w:rsidR="00687A2B">
        <w:rPr>
          <w:rFonts w:ascii="Times-Roman" w:eastAsia="Times New Roman" w:hAnsi="Times-Roman" w:cs="Times New Roman"/>
          <w:sz w:val="20"/>
          <w:szCs w:val="20"/>
          <w:lang w:val="en-AU"/>
        </w:rPr>
        <w:instrText xml:space="preserve"> ADDIN EN.CITE </w:instrText>
      </w:r>
      <w:r w:rsidR="00687A2B">
        <w:rPr>
          <w:rFonts w:ascii="Times-Roman" w:eastAsia="Times New Roman" w:hAnsi="Times-Roman" w:cs="Times New Roman"/>
          <w:sz w:val="20"/>
          <w:szCs w:val="20"/>
          <w:lang w:val="en-AU"/>
        </w:rPr>
        <w:fldChar w:fldCharType="begin">
          <w:fldData xml:space="preserve">PEVuZE5vdGU+PENpdGU+PEF1dGhvcj5CcmlnZ3M8L0F1dGhvcj48WWVhcj4yMDEyPC9ZZWFyPjxS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</w:fldData>
        </w:fldChar>
      </w:r>
      <w:r w:rsidR="00687A2B">
        <w:rPr>
          <w:rFonts w:ascii="Times-Roman" w:eastAsia="Times New Roman" w:hAnsi="Times-Roman" w:cs="Times New Roman"/>
          <w:sz w:val="20"/>
          <w:szCs w:val="20"/>
          <w:lang w:val="en-AU"/>
        </w:rPr>
        <w:instrText xml:space="preserve"> ADDIN EN.CITE.DATA </w:instrText>
      </w:r>
      <w:r w:rsidR="00687A2B">
        <w:rPr>
          <w:rFonts w:ascii="Times-Roman" w:eastAsia="Times New Roman" w:hAnsi="Times-Roman" w:cs="Times New Roman"/>
          <w:sz w:val="20"/>
          <w:szCs w:val="20"/>
          <w:lang w:val="en-AU"/>
        </w:rPr>
      </w:r>
      <w:r w:rsidR="00687A2B">
        <w:rPr>
          <w:rFonts w:ascii="Times-Roman" w:eastAsia="Times New Roman" w:hAnsi="Times-Roman" w:cs="Times New Roman"/>
          <w:sz w:val="20"/>
          <w:szCs w:val="20"/>
          <w:lang w:val="en-AU"/>
        </w:rPr>
        <w:fldChar w:fldCharType="end"/>
      </w:r>
      <w:r w:rsidR="00C53DC0">
        <w:rPr>
          <w:rFonts w:ascii="Times-Roman" w:eastAsia="Times New Roman" w:hAnsi="Times-Roman" w:cs="Times New Roman"/>
          <w:sz w:val="20"/>
          <w:szCs w:val="20"/>
          <w:lang w:val="en-AU"/>
        </w:rPr>
      </w:r>
      <w:r w:rsidR="00C53DC0">
        <w:rPr>
          <w:rFonts w:ascii="Times-Roman" w:eastAsia="Times New Roman" w:hAnsi="Times-Roman" w:cs="Times New Roman"/>
          <w:sz w:val="20"/>
          <w:szCs w:val="20"/>
          <w:lang w:val="en-AU"/>
        </w:rPr>
        <w:fldChar w:fldCharType="separate"/>
      </w:r>
      <w:r w:rsidR="00687A2B">
        <w:rPr>
          <w:rFonts w:ascii="Times-Roman" w:eastAsia="Times New Roman" w:hAnsi="Times-Roman" w:cs="Times New Roman"/>
          <w:noProof/>
          <w:sz w:val="20"/>
          <w:szCs w:val="20"/>
          <w:lang w:val="en-AU"/>
        </w:rPr>
        <w:t>[5-7, 30-32]</w:t>
      </w:r>
      <w:r w:rsidR="00C53DC0">
        <w:rPr>
          <w:rFonts w:ascii="Times-Roman" w:eastAsia="Times New Roman" w:hAnsi="Times-Roman" w:cs="Times New Roman"/>
          <w:sz w:val="20"/>
          <w:szCs w:val="20"/>
          <w:lang w:val="en-AU"/>
        </w:rPr>
        <w:fldChar w:fldCharType="end"/>
      </w:r>
      <w:r w:rsidRPr="005668EA">
        <w:rPr>
          <w:rFonts w:ascii="Times New Roman" w:hAnsi="Times New Roman" w:cs="Times New Roman"/>
          <w:sz w:val="20"/>
          <w:szCs w:val="20"/>
        </w:rPr>
        <w:t xml:space="preserve">. </w:t>
      </w:r>
      <w:r w:rsidR="009330E4">
        <w:rPr>
          <w:rFonts w:ascii="Times New Roman" w:hAnsi="Times New Roman" w:cs="Times New Roman"/>
          <w:sz w:val="20"/>
          <w:szCs w:val="20"/>
        </w:rPr>
        <w:t xml:space="preserve">The parameter uncertainty could </w:t>
      </w:r>
      <w:r w:rsidR="00BA5877">
        <w:rPr>
          <w:rFonts w:ascii="Times New Roman" w:hAnsi="Times New Roman" w:cs="Times New Roman"/>
          <w:sz w:val="20"/>
          <w:szCs w:val="20"/>
        </w:rPr>
        <w:t>be determined by the</w:t>
      </w:r>
      <w:r w:rsidR="00B956C6" w:rsidRPr="00B956C6">
        <w:rPr>
          <w:rFonts w:ascii="Times New Roman" w:hAnsi="Times New Roman" w:cs="Times New Roman"/>
          <w:sz w:val="20"/>
          <w:szCs w:val="20"/>
        </w:rPr>
        <w:t xml:space="preserve"> sample size informing </w:t>
      </w:r>
      <w:r w:rsidR="00FA7CA4" w:rsidRPr="00B956C6">
        <w:rPr>
          <w:rFonts w:ascii="Times New Roman" w:hAnsi="Times New Roman" w:cs="Times New Roman"/>
          <w:sz w:val="20"/>
          <w:szCs w:val="20"/>
        </w:rPr>
        <w:t>those estimates and variance</w:t>
      </w:r>
      <w:r w:rsidR="00B956C6" w:rsidRPr="00B956C6">
        <w:rPr>
          <w:rFonts w:ascii="Times New Roman" w:hAnsi="Times New Roman" w:cs="Times New Roman"/>
          <w:sz w:val="20"/>
          <w:szCs w:val="20"/>
        </w:rPr>
        <w:t xml:space="preserve"> in the data</w:t>
      </w:r>
      <w:r w:rsidR="00FA7CA4">
        <w:rPr>
          <w:rFonts w:ascii="Times New Roman" w:hAnsi="Times New Roman" w:cs="Times New Roman"/>
          <w:sz w:val="20"/>
          <w:szCs w:val="20"/>
        </w:rPr>
        <w:t xml:space="preserve"> </w:t>
      </w:r>
      <w:r w:rsidR="00FA7CA4">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&lt;EndNote&gt;&lt;Cite&gt;&lt;Author&gt;Briggs&lt;/Author&gt;&lt;Year&gt;2012&lt;/Year&gt;&lt;RecNum&gt;15222&lt;/RecNum&gt;&lt;DisplayText&gt;[30]&lt;/DisplayText&gt;&lt;record&gt;&lt;rec-number&gt;15222&lt;/rec-number&gt;&lt;foreign-keys&gt;&lt;key app="EN" db-id="5zttwaa2gstv57epr5z5zxv325varaa5e9rp" timestamp="1593745972"&gt;15222&lt;/key&gt;&lt;/foreign-keys&gt;&lt;ref-type name="Journal Article"&gt;17&lt;/ref-type&gt;&lt;contributors&gt;&lt;authors&gt;&lt;author&gt;Briggs, A. H.&lt;/author&gt;&lt;author&gt;Weinstein, M. C.&lt;/author&gt;&lt;author&gt;Fenwick, E. A.&lt;/author&gt;&lt;author&gt;Karnon, J.&lt;/author&gt;&lt;author&gt;Sculpher, M. J.&lt;/author&gt;&lt;author&gt;Paltiel, A. D.&lt;/author&gt;&lt;/authors&gt;&lt;/contributors&gt;&lt;auth-address&gt;Health Economics &amp;amp; Health Technology Assessment, Institute of Health &amp;amp; Wellbeing, University of Glasgow, Glasgow, UK. andrew.briggs@glasgow.ac.uk&lt;/auth-address&gt;&lt;titles&gt;&lt;title&gt;Model parameter estimation and uncertainty: a report of the ISPOR-SMDM Modeling Good Research Practices Task Force--6&lt;/title&gt;&lt;secondary-title&gt;Value Health&lt;/secondary-title&gt;&lt;/titles&gt;&lt;periodical&gt;&lt;full-title&gt;Value Health&lt;/full-title&gt;&lt;abbr-1&gt;Value in health : the journal of the International Society for Pharmacoeconomics and Outcomes Research&lt;/abbr-1&gt;&lt;/periodical&gt;&lt;pages&gt;835-42&lt;/pages&gt;&lt;volume&gt;15&lt;/volume&gt;&lt;number&gt;6&lt;/number&gt;&lt;edition&gt;2012/09/25&lt;/edition&gt;&lt;keywords&gt;&lt;keyword&gt;*Advisory Committees&lt;/keyword&gt;&lt;keyword&gt;Comparative Effectiveness Research&lt;/keyword&gt;&lt;keyword&gt;Decision Making&lt;/keyword&gt;&lt;keyword&gt;Health Care Rationing&lt;/keyword&gt;&lt;keyword&gt;Models, Statistical&lt;/keyword&gt;&lt;keyword&gt;*Models, Theoretical&lt;/keyword&gt;&lt;keyword&gt;*Uncertainty&lt;/keyword&gt;&lt;/keywords&gt;&lt;dates&gt;&lt;year&gt;2012&lt;/year&gt;&lt;pub-dates&gt;&lt;date&gt;Sep-Oct&lt;/date&gt;&lt;/pub-dates&gt;&lt;/dates&gt;&lt;isbn&gt;1098-3015&lt;/isbn&gt;&lt;accession-num&gt;22999133&lt;/accession-num&gt;&lt;urls&gt;&lt;/urls&gt;&lt;electronic-resource-num&gt;10.1016/j.jval.2012.04.014&lt;/electronic-resource-num&gt;&lt;remote-database-provider&gt;NLM&lt;/remote-database-provider&gt;&lt;language&gt;eng&lt;/language&gt;&lt;/record&gt;&lt;/Cite&gt;&lt;/EndNote&gt;</w:instrText>
      </w:r>
      <w:r w:rsidR="00FA7CA4">
        <w:rPr>
          <w:rFonts w:ascii="Times New Roman" w:hAnsi="Times New Roman" w:cs="Times New Roman"/>
          <w:sz w:val="20"/>
          <w:szCs w:val="20"/>
        </w:rPr>
        <w:fldChar w:fldCharType="separate"/>
      </w:r>
      <w:r w:rsidR="00687A2B">
        <w:rPr>
          <w:rFonts w:ascii="Times New Roman" w:hAnsi="Times New Roman" w:cs="Times New Roman"/>
          <w:noProof/>
          <w:sz w:val="20"/>
          <w:szCs w:val="20"/>
        </w:rPr>
        <w:t>[30]</w:t>
      </w:r>
      <w:r w:rsidR="00FA7CA4">
        <w:rPr>
          <w:rFonts w:ascii="Times New Roman" w:hAnsi="Times New Roman" w:cs="Times New Roman"/>
          <w:sz w:val="20"/>
          <w:szCs w:val="20"/>
        </w:rPr>
        <w:fldChar w:fldCharType="end"/>
      </w:r>
      <w:r w:rsidR="00B956C6" w:rsidRPr="00B956C6">
        <w:rPr>
          <w:rFonts w:ascii="Times New Roman" w:hAnsi="Times New Roman" w:cs="Times New Roman"/>
          <w:sz w:val="20"/>
          <w:szCs w:val="20"/>
        </w:rPr>
        <w:t>.</w:t>
      </w:r>
      <w:r w:rsidR="00BA5877">
        <w:rPr>
          <w:rFonts w:ascii="Times New Roman" w:hAnsi="Times New Roman" w:cs="Times New Roman"/>
          <w:sz w:val="20"/>
          <w:szCs w:val="20"/>
        </w:rPr>
        <w:t xml:space="preserve"> However, </w:t>
      </w:r>
      <w:r w:rsidR="00FA7CA4">
        <w:rPr>
          <w:rFonts w:ascii="Times New Roman" w:hAnsi="Times New Roman" w:cs="Times New Roman"/>
          <w:sz w:val="20"/>
          <w:szCs w:val="20"/>
        </w:rPr>
        <w:t>this information</w:t>
      </w:r>
      <w:r w:rsidR="00B4029F">
        <w:rPr>
          <w:rFonts w:ascii="Times New Roman" w:hAnsi="Times New Roman" w:cs="Times New Roman"/>
          <w:sz w:val="20"/>
          <w:szCs w:val="20"/>
        </w:rPr>
        <w:t xml:space="preserve"> is not mandatory </w:t>
      </w:r>
      <w:r w:rsidR="00406AAB" w:rsidRPr="4F533E7D">
        <w:rPr>
          <w:rFonts w:ascii="Times New Roman" w:hAnsi="Times New Roman" w:cs="Times New Roman"/>
          <w:sz w:val="20"/>
          <w:szCs w:val="20"/>
        </w:rPr>
        <w:t>disclosed</w:t>
      </w:r>
      <w:r w:rsidR="00B4029F">
        <w:rPr>
          <w:rFonts w:ascii="Times New Roman" w:hAnsi="Times New Roman" w:cs="Times New Roman"/>
          <w:sz w:val="20"/>
          <w:szCs w:val="20"/>
        </w:rPr>
        <w:t xml:space="preserve"> in the PSDs</w:t>
      </w:r>
      <w:r w:rsidR="00FA7CA4">
        <w:rPr>
          <w:rFonts w:ascii="Times New Roman" w:hAnsi="Times New Roman" w:cs="Times New Roman"/>
          <w:sz w:val="20"/>
          <w:szCs w:val="20"/>
        </w:rPr>
        <w:t xml:space="preserve">. </w:t>
      </w:r>
      <w:bookmarkStart w:id="31" w:name="_Hlk159237104"/>
      <w:r w:rsidR="00B956C6" w:rsidRPr="00B956C6">
        <w:rPr>
          <w:rFonts w:ascii="Times New Roman" w:hAnsi="Times New Roman" w:cs="Times New Roman"/>
          <w:sz w:val="20"/>
          <w:szCs w:val="20"/>
        </w:rPr>
        <w:t xml:space="preserve">Parameter uncertainty </w:t>
      </w:r>
      <w:r w:rsidR="00191B8D" w:rsidRPr="4F533E7D">
        <w:rPr>
          <w:rFonts w:ascii="Times New Roman" w:hAnsi="Times New Roman" w:cs="Times New Roman"/>
          <w:sz w:val="20"/>
          <w:szCs w:val="20"/>
        </w:rPr>
        <w:t xml:space="preserve">could </w:t>
      </w:r>
      <w:r w:rsidR="00B956C6" w:rsidRPr="00B956C6">
        <w:rPr>
          <w:rFonts w:ascii="Times New Roman" w:hAnsi="Times New Roman" w:cs="Times New Roman"/>
          <w:sz w:val="20"/>
          <w:szCs w:val="20"/>
        </w:rPr>
        <w:t>arise</w:t>
      </w:r>
      <w:r w:rsidR="00E50201">
        <w:rPr>
          <w:rFonts w:ascii="Times New Roman" w:hAnsi="Times New Roman" w:cs="Times New Roman"/>
          <w:sz w:val="20"/>
          <w:szCs w:val="20"/>
        </w:rPr>
        <w:t xml:space="preserve"> </w:t>
      </w:r>
      <w:r w:rsidR="00E50201" w:rsidRPr="00E50201">
        <w:rPr>
          <w:rFonts w:ascii="Times New Roman" w:hAnsi="Times New Roman" w:cs="Times New Roman"/>
          <w:sz w:val="20"/>
          <w:szCs w:val="20"/>
        </w:rPr>
        <w:t xml:space="preserve">from the existence of multiple, conflicting </w:t>
      </w:r>
      <w:r w:rsidR="00FA7CA4">
        <w:rPr>
          <w:rFonts w:ascii="Times New Roman" w:hAnsi="Times New Roman" w:cs="Times New Roman"/>
          <w:sz w:val="20"/>
          <w:szCs w:val="20"/>
        </w:rPr>
        <w:t>data sources</w:t>
      </w:r>
      <w:r w:rsidR="00ED4440">
        <w:rPr>
          <w:rFonts w:ascii="Times New Roman" w:hAnsi="Times New Roman" w:cs="Times New Roman"/>
          <w:sz w:val="20"/>
          <w:szCs w:val="20"/>
        </w:rPr>
        <w:t>,</w:t>
      </w:r>
      <w:r w:rsidR="00E50201" w:rsidRPr="00E50201">
        <w:rPr>
          <w:rFonts w:ascii="Times New Roman" w:hAnsi="Times New Roman" w:cs="Times New Roman"/>
          <w:sz w:val="20"/>
          <w:szCs w:val="20"/>
        </w:rPr>
        <w:t xml:space="preserve"> and </w:t>
      </w:r>
      <w:r w:rsidR="00ED4440">
        <w:rPr>
          <w:rFonts w:ascii="Times New Roman" w:hAnsi="Times New Roman" w:cs="Times New Roman"/>
          <w:sz w:val="20"/>
          <w:szCs w:val="20"/>
        </w:rPr>
        <w:t xml:space="preserve">a </w:t>
      </w:r>
      <w:r w:rsidR="00E50201" w:rsidRPr="00E50201">
        <w:rPr>
          <w:rFonts w:ascii="Times New Roman" w:hAnsi="Times New Roman" w:cs="Times New Roman"/>
          <w:sz w:val="20"/>
          <w:szCs w:val="20"/>
        </w:rPr>
        <w:t>lack of empirical data</w:t>
      </w:r>
      <w:r w:rsidR="00ED4440">
        <w:rPr>
          <w:rFonts w:ascii="Times New Roman" w:hAnsi="Times New Roman" w:cs="Times New Roman"/>
          <w:sz w:val="20"/>
          <w:szCs w:val="20"/>
        </w:rPr>
        <w:t>. In this study, t</w:t>
      </w:r>
      <w:r w:rsidRPr="005668EA">
        <w:rPr>
          <w:rFonts w:ascii="Times New Roman" w:hAnsi="Times New Roman" w:cs="Times New Roman"/>
          <w:sz w:val="20"/>
          <w:szCs w:val="20"/>
        </w:rPr>
        <w:t>he input</w:t>
      </w:r>
      <w:r w:rsidR="00406AAB" w:rsidRPr="4F533E7D">
        <w:rPr>
          <w:rFonts w:ascii="Times New Roman" w:hAnsi="Times New Roman" w:cs="Times New Roman"/>
          <w:sz w:val="20"/>
          <w:szCs w:val="20"/>
        </w:rPr>
        <w:t>s</w:t>
      </w:r>
      <w:r w:rsidRPr="005668EA">
        <w:rPr>
          <w:rFonts w:ascii="Times New Roman" w:hAnsi="Times New Roman" w:cs="Times New Roman"/>
          <w:sz w:val="20"/>
          <w:szCs w:val="20"/>
        </w:rPr>
        <w:t xml:space="preserve"> of utility, cost, treatment effect, or transition </w:t>
      </w:r>
      <w:r w:rsidR="00E624C8" w:rsidRPr="4F533E7D">
        <w:rPr>
          <w:rFonts w:ascii="Times New Roman" w:hAnsi="Times New Roman" w:cs="Times New Roman"/>
          <w:sz w:val="20"/>
          <w:szCs w:val="20"/>
        </w:rPr>
        <w:t xml:space="preserve">possibilities </w:t>
      </w:r>
      <w:r w:rsidR="00406AAB" w:rsidRPr="4F533E7D">
        <w:rPr>
          <w:rFonts w:ascii="Times New Roman" w:hAnsi="Times New Roman" w:cs="Times New Roman"/>
          <w:sz w:val="20"/>
          <w:szCs w:val="20"/>
        </w:rPr>
        <w:t xml:space="preserve">were </w:t>
      </w:r>
      <w:r w:rsidRPr="005668EA">
        <w:rPr>
          <w:rFonts w:ascii="Times New Roman" w:hAnsi="Times New Roman" w:cs="Times New Roman"/>
          <w:sz w:val="20"/>
          <w:szCs w:val="20"/>
        </w:rPr>
        <w:t xml:space="preserve">defined as having parameter uncertainty if their quality </w:t>
      </w:r>
      <w:r w:rsidR="00406AAB" w:rsidRPr="4F533E7D">
        <w:rPr>
          <w:rFonts w:ascii="Times New Roman" w:hAnsi="Times New Roman" w:cs="Times New Roman"/>
          <w:sz w:val="20"/>
          <w:szCs w:val="20"/>
        </w:rPr>
        <w:t>w</w:t>
      </w:r>
      <w:r w:rsidR="00681CDE" w:rsidRPr="4F533E7D">
        <w:rPr>
          <w:rFonts w:ascii="Times New Roman" w:hAnsi="Times New Roman" w:cs="Times New Roman"/>
          <w:sz w:val="20"/>
          <w:szCs w:val="20"/>
        </w:rPr>
        <w:t>as</w:t>
      </w:r>
      <w:r w:rsidR="00406AAB" w:rsidRPr="4F533E7D">
        <w:rPr>
          <w:rFonts w:ascii="Times New Roman" w:hAnsi="Times New Roman" w:cs="Times New Roman"/>
          <w:sz w:val="20"/>
          <w:szCs w:val="20"/>
        </w:rPr>
        <w:t xml:space="preserve"> </w:t>
      </w:r>
      <w:r w:rsidRPr="005668EA">
        <w:rPr>
          <w:rFonts w:ascii="Times New Roman" w:hAnsi="Times New Roman" w:cs="Times New Roman"/>
          <w:sz w:val="20"/>
          <w:szCs w:val="20"/>
        </w:rPr>
        <w:t>poor or if they were derived from multiple sources or unjustified assumptions.</w:t>
      </w:r>
      <w:bookmarkEnd w:id="31"/>
    </w:p>
    <w:p w14:paraId="74C46243" w14:textId="557104A9" w:rsidR="4F533E7D" w:rsidRDefault="4F533E7D" w:rsidP="00C15362">
      <w:pPr>
        <w:widowControl/>
        <w:adjustRightInd w:val="0"/>
        <w:snapToGrid w:val="0"/>
        <w:spacing w:line="360" w:lineRule="auto"/>
        <w:rPr>
          <w:rFonts w:ascii="Times New Roman" w:hAnsi="Times New Roman" w:cs="Times New Roman"/>
          <w:sz w:val="20"/>
          <w:szCs w:val="20"/>
        </w:rPr>
      </w:pPr>
    </w:p>
    <w:p w14:paraId="015C923E" w14:textId="365877E8" w:rsidR="005703C0" w:rsidRDefault="00E301EC" w:rsidP="006C41A0">
      <w:pPr>
        <w:pStyle w:val="Heading3"/>
        <w:adjustRightInd w:val="0"/>
        <w:snapToGrid w:val="0"/>
        <w:spacing w:before="0" w:after="0" w:line="360" w:lineRule="auto"/>
        <w:rPr>
          <w:rFonts w:ascii="Times New Roman" w:hAnsi="Times New Roman" w:cs="Times New Roman"/>
          <w:sz w:val="20"/>
          <w:szCs w:val="20"/>
        </w:rPr>
      </w:pPr>
      <w:r w:rsidRPr="005668EA">
        <w:rPr>
          <w:rFonts w:ascii="Times New Roman" w:hAnsi="Times New Roman" w:cs="Times New Roman"/>
          <w:sz w:val="20"/>
          <w:szCs w:val="20"/>
        </w:rPr>
        <w:t>4</w:t>
      </w:r>
      <w:r w:rsidR="005703C0" w:rsidRPr="005668EA">
        <w:rPr>
          <w:rFonts w:ascii="Times New Roman" w:hAnsi="Times New Roman" w:cs="Times New Roman"/>
          <w:sz w:val="20"/>
          <w:szCs w:val="20"/>
        </w:rPr>
        <w:t>.1 Uncertainty around clinical effectiveness</w:t>
      </w:r>
      <w:r w:rsidR="00D7244B">
        <w:rPr>
          <w:rFonts w:ascii="Times New Roman" w:hAnsi="Times New Roman" w:cs="Times New Roman"/>
          <w:sz w:val="20"/>
          <w:szCs w:val="20"/>
        </w:rPr>
        <w:t xml:space="preserve"> or </w:t>
      </w:r>
      <w:r w:rsidR="00D7244B" w:rsidRPr="00D7244B">
        <w:rPr>
          <w:rFonts w:ascii="Times New Roman" w:hAnsi="Times New Roman" w:cs="Times New Roman"/>
          <w:sz w:val="20"/>
          <w:szCs w:val="20"/>
        </w:rPr>
        <w:t>transition probabilities</w:t>
      </w:r>
    </w:p>
    <w:p w14:paraId="0CC20720" w14:textId="244B843B" w:rsidR="00D7244B" w:rsidRPr="00D7244B" w:rsidRDefault="00020783" w:rsidP="00D7244B">
      <w:proofErr w:type="gramStart"/>
      <w:r w:rsidRPr="00020783">
        <w:rPr>
          <w:rFonts w:ascii="Times-Roman" w:hAnsi="Times-Roman" w:cs="Times New Roman"/>
          <w:sz w:val="20"/>
          <w:szCs w:val="20"/>
        </w:rPr>
        <w:t>In order to</w:t>
      </w:r>
      <w:proofErr w:type="gramEnd"/>
      <w:r w:rsidRPr="00020783">
        <w:rPr>
          <w:rFonts w:ascii="Times-Roman" w:hAnsi="Times-Roman" w:cs="Times New Roman"/>
          <w:sz w:val="20"/>
          <w:szCs w:val="20"/>
        </w:rPr>
        <w:t xml:space="preserve"> exclude potential conceptual overlap with the structural uncertainty, the parameter uncertainty around clinical effectiveness or transition possibilities was specific to those uncertainties </w:t>
      </w:r>
      <w:r w:rsidR="00F22C83">
        <w:rPr>
          <w:rFonts w:ascii="Times-Roman" w:hAnsi="Times-Roman" w:cs="Times New Roman" w:hint="eastAsia"/>
          <w:sz w:val="20"/>
          <w:szCs w:val="20"/>
        </w:rPr>
        <w:t xml:space="preserve">that </w:t>
      </w:r>
      <w:r w:rsidRPr="00020783">
        <w:rPr>
          <w:rFonts w:ascii="Times-Roman" w:hAnsi="Times-Roman" w:cs="Times New Roman"/>
          <w:sz w:val="20"/>
          <w:szCs w:val="20"/>
        </w:rPr>
        <w:t>arose due to missing data, poor quality data, or when multiple data sources (i.e., alternative data source or unjustified assumptions) were used.</w:t>
      </w:r>
      <w:r>
        <w:rPr>
          <w:rFonts w:ascii="Times-Roman" w:hAnsi="Times-Roman" w:cs="Times New Roman" w:hint="eastAsia"/>
          <w:sz w:val="20"/>
          <w:szCs w:val="20"/>
        </w:rPr>
        <w:t xml:space="preserve"> </w:t>
      </w:r>
      <w:r w:rsidR="00D7244B" w:rsidRPr="00056E87">
        <w:rPr>
          <w:rFonts w:ascii="Times-Roman" w:hAnsi="Times-Roman" w:cs="Times New Roman" w:hint="eastAsia"/>
          <w:sz w:val="20"/>
          <w:szCs w:val="20"/>
        </w:rPr>
        <w:t>This definition</w:t>
      </w:r>
      <w:r w:rsidR="00D7244B">
        <w:rPr>
          <w:rFonts w:ascii="Times-Roman" w:hAnsi="Times-Roman" w:cs="Times New Roman" w:hint="eastAsia"/>
          <w:sz w:val="20"/>
          <w:szCs w:val="20"/>
        </w:rPr>
        <w:t xml:space="preserve"> was in line with </w:t>
      </w:r>
      <w:r w:rsidR="00D7244B">
        <w:rPr>
          <w:rFonts w:ascii="Times-Roman" w:hAnsi="Times-Roman" w:cs="Times New Roman"/>
          <w:sz w:val="20"/>
          <w:szCs w:val="20"/>
        </w:rPr>
        <w:t xml:space="preserve">Rothery </w:t>
      </w:r>
      <w:r w:rsidR="00D7244B">
        <w:rPr>
          <w:rFonts w:ascii="Times-Roman" w:hAnsi="Times-Roman" w:cs="Times New Roman" w:hint="eastAsia"/>
          <w:sz w:val="20"/>
          <w:szCs w:val="20"/>
        </w:rPr>
        <w:t xml:space="preserve">et al. (2022) </w:t>
      </w:r>
      <w:r w:rsidR="00D7244B">
        <w:rPr>
          <w:rFonts w:ascii="Times-Roman" w:hAnsi="Times-Roman" w:cs="Times New Roman" w:hint="eastAsia"/>
          <w:sz w:val="20"/>
          <w:szCs w:val="20"/>
        </w:rPr>
        <w:fldChar w:fldCharType="begin">
          <w:fldData xml:space="preserve">PEVuZE5vdGU+PENpdGU+PEF1dGhvcj5Sb3RoZXJ5PC9BdXRob3I+PFllYXI+MjAyMDwvWWVhcj48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</w:fldData>
        </w:fldChar>
      </w:r>
      <w:r w:rsidR="00AD61C8">
        <w:rPr>
          <w:rFonts w:ascii="Times-Roman" w:hAnsi="Times-Roman" w:cs="Times New Roman" w:hint="eastAsia"/>
          <w:sz w:val="20"/>
          <w:szCs w:val="20"/>
        </w:rPr>
        <w:instrText xml:space="preserve"> ADDIN EN.CITE </w:instrText>
      </w:r>
      <w:r w:rsidR="00AD61C8">
        <w:rPr>
          <w:rFonts w:ascii="Times-Roman" w:hAnsi="Times-Roman" w:cs="Times New Roman" w:hint="eastAsia"/>
          <w:sz w:val="20"/>
          <w:szCs w:val="20"/>
        </w:rPr>
        <w:fldChar w:fldCharType="begin">
          <w:fldData xml:space="preserve">PEVuZE5vdGU+PENpdGU+PEF1dGhvcj5Sb3RoZXJ5PC9BdXRob3I+PFllYXI+MjAyMDwvWWVhcj48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</w:fldData>
        </w:fldChar>
      </w:r>
      <w:r w:rsidR="00AD61C8">
        <w:rPr>
          <w:rFonts w:ascii="Times-Roman" w:hAnsi="Times-Roman" w:cs="Times New Roman" w:hint="eastAsia"/>
          <w:sz w:val="20"/>
          <w:szCs w:val="20"/>
        </w:rPr>
        <w:instrText xml:space="preserve"> ADDIN EN.CITE.DATA </w:instrText>
      </w:r>
      <w:r w:rsidR="00AD61C8">
        <w:rPr>
          <w:rFonts w:ascii="Times-Roman" w:hAnsi="Times-Roman" w:cs="Times New Roman" w:hint="eastAsia"/>
          <w:sz w:val="20"/>
          <w:szCs w:val="20"/>
        </w:rPr>
      </w:r>
      <w:r w:rsidR="00AD61C8">
        <w:rPr>
          <w:rFonts w:ascii="Times-Roman" w:hAnsi="Times-Roman" w:cs="Times New Roman" w:hint="eastAsia"/>
          <w:sz w:val="20"/>
          <w:szCs w:val="20"/>
        </w:rPr>
        <w:fldChar w:fldCharType="end"/>
      </w:r>
      <w:r w:rsidR="00D7244B">
        <w:rPr>
          <w:rFonts w:ascii="Times-Roman" w:hAnsi="Times-Roman" w:cs="Times New Roman" w:hint="eastAsia"/>
          <w:sz w:val="20"/>
          <w:szCs w:val="20"/>
        </w:rPr>
      </w:r>
      <w:r w:rsidR="00D7244B">
        <w:rPr>
          <w:rFonts w:ascii="Times-Roman" w:hAnsi="Times-Roman" w:cs="Times New Roman" w:hint="eastAsia"/>
          <w:sz w:val="20"/>
          <w:szCs w:val="20"/>
        </w:rPr>
        <w:fldChar w:fldCharType="separate"/>
      </w:r>
      <w:r w:rsidR="00AD61C8">
        <w:rPr>
          <w:rFonts w:ascii="Times-Roman" w:hAnsi="Times-Roman" w:cs="Times New Roman" w:hint="eastAsia"/>
          <w:noProof/>
          <w:sz w:val="20"/>
          <w:szCs w:val="20"/>
        </w:rPr>
        <w:t>[32]</w:t>
      </w:r>
      <w:r w:rsidR="00D7244B">
        <w:rPr>
          <w:rFonts w:ascii="Times-Roman" w:hAnsi="Times-Roman" w:cs="Times New Roman" w:hint="eastAsia"/>
          <w:sz w:val="20"/>
          <w:szCs w:val="20"/>
        </w:rPr>
        <w:fldChar w:fldCharType="end"/>
      </w:r>
      <w:r w:rsidR="00D7244B">
        <w:rPr>
          <w:rFonts w:ascii="Times-Roman" w:hAnsi="Times-Roman" w:cs="Times New Roman" w:hint="eastAsia"/>
          <w:sz w:val="20"/>
          <w:szCs w:val="20"/>
        </w:rPr>
        <w:t xml:space="preserve">, who </w:t>
      </w:r>
      <w:r w:rsidR="00D7244B">
        <w:rPr>
          <w:rFonts w:ascii="Times-Roman" w:hAnsi="Times-Roman" w:cs="Times New Roman"/>
          <w:sz w:val="20"/>
          <w:szCs w:val="20"/>
        </w:rPr>
        <w:t>stated</w:t>
      </w:r>
      <w:r w:rsidR="00D7244B">
        <w:rPr>
          <w:rFonts w:ascii="Times-Roman" w:hAnsi="Times-Roman" w:cs="Times New Roman" w:hint="eastAsia"/>
          <w:sz w:val="20"/>
          <w:szCs w:val="20"/>
        </w:rPr>
        <w:t xml:space="preserve"> </w:t>
      </w:r>
      <w:r w:rsidR="00D7244B">
        <w:rPr>
          <w:rFonts w:ascii="Times-Roman" w:hAnsi="Times-Roman" w:cs="Times New Roman"/>
          <w:sz w:val="20"/>
          <w:szCs w:val="20"/>
        </w:rPr>
        <w:t>that “</w:t>
      </w:r>
      <w:r w:rsidR="00D7244B">
        <w:rPr>
          <w:rFonts w:ascii="Times-Roman" w:hAnsi="Times-Roman" w:cs="Times New Roman" w:hint="eastAsia"/>
          <w:sz w:val="20"/>
          <w:szCs w:val="20"/>
        </w:rPr>
        <w:t>u</w:t>
      </w:r>
      <w:r w:rsidR="00D7244B">
        <w:rPr>
          <w:rFonts w:ascii="Times-Roman" w:hAnsi="Times-Roman" w:cs="Times New Roman"/>
          <w:sz w:val="20"/>
          <w:szCs w:val="20"/>
        </w:rPr>
        <w:t>ncertainty in parameter values can arise owing to missing data, poor</w:t>
      </w:r>
      <w:r w:rsidR="00D7244B">
        <w:rPr>
          <w:rFonts w:ascii="Times-Roman" w:hAnsi="Times-Roman" w:cs="Times New Roman" w:hint="eastAsia"/>
          <w:sz w:val="20"/>
          <w:szCs w:val="20"/>
        </w:rPr>
        <w:t xml:space="preserve"> </w:t>
      </w:r>
      <w:r w:rsidR="00D7244B">
        <w:rPr>
          <w:rFonts w:ascii="Times-Roman" w:hAnsi="Times-Roman" w:cs="Times New Roman"/>
          <w:sz w:val="20"/>
          <w:szCs w:val="20"/>
        </w:rPr>
        <w:t>quality data, and study estimates that are biased or confounded.</w:t>
      </w:r>
    </w:p>
    <w:p w14:paraId="576316E9" w14:textId="1BF7145A" w:rsidR="005703C0" w:rsidRPr="005668EA" w:rsidRDefault="00E301EC" w:rsidP="00C33017">
      <w:pPr>
        <w:pStyle w:val="Heading4"/>
        <w:adjustRightInd w:val="0"/>
        <w:snapToGrid w:val="0"/>
        <w:spacing w:before="48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t>4</w:t>
      </w:r>
      <w:r w:rsidR="005703C0" w:rsidRPr="005668EA">
        <w:rPr>
          <w:rFonts w:ascii="Times New Roman" w:eastAsiaTheme="minorEastAsia" w:hAnsi="Times New Roman" w:cs="Times New Roman"/>
          <w:sz w:val="20"/>
          <w:szCs w:val="20"/>
        </w:rPr>
        <w:t>.</w:t>
      </w:r>
      <w:r w:rsidR="00662A26" w:rsidRPr="005668EA">
        <w:rPr>
          <w:rFonts w:ascii="Times New Roman" w:eastAsiaTheme="minorEastAsia" w:hAnsi="Times New Roman" w:cs="Times New Roman"/>
          <w:sz w:val="20"/>
          <w:szCs w:val="20"/>
        </w:rPr>
        <w:t>1.1</w:t>
      </w:r>
      <w:r w:rsidR="005703C0" w:rsidRPr="005668EA">
        <w:rPr>
          <w:rFonts w:ascii="Times New Roman" w:eastAsiaTheme="minorEastAsia" w:hAnsi="Times New Roman" w:cs="Times New Roman"/>
          <w:sz w:val="20"/>
          <w:szCs w:val="20"/>
        </w:rPr>
        <w:t xml:space="preserve"> Limited or multiple data sources of transition probabilities or treatment effect </w:t>
      </w:r>
    </w:p>
    <w:p w14:paraId="403A3095" w14:textId="1700883D" w:rsidR="005703C0" w:rsidRDefault="005703C0" w:rsidP="006C41A0">
      <w:pPr>
        <w:pStyle w:val="Bulletpoints"/>
        <w:widowControl/>
        <w:numPr>
          <w:ilvl w:val="0"/>
          <w:numId w:val="0"/>
        </w:numPr>
        <w:adjustRightInd w:val="0"/>
        <w:snapToGrid w:val="0"/>
        <w:spacing w:after="120" w:line="360" w:lineRule="auto"/>
        <w:rPr>
          <w:rFonts w:ascii="Times New Roman" w:eastAsiaTheme="minorEastAsia" w:hAnsi="Times New Roman" w:cs="Times New Roman"/>
          <w:snapToGrid/>
          <w:kern w:val="2"/>
          <w:sz w:val="20"/>
          <w:szCs w:val="20"/>
          <w:lang w:val="en-US" w:eastAsia="zh-CN"/>
        </w:rPr>
      </w:pPr>
      <w:bookmarkStart w:id="32" w:name="_Hlk159237630"/>
      <w:r w:rsidRPr="4F533E7D">
        <w:rPr>
          <w:rFonts w:ascii="Times New Roman" w:hAnsi="Times New Roman" w:cs="Times New Roman"/>
          <w:sz w:val="20"/>
          <w:szCs w:val="20"/>
        </w:rPr>
        <w:t>If the PBAC considered that the submission did not adequately justify using an external source of transition probabilit</w:t>
      </w:r>
      <w:r w:rsidR="00681CDE" w:rsidRPr="4F533E7D">
        <w:rPr>
          <w:rFonts w:ascii="Times New Roman" w:hAnsi="Times New Roman" w:cs="Times New Roman"/>
          <w:sz w:val="20"/>
          <w:szCs w:val="20"/>
        </w:rPr>
        <w:t>ies</w:t>
      </w:r>
      <w:r w:rsidRPr="4F533E7D">
        <w:rPr>
          <w:rFonts w:ascii="Times New Roman" w:hAnsi="Times New Roman" w:cs="Times New Roman"/>
          <w:sz w:val="20"/>
          <w:szCs w:val="20"/>
        </w:rPr>
        <w:t xml:space="preserve"> or inadequate clinical data, or if the transition probabilit</w:t>
      </w:r>
      <w:r w:rsidR="00681CDE" w:rsidRPr="4F533E7D">
        <w:rPr>
          <w:rFonts w:ascii="Times New Roman" w:hAnsi="Times New Roman" w:cs="Times New Roman"/>
          <w:sz w:val="20"/>
          <w:szCs w:val="20"/>
        </w:rPr>
        <w:t>ies</w:t>
      </w:r>
      <w:r w:rsidRPr="4F533E7D">
        <w:rPr>
          <w:rFonts w:ascii="Times New Roman" w:hAnsi="Times New Roman" w:cs="Times New Roman"/>
          <w:sz w:val="20"/>
          <w:szCs w:val="20"/>
        </w:rPr>
        <w:t xml:space="preserve"> </w:t>
      </w:r>
      <w:r w:rsidR="00681CDE" w:rsidRPr="4F533E7D">
        <w:rPr>
          <w:rFonts w:ascii="Times New Roman" w:hAnsi="Times New Roman" w:cs="Times New Roman"/>
          <w:sz w:val="20"/>
          <w:szCs w:val="20"/>
        </w:rPr>
        <w:t xml:space="preserve">were </w:t>
      </w:r>
      <w:r w:rsidRPr="4F533E7D">
        <w:rPr>
          <w:rFonts w:ascii="Times New Roman" w:hAnsi="Times New Roman" w:cs="Times New Roman"/>
          <w:sz w:val="20"/>
          <w:szCs w:val="20"/>
        </w:rPr>
        <w:t>based on subgroup analysis, the submission was considered to have parameter uncertainty.</w:t>
      </w:r>
      <w:r w:rsidR="22583494" w:rsidRPr="4F533E7D">
        <w:rPr>
          <w:rFonts w:ascii="Times New Roman" w:hAnsi="Times New Roman" w:cs="Times New Roman"/>
          <w:sz w:val="20"/>
          <w:szCs w:val="20"/>
        </w:rPr>
        <w:t xml:space="preserve"> </w:t>
      </w:r>
      <w:bookmarkEnd w:id="32"/>
      <w:r w:rsidRPr="4F533E7D">
        <w:rPr>
          <w:rFonts w:ascii="Times New Roman" w:eastAsiaTheme="minorEastAsia" w:hAnsi="Times New Roman" w:cs="Times New Roman"/>
          <w:snapToGrid/>
          <w:kern w:val="2"/>
          <w:sz w:val="20"/>
          <w:szCs w:val="20"/>
          <w:lang w:val="en-US" w:eastAsia="zh-CN"/>
        </w:rPr>
        <w:t xml:space="preserve">For instance, in the submission </w:t>
      </w:r>
      <w:r w:rsidR="3F0B2A2C" w:rsidRPr="4F533E7D">
        <w:rPr>
          <w:rFonts w:ascii="Times New Roman" w:eastAsiaTheme="minorEastAsia" w:hAnsi="Times New Roman" w:cs="Times New Roman"/>
          <w:snapToGrid/>
          <w:kern w:val="2"/>
          <w:sz w:val="20"/>
          <w:szCs w:val="20"/>
          <w:lang w:val="en-US" w:eastAsia="zh-CN"/>
        </w:rPr>
        <w:t xml:space="preserve">for </w:t>
      </w:r>
      <w:r w:rsidRPr="4F533E7D">
        <w:rPr>
          <w:rFonts w:ascii="Times New Roman" w:eastAsiaTheme="minorEastAsia" w:hAnsi="Times New Roman" w:cs="Times New Roman"/>
          <w:snapToGrid/>
          <w:kern w:val="2"/>
          <w:sz w:val="20"/>
          <w:szCs w:val="20"/>
          <w:lang w:val="en-US" w:eastAsia="zh-CN"/>
        </w:rPr>
        <w:t>botulinum toxin type A for the treatment of chronic migraine, the PBAC noted transition probabilities were not sufficiently robust as they were derived from post hoc subgroup analyses that were not sufficiently powered to assess the transition between pre-set health states</w:t>
      </w:r>
      <w:r w:rsidR="002B3CF5" w:rsidRPr="4F533E7D">
        <w:rPr>
          <w:rFonts w:ascii="Times New Roman" w:eastAsiaTheme="minorEastAsia" w:hAnsi="Times New Roman" w:cs="Times New Roman"/>
          <w:snapToGrid/>
          <w:kern w:val="2"/>
          <w:sz w:val="20"/>
          <w:szCs w:val="20"/>
          <w:lang w:val="en-US" w:eastAsia="zh-CN"/>
        </w:rPr>
        <w:t xml:space="preserve"> </w:t>
      </w:r>
      <w:r w:rsidR="00BC6AAA" w:rsidRPr="4F533E7D">
        <w:rPr>
          <w:rFonts w:ascii="Times New Roman" w:eastAsiaTheme="minorEastAsia" w:hAnsi="Times New Roman" w:cs="Times New Roman"/>
          <w:snapToGrid/>
          <w:kern w:val="2"/>
          <w:sz w:val="20"/>
          <w:szCs w:val="20"/>
          <w:lang w:val="en-US" w:eastAsia="zh-CN"/>
        </w:rPr>
        <w:fldChar w:fldCharType="begin"/>
      </w:r>
      <w:r w:rsidR="00AD61C8">
        <w:rPr>
          <w:rFonts w:ascii="Times New Roman" w:eastAsiaTheme="minorEastAsia" w:hAnsi="Times New Roman" w:cs="Times New Roman"/>
          <w:snapToGrid/>
          <w:kern w:val="2"/>
          <w:sz w:val="20"/>
          <w:szCs w:val="20"/>
          <w:lang w:val="en-US" w:eastAsia="zh-CN"/>
        </w:rPr>
        <w:instrText xml:space="preserve"> ADDIN EN.CITE &lt;EndNote&gt;&lt;Cite&gt;&lt;Author&gt;Pharmaceutical Benefits Advisory Committee&lt;/Author&gt;&lt;Year&gt;2018&lt;/Year&gt;&lt;RecNum&gt;19283&lt;/RecNum&gt;&lt;DisplayText&gt;[33]&lt;/DisplayText&gt;&lt;record&gt;&lt;rec-number&gt;19283&lt;/rec-number&gt;&lt;foreign-keys&gt;&lt;key app="EN" db-id="5zttwaa2gstv57epr5z5zxv325varaa5e9rp" timestamp="1681379861"&gt;19283&lt;/key&gt;&lt;/foreign-keys&gt;&lt;ref-type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Committee&lt;/author&gt;&lt;/secondary-authors&gt;&lt;/contributors&gt;&lt;titles&gt;&lt;title&gt;Botulinum toxin type A purified neurotoxin complex: Lyophilised powder for injection, 100 units; Botox®&lt;/title&gt;&lt;/titles&gt;&lt;dates&gt;&lt;year&gt;2018&lt;/year&gt;&lt;/dates&gt;&lt;urls&gt;&lt;related-urls&gt;&lt;url&gt;https://www.pbs.gov.au/info/industry/listing/elements/pbac-meetings/psd/2018-03/Botulinum-toxin-type-A-purified-neurotoxin-complex-psd-march-2018&lt;/url&gt;&lt;/related-urls&gt;&lt;/urls&gt;&lt;access-date&gt;30 Aug 2020&lt;/access-date&gt;&lt;/record&gt;&lt;/Cite&gt;&lt;/EndNote&gt;</w:instrText>
      </w:r>
      <w:r w:rsidR="00BC6AAA" w:rsidRPr="4F533E7D">
        <w:rPr>
          <w:rFonts w:ascii="Times New Roman" w:eastAsiaTheme="minorEastAsia" w:hAnsi="Times New Roman" w:cs="Times New Roman"/>
          <w:snapToGrid/>
          <w:kern w:val="2"/>
          <w:sz w:val="20"/>
          <w:szCs w:val="20"/>
          <w:lang w:val="en-US" w:eastAsia="zh-CN"/>
        </w:rPr>
        <w:fldChar w:fldCharType="separate"/>
      </w:r>
      <w:r w:rsidR="00AD61C8">
        <w:rPr>
          <w:rFonts w:ascii="Times New Roman" w:eastAsiaTheme="minorEastAsia" w:hAnsi="Times New Roman" w:cs="Times New Roman"/>
          <w:noProof/>
          <w:snapToGrid/>
          <w:kern w:val="2"/>
          <w:sz w:val="20"/>
          <w:szCs w:val="20"/>
          <w:lang w:val="en-US" w:eastAsia="zh-CN"/>
        </w:rPr>
        <w:t>[33]</w:t>
      </w:r>
      <w:r w:rsidR="00BC6AAA" w:rsidRPr="4F533E7D">
        <w:rPr>
          <w:rFonts w:ascii="Times New Roman" w:eastAsiaTheme="minorEastAsia" w:hAnsi="Times New Roman" w:cs="Times New Roman"/>
          <w:snapToGrid/>
          <w:kern w:val="2"/>
          <w:sz w:val="20"/>
          <w:szCs w:val="20"/>
          <w:lang w:val="en-US" w:eastAsia="zh-CN"/>
        </w:rPr>
        <w:fldChar w:fldCharType="end"/>
      </w:r>
      <w:r w:rsidRPr="4F533E7D">
        <w:rPr>
          <w:rFonts w:ascii="Times New Roman" w:eastAsiaTheme="minorEastAsia" w:hAnsi="Times New Roman" w:cs="Times New Roman"/>
          <w:snapToGrid/>
          <w:kern w:val="2"/>
          <w:sz w:val="20"/>
          <w:szCs w:val="20"/>
          <w:lang w:val="en-US" w:eastAsia="zh-CN"/>
        </w:rPr>
        <w:t>.</w:t>
      </w:r>
    </w:p>
    <w:p w14:paraId="3F9E4846" w14:textId="77777777" w:rsidR="008B2436" w:rsidRDefault="008B2436" w:rsidP="006C41A0">
      <w:pPr>
        <w:pStyle w:val="Bulletpoints"/>
        <w:widowControl/>
        <w:numPr>
          <w:ilvl w:val="0"/>
          <w:numId w:val="0"/>
        </w:numPr>
        <w:adjustRightInd w:val="0"/>
        <w:snapToGrid w:val="0"/>
        <w:spacing w:after="120" w:line="360" w:lineRule="auto"/>
        <w:rPr>
          <w:rFonts w:ascii="Times New Roman" w:eastAsiaTheme="minorEastAsia" w:hAnsi="Times New Roman" w:cs="Times New Roman"/>
          <w:snapToGrid/>
          <w:kern w:val="2"/>
          <w:sz w:val="20"/>
          <w:szCs w:val="20"/>
          <w:lang w:val="en-US" w:eastAsia="zh-CN"/>
        </w:rPr>
      </w:pPr>
    </w:p>
    <w:tbl>
      <w:tblPr>
        <w:tblStyle w:val="TableGrid"/>
        <w:tblW w:w="0" w:type="auto"/>
        <w:tblLook w:val="04A0" w:firstRow="1" w:lastRow="0" w:firstColumn="1" w:lastColumn="0" w:noHBand="0" w:noVBand="1"/>
      </w:tblPr>
      <w:tblGrid>
        <w:gridCol w:w="3114"/>
        <w:gridCol w:w="5182"/>
      </w:tblGrid>
      <w:tr w:rsidR="005703C0" w:rsidRPr="005668EA" w14:paraId="2E044E69" w14:textId="77777777" w:rsidTr="4F533E7D">
        <w:tc>
          <w:tcPr>
            <w:tcW w:w="3114" w:type="dxa"/>
          </w:tcPr>
          <w:p w14:paraId="1366882B" w14:textId="77777777" w:rsidR="005703C0" w:rsidRPr="00AD61C8" w:rsidRDefault="005703C0" w:rsidP="00C15362">
            <w:pPr>
              <w:pStyle w:val="EndNoteBibliography"/>
              <w:adjustRightInd w:val="0"/>
              <w:snapToGrid w:val="0"/>
              <w:spacing w:line="360" w:lineRule="auto"/>
              <w:rPr>
                <w:kern w:val="0"/>
                <w:szCs w:val="20"/>
              </w:rPr>
            </w:pPr>
            <w:r w:rsidRPr="00AD61C8">
              <w:rPr>
                <w:kern w:val="0"/>
                <w:szCs w:val="20"/>
              </w:rPr>
              <w:t>Question in the abstraction template</w:t>
            </w:r>
          </w:p>
        </w:tc>
        <w:tc>
          <w:tcPr>
            <w:tcW w:w="5182" w:type="dxa"/>
          </w:tcPr>
          <w:p w14:paraId="5F828A66" w14:textId="658D2525" w:rsidR="005703C0" w:rsidRPr="00AD61C8" w:rsidRDefault="005703C0" w:rsidP="00C15362">
            <w:pPr>
              <w:widowControl/>
              <w:adjustRightInd w:val="0"/>
              <w:snapToGrid w:val="0"/>
              <w:spacing w:line="360" w:lineRule="auto"/>
            </w:pPr>
            <w:r w:rsidRPr="00AD61C8">
              <w:rPr>
                <w:sz w:val="20"/>
                <w:szCs w:val="20"/>
              </w:rPr>
              <w:t xml:space="preserve">Was there uncertainty around multiple sources of transition </w:t>
            </w:r>
            <w:r w:rsidR="00E624C8" w:rsidRPr="00AD61C8">
              <w:rPr>
                <w:sz w:val="20"/>
                <w:szCs w:val="20"/>
              </w:rPr>
              <w:t xml:space="preserve">possibilities </w:t>
            </w:r>
            <w:r w:rsidRPr="00AD61C8">
              <w:rPr>
                <w:sz w:val="20"/>
                <w:szCs w:val="20"/>
              </w:rPr>
              <w:t>or treatment effect</w:t>
            </w:r>
            <w:r w:rsidR="00F22C83">
              <w:rPr>
                <w:rFonts w:hint="eastAsia"/>
                <w:sz w:val="20"/>
                <w:szCs w:val="20"/>
              </w:rPr>
              <w:t>s</w:t>
            </w:r>
            <w:r w:rsidRPr="00AD61C8">
              <w:rPr>
                <w:sz w:val="20"/>
                <w:szCs w:val="20"/>
              </w:rPr>
              <w:t>?</w:t>
            </w:r>
          </w:p>
        </w:tc>
      </w:tr>
      <w:tr w:rsidR="005703C0" w:rsidRPr="005668EA" w14:paraId="39B045D3" w14:textId="77777777" w:rsidTr="4F533E7D">
        <w:tc>
          <w:tcPr>
            <w:tcW w:w="3114" w:type="dxa"/>
          </w:tcPr>
          <w:p w14:paraId="7640E670" w14:textId="77777777" w:rsidR="005703C0" w:rsidRPr="00AD61C8" w:rsidRDefault="005703C0" w:rsidP="00C15362">
            <w:pPr>
              <w:pStyle w:val="EndNoteBibliography"/>
              <w:adjustRightInd w:val="0"/>
              <w:snapToGrid w:val="0"/>
              <w:spacing w:line="360" w:lineRule="auto"/>
              <w:rPr>
                <w:kern w:val="0"/>
                <w:szCs w:val="20"/>
              </w:rPr>
            </w:pPr>
            <w:r w:rsidRPr="00AD61C8">
              <w:rPr>
                <w:kern w:val="0"/>
                <w:szCs w:val="20"/>
              </w:rPr>
              <w:t xml:space="preserve">Code </w:t>
            </w:r>
          </w:p>
        </w:tc>
        <w:tc>
          <w:tcPr>
            <w:tcW w:w="5182" w:type="dxa"/>
          </w:tcPr>
          <w:p w14:paraId="32D53DCA" w14:textId="1EAE4BFA" w:rsidR="005703C0" w:rsidRPr="00AD61C8" w:rsidRDefault="00112827" w:rsidP="00C15362">
            <w:pPr>
              <w:pStyle w:val="EndNoteBibliography"/>
              <w:adjustRightInd w:val="0"/>
              <w:snapToGrid w:val="0"/>
              <w:spacing w:line="360" w:lineRule="auto"/>
            </w:pPr>
            <w:r w:rsidRPr="00AD61C8">
              <w:rPr>
                <w:rFonts w:eastAsiaTheme="minorEastAsia"/>
                <w:szCs w:val="20"/>
              </w:rPr>
              <w:t>0 – yes, 1 – no</w:t>
            </w:r>
            <w:r w:rsidR="005703C0" w:rsidRPr="00AD61C8">
              <w:rPr>
                <w:rFonts w:eastAsiaTheme="minorEastAsia"/>
                <w:kern w:val="0"/>
                <w:szCs w:val="20"/>
              </w:rPr>
              <w:t xml:space="preserve"> </w:t>
            </w:r>
          </w:p>
        </w:tc>
      </w:tr>
    </w:tbl>
    <w:p w14:paraId="3A738885" w14:textId="566D6943" w:rsidR="005703C0" w:rsidRPr="005668EA" w:rsidRDefault="00E301EC" w:rsidP="00C33017">
      <w:pPr>
        <w:pStyle w:val="Heading4"/>
        <w:adjustRightInd w:val="0"/>
        <w:snapToGrid w:val="0"/>
        <w:spacing w:before="48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lastRenderedPageBreak/>
        <w:t>4</w:t>
      </w:r>
      <w:r w:rsidR="005703C0" w:rsidRPr="005668EA">
        <w:rPr>
          <w:rFonts w:ascii="Times New Roman" w:eastAsiaTheme="minorEastAsia" w:hAnsi="Times New Roman" w:cs="Times New Roman"/>
          <w:sz w:val="20"/>
          <w:szCs w:val="20"/>
        </w:rPr>
        <w:t>.1.2 Uncertain quality of evidence</w:t>
      </w:r>
    </w:p>
    <w:p w14:paraId="7D491A20" w14:textId="21347ECB" w:rsidR="005703C0" w:rsidRPr="005668EA" w:rsidRDefault="005703C0" w:rsidP="006C41A0">
      <w:pPr>
        <w:widowControl/>
        <w:adjustRightInd w:val="0"/>
        <w:snapToGrid w:val="0"/>
        <w:spacing w:after="120" w:line="360" w:lineRule="auto"/>
        <w:rPr>
          <w:rFonts w:ascii="Times New Roman" w:hAnsi="Times New Roman" w:cs="Times New Roman"/>
          <w:sz w:val="20"/>
          <w:szCs w:val="20"/>
        </w:rPr>
      </w:pPr>
      <w:r w:rsidRPr="4F533E7D">
        <w:rPr>
          <w:rFonts w:ascii="Times New Roman" w:hAnsi="Times New Roman" w:cs="Times New Roman"/>
          <w:sz w:val="20"/>
          <w:szCs w:val="20"/>
        </w:rPr>
        <w:t>If the PBAC considered the quality of the pivotal clinical trial in the submission to have uncertainties in the following aspects, it was considered to have parameter uncertainty around the treatment effect.</w:t>
      </w:r>
    </w:p>
    <w:p w14:paraId="787C2639" w14:textId="17D70245" w:rsidR="005703C0" w:rsidRPr="00B51ED4" w:rsidRDefault="000A5196" w:rsidP="00C15362">
      <w:pPr>
        <w:adjustRightInd w:val="0"/>
        <w:snapToGrid w:val="0"/>
        <w:spacing w:line="360" w:lineRule="auto"/>
        <w:rPr>
          <w:rFonts w:ascii="Times New Roman" w:hAnsi="Times New Roman" w:cs="Times New Roman"/>
          <w:b/>
          <w:bCs/>
          <w:sz w:val="20"/>
          <w:szCs w:val="20"/>
        </w:rPr>
      </w:pPr>
      <w:r w:rsidRPr="00B51ED4">
        <w:rPr>
          <w:rFonts w:ascii="Times New Roman" w:hAnsi="Times New Roman" w:cs="Times New Roman"/>
          <w:b/>
          <w:bCs/>
          <w:sz w:val="20"/>
          <w:szCs w:val="20"/>
        </w:rPr>
        <w:t xml:space="preserve">4.1.2.1 </w:t>
      </w:r>
      <w:r w:rsidR="005703C0" w:rsidRPr="00B51ED4">
        <w:rPr>
          <w:rFonts w:ascii="Times New Roman" w:hAnsi="Times New Roman" w:cs="Times New Roman"/>
          <w:b/>
          <w:bCs/>
          <w:sz w:val="20"/>
          <w:szCs w:val="20"/>
        </w:rPr>
        <w:t>Unjustified adjustment of treatment effect</w:t>
      </w:r>
      <w:r w:rsidR="004C2CB0">
        <w:rPr>
          <w:rFonts w:ascii="Times New Roman" w:hAnsi="Times New Roman" w:cs="Times New Roman" w:hint="eastAsia"/>
          <w:b/>
          <w:bCs/>
          <w:sz w:val="20"/>
          <w:szCs w:val="20"/>
        </w:rPr>
        <w:t>s</w:t>
      </w:r>
      <w:r w:rsidR="005703C0" w:rsidRPr="00B51ED4">
        <w:rPr>
          <w:rFonts w:ascii="Times New Roman" w:hAnsi="Times New Roman" w:cs="Times New Roman"/>
          <w:b/>
          <w:bCs/>
          <w:sz w:val="20"/>
          <w:szCs w:val="20"/>
        </w:rPr>
        <w:t xml:space="preserve"> </w:t>
      </w:r>
    </w:p>
    <w:p w14:paraId="17C040BE" w14:textId="72D6DD19" w:rsidR="005703C0" w:rsidRDefault="005703C0" w:rsidP="006C41A0">
      <w:pPr>
        <w:widowControl/>
        <w:adjustRightInd w:val="0"/>
        <w:snapToGrid w:val="0"/>
        <w:spacing w:before="120" w:line="360" w:lineRule="auto"/>
        <w:rPr>
          <w:rFonts w:ascii="Times New Roman" w:hAnsi="Times New Roman" w:cs="Times New Roman"/>
          <w:sz w:val="20"/>
          <w:szCs w:val="20"/>
        </w:rPr>
      </w:pPr>
      <w:bookmarkStart w:id="33" w:name="_Hlk159240392"/>
      <w:r w:rsidRPr="4F533E7D">
        <w:rPr>
          <w:rFonts w:ascii="Times New Roman" w:hAnsi="Times New Roman" w:cs="Times New Roman"/>
          <w:sz w:val="20"/>
          <w:szCs w:val="20"/>
        </w:rPr>
        <w:t>In a random</w:t>
      </w:r>
      <w:r w:rsidR="64C290D0" w:rsidRPr="4F533E7D">
        <w:rPr>
          <w:rFonts w:ascii="Times New Roman" w:hAnsi="Times New Roman" w:cs="Times New Roman"/>
          <w:sz w:val="20"/>
          <w:szCs w:val="20"/>
        </w:rPr>
        <w:t>ised</w:t>
      </w:r>
      <w:r w:rsidRPr="4F533E7D">
        <w:rPr>
          <w:rFonts w:ascii="Times New Roman" w:hAnsi="Times New Roman" w:cs="Times New Roman"/>
          <w:sz w:val="20"/>
          <w:szCs w:val="20"/>
        </w:rPr>
        <w:t xml:space="preserve"> controlled clinical trial, it is common for patients in the control group to switch to the treatment group, which makes the separation of randomised groups lost. As a result, treatment effects based on intention-to-treat analyses </w:t>
      </w:r>
      <w:r w:rsidR="00184626" w:rsidRPr="4F533E7D">
        <w:rPr>
          <w:rFonts w:ascii="Times New Roman" w:hAnsi="Times New Roman" w:cs="Times New Roman"/>
          <w:sz w:val="20"/>
          <w:szCs w:val="20"/>
        </w:rPr>
        <w:t>become</w:t>
      </w:r>
      <w:r w:rsidRPr="4F533E7D">
        <w:rPr>
          <w:rFonts w:ascii="Times New Roman" w:hAnsi="Times New Roman" w:cs="Times New Roman"/>
          <w:sz w:val="20"/>
          <w:szCs w:val="20"/>
        </w:rPr>
        <w:t xml:space="preserve"> confounded and require adjustment methods to estimate the true treatment effect. Three methods </w:t>
      </w:r>
      <w:r w:rsidR="00EE1B0C" w:rsidRPr="4F533E7D">
        <w:rPr>
          <w:rFonts w:ascii="Times New Roman" w:hAnsi="Times New Roman" w:cs="Times New Roman"/>
          <w:sz w:val="20"/>
          <w:szCs w:val="20"/>
        </w:rPr>
        <w:t>(</w:t>
      </w:r>
      <w:r w:rsidR="00A00BC6" w:rsidRPr="4F533E7D">
        <w:rPr>
          <w:rFonts w:ascii="Times New Roman" w:hAnsi="Times New Roman" w:cs="Times New Roman"/>
          <w:sz w:val="20"/>
          <w:szCs w:val="20"/>
        </w:rPr>
        <w:t xml:space="preserve">i.e., rank </w:t>
      </w:r>
      <w:r w:rsidRPr="4F533E7D">
        <w:rPr>
          <w:rFonts w:ascii="Times New Roman" w:hAnsi="Times New Roman" w:cs="Times New Roman"/>
          <w:sz w:val="20"/>
          <w:szCs w:val="20"/>
        </w:rPr>
        <w:t xml:space="preserve">preserving structural failure time model (RPSFTM), </w:t>
      </w:r>
      <w:r w:rsidR="00A00BC6" w:rsidRPr="4F533E7D">
        <w:rPr>
          <w:rFonts w:ascii="Times New Roman" w:hAnsi="Times New Roman" w:cs="Times New Roman"/>
          <w:sz w:val="20"/>
          <w:szCs w:val="20"/>
        </w:rPr>
        <w:t xml:space="preserve">inverse </w:t>
      </w:r>
      <w:r w:rsidRPr="4F533E7D">
        <w:rPr>
          <w:rFonts w:ascii="Times New Roman" w:hAnsi="Times New Roman" w:cs="Times New Roman"/>
          <w:sz w:val="20"/>
          <w:szCs w:val="20"/>
        </w:rPr>
        <w:t xml:space="preserve">probability of censoring weights (IPCW), and </w:t>
      </w:r>
      <w:r w:rsidR="00AB2396" w:rsidRPr="4F533E7D">
        <w:rPr>
          <w:rFonts w:ascii="Times New Roman" w:hAnsi="Times New Roman" w:cs="Times New Roman"/>
          <w:sz w:val="20"/>
          <w:szCs w:val="20"/>
        </w:rPr>
        <w:t xml:space="preserve">a </w:t>
      </w:r>
      <w:r w:rsidRPr="4F533E7D">
        <w:rPr>
          <w:rFonts w:ascii="Times New Roman" w:hAnsi="Times New Roman" w:cs="Times New Roman"/>
          <w:sz w:val="20"/>
          <w:szCs w:val="20"/>
        </w:rPr>
        <w:t>two-stage method</w:t>
      </w:r>
      <w:r w:rsidR="007E6503" w:rsidRPr="4F533E7D">
        <w:rPr>
          <w:rFonts w:ascii="Times New Roman" w:hAnsi="Times New Roman" w:cs="Times New Roman"/>
          <w:sz w:val="20"/>
          <w:szCs w:val="20"/>
        </w:rPr>
        <w:t>)</w:t>
      </w:r>
      <w:r w:rsidRPr="4F533E7D">
        <w:rPr>
          <w:rFonts w:ascii="Times New Roman" w:hAnsi="Times New Roman" w:cs="Times New Roman"/>
          <w:sz w:val="20"/>
          <w:szCs w:val="20"/>
        </w:rPr>
        <w:t xml:space="preserve"> </w:t>
      </w:r>
      <w:r w:rsidR="00A00BC6" w:rsidRPr="4F533E7D">
        <w:rPr>
          <w:rFonts w:ascii="Times New Roman" w:hAnsi="Times New Roman" w:cs="Times New Roman"/>
          <w:sz w:val="20"/>
          <w:szCs w:val="20"/>
        </w:rPr>
        <w:t xml:space="preserve">can be used </w:t>
      </w:r>
      <w:r w:rsidRPr="4F533E7D">
        <w:rPr>
          <w:rFonts w:ascii="Times New Roman" w:hAnsi="Times New Roman" w:cs="Times New Roman"/>
          <w:sz w:val="20"/>
          <w:szCs w:val="20"/>
        </w:rPr>
        <w:t>that first estimate the treatment effect specific to the patients who switch their treatment, and then derive a counterfactual dataset using this treatment effect to estimate the real treatment effect. The PBAC may judge there were uncertainties if the sponsor poorly justified the methods they used.</w:t>
      </w:r>
      <w:r w:rsidR="00C076CE" w:rsidRPr="4F533E7D">
        <w:rPr>
          <w:rFonts w:ascii="Times New Roman" w:hAnsi="Times New Roman" w:cs="Times New Roman"/>
          <w:sz w:val="20"/>
          <w:szCs w:val="20"/>
        </w:rPr>
        <w:t xml:space="preserve"> </w:t>
      </w:r>
      <w:bookmarkStart w:id="34" w:name="_Hlk159241315"/>
      <w:bookmarkEnd w:id="33"/>
      <w:r w:rsidRPr="4F533E7D">
        <w:rPr>
          <w:rFonts w:ascii="Times New Roman" w:hAnsi="Times New Roman" w:cs="Times New Roman"/>
          <w:sz w:val="20"/>
          <w:szCs w:val="20"/>
        </w:rPr>
        <w:t xml:space="preserve">For instance, in the submission </w:t>
      </w:r>
      <w:r w:rsidR="233386E3" w:rsidRPr="4F533E7D">
        <w:rPr>
          <w:rFonts w:ascii="Times New Roman" w:hAnsi="Times New Roman" w:cs="Times New Roman"/>
          <w:sz w:val="20"/>
          <w:szCs w:val="20"/>
        </w:rPr>
        <w:t xml:space="preserve">for </w:t>
      </w:r>
      <w:r w:rsidRPr="4F533E7D">
        <w:rPr>
          <w:rFonts w:ascii="Times New Roman" w:hAnsi="Times New Roman" w:cs="Times New Roman"/>
          <w:sz w:val="20"/>
          <w:szCs w:val="20"/>
        </w:rPr>
        <w:t>pembrolizumab for</w:t>
      </w:r>
      <w:r w:rsidR="00F2102F" w:rsidRPr="4F533E7D">
        <w:rPr>
          <w:rFonts w:ascii="Times New Roman" w:hAnsi="Times New Roman" w:cs="Times New Roman"/>
          <w:sz w:val="20"/>
          <w:szCs w:val="20"/>
        </w:rPr>
        <w:t xml:space="preserve"> the</w:t>
      </w:r>
      <w:r w:rsidRPr="4F533E7D">
        <w:rPr>
          <w:rFonts w:ascii="Times New Roman" w:hAnsi="Times New Roman" w:cs="Times New Roman"/>
          <w:sz w:val="20"/>
          <w:szCs w:val="20"/>
        </w:rPr>
        <w:t xml:space="preserve"> treatment of mismatch repair deficient metastatic colorectal cancer</w:t>
      </w:r>
      <w:r w:rsidR="00542732">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Committee&lt;/Author&gt;&lt;Year&gt;2021&lt;/Year&gt;&lt;RecNum&gt;18742&lt;/RecNum&gt;&lt;DisplayText&gt;[34]&lt;/DisplayText&gt;&lt;record&gt;&lt;rec-number&gt;18742&lt;/rec-number&gt;&lt;foreign-keys&gt;&lt;key app="EN" db-id="5zttwaa2gstv57epr5z5zxv325varaa5e9rp" timestamp="1656168352"&gt;18742&lt;/key&gt;&lt;/foreign-keys&gt;&lt;ref-type name="Government Document"&gt;46&lt;/ref-type&gt;&lt;contributors&gt;&lt;authors&gt;&lt;author&gt;Pharmaceutical Benefits Advisory Committee,&lt;/author&gt;&lt;/authors&gt;&lt;/contributors&gt;&lt;titles&gt;&lt;title&gt;Pembrolizumab: Solution concentrate for I.V. infusion 100 mg in 4 mL; Keytruda®&lt;/title&gt;&lt;/titles&gt;&lt;dates&gt;&lt;year&gt;2021&lt;/year&gt;&lt;/dates&gt;&lt;label&gt;88&lt;/label&gt;&lt;urls&gt;&lt;related-urls&gt;&lt;url&gt;https://www.pbs.gov.au/info/industry/listing/elements/pbac-meetings/psd/2021-03/pembrolizumab-solution-concentrate-for-iv-infusion-100-mg&lt;/url&gt;&lt;/related-urls&gt;&lt;/urls&gt;&lt;access-date&gt;30 Mar 2022&lt;/access-date&gt;&lt;/record&gt;&lt;/Cite&gt;&lt;/EndNote&gt;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[34]</w:t>
      </w:r>
      <w:r w:rsidRPr="4F533E7D">
        <w:rPr>
          <w:rFonts w:ascii="Times New Roman" w:hAnsi="Times New Roman" w:cs="Times New Roman"/>
          <w:sz w:val="20"/>
          <w:szCs w:val="20"/>
        </w:rPr>
        <w:fldChar w:fldCharType="end"/>
      </w:r>
      <w:r w:rsidR="00C076CE" w:rsidRPr="4F533E7D">
        <w:rPr>
          <w:rFonts w:ascii="Times New Roman" w:hAnsi="Times New Roman" w:cs="Times New Roman"/>
          <w:sz w:val="20"/>
          <w:szCs w:val="20"/>
        </w:rPr>
        <w:t>,</w:t>
      </w:r>
      <w:r w:rsidR="00F22C83">
        <w:rPr>
          <w:rFonts w:ascii="Times New Roman" w:hAnsi="Times New Roman" w:cs="Times New Roman"/>
          <w:sz w:val="20"/>
          <w:szCs w:val="20"/>
        </w:rPr>
        <w:t xml:space="preserve"> </w:t>
      </w:r>
      <w:r w:rsidR="00C076CE" w:rsidRPr="4F533E7D">
        <w:rPr>
          <w:rFonts w:ascii="Times New Roman" w:hAnsi="Times New Roman" w:cs="Times New Roman"/>
          <w:sz w:val="20"/>
          <w:szCs w:val="20"/>
        </w:rPr>
        <w:t>t</w:t>
      </w:r>
      <w:r w:rsidRPr="4F533E7D">
        <w:rPr>
          <w:rFonts w:ascii="Times New Roman" w:hAnsi="Times New Roman" w:cs="Times New Roman"/>
          <w:sz w:val="20"/>
          <w:szCs w:val="20"/>
        </w:rPr>
        <w:t xml:space="preserve">he PBAC stated </w:t>
      </w:r>
      <w:r w:rsidR="000A50A5" w:rsidRPr="4F533E7D">
        <w:rPr>
          <w:rFonts w:ascii="Times New Roman" w:hAnsi="Times New Roman" w:cs="Times New Roman"/>
          <w:sz w:val="20"/>
          <w:szCs w:val="20"/>
        </w:rPr>
        <w:t xml:space="preserve">that </w:t>
      </w:r>
      <w:r w:rsidRPr="4F533E7D">
        <w:rPr>
          <w:rFonts w:ascii="Times New Roman" w:hAnsi="Times New Roman" w:cs="Times New Roman"/>
          <w:sz w:val="20"/>
          <w:szCs w:val="20"/>
        </w:rPr>
        <w:t xml:space="preserve">alternative treatment switching adjustment methods (RPSFT, IPCW and the two-stage approach) should be assessed </w:t>
      </w:r>
      <w:r w:rsidR="000A50A5" w:rsidRPr="4F533E7D">
        <w:rPr>
          <w:rFonts w:ascii="Times New Roman" w:hAnsi="Times New Roman" w:cs="Times New Roman"/>
          <w:sz w:val="20"/>
          <w:szCs w:val="20"/>
        </w:rPr>
        <w:t xml:space="preserve">due to the cross-over of the patients in the trial. This assessment should </w:t>
      </w:r>
      <w:r w:rsidRPr="4F533E7D">
        <w:rPr>
          <w:rFonts w:ascii="Times New Roman" w:hAnsi="Times New Roman" w:cs="Times New Roman"/>
          <w:sz w:val="20"/>
          <w:szCs w:val="20"/>
        </w:rPr>
        <w:t xml:space="preserve">concern the validity of the assumptions associated with </w:t>
      </w:r>
      <w:r w:rsidR="000A50A5" w:rsidRPr="4F533E7D">
        <w:rPr>
          <w:rFonts w:ascii="Times New Roman" w:hAnsi="Times New Roman" w:cs="Times New Roman"/>
          <w:sz w:val="20"/>
          <w:szCs w:val="20"/>
        </w:rPr>
        <w:t>the methods</w:t>
      </w:r>
      <w:r w:rsidRPr="4F533E7D">
        <w:rPr>
          <w:rFonts w:ascii="Times New Roman" w:hAnsi="Times New Roman" w:cs="Times New Roman"/>
          <w:sz w:val="20"/>
          <w:szCs w:val="20"/>
        </w:rPr>
        <w:t xml:space="preserve"> and the statistical analysis involved in </w:t>
      </w:r>
      <w:r w:rsidR="001C5872" w:rsidRPr="4F533E7D">
        <w:rPr>
          <w:rFonts w:ascii="Times New Roman" w:hAnsi="Times New Roman" w:cs="Times New Roman"/>
          <w:sz w:val="20"/>
          <w:szCs w:val="20"/>
        </w:rPr>
        <w:t>applying each</w:t>
      </w:r>
      <w:r w:rsidRPr="4F533E7D">
        <w:rPr>
          <w:rFonts w:ascii="Times New Roman" w:hAnsi="Times New Roman" w:cs="Times New Roman"/>
          <w:sz w:val="20"/>
          <w:szCs w:val="20"/>
        </w:rPr>
        <w:t xml:space="preserve"> method. </w:t>
      </w:r>
    </w:p>
    <w:p w14:paraId="6AF80255" w14:textId="77777777" w:rsidR="00542732" w:rsidRDefault="00542732" w:rsidP="006C41A0">
      <w:pPr>
        <w:widowControl/>
        <w:adjustRightInd w:val="0"/>
        <w:snapToGrid w:val="0"/>
        <w:spacing w:before="120"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689"/>
        <w:gridCol w:w="5607"/>
      </w:tblGrid>
      <w:tr w:rsidR="005703C0" w:rsidRPr="005668EA" w14:paraId="056DB8AB" w14:textId="77777777" w:rsidTr="4F533E7D">
        <w:tc>
          <w:tcPr>
            <w:tcW w:w="2689" w:type="dxa"/>
          </w:tcPr>
          <w:bookmarkEnd w:id="34"/>
          <w:p w14:paraId="45807D6F"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6D58DEF1"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Was there uncertainty around the adjustment for treatment?</w:t>
            </w:r>
          </w:p>
        </w:tc>
      </w:tr>
      <w:tr w:rsidR="005703C0" w:rsidRPr="005668EA" w14:paraId="1C7BE241" w14:textId="77777777" w:rsidTr="4F533E7D">
        <w:tc>
          <w:tcPr>
            <w:tcW w:w="2689" w:type="dxa"/>
          </w:tcPr>
          <w:p w14:paraId="5D522800"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33D56476" w14:textId="6B7E726F"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3E1C1B36" w14:textId="6C50F922" w:rsidR="4F533E7D" w:rsidRDefault="4F533E7D" w:rsidP="00C15362">
      <w:pPr>
        <w:adjustRightInd w:val="0"/>
        <w:snapToGrid w:val="0"/>
        <w:spacing w:before="120" w:line="360" w:lineRule="auto"/>
        <w:rPr>
          <w:rFonts w:ascii="Times New Roman" w:hAnsi="Times New Roman" w:cs="Times New Roman"/>
          <w:sz w:val="20"/>
          <w:szCs w:val="20"/>
        </w:rPr>
      </w:pPr>
    </w:p>
    <w:p w14:paraId="57A393DB" w14:textId="15438020" w:rsidR="005703C0" w:rsidRPr="00B51ED4" w:rsidRDefault="000A5196" w:rsidP="00C15362">
      <w:pPr>
        <w:adjustRightInd w:val="0"/>
        <w:snapToGrid w:val="0"/>
        <w:spacing w:before="120" w:line="360" w:lineRule="auto"/>
        <w:rPr>
          <w:rFonts w:ascii="Times New Roman" w:eastAsia="SimSun" w:hAnsi="Times New Roman" w:cs="Times New Roman"/>
          <w:b/>
          <w:bCs/>
          <w:sz w:val="20"/>
          <w:szCs w:val="20"/>
          <w:lang w:val="en-US"/>
        </w:rPr>
      </w:pPr>
      <w:r w:rsidRPr="00B51ED4">
        <w:rPr>
          <w:rFonts w:ascii="Times New Roman" w:hAnsi="Times New Roman" w:cs="Times New Roman"/>
          <w:b/>
          <w:bCs/>
          <w:sz w:val="20"/>
          <w:szCs w:val="20"/>
        </w:rPr>
        <w:t>4.1.2.2</w:t>
      </w:r>
      <w:r w:rsidR="005703C0" w:rsidRPr="00B51ED4">
        <w:rPr>
          <w:rFonts w:ascii="Times New Roman" w:hAnsi="Times New Roman" w:cs="Times New Roman"/>
          <w:b/>
          <w:bCs/>
          <w:sz w:val="20"/>
          <w:szCs w:val="20"/>
        </w:rPr>
        <w:t xml:space="preserve"> </w:t>
      </w:r>
      <w:r w:rsidR="005703C0" w:rsidRPr="00B51ED4">
        <w:rPr>
          <w:rFonts w:ascii="Times New Roman" w:eastAsia="SimSun" w:hAnsi="Times New Roman" w:cs="Times New Roman"/>
          <w:b/>
          <w:bCs/>
          <w:sz w:val="20"/>
          <w:szCs w:val="20"/>
          <w:lang w:val="en-US"/>
        </w:rPr>
        <w:t xml:space="preserve">The sample size of </w:t>
      </w:r>
      <w:r w:rsidR="00AB2396" w:rsidRPr="00B51ED4">
        <w:rPr>
          <w:rFonts w:ascii="Times New Roman" w:eastAsia="SimSun" w:hAnsi="Times New Roman" w:cs="Times New Roman"/>
          <w:b/>
          <w:bCs/>
          <w:sz w:val="20"/>
          <w:szCs w:val="20"/>
          <w:lang w:val="en-US"/>
        </w:rPr>
        <w:t xml:space="preserve">the </w:t>
      </w:r>
      <w:r w:rsidR="005703C0" w:rsidRPr="00B51ED4">
        <w:rPr>
          <w:rFonts w:ascii="Times New Roman" w:eastAsia="SimSun" w:hAnsi="Times New Roman" w:cs="Times New Roman"/>
          <w:b/>
          <w:bCs/>
          <w:sz w:val="20"/>
          <w:szCs w:val="20"/>
          <w:lang w:val="en-US"/>
        </w:rPr>
        <w:t xml:space="preserve">clinical trial included was judged as small </w:t>
      </w:r>
    </w:p>
    <w:p w14:paraId="396C13E6" w14:textId="199D7EB4" w:rsidR="005703C0" w:rsidRDefault="005703C0" w:rsidP="006C41A0">
      <w:pPr>
        <w:adjustRightInd w:val="0"/>
        <w:snapToGrid w:val="0"/>
        <w:spacing w:before="120" w:line="360" w:lineRule="auto"/>
        <w:rPr>
          <w:rFonts w:ascii="Times New Roman" w:hAnsi="Times New Roman" w:cs="Times New Roman"/>
          <w:sz w:val="20"/>
          <w:szCs w:val="20"/>
        </w:rPr>
      </w:pPr>
      <w:bookmarkStart w:id="35" w:name="_Hlk159241761"/>
      <w:r w:rsidRPr="4F533E7D">
        <w:rPr>
          <w:rFonts w:ascii="Times New Roman" w:hAnsi="Times New Roman" w:cs="Times New Roman"/>
          <w:sz w:val="20"/>
          <w:szCs w:val="20"/>
        </w:rPr>
        <w:t xml:space="preserve">For instance, in the submission </w:t>
      </w:r>
      <w:r w:rsidR="00F22C83">
        <w:rPr>
          <w:rFonts w:ascii="Times New Roman" w:hAnsi="Times New Roman" w:cs="Times New Roman"/>
          <w:sz w:val="20"/>
          <w:szCs w:val="20"/>
        </w:rPr>
        <w:t>of</w:t>
      </w:r>
      <w:r w:rsidR="2DDC6368"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anakinra for the treatment of cryopyrin-associated periodic syndromes, the clinical effectiveness was based on response rates observed in three of the anakinra studies. The PBAC </w:t>
      </w:r>
      <w:r w:rsidR="0012595C" w:rsidRPr="4F533E7D">
        <w:rPr>
          <w:rFonts w:ascii="Times New Roman" w:hAnsi="Times New Roman" w:cs="Times New Roman"/>
          <w:sz w:val="20"/>
          <w:szCs w:val="20"/>
        </w:rPr>
        <w:t>considered</w:t>
      </w:r>
      <w:r w:rsidRPr="4F533E7D">
        <w:rPr>
          <w:rFonts w:ascii="Times New Roman" w:hAnsi="Times New Roman" w:cs="Times New Roman"/>
          <w:sz w:val="20"/>
          <w:szCs w:val="20"/>
        </w:rPr>
        <w:t xml:space="preserve"> the response rates uncertain due to the small sample sizes and open-label nature of the studies</w:t>
      </w:r>
      <w:r w:rsidR="0012595C"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687A2B">
        <w:rPr>
          <w:rFonts w:ascii="Times New Roman" w:hAnsi="Times New Roman" w:cs="Times New Roman"/>
          <w:sz w:val="20"/>
          <w:szCs w:val="20"/>
        </w:rPr>
        <w:instrText xml:space="preserve"> ADDIN EN.CITE &lt;EndNote&gt;&lt;Cite&gt;&lt;Author&gt;Pharmaceutical Benefits Advisory Committee&lt;/Author&gt;&lt;Year&gt;2014&lt;/Year&gt;&lt;RecNum&gt;19276&lt;/RecNum&gt;&lt;DisplayText&gt;[26]&lt;/DisplayText&gt;&lt;record&gt;&lt;rec-number&gt;19276&lt;/rec-number&gt;&lt;foreign-keys&gt;&lt;key app="EN" db-id="5zttwaa2gstv57epr5z5zxv325varaa5e9rp" timestamp="1681374119"&gt;19276&lt;/key&gt;&lt;/foreign-keys&gt;&lt;ref-type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Committee&lt;/author&gt;&lt;/secondary-authors&gt;&lt;/contributors&gt;&lt;titles&gt;&lt;title&gt;Anakinra; 100 mg/0.67 mL, 28 X 0.67 mL syringes; Kineret®&lt;/title&gt;&lt;/titles&gt;&lt;dates&gt;&lt;year&gt;2014&lt;/year&gt;&lt;/dates&gt;&lt;urls&gt;&lt;related-urls&gt;&lt;url&gt;https://www.pbs.gov.au/info/industry/listing/elements/pbac-meetings/psd/2014-11/anakinra-psd-11-2014&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687A2B">
        <w:rPr>
          <w:rFonts w:ascii="Times New Roman" w:hAnsi="Times New Roman" w:cs="Times New Roman"/>
          <w:noProof/>
          <w:sz w:val="20"/>
          <w:szCs w:val="20"/>
        </w:rPr>
        <w:t>[26]</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w:t>
      </w:r>
    </w:p>
    <w:bookmarkEnd w:id="35"/>
    <w:p w14:paraId="02442225" w14:textId="23E4B662" w:rsidR="005703C0" w:rsidRPr="00B51ED4" w:rsidRDefault="000A5196" w:rsidP="00C33017">
      <w:pPr>
        <w:pStyle w:val="1"/>
        <w:adjustRightInd w:val="0"/>
        <w:snapToGrid w:val="0"/>
        <w:spacing w:before="480" w:after="120" w:line="360" w:lineRule="auto"/>
        <w:rPr>
          <w:b/>
          <w:bCs/>
          <w:sz w:val="20"/>
          <w:szCs w:val="20"/>
        </w:rPr>
      </w:pPr>
      <w:r w:rsidRPr="00B51ED4">
        <w:rPr>
          <w:b/>
          <w:bCs/>
          <w:sz w:val="20"/>
          <w:szCs w:val="20"/>
        </w:rPr>
        <w:t xml:space="preserve">4.1.2.3 </w:t>
      </w:r>
      <w:r w:rsidR="005703C0" w:rsidRPr="00B51ED4">
        <w:rPr>
          <w:b/>
          <w:bCs/>
          <w:sz w:val="20"/>
          <w:szCs w:val="20"/>
        </w:rPr>
        <w:t xml:space="preserve">Indirect comparison </w:t>
      </w:r>
    </w:p>
    <w:p w14:paraId="17B18BA7" w14:textId="18D4D533" w:rsidR="005703C0" w:rsidRPr="00C076CE" w:rsidRDefault="4BFAC754" w:rsidP="00C15362">
      <w:pPr>
        <w:adjustRightInd w:val="0"/>
        <w:snapToGrid w:val="0"/>
        <w:spacing w:line="360" w:lineRule="auto"/>
        <w:rPr>
          <w:rFonts w:ascii="Times New Roman" w:eastAsia="SimSun" w:hAnsi="Times New Roman" w:cs="Times New Roman"/>
          <w:sz w:val="20"/>
          <w:szCs w:val="20"/>
          <w:lang w:val="en-US"/>
        </w:rPr>
      </w:pPr>
      <w:bookmarkStart w:id="36" w:name="_Hlk159242681"/>
      <w:r w:rsidRPr="4F533E7D">
        <w:rPr>
          <w:rFonts w:ascii="Times New Roman" w:eastAsia="SimSun" w:hAnsi="Times New Roman" w:cs="Times New Roman"/>
          <w:sz w:val="20"/>
          <w:szCs w:val="20"/>
          <w:lang w:val="en-US"/>
        </w:rPr>
        <w:t>T</w:t>
      </w:r>
      <w:r w:rsidR="005703C0" w:rsidRPr="005668EA">
        <w:rPr>
          <w:rFonts w:ascii="Times New Roman" w:eastAsia="SimSun" w:hAnsi="Times New Roman" w:cs="Times New Roman"/>
          <w:sz w:val="20"/>
          <w:szCs w:val="20"/>
          <w:lang w:val="en-US"/>
        </w:rPr>
        <w:t xml:space="preserve">he study designs were </w:t>
      </w:r>
      <w:r w:rsidR="5EAA585E" w:rsidRPr="4F533E7D">
        <w:rPr>
          <w:rFonts w:ascii="Times New Roman" w:eastAsia="SimSun" w:hAnsi="Times New Roman" w:cs="Times New Roman"/>
          <w:sz w:val="20"/>
          <w:szCs w:val="20"/>
          <w:lang w:val="en-US"/>
        </w:rPr>
        <w:t xml:space="preserve">defined </w:t>
      </w:r>
      <w:r w:rsidR="150C06E8" w:rsidRPr="4F533E7D">
        <w:rPr>
          <w:rFonts w:ascii="Times New Roman" w:eastAsia="SimSun" w:hAnsi="Times New Roman" w:cs="Times New Roman"/>
          <w:sz w:val="20"/>
          <w:szCs w:val="20"/>
          <w:lang w:val="en-US"/>
        </w:rPr>
        <w:t xml:space="preserve">by </w:t>
      </w:r>
      <w:r w:rsidR="005703C0" w:rsidRPr="005668EA">
        <w:rPr>
          <w:rFonts w:ascii="Times New Roman" w:eastAsia="SimSun" w:hAnsi="Times New Roman" w:cs="Times New Roman"/>
          <w:sz w:val="20"/>
          <w:szCs w:val="20"/>
          <w:lang w:val="en-US"/>
        </w:rPr>
        <w:t xml:space="preserve">two levels according to </w:t>
      </w:r>
      <w:r w:rsidR="00AB2396" w:rsidRPr="005668EA">
        <w:rPr>
          <w:rFonts w:ascii="Times New Roman" w:eastAsia="SimSun" w:hAnsi="Times New Roman" w:cs="Times New Roman"/>
          <w:sz w:val="20"/>
          <w:szCs w:val="20"/>
          <w:lang w:val="en-US"/>
        </w:rPr>
        <w:t xml:space="preserve">the </w:t>
      </w:r>
      <w:r w:rsidR="005703C0" w:rsidRPr="005668EA">
        <w:rPr>
          <w:rFonts w:ascii="Times New Roman" w:eastAsia="SimSun" w:hAnsi="Times New Roman" w:cs="Times New Roman"/>
          <w:sz w:val="20"/>
          <w:szCs w:val="20"/>
          <w:lang w:val="en-US"/>
        </w:rPr>
        <w:t>hierarchy proposed by Guyatt et al.</w:t>
      </w:r>
      <w:r w:rsidR="0071123D" w:rsidRPr="005668EA">
        <w:rPr>
          <w:rFonts w:ascii="Times New Roman" w:eastAsia="SimSun" w:hAnsi="Times New Roman" w:cs="Times New Roman"/>
          <w:sz w:val="20"/>
          <w:szCs w:val="20"/>
          <w:lang w:val="en-US"/>
        </w:rPr>
        <w:t xml:space="preserve"> </w:t>
      </w:r>
      <w:r w:rsidR="005703C0" w:rsidRPr="005668EA">
        <w:rPr>
          <w:rFonts w:ascii="Times New Roman" w:eastAsia="SimSun" w:hAnsi="Times New Roman" w:cs="Times New Roman"/>
          <w:sz w:val="20"/>
          <w:szCs w:val="20"/>
          <w:lang w:val="en-US"/>
        </w:rPr>
        <w:fldChar w:fldCharType="begin"/>
      </w:r>
      <w:r w:rsidR="00AD61C8">
        <w:rPr>
          <w:rFonts w:ascii="Times New Roman" w:eastAsia="SimSun" w:hAnsi="Times New Roman" w:cs="Times New Roman"/>
          <w:sz w:val="20"/>
          <w:szCs w:val="20"/>
          <w:lang w:val="en-US"/>
        </w:rPr>
        <w:instrText xml:space="preserve"> ADDIN EN.CITE &lt;EndNote&gt;&lt;Cite&gt;&lt;Author&gt;Guyatt&lt;/Author&gt;&lt;Year&gt;2000&lt;/Year&gt;&lt;RecNum&gt;18545&lt;/RecNum&gt;&lt;DisplayText&gt;[35]&lt;/DisplayText&gt;&lt;record&gt;&lt;rec-number&gt;18545&lt;/rec-number&gt;&lt;foreign-keys&gt;&lt;key app="EN" db-id="5zttwaa2gstv57epr5z5zxv325varaa5e9rp" timestamp="1649036954"&gt;18545&lt;/key&gt;&lt;/foreign-keys&gt;&lt;ref-type name="Journal Article"&gt;17&lt;/ref-type&gt;&lt;contributors&gt;&lt;authors&gt;&lt;author&gt;Guyatt, G. H.&lt;/author&gt;&lt;author&gt;Haynes, R. B.&lt;/author&gt;&lt;author&gt;Jaeschke, R. Z.&lt;/author&gt;&lt;author&gt;Cook, D. J.&lt;/author&gt;&lt;author&gt;Green, L.&lt;/author&gt;&lt;author&gt;Naylor, C. D.&lt;/author&gt;&lt;author&gt;Wilson, M. C.&lt;/author&gt;&lt;author&gt;Richardson, W. S.&lt;/author&gt;&lt;/authors&gt;&lt;/contributors&gt;&lt;auth-address&gt;Department of Clinical Epidemiology and Biostatistics, Room 2C12, 1200 Main St W, McMaster University Faculty of Health Sciences, Hamilton, Ontario, Canada L8N 3Z5.&lt;/auth-address&gt;&lt;titles&gt;&lt;title&gt;Users&amp;apos; Guides to the Medical Literature: XXV. Evidence-based medicine: principles for applying the Users&amp;apos; Guides to patient care. Evidence-Based Medicine Working Group&lt;/title&gt;&lt;secondary-title&gt;JAMA&lt;/secondary-title&gt;&lt;/titles&gt;&lt;periodical&gt;&lt;full-title&gt;Jama&lt;/full-title&gt;&lt;abbr-1&gt;Jama&lt;/abbr-1&gt;&lt;/periodical&gt;&lt;pages&gt;1290-6&lt;/pages&gt;&lt;volume&gt;284&lt;/volume&gt;&lt;number&gt;10&lt;/number&gt;&lt;edition&gt;2000/09/09&lt;/edition&gt;&lt;keywords&gt;&lt;keyword&gt;Clinical Competence&lt;/keyword&gt;&lt;keyword&gt;Decision Making&lt;/keyword&gt;&lt;keyword&gt;*Evidence-Based Medicine&lt;/keyword&gt;&lt;keyword&gt;Guidelines as Topic&lt;/keyword&gt;&lt;keyword&gt;*Patient Care&lt;/keyword&gt;&lt;keyword&gt;*Publications&lt;/keyword&gt;&lt;/keywords&gt;&lt;dates&gt;&lt;year&gt;2000&lt;/year&gt;&lt;pub-dates&gt;&lt;date&gt;Sep 13&lt;/date&gt;&lt;/pub-dates&gt;&lt;/dates&gt;&lt;isbn&gt;0098-7484 (Print)&amp;#xD;0098-7484&lt;/isbn&gt;&lt;accession-num&gt;10979117&lt;/accession-num&gt;&lt;urls&gt;&lt;/urls&gt;&lt;electronic-resource-num&gt;10.1001/jama.284.10.1290&lt;/electronic-resource-num&gt;&lt;remote-database-provider&gt;NLM&lt;/remote-database-provider&gt;&lt;language&gt;eng&lt;/language&gt;&lt;/record&gt;&lt;/Cite&gt;&lt;/EndNote&gt;</w:instrText>
      </w:r>
      <w:r w:rsidR="005703C0" w:rsidRPr="005668EA">
        <w:rPr>
          <w:rFonts w:ascii="Times New Roman" w:eastAsia="SimSun" w:hAnsi="Times New Roman" w:cs="Times New Roman"/>
          <w:sz w:val="20"/>
          <w:szCs w:val="20"/>
          <w:lang w:val="en-US"/>
        </w:rPr>
        <w:fldChar w:fldCharType="separate"/>
      </w:r>
      <w:r w:rsidR="00AD61C8">
        <w:rPr>
          <w:rFonts w:ascii="Times New Roman" w:eastAsia="SimSun" w:hAnsi="Times New Roman" w:cs="Times New Roman"/>
          <w:noProof/>
          <w:sz w:val="20"/>
          <w:szCs w:val="20"/>
          <w:lang w:val="en-US"/>
        </w:rPr>
        <w:t>[35]</w:t>
      </w:r>
      <w:r w:rsidR="005703C0" w:rsidRPr="005668EA">
        <w:rPr>
          <w:rFonts w:ascii="Times New Roman" w:eastAsia="SimSun" w:hAnsi="Times New Roman" w:cs="Times New Roman"/>
          <w:sz w:val="20"/>
          <w:szCs w:val="20"/>
          <w:lang w:val="en-US"/>
        </w:rPr>
        <w:fldChar w:fldCharType="end"/>
      </w:r>
      <w:r w:rsidR="0071123D" w:rsidRPr="005668EA">
        <w:rPr>
          <w:rFonts w:ascii="Times New Roman" w:eastAsia="SimSun" w:hAnsi="Times New Roman" w:cs="Times New Roman"/>
          <w:sz w:val="20"/>
          <w:szCs w:val="20"/>
          <w:lang w:val="en-US"/>
        </w:rPr>
        <w:t>,</w:t>
      </w:r>
      <w:r w:rsidR="005703C0" w:rsidRPr="005668EA">
        <w:rPr>
          <w:rFonts w:ascii="Times New Roman" w:eastAsia="SimSun" w:hAnsi="Times New Roman" w:cs="Times New Roman"/>
          <w:sz w:val="20"/>
          <w:szCs w:val="20"/>
          <w:lang w:val="en-US"/>
        </w:rPr>
        <w:t xml:space="preserve"> and </w:t>
      </w:r>
      <w:r w:rsidR="00AB2396" w:rsidRPr="005668EA">
        <w:rPr>
          <w:rFonts w:ascii="Times New Roman" w:eastAsia="SimSun" w:hAnsi="Times New Roman" w:cs="Times New Roman"/>
          <w:sz w:val="20"/>
          <w:szCs w:val="20"/>
          <w:lang w:val="en-US"/>
        </w:rPr>
        <w:t xml:space="preserve">the </w:t>
      </w:r>
      <w:r w:rsidR="005703C0" w:rsidRPr="005668EA">
        <w:rPr>
          <w:rFonts w:ascii="Times New Roman" w:hAnsi="Times New Roman" w:cs="Times New Roman"/>
          <w:kern w:val="0"/>
          <w:sz w:val="20"/>
          <w:szCs w:val="20"/>
        </w:rPr>
        <w:t>International Society for Pharmacoeconomics and Outcomes Research</w:t>
      </w:r>
      <w:r w:rsidR="00C4380F">
        <w:rPr>
          <w:rFonts w:ascii="Times New Roman" w:hAnsi="Times New Roman" w:cs="Times New Roman"/>
          <w:kern w:val="0"/>
          <w:sz w:val="20"/>
          <w:szCs w:val="20"/>
        </w:rPr>
        <w:t xml:space="preserve"> </w:t>
      </w:r>
      <w:r w:rsidR="005703C0" w:rsidRPr="005668EA">
        <w:rPr>
          <w:rFonts w:ascii="Times New Roman" w:eastAsia="SimSun" w:hAnsi="Times New Roman" w:cs="Times New Roman"/>
          <w:sz w:val="20"/>
          <w:szCs w:val="20"/>
          <w:lang w:val="en-US"/>
        </w:rPr>
        <w:t>Task Force on Indirect Treatment Comparisons Good Research Practices</w:t>
      </w:r>
      <w:r w:rsidR="00D252B0">
        <w:rPr>
          <w:rFonts w:ascii="Times New Roman" w:eastAsia="SimSun" w:hAnsi="Times New Roman" w:cs="Times New Roman"/>
          <w:sz w:val="20"/>
          <w:szCs w:val="20"/>
          <w:lang w:val="en-US"/>
        </w:rPr>
        <w:t xml:space="preserve"> </w:t>
      </w:r>
      <w:r w:rsidR="005703C0" w:rsidRPr="005668EA">
        <w:rPr>
          <w:rFonts w:ascii="Times New Roman" w:eastAsia="SimSun" w:hAnsi="Times New Roman" w:cs="Times New Roman"/>
          <w:sz w:val="20"/>
          <w:szCs w:val="20"/>
          <w:lang w:val="en-US"/>
        </w:rPr>
        <w:fldChar w:fldCharType="begin">
          <w:fldData xml:space="preserve">PEVuZE5vdGU+PENpdGU+PEF1dGhvcj5KYW5zZW48L0F1dGhvcj48WWVhcj4yMDExPC9ZZWFyPjxS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==
</w:fldData>
        </w:fldChar>
      </w:r>
      <w:r w:rsidR="00AD61C8">
        <w:rPr>
          <w:rFonts w:ascii="Times New Roman" w:eastAsia="SimSun" w:hAnsi="Times New Roman" w:cs="Times New Roman"/>
          <w:sz w:val="20"/>
          <w:szCs w:val="20"/>
          <w:lang w:val="en-US"/>
        </w:rPr>
        <w:instrText xml:space="preserve"> ADDIN EN.CITE </w:instrText>
      </w:r>
      <w:r w:rsidR="00AD61C8">
        <w:rPr>
          <w:rFonts w:ascii="Times New Roman" w:eastAsia="SimSun" w:hAnsi="Times New Roman" w:cs="Times New Roman"/>
          <w:sz w:val="20"/>
          <w:szCs w:val="20"/>
          <w:lang w:val="en-US"/>
        </w:rPr>
        <w:fldChar w:fldCharType="begin">
          <w:fldData xml:space="preserve">PEVuZE5vdGU+PENpdGU+PEF1dGhvcj5KYW5zZW48L0F1dGhvcj48WWVhcj4yMDExPC9ZZWFyPjxS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==
</w:fldData>
        </w:fldChar>
      </w:r>
      <w:r w:rsidR="00AD61C8">
        <w:rPr>
          <w:rFonts w:ascii="Times New Roman" w:eastAsia="SimSun" w:hAnsi="Times New Roman" w:cs="Times New Roman"/>
          <w:sz w:val="20"/>
          <w:szCs w:val="20"/>
          <w:lang w:val="en-US"/>
        </w:rPr>
        <w:instrText xml:space="preserve"> ADDIN EN.CITE.DATA </w:instrText>
      </w:r>
      <w:r w:rsidR="00AD61C8">
        <w:rPr>
          <w:rFonts w:ascii="Times New Roman" w:eastAsia="SimSun" w:hAnsi="Times New Roman" w:cs="Times New Roman"/>
          <w:sz w:val="20"/>
          <w:szCs w:val="20"/>
          <w:lang w:val="en-US"/>
        </w:rPr>
      </w:r>
      <w:r w:rsidR="00AD61C8">
        <w:rPr>
          <w:rFonts w:ascii="Times New Roman" w:eastAsia="SimSun" w:hAnsi="Times New Roman" w:cs="Times New Roman"/>
          <w:sz w:val="20"/>
          <w:szCs w:val="20"/>
          <w:lang w:val="en-US"/>
        </w:rPr>
        <w:fldChar w:fldCharType="end"/>
      </w:r>
      <w:r w:rsidR="005703C0" w:rsidRPr="005668EA">
        <w:rPr>
          <w:rFonts w:ascii="Times New Roman" w:eastAsia="SimSun" w:hAnsi="Times New Roman" w:cs="Times New Roman"/>
          <w:sz w:val="20"/>
          <w:szCs w:val="20"/>
          <w:lang w:val="en-US"/>
        </w:rPr>
      </w:r>
      <w:r w:rsidR="005703C0" w:rsidRPr="005668EA">
        <w:rPr>
          <w:rFonts w:ascii="Times New Roman" w:eastAsia="SimSun" w:hAnsi="Times New Roman" w:cs="Times New Roman"/>
          <w:sz w:val="20"/>
          <w:szCs w:val="20"/>
          <w:lang w:val="en-US"/>
        </w:rPr>
        <w:fldChar w:fldCharType="separate"/>
      </w:r>
      <w:r w:rsidR="00AD61C8">
        <w:rPr>
          <w:rFonts w:ascii="Times New Roman" w:eastAsia="SimSun" w:hAnsi="Times New Roman" w:cs="Times New Roman"/>
          <w:noProof/>
          <w:sz w:val="20"/>
          <w:szCs w:val="20"/>
          <w:lang w:val="en-US"/>
        </w:rPr>
        <w:t>[36]</w:t>
      </w:r>
      <w:r w:rsidR="005703C0" w:rsidRPr="005668EA">
        <w:rPr>
          <w:rFonts w:ascii="Times New Roman" w:eastAsia="SimSun" w:hAnsi="Times New Roman" w:cs="Times New Roman"/>
          <w:sz w:val="20"/>
          <w:szCs w:val="20"/>
          <w:lang w:val="en-US"/>
        </w:rPr>
        <w:fldChar w:fldCharType="end"/>
      </w:r>
      <w:r w:rsidR="005703C0" w:rsidRPr="005668EA">
        <w:rPr>
          <w:rFonts w:ascii="Times New Roman" w:eastAsia="SimSun" w:hAnsi="Times New Roman" w:cs="Times New Roman"/>
          <w:sz w:val="20"/>
          <w:szCs w:val="20"/>
          <w:lang w:val="en-US"/>
        </w:rPr>
        <w:t xml:space="preserve">. </w:t>
      </w:r>
      <w:r w:rsidR="61E84BB7" w:rsidRPr="4F533E7D">
        <w:rPr>
          <w:rFonts w:ascii="Times New Roman" w:eastAsia="SimSun" w:hAnsi="Times New Roman" w:cs="Times New Roman"/>
          <w:sz w:val="20"/>
          <w:szCs w:val="20"/>
          <w:lang w:val="en-US"/>
        </w:rPr>
        <w:t xml:space="preserve">A </w:t>
      </w:r>
      <w:r w:rsidR="00AB2396" w:rsidRPr="005668EA">
        <w:rPr>
          <w:rFonts w:ascii="Times New Roman" w:eastAsia="SimSun" w:hAnsi="Times New Roman" w:cs="Times New Roman"/>
          <w:sz w:val="20"/>
          <w:szCs w:val="20"/>
          <w:lang w:val="en-US"/>
        </w:rPr>
        <w:t>l</w:t>
      </w:r>
      <w:r w:rsidR="005703C0" w:rsidRPr="005668EA">
        <w:rPr>
          <w:rFonts w:ascii="Times New Roman" w:eastAsia="SimSun" w:hAnsi="Times New Roman" w:cs="Times New Roman"/>
          <w:sz w:val="20"/>
          <w:szCs w:val="20"/>
          <w:lang w:val="en-US"/>
        </w:rPr>
        <w:t>ow</w:t>
      </w:r>
      <w:r w:rsidR="00AB2396" w:rsidRPr="005668EA">
        <w:rPr>
          <w:rFonts w:ascii="Times New Roman" w:eastAsia="SimSun" w:hAnsi="Times New Roman" w:cs="Times New Roman"/>
          <w:sz w:val="20"/>
          <w:szCs w:val="20"/>
          <w:lang w:val="en-US"/>
        </w:rPr>
        <w:t>-</w:t>
      </w:r>
      <w:r w:rsidR="005703C0" w:rsidRPr="005668EA">
        <w:rPr>
          <w:rFonts w:ascii="Times New Roman" w:eastAsia="SimSun" w:hAnsi="Times New Roman" w:cs="Times New Roman"/>
          <w:sz w:val="20"/>
          <w:szCs w:val="20"/>
          <w:lang w:val="en-US"/>
        </w:rPr>
        <w:t xml:space="preserve">level design </w:t>
      </w:r>
      <w:r w:rsidR="16E8A72C" w:rsidRPr="4F533E7D">
        <w:rPr>
          <w:rFonts w:ascii="Times New Roman" w:eastAsia="SimSun" w:hAnsi="Times New Roman" w:cs="Times New Roman"/>
          <w:sz w:val="20"/>
          <w:szCs w:val="20"/>
          <w:lang w:val="en-US"/>
        </w:rPr>
        <w:t>refers to</w:t>
      </w:r>
      <w:r w:rsidR="005703C0" w:rsidRPr="005668EA">
        <w:rPr>
          <w:rFonts w:ascii="Times New Roman" w:eastAsia="SimSun" w:hAnsi="Times New Roman" w:cs="Times New Roman"/>
          <w:sz w:val="20"/>
          <w:szCs w:val="20"/>
          <w:lang w:val="en-US"/>
        </w:rPr>
        <w:t xml:space="preserve"> pivotal studies based on anchored or unanchored indirect </w:t>
      </w:r>
      <w:r w:rsidR="005703C0" w:rsidRPr="00C076CE">
        <w:rPr>
          <w:rFonts w:ascii="Times New Roman" w:eastAsia="SimSun" w:hAnsi="Times New Roman" w:cs="Times New Roman"/>
          <w:sz w:val="20"/>
          <w:szCs w:val="20"/>
          <w:lang w:val="en-US"/>
        </w:rPr>
        <w:t>comparison of comparative studies, single observational stud</w:t>
      </w:r>
      <w:r w:rsidR="00980B16" w:rsidRPr="00C076CE">
        <w:rPr>
          <w:rFonts w:ascii="Times New Roman" w:eastAsia="SimSun" w:hAnsi="Times New Roman" w:cs="Times New Roman"/>
          <w:sz w:val="20"/>
          <w:szCs w:val="20"/>
          <w:lang w:val="en-US"/>
        </w:rPr>
        <w:t>ies</w:t>
      </w:r>
      <w:r w:rsidR="005703C0" w:rsidRPr="00C076CE">
        <w:rPr>
          <w:rFonts w:ascii="Times New Roman" w:eastAsia="SimSun" w:hAnsi="Times New Roman" w:cs="Times New Roman"/>
          <w:sz w:val="20"/>
          <w:szCs w:val="20"/>
          <w:lang w:val="en-US"/>
        </w:rPr>
        <w:t xml:space="preserve"> (such as cross-sectional studies, </w:t>
      </w:r>
      <w:r w:rsidR="005703C0" w:rsidRPr="00C076CE">
        <w:rPr>
          <w:rFonts w:ascii="Times New Roman" w:hAnsi="Times New Roman" w:cs="Times New Roman"/>
          <w:kern w:val="0"/>
          <w:sz w:val="20"/>
          <w:szCs w:val="20"/>
        </w:rPr>
        <w:t>individual participant data</w:t>
      </w:r>
      <w:r w:rsidR="005703C0" w:rsidRPr="00C076CE">
        <w:rPr>
          <w:rFonts w:ascii="Times New Roman" w:eastAsia="SimSun" w:hAnsi="Times New Roman" w:cs="Times New Roman"/>
          <w:sz w:val="20"/>
          <w:szCs w:val="20"/>
          <w:lang w:val="en-US"/>
        </w:rPr>
        <w:t>), or naïve comparison, single</w:t>
      </w:r>
      <w:r w:rsidR="00980B16" w:rsidRPr="00C076CE">
        <w:rPr>
          <w:rFonts w:ascii="Times New Roman" w:eastAsia="SimSun" w:hAnsi="Times New Roman" w:cs="Times New Roman"/>
          <w:sz w:val="20"/>
          <w:szCs w:val="20"/>
          <w:lang w:val="en-US"/>
        </w:rPr>
        <w:t>-</w:t>
      </w:r>
      <w:r w:rsidR="005703C0" w:rsidRPr="00C076CE">
        <w:rPr>
          <w:rFonts w:ascii="Times New Roman" w:eastAsia="SimSun" w:hAnsi="Times New Roman" w:cs="Times New Roman"/>
          <w:sz w:val="20"/>
          <w:szCs w:val="20"/>
          <w:lang w:val="en-US"/>
        </w:rPr>
        <w:t>arm studies, non-</w:t>
      </w:r>
      <w:proofErr w:type="spellStart"/>
      <w:r w:rsidR="005703C0" w:rsidRPr="00C076CE">
        <w:rPr>
          <w:rFonts w:ascii="Times New Roman" w:eastAsia="SimSun" w:hAnsi="Times New Roman" w:cs="Times New Roman"/>
          <w:sz w:val="20"/>
          <w:szCs w:val="20"/>
          <w:lang w:val="en-US"/>
        </w:rPr>
        <w:t>randomised</w:t>
      </w:r>
      <w:proofErr w:type="spellEnd"/>
      <w:r w:rsidR="005703C0" w:rsidRPr="00C076CE">
        <w:rPr>
          <w:rFonts w:ascii="Times New Roman" w:eastAsia="SimSun" w:hAnsi="Times New Roman" w:cs="Times New Roman"/>
          <w:sz w:val="20"/>
          <w:szCs w:val="20"/>
          <w:lang w:val="en-US"/>
        </w:rPr>
        <w:t xml:space="preserve"> comparative studies, </w:t>
      </w:r>
      <w:r w:rsidR="00C92E65" w:rsidRPr="00C076CE">
        <w:rPr>
          <w:rFonts w:ascii="Times New Roman" w:eastAsia="SimSun" w:hAnsi="Times New Roman" w:cs="Times New Roman"/>
          <w:sz w:val="20"/>
          <w:szCs w:val="20"/>
          <w:lang w:val="en-US"/>
        </w:rPr>
        <w:t xml:space="preserve">Phase II trials without </w:t>
      </w:r>
      <w:proofErr w:type="spellStart"/>
      <w:r w:rsidR="00B928C3" w:rsidRPr="00C076CE">
        <w:rPr>
          <w:rFonts w:ascii="Times New Roman" w:eastAsia="SimSun" w:hAnsi="Times New Roman" w:cs="Times New Roman"/>
          <w:sz w:val="20"/>
          <w:szCs w:val="20"/>
          <w:lang w:val="en-US"/>
        </w:rPr>
        <w:t>randomi</w:t>
      </w:r>
      <w:r w:rsidR="00C076CE" w:rsidRPr="4F533E7D">
        <w:rPr>
          <w:rFonts w:ascii="Times New Roman" w:eastAsia="SimSun" w:hAnsi="Times New Roman" w:cs="Times New Roman"/>
          <w:sz w:val="20"/>
          <w:szCs w:val="20"/>
          <w:lang w:val="en-US"/>
        </w:rPr>
        <w:t>s</w:t>
      </w:r>
      <w:r w:rsidR="00B928C3" w:rsidRPr="00C076CE">
        <w:rPr>
          <w:rFonts w:ascii="Times New Roman" w:eastAsia="SimSun" w:hAnsi="Times New Roman" w:cs="Times New Roman"/>
          <w:sz w:val="20"/>
          <w:szCs w:val="20"/>
          <w:lang w:val="en-US"/>
        </w:rPr>
        <w:t>ation</w:t>
      </w:r>
      <w:proofErr w:type="spellEnd"/>
      <w:r w:rsidR="00C92E65" w:rsidRPr="00C076CE">
        <w:rPr>
          <w:rFonts w:ascii="Times New Roman" w:eastAsia="SimSun" w:hAnsi="Times New Roman" w:cs="Times New Roman"/>
          <w:sz w:val="20"/>
          <w:szCs w:val="20"/>
          <w:lang w:val="en-US"/>
        </w:rPr>
        <w:t xml:space="preserve"> or blinding and </w:t>
      </w:r>
      <w:r w:rsidR="005703C0" w:rsidRPr="00C076CE">
        <w:rPr>
          <w:rFonts w:ascii="Times New Roman" w:eastAsia="SimSun" w:hAnsi="Times New Roman" w:cs="Times New Roman"/>
          <w:sz w:val="20"/>
          <w:szCs w:val="20"/>
          <w:lang w:val="en-US"/>
        </w:rPr>
        <w:t xml:space="preserve">Phase I clinical trials. </w:t>
      </w:r>
      <w:r w:rsidR="09790F19" w:rsidRPr="00C076CE">
        <w:rPr>
          <w:rFonts w:ascii="Times New Roman" w:eastAsia="SimSun" w:hAnsi="Times New Roman" w:cs="Times New Roman"/>
          <w:sz w:val="20"/>
          <w:szCs w:val="20"/>
          <w:lang w:val="en-US"/>
        </w:rPr>
        <w:t xml:space="preserve">A </w:t>
      </w:r>
      <w:r w:rsidR="1CE15492" w:rsidRPr="00C076CE">
        <w:rPr>
          <w:rFonts w:ascii="Times New Roman" w:eastAsia="SimSun" w:hAnsi="Times New Roman" w:cs="Times New Roman"/>
          <w:sz w:val="20"/>
          <w:szCs w:val="20"/>
          <w:lang w:val="en-US"/>
        </w:rPr>
        <w:t>h</w:t>
      </w:r>
      <w:r w:rsidR="005703C0" w:rsidRPr="00C076CE">
        <w:rPr>
          <w:rFonts w:ascii="Times New Roman" w:eastAsia="SimSun" w:hAnsi="Times New Roman" w:cs="Times New Roman"/>
          <w:sz w:val="20"/>
          <w:szCs w:val="20"/>
          <w:lang w:val="en-US"/>
        </w:rPr>
        <w:t>igh</w:t>
      </w:r>
      <w:r w:rsidR="4BD3F982" w:rsidRPr="00C076CE">
        <w:rPr>
          <w:rFonts w:ascii="Times New Roman" w:eastAsia="SimSun" w:hAnsi="Times New Roman" w:cs="Times New Roman"/>
          <w:sz w:val="20"/>
          <w:szCs w:val="20"/>
          <w:lang w:val="en-US"/>
        </w:rPr>
        <w:t>-</w:t>
      </w:r>
      <w:r w:rsidR="005703C0" w:rsidRPr="00C076CE">
        <w:rPr>
          <w:rFonts w:ascii="Times New Roman" w:eastAsia="SimSun" w:hAnsi="Times New Roman" w:cs="Times New Roman"/>
          <w:sz w:val="20"/>
          <w:szCs w:val="20"/>
          <w:lang w:val="en-US"/>
        </w:rPr>
        <w:t xml:space="preserve">level </w:t>
      </w:r>
      <w:r w:rsidR="4F623FE7" w:rsidRPr="00C076CE">
        <w:rPr>
          <w:rFonts w:ascii="Times New Roman" w:eastAsia="SimSun" w:hAnsi="Times New Roman" w:cs="Times New Roman"/>
          <w:sz w:val="20"/>
          <w:szCs w:val="20"/>
          <w:lang w:val="en-US"/>
        </w:rPr>
        <w:t xml:space="preserve">design </w:t>
      </w:r>
      <w:r w:rsidR="005703C0" w:rsidRPr="00C076CE">
        <w:rPr>
          <w:rFonts w:ascii="Times New Roman" w:eastAsia="SimSun" w:hAnsi="Times New Roman" w:cs="Times New Roman"/>
          <w:sz w:val="20"/>
          <w:szCs w:val="20"/>
          <w:lang w:val="en-US"/>
        </w:rPr>
        <w:t xml:space="preserve">refers to head-to-head </w:t>
      </w:r>
      <w:proofErr w:type="spellStart"/>
      <w:r w:rsidR="005703C0" w:rsidRPr="00C076CE">
        <w:rPr>
          <w:rFonts w:ascii="Times New Roman" w:eastAsia="SimSun" w:hAnsi="Times New Roman" w:cs="Times New Roman"/>
          <w:sz w:val="20"/>
          <w:szCs w:val="20"/>
          <w:lang w:val="en-US"/>
        </w:rPr>
        <w:t>randomi</w:t>
      </w:r>
      <w:r w:rsidR="00FD17B1" w:rsidRPr="00C076CE">
        <w:rPr>
          <w:rFonts w:ascii="Times New Roman" w:eastAsia="SimSun" w:hAnsi="Times New Roman" w:cs="Times New Roman"/>
          <w:sz w:val="20"/>
          <w:szCs w:val="20"/>
          <w:lang w:val="en-US"/>
        </w:rPr>
        <w:t>s</w:t>
      </w:r>
      <w:r w:rsidR="005703C0" w:rsidRPr="00C076CE">
        <w:rPr>
          <w:rFonts w:ascii="Times New Roman" w:eastAsia="SimSun" w:hAnsi="Times New Roman" w:cs="Times New Roman"/>
          <w:sz w:val="20"/>
          <w:szCs w:val="20"/>
          <w:lang w:val="en-US"/>
        </w:rPr>
        <w:t>ed</w:t>
      </w:r>
      <w:proofErr w:type="spellEnd"/>
      <w:r w:rsidR="00B34791" w:rsidRPr="00C076CE">
        <w:rPr>
          <w:rFonts w:ascii="Times New Roman" w:eastAsia="SimSun" w:hAnsi="Times New Roman" w:cs="Times New Roman"/>
          <w:sz w:val="20"/>
          <w:szCs w:val="20"/>
          <w:lang w:val="en-US"/>
        </w:rPr>
        <w:t xml:space="preserve"> </w:t>
      </w:r>
      <w:r w:rsidR="6F15EBD4" w:rsidRPr="00C076CE">
        <w:rPr>
          <w:rFonts w:ascii="Times New Roman" w:eastAsia="SimSun" w:hAnsi="Times New Roman" w:cs="Times New Roman"/>
          <w:sz w:val="20"/>
          <w:szCs w:val="20"/>
          <w:lang w:val="en-US"/>
        </w:rPr>
        <w:t xml:space="preserve">controlled </w:t>
      </w:r>
      <w:r w:rsidR="00B34791" w:rsidRPr="00C076CE">
        <w:rPr>
          <w:rFonts w:ascii="Times New Roman" w:eastAsia="SimSun" w:hAnsi="Times New Roman" w:cs="Times New Roman"/>
          <w:sz w:val="20"/>
          <w:szCs w:val="20"/>
          <w:lang w:val="en-US"/>
        </w:rPr>
        <w:t>phase II or III</w:t>
      </w:r>
      <w:r w:rsidR="005703C0" w:rsidRPr="00C076CE">
        <w:rPr>
          <w:rFonts w:ascii="Times New Roman" w:eastAsia="SimSun" w:hAnsi="Times New Roman" w:cs="Times New Roman"/>
          <w:sz w:val="20"/>
          <w:szCs w:val="20"/>
          <w:lang w:val="en-US"/>
        </w:rPr>
        <w:t xml:space="preserve"> trial</w:t>
      </w:r>
      <w:r w:rsidR="00980B16" w:rsidRPr="00C076CE">
        <w:rPr>
          <w:rFonts w:ascii="Times New Roman" w:eastAsia="SimSun" w:hAnsi="Times New Roman" w:cs="Times New Roman"/>
          <w:sz w:val="20"/>
          <w:szCs w:val="20"/>
          <w:lang w:val="en-US"/>
        </w:rPr>
        <w:t>s</w:t>
      </w:r>
      <w:r w:rsidR="005703C0" w:rsidRPr="00C076CE">
        <w:rPr>
          <w:rFonts w:ascii="Times New Roman" w:eastAsia="SimSun" w:hAnsi="Times New Roman" w:cs="Times New Roman"/>
          <w:sz w:val="20"/>
          <w:szCs w:val="20"/>
          <w:lang w:val="en-US"/>
        </w:rPr>
        <w:t xml:space="preserve"> or systematic review of </w:t>
      </w:r>
      <w:proofErr w:type="spellStart"/>
      <w:r w:rsidR="005703C0" w:rsidRPr="00C076CE">
        <w:rPr>
          <w:rFonts w:ascii="Times New Roman" w:eastAsia="SimSun" w:hAnsi="Times New Roman" w:cs="Times New Roman"/>
          <w:sz w:val="20"/>
          <w:szCs w:val="20"/>
          <w:lang w:val="en-US"/>
        </w:rPr>
        <w:t>randomi</w:t>
      </w:r>
      <w:r w:rsidR="00C076CE" w:rsidRPr="4F533E7D">
        <w:rPr>
          <w:rFonts w:ascii="Times New Roman" w:eastAsia="SimSun" w:hAnsi="Times New Roman" w:cs="Times New Roman"/>
          <w:sz w:val="20"/>
          <w:szCs w:val="20"/>
          <w:lang w:val="en-US"/>
        </w:rPr>
        <w:t>s</w:t>
      </w:r>
      <w:r w:rsidR="005703C0" w:rsidRPr="00C076CE">
        <w:rPr>
          <w:rFonts w:ascii="Times New Roman" w:eastAsia="SimSun" w:hAnsi="Times New Roman" w:cs="Times New Roman"/>
          <w:sz w:val="20"/>
          <w:szCs w:val="20"/>
          <w:lang w:val="en-US"/>
        </w:rPr>
        <w:t>ed</w:t>
      </w:r>
      <w:proofErr w:type="spellEnd"/>
      <w:r w:rsidR="00C076CE" w:rsidRPr="00C076CE">
        <w:rPr>
          <w:rFonts w:ascii="Times New Roman" w:eastAsia="SimSun" w:hAnsi="Times New Roman" w:cs="Times New Roman"/>
          <w:sz w:val="20"/>
          <w:szCs w:val="20"/>
          <w:lang w:val="en-US"/>
        </w:rPr>
        <w:t xml:space="preserve"> </w:t>
      </w:r>
      <w:r w:rsidR="005703C0" w:rsidRPr="00C076CE">
        <w:rPr>
          <w:rFonts w:ascii="Times New Roman" w:eastAsia="SimSun" w:hAnsi="Times New Roman" w:cs="Times New Roman"/>
          <w:sz w:val="20"/>
          <w:szCs w:val="20"/>
          <w:lang w:val="en-US"/>
        </w:rPr>
        <w:t xml:space="preserve">trials or observational studies. </w:t>
      </w:r>
    </w:p>
    <w:p w14:paraId="0BB87775" w14:textId="211AB35B" w:rsidR="4F533E7D" w:rsidRDefault="4F533E7D" w:rsidP="00C15362">
      <w:pPr>
        <w:adjustRightInd w:val="0"/>
        <w:snapToGrid w:val="0"/>
        <w:spacing w:line="360" w:lineRule="auto"/>
        <w:rPr>
          <w:rFonts w:ascii="Times New Roman" w:eastAsia="SimSun" w:hAnsi="Times New Roman" w:cs="Times New Roman"/>
          <w:sz w:val="20"/>
          <w:szCs w:val="20"/>
          <w:lang w:val="en-US"/>
        </w:rPr>
      </w:pPr>
    </w:p>
    <w:tbl>
      <w:tblPr>
        <w:tblStyle w:val="TableGrid"/>
        <w:tblW w:w="0" w:type="auto"/>
        <w:tblLook w:val="04A0" w:firstRow="1" w:lastRow="0" w:firstColumn="1" w:lastColumn="0" w:noHBand="0" w:noVBand="1"/>
      </w:tblPr>
      <w:tblGrid>
        <w:gridCol w:w="2689"/>
        <w:gridCol w:w="5607"/>
      </w:tblGrid>
      <w:tr w:rsidR="005703C0" w:rsidRPr="005668EA" w14:paraId="3B99427A" w14:textId="77777777" w:rsidTr="4F533E7D">
        <w:tc>
          <w:tcPr>
            <w:tcW w:w="2689" w:type="dxa"/>
          </w:tcPr>
          <w:bookmarkEnd w:id="36"/>
          <w:p w14:paraId="11474859"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76AF3BE2"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Was the comparison indirect?</w:t>
            </w:r>
          </w:p>
        </w:tc>
      </w:tr>
      <w:tr w:rsidR="005703C0" w:rsidRPr="005668EA" w14:paraId="2CB107AA" w14:textId="77777777" w:rsidTr="4F533E7D">
        <w:tc>
          <w:tcPr>
            <w:tcW w:w="2689" w:type="dxa"/>
          </w:tcPr>
          <w:p w14:paraId="01981DD0"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43BC5FB9" w14:textId="7314424E"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1E7FC054" w14:textId="1B7F0E68" w:rsidR="005703C0" w:rsidRPr="005668EA" w:rsidRDefault="00E301EC" w:rsidP="00C33017">
      <w:pPr>
        <w:pStyle w:val="Heading3"/>
        <w:adjustRightInd w:val="0"/>
        <w:snapToGrid w:val="0"/>
        <w:spacing w:before="480" w:after="0" w:line="360" w:lineRule="auto"/>
        <w:rPr>
          <w:rFonts w:ascii="Times New Roman" w:hAnsi="Times New Roman" w:cs="Times New Roman"/>
          <w:sz w:val="20"/>
          <w:szCs w:val="20"/>
        </w:rPr>
      </w:pPr>
      <w:r w:rsidRPr="005668EA">
        <w:rPr>
          <w:rFonts w:ascii="Times New Roman" w:hAnsi="Times New Roman" w:cs="Times New Roman"/>
          <w:sz w:val="20"/>
          <w:szCs w:val="20"/>
        </w:rPr>
        <w:t>4</w:t>
      </w:r>
      <w:r w:rsidR="00027691" w:rsidRPr="005668EA">
        <w:rPr>
          <w:rFonts w:ascii="Times New Roman" w:hAnsi="Times New Roman" w:cs="Times New Roman"/>
          <w:sz w:val="20"/>
          <w:szCs w:val="20"/>
        </w:rPr>
        <w:t xml:space="preserve">.2 </w:t>
      </w:r>
      <w:r w:rsidR="005703C0" w:rsidRPr="005668EA">
        <w:rPr>
          <w:rFonts w:ascii="Times New Roman" w:hAnsi="Times New Roman" w:cs="Times New Roman"/>
          <w:sz w:val="20"/>
          <w:szCs w:val="20"/>
        </w:rPr>
        <w:t>Parameter uncertainty around utility estimation</w:t>
      </w:r>
    </w:p>
    <w:p w14:paraId="26021981" w14:textId="27DC3AA5" w:rsidR="005703C0" w:rsidRPr="005668EA" w:rsidRDefault="00027691" w:rsidP="006C41A0">
      <w:pPr>
        <w:pStyle w:val="Heading4"/>
        <w:adjustRightInd w:val="0"/>
        <w:snapToGrid w:val="0"/>
        <w:spacing w:before="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t>4</w:t>
      </w:r>
      <w:r w:rsidR="005703C0" w:rsidRPr="005668EA">
        <w:rPr>
          <w:rFonts w:ascii="Times New Roman" w:eastAsiaTheme="minorEastAsia" w:hAnsi="Times New Roman" w:cs="Times New Roman"/>
          <w:sz w:val="20"/>
          <w:szCs w:val="20"/>
        </w:rPr>
        <w:t>.2.1 Limited or multiple data sources of utility estimation</w:t>
      </w:r>
    </w:p>
    <w:p w14:paraId="7DCCAE08" w14:textId="2AA32365" w:rsidR="00542732" w:rsidRDefault="005703C0" w:rsidP="00C33017">
      <w:pPr>
        <w:pStyle w:val="TableText"/>
        <w:keepNext w:val="0"/>
        <w:widowControl w:val="0"/>
        <w:adjustRightInd w:val="0"/>
        <w:snapToGrid w:val="0"/>
        <w:spacing w:after="120" w:line="360" w:lineRule="auto"/>
        <w:jc w:val="both"/>
      </w:pPr>
      <w:bookmarkStart w:id="37" w:name="_Hlk159256601"/>
      <w:r w:rsidRPr="4F533E7D">
        <w:rPr>
          <w:rFonts w:ascii="Times New Roman" w:eastAsia="SimSun" w:hAnsi="Times New Roman" w:cs="Times New Roman"/>
          <w:sz w:val="20"/>
          <w:szCs w:val="20"/>
        </w:rPr>
        <w:t xml:space="preserve">When multiple sources or approaches </w:t>
      </w:r>
      <w:r w:rsidR="003034D0" w:rsidRPr="4F533E7D">
        <w:rPr>
          <w:rFonts w:ascii="Times New Roman" w:eastAsia="SimSun" w:hAnsi="Times New Roman" w:cs="Times New Roman"/>
          <w:sz w:val="20"/>
          <w:szCs w:val="20"/>
        </w:rPr>
        <w:t xml:space="preserve">are available </w:t>
      </w:r>
      <w:r w:rsidRPr="4F533E7D">
        <w:rPr>
          <w:rFonts w:ascii="Times New Roman" w:eastAsia="SimSun" w:hAnsi="Times New Roman" w:cs="Times New Roman"/>
          <w:sz w:val="20"/>
          <w:szCs w:val="20"/>
        </w:rPr>
        <w:t xml:space="preserve">to estimate utility, it </w:t>
      </w:r>
      <w:r w:rsidR="00C076CE" w:rsidRPr="4F533E7D">
        <w:rPr>
          <w:rFonts w:ascii="Times New Roman" w:eastAsia="SimSun" w:hAnsi="Times New Roman" w:cs="Times New Roman"/>
          <w:sz w:val="20"/>
          <w:szCs w:val="20"/>
        </w:rPr>
        <w:t xml:space="preserve">could </w:t>
      </w:r>
      <w:r w:rsidR="4F26F5F9" w:rsidRPr="4F533E7D">
        <w:rPr>
          <w:rFonts w:ascii="Times New Roman" w:eastAsia="SimSun" w:hAnsi="Times New Roman" w:cs="Times New Roman"/>
          <w:sz w:val="20"/>
          <w:szCs w:val="20"/>
        </w:rPr>
        <w:t xml:space="preserve">create </w:t>
      </w:r>
      <w:r w:rsidRPr="4F533E7D">
        <w:rPr>
          <w:rFonts w:ascii="Times New Roman" w:eastAsia="SimSun" w:hAnsi="Times New Roman" w:cs="Times New Roman"/>
          <w:sz w:val="20"/>
          <w:szCs w:val="20"/>
        </w:rPr>
        <w:t>uncertain</w:t>
      </w:r>
      <w:r w:rsidR="491FD0CD" w:rsidRPr="4F533E7D">
        <w:rPr>
          <w:rFonts w:ascii="Times New Roman" w:eastAsia="SimSun" w:hAnsi="Times New Roman" w:cs="Times New Roman"/>
          <w:sz w:val="20"/>
          <w:szCs w:val="20"/>
        </w:rPr>
        <w:t>ty</w:t>
      </w:r>
      <w:r w:rsidRPr="4F533E7D">
        <w:rPr>
          <w:rFonts w:ascii="Times New Roman" w:eastAsia="SimSun" w:hAnsi="Times New Roman" w:cs="Times New Roman"/>
          <w:sz w:val="20"/>
          <w:szCs w:val="20"/>
        </w:rPr>
        <w:t xml:space="preserve"> if the sponsors </w:t>
      </w:r>
      <w:r w:rsidR="008B2436" w:rsidRPr="4F533E7D">
        <w:rPr>
          <w:rFonts w:ascii="Times New Roman" w:eastAsia="SimSun" w:hAnsi="Times New Roman" w:cs="Times New Roman"/>
          <w:sz w:val="20"/>
          <w:szCs w:val="20"/>
        </w:rPr>
        <w:t>select</w:t>
      </w:r>
      <w:r w:rsidRPr="4F533E7D">
        <w:rPr>
          <w:rFonts w:ascii="Times New Roman" w:eastAsia="SimSun" w:hAnsi="Times New Roman" w:cs="Times New Roman"/>
          <w:sz w:val="20"/>
          <w:szCs w:val="20"/>
        </w:rPr>
        <w:t xml:space="preserve"> one over the other. </w:t>
      </w:r>
      <w:r w:rsidRPr="4F533E7D">
        <w:rPr>
          <w:rFonts w:ascii="Times New Roman" w:eastAsiaTheme="minorEastAsia" w:hAnsi="Times New Roman" w:cs="Times New Roman"/>
          <w:sz w:val="20"/>
          <w:szCs w:val="20"/>
        </w:rPr>
        <w:t xml:space="preserve">For instance, in the submission </w:t>
      </w:r>
      <w:r w:rsidR="1AB5B638" w:rsidRPr="4F533E7D">
        <w:rPr>
          <w:rFonts w:ascii="Times New Roman" w:eastAsiaTheme="minorEastAsia" w:hAnsi="Times New Roman" w:cs="Times New Roman"/>
          <w:sz w:val="20"/>
          <w:szCs w:val="20"/>
        </w:rPr>
        <w:t xml:space="preserve">for </w:t>
      </w:r>
      <w:r w:rsidRPr="4F533E7D">
        <w:rPr>
          <w:rFonts w:ascii="Times New Roman" w:eastAsiaTheme="minorEastAsia" w:hAnsi="Times New Roman" w:cs="Times New Roman"/>
          <w:sz w:val="20"/>
          <w:szCs w:val="20"/>
        </w:rPr>
        <w:t xml:space="preserve">cabozantinib for </w:t>
      </w:r>
      <w:r w:rsidR="00980B16" w:rsidRPr="4F533E7D">
        <w:rPr>
          <w:rFonts w:ascii="Times New Roman" w:eastAsiaTheme="minorEastAsia" w:hAnsi="Times New Roman" w:cs="Times New Roman"/>
          <w:sz w:val="20"/>
          <w:szCs w:val="20"/>
        </w:rPr>
        <w:t xml:space="preserve">the </w:t>
      </w:r>
      <w:r w:rsidRPr="4F533E7D">
        <w:rPr>
          <w:rFonts w:ascii="Times New Roman" w:eastAsiaTheme="minorEastAsia" w:hAnsi="Times New Roman" w:cs="Times New Roman"/>
          <w:sz w:val="20"/>
          <w:szCs w:val="20"/>
        </w:rPr>
        <w:t xml:space="preserve">treatment of advanced breast cancer, the PBAC considered the utilities </w:t>
      </w:r>
      <w:r w:rsidR="003034D0" w:rsidRPr="4F533E7D">
        <w:rPr>
          <w:rFonts w:ascii="Times New Roman" w:eastAsiaTheme="minorEastAsia" w:hAnsi="Times New Roman" w:cs="Times New Roman"/>
          <w:sz w:val="20"/>
          <w:szCs w:val="20"/>
        </w:rPr>
        <w:t xml:space="preserve">to be </w:t>
      </w:r>
      <w:r w:rsidR="00CF6FC4" w:rsidRPr="4F533E7D">
        <w:rPr>
          <w:rFonts w:ascii="Times New Roman" w:eastAsiaTheme="minorEastAsia" w:hAnsi="Times New Roman" w:cs="Times New Roman"/>
          <w:sz w:val="20"/>
          <w:szCs w:val="20"/>
        </w:rPr>
        <w:t xml:space="preserve">less </w:t>
      </w:r>
      <w:r w:rsidRPr="4F533E7D">
        <w:rPr>
          <w:rFonts w:ascii="Times New Roman" w:eastAsiaTheme="minorEastAsia" w:hAnsi="Times New Roman" w:cs="Times New Roman"/>
          <w:sz w:val="20"/>
          <w:szCs w:val="20"/>
        </w:rPr>
        <w:t xml:space="preserve">conservative </w:t>
      </w:r>
      <w:r w:rsidR="00CF6FC4" w:rsidRPr="4F533E7D">
        <w:rPr>
          <w:rFonts w:ascii="Times New Roman" w:eastAsiaTheme="minorEastAsia" w:hAnsi="Times New Roman" w:cs="Times New Roman"/>
          <w:sz w:val="20"/>
          <w:szCs w:val="20"/>
        </w:rPr>
        <w:t xml:space="preserve">than </w:t>
      </w:r>
      <w:r w:rsidRPr="4F533E7D">
        <w:rPr>
          <w:rFonts w:ascii="Times New Roman" w:eastAsiaTheme="minorEastAsia" w:hAnsi="Times New Roman" w:cs="Times New Roman"/>
          <w:sz w:val="20"/>
          <w:szCs w:val="20"/>
        </w:rPr>
        <w:t>values used in other economic evaluations of this disease</w:t>
      </w:r>
      <w:r w:rsidR="00D252B0" w:rsidRPr="4F533E7D">
        <w:rPr>
          <w:rFonts w:ascii="Times New Roman" w:eastAsiaTheme="minorEastAsia" w:hAnsi="Times New Roman" w:cs="Times New Roman"/>
          <w:sz w:val="20"/>
          <w:szCs w:val="20"/>
        </w:rPr>
        <w:t xml:space="preserve"> </w:t>
      </w:r>
      <w:bookmarkEnd w:id="37"/>
      <w:r w:rsidRPr="4F533E7D">
        <w:rPr>
          <w:rFonts w:ascii="Times New Roman" w:eastAsiaTheme="minorEastAsia" w:hAnsi="Times New Roman" w:cs="Times New Roman"/>
          <w:sz w:val="20"/>
          <w:szCs w:val="20"/>
        </w:rPr>
        <w:fldChar w:fldCharType="begin"/>
      </w:r>
      <w:r w:rsidR="00AD61C8">
        <w:rPr>
          <w:rFonts w:ascii="Times New Roman" w:eastAsiaTheme="minorEastAsia" w:hAnsi="Times New Roman" w:cs="Times New Roman"/>
          <w:sz w:val="20"/>
          <w:szCs w:val="20"/>
        </w:rPr>
        <w:instrText xml:space="preserve"> ADDIN EN.CITE &lt;EndNote&gt;&lt;Cite&gt;&lt;Author&gt;Pharmaceutical Benefits Advisory Committee&lt;/Author&gt;&lt;Year&gt;2019&lt;/Year&gt;&lt;RecNum&gt;19286&lt;/RecNum&gt;&lt;DisplayText&gt;[37]&lt;/DisplayText&gt;&lt;record&gt;&lt;rec-number&gt;19286&lt;/rec-number&gt;&lt;foreign-keys&gt;&lt;key app="EN" db-id="5zttwaa2gstv57epr5z5zxv325varaa5e9rp" timestamp="1681380904"&gt;19286&lt;/key&gt;&lt;/foreign-keys&gt;&lt;ref-type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Committee&lt;/author&gt;&lt;/secondary-authors&gt;&lt;/contributors&gt;&lt;titles&gt;&lt;title&gt;Cabozantinib: Tablet 20 mg, Tablet 40 mg, Tablet 60 mg; Cabometyx®&lt;/title&gt;&lt;/titles&gt;&lt;dates&gt;&lt;year&gt;2019&lt;/year&gt;&lt;/dates&gt;&lt;urls&gt;&lt;related-urls&gt;&lt;url&gt;https://www.pbs.gov.au/info/industry/listing/elements/pbac-meetings/psd/2019-07/cabozantinib-tablet-20-mg-tablet-40-mg-tablet-60-mg&lt;/url&gt;&lt;/related-urls&gt;&lt;/urls&gt;&lt;access-date&gt;30 Aug 2020&lt;/access-date&gt;&lt;/record&gt;&lt;/Cite&gt;&lt;/EndNote&gt;</w:instrText>
      </w:r>
      <w:r w:rsidRPr="4F533E7D">
        <w:rPr>
          <w:rFonts w:ascii="Times New Roman" w:eastAsiaTheme="minorEastAsia" w:hAnsi="Times New Roman" w:cs="Times New Roman"/>
          <w:sz w:val="20"/>
          <w:szCs w:val="20"/>
        </w:rPr>
        <w:fldChar w:fldCharType="separate"/>
      </w:r>
      <w:r w:rsidR="00AD61C8">
        <w:rPr>
          <w:rFonts w:ascii="Times New Roman" w:eastAsiaTheme="minorEastAsia" w:hAnsi="Times New Roman" w:cs="Times New Roman"/>
          <w:noProof/>
          <w:sz w:val="20"/>
          <w:szCs w:val="20"/>
        </w:rPr>
        <w:t>[37]</w:t>
      </w:r>
      <w:r w:rsidRPr="4F533E7D">
        <w:rPr>
          <w:rFonts w:ascii="Times New Roman" w:eastAsiaTheme="minorEastAsia" w:hAnsi="Times New Roman" w:cs="Times New Roman"/>
          <w:sz w:val="20"/>
          <w:szCs w:val="20"/>
        </w:rPr>
        <w:fldChar w:fldCharType="end"/>
      </w:r>
      <w:r w:rsidRPr="4F533E7D">
        <w:rPr>
          <w:rFonts w:ascii="Times New Roman" w:eastAsiaTheme="minorEastAsia" w:hAnsi="Times New Roman" w:cs="Times New Roman"/>
          <w:sz w:val="20"/>
          <w:szCs w:val="20"/>
        </w:rPr>
        <w:t>.</w:t>
      </w:r>
    </w:p>
    <w:p w14:paraId="7B14B788" w14:textId="2D324D4F" w:rsidR="005703C0" w:rsidRPr="003728A4" w:rsidRDefault="00027691" w:rsidP="00C33017">
      <w:pPr>
        <w:pStyle w:val="Heading4"/>
        <w:adjustRightInd w:val="0"/>
        <w:snapToGrid w:val="0"/>
        <w:spacing w:before="480" w:after="0" w:line="360" w:lineRule="auto"/>
        <w:rPr>
          <w:rFonts w:ascii="Times New Roman" w:eastAsiaTheme="minorEastAsia" w:hAnsi="Times New Roman" w:cs="Times New Roman"/>
          <w:sz w:val="20"/>
          <w:szCs w:val="20"/>
        </w:rPr>
      </w:pPr>
      <w:r w:rsidRPr="003728A4">
        <w:rPr>
          <w:rFonts w:ascii="Times New Roman" w:eastAsiaTheme="minorEastAsia" w:hAnsi="Times New Roman" w:cs="Times New Roman"/>
          <w:sz w:val="20"/>
          <w:szCs w:val="20"/>
        </w:rPr>
        <w:t xml:space="preserve">4.2.2 </w:t>
      </w:r>
      <w:r w:rsidR="005703C0" w:rsidRPr="003728A4">
        <w:rPr>
          <w:rFonts w:ascii="Times New Roman" w:eastAsiaTheme="minorEastAsia" w:hAnsi="Times New Roman" w:cs="Times New Roman"/>
          <w:sz w:val="20"/>
          <w:szCs w:val="20"/>
        </w:rPr>
        <w:t>Uncertain quality of evidence</w:t>
      </w:r>
    </w:p>
    <w:p w14:paraId="64D1CE72" w14:textId="18AB866C" w:rsidR="005703C0" w:rsidRPr="005668EA" w:rsidRDefault="005703C0" w:rsidP="00C15362">
      <w:pPr>
        <w:adjustRightInd w:val="0"/>
        <w:snapToGrid w:val="0"/>
        <w:spacing w:line="360" w:lineRule="auto"/>
        <w:rPr>
          <w:rFonts w:ascii="Times New Roman" w:eastAsia="SimSun" w:hAnsi="Times New Roman" w:cs="Times New Roman"/>
          <w:sz w:val="20"/>
          <w:szCs w:val="20"/>
          <w:lang w:val="en-US"/>
        </w:rPr>
      </w:pPr>
      <w:r w:rsidRPr="4F533E7D">
        <w:rPr>
          <w:rFonts w:ascii="Times New Roman" w:eastAsia="SimSun" w:hAnsi="Times New Roman" w:cs="Times New Roman"/>
          <w:sz w:val="20"/>
          <w:szCs w:val="20"/>
          <w:lang w:val="en-US"/>
        </w:rPr>
        <w:t>If the PBAC found that the utility estimation had any of the following issues, it was deemed to be of poor quality</w:t>
      </w:r>
      <w:r w:rsidR="00D252B0" w:rsidRPr="4F533E7D">
        <w:rPr>
          <w:rFonts w:ascii="Times New Roman" w:eastAsia="SimSun" w:hAnsi="Times New Roman" w:cs="Times New Roman"/>
          <w:sz w:val="20"/>
          <w:szCs w:val="20"/>
          <w:lang w:val="en-US"/>
        </w:rPr>
        <w:t xml:space="preserve"> </w:t>
      </w:r>
      <w:r w:rsidRPr="4F533E7D">
        <w:rPr>
          <w:rFonts w:ascii="Times New Roman" w:eastAsia="SimSun" w:hAnsi="Times New Roman" w:cs="Times New Roman"/>
          <w:sz w:val="20"/>
          <w:szCs w:val="20"/>
          <w:lang w:val="en-US"/>
        </w:rPr>
        <w:fldChar w:fldCharType="begin"/>
      </w:r>
      <w:r w:rsidR="00AD61C8">
        <w:rPr>
          <w:rFonts w:ascii="Times New Roman" w:eastAsia="SimSun" w:hAnsi="Times New Roman" w:cs="Times New Roman"/>
          <w:sz w:val="20"/>
          <w:szCs w:val="20"/>
          <w:lang w:val="en-US"/>
        </w:rPr>
        <w:instrText xml:space="preserve"> ADDIN EN.CITE &lt;EndNote&gt;&lt;Cite&gt;&lt;Author&gt;Pharmaceutical Benefits Advisory Committee&lt;/Author&gt;&lt;Year&gt;2016&lt;/Year&gt;&lt;RecNum&gt;15366&lt;/RecNum&gt;&lt;DisplayText&gt;[16]&lt;/DisplayText&gt;&lt;record&gt;&lt;rec-number&gt;15366&lt;/rec-number&gt;&lt;foreign-keys&gt;&lt;key app="EN" db-id="5zttwaa2gstv57epr5z5zxv325varaa5e9rp" timestamp="1596551342"&gt;15366&lt;/key&gt;&lt;/foreign-keys&gt;&lt;ref-type name="Government Document"&gt;46&lt;/ref-type&gt;&lt;contributors&gt;&lt;authors&gt;&lt;author&gt;Pharmaceutical Benefits Advisory Committee,&lt;/author&gt;&lt;/authors&gt;&lt;secondary-authors&gt;&lt;author&gt;Pharmaceutical Benefits Advisory Committee &lt;/author&gt;&lt;/secondary-authors&gt;&lt;/contributors&gt;&lt;titles&gt;&lt;title&gt;Guidelines for preparing submissions to the Pharmaceutical Benefits Advisory Committee&lt;/title&gt;&lt;/titles&gt;&lt;dates&gt;&lt;year&gt;2016&lt;/year&gt;&lt;/dates&gt;&lt;label&gt;&lt;style face="normal" font="defau</w:instrText>
      </w:r>
      <w:r w:rsidR="00AD61C8">
        <w:rPr>
          <w:rFonts w:ascii="Times New Roman" w:eastAsia="SimSun" w:hAnsi="Times New Roman" w:cs="Times New Roman" w:hint="eastAsia"/>
          <w:sz w:val="20"/>
          <w:szCs w:val="20"/>
          <w:lang w:val="en-US"/>
        </w:rPr>
        <w:instrText>lt" charset="134" size="100%"&gt;</w:instrText>
      </w:r>
      <w:r w:rsidR="00AD61C8">
        <w:rPr>
          <w:rFonts w:ascii="Times New Roman" w:eastAsia="SimSun" w:hAnsi="Times New Roman" w:cs="Times New Roman" w:hint="eastAsia"/>
          <w:sz w:val="20"/>
          <w:szCs w:val="20"/>
          <w:lang w:val="en-US"/>
        </w:rPr>
        <w:instrText>指南</w:instrText>
      </w:r>
      <w:r w:rsidR="00AD61C8">
        <w:rPr>
          <w:rFonts w:ascii="Times New Roman" w:eastAsia="SimSun" w:hAnsi="Times New Roman" w:cs="Times New Roman" w:hint="eastAsia"/>
          <w:sz w:val="20"/>
          <w:szCs w:val="20"/>
          <w:lang w:val="en-US"/>
        </w:rPr>
        <w:instrText>&lt;/style&gt;&lt;/label&gt;&lt;urls&gt;&lt;related-urls&gt;&lt;url&gt;https://pbac.pbs.gov.au/content/information/files/pbac-guidelines-version-5.pdf&lt;/url&gt;&lt;/related-urls&gt;&lt;/urls&gt;&lt;access-date&gt;30 May 2020&lt;/access-date&gt;&lt;/record&gt;&lt;/Cite&gt;&lt;/EndNote&gt;</w:instrText>
      </w:r>
      <w:r w:rsidRPr="4F533E7D">
        <w:rPr>
          <w:rFonts w:ascii="Times New Roman" w:eastAsia="SimSun" w:hAnsi="Times New Roman" w:cs="Times New Roman"/>
          <w:sz w:val="20"/>
          <w:szCs w:val="20"/>
          <w:lang w:val="en-US"/>
        </w:rPr>
        <w:fldChar w:fldCharType="separate"/>
      </w:r>
      <w:r w:rsidR="00AD61C8">
        <w:rPr>
          <w:rFonts w:ascii="Times New Roman" w:eastAsia="SimSun" w:hAnsi="Times New Roman" w:cs="Times New Roman"/>
          <w:noProof/>
          <w:sz w:val="20"/>
          <w:szCs w:val="20"/>
          <w:lang w:val="en-US"/>
        </w:rPr>
        <w:t>[16]</w:t>
      </w:r>
      <w:r w:rsidRPr="4F533E7D">
        <w:rPr>
          <w:rFonts w:ascii="Times New Roman" w:eastAsia="SimSun" w:hAnsi="Times New Roman" w:cs="Times New Roman"/>
          <w:sz w:val="20"/>
          <w:szCs w:val="20"/>
          <w:lang w:val="en-US"/>
        </w:rPr>
        <w:fldChar w:fldCharType="end"/>
      </w:r>
    </w:p>
    <w:p w14:paraId="5FE9D6EF" w14:textId="2A686A3A" w:rsidR="005703C0" w:rsidRPr="00B51ED4" w:rsidRDefault="000A5196" w:rsidP="00C33017">
      <w:pPr>
        <w:pStyle w:val="1"/>
        <w:adjustRightInd w:val="0"/>
        <w:snapToGrid w:val="0"/>
        <w:spacing w:before="480" w:after="120" w:line="360" w:lineRule="auto"/>
        <w:rPr>
          <w:b/>
          <w:bCs/>
          <w:sz w:val="20"/>
          <w:szCs w:val="20"/>
        </w:rPr>
      </w:pPr>
      <w:r w:rsidRPr="00B51ED4">
        <w:rPr>
          <w:rFonts w:eastAsiaTheme="minorEastAsia"/>
          <w:b/>
          <w:bCs/>
          <w:sz w:val="20"/>
          <w:szCs w:val="20"/>
        </w:rPr>
        <w:t>4.2.2.1</w:t>
      </w:r>
      <w:r w:rsidR="00542732">
        <w:rPr>
          <w:rFonts w:eastAsiaTheme="minorEastAsia"/>
          <w:b/>
          <w:bCs/>
          <w:sz w:val="20"/>
          <w:szCs w:val="20"/>
        </w:rPr>
        <w:t xml:space="preserve"> </w:t>
      </w:r>
      <w:r w:rsidR="005703C0" w:rsidRPr="00B51ED4">
        <w:rPr>
          <w:b/>
          <w:bCs/>
          <w:sz w:val="20"/>
          <w:szCs w:val="20"/>
        </w:rPr>
        <w:t>The calculation process was not transparent</w:t>
      </w:r>
    </w:p>
    <w:p w14:paraId="28E781C4" w14:textId="5ED137BD" w:rsidR="005703C0" w:rsidRPr="005668EA" w:rsidRDefault="005703C0" w:rsidP="006C41A0">
      <w:pPr>
        <w:adjustRightInd w:val="0"/>
        <w:snapToGrid w:val="0"/>
        <w:spacing w:after="120" w:line="360" w:lineRule="auto"/>
        <w:rPr>
          <w:rFonts w:ascii="Times New Roman" w:hAnsi="Times New Roman" w:cs="Times New Roman"/>
          <w:sz w:val="20"/>
          <w:szCs w:val="20"/>
          <w:lang w:val="en-US"/>
        </w:rPr>
      </w:pPr>
      <w:bookmarkStart w:id="38" w:name="_Hlk159256573"/>
      <w:bookmarkStart w:id="39" w:name="_Hlk159256709"/>
      <w:r w:rsidRPr="4F533E7D">
        <w:rPr>
          <w:rFonts w:ascii="Times New Roman" w:hAnsi="Times New Roman" w:cs="Times New Roman"/>
          <w:sz w:val="20"/>
          <w:szCs w:val="20"/>
        </w:rPr>
        <w:t xml:space="preserve">For instance, in the submission </w:t>
      </w:r>
      <w:r w:rsidR="6FDF8473" w:rsidRPr="4F533E7D">
        <w:rPr>
          <w:rFonts w:ascii="Times New Roman" w:hAnsi="Times New Roman" w:cs="Times New Roman"/>
          <w:sz w:val="20"/>
          <w:szCs w:val="20"/>
        </w:rPr>
        <w:t xml:space="preserve">for </w:t>
      </w:r>
      <w:r w:rsidRPr="4F533E7D">
        <w:rPr>
          <w:rFonts w:ascii="Times New Roman" w:hAnsi="Times New Roman" w:cs="Times New Roman"/>
          <w:sz w:val="20"/>
          <w:szCs w:val="20"/>
        </w:rPr>
        <w:t xml:space="preserve">avelumab for </w:t>
      </w:r>
      <w:r w:rsidR="00B821E7" w:rsidRPr="4F533E7D">
        <w:rPr>
          <w:rFonts w:ascii="Times New Roman" w:hAnsi="Times New Roman" w:cs="Times New Roman"/>
          <w:sz w:val="20"/>
          <w:szCs w:val="20"/>
        </w:rPr>
        <w:t xml:space="preserve">the </w:t>
      </w:r>
      <w:r w:rsidRPr="4F533E7D">
        <w:rPr>
          <w:rFonts w:ascii="Times New Roman" w:hAnsi="Times New Roman" w:cs="Times New Roman"/>
          <w:sz w:val="20"/>
          <w:szCs w:val="20"/>
        </w:rPr>
        <w:t xml:space="preserve">treatment of metastatic Merkel cell carcinoma, the sponsor did not provide any patient-level data or STATA code/output </w:t>
      </w:r>
      <w:r w:rsidR="00B821E7" w:rsidRPr="4F533E7D">
        <w:rPr>
          <w:rFonts w:ascii="Times New Roman" w:hAnsi="Times New Roman" w:cs="Times New Roman"/>
          <w:sz w:val="20"/>
          <w:szCs w:val="20"/>
        </w:rPr>
        <w:t xml:space="preserve">for </w:t>
      </w:r>
      <w:r w:rsidRPr="4F533E7D">
        <w:rPr>
          <w:rFonts w:ascii="Times New Roman" w:hAnsi="Times New Roman" w:cs="Times New Roman"/>
          <w:sz w:val="20"/>
          <w:szCs w:val="20"/>
        </w:rPr>
        <w:t>verify</w:t>
      </w:r>
      <w:r w:rsidR="00B821E7" w:rsidRPr="4F533E7D">
        <w:rPr>
          <w:rFonts w:ascii="Times New Roman" w:hAnsi="Times New Roman" w:cs="Times New Roman"/>
          <w:sz w:val="20"/>
          <w:szCs w:val="20"/>
        </w:rPr>
        <w:t>ing</w:t>
      </w:r>
      <w:r w:rsidRPr="4F533E7D">
        <w:rPr>
          <w:rFonts w:ascii="Times New Roman" w:hAnsi="Times New Roman" w:cs="Times New Roman"/>
          <w:sz w:val="20"/>
          <w:szCs w:val="20"/>
        </w:rPr>
        <w:t xml:space="preserve"> the utility values</w:t>
      </w:r>
      <w:r w:rsidR="00B821E7" w:rsidRPr="4F533E7D">
        <w:rPr>
          <w:rFonts w:ascii="Times New Roman" w:hAnsi="Times New Roman" w:cs="Times New Roman"/>
          <w:sz w:val="20"/>
          <w:szCs w:val="20"/>
        </w:rPr>
        <w:t>.</w:t>
      </w:r>
      <w:r w:rsidRPr="4F533E7D">
        <w:rPr>
          <w:rFonts w:ascii="Times New Roman" w:hAnsi="Times New Roman" w:cs="Times New Roman"/>
          <w:sz w:val="20"/>
          <w:szCs w:val="20"/>
        </w:rPr>
        <w:t xml:space="preserve"> </w:t>
      </w:r>
      <w:r w:rsidR="00B821E7" w:rsidRPr="4F533E7D">
        <w:rPr>
          <w:rFonts w:ascii="Times New Roman" w:hAnsi="Times New Roman" w:cs="Times New Roman"/>
          <w:sz w:val="20"/>
          <w:szCs w:val="20"/>
        </w:rPr>
        <w:t xml:space="preserve">Consequently, </w:t>
      </w:r>
      <w:r w:rsidRPr="4F533E7D">
        <w:rPr>
          <w:rFonts w:ascii="Times New Roman" w:hAnsi="Times New Roman" w:cs="Times New Roman"/>
          <w:sz w:val="20"/>
          <w:szCs w:val="20"/>
        </w:rPr>
        <w:t xml:space="preserve"> the PBAC </w:t>
      </w:r>
      <w:r w:rsidR="00B821E7" w:rsidRPr="4F533E7D">
        <w:rPr>
          <w:rFonts w:ascii="Times New Roman" w:hAnsi="Times New Roman" w:cs="Times New Roman"/>
          <w:sz w:val="20"/>
          <w:szCs w:val="20"/>
        </w:rPr>
        <w:t xml:space="preserve">considered </w:t>
      </w:r>
      <w:r w:rsidRPr="4F533E7D">
        <w:rPr>
          <w:rFonts w:ascii="Times New Roman" w:hAnsi="Times New Roman" w:cs="Times New Roman"/>
          <w:sz w:val="20"/>
          <w:szCs w:val="20"/>
        </w:rPr>
        <w:t>there was uncertainty around utility</w:t>
      </w:r>
      <w:bookmarkEnd w:id="38"/>
      <w:r w:rsidR="00877ADB" w:rsidRPr="4F533E7D">
        <w:rPr>
          <w:rFonts w:ascii="Times New Roman" w:hAnsi="Times New Roman" w:cs="Times New Roman"/>
          <w:sz w:val="20"/>
          <w:szCs w:val="20"/>
        </w:rPr>
        <w:t xml:space="preserve"> </w:t>
      </w:r>
      <w:bookmarkEnd w:id="39"/>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Committee&lt;/Author&gt;&lt;Year&gt;2018&lt;/Year&gt;&lt;RecNum&gt;19287&lt;/RecNum&gt;&lt;DisplayText&gt;[38]&lt;/DisplayText&gt;&lt;record&gt;&lt;rec-number&gt;19287&lt;/rec-number&gt;&lt;foreign-keys&gt;&lt;key app="EN" db-id="5zttwaa2gstv57epr5z5zxv325varaa5e9rp" timestamp="1681381096"&gt;19287&lt;/key&gt;&lt;/foreign-keys&gt;&lt;ref-type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Committee&lt;/author&gt;&lt;/secondary-authors&gt;&lt;/contributors&gt;&lt;titles&gt;&lt;title&gt;Avelumab: Solution concentrate for I.V. infusion 200 mg in 10 mL; Bavencio®&lt;/title&gt;&lt;/titles&gt;&lt;dates&gt;&lt;year&gt;2018&lt;/year&gt;&lt;/dates&gt;&lt;urls&gt;&lt;related-urls&gt;&lt;url&gt;https://www.pbs.gov.au/info/industry/listing/elements/pbac-meetings/psd/2018-07/Avelumab-psd-july-2018&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[38]</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w:t>
      </w:r>
    </w:p>
    <w:p w14:paraId="546A081B" w14:textId="343B5BC1" w:rsidR="005703C0" w:rsidRPr="00B51ED4" w:rsidRDefault="000A5196" w:rsidP="006C41A0">
      <w:pPr>
        <w:widowControl/>
        <w:adjustRightInd w:val="0"/>
        <w:snapToGrid w:val="0"/>
        <w:spacing w:beforeLines="50" w:before="156" w:line="360" w:lineRule="auto"/>
        <w:rPr>
          <w:rFonts w:ascii="Times New Roman" w:hAnsi="Times New Roman" w:cs="Times New Roman"/>
          <w:b/>
          <w:bCs/>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2</w:t>
      </w:r>
      <w:r w:rsidR="00542732">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 xml:space="preserve">The duration over which the patient-reported outcome measure informing utilities </w:t>
      </w:r>
      <w:r w:rsidR="0032591B" w:rsidRPr="00B51ED4">
        <w:rPr>
          <w:rFonts w:ascii="Times New Roman" w:hAnsi="Times New Roman" w:cs="Times New Roman"/>
          <w:b/>
          <w:bCs/>
          <w:sz w:val="20"/>
          <w:szCs w:val="20"/>
        </w:rPr>
        <w:t>did not</w:t>
      </w:r>
      <w:r w:rsidR="005703C0" w:rsidRPr="00B51ED4">
        <w:rPr>
          <w:rFonts w:ascii="Times New Roman" w:hAnsi="Times New Roman" w:cs="Times New Roman"/>
          <w:b/>
          <w:bCs/>
          <w:sz w:val="20"/>
          <w:szCs w:val="20"/>
        </w:rPr>
        <w:t xml:space="preserve"> capture all important disease- or condition-specific factors that might be relevant</w:t>
      </w:r>
    </w:p>
    <w:p w14:paraId="02C5CDBA" w14:textId="12D868B4" w:rsidR="005703C0" w:rsidRPr="005668EA" w:rsidRDefault="005703C0" w:rsidP="006C41A0">
      <w:pPr>
        <w:widowControl/>
        <w:adjustRightInd w:val="0"/>
        <w:snapToGrid w:val="0"/>
        <w:spacing w:after="120" w:line="360" w:lineRule="auto"/>
        <w:rPr>
          <w:rFonts w:ascii="Times New Roman" w:hAnsi="Times New Roman" w:cs="Times New Roman"/>
          <w:sz w:val="20"/>
          <w:szCs w:val="20"/>
        </w:rPr>
      </w:pPr>
      <w:bookmarkStart w:id="40" w:name="_Hlk159257659"/>
      <w:r w:rsidRPr="4F533E7D">
        <w:rPr>
          <w:rFonts w:ascii="Times New Roman" w:hAnsi="Times New Roman" w:cs="Times New Roman"/>
          <w:sz w:val="20"/>
          <w:szCs w:val="20"/>
        </w:rPr>
        <w:t xml:space="preserve">For instance, in the submission </w:t>
      </w:r>
      <w:r w:rsidR="58E242CB" w:rsidRPr="4F533E7D">
        <w:rPr>
          <w:rFonts w:ascii="Times New Roman" w:hAnsi="Times New Roman" w:cs="Times New Roman"/>
          <w:sz w:val="20"/>
          <w:szCs w:val="20"/>
        </w:rPr>
        <w:t xml:space="preserve">for </w:t>
      </w:r>
      <w:r w:rsidRPr="4F533E7D">
        <w:rPr>
          <w:rFonts w:ascii="Times New Roman" w:hAnsi="Times New Roman" w:cs="Times New Roman"/>
          <w:sz w:val="20"/>
          <w:szCs w:val="20"/>
        </w:rPr>
        <w:t>cemiplimab for the treatment of patients with metastatic or locally advanced cutaneous squamous cell carcinoma</w:t>
      </w:r>
      <w:r w:rsidR="00877ADB" w:rsidRPr="4F533E7D">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Committee&lt;/Author&gt;&lt;Year&gt;2020&lt;/Year&gt;&lt;RecNum&gt;19288&lt;/RecNum&gt;&lt;DisplayText&gt;[39]&lt;/DisplayText&gt;&lt;record&gt;&lt;rec-number&gt;19288&lt;/rec-number&gt;&lt;foreign-keys&gt;&lt;key app="EN" db-id="5zttwaa2gstv57epr5z5zxv325varaa5e9rp" timestamp="1681381192"&gt;19288&lt;/key&gt;&lt;/foreign-keys&gt;&lt;ref-type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Committee&lt;/author&gt;&lt;/secondary-authors&gt;&lt;/contributors&gt;&lt;titles&gt;&lt;title&gt;Cemiplimab: Solution for I.V. infusion 350 mg in 7 mL; Libtayo®&lt;/title&gt;&lt;/titles&gt;&lt;dates&gt;&lt;year&gt;2020&lt;/year&gt;&lt;/dates&gt;&lt;urls&gt;&lt;related-urls&gt;&lt;url&gt;https://www.pbs.gov.au/info/industry/listing/elements/pbac-meetings/psd/2020-11/cemiplimab-solution-for-i-v-infusion-350-mg-in-7-ml-libta&lt;/url&gt;&lt;/related-urls&gt;&lt;/urls&gt;&lt;access-date&gt;15 Apr 2021&lt;/access-date&gt;&lt;/record&gt;&lt;/Cite&gt;&lt;/EndNote&gt;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[39]</w:t>
      </w:r>
      <w:r w:rsidRPr="4F533E7D">
        <w:rPr>
          <w:rFonts w:ascii="Times New Roman" w:hAnsi="Times New Roman" w:cs="Times New Roman"/>
          <w:sz w:val="20"/>
          <w:szCs w:val="20"/>
        </w:rPr>
        <w:fldChar w:fldCharType="end"/>
      </w:r>
      <w:r w:rsidR="00551873" w:rsidRPr="4F533E7D">
        <w:rPr>
          <w:rFonts w:ascii="Times New Roman" w:hAnsi="Times New Roman" w:cs="Times New Roman"/>
          <w:sz w:val="20"/>
          <w:szCs w:val="20"/>
        </w:rPr>
        <w:t>,</w:t>
      </w:r>
      <w:r w:rsidRPr="4F533E7D">
        <w:rPr>
          <w:rFonts w:ascii="Times New Roman" w:hAnsi="Times New Roman" w:cs="Times New Roman"/>
          <w:sz w:val="20"/>
          <w:szCs w:val="20"/>
        </w:rPr>
        <w:t xml:space="preserve"> </w:t>
      </w:r>
      <w:r w:rsidR="7CA1B028" w:rsidRPr="4F533E7D">
        <w:rPr>
          <w:rFonts w:ascii="Times New Roman" w:hAnsi="Times New Roman" w:cs="Times New Roman"/>
          <w:sz w:val="20"/>
          <w:szCs w:val="20"/>
        </w:rPr>
        <w:t xml:space="preserve">the </w:t>
      </w:r>
      <w:r w:rsidR="00551873" w:rsidRPr="4F533E7D">
        <w:rPr>
          <w:rFonts w:ascii="Times New Roman" w:hAnsi="Times New Roman" w:cs="Times New Roman"/>
          <w:sz w:val="20"/>
          <w:szCs w:val="20"/>
        </w:rPr>
        <w:t>sponsor</w:t>
      </w:r>
      <w:r w:rsidRPr="4F533E7D">
        <w:rPr>
          <w:rFonts w:ascii="Times New Roman" w:hAnsi="Times New Roman" w:cs="Times New Roman"/>
          <w:sz w:val="20"/>
          <w:szCs w:val="20"/>
        </w:rPr>
        <w:t xml:space="preserve"> derived health state utilities from the European Organization for the Research and Treatment of Cancer Quality of Life Questionnaire data collected in a pivotal trial (Study 1540</w:t>
      </w:r>
      <w:r w:rsidR="00551873" w:rsidRPr="4F533E7D">
        <w:rPr>
          <w:rFonts w:ascii="Times New Roman" w:hAnsi="Times New Roman" w:cs="Times New Roman"/>
          <w:sz w:val="20"/>
          <w:szCs w:val="20"/>
        </w:rPr>
        <w:t xml:space="preserve">) and </w:t>
      </w:r>
      <w:r w:rsidRPr="4F533E7D">
        <w:rPr>
          <w:rFonts w:ascii="Times New Roman" w:hAnsi="Times New Roman" w:cs="Times New Roman"/>
          <w:sz w:val="20"/>
          <w:szCs w:val="20"/>
        </w:rPr>
        <w:t xml:space="preserve">mapped </w:t>
      </w:r>
      <w:r w:rsidR="00551873" w:rsidRPr="4F533E7D">
        <w:rPr>
          <w:rFonts w:ascii="Times New Roman" w:hAnsi="Times New Roman" w:cs="Times New Roman"/>
          <w:sz w:val="20"/>
          <w:szCs w:val="20"/>
        </w:rPr>
        <w:t xml:space="preserve">utilities </w:t>
      </w:r>
      <w:r w:rsidRPr="4F533E7D">
        <w:rPr>
          <w:rFonts w:ascii="Times New Roman" w:hAnsi="Times New Roman" w:cs="Times New Roman"/>
          <w:sz w:val="20"/>
          <w:szCs w:val="20"/>
        </w:rPr>
        <w:t xml:space="preserve">to EQ-5D using a mapping algorithm by Longworth et al. </w:t>
      </w:r>
      <w:bookmarkStart w:id="41" w:name="_Hlk159257525"/>
      <w:bookmarkStart w:id="42" w:name="_Hlk159257476"/>
      <w:r w:rsidRPr="4F533E7D">
        <w:rPr>
          <w:rFonts w:ascii="Times New Roman" w:hAnsi="Times New Roman" w:cs="Times New Roman"/>
          <w:sz w:val="20"/>
          <w:szCs w:val="20"/>
        </w:rPr>
        <w:t xml:space="preserve">The PBAC </w:t>
      </w:r>
      <w:r w:rsidR="00551873" w:rsidRPr="4F533E7D">
        <w:rPr>
          <w:rFonts w:ascii="Times New Roman" w:hAnsi="Times New Roman" w:cs="Times New Roman"/>
          <w:sz w:val="20"/>
          <w:szCs w:val="20"/>
        </w:rPr>
        <w:t xml:space="preserve">expressed concerns </w:t>
      </w:r>
      <w:r w:rsidR="00056898" w:rsidRPr="4F533E7D">
        <w:rPr>
          <w:rFonts w:ascii="Times New Roman" w:hAnsi="Times New Roman" w:cs="Times New Roman"/>
          <w:sz w:val="20"/>
          <w:szCs w:val="20"/>
        </w:rPr>
        <w:t>about</w:t>
      </w:r>
      <w:r w:rsidR="00551873" w:rsidRPr="4F533E7D">
        <w:rPr>
          <w:rFonts w:ascii="Times New Roman" w:hAnsi="Times New Roman" w:cs="Times New Roman"/>
          <w:sz w:val="20"/>
          <w:szCs w:val="20"/>
        </w:rPr>
        <w:t xml:space="preserve"> the uncertainty</w:t>
      </w:r>
      <w:r w:rsidRPr="4F533E7D">
        <w:rPr>
          <w:rFonts w:ascii="Times New Roman" w:hAnsi="Times New Roman" w:cs="Times New Roman"/>
          <w:sz w:val="20"/>
          <w:szCs w:val="20"/>
        </w:rPr>
        <w:t xml:space="preserve"> </w:t>
      </w:r>
      <w:r w:rsidR="00551873" w:rsidRPr="4F533E7D">
        <w:rPr>
          <w:rFonts w:ascii="Times New Roman" w:hAnsi="Times New Roman" w:cs="Times New Roman"/>
          <w:sz w:val="20"/>
          <w:szCs w:val="20"/>
        </w:rPr>
        <w:t xml:space="preserve">regarding </w:t>
      </w:r>
      <w:r w:rsidRPr="4F533E7D">
        <w:rPr>
          <w:rFonts w:ascii="Times New Roman" w:hAnsi="Times New Roman" w:cs="Times New Roman"/>
          <w:sz w:val="20"/>
          <w:szCs w:val="20"/>
        </w:rPr>
        <w:t>the representativeness of the responders who provided the health-related quality of life data throughout Study 1540</w:t>
      </w:r>
      <w:bookmarkEnd w:id="41"/>
      <w:r w:rsidRPr="4F533E7D">
        <w:rPr>
          <w:rFonts w:ascii="Times New Roman" w:hAnsi="Times New Roman" w:cs="Times New Roman"/>
          <w:sz w:val="20"/>
          <w:szCs w:val="20"/>
        </w:rPr>
        <w:t>.</w:t>
      </w:r>
      <w:bookmarkEnd w:id="42"/>
      <w:r w:rsidRPr="4F533E7D">
        <w:rPr>
          <w:rFonts w:ascii="Times New Roman" w:hAnsi="Times New Roman" w:cs="Times New Roman"/>
          <w:sz w:val="20"/>
          <w:szCs w:val="20"/>
        </w:rPr>
        <w:t xml:space="preserve"> </w:t>
      </w:r>
      <w:bookmarkStart w:id="43" w:name="_Hlk159258243"/>
      <w:bookmarkEnd w:id="40"/>
      <w:r w:rsidRPr="4F533E7D">
        <w:rPr>
          <w:rFonts w:ascii="Times New Roman" w:hAnsi="Times New Roman" w:cs="Times New Roman"/>
          <w:sz w:val="20"/>
          <w:szCs w:val="20"/>
        </w:rPr>
        <w:t xml:space="preserve">An insufficient follow-up period in Study 1540 implied that the disabilities associated with deteriorating progressive disease could not be fully captured during the study observation period. </w:t>
      </w:r>
      <w:r w:rsidR="009C4F2D" w:rsidRPr="4F533E7D">
        <w:rPr>
          <w:rFonts w:ascii="Times New Roman" w:hAnsi="Times New Roman" w:cs="Times New Roman"/>
          <w:sz w:val="20"/>
          <w:szCs w:val="20"/>
        </w:rPr>
        <w:t>T</w:t>
      </w:r>
      <w:r w:rsidRPr="4F533E7D">
        <w:rPr>
          <w:rFonts w:ascii="Times New Roman" w:hAnsi="Times New Roman" w:cs="Times New Roman"/>
          <w:sz w:val="20"/>
          <w:szCs w:val="20"/>
        </w:rPr>
        <w:t xml:space="preserve">his submission </w:t>
      </w:r>
      <w:r w:rsidR="00636814" w:rsidRPr="4F533E7D">
        <w:rPr>
          <w:rFonts w:ascii="Times New Roman" w:hAnsi="Times New Roman" w:cs="Times New Roman"/>
          <w:sz w:val="20"/>
          <w:szCs w:val="20"/>
        </w:rPr>
        <w:t>was judged</w:t>
      </w:r>
      <w:r w:rsidRPr="4F533E7D">
        <w:rPr>
          <w:rFonts w:ascii="Times New Roman" w:hAnsi="Times New Roman" w:cs="Times New Roman"/>
          <w:sz w:val="20"/>
          <w:szCs w:val="20"/>
        </w:rPr>
        <w:t xml:space="preserve"> </w:t>
      </w:r>
      <w:r w:rsidR="002E3C7E" w:rsidRPr="4F533E7D">
        <w:rPr>
          <w:rFonts w:ascii="Times New Roman" w:hAnsi="Times New Roman" w:cs="Times New Roman"/>
          <w:sz w:val="20"/>
          <w:szCs w:val="20"/>
        </w:rPr>
        <w:t xml:space="preserve">to have </w:t>
      </w:r>
      <w:r w:rsidRPr="4F533E7D">
        <w:rPr>
          <w:rFonts w:ascii="Times New Roman" w:hAnsi="Times New Roman" w:cs="Times New Roman"/>
          <w:sz w:val="20"/>
          <w:szCs w:val="20"/>
        </w:rPr>
        <w:t>uncertainty around the method to estimate utility values.</w:t>
      </w:r>
    </w:p>
    <w:p w14:paraId="1894A04F" w14:textId="77777777" w:rsidR="00542732" w:rsidRDefault="00542732" w:rsidP="006C41A0">
      <w:pPr>
        <w:widowControl/>
        <w:adjustRightInd w:val="0"/>
        <w:snapToGrid w:val="0"/>
        <w:spacing w:line="360" w:lineRule="auto"/>
        <w:rPr>
          <w:rFonts w:ascii="Times New Roman" w:hAnsi="Times New Roman" w:cs="Times New Roman"/>
          <w:b/>
          <w:bCs/>
          <w:sz w:val="20"/>
          <w:szCs w:val="20"/>
        </w:rPr>
      </w:pPr>
    </w:p>
    <w:p w14:paraId="79720AD8" w14:textId="399B5EE7" w:rsidR="005703C0" w:rsidRPr="00B51ED4" w:rsidRDefault="000A5196" w:rsidP="006C41A0">
      <w:pPr>
        <w:widowControl/>
        <w:adjustRightInd w:val="0"/>
        <w:snapToGrid w:val="0"/>
        <w:spacing w:line="360" w:lineRule="auto"/>
        <w:rPr>
          <w:rFonts w:ascii="Times New Roman" w:hAnsi="Times New Roman" w:cs="Times New Roman"/>
          <w:b/>
          <w:bCs/>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3</w:t>
      </w:r>
      <w:r w:rsidRPr="00B51ED4">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Some bia</w:t>
      </w:r>
      <w:r w:rsidR="00980B16" w:rsidRPr="00B51ED4">
        <w:rPr>
          <w:rFonts w:ascii="Times New Roman" w:hAnsi="Times New Roman" w:cs="Times New Roman"/>
          <w:b/>
          <w:bCs/>
          <w:sz w:val="20"/>
          <w:szCs w:val="20"/>
        </w:rPr>
        <w:t>se</w:t>
      </w:r>
      <w:r w:rsidR="005703C0" w:rsidRPr="00B51ED4">
        <w:rPr>
          <w:rFonts w:ascii="Times New Roman" w:hAnsi="Times New Roman" w:cs="Times New Roman"/>
          <w:b/>
          <w:bCs/>
          <w:sz w:val="20"/>
          <w:szCs w:val="20"/>
        </w:rPr>
        <w:t xml:space="preserve">s </w:t>
      </w:r>
      <w:r w:rsidR="00FF5E7B" w:rsidRPr="00B51ED4">
        <w:rPr>
          <w:rFonts w:ascii="Times New Roman" w:hAnsi="Times New Roman" w:cs="Times New Roman"/>
          <w:b/>
          <w:bCs/>
          <w:sz w:val="20"/>
          <w:szCs w:val="20"/>
        </w:rPr>
        <w:t>c</w:t>
      </w:r>
      <w:r w:rsidR="005703C0" w:rsidRPr="00B51ED4">
        <w:rPr>
          <w:rFonts w:ascii="Times New Roman" w:hAnsi="Times New Roman" w:cs="Times New Roman"/>
          <w:b/>
          <w:bCs/>
          <w:sz w:val="20"/>
          <w:szCs w:val="20"/>
        </w:rPr>
        <w:t>ould under or overestimate the utility value</w:t>
      </w:r>
    </w:p>
    <w:bookmarkEnd w:id="43"/>
    <w:p w14:paraId="37D25720" w14:textId="035E6B02" w:rsidR="005703C0" w:rsidRDefault="5BF422C1" w:rsidP="006C41A0">
      <w:pPr>
        <w:pStyle w:val="TableText"/>
        <w:keepNext w:val="0"/>
        <w:adjustRightInd w:val="0"/>
        <w:snapToGrid w:val="0"/>
        <w:spacing w:after="120" w:line="360" w:lineRule="auto"/>
        <w:jc w:val="both"/>
        <w:rPr>
          <w:rFonts w:ascii="Times New Roman" w:eastAsiaTheme="minorEastAsia" w:hAnsi="Times New Roman" w:cs="Times New Roman"/>
          <w:sz w:val="20"/>
          <w:szCs w:val="20"/>
        </w:rPr>
      </w:pPr>
      <w:r w:rsidRPr="4F533E7D">
        <w:rPr>
          <w:rFonts w:ascii="Times New Roman" w:hAnsi="Times New Roman" w:cs="Times New Roman"/>
          <w:sz w:val="20"/>
          <w:szCs w:val="20"/>
        </w:rPr>
        <w:t xml:space="preserve">These </w:t>
      </w:r>
      <w:r w:rsidR="005703C0" w:rsidRPr="4F533E7D">
        <w:rPr>
          <w:rFonts w:ascii="Times New Roman" w:hAnsi="Times New Roman" w:cs="Times New Roman"/>
          <w:sz w:val="20"/>
          <w:szCs w:val="20"/>
        </w:rPr>
        <w:t>bias</w:t>
      </w:r>
      <w:r w:rsidR="1F178AC6" w:rsidRPr="4F533E7D">
        <w:rPr>
          <w:rFonts w:ascii="Times New Roman" w:hAnsi="Times New Roman" w:cs="Times New Roman"/>
          <w:sz w:val="20"/>
          <w:szCs w:val="20"/>
        </w:rPr>
        <w:t>es</w:t>
      </w:r>
      <w:r w:rsidR="005703C0" w:rsidRPr="4F533E7D">
        <w:rPr>
          <w:rFonts w:ascii="Times New Roman" w:hAnsi="Times New Roman" w:cs="Times New Roman"/>
          <w:sz w:val="20"/>
          <w:szCs w:val="20"/>
        </w:rPr>
        <w:t xml:space="preserve"> </w:t>
      </w:r>
      <w:r w:rsidR="005567DC" w:rsidRPr="4F533E7D">
        <w:rPr>
          <w:rFonts w:ascii="Times New Roman" w:hAnsi="Times New Roman" w:cs="Times New Roman"/>
          <w:sz w:val="20"/>
          <w:szCs w:val="20"/>
        </w:rPr>
        <w:t>include</w:t>
      </w:r>
      <w:r w:rsidR="005703C0" w:rsidRPr="4F533E7D">
        <w:rPr>
          <w:rFonts w:ascii="Times New Roman" w:hAnsi="Times New Roman" w:cs="Times New Roman"/>
          <w:sz w:val="20"/>
          <w:szCs w:val="20"/>
        </w:rPr>
        <w:t xml:space="preserve">, but </w:t>
      </w:r>
      <w:r w:rsidR="00F22C83">
        <w:rPr>
          <w:rFonts w:ascii="Times New Roman" w:hAnsi="Times New Roman" w:cs="Times New Roman"/>
          <w:sz w:val="20"/>
          <w:szCs w:val="20"/>
        </w:rPr>
        <w:t>are</w:t>
      </w:r>
      <w:r w:rsidR="005703C0" w:rsidRPr="4F533E7D">
        <w:rPr>
          <w:rFonts w:ascii="Times New Roman" w:hAnsi="Times New Roman" w:cs="Times New Roman"/>
          <w:sz w:val="20"/>
          <w:szCs w:val="20"/>
        </w:rPr>
        <w:t xml:space="preserve"> not limited to, healthy cohort effect, non-response bias, and systematic bias where progressed health states are defined by non-symptomatic events. </w:t>
      </w:r>
      <w:r w:rsidR="005703C0" w:rsidRPr="4F533E7D">
        <w:rPr>
          <w:rFonts w:ascii="Times New Roman" w:eastAsiaTheme="minorEastAsia" w:hAnsi="Times New Roman" w:cs="Times New Roman"/>
          <w:sz w:val="20"/>
          <w:szCs w:val="20"/>
        </w:rPr>
        <w:t xml:space="preserve">For instance, in the submission </w:t>
      </w:r>
      <w:r w:rsidR="25DAF3AB" w:rsidRPr="4F533E7D">
        <w:rPr>
          <w:rFonts w:ascii="Times New Roman" w:eastAsiaTheme="minorEastAsia" w:hAnsi="Times New Roman" w:cs="Times New Roman"/>
          <w:sz w:val="20"/>
          <w:szCs w:val="20"/>
        </w:rPr>
        <w:t xml:space="preserve">for </w:t>
      </w:r>
      <w:r w:rsidR="005703C0" w:rsidRPr="4F533E7D">
        <w:rPr>
          <w:rFonts w:ascii="Times New Roman" w:eastAsiaTheme="minorEastAsia" w:hAnsi="Times New Roman" w:cs="Times New Roman"/>
          <w:sz w:val="20"/>
          <w:szCs w:val="20"/>
        </w:rPr>
        <w:t xml:space="preserve">irinotecan for </w:t>
      </w:r>
      <w:r w:rsidR="00056898" w:rsidRPr="4F533E7D">
        <w:rPr>
          <w:rFonts w:ascii="Times New Roman" w:eastAsiaTheme="minorEastAsia" w:hAnsi="Times New Roman" w:cs="Times New Roman"/>
          <w:sz w:val="20"/>
          <w:szCs w:val="20"/>
        </w:rPr>
        <w:t xml:space="preserve">the </w:t>
      </w:r>
      <w:r w:rsidR="005703C0" w:rsidRPr="4F533E7D">
        <w:rPr>
          <w:rFonts w:ascii="Times New Roman" w:eastAsiaTheme="minorEastAsia" w:hAnsi="Times New Roman" w:cs="Times New Roman"/>
          <w:sz w:val="20"/>
          <w:szCs w:val="20"/>
        </w:rPr>
        <w:t>treatment of metastatic pancreatic adenocarcinoma</w:t>
      </w:r>
      <w:r w:rsidR="00056898" w:rsidRPr="4F533E7D">
        <w:rPr>
          <w:rFonts w:ascii="Times New Roman" w:eastAsiaTheme="minorEastAsia" w:hAnsi="Times New Roman" w:cs="Times New Roman"/>
          <w:sz w:val="20"/>
          <w:szCs w:val="20"/>
        </w:rPr>
        <w:t xml:space="preserve"> </w:t>
      </w:r>
      <w:r w:rsidR="005703C0" w:rsidRPr="4F533E7D">
        <w:rPr>
          <w:rFonts w:ascii="Times New Roman" w:eastAsiaTheme="minorEastAsia" w:hAnsi="Times New Roman" w:cs="Times New Roman"/>
          <w:sz w:val="20"/>
          <w:szCs w:val="20"/>
        </w:rPr>
        <w:fldChar w:fldCharType="begin"/>
      </w:r>
      <w:r w:rsidR="00AD61C8">
        <w:rPr>
          <w:rFonts w:ascii="Times New Roman" w:eastAsiaTheme="minorEastAsia" w:hAnsi="Times New Roman" w:cs="Times New Roman"/>
          <w:sz w:val="20"/>
          <w:szCs w:val="20"/>
        </w:rPr>
        <w:instrText xml:space="preserve"> ADDIN EN.CITE &lt;EndNote&gt;&lt;Cite&gt;&lt;Author&gt;Pharmaceutical Benefits Advisory Committee&lt;/Author&gt;&lt;Year&gt;2016&lt;/Year&gt;&lt;RecNum&gt;19289&lt;/RecNum&gt;&lt;DisplayText&gt;[40]&lt;/DisplayText&gt;&lt;record&gt;&lt;rec-number&gt;19289&lt;/rec-number&gt;&lt;foreign-keys&gt;&lt;key app="EN" db-id="5zttwaa2gstv57epr5z5zxv325varaa5e9rp" timestamp="1681381316"&gt;19289&lt;/key&gt;&lt;/foreign-keys&gt;&lt;ref-type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Committee&lt;/author&gt;&lt;/secondary-authors&gt;&lt;/contributors&gt;&lt;titles&gt;&lt;title&gt;Irinotecan (nanoliposomal): Injection concentrate for I.V. infusion 43 mg (as sucrosofate) in 10 mL; Onivyde®&lt;/title&gt;&lt;/titles&gt;&lt;dates&gt;&lt;year&gt;2016&lt;/year&gt;&lt;/dates&gt;&lt;urls&gt;&lt;related-urls&gt;&lt;url&gt;https://www.pbs.gov.au/info/industry/listing/elements/pbac-meetings/psd/2016-11/irinotecan-nanoliposomal-psd-november-2016&lt;/url&gt;&lt;/related-urls&gt;&lt;/urls&gt;&lt;access-date&gt;30 Aug 2020&lt;/access-date&gt;&lt;/record&gt;&lt;/Cite&gt;&lt;/EndNote&gt;</w:instrText>
      </w:r>
      <w:r w:rsidR="005703C0" w:rsidRPr="4F533E7D">
        <w:rPr>
          <w:rFonts w:ascii="Times New Roman" w:eastAsiaTheme="minorEastAsia" w:hAnsi="Times New Roman" w:cs="Times New Roman"/>
          <w:sz w:val="20"/>
          <w:szCs w:val="20"/>
        </w:rPr>
        <w:fldChar w:fldCharType="separate"/>
      </w:r>
      <w:r w:rsidR="00AD61C8">
        <w:rPr>
          <w:rFonts w:ascii="Times New Roman" w:eastAsiaTheme="minorEastAsia" w:hAnsi="Times New Roman" w:cs="Times New Roman"/>
          <w:noProof/>
          <w:sz w:val="20"/>
          <w:szCs w:val="20"/>
        </w:rPr>
        <w:t>[40]</w:t>
      </w:r>
      <w:r w:rsidR="005703C0" w:rsidRPr="4F533E7D">
        <w:rPr>
          <w:rFonts w:ascii="Times New Roman" w:eastAsiaTheme="minorEastAsia" w:hAnsi="Times New Roman" w:cs="Times New Roman"/>
          <w:sz w:val="20"/>
          <w:szCs w:val="20"/>
        </w:rPr>
        <w:fldChar w:fldCharType="end"/>
      </w:r>
      <w:r w:rsidR="00157BFC" w:rsidRPr="4F533E7D">
        <w:rPr>
          <w:rFonts w:ascii="Times New Roman" w:eastAsiaTheme="minorEastAsia" w:hAnsi="Times New Roman" w:cs="Times New Roman"/>
          <w:sz w:val="20"/>
          <w:szCs w:val="20"/>
        </w:rPr>
        <w:t>,</w:t>
      </w:r>
      <w:r w:rsidR="005703C0" w:rsidRPr="4F533E7D">
        <w:rPr>
          <w:rFonts w:ascii="Times New Roman" w:eastAsiaTheme="minorEastAsia" w:hAnsi="Times New Roman" w:cs="Times New Roman"/>
          <w:sz w:val="20"/>
          <w:szCs w:val="20"/>
        </w:rPr>
        <w:t xml:space="preserve"> </w:t>
      </w:r>
      <w:r w:rsidR="00157BFC" w:rsidRPr="4F533E7D">
        <w:rPr>
          <w:rFonts w:ascii="Times New Roman" w:eastAsiaTheme="minorEastAsia" w:hAnsi="Times New Roman" w:cs="Times New Roman"/>
          <w:sz w:val="20"/>
          <w:szCs w:val="20"/>
        </w:rPr>
        <w:t>t</w:t>
      </w:r>
      <w:r w:rsidR="005703C0" w:rsidRPr="4F533E7D">
        <w:rPr>
          <w:rFonts w:ascii="Times New Roman" w:eastAsiaTheme="minorEastAsia" w:hAnsi="Times New Roman" w:cs="Times New Roman"/>
          <w:sz w:val="20"/>
          <w:szCs w:val="20"/>
        </w:rPr>
        <w:t xml:space="preserve">he utility values used in states of pre-progression and post-progression may not be representative of the target population. The </w:t>
      </w:r>
      <w:r w:rsidR="005703C0" w:rsidRPr="4F533E7D">
        <w:rPr>
          <w:rFonts w:ascii="Times New Roman" w:eastAsiaTheme="minorEastAsia" w:hAnsi="Times New Roman" w:cs="Times New Roman"/>
          <w:sz w:val="20"/>
          <w:szCs w:val="20"/>
        </w:rPr>
        <w:lastRenderedPageBreak/>
        <w:t>PBAC stated that patients in the health state of pre-progression health state still ha</w:t>
      </w:r>
      <w:r w:rsidR="00501A79" w:rsidRPr="4F533E7D">
        <w:rPr>
          <w:rFonts w:ascii="Times New Roman" w:eastAsiaTheme="minorEastAsia" w:hAnsi="Times New Roman" w:cs="Times New Roman"/>
          <w:sz w:val="20"/>
          <w:szCs w:val="20"/>
        </w:rPr>
        <w:t>d</w:t>
      </w:r>
      <w:r w:rsidR="005703C0" w:rsidRPr="4F533E7D">
        <w:rPr>
          <w:rFonts w:ascii="Times New Roman" w:eastAsiaTheme="minorEastAsia" w:hAnsi="Times New Roman" w:cs="Times New Roman"/>
          <w:sz w:val="20"/>
          <w:szCs w:val="20"/>
        </w:rPr>
        <w:t xml:space="preserve"> metastatic pancreatic cancer, and </w:t>
      </w:r>
      <w:r w:rsidR="00056898" w:rsidRPr="4F533E7D">
        <w:rPr>
          <w:rFonts w:ascii="Times New Roman" w:eastAsiaTheme="minorEastAsia" w:hAnsi="Times New Roman" w:cs="Times New Roman"/>
          <w:sz w:val="20"/>
          <w:szCs w:val="20"/>
        </w:rPr>
        <w:t xml:space="preserve">yet </w:t>
      </w:r>
      <w:r w:rsidR="005703C0" w:rsidRPr="4F533E7D">
        <w:rPr>
          <w:rFonts w:ascii="Times New Roman" w:eastAsiaTheme="minorEastAsia" w:hAnsi="Times New Roman" w:cs="Times New Roman"/>
          <w:sz w:val="20"/>
          <w:szCs w:val="20"/>
        </w:rPr>
        <w:t xml:space="preserve">the specified utility values </w:t>
      </w:r>
      <w:r w:rsidR="00501A79" w:rsidRPr="4F533E7D">
        <w:rPr>
          <w:rFonts w:ascii="Times New Roman" w:eastAsiaTheme="minorEastAsia" w:hAnsi="Times New Roman" w:cs="Times New Roman"/>
          <w:sz w:val="20"/>
          <w:szCs w:val="20"/>
        </w:rPr>
        <w:t>we</w:t>
      </w:r>
      <w:r w:rsidR="005703C0" w:rsidRPr="4F533E7D">
        <w:rPr>
          <w:rFonts w:ascii="Times New Roman" w:eastAsiaTheme="minorEastAsia" w:hAnsi="Times New Roman" w:cs="Times New Roman"/>
          <w:sz w:val="20"/>
          <w:szCs w:val="20"/>
        </w:rPr>
        <w:t xml:space="preserve">re inappropriately </w:t>
      </w:r>
      <w:proofErr w:type="gramStart"/>
      <w:r w:rsidR="005703C0" w:rsidRPr="4F533E7D">
        <w:rPr>
          <w:rFonts w:ascii="Times New Roman" w:eastAsiaTheme="minorEastAsia" w:hAnsi="Times New Roman" w:cs="Times New Roman"/>
          <w:sz w:val="20"/>
          <w:szCs w:val="20"/>
        </w:rPr>
        <w:t>similar to</w:t>
      </w:r>
      <w:proofErr w:type="gramEnd"/>
      <w:r w:rsidR="005703C0" w:rsidRPr="4F533E7D">
        <w:rPr>
          <w:rFonts w:ascii="Times New Roman" w:eastAsiaTheme="minorEastAsia" w:hAnsi="Times New Roman" w:cs="Times New Roman"/>
          <w:sz w:val="20"/>
          <w:szCs w:val="20"/>
        </w:rPr>
        <w:t xml:space="preserve"> those of the general population of the same age.</w:t>
      </w:r>
    </w:p>
    <w:p w14:paraId="1469FB93" w14:textId="77777777" w:rsidR="00542732" w:rsidRDefault="00542732" w:rsidP="006C41A0">
      <w:pPr>
        <w:pStyle w:val="TableText"/>
        <w:keepNext w:val="0"/>
        <w:adjustRightInd w:val="0"/>
        <w:snapToGrid w:val="0"/>
        <w:spacing w:after="120" w:line="360" w:lineRule="auto"/>
        <w:jc w:val="both"/>
        <w:rPr>
          <w:rFonts w:ascii="Times New Roman" w:eastAsiaTheme="minorEastAsia" w:hAnsi="Times New Roman" w:cs="Times New Roman"/>
          <w:sz w:val="20"/>
          <w:szCs w:val="20"/>
        </w:rPr>
      </w:pPr>
    </w:p>
    <w:p w14:paraId="1B652CC3" w14:textId="12D03AEC" w:rsidR="005703C0" w:rsidRPr="005668EA" w:rsidRDefault="000A5196" w:rsidP="006C41A0">
      <w:pPr>
        <w:widowControl/>
        <w:adjustRightInd w:val="0"/>
        <w:snapToGrid w:val="0"/>
        <w:spacing w:line="360" w:lineRule="auto"/>
        <w:rPr>
          <w:rFonts w:ascii="Times New Roman" w:hAnsi="Times New Roman" w:cs="Times New Roman"/>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4</w:t>
      </w:r>
      <w:r w:rsidRPr="00B51ED4">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The approach to pool patient-reported outcome data across arms of a trial was judged to be flawed</w:t>
      </w:r>
    </w:p>
    <w:p w14:paraId="3A5E3C10" w14:textId="58908190" w:rsidR="005703C0" w:rsidRDefault="005703C0" w:rsidP="006C41A0">
      <w:pPr>
        <w:widowControl/>
        <w:adjustRightInd w:val="0"/>
        <w:snapToGrid w:val="0"/>
        <w:spacing w:after="120" w:line="360" w:lineRule="auto"/>
        <w:rPr>
          <w:rFonts w:ascii="Times New Roman" w:hAnsi="Times New Roman" w:cs="Times New Roman"/>
          <w:sz w:val="20"/>
          <w:szCs w:val="20"/>
        </w:rPr>
      </w:pPr>
      <w:bookmarkStart w:id="44" w:name="_Hlk159258819"/>
      <w:r w:rsidRPr="4F533E7D">
        <w:rPr>
          <w:rFonts w:ascii="Times New Roman" w:hAnsi="Times New Roman" w:cs="Times New Roman"/>
          <w:sz w:val="20"/>
          <w:szCs w:val="20"/>
        </w:rPr>
        <w:t xml:space="preserve">Inappropriate pooling </w:t>
      </w:r>
      <w:r w:rsidR="00056898" w:rsidRPr="4F533E7D">
        <w:rPr>
          <w:rFonts w:ascii="Times New Roman" w:hAnsi="Times New Roman" w:cs="Times New Roman"/>
          <w:sz w:val="20"/>
          <w:szCs w:val="20"/>
        </w:rPr>
        <w:t xml:space="preserve">of </w:t>
      </w:r>
      <w:r w:rsidRPr="4F533E7D">
        <w:rPr>
          <w:rFonts w:ascii="Times New Roman" w:hAnsi="Times New Roman" w:cs="Times New Roman"/>
          <w:sz w:val="20"/>
          <w:szCs w:val="20"/>
        </w:rPr>
        <w:t>utility could bias the true utility value when the treatment, together with adverse events</w:t>
      </w:r>
      <w:r w:rsidR="00ED333B"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or any associated long-term implications, </w:t>
      </w:r>
      <w:r w:rsidR="00ED333B" w:rsidRPr="4F533E7D">
        <w:rPr>
          <w:rFonts w:ascii="Times New Roman" w:hAnsi="Times New Roman" w:cs="Times New Roman"/>
          <w:sz w:val="20"/>
          <w:szCs w:val="20"/>
        </w:rPr>
        <w:t xml:space="preserve">affects </w:t>
      </w:r>
      <w:r w:rsidRPr="4F533E7D">
        <w:rPr>
          <w:rFonts w:ascii="Times New Roman" w:hAnsi="Times New Roman" w:cs="Times New Roman"/>
          <w:sz w:val="20"/>
          <w:szCs w:val="20"/>
        </w:rPr>
        <w:t>the health outcome.</w:t>
      </w:r>
      <w:r w:rsidR="00ED333B"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For instance, in the submission </w:t>
      </w:r>
      <w:r w:rsidR="00E75DB0">
        <w:rPr>
          <w:rFonts w:ascii="Times New Roman" w:hAnsi="Times New Roman" w:cs="Times New Roman"/>
          <w:sz w:val="20"/>
          <w:szCs w:val="20"/>
        </w:rPr>
        <w:t>of</w:t>
      </w:r>
      <w:r w:rsidR="00E75DB0" w:rsidRPr="4F533E7D">
        <w:rPr>
          <w:rFonts w:ascii="Times New Roman" w:hAnsi="Times New Roman" w:cs="Times New Roman"/>
          <w:sz w:val="20"/>
          <w:szCs w:val="20"/>
        </w:rPr>
        <w:t xml:space="preserve"> </w:t>
      </w:r>
      <w:r w:rsidRPr="4F533E7D">
        <w:rPr>
          <w:rFonts w:ascii="Times New Roman" w:hAnsi="Times New Roman" w:cs="Times New Roman"/>
          <w:sz w:val="20"/>
          <w:szCs w:val="20"/>
        </w:rPr>
        <w:t xml:space="preserve">risdiplam for </w:t>
      </w:r>
      <w:r w:rsidR="00ED333B" w:rsidRPr="4F533E7D">
        <w:rPr>
          <w:rFonts w:ascii="Times New Roman" w:hAnsi="Times New Roman" w:cs="Times New Roman"/>
          <w:sz w:val="20"/>
          <w:szCs w:val="20"/>
        </w:rPr>
        <w:t xml:space="preserve">the </w:t>
      </w:r>
      <w:r w:rsidRPr="4F533E7D">
        <w:rPr>
          <w:rFonts w:ascii="Times New Roman" w:hAnsi="Times New Roman" w:cs="Times New Roman"/>
          <w:sz w:val="20"/>
          <w:szCs w:val="20"/>
        </w:rPr>
        <w:t>treatment of spinal muscular atrophy, data from risdiplam and comparator arms were inappropriately pooled together</w:t>
      </w:r>
      <w:r w:rsidR="00ED333B" w:rsidRPr="4F533E7D">
        <w:rPr>
          <w:rFonts w:ascii="Times New Roman" w:hAnsi="Times New Roman" w:cs="Times New Roman"/>
          <w:sz w:val="20"/>
          <w:szCs w:val="20"/>
        </w:rPr>
        <w:t xml:space="preserve">. This favoured </w:t>
      </w:r>
      <w:r w:rsidRPr="4F533E7D">
        <w:rPr>
          <w:rFonts w:ascii="Times New Roman" w:hAnsi="Times New Roman" w:cs="Times New Roman"/>
          <w:sz w:val="20"/>
          <w:szCs w:val="20"/>
        </w:rPr>
        <w:t xml:space="preserve">risdiplam as any disabilities associated with adverse events from risdiplam treatment </w:t>
      </w:r>
      <w:r w:rsidR="00ED333B" w:rsidRPr="4F533E7D">
        <w:rPr>
          <w:rFonts w:ascii="Times New Roman" w:hAnsi="Times New Roman" w:cs="Times New Roman"/>
          <w:sz w:val="20"/>
          <w:szCs w:val="20"/>
        </w:rPr>
        <w:t>were</w:t>
      </w:r>
      <w:r w:rsidRPr="4F533E7D">
        <w:rPr>
          <w:rFonts w:ascii="Times New Roman" w:hAnsi="Times New Roman" w:cs="Times New Roman"/>
          <w:sz w:val="20"/>
          <w:szCs w:val="20"/>
        </w:rPr>
        <w:t>, inappropriately, partially attributed to patients treated with comparator</w:t>
      </w:r>
      <w:r w:rsidR="00542732">
        <w:rPr>
          <w:rFonts w:ascii="Times New Roman" w:hAnsi="Times New Roman" w:cs="Times New Roman"/>
          <w:sz w:val="20"/>
          <w:szCs w:val="20"/>
        </w:rPr>
        <w:t xml:space="preserve"> </w:t>
      </w:r>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Committee&lt;/Author&gt;&lt;Year&gt;2021&lt;/Year&gt;&lt;RecNum&gt;19290&lt;/RecNum&gt;&lt;DisplayText&gt;[41]&lt;/DisplayText&gt;&lt;record&gt;&lt;rec-number&gt;19290&lt;/rec-number&gt;&lt;foreign-keys&gt;&lt;key app="EN" db-id="5zttwaa2gstv57epr5z5zxv325varaa5e9rp" timestamp="1681381445"&gt;19290&lt;/key&gt;&lt;/foreign-keys&gt;&lt;ref-type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Committee&lt;/author&gt;&lt;/secondary-authors&gt;&lt;/contributors&gt;&lt;titles&gt;&lt;title&gt;Risdiplam: Powder for oral solution 0.75 mg per 1 mL, 80 mL; Evrysdi®&lt;/title&gt;&lt;/titles&gt;&lt;dates&gt;&lt;year&gt;2021&lt;/year&gt;&lt;/dates&gt;&lt;urls&gt;&lt;related-urls&gt;&lt;url&gt;https://www.pbs.gov.au/info/industry/listing/elements/pbac-meetings/psd/2021-03/risdiplam-powder-for-oral-solution-0-75-mg-per-1-ml-80-ml&lt;/url&gt;&lt;/related-urls&gt;&lt;/urls&gt;&lt;access-date&gt;30 Mar 2022&lt;/access-date&gt;&lt;/record&gt;&lt;/Cite&gt;&lt;/EndNote&gt;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[41]</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w:t>
      </w:r>
    </w:p>
    <w:p w14:paraId="21DE1A45" w14:textId="77777777" w:rsidR="00542732" w:rsidRPr="005668EA" w:rsidRDefault="00542732" w:rsidP="006C41A0">
      <w:pPr>
        <w:widowControl/>
        <w:adjustRightInd w:val="0"/>
        <w:snapToGrid w:val="0"/>
        <w:spacing w:after="120" w:line="360" w:lineRule="auto"/>
        <w:rPr>
          <w:rFonts w:ascii="Times New Roman" w:hAnsi="Times New Roman" w:cs="Times New Roman"/>
          <w:sz w:val="20"/>
          <w:szCs w:val="20"/>
        </w:rPr>
      </w:pPr>
    </w:p>
    <w:bookmarkEnd w:id="44"/>
    <w:p w14:paraId="4C331099" w14:textId="6EB5747F" w:rsidR="005703C0" w:rsidRPr="00B51ED4" w:rsidRDefault="000A5196" w:rsidP="006C41A0">
      <w:pPr>
        <w:widowControl/>
        <w:adjustRightInd w:val="0"/>
        <w:snapToGrid w:val="0"/>
        <w:spacing w:line="360" w:lineRule="auto"/>
        <w:rPr>
          <w:rFonts w:ascii="Times New Roman" w:hAnsi="Times New Roman" w:cs="Times New Roman"/>
          <w:b/>
          <w:bCs/>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5</w:t>
      </w:r>
      <w:r w:rsidRPr="00B51ED4">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 xml:space="preserve">Invalid methods for mapping algorithms to transform </w:t>
      </w:r>
      <w:bookmarkStart w:id="45" w:name="OLE_LINK5"/>
      <w:r w:rsidR="005703C0" w:rsidRPr="00B51ED4">
        <w:rPr>
          <w:rFonts w:ascii="Times New Roman" w:hAnsi="Times New Roman" w:cs="Times New Roman"/>
          <w:b/>
          <w:bCs/>
          <w:sz w:val="20"/>
          <w:szCs w:val="20"/>
        </w:rPr>
        <w:t xml:space="preserve">non-preference-based patient-reported outcomes </w:t>
      </w:r>
      <w:bookmarkEnd w:id="45"/>
      <w:r w:rsidR="005703C0" w:rsidRPr="00B51ED4">
        <w:rPr>
          <w:rFonts w:ascii="Times New Roman" w:hAnsi="Times New Roman" w:cs="Times New Roman"/>
          <w:b/>
          <w:bCs/>
          <w:sz w:val="20"/>
          <w:szCs w:val="20"/>
        </w:rPr>
        <w:t>into preference-based measures to estimate utilities</w:t>
      </w:r>
    </w:p>
    <w:p w14:paraId="5E108ECE" w14:textId="799E70A7" w:rsidR="005703C0" w:rsidRPr="005668EA" w:rsidRDefault="005703C0" w:rsidP="00C15362">
      <w:pPr>
        <w:widowControl/>
        <w:adjustRightInd w:val="0"/>
        <w:snapToGrid w:val="0"/>
        <w:spacing w:after="120" w:line="360" w:lineRule="auto"/>
        <w:rPr>
          <w:rFonts w:ascii="Times New Roman" w:hAnsi="Times New Roman" w:cs="Times New Roman"/>
          <w:sz w:val="20"/>
          <w:szCs w:val="20"/>
        </w:rPr>
      </w:pPr>
      <w:bookmarkStart w:id="46" w:name="_Hlk159259807"/>
      <w:r w:rsidRPr="005668EA">
        <w:rPr>
          <w:rFonts w:ascii="Times New Roman" w:hAnsi="Times New Roman" w:cs="Times New Roman"/>
          <w:sz w:val="20"/>
          <w:szCs w:val="20"/>
        </w:rPr>
        <w:t xml:space="preserve">For instance, in the submission </w:t>
      </w:r>
      <w:r w:rsidR="358151E0" w:rsidRPr="005668EA">
        <w:rPr>
          <w:rFonts w:ascii="Times New Roman" w:hAnsi="Times New Roman" w:cs="Times New Roman"/>
          <w:sz w:val="20"/>
          <w:szCs w:val="20"/>
        </w:rPr>
        <w:t xml:space="preserve">for </w:t>
      </w:r>
      <w:r w:rsidRPr="005668EA">
        <w:rPr>
          <w:rFonts w:ascii="Times New Roman" w:hAnsi="Times New Roman" w:cs="Times New Roman"/>
          <w:sz w:val="20"/>
          <w:szCs w:val="20"/>
        </w:rPr>
        <w:t xml:space="preserve">ravulizumab for </w:t>
      </w:r>
      <w:r w:rsidR="00ED333B" w:rsidRPr="4F533E7D">
        <w:rPr>
          <w:rFonts w:ascii="Times New Roman" w:hAnsi="Times New Roman" w:cs="Times New Roman"/>
          <w:sz w:val="20"/>
          <w:szCs w:val="20"/>
        </w:rPr>
        <w:t xml:space="preserve">the </w:t>
      </w:r>
      <w:r w:rsidRPr="005668EA">
        <w:rPr>
          <w:rFonts w:ascii="Times New Roman" w:hAnsi="Times New Roman" w:cs="Times New Roman"/>
          <w:sz w:val="20"/>
          <w:szCs w:val="20"/>
        </w:rPr>
        <w:t xml:space="preserve">treatment of adults with paroxysmal nocturnal haemoglobinuria, the sponsors claimed </w:t>
      </w:r>
      <w:r w:rsidR="00A9612A" w:rsidRPr="4F533E7D">
        <w:rPr>
          <w:rFonts w:ascii="Times New Roman" w:hAnsi="Times New Roman" w:cs="Times New Roman"/>
          <w:sz w:val="20"/>
          <w:szCs w:val="20"/>
        </w:rPr>
        <w:t xml:space="preserve">that </w:t>
      </w:r>
      <w:r w:rsidRPr="005668EA">
        <w:rPr>
          <w:rFonts w:ascii="Times New Roman" w:hAnsi="Times New Roman" w:cs="Times New Roman"/>
          <w:sz w:val="20"/>
          <w:szCs w:val="20"/>
        </w:rPr>
        <w:t xml:space="preserve">ravulizumab </w:t>
      </w:r>
      <w:r w:rsidR="00A9612A" w:rsidRPr="4F533E7D">
        <w:rPr>
          <w:rFonts w:ascii="Times New Roman" w:hAnsi="Times New Roman" w:cs="Times New Roman"/>
          <w:sz w:val="20"/>
          <w:szCs w:val="20"/>
        </w:rPr>
        <w:t xml:space="preserve">was </w:t>
      </w:r>
      <w:r w:rsidRPr="005668EA">
        <w:rPr>
          <w:rFonts w:ascii="Times New Roman" w:hAnsi="Times New Roman" w:cs="Times New Roman"/>
          <w:sz w:val="20"/>
          <w:szCs w:val="20"/>
        </w:rPr>
        <w:t xml:space="preserve">associated with improvements in disease outcomes such as fatigue, pain and dyspnoea that would translate to </w:t>
      </w:r>
      <w:r w:rsidR="00A9612A" w:rsidRPr="4F533E7D">
        <w:rPr>
          <w:rFonts w:ascii="Times New Roman" w:hAnsi="Times New Roman" w:cs="Times New Roman"/>
          <w:sz w:val="20"/>
          <w:szCs w:val="20"/>
        </w:rPr>
        <w:t xml:space="preserve">an improvement in </w:t>
      </w:r>
      <w:r w:rsidRPr="005668EA">
        <w:rPr>
          <w:rFonts w:ascii="Times New Roman" w:hAnsi="Times New Roman" w:cs="Times New Roman"/>
          <w:sz w:val="20"/>
          <w:szCs w:val="20"/>
        </w:rPr>
        <w:t>non-specific disease-related quality of life. Both the Functional Assessment of Chronic Illness Therapy</w:t>
      </w:r>
      <w:r w:rsidR="001F6DB0">
        <w:rPr>
          <w:rFonts w:ascii="Times New Roman" w:hAnsi="Times New Roman" w:cs="Times New Roman"/>
          <w:sz w:val="20"/>
          <w:szCs w:val="20"/>
        </w:rPr>
        <w:t>-</w:t>
      </w:r>
      <w:r w:rsidRPr="005668EA">
        <w:rPr>
          <w:rFonts w:ascii="Times New Roman" w:hAnsi="Times New Roman" w:cs="Times New Roman"/>
          <w:sz w:val="20"/>
          <w:szCs w:val="20"/>
        </w:rPr>
        <w:t>fatigue scale</w:t>
      </w:r>
      <w:r w:rsidRPr="001F6DB0">
        <w:rPr>
          <w:rFonts w:ascii="Times New Roman" w:hAnsi="Times New Roman" w:cs="Times New Roman"/>
          <w:sz w:val="20"/>
          <w:szCs w:val="20"/>
          <w:vertAlign w:val="superscript"/>
        </w:rPr>
        <w:footnoteReference w:id="2"/>
      </w:r>
      <w:r w:rsidRPr="005668EA">
        <w:rPr>
          <w:rFonts w:ascii="Times New Roman" w:hAnsi="Times New Roman" w:cs="Times New Roman"/>
          <w:sz w:val="20"/>
          <w:szCs w:val="20"/>
        </w:rPr>
        <w:t xml:space="preserve"> and the QLQ‐C30 results suggest</w:t>
      </w:r>
      <w:r w:rsidR="00A9612A" w:rsidRPr="4F533E7D">
        <w:rPr>
          <w:rFonts w:ascii="Times New Roman" w:hAnsi="Times New Roman" w:cs="Times New Roman"/>
          <w:sz w:val="20"/>
          <w:szCs w:val="20"/>
        </w:rPr>
        <w:t>ed</w:t>
      </w:r>
      <w:r w:rsidRPr="005668EA">
        <w:rPr>
          <w:rFonts w:ascii="Times New Roman" w:hAnsi="Times New Roman" w:cs="Times New Roman"/>
          <w:sz w:val="20"/>
          <w:szCs w:val="20"/>
        </w:rPr>
        <w:t xml:space="preserve"> an improvement in measures of fatigue. </w:t>
      </w:r>
      <w:r w:rsidR="00A9612A" w:rsidRPr="4F533E7D">
        <w:rPr>
          <w:rFonts w:ascii="Times New Roman" w:hAnsi="Times New Roman" w:cs="Times New Roman"/>
          <w:sz w:val="20"/>
          <w:szCs w:val="20"/>
        </w:rPr>
        <w:t>However</w:t>
      </w:r>
      <w:r w:rsidRPr="005668EA">
        <w:rPr>
          <w:rFonts w:ascii="Times New Roman" w:hAnsi="Times New Roman" w:cs="Times New Roman"/>
          <w:sz w:val="20"/>
          <w:szCs w:val="20"/>
        </w:rPr>
        <w:t>, in other domains, including pain, dyspnoea did not show validation as there was limited information</w:t>
      </w:r>
      <w:r w:rsidR="00A9612A" w:rsidRPr="4F533E7D">
        <w:rPr>
          <w:rFonts w:ascii="Times New Roman" w:hAnsi="Times New Roman" w:cs="Times New Roman"/>
          <w:sz w:val="20"/>
          <w:szCs w:val="20"/>
        </w:rPr>
        <w:t xml:space="preserve"> </w:t>
      </w:r>
      <w:r w:rsidR="005826B6" w:rsidRPr="005668EA">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Committee&lt;/Author&gt;&lt;Year&gt;2020&lt;/Year&gt;&lt;RecNum&gt;19291&lt;/RecNum&gt;&lt;DisplayText&gt;[42]&lt;/DisplayText&gt;&lt;record&gt;&lt;rec-number&gt;19291&lt;/rec-number&gt;&lt;foreign-keys&gt;&lt;key app="EN" db-id="5zttwaa2gstv57epr5z5zxv325varaa5e9rp" timestamp="1681381583"&gt;19291&lt;/key&gt;&lt;/foreign-keys&gt;&lt;ref-type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Committee&lt;/author&gt;&lt;/secondary-authors&gt;&lt;/contributors&gt;&lt;titles&gt;&lt;title&gt;Ravulizumab: Solution concentrate for I.V. infusion 300 mg in 30 mL; Ultomiris®&lt;/title&gt;&lt;/titles&gt;&lt;dates&gt;&lt;year&gt;2020&lt;/year&gt;&lt;/dates&gt;&lt;urls&gt;&lt;related-urls&gt;&lt;url&gt;https://www.pbs.gov.au/info/industry/listing/elements/pbac-meetings/psd/2020-07/ravulizumab-solution-concentrate-for-iv-infusion-300-mg&lt;/url&gt;&lt;/related-urls&gt;&lt;/urls&gt;&lt;access-date&gt;15 Apr 2021&lt;/access-date&gt;&lt;/record&gt;&lt;/Cite&gt;&lt;/EndNote&gt;</w:instrText>
      </w:r>
      <w:r w:rsidR="005826B6" w:rsidRPr="005668EA">
        <w:rPr>
          <w:rFonts w:ascii="Times New Roman" w:hAnsi="Times New Roman" w:cs="Times New Roman"/>
          <w:sz w:val="20"/>
          <w:szCs w:val="20"/>
        </w:rPr>
        <w:fldChar w:fldCharType="separate"/>
      </w:r>
      <w:r w:rsidR="00AD61C8">
        <w:rPr>
          <w:rFonts w:ascii="Times New Roman" w:hAnsi="Times New Roman" w:cs="Times New Roman"/>
          <w:noProof/>
          <w:sz w:val="20"/>
          <w:szCs w:val="20"/>
        </w:rPr>
        <w:t>[42]</w:t>
      </w:r>
      <w:r w:rsidR="005826B6" w:rsidRPr="005668EA">
        <w:rPr>
          <w:rFonts w:ascii="Times New Roman" w:hAnsi="Times New Roman" w:cs="Times New Roman"/>
          <w:sz w:val="20"/>
          <w:szCs w:val="20"/>
        </w:rPr>
        <w:fldChar w:fldCharType="end"/>
      </w:r>
      <w:r w:rsidRPr="005668EA">
        <w:rPr>
          <w:rFonts w:ascii="Times New Roman" w:hAnsi="Times New Roman" w:cs="Times New Roman"/>
          <w:sz w:val="20"/>
          <w:szCs w:val="20"/>
        </w:rPr>
        <w:t xml:space="preserve">. </w:t>
      </w:r>
    </w:p>
    <w:bookmarkEnd w:id="46"/>
    <w:p w14:paraId="31C48595" w14:textId="77777777" w:rsidR="00542732" w:rsidRDefault="00542732" w:rsidP="006C41A0">
      <w:pPr>
        <w:widowControl/>
        <w:adjustRightInd w:val="0"/>
        <w:snapToGrid w:val="0"/>
        <w:spacing w:line="360" w:lineRule="auto"/>
        <w:rPr>
          <w:rFonts w:ascii="Times New Roman" w:hAnsi="Times New Roman" w:cs="Times New Roman"/>
          <w:b/>
          <w:bCs/>
          <w:sz w:val="20"/>
          <w:szCs w:val="20"/>
        </w:rPr>
      </w:pPr>
    </w:p>
    <w:p w14:paraId="3C434AC7" w14:textId="7964F97F" w:rsidR="005703C0" w:rsidRPr="00B51ED4" w:rsidRDefault="000A5196" w:rsidP="006C41A0">
      <w:pPr>
        <w:widowControl/>
        <w:adjustRightInd w:val="0"/>
        <w:snapToGrid w:val="0"/>
        <w:spacing w:line="360" w:lineRule="auto"/>
        <w:rPr>
          <w:rFonts w:ascii="Times New Roman" w:hAnsi="Times New Roman" w:cs="Times New Roman"/>
          <w:b/>
          <w:bCs/>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6</w:t>
      </w:r>
      <w:r w:rsidRPr="00B51ED4">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Poor justification of using scenario-based methods, such as standard gamble, time trade-off and discrete choice experiments to indirectly elicit utility weights</w:t>
      </w:r>
    </w:p>
    <w:p w14:paraId="7C989B3E" w14:textId="447A59C2" w:rsidR="005703C0" w:rsidRPr="005668EA" w:rsidRDefault="005703C0" w:rsidP="006C41A0">
      <w:pPr>
        <w:adjustRightInd w:val="0"/>
        <w:snapToGrid w:val="0"/>
        <w:spacing w:after="120" w:line="360" w:lineRule="auto"/>
        <w:rPr>
          <w:rFonts w:ascii="Times New Roman" w:hAnsi="Times New Roman" w:cs="Times New Roman"/>
          <w:sz w:val="20"/>
          <w:szCs w:val="20"/>
        </w:rPr>
      </w:pPr>
      <w:bookmarkStart w:id="47" w:name="_Hlk159259946"/>
      <w:r w:rsidRPr="4F533E7D">
        <w:rPr>
          <w:rFonts w:ascii="Times New Roman" w:hAnsi="Times New Roman" w:cs="Times New Roman"/>
          <w:sz w:val="20"/>
          <w:szCs w:val="20"/>
        </w:rPr>
        <w:t xml:space="preserve">For instance, in the submission </w:t>
      </w:r>
      <w:r w:rsidR="7EACA781" w:rsidRPr="4F533E7D">
        <w:rPr>
          <w:rFonts w:ascii="Times New Roman" w:hAnsi="Times New Roman" w:cs="Times New Roman"/>
          <w:sz w:val="20"/>
          <w:szCs w:val="20"/>
        </w:rPr>
        <w:t xml:space="preserve">for </w:t>
      </w:r>
      <w:r w:rsidRPr="4F533E7D">
        <w:rPr>
          <w:rFonts w:ascii="Times New Roman" w:hAnsi="Times New Roman" w:cs="Times New Roman"/>
          <w:sz w:val="20"/>
          <w:szCs w:val="20"/>
        </w:rPr>
        <w:t>diphtheria, tetanus and acellular pertussis vaccine for the prevention of pertussis</w:t>
      </w:r>
      <w:r w:rsidR="6159853F" w:rsidRPr="4F533E7D">
        <w:rPr>
          <w:rFonts w:ascii="Times New Roman" w:hAnsi="Times New Roman" w:cs="Times New Roman"/>
          <w:sz w:val="20"/>
          <w:szCs w:val="20"/>
        </w:rPr>
        <w:t>,</w:t>
      </w:r>
      <w:r w:rsidRPr="4F533E7D">
        <w:rPr>
          <w:rFonts w:ascii="Times New Roman" w:hAnsi="Times New Roman" w:cs="Times New Roman"/>
          <w:sz w:val="20"/>
          <w:szCs w:val="20"/>
        </w:rPr>
        <w:t xml:space="preserve"> </w:t>
      </w:r>
      <w:r w:rsidR="3B74FE39" w:rsidRPr="4F533E7D">
        <w:rPr>
          <w:rFonts w:ascii="Times New Roman" w:hAnsi="Times New Roman" w:cs="Times New Roman"/>
          <w:sz w:val="20"/>
          <w:szCs w:val="20"/>
        </w:rPr>
        <w:t>t</w:t>
      </w:r>
      <w:r w:rsidRPr="4F533E7D">
        <w:rPr>
          <w:rFonts w:ascii="Times New Roman" w:hAnsi="Times New Roman" w:cs="Times New Roman"/>
          <w:sz w:val="20"/>
          <w:szCs w:val="20"/>
        </w:rPr>
        <w:t xml:space="preserve">he utility weights were derived from external literature that used short-term time trade-off (TTO) utilities. The PBAC determined that TTO was a non-conservative approach and raised concerns </w:t>
      </w:r>
      <w:r w:rsidR="00A9612A" w:rsidRPr="4F533E7D">
        <w:rPr>
          <w:rFonts w:ascii="Times New Roman" w:hAnsi="Times New Roman" w:cs="Times New Roman"/>
          <w:sz w:val="20"/>
          <w:szCs w:val="20"/>
        </w:rPr>
        <w:t xml:space="preserve">regarding </w:t>
      </w:r>
      <w:r w:rsidRPr="4F533E7D">
        <w:rPr>
          <w:rFonts w:ascii="Times New Roman" w:hAnsi="Times New Roman" w:cs="Times New Roman"/>
          <w:sz w:val="20"/>
          <w:szCs w:val="20"/>
        </w:rPr>
        <w:t>its suitability for this purpose</w:t>
      </w:r>
      <w:r w:rsidR="00A9612A" w:rsidRPr="4F533E7D">
        <w:rPr>
          <w:rFonts w:ascii="Times New Roman" w:hAnsi="Times New Roman" w:cs="Times New Roman"/>
          <w:sz w:val="20"/>
          <w:szCs w:val="20"/>
        </w:rPr>
        <w:t xml:space="preserve"> </w:t>
      </w:r>
      <w:bookmarkEnd w:id="47"/>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Committee&lt;/Author&gt;&lt;Year&gt;2016&lt;/Year&gt;&lt;RecNum&gt;19306&lt;/RecNum&gt;&lt;DisplayText&gt;[43]&lt;/DisplayText&gt;&lt;record&gt;&lt;rec-number&gt;19306&lt;/rec-number&gt;&lt;foreign-keys&gt;&lt;key app="EN" db-id="5zttwaa2gstv57epr5z5zxv325varaa5e9rp" timestamp="1683617077"&gt;19306&lt;/key&gt;&lt;/foreign-keys&gt;&lt;ref-type name="Government Document"&gt;46&lt;/ref-type&gt;&lt;contributors&gt;&lt;authors&gt;&lt;author&gt;Pharmaceutical Benefits Advisory Committee,&lt;/author&gt;&lt;/authors&gt;&lt;secondary-authors&gt;&lt;author&gt;Australian Government Department of Health and Aged Care&lt;/author&gt;&lt;/secondary-authors&gt;&lt;/contributors&gt;&lt;titles&gt;&lt;title&gt;dTpa Vaccine: 0.5 mL injection, Boostrix®&lt;/title&gt;&lt;/titles&gt;&lt;dates&gt;&lt;year&gt;2016&lt;/year&gt;&lt;/dates&gt;&lt;urls&gt;&lt;related-urls&gt;&lt;url&gt;https://www.pbs.gov.au/info/industry/listing/elements/pbac-meetings/psd/2016-07/dtpa-vaccine-psd-july-2016&lt;/url&gt;&lt;/related-urls&gt;&lt;/urls&gt;&lt;access-date&gt;11 Dec 2021&lt;/access-date&gt;&lt;/record&gt;&lt;/Cite&gt;&lt;/EndNote&gt;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[43]</w:t>
      </w:r>
      <w:r w:rsidRPr="4F533E7D">
        <w:rPr>
          <w:rFonts w:ascii="Times New Roman" w:hAnsi="Times New Roman" w:cs="Times New Roman"/>
          <w:sz w:val="20"/>
          <w:szCs w:val="20"/>
        </w:rPr>
        <w:fldChar w:fldCharType="end"/>
      </w:r>
      <w:r w:rsidR="00D60A6B" w:rsidRPr="4F533E7D">
        <w:rPr>
          <w:rFonts w:ascii="Times New Roman" w:hAnsi="Times New Roman" w:cs="Times New Roman"/>
          <w:sz w:val="20"/>
          <w:szCs w:val="20"/>
        </w:rPr>
        <w:t>.</w:t>
      </w:r>
    </w:p>
    <w:p w14:paraId="5D190042" w14:textId="77777777" w:rsidR="00542732" w:rsidRDefault="00542732" w:rsidP="006C41A0">
      <w:pPr>
        <w:adjustRightInd w:val="0"/>
        <w:snapToGrid w:val="0"/>
        <w:spacing w:after="120" w:line="360" w:lineRule="auto"/>
        <w:rPr>
          <w:rFonts w:ascii="Times New Roman" w:hAnsi="Times New Roman" w:cs="Times New Roman"/>
          <w:b/>
          <w:bCs/>
          <w:sz w:val="20"/>
          <w:szCs w:val="20"/>
        </w:rPr>
      </w:pPr>
    </w:p>
    <w:p w14:paraId="05888965" w14:textId="249401E2" w:rsidR="005703C0" w:rsidRPr="00B51ED4" w:rsidRDefault="000A5196" w:rsidP="006C41A0">
      <w:pPr>
        <w:adjustRightInd w:val="0"/>
        <w:snapToGrid w:val="0"/>
        <w:spacing w:after="120" w:line="360" w:lineRule="auto"/>
        <w:rPr>
          <w:rFonts w:ascii="Times New Roman" w:hAnsi="Times New Roman" w:cs="Times New Roman"/>
          <w:b/>
          <w:bCs/>
          <w:sz w:val="20"/>
          <w:szCs w:val="20"/>
        </w:rPr>
      </w:pPr>
      <w:r w:rsidRPr="00B51ED4">
        <w:rPr>
          <w:rFonts w:ascii="Times New Roman" w:hAnsi="Times New Roman" w:cs="Times New Roman"/>
          <w:b/>
          <w:bCs/>
          <w:sz w:val="20"/>
          <w:szCs w:val="20"/>
        </w:rPr>
        <w:t>4.2.2</w:t>
      </w:r>
      <w:r w:rsidRPr="00B51ED4">
        <w:rPr>
          <w:b/>
          <w:bCs/>
          <w:sz w:val="20"/>
          <w:szCs w:val="20"/>
        </w:rPr>
        <w:t>.</w:t>
      </w:r>
      <w:r w:rsidR="005703C0" w:rsidRPr="00B51ED4">
        <w:rPr>
          <w:rFonts w:ascii="Times New Roman" w:hAnsi="Times New Roman" w:cs="Times New Roman"/>
          <w:b/>
          <w:bCs/>
          <w:sz w:val="20"/>
          <w:szCs w:val="20"/>
        </w:rPr>
        <w:t>7</w:t>
      </w:r>
      <w:r w:rsidRPr="00B51ED4">
        <w:rPr>
          <w:rFonts w:ascii="Times New Roman" w:hAnsi="Times New Roman" w:cs="Times New Roman"/>
          <w:b/>
          <w:bCs/>
          <w:sz w:val="20"/>
          <w:szCs w:val="20"/>
        </w:rPr>
        <w:t xml:space="preserve"> </w:t>
      </w:r>
      <w:r w:rsidR="005703C0" w:rsidRPr="00B51ED4">
        <w:rPr>
          <w:rFonts w:ascii="Times New Roman" w:hAnsi="Times New Roman" w:cs="Times New Roman"/>
          <w:b/>
          <w:bCs/>
          <w:sz w:val="20"/>
          <w:szCs w:val="20"/>
        </w:rPr>
        <w:t>The sample size of a survey on utility</w:t>
      </w:r>
      <w:r w:rsidR="00E34490" w:rsidRPr="00B51ED4">
        <w:rPr>
          <w:rFonts w:ascii="Times New Roman" w:hAnsi="Times New Roman" w:cs="Times New Roman"/>
          <w:b/>
          <w:bCs/>
          <w:sz w:val="20"/>
          <w:szCs w:val="20"/>
        </w:rPr>
        <w:t xml:space="preserve"> values</w:t>
      </w:r>
      <w:r w:rsidR="005703C0" w:rsidRPr="00B51ED4">
        <w:rPr>
          <w:rFonts w:ascii="Times New Roman" w:hAnsi="Times New Roman" w:cs="Times New Roman"/>
          <w:b/>
          <w:bCs/>
          <w:sz w:val="20"/>
          <w:szCs w:val="20"/>
        </w:rPr>
        <w:t xml:space="preserve"> was small</w:t>
      </w:r>
    </w:p>
    <w:p w14:paraId="620BA282" w14:textId="76752626" w:rsidR="005703C0" w:rsidRPr="005668EA" w:rsidRDefault="005703C0" w:rsidP="006C41A0">
      <w:pPr>
        <w:widowControl/>
        <w:adjustRightInd w:val="0"/>
        <w:snapToGrid w:val="0"/>
        <w:spacing w:after="120" w:line="360" w:lineRule="auto"/>
        <w:rPr>
          <w:rFonts w:ascii="Times New Roman" w:hAnsi="Times New Roman" w:cs="Times New Roman"/>
          <w:sz w:val="20"/>
          <w:szCs w:val="20"/>
        </w:rPr>
      </w:pPr>
      <w:bookmarkStart w:id="48" w:name="_Hlk159260237"/>
      <w:r w:rsidRPr="4F533E7D">
        <w:rPr>
          <w:rFonts w:ascii="Times New Roman" w:hAnsi="Times New Roman" w:cs="Times New Roman"/>
          <w:sz w:val="20"/>
          <w:szCs w:val="20"/>
        </w:rPr>
        <w:t xml:space="preserve">For instance, in the submission </w:t>
      </w:r>
      <w:r w:rsidR="1FEACA92" w:rsidRPr="4F533E7D">
        <w:rPr>
          <w:rFonts w:ascii="Times New Roman" w:hAnsi="Times New Roman" w:cs="Times New Roman"/>
          <w:sz w:val="20"/>
          <w:szCs w:val="20"/>
        </w:rPr>
        <w:t xml:space="preserve">for </w:t>
      </w:r>
      <w:r w:rsidRPr="4F533E7D">
        <w:rPr>
          <w:rFonts w:ascii="Times New Roman" w:hAnsi="Times New Roman" w:cs="Times New Roman"/>
          <w:sz w:val="20"/>
          <w:szCs w:val="20"/>
        </w:rPr>
        <w:t>dup</w:t>
      </w:r>
      <w:r w:rsidR="006C0DB9" w:rsidRPr="4F533E7D">
        <w:rPr>
          <w:rFonts w:ascii="Times New Roman" w:hAnsi="Times New Roman" w:cs="Times New Roman"/>
          <w:sz w:val="20"/>
          <w:szCs w:val="20"/>
        </w:rPr>
        <w:t>i</w:t>
      </w:r>
      <w:r w:rsidRPr="4F533E7D">
        <w:rPr>
          <w:rFonts w:ascii="Times New Roman" w:hAnsi="Times New Roman" w:cs="Times New Roman"/>
          <w:sz w:val="20"/>
          <w:szCs w:val="20"/>
        </w:rPr>
        <w:t xml:space="preserve">lumab for </w:t>
      </w:r>
      <w:r w:rsidR="00A9612A" w:rsidRPr="4F533E7D">
        <w:rPr>
          <w:rFonts w:ascii="Times New Roman" w:hAnsi="Times New Roman" w:cs="Times New Roman"/>
          <w:sz w:val="20"/>
          <w:szCs w:val="20"/>
        </w:rPr>
        <w:t xml:space="preserve">the </w:t>
      </w:r>
      <w:r w:rsidRPr="4F533E7D">
        <w:rPr>
          <w:rFonts w:ascii="Times New Roman" w:hAnsi="Times New Roman" w:cs="Times New Roman"/>
          <w:sz w:val="20"/>
          <w:szCs w:val="20"/>
        </w:rPr>
        <w:t>treatment of chronic severe atopic dermatitis</w:t>
      </w:r>
      <w:r w:rsidR="007E4381" w:rsidRPr="4F533E7D">
        <w:rPr>
          <w:rFonts w:ascii="Times New Roman" w:hAnsi="Times New Roman" w:cs="Times New Roman"/>
          <w:sz w:val="20"/>
          <w:szCs w:val="20"/>
        </w:rPr>
        <w:t xml:space="preserve"> (AD)</w:t>
      </w:r>
      <w:r w:rsidRPr="4F533E7D">
        <w:rPr>
          <w:rFonts w:ascii="Times New Roman" w:hAnsi="Times New Roman" w:cs="Times New Roman"/>
          <w:sz w:val="20"/>
          <w:szCs w:val="20"/>
        </w:rPr>
        <w:t>, the committees found that the sponsors used the cost data “was not the most recent and the primary care and dermatologist source was a study of children with AD from 1997 with a small sample size of 48 patients.”</w:t>
      </w:r>
      <w:r w:rsidR="0003509D" w:rsidRPr="4F533E7D">
        <w:rPr>
          <w:rFonts w:ascii="Times New Roman" w:hAnsi="Times New Roman" w:cs="Times New Roman"/>
          <w:sz w:val="20"/>
          <w:szCs w:val="20"/>
        </w:rPr>
        <w:t>,</w:t>
      </w:r>
      <w:r w:rsidR="00263DE1" w:rsidRPr="4F533E7D">
        <w:rPr>
          <w:rFonts w:ascii="Times New Roman" w:hAnsi="Times New Roman" w:cs="Times New Roman"/>
          <w:sz w:val="20"/>
          <w:szCs w:val="20"/>
        </w:rPr>
        <w:t xml:space="preserve"> resulting in</w:t>
      </w:r>
      <w:r w:rsidRPr="4F533E7D">
        <w:rPr>
          <w:rFonts w:ascii="Times New Roman" w:hAnsi="Times New Roman" w:cs="Times New Roman"/>
          <w:sz w:val="20"/>
          <w:szCs w:val="20"/>
        </w:rPr>
        <w:t xml:space="preserve"> high variability</w:t>
      </w:r>
      <w:r w:rsidR="00263DE1" w:rsidRPr="4F533E7D">
        <w:rPr>
          <w:rFonts w:ascii="Times New Roman" w:hAnsi="Times New Roman" w:cs="Times New Roman"/>
          <w:sz w:val="20"/>
          <w:szCs w:val="20"/>
        </w:rPr>
        <w:t xml:space="preserve"> </w:t>
      </w:r>
      <w:bookmarkEnd w:id="48"/>
      <w:r w:rsidRPr="4F533E7D">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Committee&lt;/Author&gt;&lt;Year&gt;2018&lt;/Year&gt;&lt;RecNum&gt;19270&lt;/RecNum&gt;&lt;DisplayText&gt;[13]&lt;/DisplayText&gt;&lt;record&gt;&lt;rec-number&gt;19270&lt;/rec-number&gt;&lt;foreign-keys&gt;&lt;key app="EN" db-id="5zttwaa2gstv57epr5z5zxv325varaa5e9rp" timestamp="1681371961"&gt;19270&lt;/key&gt;&lt;/foreign-keys&gt;&lt;ref-type name="Government Document"&gt;46&lt;/ref-type&gt;&lt;contributors&gt;&lt;authors&gt;&lt;author&gt;Pharmaceutical Benefits Advisory Committee,&lt;/author&gt;&lt;/authors&gt;&lt;/contributors&gt;&lt;titles&gt;&lt;title&gt;Dupilumab: Injection 300 mg in 2 mL single dose pre-filled syringe; Dupixent®&lt;/title&gt;&lt;/titles&gt;&lt;dates&gt;&lt;year&gt;2018&lt;/year&gt;&lt;/dates&gt;&lt;urls&gt;&lt;related-urls&gt;&lt;url&gt;https://www.pbs.gov.au/info/industry/listing/elements/pbac-meetings/psd/2018-07/Dupilumab-psd-july-2018&lt;/url&gt;&lt;/related-urls&gt;&lt;/urls&gt;&lt;access-date&gt;30 Aug 2020&lt;/access-date&gt;&lt;/record&gt;&lt;/Cite&gt;&lt;/EndNote&gt;</w:instrText>
      </w:r>
      <w:r w:rsidRPr="4F533E7D">
        <w:rPr>
          <w:rFonts w:ascii="Times New Roman" w:hAnsi="Times New Roman" w:cs="Times New Roman"/>
          <w:sz w:val="20"/>
          <w:szCs w:val="20"/>
        </w:rPr>
        <w:fldChar w:fldCharType="separate"/>
      </w:r>
      <w:r w:rsidR="00AD61C8">
        <w:rPr>
          <w:rFonts w:ascii="Times New Roman" w:hAnsi="Times New Roman" w:cs="Times New Roman"/>
          <w:noProof/>
          <w:sz w:val="20"/>
          <w:szCs w:val="20"/>
        </w:rPr>
        <w:t>[13]</w:t>
      </w:r>
      <w:r w:rsidRPr="4F533E7D">
        <w:rPr>
          <w:rFonts w:ascii="Times New Roman" w:hAnsi="Times New Roman" w:cs="Times New Roman"/>
          <w:sz w:val="20"/>
          <w:szCs w:val="20"/>
        </w:rPr>
        <w:fldChar w:fldCharType="end"/>
      </w:r>
      <w:r w:rsidRPr="4F533E7D">
        <w:rPr>
          <w:rFonts w:ascii="Times New Roman" w:hAnsi="Times New Roman" w:cs="Times New Roman"/>
          <w:sz w:val="20"/>
          <w:szCs w:val="20"/>
        </w:rPr>
        <w:t>.</w:t>
      </w:r>
    </w:p>
    <w:p w14:paraId="7366459E" w14:textId="2CE37F70" w:rsidR="005703C0" w:rsidRPr="005668EA" w:rsidRDefault="00027691" w:rsidP="00C33017">
      <w:pPr>
        <w:pStyle w:val="Heading4"/>
        <w:adjustRightInd w:val="0"/>
        <w:snapToGrid w:val="0"/>
        <w:spacing w:before="48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lastRenderedPageBreak/>
        <w:t xml:space="preserve">4.2.3 </w:t>
      </w:r>
      <w:r w:rsidR="005703C0" w:rsidRPr="005668EA">
        <w:rPr>
          <w:rFonts w:ascii="Times New Roman" w:eastAsiaTheme="minorEastAsia" w:hAnsi="Times New Roman" w:cs="Times New Roman"/>
          <w:sz w:val="20"/>
          <w:szCs w:val="20"/>
        </w:rPr>
        <w:t xml:space="preserve">Inappropriate assumptions </w:t>
      </w:r>
    </w:p>
    <w:p w14:paraId="6D7A2638" w14:textId="39087799" w:rsidR="00C3584E" w:rsidRPr="000E3D38" w:rsidRDefault="005703C0" w:rsidP="006C41A0">
      <w:pPr>
        <w:pStyle w:val="TableText"/>
        <w:adjustRightInd w:val="0"/>
        <w:snapToGrid w:val="0"/>
        <w:spacing w:line="360" w:lineRule="auto"/>
        <w:jc w:val="both"/>
        <w:rPr>
          <w:rFonts w:ascii="Times New Roman" w:eastAsiaTheme="minorEastAsia" w:hAnsi="Times New Roman" w:cs="Times New Roman"/>
          <w:sz w:val="20"/>
          <w:szCs w:val="20"/>
        </w:rPr>
      </w:pPr>
      <w:r w:rsidRPr="005668EA">
        <w:rPr>
          <w:rFonts w:ascii="Times New Roman" w:eastAsia="SimSun" w:hAnsi="Times New Roman" w:cs="Times New Roman"/>
          <w:kern w:val="0"/>
          <w:sz w:val="20"/>
          <w:szCs w:val="20"/>
        </w:rPr>
        <w:t xml:space="preserve">The uncertainties arise when the utility </w:t>
      </w:r>
      <w:r w:rsidR="002E3C7E">
        <w:rPr>
          <w:rFonts w:ascii="Times New Roman" w:eastAsia="SimSun" w:hAnsi="Times New Roman" w:cs="Times New Roman"/>
          <w:kern w:val="0"/>
          <w:sz w:val="20"/>
          <w:szCs w:val="20"/>
        </w:rPr>
        <w:t>i</w:t>
      </w:r>
      <w:r w:rsidR="002E3C7E" w:rsidRPr="005668EA">
        <w:rPr>
          <w:rFonts w:ascii="Times New Roman" w:eastAsia="SimSun" w:hAnsi="Times New Roman" w:cs="Times New Roman"/>
          <w:kern w:val="0"/>
          <w:sz w:val="20"/>
          <w:szCs w:val="20"/>
        </w:rPr>
        <w:t xml:space="preserve">s </w:t>
      </w:r>
      <w:r w:rsidRPr="005668EA">
        <w:rPr>
          <w:rFonts w:ascii="Times New Roman" w:eastAsia="SimSun" w:hAnsi="Times New Roman" w:cs="Times New Roman"/>
          <w:kern w:val="0"/>
          <w:sz w:val="20"/>
          <w:szCs w:val="20"/>
        </w:rPr>
        <w:t xml:space="preserve">based on unjustified assumptions, such as excluding disutility </w:t>
      </w:r>
      <w:r w:rsidR="00A47D8F" w:rsidRPr="005668EA">
        <w:rPr>
          <w:rFonts w:ascii="Times New Roman" w:eastAsia="SimSun" w:hAnsi="Times New Roman" w:cs="Times New Roman"/>
          <w:kern w:val="0"/>
          <w:sz w:val="20"/>
          <w:szCs w:val="20"/>
        </w:rPr>
        <w:t xml:space="preserve">or </w:t>
      </w:r>
      <w:r w:rsidRPr="005668EA">
        <w:rPr>
          <w:rFonts w:ascii="Times New Roman" w:eastAsia="SimSun" w:hAnsi="Times New Roman" w:cs="Times New Roman"/>
          <w:kern w:val="0"/>
          <w:sz w:val="20"/>
          <w:szCs w:val="20"/>
        </w:rPr>
        <w:t xml:space="preserve">assuming the same or differential utility for health states. </w:t>
      </w:r>
      <w:bookmarkStart w:id="49" w:name="_Hlk159261049"/>
      <w:r w:rsidRPr="4F533E7D">
        <w:rPr>
          <w:rFonts w:ascii="Times New Roman" w:eastAsiaTheme="minorEastAsia" w:hAnsi="Times New Roman" w:cs="Times New Roman"/>
          <w:sz w:val="20"/>
          <w:szCs w:val="20"/>
        </w:rPr>
        <w:t xml:space="preserve">For instance, in the submission </w:t>
      </w:r>
      <w:r w:rsidR="1EB12268" w:rsidRPr="4F533E7D">
        <w:rPr>
          <w:rFonts w:ascii="Times New Roman" w:eastAsiaTheme="minorEastAsia" w:hAnsi="Times New Roman" w:cs="Times New Roman"/>
          <w:sz w:val="20"/>
          <w:szCs w:val="20"/>
        </w:rPr>
        <w:t xml:space="preserve">for </w:t>
      </w:r>
      <w:r w:rsidRPr="4F533E7D">
        <w:rPr>
          <w:rFonts w:ascii="Times New Roman" w:eastAsiaTheme="minorEastAsia" w:hAnsi="Times New Roman" w:cs="Times New Roman"/>
          <w:sz w:val="20"/>
          <w:szCs w:val="20"/>
        </w:rPr>
        <w:t>ciclosporin for</w:t>
      </w:r>
      <w:r w:rsidR="00263DE1" w:rsidRPr="4F533E7D">
        <w:rPr>
          <w:rFonts w:ascii="Times New Roman" w:eastAsiaTheme="minorEastAsia" w:hAnsi="Times New Roman" w:cs="Times New Roman"/>
          <w:sz w:val="20"/>
          <w:szCs w:val="20"/>
        </w:rPr>
        <w:t xml:space="preserve"> the</w:t>
      </w:r>
      <w:r w:rsidRPr="4F533E7D">
        <w:rPr>
          <w:rFonts w:ascii="Times New Roman" w:eastAsiaTheme="minorEastAsia" w:hAnsi="Times New Roman" w:cs="Times New Roman"/>
          <w:sz w:val="20"/>
          <w:szCs w:val="20"/>
        </w:rPr>
        <w:t xml:space="preserve"> treatment of severe keratitis, the sponsor assumed the same utilities for treatment initiation, responder</w:t>
      </w:r>
      <w:r w:rsidR="00263DE1" w:rsidRPr="4F533E7D">
        <w:rPr>
          <w:rFonts w:ascii="Times New Roman" w:eastAsiaTheme="minorEastAsia" w:hAnsi="Times New Roman" w:cs="Times New Roman"/>
          <w:sz w:val="20"/>
          <w:szCs w:val="20"/>
        </w:rPr>
        <w:t>s</w:t>
      </w:r>
      <w:r w:rsidRPr="4F533E7D">
        <w:rPr>
          <w:rFonts w:ascii="Times New Roman" w:eastAsiaTheme="minorEastAsia" w:hAnsi="Times New Roman" w:cs="Times New Roman"/>
          <w:sz w:val="20"/>
          <w:szCs w:val="20"/>
        </w:rPr>
        <w:t xml:space="preserve"> and non-responder</w:t>
      </w:r>
      <w:r w:rsidR="00263DE1" w:rsidRPr="4F533E7D">
        <w:rPr>
          <w:rFonts w:ascii="Times New Roman" w:eastAsiaTheme="minorEastAsia" w:hAnsi="Times New Roman" w:cs="Times New Roman"/>
          <w:sz w:val="20"/>
          <w:szCs w:val="20"/>
        </w:rPr>
        <w:t>s</w:t>
      </w:r>
      <w:r w:rsidRPr="4F533E7D">
        <w:rPr>
          <w:rFonts w:ascii="Times New Roman" w:eastAsiaTheme="minorEastAsia" w:hAnsi="Times New Roman" w:cs="Times New Roman"/>
          <w:sz w:val="20"/>
          <w:szCs w:val="20"/>
        </w:rPr>
        <w:t xml:space="preserve"> </w:t>
      </w:r>
      <w:r w:rsidR="00263DE1" w:rsidRPr="4F533E7D">
        <w:rPr>
          <w:rFonts w:ascii="Times New Roman" w:eastAsiaTheme="minorEastAsia" w:hAnsi="Times New Roman" w:cs="Times New Roman"/>
          <w:sz w:val="20"/>
          <w:szCs w:val="20"/>
        </w:rPr>
        <w:t xml:space="preserve">across </w:t>
      </w:r>
      <w:r w:rsidRPr="4F533E7D">
        <w:rPr>
          <w:rFonts w:ascii="Times New Roman" w:eastAsiaTheme="minorEastAsia" w:hAnsi="Times New Roman" w:cs="Times New Roman"/>
          <w:sz w:val="20"/>
          <w:szCs w:val="20"/>
        </w:rPr>
        <w:t xml:space="preserve">both ciclosporin and </w:t>
      </w:r>
      <w:r w:rsidR="00CA44BC" w:rsidRPr="4F533E7D">
        <w:rPr>
          <w:rFonts w:ascii="Times New Roman" w:eastAsiaTheme="minorEastAsia" w:hAnsi="Times New Roman" w:cs="Times New Roman"/>
          <w:sz w:val="20"/>
          <w:szCs w:val="20"/>
        </w:rPr>
        <w:t xml:space="preserve">best supportive </w:t>
      </w:r>
      <w:r w:rsidR="00C46785" w:rsidRPr="4F533E7D">
        <w:rPr>
          <w:rFonts w:ascii="Times New Roman" w:eastAsiaTheme="minorEastAsia" w:hAnsi="Times New Roman" w:cs="Times New Roman"/>
          <w:sz w:val="20"/>
          <w:szCs w:val="20"/>
        </w:rPr>
        <w:t xml:space="preserve">care </w:t>
      </w:r>
      <w:r w:rsidRPr="4F533E7D">
        <w:rPr>
          <w:rFonts w:ascii="Times New Roman" w:eastAsiaTheme="minorEastAsia" w:hAnsi="Times New Roman" w:cs="Times New Roman"/>
          <w:sz w:val="20"/>
          <w:szCs w:val="20"/>
        </w:rPr>
        <w:t>arms, but without adjusting baseline utility</w:t>
      </w:r>
      <w:r w:rsidR="00542732">
        <w:rPr>
          <w:rFonts w:ascii="Times New Roman" w:eastAsiaTheme="minorEastAsia" w:hAnsi="Times New Roman" w:cs="Times New Roman"/>
          <w:sz w:val="20"/>
          <w:szCs w:val="20"/>
        </w:rPr>
        <w:t xml:space="preserve"> </w:t>
      </w:r>
      <w:r w:rsidRPr="4F533E7D">
        <w:rPr>
          <w:rFonts w:ascii="Times New Roman" w:eastAsiaTheme="minorEastAsia" w:hAnsi="Times New Roman" w:cs="Times New Roman"/>
          <w:sz w:val="20"/>
          <w:szCs w:val="20"/>
        </w:rPr>
        <w:fldChar w:fldCharType="begin"/>
      </w:r>
      <w:r w:rsidR="00687A2B">
        <w:rPr>
          <w:rFonts w:ascii="Times New Roman" w:eastAsiaTheme="minorEastAsia" w:hAnsi="Times New Roman" w:cs="Times New Roman"/>
          <w:sz w:val="20"/>
          <w:szCs w:val="20"/>
        </w:rPr>
        <w:instrText xml:space="preserve"> ADDIN EN.CITE &lt;EndNote&gt;&lt;Cite&gt;&lt;Author&gt;Pharmaceutical Benefits Advisory Committee&lt;/Author&gt;&lt;Year&gt;2021&lt;/Year&gt;&lt;RecNum&gt;19277&lt;/RecNum&gt;&lt;DisplayText&gt;[22]&lt;/DisplayText&gt;&lt;record&gt;&lt;rec-number&gt;19277&lt;/rec-number&gt;&lt;foreign-keys&gt;&lt;key app="EN" db-id="5zttwaa2gstv57epr5z5zxv325varaa5e9rp" timestamp="1681375243"&gt;19277&lt;/key&gt;&lt;/foreign-keys&gt;&lt;ref-type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Committee&lt;/author&gt;&lt;/secondary-authors&gt;&lt;/contributors&gt;&lt;titles&gt;&lt;title&gt;Ciclosporin: Eye drops 0.1%, single dose units 0.4 mL, 30; Ikervis®&lt;/title&gt;&lt;/titles&gt;&lt;dates&gt;&lt;year&gt;2021&lt;/year&gt;&lt;/dates&gt;&lt;urls&gt;&lt;related-urls&gt;&lt;url&gt;https://www.pbs.gov.au/info/industry/listing/elements/pbac-meetings/psd/2021-03/ciclosporin-eye-drops-0-1-single-dose-units-0-4-ml-30&lt;/url&gt;&lt;/related-urls&gt;&lt;/urls&gt;&lt;access-date&gt;30 Mar 2022&lt;/access-date&gt;&lt;/record&gt;&lt;/Cite&gt;&lt;/EndNote&gt;</w:instrText>
      </w:r>
      <w:r w:rsidRPr="4F533E7D">
        <w:rPr>
          <w:rFonts w:ascii="Times New Roman" w:eastAsiaTheme="minorEastAsia" w:hAnsi="Times New Roman" w:cs="Times New Roman"/>
          <w:sz w:val="20"/>
          <w:szCs w:val="20"/>
        </w:rPr>
        <w:fldChar w:fldCharType="separate"/>
      </w:r>
      <w:r w:rsidR="00687A2B">
        <w:rPr>
          <w:rFonts w:ascii="Times New Roman" w:eastAsiaTheme="minorEastAsia" w:hAnsi="Times New Roman" w:cs="Times New Roman"/>
          <w:noProof/>
          <w:sz w:val="20"/>
          <w:szCs w:val="20"/>
        </w:rPr>
        <w:t>[22]</w:t>
      </w:r>
      <w:r w:rsidRPr="4F533E7D">
        <w:rPr>
          <w:rFonts w:ascii="Times New Roman" w:eastAsiaTheme="minorEastAsia" w:hAnsi="Times New Roman" w:cs="Times New Roman"/>
          <w:sz w:val="20"/>
          <w:szCs w:val="20"/>
        </w:rPr>
        <w:fldChar w:fldCharType="end"/>
      </w:r>
      <w:r w:rsidRPr="4F533E7D">
        <w:rPr>
          <w:rFonts w:ascii="Times New Roman" w:eastAsiaTheme="minorEastAsia" w:hAnsi="Times New Roman" w:cs="Times New Roman"/>
          <w:sz w:val="20"/>
          <w:szCs w:val="20"/>
        </w:rPr>
        <w:t xml:space="preserve">. This </w:t>
      </w:r>
      <w:r w:rsidR="00263DE1" w:rsidRPr="4F533E7D">
        <w:rPr>
          <w:rFonts w:ascii="Times New Roman" w:eastAsiaTheme="minorEastAsia" w:hAnsi="Times New Roman" w:cs="Times New Roman"/>
          <w:sz w:val="20"/>
          <w:szCs w:val="20"/>
        </w:rPr>
        <w:t xml:space="preserve">approach resulted in </w:t>
      </w:r>
      <w:r w:rsidR="00C3584E" w:rsidRPr="4F533E7D">
        <w:rPr>
          <w:rFonts w:ascii="Times New Roman" w:eastAsiaTheme="minorEastAsia" w:hAnsi="Times New Roman" w:cs="Times New Roman"/>
          <w:sz w:val="20"/>
          <w:szCs w:val="20"/>
        </w:rPr>
        <w:t xml:space="preserve">the </w:t>
      </w:r>
      <w:r w:rsidRPr="4F533E7D">
        <w:rPr>
          <w:rFonts w:ascii="Times New Roman" w:eastAsiaTheme="minorEastAsia" w:hAnsi="Times New Roman" w:cs="Times New Roman"/>
          <w:sz w:val="20"/>
          <w:szCs w:val="20"/>
        </w:rPr>
        <w:t xml:space="preserve">utility increase for treatment response </w:t>
      </w:r>
      <w:r w:rsidR="00C3584E" w:rsidRPr="4F533E7D">
        <w:rPr>
          <w:rFonts w:ascii="Times New Roman" w:eastAsiaTheme="minorEastAsia" w:hAnsi="Times New Roman" w:cs="Times New Roman"/>
          <w:sz w:val="20"/>
          <w:szCs w:val="20"/>
        </w:rPr>
        <w:t xml:space="preserve">being </w:t>
      </w:r>
      <w:r w:rsidRPr="4F533E7D">
        <w:rPr>
          <w:rFonts w:ascii="Times New Roman" w:eastAsiaTheme="minorEastAsia" w:hAnsi="Times New Roman" w:cs="Times New Roman"/>
          <w:sz w:val="20"/>
          <w:szCs w:val="20"/>
        </w:rPr>
        <w:t xml:space="preserve">much larger than the difference in utility values by treatment arms reported in its pivotal clinical trial. </w:t>
      </w:r>
      <w:r w:rsidR="0003509D" w:rsidRPr="4F533E7D">
        <w:rPr>
          <w:rFonts w:ascii="Times New Roman" w:eastAsiaTheme="minorEastAsia" w:hAnsi="Times New Roman" w:cs="Times New Roman"/>
          <w:sz w:val="20"/>
          <w:szCs w:val="20"/>
        </w:rPr>
        <w:t>Additionally</w:t>
      </w:r>
      <w:r w:rsidRPr="4F533E7D">
        <w:rPr>
          <w:rFonts w:ascii="Times New Roman" w:eastAsiaTheme="minorEastAsia" w:hAnsi="Times New Roman" w:cs="Times New Roman"/>
          <w:sz w:val="20"/>
          <w:szCs w:val="20"/>
        </w:rPr>
        <w:t xml:space="preserve">, in the submission </w:t>
      </w:r>
      <w:r w:rsidR="2B814B64" w:rsidRPr="4F533E7D">
        <w:rPr>
          <w:rFonts w:ascii="Times New Roman" w:eastAsiaTheme="minorEastAsia" w:hAnsi="Times New Roman" w:cs="Times New Roman"/>
          <w:sz w:val="20"/>
          <w:szCs w:val="20"/>
        </w:rPr>
        <w:t xml:space="preserve">for </w:t>
      </w:r>
      <w:r w:rsidRPr="4F533E7D">
        <w:rPr>
          <w:rFonts w:ascii="Times New Roman" w:eastAsiaTheme="minorEastAsia" w:hAnsi="Times New Roman" w:cs="Times New Roman"/>
          <w:sz w:val="20"/>
          <w:szCs w:val="20"/>
        </w:rPr>
        <w:t>blinatumomab for</w:t>
      </w:r>
      <w:r w:rsidR="00C3584E" w:rsidRPr="4F533E7D">
        <w:rPr>
          <w:rFonts w:ascii="Times New Roman" w:eastAsiaTheme="minorEastAsia" w:hAnsi="Times New Roman" w:cs="Times New Roman"/>
          <w:sz w:val="20"/>
          <w:szCs w:val="20"/>
        </w:rPr>
        <w:t xml:space="preserve"> the</w:t>
      </w:r>
      <w:r w:rsidRPr="4F533E7D">
        <w:rPr>
          <w:rFonts w:ascii="Times New Roman" w:eastAsiaTheme="minorEastAsia" w:hAnsi="Times New Roman" w:cs="Times New Roman"/>
          <w:sz w:val="20"/>
          <w:szCs w:val="20"/>
        </w:rPr>
        <w:t xml:space="preserve"> treatment of Philadelphia negative B-precursor acute lymphoblastic leukaemia, the PBAC noted the economic model should consider utility consequences in patients who received further salvage therapies after not responding to or relapsing after treatment. Without these assumptions, the ICER would be underestimated. </w:t>
      </w:r>
    </w:p>
    <w:p w14:paraId="173CAC9C" w14:textId="77951AA8" w:rsidR="4F533E7D" w:rsidRDefault="4F533E7D" w:rsidP="00C15362">
      <w:pPr>
        <w:pStyle w:val="TableText"/>
        <w:adjustRightInd w:val="0"/>
        <w:snapToGrid w:val="0"/>
        <w:spacing w:line="360" w:lineRule="auto"/>
        <w:jc w:val="both"/>
        <w:rPr>
          <w:rFonts w:ascii="Times New Roman" w:eastAsiaTheme="minorEastAsia" w:hAnsi="Times New Roman" w:cs="Times New Roman"/>
          <w:sz w:val="20"/>
          <w:szCs w:val="20"/>
        </w:rPr>
      </w:pPr>
    </w:p>
    <w:tbl>
      <w:tblPr>
        <w:tblStyle w:val="TableGrid"/>
        <w:tblW w:w="0" w:type="auto"/>
        <w:tblLook w:val="04A0" w:firstRow="1" w:lastRow="0" w:firstColumn="1" w:lastColumn="0" w:noHBand="0" w:noVBand="1"/>
      </w:tblPr>
      <w:tblGrid>
        <w:gridCol w:w="2689"/>
        <w:gridCol w:w="5607"/>
      </w:tblGrid>
      <w:tr w:rsidR="005703C0" w:rsidRPr="005668EA" w14:paraId="2FA2BE87" w14:textId="77777777" w:rsidTr="4F533E7D">
        <w:tc>
          <w:tcPr>
            <w:tcW w:w="2689" w:type="dxa"/>
          </w:tcPr>
          <w:bookmarkEnd w:id="49"/>
          <w:p w14:paraId="63B19BD5"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607" w:type="dxa"/>
          </w:tcPr>
          <w:p w14:paraId="2FB436B0"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Was the utility value judged as having uncertainty?</w:t>
            </w:r>
          </w:p>
        </w:tc>
      </w:tr>
      <w:tr w:rsidR="005703C0" w:rsidRPr="005668EA" w14:paraId="527E5627" w14:textId="77777777" w:rsidTr="4F533E7D">
        <w:tc>
          <w:tcPr>
            <w:tcW w:w="2689" w:type="dxa"/>
          </w:tcPr>
          <w:p w14:paraId="11740A8D"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607" w:type="dxa"/>
          </w:tcPr>
          <w:p w14:paraId="2BC57DF8" w14:textId="7903E6B8"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53BC05CF" w14:textId="2592C0D4" w:rsidR="005703C0" w:rsidRPr="005668EA" w:rsidRDefault="004D0524" w:rsidP="00C33017">
      <w:pPr>
        <w:pStyle w:val="Heading3"/>
        <w:adjustRightInd w:val="0"/>
        <w:snapToGrid w:val="0"/>
        <w:spacing w:before="480" w:after="0" w:line="360" w:lineRule="auto"/>
        <w:rPr>
          <w:rFonts w:ascii="Times New Roman" w:hAnsi="Times New Roman" w:cs="Times New Roman"/>
          <w:sz w:val="20"/>
          <w:szCs w:val="20"/>
        </w:rPr>
      </w:pPr>
      <w:r w:rsidRPr="005668EA">
        <w:rPr>
          <w:rFonts w:ascii="Times New Roman" w:hAnsi="Times New Roman" w:cs="Times New Roman"/>
          <w:sz w:val="20"/>
          <w:szCs w:val="20"/>
        </w:rPr>
        <w:t>4</w:t>
      </w:r>
      <w:r w:rsidR="005703C0" w:rsidRPr="005668EA">
        <w:rPr>
          <w:rFonts w:ascii="Times New Roman" w:hAnsi="Times New Roman" w:cs="Times New Roman"/>
          <w:sz w:val="20"/>
          <w:szCs w:val="20"/>
        </w:rPr>
        <w:t>.3 Uncertainty around cost estimation</w:t>
      </w:r>
    </w:p>
    <w:p w14:paraId="6F37C8C3" w14:textId="11B7B1B8" w:rsidR="005703C0" w:rsidRPr="005668EA" w:rsidRDefault="005703C0" w:rsidP="006C41A0">
      <w:pPr>
        <w:adjustRightInd w:val="0"/>
        <w:snapToGrid w:val="0"/>
        <w:spacing w:after="120" w:line="360" w:lineRule="auto"/>
        <w:rPr>
          <w:rFonts w:ascii="Times New Roman" w:hAnsi="Times New Roman" w:cs="Times New Roman"/>
          <w:sz w:val="20"/>
          <w:szCs w:val="20"/>
        </w:rPr>
      </w:pPr>
      <w:bookmarkStart w:id="50" w:name="_Hlk111196106"/>
      <w:r w:rsidRPr="4F533E7D">
        <w:rPr>
          <w:rFonts w:ascii="Times New Roman" w:hAnsi="Times New Roman" w:cs="Times New Roman"/>
          <w:sz w:val="20"/>
          <w:szCs w:val="20"/>
        </w:rPr>
        <w:t>If the PBAC judged the cost estimated in the submission had the following issues, there w</w:t>
      </w:r>
      <w:r w:rsidR="0003509D" w:rsidRPr="4F533E7D">
        <w:rPr>
          <w:rFonts w:ascii="Times New Roman" w:hAnsi="Times New Roman" w:cs="Times New Roman"/>
          <w:sz w:val="20"/>
          <w:szCs w:val="20"/>
        </w:rPr>
        <w:t>as</w:t>
      </w:r>
      <w:r w:rsidRPr="4F533E7D">
        <w:rPr>
          <w:rFonts w:ascii="Times New Roman" w:hAnsi="Times New Roman" w:cs="Times New Roman"/>
          <w:sz w:val="20"/>
          <w:szCs w:val="20"/>
        </w:rPr>
        <w:t xml:space="preserve"> parameter uncertainty:</w:t>
      </w:r>
    </w:p>
    <w:bookmarkEnd w:id="50"/>
    <w:p w14:paraId="4A1DD6A0" w14:textId="5CB7741A" w:rsidR="005703C0" w:rsidRPr="005668EA" w:rsidRDefault="00662A26" w:rsidP="00C15362">
      <w:pPr>
        <w:pStyle w:val="Heading4"/>
        <w:adjustRightInd w:val="0"/>
        <w:snapToGrid w:val="0"/>
        <w:spacing w:before="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t xml:space="preserve">4.3.1 </w:t>
      </w:r>
      <w:r w:rsidR="005703C0" w:rsidRPr="005668EA">
        <w:rPr>
          <w:rFonts w:ascii="Times New Roman" w:eastAsiaTheme="minorEastAsia" w:hAnsi="Times New Roman" w:cs="Times New Roman"/>
          <w:sz w:val="20"/>
          <w:szCs w:val="20"/>
        </w:rPr>
        <w:t>Limited or multiple data sources of cost estimation</w:t>
      </w:r>
    </w:p>
    <w:p w14:paraId="75BFA6A4" w14:textId="0351E3A0" w:rsidR="005703C0" w:rsidRPr="005668EA" w:rsidRDefault="005703C0" w:rsidP="00C15362">
      <w:pPr>
        <w:adjustRightInd w:val="0"/>
        <w:snapToGrid w:val="0"/>
        <w:spacing w:line="360" w:lineRule="auto"/>
        <w:rPr>
          <w:rFonts w:ascii="Times New Roman" w:eastAsia="SimSun" w:hAnsi="Times New Roman" w:cs="Times New Roman"/>
          <w:snapToGrid w:val="0"/>
          <w:kern w:val="0"/>
          <w:sz w:val="20"/>
          <w:szCs w:val="20"/>
          <w:lang w:val="en-AU" w:eastAsia="en-US"/>
        </w:rPr>
      </w:pPr>
      <w:r w:rsidRPr="005668EA">
        <w:rPr>
          <w:rFonts w:ascii="Times New Roman" w:eastAsia="SimSun" w:hAnsi="Times New Roman" w:cs="Times New Roman"/>
          <w:snapToGrid w:val="0"/>
          <w:kern w:val="0"/>
          <w:sz w:val="20"/>
          <w:szCs w:val="20"/>
          <w:lang w:val="en-AU" w:eastAsia="en-US"/>
        </w:rPr>
        <w:t xml:space="preserve">For instance, in the submission </w:t>
      </w:r>
      <w:r w:rsidR="2F9F06C9" w:rsidRPr="005668EA">
        <w:rPr>
          <w:rFonts w:ascii="Times New Roman" w:eastAsia="SimSun" w:hAnsi="Times New Roman" w:cs="Times New Roman"/>
          <w:snapToGrid w:val="0"/>
          <w:kern w:val="0"/>
          <w:sz w:val="20"/>
          <w:szCs w:val="20"/>
          <w:lang w:val="en-AU" w:eastAsia="en-US"/>
        </w:rPr>
        <w:t xml:space="preserve">for </w:t>
      </w:r>
      <w:r w:rsidRPr="005668EA">
        <w:rPr>
          <w:rFonts w:ascii="Times New Roman" w:eastAsia="SimSun" w:hAnsi="Times New Roman" w:cs="Times New Roman"/>
          <w:snapToGrid w:val="0"/>
          <w:kern w:val="0"/>
          <w:sz w:val="20"/>
          <w:szCs w:val="20"/>
          <w:lang w:val="en-AU" w:eastAsia="en-US"/>
        </w:rPr>
        <w:t>palbociclib for initial endocrine-based therapy in postmenopausal women with hormone receptor</w:t>
      </w:r>
      <w:r w:rsidR="00A47D8F" w:rsidRPr="005668EA">
        <w:rPr>
          <w:rFonts w:ascii="Times New Roman" w:eastAsia="SimSun" w:hAnsi="Times New Roman" w:cs="Times New Roman"/>
          <w:snapToGrid w:val="0"/>
          <w:kern w:val="0"/>
          <w:sz w:val="20"/>
          <w:szCs w:val="20"/>
          <w:lang w:val="en-AU" w:eastAsia="en-US"/>
        </w:rPr>
        <w:t>-</w:t>
      </w:r>
      <w:r w:rsidRPr="005668EA">
        <w:rPr>
          <w:rFonts w:ascii="Times New Roman" w:eastAsia="SimSun" w:hAnsi="Times New Roman" w:cs="Times New Roman"/>
          <w:snapToGrid w:val="0"/>
          <w:kern w:val="0"/>
          <w:sz w:val="20"/>
          <w:szCs w:val="20"/>
          <w:lang w:val="en-AU" w:eastAsia="en-US"/>
        </w:rPr>
        <w:t>positive, human epidermal growth factor receptor 2 negative advanced breast cancer</w:t>
      </w:r>
      <w:r w:rsidR="0003509D" w:rsidRPr="4F533E7D">
        <w:rPr>
          <w:rFonts w:ascii="Times New Roman" w:eastAsia="SimSun" w:hAnsi="Times New Roman" w:cs="Times New Roman"/>
          <w:sz w:val="20"/>
          <w:szCs w:val="20"/>
          <w:lang w:val="en-AU"/>
        </w:rPr>
        <w:t>, t</w:t>
      </w:r>
      <w:r w:rsidRPr="005668EA">
        <w:rPr>
          <w:rFonts w:ascii="Times New Roman" w:eastAsia="SimSun" w:hAnsi="Times New Roman" w:cs="Times New Roman"/>
          <w:snapToGrid w:val="0"/>
          <w:kern w:val="0"/>
          <w:sz w:val="20"/>
          <w:szCs w:val="20"/>
          <w:lang w:val="en-AU" w:eastAsia="en-US"/>
        </w:rPr>
        <w:t xml:space="preserve">he PBAC considered that it was not clear which source of cost was reasonable to apply to the economic model at this time. </w:t>
      </w:r>
      <w:bookmarkStart w:id="51" w:name="_Hlk159261323"/>
      <w:r w:rsidRPr="005668EA">
        <w:rPr>
          <w:rFonts w:ascii="Times New Roman" w:eastAsia="SimSun" w:hAnsi="Times New Roman" w:cs="Times New Roman"/>
          <w:snapToGrid w:val="0"/>
          <w:kern w:val="0"/>
          <w:sz w:val="20"/>
          <w:szCs w:val="20"/>
          <w:lang w:val="en-AU" w:eastAsia="en-US"/>
        </w:rPr>
        <w:t xml:space="preserve">The PBAC considered that post-progression costs need to be fully accounted for and up-to-date, </w:t>
      </w:r>
      <w:r w:rsidR="00C3584E" w:rsidRPr="4F533E7D">
        <w:rPr>
          <w:rFonts w:ascii="Times New Roman" w:eastAsia="SimSun" w:hAnsi="Times New Roman" w:cs="Times New Roman"/>
          <w:sz w:val="20"/>
          <w:szCs w:val="20"/>
          <w:lang w:val="en-AU" w:eastAsia="en-US"/>
        </w:rPr>
        <w:t>rather than relying on</w:t>
      </w:r>
      <w:r w:rsidR="00872E37" w:rsidRPr="4F533E7D">
        <w:rPr>
          <w:rFonts w:ascii="Times New Roman" w:eastAsia="SimSun" w:hAnsi="Times New Roman" w:cs="Times New Roman"/>
          <w:sz w:val="20"/>
          <w:szCs w:val="20"/>
          <w:lang w:val="en-AU"/>
        </w:rPr>
        <w:t xml:space="preserve"> </w:t>
      </w:r>
      <w:r w:rsidRPr="005668EA">
        <w:rPr>
          <w:rFonts w:ascii="Times New Roman" w:eastAsia="SimSun" w:hAnsi="Times New Roman" w:cs="Times New Roman"/>
          <w:snapToGrid w:val="0"/>
          <w:kern w:val="0"/>
          <w:sz w:val="20"/>
          <w:szCs w:val="20"/>
          <w:lang w:val="en-AU" w:eastAsia="en-US"/>
        </w:rPr>
        <w:t>post-progression cost</w:t>
      </w:r>
      <w:r w:rsidR="00A47D8F" w:rsidRPr="005668EA">
        <w:rPr>
          <w:rFonts w:ascii="Times New Roman" w:eastAsia="SimSun" w:hAnsi="Times New Roman" w:cs="Times New Roman"/>
          <w:snapToGrid w:val="0"/>
          <w:kern w:val="0"/>
          <w:sz w:val="20"/>
          <w:szCs w:val="20"/>
          <w:lang w:val="en-AU" w:eastAsia="en-US"/>
        </w:rPr>
        <w:t>s</w:t>
      </w:r>
      <w:r w:rsidRPr="005668EA">
        <w:rPr>
          <w:rFonts w:ascii="Times New Roman" w:eastAsia="SimSun" w:hAnsi="Times New Roman" w:cs="Times New Roman"/>
          <w:snapToGrid w:val="0"/>
          <w:kern w:val="0"/>
          <w:sz w:val="20"/>
          <w:szCs w:val="20"/>
          <w:lang w:val="en-AU" w:eastAsia="en-US"/>
        </w:rPr>
        <w:t xml:space="preserve"> from Verry et al (2012</w:t>
      </w:r>
      <w:r w:rsidR="00D92494" w:rsidRPr="005668EA">
        <w:rPr>
          <w:rFonts w:ascii="Times New Roman" w:eastAsia="SimSun" w:hAnsi="Times New Roman" w:cs="Times New Roman"/>
          <w:snapToGrid w:val="0"/>
          <w:kern w:val="0"/>
          <w:sz w:val="20"/>
          <w:szCs w:val="20"/>
          <w:lang w:val="en-AU" w:eastAsia="en-US"/>
        </w:rPr>
        <w:t>)</w:t>
      </w:r>
      <w:r w:rsidR="0003509D" w:rsidRPr="4F533E7D">
        <w:rPr>
          <w:rFonts w:ascii="Times New Roman" w:eastAsia="SimSun" w:hAnsi="Times New Roman" w:cs="Times New Roman"/>
          <w:sz w:val="20"/>
          <w:szCs w:val="20"/>
          <w:lang w:val="en-AU"/>
        </w:rPr>
        <w:t>.</w:t>
      </w:r>
      <w:r w:rsidR="00FD36A7" w:rsidRPr="005668EA">
        <w:rPr>
          <w:rFonts w:ascii="Times New Roman" w:eastAsia="SimSun" w:hAnsi="Times New Roman" w:cs="Times New Roman"/>
          <w:snapToGrid w:val="0"/>
          <w:kern w:val="0"/>
          <w:sz w:val="20"/>
          <w:szCs w:val="20"/>
          <w:lang w:val="en-AU" w:eastAsia="en-US"/>
        </w:rPr>
        <w:fldChar w:fldCharType="begin"/>
      </w:r>
      <w:r w:rsidR="00AD61C8">
        <w:rPr>
          <w:rFonts w:ascii="Times New Roman" w:eastAsia="SimSun" w:hAnsi="Times New Roman" w:cs="Times New Roman"/>
          <w:snapToGrid w:val="0"/>
          <w:kern w:val="0"/>
          <w:sz w:val="20"/>
          <w:szCs w:val="20"/>
          <w:lang w:val="en-AU" w:eastAsia="en-US"/>
        </w:rPr>
        <w:instrText xml:space="preserve"> ADDIN EN.CITE &lt;EndNote&gt;&lt;Cite&gt;&lt;Author&gt;Pharmaceutical Benefits Advisory Committee&lt;/Author&gt;&lt;Year&gt;2017&lt;/Year&gt;&lt;RecNum&gt;19292&lt;/RecNum&gt;&lt;DisplayText&gt;[44]&lt;/DisplayText&gt;&lt;record&gt;&lt;rec-number&gt;19292&lt;/rec-number&gt;&lt;foreign-keys&gt;&lt;key app="EN" db-id="5zttwaa2gstv57epr5z5zxv325varaa5e9rp" timestamp="1681381906"&gt;19292&lt;/key&gt;&lt;/foreign-keys&gt;&lt;ref-type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Committee&lt;/author&gt;&lt;/secondary-authors&gt;&lt;/contributors&gt;&lt;titles&gt;&lt;title&gt;Palbociclib: Capsule 75 mg, Capsule 100 mg, Capsule 125 mg; Ibrance®&lt;/title&gt;&lt;/titles&gt;&lt;dates&gt;&lt;year&gt;2017&lt;/year&gt;&lt;/dates&gt;&lt;urls&gt;&lt;related-urls&gt;&lt;url&gt;https://www.pbs.gov.au/info/industry/listing/elements/pbac-meetings/psd/2017-03/palbociclib-psd-march-2017&lt;/url&gt;&lt;/related-urls&gt;&lt;/urls&gt;&lt;access-date&gt;30 Aug 2020&lt;/access-date&gt;&lt;/record&gt;&lt;/Cite&gt;&lt;/EndNote&gt;</w:instrText>
      </w:r>
      <w:r w:rsidR="00FD36A7" w:rsidRPr="005668EA">
        <w:rPr>
          <w:rFonts w:ascii="Times New Roman" w:eastAsia="SimSun" w:hAnsi="Times New Roman" w:cs="Times New Roman"/>
          <w:snapToGrid w:val="0"/>
          <w:kern w:val="0"/>
          <w:sz w:val="20"/>
          <w:szCs w:val="20"/>
          <w:lang w:val="en-AU" w:eastAsia="en-US"/>
        </w:rPr>
        <w:fldChar w:fldCharType="separate"/>
      </w:r>
      <w:r w:rsidR="00AD61C8">
        <w:rPr>
          <w:rFonts w:ascii="Times New Roman" w:eastAsia="SimSun" w:hAnsi="Times New Roman" w:cs="Times New Roman"/>
          <w:noProof/>
          <w:snapToGrid w:val="0"/>
          <w:kern w:val="0"/>
          <w:sz w:val="20"/>
          <w:szCs w:val="20"/>
          <w:lang w:val="en-AU" w:eastAsia="en-US"/>
        </w:rPr>
        <w:t>[44]</w:t>
      </w:r>
      <w:r w:rsidR="00FD36A7" w:rsidRPr="005668EA">
        <w:rPr>
          <w:rFonts w:ascii="Times New Roman" w:eastAsia="SimSun" w:hAnsi="Times New Roman" w:cs="Times New Roman"/>
          <w:snapToGrid w:val="0"/>
          <w:kern w:val="0"/>
          <w:sz w:val="20"/>
          <w:szCs w:val="20"/>
          <w:lang w:val="en-AU" w:eastAsia="en-US"/>
        </w:rPr>
        <w:fldChar w:fldCharType="end"/>
      </w:r>
      <w:r w:rsidR="00D92494" w:rsidRPr="005668EA">
        <w:rPr>
          <w:rFonts w:ascii="Times New Roman" w:eastAsia="SimSun" w:hAnsi="Times New Roman" w:cs="Times New Roman"/>
          <w:snapToGrid w:val="0"/>
          <w:kern w:val="0"/>
          <w:sz w:val="20"/>
          <w:szCs w:val="20"/>
          <w:lang w:val="en-AU" w:eastAsia="en-US"/>
        </w:rPr>
        <w:t>.</w:t>
      </w:r>
    </w:p>
    <w:bookmarkEnd w:id="51"/>
    <w:p w14:paraId="624CB2ED" w14:textId="7ED2364F" w:rsidR="4F533E7D" w:rsidRDefault="4F533E7D" w:rsidP="00C15362">
      <w:pPr>
        <w:adjustRightInd w:val="0"/>
        <w:snapToGrid w:val="0"/>
        <w:spacing w:line="360" w:lineRule="auto"/>
        <w:rPr>
          <w:rFonts w:ascii="Times New Roman" w:eastAsia="SimSun" w:hAnsi="Times New Roman" w:cs="Times New Roman"/>
          <w:sz w:val="20"/>
          <w:szCs w:val="20"/>
          <w:lang w:val="en-AU" w:eastAsia="en-US"/>
        </w:rPr>
      </w:pPr>
    </w:p>
    <w:p w14:paraId="5468DEB5" w14:textId="2566BDE9" w:rsidR="005703C0" w:rsidRPr="005668EA" w:rsidRDefault="00662A26" w:rsidP="00C15362">
      <w:pPr>
        <w:pStyle w:val="Heading4"/>
        <w:adjustRightInd w:val="0"/>
        <w:snapToGrid w:val="0"/>
        <w:spacing w:before="0" w:after="0" w:line="360" w:lineRule="auto"/>
        <w:rPr>
          <w:rFonts w:ascii="Times New Roman" w:eastAsiaTheme="minorEastAsia" w:hAnsi="Times New Roman" w:cs="Times New Roman"/>
          <w:sz w:val="20"/>
          <w:szCs w:val="20"/>
        </w:rPr>
      </w:pPr>
      <w:r w:rsidRPr="005668EA">
        <w:rPr>
          <w:rFonts w:ascii="Times New Roman" w:eastAsiaTheme="minorEastAsia" w:hAnsi="Times New Roman" w:cs="Times New Roman"/>
          <w:sz w:val="20"/>
          <w:szCs w:val="20"/>
        </w:rPr>
        <w:t xml:space="preserve">4.3.2 </w:t>
      </w:r>
      <w:r w:rsidR="005703C0" w:rsidRPr="005668EA">
        <w:rPr>
          <w:rFonts w:ascii="Times New Roman" w:eastAsiaTheme="minorEastAsia" w:hAnsi="Times New Roman" w:cs="Times New Roman"/>
          <w:sz w:val="20"/>
          <w:szCs w:val="20"/>
        </w:rPr>
        <w:t>Uncertain quality of evidence</w:t>
      </w:r>
    </w:p>
    <w:p w14:paraId="5634ACC7" w14:textId="61CDA09A" w:rsidR="005703C0" w:rsidRPr="00B51ED4" w:rsidRDefault="5EA34FA2" w:rsidP="006C41A0">
      <w:pPr>
        <w:adjustRightInd w:val="0"/>
        <w:snapToGrid w:val="0"/>
        <w:spacing w:before="120" w:line="360" w:lineRule="auto"/>
        <w:rPr>
          <w:rFonts w:ascii="Times New Roman" w:hAnsi="Times New Roman" w:cs="Times New Roman"/>
          <w:b/>
          <w:bCs/>
          <w:snapToGrid w:val="0"/>
          <w:sz w:val="20"/>
          <w:szCs w:val="20"/>
        </w:rPr>
      </w:pPr>
      <w:r w:rsidRPr="00B51ED4">
        <w:rPr>
          <w:rFonts w:ascii="Times New Roman" w:hAnsi="Times New Roman" w:cs="Times New Roman"/>
          <w:b/>
          <w:bCs/>
          <w:snapToGrid w:val="0"/>
          <w:sz w:val="20"/>
          <w:szCs w:val="20"/>
        </w:rPr>
        <w:t>4.3.2.1</w:t>
      </w:r>
      <w:r w:rsidR="005703C0" w:rsidRPr="00B51ED4">
        <w:rPr>
          <w:rFonts w:ascii="Times New Roman" w:hAnsi="Times New Roman" w:cs="Times New Roman"/>
          <w:b/>
          <w:bCs/>
          <w:snapToGrid w:val="0"/>
          <w:sz w:val="20"/>
          <w:szCs w:val="20"/>
        </w:rPr>
        <w:t xml:space="preserve"> </w:t>
      </w:r>
      <w:r w:rsidR="005703C0" w:rsidRPr="00B51ED4">
        <w:rPr>
          <w:rFonts w:ascii="Times New Roman" w:hAnsi="Times New Roman" w:cs="Times New Roman"/>
          <w:b/>
          <w:bCs/>
          <w:sz w:val="20"/>
          <w:szCs w:val="20"/>
        </w:rPr>
        <w:t xml:space="preserve">The sample size of </w:t>
      </w:r>
      <w:r w:rsidR="00A47D8F" w:rsidRPr="00B51ED4">
        <w:rPr>
          <w:rFonts w:ascii="Times New Roman" w:hAnsi="Times New Roman" w:cs="Times New Roman"/>
          <w:b/>
          <w:bCs/>
          <w:sz w:val="20"/>
          <w:szCs w:val="20"/>
        </w:rPr>
        <w:t xml:space="preserve">the </w:t>
      </w:r>
      <w:r w:rsidR="005703C0" w:rsidRPr="00B51ED4">
        <w:rPr>
          <w:rFonts w:ascii="Times New Roman" w:hAnsi="Times New Roman" w:cs="Times New Roman"/>
          <w:b/>
          <w:bCs/>
          <w:sz w:val="20"/>
          <w:szCs w:val="20"/>
        </w:rPr>
        <w:t>survey estimating the resource use or cost was small.</w:t>
      </w:r>
    </w:p>
    <w:p w14:paraId="3DD54521" w14:textId="40C0850C" w:rsidR="005703C0" w:rsidRDefault="005703C0" w:rsidP="00E75DB0">
      <w:pPr>
        <w:adjustRightInd w:val="0"/>
        <w:snapToGrid w:val="0"/>
        <w:spacing w:line="360" w:lineRule="auto"/>
        <w:rPr>
          <w:rFonts w:ascii="Times New Roman" w:eastAsia="SimSun" w:hAnsi="Times New Roman" w:cs="Times New Roman"/>
          <w:snapToGrid w:val="0"/>
          <w:kern w:val="0"/>
          <w:sz w:val="20"/>
          <w:szCs w:val="20"/>
          <w:lang w:val="en-AU"/>
        </w:rPr>
      </w:pPr>
      <w:r w:rsidRPr="003039D5">
        <w:rPr>
          <w:rFonts w:ascii="Times New Roman" w:eastAsia="SimSun" w:hAnsi="Times New Roman" w:cs="Times New Roman"/>
          <w:snapToGrid w:val="0"/>
          <w:kern w:val="0"/>
          <w:sz w:val="20"/>
          <w:szCs w:val="20"/>
          <w:lang w:val="en-AU" w:eastAsia="en-US"/>
        </w:rPr>
        <w:t xml:space="preserve">For instance, in the submission </w:t>
      </w:r>
      <w:r w:rsidR="60384DF3" w:rsidRPr="003039D5">
        <w:rPr>
          <w:rFonts w:ascii="Times New Roman" w:eastAsia="SimSun" w:hAnsi="Times New Roman" w:cs="Times New Roman"/>
          <w:snapToGrid w:val="0"/>
          <w:kern w:val="0"/>
          <w:sz w:val="20"/>
          <w:szCs w:val="20"/>
          <w:lang w:val="en-AU" w:eastAsia="en-US"/>
        </w:rPr>
        <w:t xml:space="preserve">for </w:t>
      </w:r>
      <w:r w:rsidR="00E75DB0" w:rsidRPr="003039D5">
        <w:rPr>
          <w:rFonts w:ascii="Times New Roman" w:eastAsia="SimSun" w:hAnsi="Times New Roman" w:cs="Times New Roman"/>
          <w:snapToGrid w:val="0"/>
          <w:kern w:val="0"/>
          <w:sz w:val="20"/>
          <w:szCs w:val="20"/>
          <w:lang w:val="en-AU" w:eastAsia="en-US"/>
        </w:rPr>
        <w:t>esketamine nasal spray for the treatment of treatment resistant depressio</w:t>
      </w:r>
      <w:r w:rsidR="00E75DB0" w:rsidRPr="003039D5">
        <w:rPr>
          <w:rFonts w:ascii="Times New Roman" w:eastAsia="SimSun" w:hAnsi="Times New Roman" w:cs="Times New Roman" w:hint="eastAsia"/>
          <w:snapToGrid w:val="0"/>
          <w:kern w:val="0"/>
          <w:sz w:val="20"/>
          <w:szCs w:val="20"/>
          <w:lang w:val="en-AU"/>
        </w:rPr>
        <w:t>n. The PBAC noted that t</w:t>
      </w:r>
      <w:r w:rsidR="00E75DB0" w:rsidRPr="003039D5">
        <w:rPr>
          <w:rFonts w:ascii="Times New Roman" w:eastAsia="SimSun" w:hAnsi="Times New Roman" w:cs="Times New Roman"/>
          <w:snapToGrid w:val="0"/>
          <w:kern w:val="0"/>
          <w:sz w:val="20"/>
          <w:szCs w:val="20"/>
          <w:lang w:val="en-AU"/>
        </w:rPr>
        <w:t>he</w:t>
      </w:r>
      <w:r w:rsidR="00E75DB0" w:rsidRPr="00E75DB0">
        <w:rPr>
          <w:rFonts w:ascii="Times New Roman" w:eastAsia="SimSun" w:hAnsi="Times New Roman" w:cs="Times New Roman"/>
          <w:snapToGrid w:val="0"/>
          <w:kern w:val="0"/>
          <w:sz w:val="20"/>
          <w:szCs w:val="20"/>
          <w:lang w:val="en-AU"/>
        </w:rPr>
        <w:t xml:space="preserve"> source data for resource use by health state was based on a retrospective chart review study (Denee et al., 2021), which was based on a relatively small and heterogeneous sample, who may have had severe disease courses and/or higher than average visits to clinicians</w:t>
      </w:r>
      <w:r w:rsidR="00E75DB0">
        <w:rPr>
          <w:rFonts w:ascii="Times New Roman" w:eastAsia="SimSun" w:hAnsi="Times New Roman" w:cs="Times New Roman" w:hint="eastAsia"/>
          <w:snapToGrid w:val="0"/>
          <w:kern w:val="0"/>
          <w:sz w:val="20"/>
          <w:szCs w:val="20"/>
          <w:lang w:val="en-AU"/>
        </w:rPr>
        <w:t xml:space="preserve"> </w:t>
      </w:r>
      <w:r w:rsidR="00E75DB0">
        <w:rPr>
          <w:rFonts w:ascii="Times New Roman" w:eastAsia="SimSun" w:hAnsi="Times New Roman" w:cs="Times New Roman"/>
          <w:snapToGrid w:val="0"/>
          <w:kern w:val="0"/>
          <w:sz w:val="20"/>
          <w:szCs w:val="20"/>
          <w:lang w:val="en-AU"/>
        </w:rPr>
        <w:fldChar w:fldCharType="begin"/>
      </w:r>
      <w:r w:rsidR="00AD61C8">
        <w:rPr>
          <w:rFonts w:ascii="Times New Roman" w:eastAsia="SimSun" w:hAnsi="Times New Roman" w:cs="Times New Roman"/>
          <w:snapToGrid w:val="0"/>
          <w:kern w:val="0"/>
          <w:sz w:val="20"/>
          <w:szCs w:val="20"/>
          <w:lang w:val="en-AU"/>
        </w:rPr>
        <w:instrText xml:space="preserve"> ADDIN EN.CITE &lt;EndNote&gt;&lt;Cite&gt;&lt;Author&gt;Pharmaceutical Benefits Advisory Committee&lt;/Author&gt;&lt;Year&gt;2021&lt;/Year&gt;&lt;RecNum&gt;19553&lt;/RecNum&gt;&lt;DisplayText&gt;[45]&lt;/DisplayText&gt;&lt;record&gt;&lt;rec-number&gt;19553&lt;/rec-number&gt;&lt;foreign-keys&gt;&lt;key app="EN" db-id="5zttwaa2gstv57epr5z5zxv325varaa5e9rp" timestamp="1718930810"&gt;19553&lt;/key&gt;&lt;/foreign-keys&gt;&lt;ref-type name="Government Document"&gt;46&lt;/ref-type&gt;&lt;contributors&gt;&lt;authors&gt;&lt;author&gt;Pharmaceutical Benefits Advisory Committee,&lt;/author&gt;&lt;/authors&gt;&lt;/contributors&gt;&lt;titles&gt;&lt;title&gt;ESKETAMINE,Nasal spray solution 28 mg,Spravato®,Janssen-Cilag Pty Ltd.&lt;/title&gt;&lt;/titles&gt;&lt;dates&gt;&lt;year&gt;2021&lt;/year&gt;&lt;/dates&gt;&lt;urls&gt;&lt;related-urls&gt;&lt;url&gt;https://www.pbs.gov.au/info/industry/listing/elements/pbac-meetings/psd/2021-07/esketamine-nasal-spray-solution-28-mg-spravato&lt;/url&gt;&lt;/related-urls&gt;&lt;/urls&gt;&lt;access-date&gt;15 Jan 2024&lt;/access-date&gt;&lt;/record&gt;&lt;/Cite&gt;&lt;/EndNote&gt;</w:instrText>
      </w:r>
      <w:r w:rsidR="00E75DB0">
        <w:rPr>
          <w:rFonts w:ascii="Times New Roman" w:eastAsia="SimSun" w:hAnsi="Times New Roman" w:cs="Times New Roman"/>
          <w:snapToGrid w:val="0"/>
          <w:kern w:val="0"/>
          <w:sz w:val="20"/>
          <w:szCs w:val="20"/>
          <w:lang w:val="en-AU"/>
        </w:rPr>
        <w:fldChar w:fldCharType="separate"/>
      </w:r>
      <w:r w:rsidR="00AD61C8">
        <w:rPr>
          <w:rFonts w:ascii="Times New Roman" w:eastAsia="SimSun" w:hAnsi="Times New Roman" w:cs="Times New Roman"/>
          <w:noProof/>
          <w:snapToGrid w:val="0"/>
          <w:kern w:val="0"/>
          <w:sz w:val="20"/>
          <w:szCs w:val="20"/>
          <w:lang w:val="en-AU"/>
        </w:rPr>
        <w:t>[45]</w:t>
      </w:r>
      <w:r w:rsidR="00E75DB0">
        <w:rPr>
          <w:rFonts w:ascii="Times New Roman" w:eastAsia="SimSun" w:hAnsi="Times New Roman" w:cs="Times New Roman"/>
          <w:snapToGrid w:val="0"/>
          <w:kern w:val="0"/>
          <w:sz w:val="20"/>
          <w:szCs w:val="20"/>
          <w:lang w:val="en-AU"/>
        </w:rPr>
        <w:fldChar w:fldCharType="end"/>
      </w:r>
      <w:r w:rsidR="00E75DB0" w:rsidRPr="00E75DB0">
        <w:rPr>
          <w:rFonts w:ascii="Times New Roman" w:eastAsia="SimSun" w:hAnsi="Times New Roman" w:cs="Times New Roman"/>
          <w:snapToGrid w:val="0"/>
          <w:kern w:val="0"/>
          <w:sz w:val="20"/>
          <w:szCs w:val="20"/>
          <w:lang w:val="en-AU"/>
        </w:rPr>
        <w:t>.</w:t>
      </w:r>
    </w:p>
    <w:p w14:paraId="3E590C3D" w14:textId="77777777" w:rsidR="00542732" w:rsidRPr="005668EA" w:rsidRDefault="00542732" w:rsidP="00E75DB0">
      <w:pPr>
        <w:adjustRightInd w:val="0"/>
        <w:snapToGrid w:val="0"/>
        <w:spacing w:line="360" w:lineRule="auto"/>
        <w:rPr>
          <w:rFonts w:ascii="Times New Roman" w:eastAsia="SimSun" w:hAnsi="Times New Roman" w:cs="Times New Roman"/>
          <w:snapToGrid w:val="0"/>
          <w:kern w:val="0"/>
          <w:sz w:val="20"/>
          <w:szCs w:val="20"/>
          <w:lang w:val="en-AU" w:eastAsia="en-US"/>
        </w:rPr>
      </w:pPr>
    </w:p>
    <w:p w14:paraId="39C9DFFA" w14:textId="6AE57085" w:rsidR="005703C0" w:rsidRPr="00B51ED4" w:rsidRDefault="45808217" w:rsidP="006C41A0">
      <w:pPr>
        <w:adjustRightInd w:val="0"/>
        <w:snapToGrid w:val="0"/>
        <w:spacing w:line="360" w:lineRule="auto"/>
        <w:rPr>
          <w:rFonts w:ascii="Times New Roman" w:hAnsi="Times New Roman" w:cs="Times New Roman"/>
          <w:b/>
          <w:bCs/>
          <w:sz w:val="20"/>
          <w:szCs w:val="20"/>
        </w:rPr>
      </w:pPr>
      <w:bookmarkStart w:id="52" w:name="_Hlk159262978"/>
      <w:r w:rsidRPr="00B51ED4">
        <w:rPr>
          <w:rFonts w:ascii="Times New Roman" w:hAnsi="Times New Roman" w:cs="Times New Roman"/>
          <w:b/>
          <w:bCs/>
          <w:sz w:val="20"/>
          <w:szCs w:val="20"/>
        </w:rPr>
        <w:t>4.3.2.2</w:t>
      </w:r>
      <w:r w:rsidR="005703C0" w:rsidRPr="00B51ED4">
        <w:rPr>
          <w:rFonts w:ascii="Times New Roman" w:hAnsi="Times New Roman" w:cs="Times New Roman"/>
          <w:b/>
          <w:bCs/>
          <w:sz w:val="20"/>
          <w:szCs w:val="20"/>
        </w:rPr>
        <w:t xml:space="preserve"> Population of </w:t>
      </w:r>
      <w:r w:rsidR="005E7777" w:rsidRPr="00B51ED4">
        <w:rPr>
          <w:rFonts w:ascii="Times New Roman" w:hAnsi="Times New Roman" w:cs="Times New Roman"/>
          <w:b/>
          <w:bCs/>
          <w:sz w:val="20"/>
          <w:szCs w:val="20"/>
        </w:rPr>
        <w:t xml:space="preserve">the </w:t>
      </w:r>
      <w:r w:rsidR="005703C0" w:rsidRPr="00B51ED4">
        <w:rPr>
          <w:rFonts w:ascii="Times New Roman" w:hAnsi="Times New Roman" w:cs="Times New Roman"/>
          <w:b/>
          <w:bCs/>
          <w:sz w:val="20"/>
          <w:szCs w:val="20"/>
        </w:rPr>
        <w:t>survey on the source of cost was not collected in the context of Australia.</w:t>
      </w:r>
    </w:p>
    <w:p w14:paraId="2DED30B2" w14:textId="77777777" w:rsidR="00F22C83" w:rsidRDefault="005703C0" w:rsidP="006C41A0">
      <w:pPr>
        <w:adjustRightInd w:val="0"/>
        <w:snapToGrid w:val="0"/>
        <w:spacing w:before="120" w:line="360" w:lineRule="auto"/>
        <w:rPr>
          <w:snapToGrid w:val="0"/>
          <w:kern w:val="0"/>
          <w:sz w:val="20"/>
          <w:szCs w:val="20"/>
          <w:lang w:val="en-AU" w:eastAsia="en-US"/>
        </w:rPr>
      </w:pPr>
      <w:r w:rsidRPr="00F22C83">
        <w:rPr>
          <w:rFonts w:ascii="Times New Roman" w:eastAsia="SimSun" w:hAnsi="Times New Roman" w:cs="Times New Roman"/>
          <w:snapToGrid w:val="0"/>
          <w:kern w:val="0"/>
          <w:sz w:val="20"/>
          <w:szCs w:val="20"/>
          <w:lang w:val="en-AU" w:eastAsia="en-US"/>
        </w:rPr>
        <w:t>For instance, in the submission of botulinum toxin type A for the treatment of chronic migraine</w:t>
      </w:r>
      <w:r w:rsidR="0003509D" w:rsidRPr="00F22C83">
        <w:rPr>
          <w:rFonts w:ascii="Times New Roman" w:eastAsia="SimSun" w:hAnsi="Times New Roman" w:cs="Times New Roman"/>
          <w:snapToGrid w:val="0"/>
          <w:kern w:val="0"/>
          <w:sz w:val="20"/>
          <w:szCs w:val="20"/>
          <w:lang w:val="en-AU" w:eastAsia="en-US"/>
        </w:rPr>
        <w:t>,</w:t>
      </w:r>
      <w:r w:rsidRPr="00F22C83">
        <w:rPr>
          <w:rFonts w:ascii="Times New Roman" w:eastAsia="SimSun" w:hAnsi="Times New Roman" w:cs="Times New Roman"/>
          <w:snapToGrid w:val="0"/>
          <w:kern w:val="0"/>
          <w:sz w:val="20"/>
          <w:szCs w:val="20"/>
          <w:lang w:val="en-AU" w:eastAsia="en-US"/>
        </w:rPr>
        <w:t xml:space="preserve"> </w:t>
      </w:r>
      <w:r w:rsidR="0003509D" w:rsidRPr="00F22C83">
        <w:rPr>
          <w:rFonts w:ascii="Times New Roman" w:eastAsia="SimSun" w:hAnsi="Times New Roman" w:cs="Times New Roman"/>
          <w:snapToGrid w:val="0"/>
          <w:kern w:val="0"/>
          <w:sz w:val="20"/>
          <w:szCs w:val="20"/>
          <w:lang w:val="en-AU" w:eastAsia="en-US"/>
        </w:rPr>
        <w:t>t</w:t>
      </w:r>
      <w:r w:rsidRPr="00F22C83">
        <w:rPr>
          <w:rFonts w:ascii="Times New Roman" w:eastAsia="SimSun" w:hAnsi="Times New Roman" w:cs="Times New Roman"/>
          <w:snapToGrid w:val="0"/>
          <w:kern w:val="0"/>
          <w:sz w:val="20"/>
          <w:szCs w:val="20"/>
          <w:lang w:val="en-AU" w:eastAsia="en-US"/>
        </w:rPr>
        <w:t xml:space="preserve">he sponsor </w:t>
      </w:r>
      <w:r w:rsidRPr="00F22C83" w:rsidDel="008B5895">
        <w:rPr>
          <w:rFonts w:ascii="Times New Roman" w:eastAsia="SimSun" w:hAnsi="Times New Roman" w:cs="Times New Roman"/>
          <w:snapToGrid w:val="0"/>
          <w:kern w:val="0"/>
          <w:sz w:val="20"/>
          <w:szCs w:val="20"/>
          <w:lang w:val="en-AU" w:eastAsia="en-US"/>
        </w:rPr>
        <w:t>used</w:t>
      </w:r>
      <w:r w:rsidRPr="00F22C83">
        <w:rPr>
          <w:rFonts w:ascii="Times New Roman" w:eastAsia="SimSun" w:hAnsi="Times New Roman" w:cs="Times New Roman"/>
          <w:snapToGrid w:val="0"/>
          <w:kern w:val="0"/>
          <w:sz w:val="20"/>
          <w:szCs w:val="20"/>
          <w:lang w:val="en-AU" w:eastAsia="en-US"/>
        </w:rPr>
        <w:t xml:space="preserve"> IBMS/BIS as </w:t>
      </w:r>
      <w:r w:rsidR="00A47D8F" w:rsidRPr="00F22C83">
        <w:rPr>
          <w:rFonts w:ascii="Times New Roman" w:eastAsia="SimSun" w:hAnsi="Times New Roman" w:cs="Times New Roman"/>
          <w:snapToGrid w:val="0"/>
          <w:kern w:val="0"/>
          <w:sz w:val="20"/>
          <w:szCs w:val="20"/>
          <w:lang w:val="en-AU" w:eastAsia="en-US"/>
        </w:rPr>
        <w:t xml:space="preserve">the </w:t>
      </w:r>
      <w:r w:rsidRPr="00F22C83">
        <w:rPr>
          <w:rFonts w:ascii="Times New Roman" w:eastAsia="SimSun" w:hAnsi="Times New Roman" w:cs="Times New Roman"/>
          <w:snapToGrid w:val="0"/>
          <w:kern w:val="0"/>
          <w:sz w:val="20"/>
          <w:szCs w:val="20"/>
          <w:lang w:val="en-AU" w:eastAsia="en-US"/>
        </w:rPr>
        <w:t xml:space="preserve">source of resource utilisation costs. The PBAC </w:t>
      </w:r>
      <w:r w:rsidR="008B5895" w:rsidRPr="00F22C83">
        <w:rPr>
          <w:rFonts w:ascii="Times New Roman" w:eastAsia="SimSun" w:hAnsi="Times New Roman" w:cs="Times New Roman"/>
          <w:snapToGrid w:val="0"/>
          <w:kern w:val="0"/>
          <w:sz w:val="20"/>
          <w:szCs w:val="20"/>
          <w:lang w:val="en-AU" w:eastAsia="en-US"/>
        </w:rPr>
        <w:t xml:space="preserve">raised concerns that </w:t>
      </w:r>
      <w:r w:rsidRPr="00F22C83">
        <w:rPr>
          <w:rFonts w:ascii="Times New Roman" w:eastAsia="SimSun" w:hAnsi="Times New Roman" w:cs="Times New Roman"/>
          <w:snapToGrid w:val="0"/>
          <w:kern w:val="0"/>
          <w:sz w:val="20"/>
          <w:szCs w:val="20"/>
          <w:lang w:val="en-AU" w:eastAsia="en-US"/>
        </w:rPr>
        <w:t xml:space="preserve">this study included </w:t>
      </w:r>
      <w:r w:rsidR="0003509D" w:rsidRPr="00F22C83">
        <w:rPr>
          <w:rFonts w:ascii="Times New Roman" w:eastAsia="SimSun" w:hAnsi="Times New Roman" w:cs="Times New Roman"/>
          <w:snapToGrid w:val="0"/>
          <w:kern w:val="0"/>
          <w:sz w:val="20"/>
          <w:szCs w:val="20"/>
          <w:lang w:val="en-AU" w:eastAsia="en-US"/>
        </w:rPr>
        <w:t xml:space="preserve">only </w:t>
      </w:r>
      <w:r w:rsidR="00A13485" w:rsidRPr="00F22C83">
        <w:rPr>
          <w:rFonts w:ascii="Times New Roman" w:eastAsia="SimSun" w:hAnsi="Times New Roman" w:cs="Times New Roman"/>
          <w:snapToGrid w:val="0"/>
          <w:kern w:val="0"/>
          <w:sz w:val="20"/>
          <w:szCs w:val="20"/>
          <w:lang w:val="en-AU" w:eastAsia="en-US"/>
        </w:rPr>
        <w:t xml:space="preserve">a </w:t>
      </w:r>
      <w:r w:rsidRPr="00F22C83">
        <w:rPr>
          <w:rFonts w:ascii="Times New Roman" w:eastAsia="SimSun" w:hAnsi="Times New Roman" w:cs="Times New Roman"/>
          <w:snapToGrid w:val="0"/>
          <w:kern w:val="0"/>
          <w:sz w:val="20"/>
          <w:szCs w:val="20"/>
          <w:lang w:val="en-AU" w:eastAsia="en-US"/>
        </w:rPr>
        <w:t xml:space="preserve">few Australian patients and that health resource utilisation from this study </w:t>
      </w:r>
      <w:r w:rsidR="008B5895" w:rsidRPr="00F22C83">
        <w:rPr>
          <w:rFonts w:ascii="Times New Roman" w:eastAsia="SimSun" w:hAnsi="Times New Roman" w:cs="Times New Roman"/>
          <w:snapToGrid w:val="0"/>
          <w:kern w:val="0"/>
          <w:sz w:val="20"/>
          <w:szCs w:val="20"/>
          <w:lang w:val="en-AU" w:eastAsia="en-US"/>
        </w:rPr>
        <w:t xml:space="preserve">might </w:t>
      </w:r>
      <w:r w:rsidRPr="00F22C83">
        <w:rPr>
          <w:rFonts w:ascii="Times New Roman" w:eastAsia="SimSun" w:hAnsi="Times New Roman" w:cs="Times New Roman"/>
          <w:snapToGrid w:val="0"/>
          <w:kern w:val="0"/>
          <w:sz w:val="20"/>
          <w:szCs w:val="20"/>
          <w:lang w:val="en-AU" w:eastAsia="en-US"/>
        </w:rPr>
        <w:lastRenderedPageBreak/>
        <w:t xml:space="preserve">not accurately represent </w:t>
      </w:r>
      <w:r w:rsidR="00A47D8F" w:rsidRPr="00F22C83">
        <w:rPr>
          <w:rFonts w:ascii="Times New Roman" w:eastAsia="SimSun" w:hAnsi="Times New Roman" w:cs="Times New Roman"/>
          <w:snapToGrid w:val="0"/>
          <w:kern w:val="0"/>
          <w:sz w:val="20"/>
          <w:szCs w:val="20"/>
          <w:lang w:val="en-AU" w:eastAsia="en-US"/>
        </w:rPr>
        <w:t xml:space="preserve">the </w:t>
      </w:r>
      <w:r w:rsidRPr="00F22C83">
        <w:rPr>
          <w:rFonts w:ascii="Times New Roman" w:eastAsia="SimSun" w:hAnsi="Times New Roman" w:cs="Times New Roman"/>
          <w:snapToGrid w:val="0"/>
          <w:kern w:val="0"/>
          <w:sz w:val="20"/>
          <w:szCs w:val="20"/>
          <w:lang w:val="en-AU" w:eastAsia="en-US"/>
        </w:rPr>
        <w:t>management of chronic migraine in Australia</w:t>
      </w:r>
      <w:r w:rsidR="008B5895" w:rsidRPr="00F22C83">
        <w:rPr>
          <w:rFonts w:ascii="Times New Roman" w:eastAsia="SimSun" w:hAnsi="Times New Roman" w:cs="Times New Roman"/>
          <w:snapToGrid w:val="0"/>
          <w:kern w:val="0"/>
          <w:sz w:val="20"/>
          <w:szCs w:val="20"/>
          <w:lang w:val="en-AU" w:eastAsia="en-US"/>
        </w:rPr>
        <w:t xml:space="preserve"> </w:t>
      </w:r>
      <w:r w:rsidR="002977D6" w:rsidRPr="005668EA">
        <w:rPr>
          <w:rFonts w:ascii="Times New Roman" w:eastAsia="SimSun" w:hAnsi="Times New Roman" w:cs="Times New Roman"/>
          <w:snapToGrid w:val="0"/>
          <w:kern w:val="0"/>
          <w:sz w:val="20"/>
          <w:szCs w:val="20"/>
          <w:lang w:val="en-AU" w:eastAsia="en-US"/>
        </w:rPr>
        <w:fldChar w:fldCharType="begin"/>
      </w:r>
      <w:r w:rsidR="00AD61C8" w:rsidRPr="00F22C83">
        <w:rPr>
          <w:rFonts w:ascii="Times New Roman" w:eastAsia="SimSun" w:hAnsi="Times New Roman" w:cs="Times New Roman"/>
          <w:snapToGrid w:val="0"/>
          <w:kern w:val="0"/>
          <w:sz w:val="20"/>
          <w:szCs w:val="20"/>
          <w:lang w:val="en-AU" w:eastAsia="en-US"/>
        </w:rPr>
        <w:instrText xml:space="preserve"> ADDIN EN.CITE &lt;EndNote&gt;&lt;Cite&gt;&lt;Author&gt;Pharmaceutical Benefits Advisory Committee&lt;/Author&gt;&lt;Year&gt;2018&lt;/Year&gt;&lt;RecNum&gt;19283&lt;/RecNum&gt;&lt;DisplayText&gt;[33]&lt;/DisplayText&gt;&lt;record&gt;&lt;rec-number&gt;19283&lt;/rec-number&gt;&lt;foreign-keys&gt;&lt;key app="EN" db-id="5zttwaa2gstv57epr5z5zxv325varaa5e9rp" timestamp="1681379861"&gt;19283&lt;/key&gt;&lt;/foreign-keys&gt;&lt;ref-type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Committee&lt;/author&gt;&lt;/secondary-authors&gt;&lt;/contributors&gt;&lt;titles&gt;&lt;title&gt;Botulinum toxin type A purified neurotoxin complex: Lyophilised powder for injection, 100 units; Botox®&lt;/title&gt;&lt;/titles&gt;&lt;dates&gt;&lt;year&gt;2018&lt;/year&gt;&lt;/dates&gt;&lt;urls&gt;&lt;related-urls&gt;&lt;url&gt;https://www.pbs.gov.au/info/industry/listing/elements/pbac-meetings/psd/2018-03/Botulinum-toxin-type-A-purified-neurotoxin-complex-psd-march-2018&lt;/url&gt;&lt;/related-urls&gt;&lt;/urls&gt;&lt;access-date&gt;30 Aug 2020&lt;/access-date&gt;&lt;/record&gt;&lt;/Cite&gt;&lt;/EndNote&gt;</w:instrText>
      </w:r>
      <w:r w:rsidR="002977D6" w:rsidRPr="005668EA">
        <w:rPr>
          <w:rFonts w:ascii="Times New Roman" w:eastAsia="SimSun" w:hAnsi="Times New Roman" w:cs="Times New Roman"/>
          <w:snapToGrid w:val="0"/>
          <w:kern w:val="0"/>
          <w:sz w:val="20"/>
          <w:szCs w:val="20"/>
          <w:lang w:val="en-AU" w:eastAsia="en-US"/>
        </w:rPr>
        <w:fldChar w:fldCharType="separate"/>
      </w:r>
      <w:r w:rsidR="00AD61C8" w:rsidRPr="00F22C83">
        <w:rPr>
          <w:rFonts w:ascii="Times New Roman" w:eastAsia="SimSun" w:hAnsi="Times New Roman" w:cs="Times New Roman"/>
          <w:snapToGrid w:val="0"/>
          <w:kern w:val="0"/>
          <w:sz w:val="20"/>
          <w:szCs w:val="20"/>
          <w:lang w:val="en-AU" w:eastAsia="en-US"/>
        </w:rPr>
        <w:t>[33]</w:t>
      </w:r>
      <w:r w:rsidR="002977D6" w:rsidRPr="005668EA">
        <w:rPr>
          <w:rFonts w:ascii="Times New Roman" w:eastAsia="SimSun" w:hAnsi="Times New Roman" w:cs="Times New Roman"/>
          <w:snapToGrid w:val="0"/>
          <w:kern w:val="0"/>
          <w:sz w:val="20"/>
          <w:szCs w:val="20"/>
          <w:lang w:val="en-AU" w:eastAsia="en-US"/>
        </w:rPr>
        <w:fldChar w:fldCharType="end"/>
      </w:r>
      <w:r w:rsidRPr="005668EA">
        <w:rPr>
          <w:snapToGrid w:val="0"/>
          <w:kern w:val="0"/>
          <w:sz w:val="20"/>
          <w:szCs w:val="20"/>
          <w:lang w:val="en-AU" w:eastAsia="en-US"/>
        </w:rPr>
        <w:t>.</w:t>
      </w:r>
      <w:bookmarkEnd w:id="52"/>
    </w:p>
    <w:p w14:paraId="3B14D2BC" w14:textId="470BE216" w:rsidR="005703C0" w:rsidRPr="00B51ED4" w:rsidRDefault="31ACC795" w:rsidP="006C41A0">
      <w:pPr>
        <w:adjustRightInd w:val="0"/>
        <w:snapToGrid w:val="0"/>
        <w:spacing w:before="120" w:line="360" w:lineRule="auto"/>
        <w:rPr>
          <w:rFonts w:ascii="Times New Roman" w:hAnsi="Times New Roman" w:cs="Times New Roman"/>
          <w:b/>
          <w:bCs/>
          <w:snapToGrid w:val="0"/>
          <w:sz w:val="20"/>
          <w:szCs w:val="20"/>
        </w:rPr>
      </w:pPr>
      <w:r w:rsidRPr="00B51ED4">
        <w:rPr>
          <w:rFonts w:ascii="Times New Roman" w:hAnsi="Times New Roman" w:cs="Times New Roman"/>
          <w:b/>
          <w:bCs/>
          <w:sz w:val="20"/>
          <w:szCs w:val="20"/>
        </w:rPr>
        <w:t>4.3.2.3</w:t>
      </w:r>
      <w:r w:rsidR="005703C0" w:rsidRPr="00B51ED4">
        <w:rPr>
          <w:rFonts w:ascii="Times New Roman" w:hAnsi="Times New Roman" w:cs="Times New Roman"/>
          <w:b/>
          <w:bCs/>
          <w:sz w:val="20"/>
          <w:szCs w:val="20"/>
        </w:rPr>
        <w:t xml:space="preserve"> </w:t>
      </w:r>
      <w:r w:rsidR="002E3C7E" w:rsidRPr="00B51ED4">
        <w:rPr>
          <w:rFonts w:ascii="Times New Roman" w:hAnsi="Times New Roman" w:cs="Times New Roman"/>
          <w:b/>
          <w:bCs/>
          <w:snapToGrid w:val="0"/>
          <w:sz w:val="20"/>
          <w:szCs w:val="20"/>
        </w:rPr>
        <w:t xml:space="preserve">The calculation </w:t>
      </w:r>
      <w:r w:rsidR="005703C0" w:rsidRPr="00B51ED4">
        <w:rPr>
          <w:rFonts w:ascii="Times New Roman" w:hAnsi="Times New Roman" w:cs="Times New Roman"/>
          <w:b/>
          <w:bCs/>
          <w:snapToGrid w:val="0"/>
          <w:sz w:val="20"/>
          <w:szCs w:val="20"/>
        </w:rPr>
        <w:t>process was not transparent, such as calculation error</w:t>
      </w:r>
      <w:r w:rsidR="00A13485" w:rsidRPr="00B51ED4">
        <w:rPr>
          <w:rFonts w:ascii="Times New Roman" w:hAnsi="Times New Roman" w:cs="Times New Roman"/>
          <w:b/>
          <w:bCs/>
          <w:snapToGrid w:val="0"/>
          <w:sz w:val="20"/>
          <w:szCs w:val="20"/>
        </w:rPr>
        <w:t>s</w:t>
      </w:r>
      <w:r w:rsidR="005703C0" w:rsidRPr="00B51ED4">
        <w:rPr>
          <w:rFonts w:ascii="Times New Roman" w:hAnsi="Times New Roman" w:cs="Times New Roman"/>
          <w:b/>
          <w:bCs/>
          <w:snapToGrid w:val="0"/>
          <w:sz w:val="20"/>
          <w:szCs w:val="20"/>
        </w:rPr>
        <w:t>, double count</w:t>
      </w:r>
      <w:r w:rsidR="00D00721" w:rsidRPr="00B51ED4">
        <w:rPr>
          <w:rFonts w:ascii="Times New Roman" w:hAnsi="Times New Roman" w:cs="Times New Roman"/>
          <w:b/>
          <w:bCs/>
          <w:snapToGrid w:val="0"/>
          <w:sz w:val="20"/>
          <w:szCs w:val="20"/>
        </w:rPr>
        <w:t>s</w:t>
      </w:r>
      <w:r w:rsidR="005703C0" w:rsidRPr="00B51ED4">
        <w:rPr>
          <w:rFonts w:ascii="Times New Roman" w:hAnsi="Times New Roman" w:cs="Times New Roman"/>
          <w:b/>
          <w:bCs/>
          <w:snapToGrid w:val="0"/>
          <w:sz w:val="20"/>
          <w:szCs w:val="20"/>
        </w:rPr>
        <w:t xml:space="preserve">, </w:t>
      </w:r>
      <w:r w:rsidR="00A13485" w:rsidRPr="00B51ED4">
        <w:rPr>
          <w:rFonts w:ascii="Times New Roman" w:hAnsi="Times New Roman" w:cs="Times New Roman"/>
          <w:b/>
          <w:bCs/>
          <w:snapToGrid w:val="0"/>
          <w:sz w:val="20"/>
          <w:szCs w:val="20"/>
        </w:rPr>
        <w:t xml:space="preserve">and </w:t>
      </w:r>
      <w:r w:rsidR="005703C0" w:rsidRPr="00B51ED4">
        <w:rPr>
          <w:rFonts w:ascii="Times New Roman" w:hAnsi="Times New Roman" w:cs="Times New Roman"/>
          <w:b/>
          <w:bCs/>
          <w:snapToGrid w:val="0"/>
          <w:sz w:val="20"/>
          <w:szCs w:val="20"/>
        </w:rPr>
        <w:t>one-off cost</w:t>
      </w:r>
      <w:r w:rsidR="00A13485" w:rsidRPr="00B51ED4">
        <w:rPr>
          <w:rFonts w:ascii="Times New Roman" w:hAnsi="Times New Roman" w:cs="Times New Roman"/>
          <w:b/>
          <w:bCs/>
          <w:snapToGrid w:val="0"/>
          <w:sz w:val="20"/>
          <w:szCs w:val="20"/>
        </w:rPr>
        <w:t>s</w:t>
      </w:r>
      <w:r w:rsidR="005703C0" w:rsidRPr="00B51ED4">
        <w:rPr>
          <w:rFonts w:ascii="Times New Roman" w:hAnsi="Times New Roman" w:cs="Times New Roman"/>
          <w:b/>
          <w:bCs/>
          <w:snapToGrid w:val="0"/>
          <w:sz w:val="20"/>
          <w:szCs w:val="20"/>
        </w:rPr>
        <w:t>.</w:t>
      </w:r>
    </w:p>
    <w:p w14:paraId="28E55442" w14:textId="63807530" w:rsidR="005703C0" w:rsidRPr="005668EA" w:rsidRDefault="005703C0" w:rsidP="006C41A0">
      <w:pPr>
        <w:adjustRightInd w:val="0"/>
        <w:snapToGrid w:val="0"/>
        <w:spacing w:line="360" w:lineRule="auto"/>
        <w:rPr>
          <w:rFonts w:ascii="Times New Roman" w:eastAsia="SimSun" w:hAnsi="Times New Roman" w:cs="Times New Roman"/>
          <w:snapToGrid w:val="0"/>
          <w:kern w:val="0"/>
          <w:sz w:val="20"/>
          <w:szCs w:val="20"/>
          <w:lang w:val="en-AU" w:eastAsia="en-US"/>
        </w:rPr>
      </w:pPr>
      <w:bookmarkStart w:id="53" w:name="_Hlk159263283"/>
      <w:r w:rsidRPr="005668EA">
        <w:rPr>
          <w:rFonts w:ascii="Times New Roman" w:eastAsia="SimSun" w:hAnsi="Times New Roman" w:cs="Times New Roman"/>
          <w:snapToGrid w:val="0"/>
          <w:kern w:val="0"/>
          <w:sz w:val="20"/>
          <w:szCs w:val="20"/>
          <w:lang w:val="en-AU" w:eastAsia="en-US"/>
        </w:rPr>
        <w:t xml:space="preserve">For instance, in the submission </w:t>
      </w:r>
      <w:r w:rsidR="4A25E070" w:rsidRPr="005668EA">
        <w:rPr>
          <w:rFonts w:ascii="Times New Roman" w:eastAsia="SimSun" w:hAnsi="Times New Roman" w:cs="Times New Roman"/>
          <w:snapToGrid w:val="0"/>
          <w:kern w:val="0"/>
          <w:sz w:val="20"/>
          <w:szCs w:val="20"/>
          <w:lang w:val="en-AU" w:eastAsia="en-US"/>
        </w:rPr>
        <w:t xml:space="preserve">for </w:t>
      </w:r>
      <w:r w:rsidRPr="005668EA">
        <w:rPr>
          <w:rFonts w:ascii="Times New Roman" w:eastAsia="SimSun" w:hAnsi="Times New Roman" w:cs="Times New Roman"/>
          <w:snapToGrid w:val="0"/>
          <w:kern w:val="0"/>
          <w:sz w:val="20"/>
          <w:szCs w:val="20"/>
          <w:lang w:val="en-AU" w:eastAsia="en-US"/>
        </w:rPr>
        <w:t xml:space="preserve">pertuzumab, in combination with trastuzumab and chemotherapy for </w:t>
      </w:r>
      <w:r w:rsidR="588A6F53" w:rsidRPr="005668EA">
        <w:rPr>
          <w:rFonts w:ascii="Times New Roman" w:eastAsia="SimSun" w:hAnsi="Times New Roman" w:cs="Times New Roman"/>
          <w:snapToGrid w:val="0"/>
          <w:kern w:val="0"/>
          <w:sz w:val="20"/>
          <w:szCs w:val="20"/>
          <w:lang w:val="en-AU" w:eastAsia="en-US"/>
        </w:rPr>
        <w:t xml:space="preserve">the </w:t>
      </w:r>
      <w:r w:rsidRPr="005668EA">
        <w:rPr>
          <w:rFonts w:ascii="Times New Roman" w:eastAsia="SimSun" w:hAnsi="Times New Roman" w:cs="Times New Roman"/>
          <w:snapToGrid w:val="0"/>
          <w:kern w:val="0"/>
          <w:sz w:val="20"/>
          <w:szCs w:val="20"/>
          <w:lang w:val="en-AU" w:eastAsia="en-US"/>
        </w:rPr>
        <w:t>treatment of locally advanced, inflammatory or early-stage breast cancer</w:t>
      </w:r>
      <w:r w:rsidR="0003509D" w:rsidRPr="4F533E7D">
        <w:rPr>
          <w:rFonts w:ascii="Times New Roman" w:eastAsia="SimSun" w:hAnsi="Times New Roman" w:cs="Times New Roman"/>
          <w:sz w:val="20"/>
          <w:szCs w:val="20"/>
          <w:lang w:val="en-AU"/>
        </w:rPr>
        <w:t>,</w:t>
      </w:r>
      <w:r w:rsidRPr="005668EA">
        <w:rPr>
          <w:rFonts w:ascii="Times New Roman" w:eastAsia="SimSun" w:hAnsi="Times New Roman" w:cs="Times New Roman"/>
          <w:snapToGrid w:val="0"/>
          <w:kern w:val="0"/>
          <w:sz w:val="20"/>
          <w:szCs w:val="20"/>
          <w:lang w:val="en-AU" w:eastAsia="en-US"/>
        </w:rPr>
        <w:t xml:space="preserve"> </w:t>
      </w:r>
      <w:r w:rsidR="0003509D" w:rsidRPr="4F533E7D">
        <w:rPr>
          <w:rFonts w:ascii="Times New Roman" w:eastAsia="SimSun" w:hAnsi="Times New Roman" w:cs="Times New Roman"/>
          <w:sz w:val="20"/>
          <w:szCs w:val="20"/>
          <w:lang w:val="en-AU"/>
        </w:rPr>
        <w:t>t</w:t>
      </w:r>
      <w:r w:rsidRPr="005668EA">
        <w:rPr>
          <w:rFonts w:ascii="Times New Roman" w:eastAsia="SimSun" w:hAnsi="Times New Roman" w:cs="Times New Roman"/>
          <w:snapToGrid w:val="0"/>
          <w:kern w:val="0"/>
          <w:sz w:val="20"/>
          <w:szCs w:val="20"/>
          <w:lang w:val="en-AU" w:eastAsia="en-US"/>
        </w:rPr>
        <w:t>he submission incorrectly calculated the cost of trastuzumab</w:t>
      </w:r>
      <w:r w:rsidR="006E2A44" w:rsidRPr="4F533E7D">
        <w:rPr>
          <w:rFonts w:ascii="Times New Roman" w:eastAsia="SimSun" w:hAnsi="Times New Roman" w:cs="Times New Roman"/>
          <w:sz w:val="20"/>
          <w:szCs w:val="20"/>
          <w:lang w:val="en-AU" w:eastAsia="en-US"/>
        </w:rPr>
        <w:t xml:space="preserve">. This was done </w:t>
      </w:r>
      <w:r w:rsidRPr="005668EA">
        <w:rPr>
          <w:rFonts w:ascii="Times New Roman" w:eastAsia="SimSun" w:hAnsi="Times New Roman" w:cs="Times New Roman"/>
          <w:snapToGrid w:val="0"/>
          <w:kern w:val="0"/>
          <w:sz w:val="20"/>
          <w:szCs w:val="20"/>
          <w:lang w:val="en-AU" w:eastAsia="en-US"/>
        </w:rPr>
        <w:t>by multiplying the average dose received per cycle by the proportion of patients remaining on treatment</w:t>
      </w:r>
      <w:r w:rsidR="006E2A44" w:rsidRPr="4F533E7D">
        <w:rPr>
          <w:rFonts w:ascii="Times New Roman" w:eastAsia="SimSun" w:hAnsi="Times New Roman" w:cs="Times New Roman"/>
          <w:sz w:val="20"/>
          <w:szCs w:val="20"/>
          <w:lang w:val="en-AU" w:eastAsia="en-US"/>
        </w:rPr>
        <w:t>, leading to an error where patients who discontinued treatment were double counted.</w:t>
      </w:r>
    </w:p>
    <w:bookmarkEnd w:id="53"/>
    <w:p w14:paraId="00DE3947" w14:textId="7FD35F65" w:rsidR="005703C0" w:rsidRPr="005668EA" w:rsidRDefault="00662A26" w:rsidP="00C33017">
      <w:pPr>
        <w:pStyle w:val="Heading4"/>
        <w:adjustRightInd w:val="0"/>
        <w:snapToGrid w:val="0"/>
        <w:spacing w:before="480" w:after="120" w:line="360" w:lineRule="auto"/>
        <w:rPr>
          <w:rFonts w:ascii="Times New Roman" w:eastAsiaTheme="minorEastAsia" w:hAnsi="Times New Roman" w:cs="Times New Roman"/>
          <w:sz w:val="20"/>
          <w:szCs w:val="20"/>
        </w:rPr>
      </w:pPr>
      <w:r w:rsidRPr="4F533E7D">
        <w:rPr>
          <w:rFonts w:ascii="Times New Roman" w:eastAsiaTheme="minorEastAsia" w:hAnsi="Times New Roman" w:cs="Times New Roman"/>
          <w:sz w:val="20"/>
          <w:szCs w:val="20"/>
        </w:rPr>
        <w:t>4</w:t>
      </w:r>
      <w:r w:rsidR="005703C0" w:rsidRPr="4F533E7D">
        <w:rPr>
          <w:rFonts w:ascii="Times New Roman" w:eastAsiaTheme="minorEastAsia" w:hAnsi="Times New Roman" w:cs="Times New Roman"/>
          <w:sz w:val="20"/>
          <w:szCs w:val="20"/>
        </w:rPr>
        <w:t>.3</w:t>
      </w:r>
      <w:r w:rsidR="61CF7E47" w:rsidRPr="4F533E7D">
        <w:rPr>
          <w:rFonts w:ascii="Times New Roman" w:eastAsiaTheme="minorEastAsia" w:hAnsi="Times New Roman" w:cs="Times New Roman"/>
          <w:sz w:val="20"/>
          <w:szCs w:val="20"/>
        </w:rPr>
        <w:t>.3</w:t>
      </w:r>
      <w:r w:rsidR="005703C0" w:rsidRPr="4F533E7D">
        <w:rPr>
          <w:rFonts w:ascii="Times New Roman" w:eastAsiaTheme="minorEastAsia" w:hAnsi="Times New Roman" w:cs="Times New Roman"/>
          <w:sz w:val="20"/>
          <w:szCs w:val="20"/>
        </w:rPr>
        <w:t xml:space="preserve"> Inappropriate assumptions</w:t>
      </w:r>
    </w:p>
    <w:p w14:paraId="68480F57" w14:textId="7A5C44A0" w:rsidR="005703C0" w:rsidRPr="005668EA" w:rsidRDefault="005703C0" w:rsidP="006C41A0">
      <w:pPr>
        <w:adjustRightInd w:val="0"/>
        <w:snapToGrid w:val="0"/>
        <w:spacing w:line="360" w:lineRule="auto"/>
        <w:rPr>
          <w:rFonts w:ascii="Times New Roman" w:hAnsi="Times New Roman" w:cs="Times New Roman"/>
          <w:snapToGrid w:val="0"/>
          <w:sz w:val="20"/>
          <w:szCs w:val="20"/>
        </w:rPr>
      </w:pPr>
      <w:bookmarkStart w:id="54" w:name="_Hlk159263946"/>
      <w:r w:rsidRPr="005668EA">
        <w:rPr>
          <w:rFonts w:ascii="Times New Roman" w:hAnsi="Times New Roman" w:cs="Times New Roman"/>
          <w:sz w:val="20"/>
          <w:szCs w:val="20"/>
        </w:rPr>
        <w:t>The</w:t>
      </w:r>
      <w:r w:rsidR="003E64C0" w:rsidRPr="005668EA">
        <w:rPr>
          <w:rFonts w:ascii="Times New Roman" w:hAnsi="Times New Roman" w:cs="Times New Roman"/>
          <w:sz w:val="20"/>
          <w:szCs w:val="20"/>
        </w:rPr>
        <w:t xml:space="preserve"> PBAC considered </w:t>
      </w:r>
      <w:r w:rsidR="00AA2786" w:rsidRPr="005668EA">
        <w:rPr>
          <w:rFonts w:ascii="Times New Roman" w:hAnsi="Times New Roman" w:cs="Times New Roman"/>
          <w:sz w:val="20"/>
          <w:szCs w:val="20"/>
        </w:rPr>
        <w:t>the</w:t>
      </w:r>
      <w:r w:rsidRPr="005668EA">
        <w:rPr>
          <w:rFonts w:ascii="Times New Roman" w:hAnsi="Times New Roman" w:cs="Times New Roman"/>
          <w:sz w:val="20"/>
          <w:szCs w:val="20"/>
        </w:rPr>
        <w:t xml:space="preserve"> cost </w:t>
      </w:r>
      <w:r w:rsidR="006E2A44">
        <w:rPr>
          <w:rFonts w:ascii="Times New Roman" w:hAnsi="Times New Roman" w:cs="Times New Roman"/>
          <w:sz w:val="20"/>
          <w:szCs w:val="20"/>
        </w:rPr>
        <w:t xml:space="preserve">to </w:t>
      </w:r>
      <w:r w:rsidR="003C19CC" w:rsidRPr="005668EA">
        <w:rPr>
          <w:rFonts w:ascii="Times New Roman" w:hAnsi="Times New Roman" w:cs="Times New Roman"/>
          <w:sz w:val="20"/>
          <w:szCs w:val="20"/>
        </w:rPr>
        <w:t xml:space="preserve">be </w:t>
      </w:r>
      <w:r w:rsidRPr="005668EA">
        <w:rPr>
          <w:rFonts w:ascii="Times New Roman" w:hAnsi="Times New Roman" w:cs="Times New Roman"/>
          <w:sz w:val="20"/>
          <w:szCs w:val="20"/>
        </w:rPr>
        <w:t>included</w:t>
      </w:r>
      <w:r w:rsidR="006E2A44" w:rsidRPr="006E2A44">
        <w:rPr>
          <w:rFonts w:ascii="Times New Roman" w:hAnsi="Times New Roman" w:cs="Times New Roman"/>
          <w:sz w:val="20"/>
          <w:szCs w:val="20"/>
        </w:rPr>
        <w:t xml:space="preserve"> </w:t>
      </w:r>
      <w:r w:rsidR="006E2A44" w:rsidRPr="005668EA">
        <w:rPr>
          <w:rFonts w:ascii="Times New Roman" w:hAnsi="Times New Roman" w:cs="Times New Roman"/>
          <w:sz w:val="20"/>
          <w:szCs w:val="20"/>
        </w:rPr>
        <w:t>should</w:t>
      </w:r>
      <w:r w:rsidR="006E2A44">
        <w:rPr>
          <w:rFonts w:ascii="Times New Roman" w:hAnsi="Times New Roman" w:cs="Times New Roman"/>
          <w:sz w:val="20"/>
          <w:szCs w:val="20"/>
        </w:rPr>
        <w:t xml:space="preserve"> </w:t>
      </w:r>
      <w:r w:rsidR="006E2A44" w:rsidRPr="006E2A44">
        <w:rPr>
          <w:rFonts w:ascii="Times New Roman" w:hAnsi="Times New Roman" w:cs="Times New Roman"/>
          <w:sz w:val="20"/>
          <w:szCs w:val="20"/>
        </w:rPr>
        <w:t>encompass</w:t>
      </w:r>
      <w:r w:rsidRPr="005668EA">
        <w:rPr>
          <w:rFonts w:ascii="Times New Roman" w:hAnsi="Times New Roman" w:cs="Times New Roman"/>
          <w:sz w:val="20"/>
          <w:szCs w:val="20"/>
        </w:rPr>
        <w:t xml:space="preserve">, but not </w:t>
      </w:r>
      <w:r w:rsidR="00E75DB0">
        <w:rPr>
          <w:rFonts w:ascii="Times New Roman" w:hAnsi="Times New Roman" w:cs="Times New Roman"/>
          <w:sz w:val="20"/>
          <w:szCs w:val="20"/>
        </w:rPr>
        <w:t xml:space="preserve">be </w:t>
      </w:r>
      <w:r w:rsidRPr="005668EA">
        <w:rPr>
          <w:rFonts w:ascii="Times New Roman" w:hAnsi="Times New Roman" w:cs="Times New Roman"/>
          <w:sz w:val="20"/>
          <w:szCs w:val="20"/>
        </w:rPr>
        <w:t>limited to</w:t>
      </w:r>
      <w:r w:rsidR="006E2A44">
        <w:rPr>
          <w:rFonts w:ascii="Times New Roman" w:hAnsi="Times New Roman" w:cs="Times New Roman"/>
          <w:sz w:val="20"/>
          <w:szCs w:val="20"/>
        </w:rPr>
        <w:t xml:space="preserve">, </w:t>
      </w:r>
      <w:r w:rsidRPr="005668EA">
        <w:rPr>
          <w:rFonts w:ascii="Times New Roman" w:hAnsi="Times New Roman" w:cs="Times New Roman"/>
          <w:sz w:val="20"/>
          <w:szCs w:val="20"/>
        </w:rPr>
        <w:t>medicines</w:t>
      </w:r>
      <w:r w:rsidRPr="005668EA">
        <w:rPr>
          <w:rFonts w:ascii="Times New Roman" w:hAnsi="Times New Roman" w:cs="Times New Roman"/>
          <w:snapToGrid w:val="0"/>
          <w:sz w:val="20"/>
          <w:szCs w:val="20"/>
        </w:rPr>
        <w:t xml:space="preserve"> cost, the cost for treatment of adverse events, medical services (</w:t>
      </w:r>
      <w:r w:rsidR="006E2A44">
        <w:rPr>
          <w:rFonts w:ascii="Times New Roman" w:hAnsi="Times New Roman" w:cs="Times New Roman"/>
          <w:snapToGrid w:val="0"/>
          <w:sz w:val="20"/>
          <w:szCs w:val="20"/>
        </w:rPr>
        <w:t>e.g.,</w:t>
      </w:r>
      <w:r w:rsidRPr="005668EA">
        <w:rPr>
          <w:rFonts w:ascii="Times New Roman" w:hAnsi="Times New Roman" w:cs="Times New Roman"/>
          <w:snapToGrid w:val="0"/>
          <w:sz w:val="20"/>
          <w:szCs w:val="20"/>
        </w:rPr>
        <w:t xml:space="preserve"> testing, sequential treatment), hospital services, diagnostic and investigational services, and community-based services.</w:t>
      </w:r>
    </w:p>
    <w:p w14:paraId="2F815F70" w14:textId="373B486F" w:rsidR="005703C0" w:rsidRPr="00B51ED4" w:rsidRDefault="29912F7A" w:rsidP="00C33017">
      <w:pPr>
        <w:adjustRightInd w:val="0"/>
        <w:snapToGrid w:val="0"/>
        <w:spacing w:before="480" w:after="120" w:line="360" w:lineRule="auto"/>
        <w:rPr>
          <w:rFonts w:ascii="Times New Roman" w:hAnsi="Times New Roman" w:cs="Times New Roman"/>
          <w:b/>
          <w:bCs/>
          <w:snapToGrid w:val="0"/>
          <w:sz w:val="20"/>
          <w:szCs w:val="20"/>
        </w:rPr>
      </w:pPr>
      <w:r w:rsidRPr="00B51ED4">
        <w:rPr>
          <w:rFonts w:ascii="Times New Roman" w:hAnsi="Times New Roman" w:cs="Times New Roman"/>
          <w:b/>
          <w:bCs/>
          <w:snapToGrid w:val="0"/>
          <w:sz w:val="20"/>
          <w:szCs w:val="20"/>
        </w:rPr>
        <w:t>4.3.3.1</w:t>
      </w:r>
      <w:r w:rsidR="005703C0" w:rsidRPr="00B51ED4">
        <w:rPr>
          <w:rFonts w:ascii="Times New Roman" w:hAnsi="Times New Roman" w:cs="Times New Roman"/>
          <w:b/>
          <w:bCs/>
          <w:snapToGrid w:val="0"/>
          <w:sz w:val="20"/>
          <w:szCs w:val="20"/>
        </w:rPr>
        <w:t xml:space="preserve"> Inappropriately included or excluded some components of cost.</w:t>
      </w:r>
    </w:p>
    <w:p w14:paraId="11372109" w14:textId="6C5CEAEF" w:rsidR="005703C0" w:rsidRPr="005668EA" w:rsidRDefault="005703C0" w:rsidP="006C41A0">
      <w:pPr>
        <w:adjustRightInd w:val="0"/>
        <w:snapToGrid w:val="0"/>
        <w:spacing w:line="360" w:lineRule="auto"/>
        <w:rPr>
          <w:rFonts w:ascii="Times New Roman" w:hAnsi="Times New Roman" w:cs="Times New Roman"/>
          <w:snapToGrid w:val="0"/>
          <w:sz w:val="20"/>
          <w:szCs w:val="20"/>
        </w:rPr>
      </w:pPr>
      <w:r w:rsidRPr="005668EA">
        <w:rPr>
          <w:rFonts w:ascii="Times New Roman" w:eastAsia="SimSun" w:hAnsi="Times New Roman" w:cs="Times New Roman"/>
          <w:snapToGrid w:val="0"/>
          <w:kern w:val="0"/>
          <w:sz w:val="20"/>
          <w:szCs w:val="20"/>
          <w:lang w:val="en-AU" w:eastAsia="en-US"/>
        </w:rPr>
        <w:t xml:space="preserve">For instance, in the submission </w:t>
      </w:r>
      <w:r w:rsidR="475D15D7" w:rsidRPr="005668EA">
        <w:rPr>
          <w:rFonts w:ascii="Times New Roman" w:eastAsia="SimSun" w:hAnsi="Times New Roman" w:cs="Times New Roman"/>
          <w:snapToGrid w:val="0"/>
          <w:kern w:val="0"/>
          <w:sz w:val="20"/>
          <w:szCs w:val="20"/>
          <w:lang w:val="en-AU" w:eastAsia="en-US"/>
        </w:rPr>
        <w:t xml:space="preserve">for </w:t>
      </w:r>
      <w:bookmarkStart w:id="55" w:name="OLE_LINK1"/>
      <w:r w:rsidRPr="005668EA">
        <w:rPr>
          <w:rFonts w:ascii="Times New Roman" w:eastAsia="SimSun" w:hAnsi="Times New Roman" w:cs="Times New Roman"/>
          <w:snapToGrid w:val="0"/>
          <w:kern w:val="0"/>
          <w:sz w:val="20"/>
          <w:szCs w:val="20"/>
          <w:lang w:val="en-AU" w:eastAsia="en-US"/>
        </w:rPr>
        <w:t>abiraterone</w:t>
      </w:r>
      <w:bookmarkEnd w:id="55"/>
      <w:r w:rsidRPr="005668EA">
        <w:rPr>
          <w:rFonts w:ascii="Times New Roman" w:eastAsia="SimSun" w:hAnsi="Times New Roman" w:cs="Times New Roman"/>
          <w:snapToGrid w:val="0"/>
          <w:kern w:val="0"/>
          <w:sz w:val="20"/>
          <w:szCs w:val="20"/>
          <w:lang w:val="en-AU" w:eastAsia="en-US"/>
        </w:rPr>
        <w:t xml:space="preserve"> for </w:t>
      </w:r>
      <w:r w:rsidR="002E3C7E">
        <w:rPr>
          <w:rFonts w:ascii="Times New Roman" w:eastAsia="SimSun" w:hAnsi="Times New Roman" w:cs="Times New Roman"/>
          <w:snapToGrid w:val="0"/>
          <w:kern w:val="0"/>
          <w:sz w:val="20"/>
          <w:szCs w:val="20"/>
          <w:lang w:val="en-AU" w:eastAsia="en-US"/>
        </w:rPr>
        <w:t xml:space="preserve">the </w:t>
      </w:r>
      <w:r w:rsidRPr="005668EA">
        <w:rPr>
          <w:rFonts w:ascii="Times New Roman" w:eastAsia="SimSun" w:hAnsi="Times New Roman" w:cs="Times New Roman"/>
          <w:snapToGrid w:val="0"/>
          <w:kern w:val="0"/>
          <w:sz w:val="20"/>
          <w:szCs w:val="20"/>
          <w:lang w:val="en-AU" w:eastAsia="en-US"/>
        </w:rPr>
        <w:t xml:space="preserve">treatment of </w:t>
      </w:r>
      <w:r w:rsidR="00370269" w:rsidRPr="00370269">
        <w:rPr>
          <w:rFonts w:ascii="Times New Roman" w:eastAsia="SimSun" w:hAnsi="Times New Roman" w:cs="Times New Roman"/>
          <w:snapToGrid w:val="0"/>
          <w:kern w:val="0"/>
          <w:sz w:val="20"/>
          <w:szCs w:val="20"/>
          <w:lang w:val="en-AU" w:eastAsia="en-US"/>
        </w:rPr>
        <w:t>mCRPC</w:t>
      </w:r>
      <w:r w:rsidR="00872E37" w:rsidRPr="4F533E7D">
        <w:rPr>
          <w:rFonts w:ascii="Times New Roman" w:eastAsia="SimSun" w:hAnsi="Times New Roman" w:cs="Times New Roman"/>
          <w:sz w:val="20"/>
          <w:szCs w:val="20"/>
          <w:lang w:val="en-AU"/>
        </w:rPr>
        <w:t xml:space="preserve">, </w:t>
      </w:r>
      <w:r w:rsidRPr="005668EA">
        <w:rPr>
          <w:rFonts w:ascii="Times New Roman" w:eastAsia="SimSun" w:hAnsi="Times New Roman" w:cs="Times New Roman"/>
          <w:snapToGrid w:val="0"/>
          <w:kern w:val="0"/>
          <w:sz w:val="20"/>
          <w:szCs w:val="20"/>
          <w:lang w:val="en-AU"/>
        </w:rPr>
        <w:t>the PBAC consider</w:t>
      </w:r>
      <w:r w:rsidR="00E6323F" w:rsidRPr="4F533E7D">
        <w:rPr>
          <w:rFonts w:ascii="Times New Roman" w:eastAsia="SimSun" w:hAnsi="Times New Roman" w:cs="Times New Roman"/>
          <w:sz w:val="20"/>
          <w:szCs w:val="20"/>
          <w:lang w:val="en-AU"/>
        </w:rPr>
        <w:t>ed</w:t>
      </w:r>
      <w:r w:rsidRPr="005668EA">
        <w:rPr>
          <w:rFonts w:ascii="Times New Roman" w:eastAsia="SimSun" w:hAnsi="Times New Roman" w:cs="Times New Roman"/>
          <w:snapToGrid w:val="0"/>
          <w:kern w:val="0"/>
          <w:sz w:val="20"/>
          <w:szCs w:val="20"/>
          <w:lang w:val="en-AU"/>
        </w:rPr>
        <w:t xml:space="preserve"> it inappropriate since it did not include </w:t>
      </w:r>
      <w:r w:rsidR="00E6323F" w:rsidRPr="4F533E7D">
        <w:rPr>
          <w:rFonts w:ascii="Times New Roman" w:eastAsia="SimSun" w:hAnsi="Times New Roman" w:cs="Times New Roman"/>
          <w:sz w:val="20"/>
          <w:szCs w:val="20"/>
          <w:lang w:val="en-AU" w:eastAsia="en-US"/>
        </w:rPr>
        <w:t xml:space="preserve">costs associated with </w:t>
      </w:r>
      <w:r w:rsidRPr="005668EA">
        <w:rPr>
          <w:rFonts w:ascii="Times New Roman" w:eastAsia="SimSun" w:hAnsi="Times New Roman" w:cs="Times New Roman"/>
          <w:snapToGrid w:val="0"/>
          <w:kern w:val="0"/>
          <w:sz w:val="20"/>
          <w:szCs w:val="20"/>
          <w:lang w:val="en-AU"/>
        </w:rPr>
        <w:t xml:space="preserve">medical management or downstream </w:t>
      </w:r>
      <w:r w:rsidR="00CE206B" w:rsidRPr="4F533E7D">
        <w:rPr>
          <w:rFonts w:ascii="Times New Roman" w:eastAsia="SimSun" w:hAnsi="Times New Roman" w:cs="Times New Roman"/>
          <w:sz w:val="20"/>
          <w:szCs w:val="20"/>
          <w:lang w:val="en-AU"/>
        </w:rPr>
        <w:t xml:space="preserve">medicines </w:t>
      </w:r>
      <w:r w:rsidRPr="005668EA">
        <w:rPr>
          <w:rFonts w:ascii="Times New Roman" w:eastAsia="SimSun" w:hAnsi="Times New Roman" w:cs="Times New Roman"/>
          <w:snapToGrid w:val="0"/>
          <w:kern w:val="0"/>
          <w:sz w:val="20"/>
          <w:szCs w:val="20"/>
          <w:lang w:val="en-AU"/>
        </w:rPr>
        <w:t>in the model</w:t>
      </w:r>
      <w:r w:rsidR="00872E37" w:rsidRPr="4F533E7D">
        <w:rPr>
          <w:rFonts w:ascii="Times New Roman" w:eastAsia="SimSun" w:hAnsi="Times New Roman" w:cs="Times New Roman"/>
          <w:sz w:val="20"/>
          <w:szCs w:val="20"/>
          <w:lang w:val="en-AU"/>
        </w:rPr>
        <w:t xml:space="preserve"> given the survival advantage of the abiraterone arm</w:t>
      </w:r>
      <w:r w:rsidRPr="005668EA">
        <w:rPr>
          <w:rFonts w:ascii="Times New Roman" w:eastAsia="SimSun" w:hAnsi="Times New Roman" w:cs="Times New Roman"/>
          <w:snapToGrid w:val="0"/>
          <w:kern w:val="0"/>
          <w:sz w:val="20"/>
          <w:szCs w:val="20"/>
          <w:lang w:val="en-AU"/>
        </w:rPr>
        <w:t xml:space="preserve">. The omission of these costs </w:t>
      </w:r>
      <w:r w:rsidR="00E6323F" w:rsidRPr="4F533E7D">
        <w:rPr>
          <w:rFonts w:ascii="Times New Roman" w:eastAsia="SimSun" w:hAnsi="Times New Roman" w:cs="Times New Roman"/>
          <w:sz w:val="20"/>
          <w:szCs w:val="20"/>
          <w:lang w:val="en-AU"/>
        </w:rPr>
        <w:t xml:space="preserve">favoured </w:t>
      </w:r>
      <w:r w:rsidRPr="005668EA">
        <w:rPr>
          <w:rFonts w:ascii="Times New Roman" w:eastAsia="SimSun" w:hAnsi="Times New Roman" w:cs="Times New Roman"/>
          <w:snapToGrid w:val="0"/>
          <w:kern w:val="0"/>
          <w:sz w:val="20"/>
          <w:szCs w:val="20"/>
          <w:lang w:val="en-AU"/>
        </w:rPr>
        <w:t>abiraterone</w:t>
      </w:r>
      <w:r w:rsidR="00F324F1">
        <w:rPr>
          <w:rFonts w:ascii="Times New Roman" w:eastAsia="SimSun" w:hAnsi="Times New Roman" w:cs="Times New Roman"/>
          <w:snapToGrid w:val="0"/>
          <w:kern w:val="0"/>
          <w:sz w:val="20"/>
          <w:szCs w:val="20"/>
          <w:lang w:val="en-AU"/>
        </w:rPr>
        <w:t xml:space="preserve"> </w:t>
      </w:r>
      <w:r w:rsidR="003735A5" w:rsidRPr="005668EA">
        <w:rPr>
          <w:rFonts w:ascii="Times New Roman" w:eastAsia="SimSun" w:hAnsi="Times New Roman" w:cs="Times New Roman"/>
          <w:snapToGrid w:val="0"/>
          <w:kern w:val="0"/>
          <w:sz w:val="20"/>
          <w:szCs w:val="20"/>
          <w:lang w:val="en-AU"/>
        </w:rPr>
        <w:fldChar w:fldCharType="begin"/>
      </w:r>
      <w:r w:rsidR="00AD61C8">
        <w:rPr>
          <w:rFonts w:ascii="Times New Roman" w:eastAsia="SimSun" w:hAnsi="Times New Roman" w:cs="Times New Roman"/>
          <w:snapToGrid w:val="0"/>
          <w:kern w:val="0"/>
          <w:sz w:val="20"/>
          <w:szCs w:val="20"/>
          <w:lang w:val="en-AU"/>
        </w:rPr>
        <w:instrText xml:space="preserve"> ADDIN EN.CITE &lt;EndNote&gt;&lt;Cite&gt;&lt;Author&gt;Pharmaceutical Benefits Advisory Committee&lt;/Author&gt;&lt;Year&gt;2014&lt;/Year&gt;&lt;RecNum&gt;19274&lt;/RecNum&gt;&lt;DisplayText&gt;[15]&lt;/DisplayText&gt;&lt;record&gt;&lt;rec-number&gt;19274&lt;/rec-number&gt;&lt;foreign-keys&gt;&lt;key app="EN" db-id="5zttwaa2gstv57epr5z5zxv325varaa5e9rp" timestamp="1681373617"&gt;19274&lt;/key&gt;&lt;/foreign-keys&gt;&lt;ref-type name="Government Document"&gt;46&lt;/ref-type&gt;&lt;contributors&gt;&lt;authors&gt;&lt;author&gt;Pharmaceutical Benefits Advisory Committee,&lt;/author&gt;&lt;/authors&gt;&lt;/contributors&gt;&lt;titles&gt;&lt;title&gt;Abiraterone Acetate, tablet, 250 mg, Zytiga®, Janssen-Cilag Pty Ltd&lt;/title&gt;&lt;/titles&gt;&lt;dates&gt;&lt;year&gt;2014&lt;/year&gt;&lt;/dates&gt;&lt;urls&gt;&lt;related-urls&gt;&lt;url&gt;https://www.pbs.gov.au/info/industry/listing/elements/pbac-meetings/psd/2014-07/abiraterone-psd-07-2014&lt;/url&gt;&lt;/related-urls&gt;&lt;/urls&gt;&lt;access-date&gt;30 Aug 2020&lt;/access-date&gt;&lt;/record&gt;&lt;/Cite&gt;&lt;/EndNote&gt;</w:instrText>
      </w:r>
      <w:r w:rsidR="003735A5" w:rsidRPr="005668EA">
        <w:rPr>
          <w:rFonts w:ascii="Times New Roman" w:eastAsia="SimSun" w:hAnsi="Times New Roman" w:cs="Times New Roman"/>
          <w:snapToGrid w:val="0"/>
          <w:kern w:val="0"/>
          <w:sz w:val="20"/>
          <w:szCs w:val="20"/>
          <w:lang w:val="en-AU"/>
        </w:rPr>
        <w:fldChar w:fldCharType="separate"/>
      </w:r>
      <w:r w:rsidR="00AD61C8">
        <w:rPr>
          <w:rFonts w:ascii="Times New Roman" w:eastAsia="SimSun" w:hAnsi="Times New Roman" w:cs="Times New Roman"/>
          <w:noProof/>
          <w:snapToGrid w:val="0"/>
          <w:kern w:val="0"/>
          <w:sz w:val="20"/>
          <w:szCs w:val="20"/>
          <w:lang w:val="en-AU"/>
        </w:rPr>
        <w:t>[15]</w:t>
      </w:r>
      <w:r w:rsidR="003735A5" w:rsidRPr="005668EA">
        <w:rPr>
          <w:rFonts w:ascii="Times New Roman" w:eastAsia="SimSun" w:hAnsi="Times New Roman" w:cs="Times New Roman"/>
          <w:snapToGrid w:val="0"/>
          <w:kern w:val="0"/>
          <w:sz w:val="20"/>
          <w:szCs w:val="20"/>
          <w:lang w:val="en-AU"/>
        </w:rPr>
        <w:fldChar w:fldCharType="end"/>
      </w:r>
      <w:r w:rsidRPr="005668EA">
        <w:rPr>
          <w:rFonts w:ascii="Times New Roman" w:eastAsia="SimSun" w:hAnsi="Times New Roman" w:cs="Times New Roman"/>
          <w:snapToGrid w:val="0"/>
          <w:kern w:val="0"/>
          <w:sz w:val="20"/>
          <w:szCs w:val="20"/>
          <w:lang w:val="en-AU"/>
        </w:rPr>
        <w:t>.</w:t>
      </w:r>
      <w:r w:rsidR="003C19CC" w:rsidRPr="005668EA">
        <w:rPr>
          <w:rFonts w:ascii="Times New Roman" w:eastAsia="SimSun" w:hAnsi="Times New Roman" w:cs="Times New Roman"/>
          <w:snapToGrid w:val="0"/>
          <w:kern w:val="0"/>
          <w:sz w:val="20"/>
          <w:szCs w:val="20"/>
          <w:lang w:val="en-AU"/>
        </w:rPr>
        <w:t xml:space="preserve"> </w:t>
      </w:r>
    </w:p>
    <w:p w14:paraId="0AFB057A" w14:textId="43ADD234" w:rsidR="005703C0" w:rsidRPr="00B51ED4" w:rsidRDefault="7A25C0AF" w:rsidP="005567DC">
      <w:pPr>
        <w:adjustRightInd w:val="0"/>
        <w:snapToGrid w:val="0"/>
        <w:spacing w:before="480" w:after="120" w:line="360" w:lineRule="auto"/>
        <w:rPr>
          <w:rFonts w:ascii="Times New Roman" w:hAnsi="Times New Roman" w:cs="Times New Roman"/>
          <w:b/>
          <w:bCs/>
          <w:sz w:val="20"/>
          <w:szCs w:val="20"/>
        </w:rPr>
      </w:pPr>
      <w:r w:rsidRPr="00B51ED4">
        <w:rPr>
          <w:rFonts w:ascii="Times New Roman" w:hAnsi="Times New Roman" w:cs="Times New Roman"/>
          <w:b/>
          <w:bCs/>
          <w:snapToGrid w:val="0"/>
          <w:sz w:val="20"/>
          <w:szCs w:val="20"/>
        </w:rPr>
        <w:t>4.3.3.2</w:t>
      </w:r>
      <w:r w:rsidR="005703C0" w:rsidRPr="00B51ED4">
        <w:rPr>
          <w:rFonts w:ascii="Times New Roman" w:hAnsi="Times New Roman" w:cs="Times New Roman"/>
          <w:b/>
          <w:bCs/>
          <w:snapToGrid w:val="0"/>
          <w:sz w:val="20"/>
          <w:szCs w:val="20"/>
        </w:rPr>
        <w:t xml:space="preserve"> Inappropriate </w:t>
      </w:r>
      <w:r w:rsidR="005703C0" w:rsidRPr="00B51ED4">
        <w:rPr>
          <w:rFonts w:ascii="Times New Roman" w:hAnsi="Times New Roman" w:cs="Times New Roman"/>
          <w:b/>
          <w:bCs/>
          <w:sz w:val="20"/>
          <w:szCs w:val="20"/>
        </w:rPr>
        <w:t xml:space="preserve">assumption </w:t>
      </w:r>
      <w:r w:rsidR="005567DC">
        <w:rPr>
          <w:rFonts w:ascii="Times New Roman" w:hAnsi="Times New Roman" w:cs="Times New Roman" w:hint="eastAsia"/>
          <w:b/>
          <w:bCs/>
          <w:sz w:val="20"/>
          <w:szCs w:val="20"/>
        </w:rPr>
        <w:t>on price</w:t>
      </w:r>
      <w:r w:rsidR="005703C0" w:rsidRPr="00B51ED4">
        <w:rPr>
          <w:rFonts w:ascii="Times New Roman" w:hAnsi="Times New Roman" w:cs="Times New Roman"/>
          <w:b/>
          <w:bCs/>
          <w:sz w:val="20"/>
          <w:szCs w:val="20"/>
        </w:rPr>
        <w:t>, wastage, dos</w:t>
      </w:r>
      <w:r w:rsidR="005567DC">
        <w:rPr>
          <w:rFonts w:ascii="Times New Roman" w:hAnsi="Times New Roman" w:cs="Times New Roman" w:hint="eastAsia"/>
          <w:b/>
          <w:bCs/>
          <w:sz w:val="20"/>
          <w:szCs w:val="20"/>
        </w:rPr>
        <w:t>e</w:t>
      </w:r>
      <w:r w:rsidR="005703C0" w:rsidRPr="00B51ED4">
        <w:rPr>
          <w:rFonts w:ascii="Times New Roman" w:hAnsi="Times New Roman" w:cs="Times New Roman"/>
          <w:b/>
          <w:bCs/>
          <w:sz w:val="20"/>
          <w:szCs w:val="20"/>
        </w:rPr>
        <w:t xml:space="preserve">, </w:t>
      </w:r>
      <w:r w:rsidR="005567DC">
        <w:rPr>
          <w:rFonts w:ascii="Times New Roman" w:hAnsi="Times New Roman" w:cs="Times New Roman" w:hint="eastAsia"/>
          <w:b/>
          <w:bCs/>
          <w:sz w:val="20"/>
          <w:szCs w:val="20"/>
        </w:rPr>
        <w:t>cost offset, etc</w:t>
      </w:r>
      <w:r w:rsidR="005703C0" w:rsidRPr="00B51ED4">
        <w:rPr>
          <w:rFonts w:ascii="Times New Roman" w:hAnsi="Times New Roman" w:cs="Times New Roman"/>
          <w:b/>
          <w:bCs/>
          <w:sz w:val="20"/>
          <w:szCs w:val="20"/>
        </w:rPr>
        <w:t xml:space="preserve">. </w:t>
      </w:r>
    </w:p>
    <w:p w14:paraId="5B0DDD6E" w14:textId="17006BC3" w:rsidR="005703C0" w:rsidRDefault="005703C0" w:rsidP="006C41A0">
      <w:pPr>
        <w:adjustRightInd w:val="0"/>
        <w:snapToGrid w:val="0"/>
        <w:spacing w:line="360" w:lineRule="auto"/>
        <w:rPr>
          <w:rFonts w:ascii="Times New Roman" w:eastAsia="SimSun" w:hAnsi="Times New Roman" w:cs="Times New Roman"/>
          <w:snapToGrid w:val="0"/>
          <w:kern w:val="0"/>
          <w:sz w:val="20"/>
          <w:szCs w:val="20"/>
          <w:lang w:val="en-AU" w:eastAsia="en-US"/>
        </w:rPr>
      </w:pPr>
      <w:r w:rsidRPr="005668EA">
        <w:rPr>
          <w:rFonts w:ascii="Times New Roman" w:eastAsia="SimSun" w:hAnsi="Times New Roman" w:cs="Times New Roman"/>
          <w:snapToGrid w:val="0"/>
          <w:kern w:val="0"/>
          <w:sz w:val="20"/>
          <w:szCs w:val="20"/>
          <w:lang w:val="en-AU" w:eastAsia="en-US"/>
        </w:rPr>
        <w:t xml:space="preserve">For instance, in the submission </w:t>
      </w:r>
      <w:r w:rsidR="163D68E8" w:rsidRPr="005668EA">
        <w:rPr>
          <w:rFonts w:ascii="Times New Roman" w:eastAsia="SimSun" w:hAnsi="Times New Roman" w:cs="Times New Roman"/>
          <w:snapToGrid w:val="0"/>
          <w:kern w:val="0"/>
          <w:sz w:val="20"/>
          <w:szCs w:val="20"/>
          <w:lang w:val="en-AU" w:eastAsia="en-US"/>
        </w:rPr>
        <w:t xml:space="preserve">for </w:t>
      </w:r>
      <w:proofErr w:type="spellStart"/>
      <w:r w:rsidRPr="005668EA">
        <w:rPr>
          <w:rFonts w:ascii="Times New Roman" w:eastAsia="SimSun" w:hAnsi="Times New Roman" w:cs="Times New Roman"/>
          <w:snapToGrid w:val="0"/>
          <w:kern w:val="0"/>
          <w:sz w:val="20"/>
          <w:szCs w:val="20"/>
          <w:lang w:val="en-AU" w:eastAsia="en-US"/>
        </w:rPr>
        <w:t>asfotase</w:t>
      </w:r>
      <w:proofErr w:type="spellEnd"/>
      <w:r w:rsidRPr="005668EA">
        <w:rPr>
          <w:rFonts w:ascii="Times New Roman" w:eastAsia="SimSun" w:hAnsi="Times New Roman" w:cs="Times New Roman"/>
          <w:snapToGrid w:val="0"/>
          <w:kern w:val="0"/>
          <w:sz w:val="20"/>
          <w:szCs w:val="20"/>
          <w:lang w:val="en-AU" w:eastAsia="en-US"/>
        </w:rPr>
        <w:t xml:space="preserve"> alfa rch </w:t>
      </w:r>
      <w:r w:rsidR="3C779082" w:rsidRPr="005668EA">
        <w:rPr>
          <w:rFonts w:ascii="Times New Roman" w:eastAsia="SimSun" w:hAnsi="Times New Roman" w:cs="Times New Roman"/>
          <w:snapToGrid w:val="0"/>
          <w:kern w:val="0"/>
          <w:sz w:val="20"/>
          <w:szCs w:val="20"/>
          <w:lang w:val="en-AU" w:eastAsia="en-US"/>
        </w:rPr>
        <w:t xml:space="preserve">for </w:t>
      </w:r>
      <w:r w:rsidRPr="005668EA">
        <w:rPr>
          <w:rFonts w:ascii="Times New Roman" w:eastAsia="SimSun" w:hAnsi="Times New Roman" w:cs="Times New Roman"/>
          <w:snapToGrid w:val="0"/>
          <w:kern w:val="0"/>
          <w:sz w:val="20"/>
          <w:szCs w:val="20"/>
          <w:lang w:val="en-AU" w:eastAsia="en-US"/>
        </w:rPr>
        <w:t>the treatment of patients with paediatric onset hypophosphatasia</w:t>
      </w:r>
      <w:r w:rsidR="00957688">
        <w:rPr>
          <w:rFonts w:ascii="Times New Roman" w:eastAsia="SimSun" w:hAnsi="Times New Roman" w:cs="Times New Roman"/>
          <w:snapToGrid w:val="0"/>
          <w:kern w:val="0"/>
          <w:sz w:val="20"/>
          <w:szCs w:val="20"/>
          <w:lang w:val="en-AU" w:eastAsia="en-US"/>
        </w:rPr>
        <w:t xml:space="preserve"> </w:t>
      </w:r>
      <w:r w:rsidR="00ED4D21" w:rsidRPr="005668EA">
        <w:rPr>
          <w:rFonts w:ascii="Times New Roman" w:eastAsia="SimSun" w:hAnsi="Times New Roman" w:cs="Times New Roman"/>
          <w:snapToGrid w:val="0"/>
          <w:kern w:val="0"/>
          <w:sz w:val="20"/>
          <w:szCs w:val="20"/>
          <w:lang w:val="en-AU" w:eastAsia="en-US"/>
        </w:rPr>
        <w:fldChar w:fldCharType="begin"/>
      </w:r>
      <w:r w:rsidR="00687A2B">
        <w:rPr>
          <w:rFonts w:ascii="Times New Roman" w:eastAsia="SimSun" w:hAnsi="Times New Roman" w:cs="Times New Roman"/>
          <w:snapToGrid w:val="0"/>
          <w:kern w:val="0"/>
          <w:sz w:val="20"/>
          <w:szCs w:val="20"/>
          <w:lang w:val="en-AU" w:eastAsia="en-US"/>
        </w:rPr>
        <w:instrText xml:space="preserve"> ADDIN EN.CITE &lt;EndNote&gt;&lt;Cite&gt;&lt;Author&gt;Pharmaceutical Benefits Advisory Committee&lt;/Author&gt;&lt;Year&gt;2017&lt;/Year&gt;&lt;RecNum&gt;19278&lt;/RecNum&gt;&lt;DisplayText&gt;[23]&lt;/DisplayText&gt;&lt;record&gt;&lt;rec-number&gt;19278&lt;/rec-number&gt;&lt;foreign-keys&gt;&lt;key app="EN" db-id="5zttwaa2gstv57epr5z5zxv325varaa5e9rp" timestamp="1681375548"&gt;19278&lt;/key&gt;&lt;/foreign-keys&gt;&lt;ref-type name="Government Document"&gt;46&lt;/ref-type&gt;&lt;contributors&gt;&lt;authors&gt;&lt;author&gt;Pharmaceutical Benefits Advisory Committee,&lt;/author&gt;&lt;/authors&gt;&lt;secondary-authors&gt;&lt;author&gt;The Pharmaceutical Benefits Advisory Committee&lt;/author&gt;&lt;/secondary-authors&gt;&lt;/contributors&gt;&lt;titles&gt;&lt;title&gt;Asfotase alfa: Injection 18 mg in 0.45 mL, vial, Injection 28 mg in 0.7 mL, vial, Injection 40 mg in 1 mL, vial, Injection 80 mg in 0.8 mL, vial; Strensiq®&lt;/title&gt;&lt;/titles&gt;&lt;dates&gt;&lt;year&gt;2017&lt;/year&gt;&lt;/dates&gt;&lt;urls&gt;&lt;related-urls&gt;&lt;url&gt;https://www.pbs.gov.au/info/industry/listing/elements/pbac-meetings/psd/2017-07/asfotase-alfa-rch-psd-july-2017&lt;/url&gt;&lt;/related-urls&gt;&lt;/urls&gt;&lt;access-date&gt;30 Aug 2020&lt;/access-date&gt;&lt;/record&gt;&lt;/Cite&gt;&lt;/EndNote&gt;</w:instrText>
      </w:r>
      <w:r w:rsidR="00ED4D21" w:rsidRPr="005668EA">
        <w:rPr>
          <w:rFonts w:ascii="Times New Roman" w:eastAsia="SimSun" w:hAnsi="Times New Roman" w:cs="Times New Roman"/>
          <w:snapToGrid w:val="0"/>
          <w:kern w:val="0"/>
          <w:sz w:val="20"/>
          <w:szCs w:val="20"/>
          <w:lang w:val="en-AU" w:eastAsia="en-US"/>
        </w:rPr>
        <w:fldChar w:fldCharType="separate"/>
      </w:r>
      <w:r w:rsidR="00687A2B">
        <w:rPr>
          <w:rFonts w:ascii="Times New Roman" w:eastAsia="SimSun" w:hAnsi="Times New Roman" w:cs="Times New Roman"/>
          <w:noProof/>
          <w:snapToGrid w:val="0"/>
          <w:kern w:val="0"/>
          <w:sz w:val="20"/>
          <w:szCs w:val="20"/>
          <w:lang w:val="en-AU" w:eastAsia="en-US"/>
        </w:rPr>
        <w:t>[23]</w:t>
      </w:r>
      <w:r w:rsidR="00ED4D21" w:rsidRPr="005668EA">
        <w:rPr>
          <w:rFonts w:ascii="Times New Roman" w:eastAsia="SimSun" w:hAnsi="Times New Roman" w:cs="Times New Roman"/>
          <w:snapToGrid w:val="0"/>
          <w:kern w:val="0"/>
          <w:sz w:val="20"/>
          <w:szCs w:val="20"/>
          <w:lang w:val="en-AU" w:eastAsia="en-US"/>
        </w:rPr>
        <w:fldChar w:fldCharType="end"/>
      </w:r>
      <w:r w:rsidR="00872E37" w:rsidRPr="4F533E7D">
        <w:rPr>
          <w:rFonts w:ascii="Times New Roman" w:eastAsia="SimSun" w:hAnsi="Times New Roman" w:cs="Times New Roman"/>
          <w:sz w:val="20"/>
          <w:szCs w:val="20"/>
          <w:lang w:val="en-AU"/>
        </w:rPr>
        <w:t>,</w:t>
      </w:r>
      <w:r w:rsidRPr="005668EA">
        <w:rPr>
          <w:rFonts w:ascii="Times New Roman" w:eastAsia="SimSun" w:hAnsi="Times New Roman" w:cs="Times New Roman"/>
          <w:snapToGrid w:val="0"/>
          <w:kern w:val="0"/>
          <w:sz w:val="20"/>
          <w:szCs w:val="20"/>
          <w:lang w:val="en-AU" w:eastAsia="en-US"/>
        </w:rPr>
        <w:t xml:space="preserve"> </w:t>
      </w:r>
      <w:r w:rsidR="00872E37" w:rsidRPr="4F533E7D">
        <w:rPr>
          <w:rFonts w:ascii="Times New Roman" w:eastAsia="SimSun" w:hAnsi="Times New Roman" w:cs="Times New Roman"/>
          <w:sz w:val="20"/>
          <w:szCs w:val="20"/>
          <w:lang w:val="en-AU"/>
        </w:rPr>
        <w:t>t</w:t>
      </w:r>
      <w:r w:rsidRPr="005668EA">
        <w:rPr>
          <w:rFonts w:ascii="Times New Roman" w:eastAsia="SimSun" w:hAnsi="Times New Roman" w:cs="Times New Roman"/>
          <w:snapToGrid w:val="0"/>
          <w:kern w:val="0"/>
          <w:sz w:val="20"/>
          <w:szCs w:val="20"/>
          <w:lang w:val="en-AU" w:eastAsia="en-US"/>
        </w:rPr>
        <w:t xml:space="preserve">he PBAC </w:t>
      </w:r>
      <w:r w:rsidR="00E6323F" w:rsidRPr="4F533E7D">
        <w:rPr>
          <w:rFonts w:ascii="Times New Roman" w:eastAsia="SimSun" w:hAnsi="Times New Roman" w:cs="Times New Roman"/>
          <w:sz w:val="20"/>
          <w:szCs w:val="20"/>
          <w:lang w:val="en-AU" w:eastAsia="en-US"/>
        </w:rPr>
        <w:t>noted</w:t>
      </w:r>
      <w:r w:rsidRPr="005668EA">
        <w:rPr>
          <w:rFonts w:ascii="Times New Roman" w:eastAsia="SimSun" w:hAnsi="Times New Roman" w:cs="Times New Roman"/>
          <w:snapToGrid w:val="0"/>
          <w:kern w:val="0"/>
          <w:sz w:val="20"/>
          <w:szCs w:val="20"/>
          <w:lang w:val="en-AU" w:eastAsia="en-US"/>
        </w:rPr>
        <w:t xml:space="preserve"> uncertainties around the cost</w:t>
      </w:r>
      <w:r w:rsidR="00E6323F" w:rsidRPr="4F533E7D">
        <w:rPr>
          <w:rFonts w:ascii="Times New Roman" w:eastAsia="SimSun" w:hAnsi="Times New Roman" w:cs="Times New Roman"/>
          <w:sz w:val="20"/>
          <w:szCs w:val="20"/>
          <w:lang w:val="en-AU" w:eastAsia="en-US"/>
        </w:rPr>
        <w:t>s</w:t>
      </w:r>
      <w:r w:rsidRPr="005668EA">
        <w:rPr>
          <w:rFonts w:ascii="Times New Roman" w:eastAsia="SimSun" w:hAnsi="Times New Roman" w:cs="Times New Roman"/>
          <w:snapToGrid w:val="0"/>
          <w:kern w:val="0"/>
          <w:sz w:val="20"/>
          <w:szCs w:val="20"/>
          <w:lang w:val="en-AU" w:eastAsia="en-US"/>
        </w:rPr>
        <w:t xml:space="preserve"> included in the model as the submission inappropriately assumed</w:t>
      </w:r>
      <w:r w:rsidRPr="005668EA">
        <w:rPr>
          <w:rFonts w:ascii="Times New Roman" w:eastAsia="SimSun" w:hAnsi="Times New Roman" w:cs="Times New Roman"/>
          <w:snapToGrid w:val="0"/>
          <w:kern w:val="0"/>
          <w:sz w:val="20"/>
          <w:szCs w:val="20"/>
          <w:lang w:val="en-AU"/>
        </w:rPr>
        <w:t>: 1)</w:t>
      </w:r>
      <w:r w:rsidR="00E6323F" w:rsidRPr="4F533E7D">
        <w:rPr>
          <w:rFonts w:ascii="Times New Roman" w:eastAsia="SimSun" w:hAnsi="Times New Roman" w:cs="Times New Roman"/>
          <w:sz w:val="20"/>
          <w:szCs w:val="20"/>
          <w:lang w:val="en-AU"/>
        </w:rPr>
        <w:t xml:space="preserve"> </w:t>
      </w:r>
      <w:r w:rsidRPr="005668EA">
        <w:rPr>
          <w:rFonts w:ascii="Times New Roman" w:eastAsia="SimSun" w:hAnsi="Times New Roman" w:cs="Times New Roman"/>
          <w:snapToGrid w:val="0"/>
          <w:kern w:val="0"/>
          <w:sz w:val="20"/>
          <w:szCs w:val="20"/>
          <w:lang w:val="en-AU"/>
        </w:rPr>
        <w:t xml:space="preserve">that </w:t>
      </w:r>
      <w:r w:rsidRPr="005668EA">
        <w:rPr>
          <w:rFonts w:ascii="Times New Roman" w:eastAsia="SimSun" w:hAnsi="Times New Roman" w:cs="Times New Roman"/>
          <w:snapToGrid w:val="0"/>
          <w:kern w:val="0"/>
          <w:sz w:val="20"/>
          <w:szCs w:val="20"/>
          <w:lang w:val="en-AU" w:eastAsia="en-US"/>
        </w:rPr>
        <w:t>self-administration</w:t>
      </w:r>
      <w:r w:rsidR="00E6323F" w:rsidRPr="4F533E7D">
        <w:rPr>
          <w:rFonts w:ascii="Times New Roman" w:eastAsia="SimSun" w:hAnsi="Times New Roman" w:cs="Times New Roman"/>
          <w:sz w:val="20"/>
          <w:szCs w:val="20"/>
          <w:lang w:val="en-AU" w:eastAsia="en-US"/>
        </w:rPr>
        <w:t xml:space="preserve"> was feasible</w:t>
      </w:r>
      <w:r w:rsidRPr="005668EA">
        <w:rPr>
          <w:rFonts w:ascii="Times New Roman" w:eastAsia="SimSun" w:hAnsi="Times New Roman" w:cs="Times New Roman"/>
          <w:snapToGrid w:val="0"/>
          <w:kern w:val="0"/>
          <w:sz w:val="20"/>
          <w:szCs w:val="20"/>
          <w:lang w:val="en-AU" w:eastAsia="en-US"/>
        </w:rPr>
        <w:t xml:space="preserve">, </w:t>
      </w:r>
      <w:r w:rsidR="00E6323F" w:rsidRPr="4F533E7D">
        <w:rPr>
          <w:rFonts w:ascii="Times New Roman" w:eastAsia="SimSun" w:hAnsi="Times New Roman" w:cs="Times New Roman"/>
          <w:sz w:val="20"/>
          <w:szCs w:val="20"/>
          <w:lang w:val="en-AU" w:eastAsia="en-US"/>
        </w:rPr>
        <w:t>despite</w:t>
      </w:r>
      <w:r w:rsidRPr="005668EA">
        <w:rPr>
          <w:rFonts w:ascii="Times New Roman" w:eastAsia="SimSun" w:hAnsi="Times New Roman" w:cs="Times New Roman"/>
          <w:snapToGrid w:val="0"/>
          <w:kern w:val="0"/>
          <w:sz w:val="20"/>
          <w:szCs w:val="20"/>
          <w:lang w:val="en-AU" w:eastAsia="en-US"/>
        </w:rPr>
        <w:t xml:space="preserve"> the risk of anaphylaxis/anaphylactoid reactions highlighted that administration under medical supervision </w:t>
      </w:r>
      <w:r w:rsidR="00E6323F" w:rsidRPr="4F533E7D">
        <w:rPr>
          <w:rFonts w:ascii="Times New Roman" w:eastAsia="SimSun" w:hAnsi="Times New Roman" w:cs="Times New Roman"/>
          <w:sz w:val="20"/>
          <w:szCs w:val="20"/>
          <w:lang w:val="en-AU" w:eastAsia="en-US"/>
        </w:rPr>
        <w:t>might be necessary</w:t>
      </w:r>
      <w:r w:rsidRPr="005668EA">
        <w:rPr>
          <w:rFonts w:ascii="Times New Roman" w:eastAsia="SimSun" w:hAnsi="Times New Roman" w:cs="Times New Roman"/>
          <w:snapToGrid w:val="0"/>
          <w:kern w:val="0"/>
          <w:sz w:val="20"/>
          <w:szCs w:val="20"/>
          <w:lang w:val="en-AU" w:eastAsia="en-US"/>
        </w:rPr>
        <w:t>; 2) that the same costs for direct medical care would apply to all patients; 3) that patients who fail</w:t>
      </w:r>
      <w:r w:rsidR="00E6323F" w:rsidRPr="4F533E7D">
        <w:rPr>
          <w:rFonts w:ascii="Times New Roman" w:eastAsia="SimSun" w:hAnsi="Times New Roman" w:cs="Times New Roman"/>
          <w:sz w:val="20"/>
          <w:szCs w:val="20"/>
          <w:lang w:val="en-AU" w:eastAsia="en-US"/>
        </w:rPr>
        <w:t>ed</w:t>
      </w:r>
      <w:r w:rsidRPr="005668EA">
        <w:rPr>
          <w:rFonts w:ascii="Times New Roman" w:eastAsia="SimSun" w:hAnsi="Times New Roman" w:cs="Times New Roman"/>
          <w:snapToGrid w:val="0"/>
          <w:kern w:val="0"/>
          <w:sz w:val="20"/>
          <w:szCs w:val="20"/>
          <w:lang w:val="en-AU" w:eastAsia="en-US"/>
        </w:rPr>
        <w:t xml:space="preserve"> to </w:t>
      </w:r>
      <w:r w:rsidR="00E6323F" w:rsidRPr="4F533E7D">
        <w:rPr>
          <w:rFonts w:ascii="Times New Roman" w:eastAsia="SimSun" w:hAnsi="Times New Roman" w:cs="Times New Roman"/>
          <w:sz w:val="20"/>
          <w:szCs w:val="20"/>
          <w:lang w:val="en-AU" w:eastAsia="en-US"/>
        </w:rPr>
        <w:t xml:space="preserve">show </w:t>
      </w:r>
      <w:r w:rsidRPr="005668EA">
        <w:rPr>
          <w:rFonts w:ascii="Times New Roman" w:eastAsia="SimSun" w:hAnsi="Times New Roman" w:cs="Times New Roman"/>
          <w:snapToGrid w:val="0"/>
          <w:kern w:val="0"/>
          <w:sz w:val="20"/>
          <w:szCs w:val="20"/>
          <w:lang w:val="en-AU" w:eastAsia="en-US"/>
        </w:rPr>
        <w:t>improve</w:t>
      </w:r>
      <w:r w:rsidR="00E6323F" w:rsidRPr="4F533E7D">
        <w:rPr>
          <w:rFonts w:ascii="Times New Roman" w:eastAsia="SimSun" w:hAnsi="Times New Roman" w:cs="Times New Roman"/>
          <w:sz w:val="20"/>
          <w:szCs w:val="20"/>
          <w:lang w:val="en-AU" w:eastAsia="en-US"/>
        </w:rPr>
        <w:t>ment</w:t>
      </w:r>
      <w:r w:rsidRPr="005668EA">
        <w:rPr>
          <w:rFonts w:ascii="Times New Roman" w:eastAsia="SimSun" w:hAnsi="Times New Roman" w:cs="Times New Roman"/>
          <w:snapToGrid w:val="0"/>
          <w:kern w:val="0"/>
          <w:sz w:val="20"/>
          <w:szCs w:val="20"/>
          <w:lang w:val="en-AU" w:eastAsia="en-US"/>
        </w:rPr>
        <w:t xml:space="preserve"> would continue treatment.</w:t>
      </w:r>
    </w:p>
    <w:p w14:paraId="05281544" w14:textId="2EFC81F1" w:rsidR="4F533E7D" w:rsidRDefault="4F533E7D" w:rsidP="00C15362">
      <w:pPr>
        <w:adjustRightInd w:val="0"/>
        <w:snapToGrid w:val="0"/>
        <w:spacing w:line="360" w:lineRule="auto"/>
        <w:rPr>
          <w:rFonts w:ascii="Times New Roman" w:eastAsia="SimSun" w:hAnsi="Times New Roman" w:cs="Times New Roman"/>
          <w:sz w:val="20"/>
          <w:szCs w:val="20"/>
          <w:lang w:val="en-AU" w:eastAsia="en-US"/>
        </w:rPr>
      </w:pPr>
    </w:p>
    <w:tbl>
      <w:tblPr>
        <w:tblStyle w:val="TableGrid"/>
        <w:tblW w:w="0" w:type="auto"/>
        <w:tblLook w:val="04A0" w:firstRow="1" w:lastRow="0" w:firstColumn="1" w:lastColumn="0" w:noHBand="0" w:noVBand="1"/>
      </w:tblPr>
      <w:tblGrid>
        <w:gridCol w:w="2972"/>
        <w:gridCol w:w="5324"/>
      </w:tblGrid>
      <w:tr w:rsidR="005703C0" w:rsidRPr="005668EA" w14:paraId="1DC3289A" w14:textId="77777777" w:rsidTr="00487EA9">
        <w:tc>
          <w:tcPr>
            <w:tcW w:w="2972" w:type="dxa"/>
          </w:tcPr>
          <w:bookmarkEnd w:id="54"/>
          <w:p w14:paraId="3DF4A312"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Question in the abstraction template</w:t>
            </w:r>
          </w:p>
        </w:tc>
        <w:tc>
          <w:tcPr>
            <w:tcW w:w="5324" w:type="dxa"/>
          </w:tcPr>
          <w:p w14:paraId="6D20C8C5" w14:textId="3EBE0A74" w:rsidR="005703C0" w:rsidRPr="005668EA" w:rsidRDefault="005703C0" w:rsidP="00C15362">
            <w:pPr>
              <w:pStyle w:val="EndNoteBibliography"/>
              <w:adjustRightInd w:val="0"/>
              <w:snapToGrid w:val="0"/>
              <w:spacing w:line="360" w:lineRule="auto"/>
              <w:rPr>
                <w:kern w:val="0"/>
                <w:szCs w:val="20"/>
              </w:rPr>
            </w:pPr>
            <w:r w:rsidRPr="005668EA">
              <w:rPr>
                <w:kern w:val="0"/>
                <w:szCs w:val="20"/>
              </w:rPr>
              <w:t>Was the cost estimation uncertain?</w:t>
            </w:r>
          </w:p>
        </w:tc>
      </w:tr>
      <w:tr w:rsidR="005703C0" w:rsidRPr="005668EA" w14:paraId="55193E3D" w14:textId="77777777" w:rsidTr="00487EA9">
        <w:tc>
          <w:tcPr>
            <w:tcW w:w="2972" w:type="dxa"/>
          </w:tcPr>
          <w:p w14:paraId="62F9594F" w14:textId="77777777" w:rsidR="005703C0" w:rsidRPr="005668EA" w:rsidRDefault="005703C0" w:rsidP="00C15362">
            <w:pPr>
              <w:pStyle w:val="EndNoteBibliography"/>
              <w:adjustRightInd w:val="0"/>
              <w:snapToGrid w:val="0"/>
              <w:spacing w:line="360" w:lineRule="auto"/>
              <w:rPr>
                <w:kern w:val="0"/>
                <w:szCs w:val="20"/>
              </w:rPr>
            </w:pPr>
            <w:r w:rsidRPr="005668EA">
              <w:rPr>
                <w:kern w:val="0"/>
                <w:szCs w:val="20"/>
              </w:rPr>
              <w:t xml:space="preserve">Code </w:t>
            </w:r>
          </w:p>
        </w:tc>
        <w:tc>
          <w:tcPr>
            <w:tcW w:w="5324" w:type="dxa"/>
          </w:tcPr>
          <w:p w14:paraId="12E422D7" w14:textId="01C23ED6" w:rsidR="005703C0" w:rsidRPr="005668EA" w:rsidRDefault="00112827" w:rsidP="00C15362">
            <w:pPr>
              <w:pStyle w:val="EndNoteBibliography"/>
              <w:adjustRightInd w:val="0"/>
              <w:snapToGrid w:val="0"/>
              <w:spacing w:line="360" w:lineRule="auto"/>
              <w:rPr>
                <w:kern w:val="0"/>
                <w:szCs w:val="20"/>
              </w:rPr>
            </w:pPr>
            <w:r>
              <w:rPr>
                <w:kern w:val="0"/>
                <w:szCs w:val="20"/>
              </w:rPr>
              <w:t>0 – yes, 1 – no</w:t>
            </w:r>
            <w:r w:rsidR="005703C0" w:rsidRPr="005668EA">
              <w:rPr>
                <w:kern w:val="0"/>
                <w:szCs w:val="20"/>
              </w:rPr>
              <w:t xml:space="preserve"> </w:t>
            </w:r>
          </w:p>
        </w:tc>
      </w:tr>
    </w:tbl>
    <w:p w14:paraId="620486C5" w14:textId="451A8ACB" w:rsidR="005703C0" w:rsidRPr="005668EA" w:rsidRDefault="005703C0" w:rsidP="006C41A0">
      <w:pPr>
        <w:pStyle w:val="Heading2"/>
        <w:adjustRightInd w:val="0"/>
        <w:snapToGrid w:val="0"/>
        <w:spacing w:before="120" w:after="120" w:line="360" w:lineRule="auto"/>
        <w:ind w:left="435"/>
        <w:rPr>
          <w:rFonts w:ascii="Times New Roman" w:hAnsi="Times New Roman" w:cs="Times New Roman"/>
          <w:sz w:val="20"/>
          <w:szCs w:val="20"/>
        </w:rPr>
      </w:pPr>
      <w:r w:rsidRPr="005668EA">
        <w:rPr>
          <w:rFonts w:ascii="Times New Roman" w:hAnsi="Times New Roman" w:cs="Times New Roman"/>
          <w:sz w:val="20"/>
          <w:szCs w:val="20"/>
        </w:rPr>
        <w:br w:type="page"/>
      </w:r>
    </w:p>
    <w:p w14:paraId="62B31F89" w14:textId="77777777" w:rsidR="005703C0" w:rsidRPr="005668EA" w:rsidRDefault="005703C0" w:rsidP="006C41A0">
      <w:pPr>
        <w:pStyle w:val="Heading1"/>
        <w:adjustRightInd w:val="0"/>
        <w:snapToGrid w:val="0"/>
        <w:spacing w:before="120" w:after="120" w:line="360" w:lineRule="auto"/>
        <w:rPr>
          <w:rFonts w:ascii="Times New Roman" w:eastAsiaTheme="minorHAnsi" w:hAnsi="Times New Roman" w:cs="Times New Roman"/>
          <w:kern w:val="2"/>
          <w:sz w:val="20"/>
          <w:szCs w:val="20"/>
        </w:rPr>
        <w:sectPr w:rsidR="005703C0" w:rsidRPr="005668EA" w:rsidSect="00E82899">
          <w:type w:val="continuous"/>
          <w:pgSz w:w="11906" w:h="16838"/>
          <w:pgMar w:top="1440" w:right="1800" w:bottom="1440" w:left="1800" w:header="851" w:footer="992" w:gutter="0"/>
          <w:cols w:space="425"/>
          <w:docGrid w:type="lines" w:linePitch="312"/>
        </w:sectPr>
      </w:pPr>
    </w:p>
    <w:p w14:paraId="0F02D9ED" w14:textId="07B05FC5" w:rsidR="00CD5BCD" w:rsidRPr="005668EA" w:rsidRDefault="006A2B6B" w:rsidP="00C15362">
      <w:pPr>
        <w:pStyle w:val="Heading1"/>
        <w:widowControl/>
        <w:adjustRightInd w:val="0"/>
        <w:snapToGrid w:val="0"/>
        <w:spacing w:before="240" w:after="0" w:line="360" w:lineRule="auto"/>
        <w:jc w:val="left"/>
        <w:rPr>
          <w:rFonts w:ascii="Times New Roman" w:eastAsiaTheme="minorHAnsi" w:hAnsi="Times New Roman" w:cs="Times New Roman"/>
          <w:kern w:val="2"/>
          <w:sz w:val="20"/>
          <w:szCs w:val="20"/>
        </w:rPr>
      </w:pPr>
      <w:r w:rsidRPr="005668EA">
        <w:rPr>
          <w:rFonts w:ascii="Times New Roman" w:eastAsiaTheme="majorEastAsia" w:hAnsi="Times New Roman" w:cs="Times New Roman"/>
          <w:bCs w:val="0"/>
          <w:kern w:val="0"/>
          <w:sz w:val="20"/>
          <w:szCs w:val="20"/>
          <w:lang w:val="en-AU" w:eastAsia="en-US"/>
        </w:rPr>
        <w:lastRenderedPageBreak/>
        <w:t xml:space="preserve">Appendix </w:t>
      </w:r>
      <w:r w:rsidR="002D64BF" w:rsidRPr="005668EA">
        <w:rPr>
          <w:rFonts w:ascii="Times New Roman" w:eastAsiaTheme="majorEastAsia" w:hAnsi="Times New Roman" w:cs="Times New Roman"/>
          <w:bCs w:val="0"/>
          <w:kern w:val="0"/>
          <w:sz w:val="20"/>
          <w:szCs w:val="20"/>
          <w:lang w:val="en-AU" w:eastAsia="en-US"/>
        </w:rPr>
        <w:t>2</w:t>
      </w:r>
      <w:r w:rsidR="00D535BC" w:rsidRPr="005668EA">
        <w:rPr>
          <w:rFonts w:ascii="Times New Roman" w:eastAsiaTheme="majorEastAsia" w:hAnsi="Times New Roman" w:cs="Times New Roman"/>
          <w:bCs w:val="0"/>
          <w:kern w:val="0"/>
          <w:sz w:val="20"/>
          <w:szCs w:val="20"/>
          <w:lang w:val="en-AU" w:eastAsia="en-US"/>
        </w:rPr>
        <w:t xml:space="preserve">. </w:t>
      </w:r>
      <w:r w:rsidR="0075632F" w:rsidRPr="005668EA">
        <w:rPr>
          <w:rFonts w:ascii="Times New Roman" w:eastAsiaTheme="minorHAnsi" w:hAnsi="Times New Roman" w:cs="Times New Roman"/>
          <w:kern w:val="2"/>
          <w:sz w:val="20"/>
          <w:szCs w:val="20"/>
        </w:rPr>
        <w:t xml:space="preserve">Inclusion and exclusion </w:t>
      </w:r>
      <w:r w:rsidR="0065714D" w:rsidRPr="005668EA">
        <w:rPr>
          <w:rFonts w:ascii="Times New Roman" w:eastAsiaTheme="minorHAnsi" w:hAnsi="Times New Roman" w:cs="Times New Roman"/>
          <w:kern w:val="2"/>
          <w:sz w:val="20"/>
          <w:szCs w:val="20"/>
        </w:rPr>
        <w:t xml:space="preserve">criteria of </w:t>
      </w:r>
      <w:r w:rsidR="00793922" w:rsidRPr="005668EA">
        <w:rPr>
          <w:rFonts w:ascii="Times New Roman" w:eastAsiaTheme="minorHAnsi" w:hAnsi="Times New Roman" w:cs="Times New Roman"/>
          <w:kern w:val="2"/>
          <w:sz w:val="20"/>
          <w:szCs w:val="20"/>
        </w:rPr>
        <w:t>medicine-indication pairs</w:t>
      </w:r>
      <w:r w:rsidR="009A44D2" w:rsidRPr="005668EA">
        <w:rPr>
          <w:rFonts w:ascii="Times New Roman" w:eastAsiaTheme="minorHAnsi" w:hAnsi="Times New Roman" w:cs="Times New Roman"/>
          <w:kern w:val="2"/>
          <w:sz w:val="20"/>
          <w:szCs w:val="20"/>
        </w:rPr>
        <w:t xml:space="preserve"> </w:t>
      </w:r>
    </w:p>
    <w:p w14:paraId="167A5946" w14:textId="1872F389" w:rsidR="00081452" w:rsidRPr="005668EA" w:rsidRDefault="008C636B" w:rsidP="006C41A0">
      <w:pPr>
        <w:pStyle w:val="Heading2"/>
        <w:adjustRightInd w:val="0"/>
        <w:snapToGrid w:val="0"/>
        <w:spacing w:before="120" w:after="120" w:line="360" w:lineRule="auto"/>
        <w:rPr>
          <w:rFonts w:ascii="Times New Roman" w:hAnsi="Times New Roman" w:cs="Times New Roman"/>
          <w:sz w:val="20"/>
          <w:szCs w:val="20"/>
        </w:rPr>
      </w:pPr>
      <w:r w:rsidRPr="005668EA">
        <w:rPr>
          <w:rFonts w:ascii="Times New Roman" w:hAnsi="Times New Roman" w:cs="Times New Roman"/>
          <w:sz w:val="20"/>
          <w:szCs w:val="20"/>
        </w:rPr>
        <w:t xml:space="preserve">1. </w:t>
      </w:r>
      <w:r w:rsidR="00081452" w:rsidRPr="005668EA">
        <w:rPr>
          <w:rFonts w:ascii="Times New Roman" w:hAnsi="Times New Roman" w:cs="Times New Roman"/>
          <w:sz w:val="20"/>
          <w:szCs w:val="20"/>
        </w:rPr>
        <w:t>Inclusion criteria </w:t>
      </w:r>
    </w:p>
    <w:p w14:paraId="07F2364E" w14:textId="1EC8F391" w:rsidR="00081452" w:rsidRPr="00DD437C" w:rsidRDefault="008C636B"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DD437C">
        <w:rPr>
          <w:rFonts w:ascii="Times New Roman" w:eastAsia="Times New Roman" w:hAnsi="Times New Roman" w:cs="Times New Roman"/>
          <w:kern w:val="0"/>
          <w:sz w:val="20"/>
          <w:szCs w:val="20"/>
          <w:bdr w:val="none" w:sz="0" w:space="0" w:color="auto" w:frame="1"/>
          <w:lang w:val="en-AU"/>
        </w:rPr>
        <w:t xml:space="preserve">(1) </w:t>
      </w:r>
      <w:r w:rsidR="00081452" w:rsidRPr="00DD437C">
        <w:rPr>
          <w:rFonts w:ascii="Times New Roman" w:eastAsia="Times New Roman" w:hAnsi="Times New Roman" w:cs="Times New Roman"/>
          <w:kern w:val="0"/>
          <w:sz w:val="20"/>
          <w:szCs w:val="20"/>
          <w:bdr w:val="none" w:sz="0" w:space="0" w:color="auto" w:frame="1"/>
          <w:lang w:val="en-AU"/>
        </w:rPr>
        <w:t>Major submissions us</w:t>
      </w:r>
      <w:r w:rsidR="000A427F" w:rsidRPr="00DD437C">
        <w:rPr>
          <w:rFonts w:ascii="Times New Roman" w:eastAsia="Times New Roman" w:hAnsi="Times New Roman" w:cs="Times New Roman"/>
          <w:kern w:val="0"/>
          <w:sz w:val="20"/>
          <w:szCs w:val="20"/>
          <w:bdr w:val="none" w:sz="0" w:space="0" w:color="auto" w:frame="1"/>
          <w:lang w:val="en-AU"/>
        </w:rPr>
        <w:t>ed</w:t>
      </w:r>
      <w:r w:rsidR="00081452" w:rsidRPr="00DD437C">
        <w:rPr>
          <w:rFonts w:ascii="Times New Roman" w:eastAsia="Times New Roman" w:hAnsi="Times New Roman" w:cs="Times New Roman"/>
          <w:kern w:val="0"/>
          <w:sz w:val="20"/>
          <w:szCs w:val="20"/>
          <w:bdr w:val="none" w:sz="0" w:space="0" w:color="auto" w:frame="1"/>
          <w:lang w:val="en-AU"/>
        </w:rPr>
        <w:t xml:space="preserve"> </w:t>
      </w:r>
      <w:r w:rsidR="00E75DB0">
        <w:rPr>
          <w:rFonts w:ascii="Times New Roman" w:hAnsi="Times New Roman" w:cs="Times New Roman" w:hint="eastAsia"/>
          <w:kern w:val="0"/>
          <w:sz w:val="20"/>
          <w:szCs w:val="20"/>
          <w:bdr w:val="none" w:sz="0" w:space="0" w:color="auto" w:frame="1"/>
          <w:lang w:val="en-AU"/>
        </w:rPr>
        <w:t>cost-utility analysis (</w:t>
      </w:r>
      <w:r w:rsidR="00081452" w:rsidRPr="00DD437C">
        <w:rPr>
          <w:rFonts w:ascii="Times New Roman" w:eastAsia="Times New Roman" w:hAnsi="Times New Roman" w:cs="Times New Roman"/>
          <w:kern w:val="0"/>
          <w:sz w:val="20"/>
          <w:szCs w:val="20"/>
          <w:bdr w:val="none" w:sz="0" w:space="0" w:color="auto" w:frame="1"/>
          <w:lang w:val="en-AU"/>
        </w:rPr>
        <w:t>CUA</w:t>
      </w:r>
      <w:r w:rsidR="00E75DB0">
        <w:rPr>
          <w:rFonts w:ascii="Times New Roman" w:hAnsi="Times New Roman" w:cs="Times New Roman" w:hint="eastAsia"/>
          <w:kern w:val="0"/>
          <w:sz w:val="20"/>
          <w:szCs w:val="20"/>
          <w:bdr w:val="none" w:sz="0" w:space="0" w:color="auto" w:frame="1"/>
          <w:lang w:val="en-AU"/>
        </w:rPr>
        <w:t>)</w:t>
      </w:r>
      <w:r w:rsidR="00140AC9" w:rsidRPr="00DD437C">
        <w:rPr>
          <w:rFonts w:ascii="Times New Roman" w:eastAsia="Times New Roman" w:hAnsi="Times New Roman" w:cs="Times New Roman"/>
          <w:kern w:val="0"/>
          <w:sz w:val="20"/>
          <w:szCs w:val="20"/>
          <w:bdr w:val="none" w:sz="0" w:space="0" w:color="auto" w:frame="1"/>
          <w:lang w:val="en-AU"/>
        </w:rPr>
        <w:t xml:space="preserve"> </w:t>
      </w:r>
      <w:r w:rsidR="00081452" w:rsidRPr="00DD437C">
        <w:rPr>
          <w:rFonts w:ascii="Times New Roman" w:eastAsia="Times New Roman" w:hAnsi="Times New Roman" w:cs="Times New Roman"/>
          <w:kern w:val="0"/>
          <w:sz w:val="20"/>
          <w:szCs w:val="20"/>
          <w:bdr w:val="none" w:sz="0" w:space="0" w:color="auto" w:frame="1"/>
          <w:lang w:val="en-AU"/>
        </w:rPr>
        <w:t xml:space="preserve">as one of the main economic analysis methods. </w:t>
      </w:r>
    </w:p>
    <w:p w14:paraId="76822A57" w14:textId="26B48D44" w:rsidR="00081452" w:rsidRPr="00DD437C" w:rsidRDefault="008C636B" w:rsidP="006C41A0">
      <w:pPr>
        <w:widowControl/>
        <w:adjustRightInd w:val="0"/>
        <w:snapToGrid w:val="0"/>
        <w:spacing w:line="360" w:lineRule="auto"/>
        <w:rPr>
          <w:rFonts w:ascii="Times New Roman" w:eastAsia="Times New Roman" w:hAnsi="Times New Roman" w:cs="Times New Roman"/>
          <w:kern w:val="0"/>
          <w:sz w:val="20"/>
          <w:szCs w:val="20"/>
          <w:bdr w:val="none" w:sz="0" w:space="0" w:color="auto" w:frame="1"/>
          <w:lang w:val="en-AU"/>
        </w:rPr>
      </w:pPr>
      <w:r w:rsidRPr="00DD437C">
        <w:rPr>
          <w:rFonts w:ascii="Times New Roman" w:eastAsia="Times New Roman" w:hAnsi="Times New Roman" w:cs="Times New Roman"/>
          <w:kern w:val="0"/>
          <w:sz w:val="20"/>
          <w:szCs w:val="20"/>
          <w:bdr w:val="none" w:sz="0" w:space="0" w:color="auto" w:frame="1"/>
          <w:lang w:val="en-AU"/>
        </w:rPr>
        <w:t xml:space="preserve">(2) </w:t>
      </w:r>
      <w:r w:rsidR="00081452" w:rsidRPr="00DD437C">
        <w:rPr>
          <w:rFonts w:ascii="Times New Roman" w:eastAsia="Times New Roman" w:hAnsi="Times New Roman" w:cs="Times New Roman"/>
          <w:kern w:val="0"/>
          <w:sz w:val="20"/>
          <w:szCs w:val="20"/>
          <w:bdr w:val="none" w:sz="0" w:space="0" w:color="auto" w:frame="1"/>
          <w:lang w:val="en-AU"/>
        </w:rPr>
        <w:t>The submissions were released from 2014 to 2021. </w:t>
      </w:r>
    </w:p>
    <w:p w14:paraId="0DEB19E8" w14:textId="779C3B86" w:rsidR="00081452" w:rsidRPr="00DD437C" w:rsidRDefault="008C636B" w:rsidP="006C41A0">
      <w:pPr>
        <w:widowControl/>
        <w:adjustRightInd w:val="0"/>
        <w:snapToGrid w:val="0"/>
        <w:spacing w:line="360" w:lineRule="auto"/>
        <w:rPr>
          <w:rFonts w:ascii="Times New Roman" w:eastAsia="Times New Roman" w:hAnsi="Times New Roman" w:cs="Times New Roman"/>
          <w:kern w:val="0"/>
          <w:sz w:val="20"/>
          <w:szCs w:val="20"/>
          <w:bdr w:val="none" w:sz="0" w:space="0" w:color="auto" w:frame="1"/>
          <w:lang w:val="en-AU"/>
        </w:rPr>
      </w:pPr>
      <w:r w:rsidRPr="00DD437C">
        <w:rPr>
          <w:rFonts w:ascii="Times New Roman" w:eastAsia="Times New Roman" w:hAnsi="Times New Roman" w:cs="Times New Roman"/>
          <w:kern w:val="0"/>
          <w:sz w:val="20"/>
          <w:szCs w:val="20"/>
          <w:bdr w:val="none" w:sz="0" w:space="0" w:color="auto" w:frame="1"/>
          <w:lang w:val="en-AU"/>
        </w:rPr>
        <w:t xml:space="preserve">(3) </w:t>
      </w:r>
      <w:r w:rsidR="00081452" w:rsidRPr="00DD437C">
        <w:rPr>
          <w:rFonts w:ascii="Times New Roman" w:eastAsia="Times New Roman" w:hAnsi="Times New Roman" w:cs="Times New Roman"/>
          <w:kern w:val="0"/>
          <w:sz w:val="20"/>
          <w:szCs w:val="20"/>
          <w:bdr w:val="none" w:sz="0" w:space="0" w:color="auto" w:frame="1"/>
          <w:lang w:val="en-AU"/>
        </w:rPr>
        <w:t>The medicine</w:t>
      </w:r>
      <w:r w:rsidR="009329C9" w:rsidRPr="00DD437C">
        <w:rPr>
          <w:rFonts w:ascii="Times New Roman" w:eastAsia="Times New Roman" w:hAnsi="Times New Roman" w:cs="Times New Roman"/>
          <w:kern w:val="0"/>
          <w:sz w:val="20"/>
          <w:szCs w:val="20"/>
          <w:bdr w:val="none" w:sz="0" w:space="0" w:color="auto" w:frame="1"/>
          <w:lang w:val="en-AU"/>
        </w:rPr>
        <w:t xml:space="preserve">-indication pairs </w:t>
      </w:r>
      <w:r w:rsidR="00081452" w:rsidRPr="00DD437C">
        <w:rPr>
          <w:rFonts w:ascii="Times New Roman" w:eastAsia="Times New Roman" w:hAnsi="Times New Roman" w:cs="Times New Roman"/>
          <w:kern w:val="0"/>
          <w:sz w:val="20"/>
          <w:szCs w:val="20"/>
          <w:bdr w:val="none" w:sz="0" w:space="0" w:color="auto" w:frame="1"/>
          <w:lang w:val="en-AU"/>
        </w:rPr>
        <w:t xml:space="preserve">were not previously considered by the </w:t>
      </w:r>
      <w:r w:rsidR="000E0909" w:rsidRPr="00DD437C">
        <w:rPr>
          <w:rFonts w:ascii="Times New Roman" w:eastAsia="Times New Roman" w:hAnsi="Times New Roman" w:cs="Times New Roman"/>
          <w:kern w:val="0"/>
          <w:sz w:val="20"/>
          <w:szCs w:val="20"/>
          <w:bdr w:val="none" w:sz="0" w:space="0" w:color="auto" w:frame="1"/>
          <w:lang w:val="en-AU"/>
        </w:rPr>
        <w:t>PBAC</w:t>
      </w:r>
      <w:r w:rsidR="004166B9" w:rsidRPr="00DD437C">
        <w:rPr>
          <w:rFonts w:ascii="Times New Roman" w:eastAsia="Times New Roman" w:hAnsi="Times New Roman" w:cs="Times New Roman"/>
          <w:kern w:val="0"/>
          <w:sz w:val="20"/>
          <w:szCs w:val="20"/>
          <w:bdr w:val="none" w:sz="0" w:space="0" w:color="auto" w:frame="1"/>
          <w:lang w:val="en-AU"/>
        </w:rPr>
        <w:t>.</w:t>
      </w:r>
      <w:r w:rsidR="00081452" w:rsidRPr="00DD437C">
        <w:rPr>
          <w:rFonts w:ascii="Times New Roman" w:eastAsia="Times New Roman" w:hAnsi="Times New Roman" w:cs="Times New Roman"/>
          <w:kern w:val="0"/>
          <w:sz w:val="20"/>
          <w:szCs w:val="20"/>
          <w:bdr w:val="none" w:sz="0" w:space="0" w:color="auto" w:frame="1"/>
          <w:lang w:val="en-AU"/>
        </w:rPr>
        <w:t> </w:t>
      </w:r>
    </w:p>
    <w:p w14:paraId="4C0C5951" w14:textId="71AEE737" w:rsidR="00DF47F0" w:rsidRPr="00DD437C" w:rsidRDefault="00C838F7" w:rsidP="006C41A0">
      <w:pPr>
        <w:widowControl/>
        <w:adjustRightInd w:val="0"/>
        <w:snapToGrid w:val="0"/>
        <w:spacing w:line="360" w:lineRule="auto"/>
        <w:rPr>
          <w:rFonts w:ascii="Times New Roman" w:eastAsia="Times New Roman" w:hAnsi="Times New Roman" w:cs="Times New Roman"/>
          <w:kern w:val="0"/>
          <w:sz w:val="20"/>
          <w:szCs w:val="20"/>
          <w:bdr w:val="none" w:sz="0" w:space="0" w:color="auto" w:frame="1"/>
          <w:lang w:val="en-AU"/>
        </w:rPr>
      </w:pPr>
      <w:r w:rsidRPr="00DD437C">
        <w:rPr>
          <w:rFonts w:ascii="Times New Roman" w:eastAsia="Times New Roman" w:hAnsi="Times New Roman" w:cs="Times New Roman"/>
          <w:kern w:val="0"/>
          <w:sz w:val="20"/>
          <w:szCs w:val="20"/>
          <w:bdr w:val="none" w:sz="0" w:space="0" w:color="auto" w:frame="1"/>
          <w:lang w:val="en-AU"/>
        </w:rPr>
        <w:t xml:space="preserve">(4) When </w:t>
      </w:r>
      <w:r w:rsidR="001F30EB" w:rsidRPr="00DD437C">
        <w:rPr>
          <w:rFonts w:ascii="Times New Roman" w:eastAsia="Times New Roman" w:hAnsi="Times New Roman" w:cs="Times New Roman"/>
          <w:kern w:val="0"/>
          <w:sz w:val="20"/>
          <w:szCs w:val="20"/>
          <w:bdr w:val="none" w:sz="0" w:space="0" w:color="auto" w:frame="1"/>
          <w:lang w:val="en-AU"/>
        </w:rPr>
        <w:t>a submission proposed a medicine for multiple indications</w:t>
      </w:r>
      <w:r w:rsidR="00CF5230" w:rsidRPr="00DD437C">
        <w:rPr>
          <w:rFonts w:ascii="Times New Roman" w:eastAsia="Times New Roman" w:hAnsi="Times New Roman" w:cs="Times New Roman"/>
          <w:kern w:val="0"/>
          <w:sz w:val="20"/>
          <w:szCs w:val="20"/>
          <w:bdr w:val="none" w:sz="0" w:space="0" w:color="auto" w:frame="1"/>
          <w:lang w:val="en-AU"/>
        </w:rPr>
        <w:t xml:space="preserve"> and constructed different models for</w:t>
      </w:r>
      <w:r w:rsidR="00071195" w:rsidRPr="00DD437C">
        <w:rPr>
          <w:rFonts w:ascii="Times New Roman" w:eastAsia="Times New Roman" w:hAnsi="Times New Roman" w:cs="Times New Roman"/>
          <w:kern w:val="0"/>
          <w:sz w:val="20"/>
          <w:szCs w:val="20"/>
          <w:bdr w:val="none" w:sz="0" w:space="0" w:color="auto" w:frame="1"/>
          <w:lang w:val="en-AU"/>
        </w:rPr>
        <w:t xml:space="preserve"> each </w:t>
      </w:r>
      <w:r w:rsidR="009C08E4" w:rsidRPr="00DD437C">
        <w:rPr>
          <w:rFonts w:ascii="Times New Roman" w:eastAsia="Times New Roman" w:hAnsi="Times New Roman" w:cs="Times New Roman"/>
          <w:kern w:val="0"/>
          <w:sz w:val="20"/>
          <w:szCs w:val="20"/>
          <w:bdr w:val="none" w:sz="0" w:space="0" w:color="auto" w:frame="1"/>
          <w:lang w:val="en-AU"/>
        </w:rPr>
        <w:t>indication</w:t>
      </w:r>
      <w:r w:rsidR="009C08E4">
        <w:rPr>
          <w:rFonts w:ascii="Times New Roman" w:eastAsia="Times New Roman" w:hAnsi="Times New Roman" w:cs="Times New Roman"/>
          <w:kern w:val="0"/>
          <w:sz w:val="20"/>
          <w:szCs w:val="20"/>
          <w:bdr w:val="none" w:sz="0" w:space="0" w:color="auto" w:frame="1"/>
          <w:lang w:val="en-AU"/>
        </w:rPr>
        <w:t xml:space="preserve"> </w:t>
      </w:r>
      <w:r w:rsidR="002D4682" w:rsidRPr="00DD437C">
        <w:rPr>
          <w:rFonts w:ascii="Times New Roman" w:eastAsia="Times New Roman" w:hAnsi="Times New Roman" w:cs="Times New Roman"/>
          <w:kern w:val="0"/>
          <w:sz w:val="20"/>
          <w:szCs w:val="20"/>
          <w:bdr w:val="none" w:sz="0" w:space="0" w:color="auto" w:frame="1"/>
          <w:lang w:val="en-AU"/>
        </w:rPr>
        <w:fldChar w:fldCharType="begin"/>
      </w:r>
      <w:r w:rsidR="00AD61C8">
        <w:rPr>
          <w:rFonts w:ascii="Times New Roman" w:eastAsia="Times New Roman" w:hAnsi="Times New Roman" w:cs="Times New Roman"/>
          <w:kern w:val="0"/>
          <w:sz w:val="20"/>
          <w:szCs w:val="20"/>
          <w:bdr w:val="none" w:sz="0" w:space="0" w:color="auto" w:frame="1"/>
          <w:lang w:val="en-AU"/>
        </w:rPr>
        <w:instrText xml:space="preserve"> ADDIN EN.CITE &lt;EndNote&gt;&lt;Cite&gt;&lt;Author&gt;Pharmaceutical Benefits Advisory Committee&lt;/Author&gt;&lt;Year&gt;2020&lt;/Year&gt;&lt;RecNum&gt;18741&lt;/RecNum&gt;&lt;DisplayText&gt;[46, 47]&lt;/DisplayText&gt;&lt;record&gt;&lt;rec-number&gt;18741&lt;/rec-number&gt;&lt;foreign-keys&gt;&lt;key app="EN" db-id="5zttwaa2gstv57epr5z5zxv325varaa5e9rp" timestamp="1656166827"&gt;18741&lt;/key&gt;&lt;/foreign-keys&gt;&lt;ref-type name="Government Document"&gt;46&lt;/ref-type&gt;&lt;contributors&gt;&lt;authors&gt;&lt;author&gt;Pharmaceutical Benefits Advisory Committee,&lt;/author&gt;&lt;/authors&gt;&lt;secondary-authors&gt;&lt;author&gt;Pharmaceutical Benefits Advisory Committee&lt;/author&gt;&lt;/secondary-authors&gt;&lt;/contributors&gt;&lt;titles&gt;&lt;title&gt;Pembrolizumab: Solution concentrate for I.V. infusion 100 mg in 4 mL; Keytruda®&lt;/title&gt;&lt;/titles&gt;&lt;dates&gt;&lt;year&gt;2020&lt;/year&gt;&lt;/dates&gt;&lt;label&gt;136&lt;/label&gt;&lt;urls&gt;&lt;related-urls&gt;&lt;url&gt;https://www.pbs.gov.au/info/industry/listing/elements/pbac-meetings/psd/2020-11/pembrolizumab-solution-concentrate-for-i-v-infusion-100-mg&lt;/url&gt;&lt;/related-urls&gt;&lt;/urls&gt;&lt;/record&gt;&lt;/Cite&gt;&lt;Cite&gt;&lt;Author&gt;Pharmaceutical Benefits Advisory Committee&lt;/Author&gt;&lt;Year&gt;2021&lt;/Year&gt;&lt;RecNum&gt;19327&lt;/RecNum&gt;&lt;record&gt;&lt;rec-number&gt;19327&lt;/rec-number&gt;&lt;foreign-keys&gt;&lt;key app="EN" db-id="5zttwaa2gstv57epr5z5zxv325varaa5e9rp" timestamp="1686193149"&gt;19327&lt;/key&gt;&lt;/foreign-keys&gt;&lt;ref-type name="Government Document"&gt;46&lt;/ref-type&gt;&lt;contributors&gt;&lt;authors&gt;&lt;author&gt;Pharmaceutical Benefits Advisory Committee,&lt;/author&gt;&lt;/authors&gt;&lt;/contributors&gt;&lt;titles&gt;&lt;title&gt;Zanubrutinib (WM): Capsule 80 mg; Brukinsa®&lt;/title&gt;&lt;/titles&gt;&lt;dates&gt;&lt;year&gt;2021&lt;/year&gt;&lt;/dates&gt;&lt;urls&gt;&lt;related-urls&gt;&lt;url&gt;https://www.pbs.gov.au/pbs/industry/listing/elements/pbac-meetings/psd/2021-07/zanubrutinib-wm-capsule-80-mg-brukinsa&lt;/url&gt;&lt;/related-urls&gt;&lt;/urls&gt;&lt;access-date&gt;16 Apr 2022&lt;/access-date&gt;&lt;/record&gt;&lt;/Cite&gt;&lt;/EndNote&gt;</w:instrText>
      </w:r>
      <w:r w:rsidR="002D4682" w:rsidRPr="00DD437C">
        <w:rPr>
          <w:rFonts w:ascii="Times New Roman" w:eastAsia="Times New Roman" w:hAnsi="Times New Roman" w:cs="Times New Roman"/>
          <w:kern w:val="0"/>
          <w:sz w:val="20"/>
          <w:szCs w:val="20"/>
          <w:bdr w:val="none" w:sz="0" w:space="0" w:color="auto" w:frame="1"/>
          <w:lang w:val="en-AU"/>
        </w:rPr>
        <w:fldChar w:fldCharType="separate"/>
      </w:r>
      <w:r w:rsidR="00AD61C8">
        <w:rPr>
          <w:rFonts w:ascii="Times New Roman" w:eastAsia="Times New Roman" w:hAnsi="Times New Roman" w:cs="Times New Roman"/>
          <w:noProof/>
          <w:kern w:val="0"/>
          <w:sz w:val="20"/>
          <w:szCs w:val="20"/>
          <w:bdr w:val="none" w:sz="0" w:space="0" w:color="auto" w:frame="1"/>
          <w:lang w:val="en-AU"/>
        </w:rPr>
        <w:t>[46, 47]</w:t>
      </w:r>
      <w:r w:rsidR="002D4682" w:rsidRPr="00DD437C">
        <w:rPr>
          <w:rFonts w:ascii="Times New Roman" w:eastAsia="Times New Roman" w:hAnsi="Times New Roman" w:cs="Times New Roman"/>
          <w:kern w:val="0"/>
          <w:sz w:val="20"/>
          <w:szCs w:val="20"/>
          <w:bdr w:val="none" w:sz="0" w:space="0" w:color="auto" w:frame="1"/>
          <w:lang w:val="en-AU"/>
        </w:rPr>
        <w:fldChar w:fldCharType="end"/>
      </w:r>
      <w:r w:rsidR="00071195" w:rsidRPr="00DD437C">
        <w:rPr>
          <w:rFonts w:ascii="Times New Roman" w:eastAsia="Times New Roman" w:hAnsi="Times New Roman" w:cs="Times New Roman"/>
          <w:kern w:val="0"/>
          <w:sz w:val="20"/>
          <w:szCs w:val="20"/>
          <w:bdr w:val="none" w:sz="0" w:space="0" w:color="auto" w:frame="1"/>
          <w:lang w:val="en-AU"/>
        </w:rPr>
        <w:t xml:space="preserve">, </w:t>
      </w:r>
      <w:r w:rsidR="00FB6E79" w:rsidRPr="00DD437C">
        <w:rPr>
          <w:rFonts w:ascii="Times New Roman" w:eastAsia="Times New Roman" w:hAnsi="Times New Roman" w:cs="Times New Roman"/>
          <w:kern w:val="0"/>
          <w:sz w:val="20"/>
          <w:szCs w:val="20"/>
          <w:bdr w:val="none" w:sz="0" w:space="0" w:color="auto" w:frame="1"/>
          <w:lang w:val="en-AU"/>
        </w:rPr>
        <w:t xml:space="preserve">the submission was expanded into separate pairs of medicines and indications based on each </w:t>
      </w:r>
      <w:r w:rsidR="006F3690" w:rsidRPr="00DD437C">
        <w:rPr>
          <w:rFonts w:ascii="Times New Roman" w:eastAsia="Times New Roman" w:hAnsi="Times New Roman" w:cs="Times New Roman"/>
          <w:kern w:val="0"/>
          <w:sz w:val="20"/>
          <w:szCs w:val="20"/>
          <w:bdr w:val="none" w:sz="0" w:space="0" w:color="auto" w:frame="1"/>
          <w:lang w:val="en-AU"/>
        </w:rPr>
        <w:t>proposed</w:t>
      </w:r>
      <w:r w:rsidR="00FB6E79" w:rsidRPr="00DD437C">
        <w:rPr>
          <w:rFonts w:ascii="Times New Roman" w:eastAsia="Times New Roman" w:hAnsi="Times New Roman" w:cs="Times New Roman"/>
          <w:kern w:val="0"/>
          <w:sz w:val="20"/>
          <w:szCs w:val="20"/>
          <w:bdr w:val="none" w:sz="0" w:space="0" w:color="auto" w:frame="1"/>
          <w:lang w:val="en-AU"/>
        </w:rPr>
        <w:t xml:space="preserve"> model.</w:t>
      </w:r>
      <w:r w:rsidR="005328C5" w:rsidRPr="00DD437C">
        <w:rPr>
          <w:rFonts w:ascii="Times New Roman" w:eastAsia="Times New Roman" w:hAnsi="Times New Roman" w:cs="Times New Roman"/>
          <w:kern w:val="0"/>
          <w:sz w:val="20"/>
          <w:szCs w:val="20"/>
          <w:bdr w:val="none" w:sz="0" w:space="0" w:color="auto" w:frame="1"/>
          <w:lang w:val="en-AU"/>
        </w:rPr>
        <w:t xml:space="preserve"> </w:t>
      </w:r>
      <w:r w:rsidR="0065507D" w:rsidRPr="0093511A">
        <w:rPr>
          <w:rFonts w:ascii="Times New Roman" w:eastAsia="SimSun" w:hAnsi="Times New Roman" w:cs="Times New Roman"/>
          <w:kern w:val="0"/>
          <w:sz w:val="20"/>
          <w:szCs w:val="20"/>
          <w:lang w:val="en-AU"/>
        </w:rPr>
        <w:t xml:space="preserve">However, </w:t>
      </w:r>
      <w:r w:rsidR="005328C5" w:rsidRPr="00DD437C">
        <w:rPr>
          <w:rFonts w:ascii="Times New Roman" w:eastAsia="Times New Roman" w:hAnsi="Times New Roman" w:cs="Times New Roman"/>
          <w:kern w:val="0"/>
          <w:sz w:val="20"/>
          <w:szCs w:val="20"/>
          <w:bdr w:val="none" w:sz="0" w:space="0" w:color="auto" w:frame="1"/>
          <w:lang w:val="en-AU"/>
        </w:rPr>
        <w:t xml:space="preserve">when the PBAC judgement was unclear for </w:t>
      </w:r>
      <w:r w:rsidR="009C08E4">
        <w:rPr>
          <w:rFonts w:ascii="Times New Roman" w:eastAsia="Times New Roman" w:hAnsi="Times New Roman" w:cs="Times New Roman"/>
          <w:kern w:val="0"/>
          <w:sz w:val="20"/>
          <w:szCs w:val="20"/>
          <w:bdr w:val="none" w:sz="0" w:space="0" w:color="auto" w:frame="1"/>
          <w:lang w:val="en-AU"/>
        </w:rPr>
        <w:t xml:space="preserve">the </w:t>
      </w:r>
      <w:r w:rsidR="005328C5" w:rsidRPr="00DD437C">
        <w:rPr>
          <w:rFonts w:ascii="Times New Roman" w:eastAsia="Times New Roman" w:hAnsi="Times New Roman" w:cs="Times New Roman"/>
          <w:kern w:val="0"/>
          <w:sz w:val="20"/>
          <w:szCs w:val="20"/>
          <w:bdr w:val="none" w:sz="0" w:space="0" w:color="auto" w:frame="1"/>
          <w:lang w:val="en-AU"/>
        </w:rPr>
        <w:t>individual model</w:t>
      </w:r>
      <w:r w:rsidR="00CE206B">
        <w:rPr>
          <w:rFonts w:ascii="Times New Roman" w:eastAsia="Times New Roman" w:hAnsi="Times New Roman" w:cs="Times New Roman"/>
          <w:kern w:val="0"/>
          <w:sz w:val="20"/>
          <w:szCs w:val="20"/>
          <w:bdr w:val="none" w:sz="0" w:space="0" w:color="auto" w:frame="1"/>
          <w:lang w:val="en-AU"/>
        </w:rPr>
        <w:t xml:space="preserve"> </w:t>
      </w:r>
      <w:r w:rsidR="005328C5" w:rsidRPr="00DD437C">
        <w:rPr>
          <w:rFonts w:ascii="Times New Roman" w:eastAsia="Times New Roman" w:hAnsi="Times New Roman" w:cs="Times New Roman"/>
          <w:kern w:val="0"/>
          <w:sz w:val="20"/>
          <w:szCs w:val="20"/>
          <w:bdr w:val="none" w:sz="0" w:space="0" w:color="auto" w:frame="1"/>
          <w:lang w:val="en-AU"/>
        </w:rPr>
        <w:fldChar w:fldCharType="begin"/>
      </w:r>
      <w:r w:rsidR="00AD61C8">
        <w:rPr>
          <w:rFonts w:ascii="Times New Roman" w:eastAsia="Times New Roman" w:hAnsi="Times New Roman" w:cs="Times New Roman"/>
          <w:kern w:val="0"/>
          <w:sz w:val="20"/>
          <w:szCs w:val="20"/>
          <w:bdr w:val="none" w:sz="0" w:space="0" w:color="auto" w:frame="1"/>
          <w:lang w:val="en-AU"/>
        </w:rPr>
        <w:instrText xml:space="preserve"> ADDIN EN.CITE &lt;EndNote&gt;&lt;Cite&gt;&lt;Author&gt;Pharmaceutical Benefits Advisory Committee&lt;/Author&gt;&lt;Year&gt;2014&lt;/Year&gt;&lt;RecNum&gt;19332&lt;/RecNum&gt;&lt;DisplayText&gt;[48, 49]&lt;/DisplayText&gt;&lt;record&gt;&lt;rec-number&gt;19332&lt;/rec-number&gt;&lt;foreign-keys&gt;&lt;key app="EN" db-id="5zttwaa2gstv57epr5z5zxv325varaa5e9rp" timestamp="1686393612"&gt;19332&lt;/key&gt;&lt;/foreign-keys&gt;&lt;ref-type name="Government Document"&gt;46&lt;/ref-type&gt;&lt;contributors&gt;&lt;authors&gt;&lt;author&gt;Pharmaceutical Benefits Advisory Committee,&lt;/author&gt;&lt;/authors&gt;&lt;secondary-authors&gt;&lt;author&gt;Australian Government Department of Health and Aged Care&lt;/author&gt;&lt;/secondary-authors&gt;&lt;/contributors&gt;&lt;titles&gt;&lt;title&gt;Vedolizumab, injection, 1 x 300 mg vial, Entyvio®, Takeda Pharmaceuticals Australia Pty Ltd&lt;/title&gt;&lt;/titles&gt;&lt;dates&gt;&lt;year&gt;2014&lt;/year&gt;&lt;/dates&gt;&lt;urls&gt;&lt;related-urls&gt;&lt;url&gt;https://www.pbs.gov.au/pbs/industry/listing/elements/pbac-meetings/psd/2014-07/vedolizumab-psd-07-2014&lt;/url&gt;&lt;/related-urls&gt;&lt;/urls&gt;&lt;access-date&gt;20 Apr 2022&lt;/access-date&gt;&lt;/record&gt;&lt;/Cite&gt;&lt;Cite&gt;&lt;Author&gt;Pharmaceutical Benefits Advisory Committee&lt;/Author&gt;&lt;Year&gt;2020&lt;/Year&gt;&lt;RecNum&gt;19333&lt;/RecNum&gt;&lt;record&gt;&lt;rec-number&gt;19333&lt;/rec-number&gt;&lt;foreign-keys&gt;&lt;key app="EN" db-id="5zttwaa2gstv57epr5z5zxv325varaa5e9rp" timestamp="1686393711"&gt;19333&lt;/key&gt;&lt;/foreign-keys&gt;&lt;ref-type name="Government Document"&gt;46&lt;/ref-type&gt;&lt;contributors&gt;&lt;authors&gt;&lt;author&gt;Pharmaceutical Benefits Advisory Committee,&lt;/author&gt;&lt;/authors&gt;&lt;secondary-authors&gt;&lt;author&gt;Australian Government Department of Health and Aged Care&lt;/author&gt;&lt;/secondary-authors&gt;&lt;/contributors&gt;&lt;titles&gt;&lt;title&gt;Onasemnogene abeparvovec: Solution for injection, customised based on patient weight; Zolgensma®&lt;/title&gt;&lt;/titles&gt;&lt;dates&gt;&lt;year&gt;2020&lt;/year&gt;&lt;/dates&gt;&lt;urls&gt;&lt;related-urls&gt;&lt;url&gt;https://www.pbs.gov.au/pbs/industry/listing/elements/pbac-meetings/psd/2020-11/onasemnogene-abeparvovec-solution-for-injection-customised&lt;/url&gt;&lt;/related-urls&gt;&lt;/urls&gt;&lt;access-date&gt;20 Apr 2022&lt;/access-date&gt;&lt;/record&gt;&lt;/Cite&gt;&lt;/EndNote&gt;</w:instrText>
      </w:r>
      <w:r w:rsidR="005328C5" w:rsidRPr="00DD437C">
        <w:rPr>
          <w:rFonts w:ascii="Times New Roman" w:eastAsia="Times New Roman" w:hAnsi="Times New Roman" w:cs="Times New Roman"/>
          <w:kern w:val="0"/>
          <w:sz w:val="20"/>
          <w:szCs w:val="20"/>
          <w:bdr w:val="none" w:sz="0" w:space="0" w:color="auto" w:frame="1"/>
          <w:lang w:val="en-AU"/>
        </w:rPr>
        <w:fldChar w:fldCharType="separate"/>
      </w:r>
      <w:r w:rsidR="00AD61C8">
        <w:rPr>
          <w:rFonts w:ascii="Times New Roman" w:eastAsia="Times New Roman" w:hAnsi="Times New Roman" w:cs="Times New Roman"/>
          <w:noProof/>
          <w:kern w:val="0"/>
          <w:sz w:val="20"/>
          <w:szCs w:val="20"/>
          <w:bdr w:val="none" w:sz="0" w:space="0" w:color="auto" w:frame="1"/>
          <w:lang w:val="en-AU"/>
        </w:rPr>
        <w:t>[48, 49]</w:t>
      </w:r>
      <w:r w:rsidR="005328C5" w:rsidRPr="00DD437C">
        <w:rPr>
          <w:rFonts w:ascii="Times New Roman" w:eastAsia="Times New Roman" w:hAnsi="Times New Roman" w:cs="Times New Roman"/>
          <w:kern w:val="0"/>
          <w:sz w:val="20"/>
          <w:szCs w:val="20"/>
          <w:bdr w:val="none" w:sz="0" w:space="0" w:color="auto" w:frame="1"/>
          <w:lang w:val="en-AU"/>
        </w:rPr>
        <w:fldChar w:fldCharType="end"/>
      </w:r>
      <w:r w:rsidR="005328C5" w:rsidRPr="00DD437C">
        <w:rPr>
          <w:rFonts w:ascii="Times New Roman" w:eastAsia="Times New Roman" w:hAnsi="Times New Roman" w:cs="Times New Roman"/>
          <w:kern w:val="0"/>
          <w:sz w:val="20"/>
          <w:szCs w:val="20"/>
          <w:bdr w:val="none" w:sz="0" w:space="0" w:color="auto" w:frame="1"/>
          <w:lang w:val="en-AU"/>
        </w:rPr>
        <w:t xml:space="preserve">, it was regarded as </w:t>
      </w:r>
      <w:r w:rsidR="009C08E4">
        <w:rPr>
          <w:rFonts w:ascii="Times New Roman" w:eastAsia="Times New Roman" w:hAnsi="Times New Roman" w:cs="Times New Roman"/>
          <w:kern w:val="0"/>
          <w:sz w:val="20"/>
          <w:szCs w:val="20"/>
          <w:bdr w:val="none" w:sz="0" w:space="0" w:color="auto" w:frame="1"/>
          <w:lang w:val="en-AU"/>
        </w:rPr>
        <w:t xml:space="preserve">a </w:t>
      </w:r>
      <w:r w:rsidR="005328C5" w:rsidRPr="00DD437C">
        <w:rPr>
          <w:rFonts w:ascii="Times New Roman" w:eastAsia="Times New Roman" w:hAnsi="Times New Roman" w:cs="Times New Roman"/>
          <w:kern w:val="0"/>
          <w:sz w:val="20"/>
          <w:szCs w:val="20"/>
          <w:bdr w:val="none" w:sz="0" w:space="0" w:color="auto" w:frame="1"/>
          <w:lang w:val="en-AU"/>
        </w:rPr>
        <w:t>single medicine-indication pair.</w:t>
      </w:r>
    </w:p>
    <w:p w14:paraId="2ADF390E" w14:textId="4804521B" w:rsidR="00C838F7" w:rsidRPr="00DD437C" w:rsidRDefault="00DF47F0" w:rsidP="006C41A0">
      <w:pPr>
        <w:widowControl/>
        <w:adjustRightInd w:val="0"/>
        <w:snapToGrid w:val="0"/>
        <w:spacing w:line="360" w:lineRule="auto"/>
        <w:rPr>
          <w:rFonts w:ascii="Times New Roman" w:eastAsia="SimSun" w:hAnsi="Times New Roman" w:cs="Times New Roman"/>
          <w:kern w:val="0"/>
          <w:sz w:val="20"/>
          <w:szCs w:val="20"/>
          <w:lang w:val="en-AU"/>
        </w:rPr>
      </w:pPr>
      <w:r w:rsidRPr="00DD437C">
        <w:rPr>
          <w:rFonts w:ascii="Times New Roman" w:eastAsia="Times New Roman" w:hAnsi="Times New Roman" w:cs="Times New Roman"/>
          <w:kern w:val="0"/>
          <w:sz w:val="20"/>
          <w:szCs w:val="20"/>
          <w:bdr w:val="none" w:sz="0" w:space="0" w:color="auto" w:frame="1"/>
          <w:lang w:val="en-AU"/>
        </w:rPr>
        <w:t xml:space="preserve">(5) When </w:t>
      </w:r>
      <w:r w:rsidR="00785968" w:rsidRPr="00DD437C">
        <w:rPr>
          <w:rFonts w:ascii="Times New Roman" w:eastAsia="SimSun" w:hAnsi="Times New Roman" w:cs="Times New Roman"/>
          <w:kern w:val="0"/>
          <w:sz w:val="20"/>
          <w:szCs w:val="20"/>
          <w:lang w:val="en-AU"/>
        </w:rPr>
        <w:t xml:space="preserve">a submission </w:t>
      </w:r>
      <w:r w:rsidR="00C838F7" w:rsidRPr="00DD437C">
        <w:rPr>
          <w:rFonts w:ascii="Times New Roman" w:eastAsia="SimSun" w:hAnsi="Times New Roman" w:cs="Times New Roman"/>
          <w:kern w:val="0"/>
          <w:sz w:val="20"/>
          <w:szCs w:val="20"/>
          <w:lang w:val="en-AU"/>
        </w:rPr>
        <w:t xml:space="preserve">proposed </w:t>
      </w:r>
      <w:r w:rsidR="00785968" w:rsidRPr="00DD437C">
        <w:rPr>
          <w:rFonts w:ascii="Times New Roman" w:eastAsia="SimSun" w:hAnsi="Times New Roman" w:cs="Times New Roman"/>
          <w:kern w:val="0"/>
          <w:sz w:val="20"/>
          <w:szCs w:val="20"/>
          <w:lang w:val="en-AU"/>
        </w:rPr>
        <w:t xml:space="preserve">a medicine </w:t>
      </w:r>
      <w:r w:rsidR="00C838F7" w:rsidRPr="00DD437C">
        <w:rPr>
          <w:rFonts w:ascii="Times New Roman" w:eastAsia="SimSun" w:hAnsi="Times New Roman" w:cs="Times New Roman"/>
          <w:kern w:val="0"/>
          <w:sz w:val="20"/>
          <w:szCs w:val="20"/>
          <w:lang w:val="en-AU"/>
        </w:rPr>
        <w:t>for multiple indications but based on one economic model</w:t>
      </w:r>
      <w:r w:rsidR="0065507D">
        <w:rPr>
          <w:rFonts w:ascii="Times New Roman" w:eastAsia="SimSun" w:hAnsi="Times New Roman" w:cs="Times New Roman"/>
          <w:kern w:val="0"/>
          <w:sz w:val="20"/>
          <w:szCs w:val="20"/>
          <w:lang w:val="en-AU"/>
        </w:rPr>
        <w:t xml:space="preserve"> </w:t>
      </w:r>
      <w:r w:rsidR="003F7133" w:rsidRPr="00DD437C">
        <w:rPr>
          <w:rFonts w:ascii="Times New Roman" w:eastAsia="SimSun" w:hAnsi="Times New Roman" w:cs="Times New Roman"/>
          <w:kern w:val="0"/>
          <w:sz w:val="20"/>
          <w:szCs w:val="20"/>
          <w:lang w:val="en-AU"/>
        </w:rPr>
        <w:fldChar w:fldCharType="begin"/>
      </w:r>
      <w:r w:rsidR="00AD61C8">
        <w:rPr>
          <w:rFonts w:ascii="Times New Roman" w:eastAsia="SimSun" w:hAnsi="Times New Roman" w:cs="Times New Roman"/>
          <w:kern w:val="0"/>
          <w:sz w:val="20"/>
          <w:szCs w:val="20"/>
          <w:lang w:val="en-AU"/>
        </w:rPr>
        <w:instrText xml:space="preserve"> ADDIN EN.CITE &lt;EndNote&gt;&lt;Cite&gt;&lt;Author&gt;Pharmaceutical Benefits Advisory Committee&lt;/Author&gt;&lt;Year&gt;2021&lt;/Year&gt;&lt;RecNum&gt;18739&lt;/RecNum&gt;&lt;DisplayText&gt;[50, 51]&lt;/DisplayText&gt;&lt;record&gt;&lt;rec-number&gt;18739&lt;/rec-number&gt;&lt;foreign-keys&gt;&lt;key app="EN" db-id="5zttwaa2gstv57epr5z5zxv325varaa5e9rp" timestamp="1656166424"&gt;18739&lt;/key&gt;&lt;/foreign-keys&gt;&lt;ref-type name="Government Document"&gt;46&lt;/ref-type&gt;&lt;contributors&gt;&lt;authors&gt;&lt;author&gt;Pharmaceutical Benefits Advisory Committee,&lt;/author&gt;&lt;/authors&gt;&lt;secondary-authors&gt;&lt;author&gt;Pharmaceutical Benefits Advisory Committee&lt;/author&gt;&lt;/secondary-authors&gt;&lt;/contributors&gt;&lt;titles&gt;&lt;title&gt;Nivolumab(GOJC): Injection concentrate for I.V. infusion 40 mg in 4 mL, Injection concentrate for I.V. infusion 100 mg in 10 mL; Opdivo®&lt;/title&gt;&lt;/titles&gt;&lt;dates&gt;&lt;year&gt;2021&lt;/year&gt;&lt;/dates&gt;&lt;label&gt;167GOJC&lt;/label&gt;&lt;urls&gt;&lt;related-urls&gt;&lt;url&gt;https://www.pbs.gov.au/info/industry/listing/elements/pbac-meetings/psd/2021-11/nivolumab-injection-concentrate-for-i-v-infusion-40-mg-in&lt;/url&gt;&lt;/related-urls&gt;&lt;/urls&gt;&lt;/record&gt;&lt;/Cite&gt;&lt;Cite&gt;&lt;Author&gt;Pharmaceutical Benefits Advisory Committee&lt;/Author&gt;&lt;Year&gt;2021&lt;/Year&gt;&lt;RecNum&gt;19315&lt;/RecNum&gt;&lt;record&gt;&lt;rec-number&gt;19315&lt;/rec-number&gt;&lt;foreign-keys&gt;&lt;key app="EN" db-id="5zttwaa2gstv57epr5z5zxv325varaa5e9rp" timestamp="1685489475"&gt;19315&lt;/key&gt;&lt;/foreign-keys&gt;&lt;ref-type name="Government Document"&gt;46&lt;/ref-type&gt;&lt;contributors&gt;&lt;authors&gt;&lt;author&gt;Pharmaceutical Benefits Advisory Committee,&lt;/author&gt;&lt;/authors&gt;&lt;/contributors&gt;&lt;titles&gt;&lt;title&gt;Niraparib: Capsule 100 mg; Zejula®&lt;/title&gt;&lt;/titles&gt;&lt;dates&gt;&lt;year&gt;2021&lt;/year&gt;&lt;/dates&gt;&lt;urls&gt;&lt;related-urls&gt;&lt;url&gt;https://www.pbs.gov.au/info/industry/listing/elements/pbac-meetings/psd/2021-07/niraparib-capsule-100-mg-zejula&lt;/url&gt;&lt;/related-urls&gt;&lt;/urls&gt;&lt;access-date&gt;13 Jan 2022&lt;/access-date&gt;&lt;/record&gt;&lt;/Cite&gt;&lt;/EndNote&gt;</w:instrText>
      </w:r>
      <w:r w:rsidR="003F7133" w:rsidRPr="00DD437C">
        <w:rPr>
          <w:rFonts w:ascii="Times New Roman" w:eastAsia="SimSun" w:hAnsi="Times New Roman" w:cs="Times New Roman"/>
          <w:kern w:val="0"/>
          <w:sz w:val="20"/>
          <w:szCs w:val="20"/>
          <w:lang w:val="en-AU"/>
        </w:rPr>
        <w:fldChar w:fldCharType="separate"/>
      </w:r>
      <w:r w:rsidR="00AD61C8">
        <w:rPr>
          <w:rFonts w:ascii="Times New Roman" w:eastAsia="SimSun" w:hAnsi="Times New Roman" w:cs="Times New Roman"/>
          <w:noProof/>
          <w:kern w:val="0"/>
          <w:sz w:val="20"/>
          <w:szCs w:val="20"/>
          <w:lang w:val="en-AU"/>
        </w:rPr>
        <w:t>[50, 51]</w:t>
      </w:r>
      <w:r w:rsidR="003F7133" w:rsidRPr="00DD437C">
        <w:rPr>
          <w:rFonts w:ascii="Times New Roman" w:eastAsia="SimSun" w:hAnsi="Times New Roman" w:cs="Times New Roman"/>
          <w:kern w:val="0"/>
          <w:sz w:val="20"/>
          <w:szCs w:val="20"/>
          <w:lang w:val="en-AU"/>
        </w:rPr>
        <w:fldChar w:fldCharType="end"/>
      </w:r>
      <w:r w:rsidR="00C838F7" w:rsidRPr="00DD437C">
        <w:rPr>
          <w:rFonts w:ascii="Times New Roman" w:eastAsia="SimSun" w:hAnsi="Times New Roman" w:cs="Times New Roman"/>
          <w:kern w:val="0"/>
          <w:sz w:val="20"/>
          <w:szCs w:val="20"/>
          <w:lang w:val="en-AU"/>
        </w:rPr>
        <w:t xml:space="preserve">, </w:t>
      </w:r>
      <w:r w:rsidR="002F4DFC" w:rsidRPr="00DD437C">
        <w:rPr>
          <w:rFonts w:ascii="Times New Roman" w:eastAsia="SimSun" w:hAnsi="Times New Roman" w:cs="Times New Roman"/>
          <w:kern w:val="0"/>
          <w:sz w:val="20"/>
          <w:szCs w:val="20"/>
          <w:lang w:val="en-AU"/>
        </w:rPr>
        <w:t>it was</w:t>
      </w:r>
      <w:r w:rsidR="00CE206B">
        <w:rPr>
          <w:rFonts w:ascii="Times New Roman" w:eastAsia="SimSun" w:hAnsi="Times New Roman" w:cs="Times New Roman"/>
          <w:kern w:val="0"/>
          <w:sz w:val="20"/>
          <w:szCs w:val="20"/>
          <w:lang w:val="en-AU"/>
        </w:rPr>
        <w:t xml:space="preserve"> </w:t>
      </w:r>
      <w:r w:rsidR="00CE206B" w:rsidRPr="00CE206B">
        <w:rPr>
          <w:rFonts w:ascii="Times New Roman" w:eastAsia="SimSun" w:hAnsi="Times New Roman" w:cs="Times New Roman"/>
          <w:kern w:val="0"/>
          <w:sz w:val="20"/>
          <w:szCs w:val="20"/>
          <w:lang w:val="en-AU"/>
        </w:rPr>
        <w:t>treated</w:t>
      </w:r>
      <w:r w:rsidR="002F4DFC" w:rsidRPr="00DD437C">
        <w:rPr>
          <w:rFonts w:ascii="Times New Roman" w:eastAsia="SimSun" w:hAnsi="Times New Roman" w:cs="Times New Roman"/>
          <w:kern w:val="0"/>
          <w:sz w:val="20"/>
          <w:szCs w:val="20"/>
          <w:lang w:val="en-AU"/>
        </w:rPr>
        <w:t xml:space="preserve"> as integrated pairs of medicines and indications</w:t>
      </w:r>
      <w:r w:rsidR="00FE4FB1" w:rsidRPr="00DD437C">
        <w:rPr>
          <w:rFonts w:ascii="Times New Roman" w:eastAsia="SimSun" w:hAnsi="Times New Roman" w:cs="Times New Roman"/>
          <w:kern w:val="0"/>
          <w:sz w:val="20"/>
          <w:szCs w:val="20"/>
          <w:lang w:val="en-AU"/>
        </w:rPr>
        <w:t>.</w:t>
      </w:r>
    </w:p>
    <w:p w14:paraId="101FEF5A" w14:textId="6E5AB1F6" w:rsidR="00AF5DA8" w:rsidRDefault="00AF5DA8" w:rsidP="006C41A0">
      <w:pPr>
        <w:widowControl/>
        <w:adjustRightInd w:val="0"/>
        <w:snapToGrid w:val="0"/>
        <w:spacing w:line="360" w:lineRule="auto"/>
        <w:rPr>
          <w:rFonts w:ascii="Times New Roman" w:eastAsia="SimSun" w:hAnsi="Times New Roman" w:cs="Times New Roman"/>
          <w:kern w:val="0"/>
          <w:sz w:val="20"/>
          <w:szCs w:val="20"/>
          <w:lang w:val="en-AU"/>
        </w:rPr>
      </w:pPr>
      <w:r w:rsidRPr="00DD437C">
        <w:rPr>
          <w:rFonts w:ascii="Times New Roman" w:eastAsia="SimSun" w:hAnsi="Times New Roman" w:cs="Times New Roman"/>
          <w:kern w:val="0"/>
          <w:sz w:val="20"/>
          <w:szCs w:val="20"/>
          <w:lang w:val="en-AU"/>
        </w:rPr>
        <w:t>(6) When a submission proposed a medicine-indication pair based on different economic model</w:t>
      </w:r>
      <w:r w:rsidR="009C08E4">
        <w:rPr>
          <w:rFonts w:ascii="Times New Roman" w:eastAsia="SimSun" w:hAnsi="Times New Roman" w:cs="Times New Roman"/>
          <w:kern w:val="0"/>
          <w:sz w:val="20"/>
          <w:szCs w:val="20"/>
          <w:lang w:val="en-AU"/>
        </w:rPr>
        <w:t>s</w:t>
      </w:r>
      <w:r w:rsidRPr="00DD437C">
        <w:rPr>
          <w:rFonts w:ascii="Times New Roman" w:eastAsia="SimSun" w:hAnsi="Times New Roman" w:cs="Times New Roman"/>
          <w:kern w:val="0"/>
          <w:sz w:val="20"/>
          <w:szCs w:val="20"/>
          <w:lang w:val="en-AU"/>
        </w:rPr>
        <w:t xml:space="preserve"> </w:t>
      </w:r>
      <w:r w:rsidR="00212CAF" w:rsidRPr="00DD437C">
        <w:rPr>
          <w:rFonts w:ascii="Times New Roman" w:eastAsia="SimSun" w:hAnsi="Times New Roman" w:cs="Times New Roman" w:hint="eastAsia"/>
          <w:kern w:val="0"/>
          <w:sz w:val="20"/>
          <w:szCs w:val="20"/>
          <w:lang w:val="en-AU"/>
        </w:rPr>
        <w:t>for</w:t>
      </w:r>
      <w:r w:rsidR="00212CAF" w:rsidRPr="00DD437C">
        <w:rPr>
          <w:rFonts w:ascii="Times New Roman" w:eastAsia="SimSun" w:hAnsi="Times New Roman" w:cs="Times New Roman"/>
          <w:kern w:val="0"/>
          <w:sz w:val="20"/>
          <w:szCs w:val="20"/>
          <w:lang w:val="en-AU"/>
        </w:rPr>
        <w:t xml:space="preserve"> </w:t>
      </w:r>
      <w:r w:rsidRPr="00DD437C">
        <w:rPr>
          <w:rFonts w:ascii="Times New Roman" w:eastAsia="SimSun" w:hAnsi="Times New Roman" w:cs="Times New Roman"/>
          <w:kern w:val="0"/>
          <w:sz w:val="20"/>
          <w:szCs w:val="20"/>
          <w:lang w:val="en-AU"/>
        </w:rPr>
        <w:t>different</w:t>
      </w:r>
      <w:r w:rsidR="00486CAA" w:rsidRPr="00DD437C">
        <w:rPr>
          <w:rFonts w:ascii="Times New Roman" w:eastAsia="SimSun" w:hAnsi="Times New Roman" w:cs="Times New Roman"/>
          <w:kern w:val="0"/>
          <w:sz w:val="20"/>
          <w:szCs w:val="20"/>
          <w:lang w:val="en-AU"/>
        </w:rPr>
        <w:t xml:space="preserve"> </w:t>
      </w:r>
      <w:r w:rsidR="0043026E" w:rsidRPr="00DD437C">
        <w:rPr>
          <w:rFonts w:ascii="Times New Roman" w:eastAsia="SimSun" w:hAnsi="Times New Roman" w:cs="Times New Roman"/>
          <w:kern w:val="0"/>
          <w:sz w:val="20"/>
          <w:szCs w:val="20"/>
          <w:lang w:val="en-AU"/>
        </w:rPr>
        <w:t>comparator</w:t>
      </w:r>
      <w:r w:rsidR="009C08E4">
        <w:rPr>
          <w:rFonts w:ascii="Times New Roman" w:eastAsia="SimSun" w:hAnsi="Times New Roman" w:cs="Times New Roman"/>
          <w:kern w:val="0"/>
          <w:sz w:val="20"/>
          <w:szCs w:val="20"/>
          <w:lang w:val="en-AU"/>
        </w:rPr>
        <w:t xml:space="preserve">s </w:t>
      </w:r>
      <w:r w:rsidR="00E565CF" w:rsidRPr="00DD437C">
        <w:rPr>
          <w:rFonts w:ascii="Times New Roman" w:eastAsia="SimSun" w:hAnsi="Times New Roman" w:cs="Times New Roman"/>
          <w:kern w:val="0"/>
          <w:sz w:val="20"/>
          <w:szCs w:val="20"/>
          <w:lang w:val="en-AU"/>
        </w:rPr>
        <w:fldChar w:fldCharType="begin">
          <w:fldData xml:space="preserve">PEVuZE5vdGU+PENpdGU+PEF1dGhvcj5QaGFybWFjZXV0aWNhbCBCZW5lZml0cyBBZHZpc29yeSBD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</w:fldData>
        </w:fldChar>
      </w:r>
      <w:r w:rsidR="00AD61C8">
        <w:rPr>
          <w:rFonts w:ascii="Times New Roman" w:eastAsia="SimSun" w:hAnsi="Times New Roman" w:cs="Times New Roman"/>
          <w:kern w:val="0"/>
          <w:sz w:val="20"/>
          <w:szCs w:val="20"/>
          <w:lang w:val="en-AU"/>
        </w:rPr>
        <w:instrText xml:space="preserve"> ADDIN EN.CITE </w:instrText>
      </w:r>
      <w:r w:rsidR="00AD61C8">
        <w:rPr>
          <w:rFonts w:ascii="Times New Roman" w:eastAsia="SimSun" w:hAnsi="Times New Roman" w:cs="Times New Roman"/>
          <w:kern w:val="0"/>
          <w:sz w:val="20"/>
          <w:szCs w:val="20"/>
          <w:lang w:val="en-AU"/>
        </w:rPr>
        <w:fldChar w:fldCharType="begin">
          <w:fldData xml:space="preserve">PEVuZE5vdGU+PENpdGU+PEF1dGhvcj5QaGFybWFjZXV0aWNhbCBCZW5lZml0cyBBZHZpc29yeSBD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</w:fldData>
        </w:fldChar>
      </w:r>
      <w:r w:rsidR="00AD61C8">
        <w:rPr>
          <w:rFonts w:ascii="Times New Roman" w:eastAsia="SimSun" w:hAnsi="Times New Roman" w:cs="Times New Roman"/>
          <w:kern w:val="0"/>
          <w:sz w:val="20"/>
          <w:szCs w:val="20"/>
          <w:lang w:val="en-AU"/>
        </w:rPr>
        <w:instrText xml:space="preserve"> ADDIN EN.CITE.DATA </w:instrText>
      </w:r>
      <w:r w:rsidR="00AD61C8">
        <w:rPr>
          <w:rFonts w:ascii="Times New Roman" w:eastAsia="SimSun" w:hAnsi="Times New Roman" w:cs="Times New Roman"/>
          <w:kern w:val="0"/>
          <w:sz w:val="20"/>
          <w:szCs w:val="20"/>
          <w:lang w:val="en-AU"/>
        </w:rPr>
      </w:r>
      <w:r w:rsidR="00AD61C8">
        <w:rPr>
          <w:rFonts w:ascii="Times New Roman" w:eastAsia="SimSun" w:hAnsi="Times New Roman" w:cs="Times New Roman"/>
          <w:kern w:val="0"/>
          <w:sz w:val="20"/>
          <w:szCs w:val="20"/>
          <w:lang w:val="en-AU"/>
        </w:rPr>
        <w:fldChar w:fldCharType="end"/>
      </w:r>
      <w:r w:rsidR="00E565CF" w:rsidRPr="00DD437C">
        <w:rPr>
          <w:rFonts w:ascii="Times New Roman" w:eastAsia="SimSun" w:hAnsi="Times New Roman" w:cs="Times New Roman"/>
          <w:kern w:val="0"/>
          <w:sz w:val="20"/>
          <w:szCs w:val="20"/>
          <w:lang w:val="en-AU"/>
        </w:rPr>
      </w:r>
      <w:r w:rsidR="00E565CF" w:rsidRPr="00DD437C">
        <w:rPr>
          <w:rFonts w:ascii="Times New Roman" w:eastAsia="SimSun" w:hAnsi="Times New Roman" w:cs="Times New Roman"/>
          <w:kern w:val="0"/>
          <w:sz w:val="20"/>
          <w:szCs w:val="20"/>
          <w:lang w:val="en-AU"/>
        </w:rPr>
        <w:fldChar w:fldCharType="separate"/>
      </w:r>
      <w:r w:rsidR="00AD61C8">
        <w:rPr>
          <w:rFonts w:ascii="Times New Roman" w:eastAsia="SimSun" w:hAnsi="Times New Roman" w:cs="Times New Roman"/>
          <w:noProof/>
          <w:kern w:val="0"/>
          <w:sz w:val="20"/>
          <w:szCs w:val="20"/>
          <w:lang w:val="en-AU"/>
        </w:rPr>
        <w:t>[42, 52-55]</w:t>
      </w:r>
      <w:r w:rsidR="00E565CF" w:rsidRPr="00DD437C">
        <w:rPr>
          <w:rFonts w:ascii="Times New Roman" w:eastAsia="SimSun" w:hAnsi="Times New Roman" w:cs="Times New Roman"/>
          <w:kern w:val="0"/>
          <w:sz w:val="20"/>
          <w:szCs w:val="20"/>
          <w:lang w:val="en-AU"/>
        </w:rPr>
        <w:fldChar w:fldCharType="end"/>
      </w:r>
      <w:r w:rsidRPr="00DD437C">
        <w:rPr>
          <w:rFonts w:ascii="Times New Roman" w:eastAsia="SimSun" w:hAnsi="Times New Roman" w:cs="Times New Roman"/>
          <w:kern w:val="0"/>
          <w:sz w:val="20"/>
          <w:szCs w:val="20"/>
          <w:lang w:val="en-AU"/>
        </w:rPr>
        <w:t xml:space="preserve">, </w:t>
      </w:r>
      <w:r w:rsidR="00A87233" w:rsidRPr="00DD437C">
        <w:rPr>
          <w:rFonts w:ascii="Times New Roman" w:eastAsia="SimSun" w:hAnsi="Times New Roman" w:cs="Times New Roman"/>
          <w:kern w:val="0"/>
          <w:sz w:val="20"/>
          <w:szCs w:val="20"/>
          <w:lang w:val="en-AU"/>
        </w:rPr>
        <w:t xml:space="preserve">it was regarded as separate medicine-indication pairs </w:t>
      </w:r>
      <w:r w:rsidR="00A87233" w:rsidRPr="00DD437C">
        <w:rPr>
          <w:rFonts w:ascii="Times New Roman" w:eastAsia="SimSun" w:hAnsi="Times New Roman" w:cs="Times New Roman" w:hint="eastAsia"/>
          <w:kern w:val="0"/>
          <w:sz w:val="20"/>
          <w:szCs w:val="20"/>
          <w:lang w:val="en-AU"/>
        </w:rPr>
        <w:t>based</w:t>
      </w:r>
      <w:r w:rsidR="00A87233" w:rsidRPr="00DD437C">
        <w:rPr>
          <w:rFonts w:ascii="Times New Roman" w:eastAsia="SimSun" w:hAnsi="Times New Roman" w:cs="Times New Roman"/>
          <w:kern w:val="0"/>
          <w:sz w:val="20"/>
          <w:szCs w:val="20"/>
          <w:lang w:val="en-AU"/>
        </w:rPr>
        <w:t xml:space="preserve"> on different comparators</w:t>
      </w:r>
      <w:r w:rsidRPr="00DD437C">
        <w:rPr>
          <w:rFonts w:ascii="Times New Roman" w:eastAsia="SimSun" w:hAnsi="Times New Roman" w:cs="Times New Roman"/>
          <w:kern w:val="0"/>
          <w:sz w:val="20"/>
          <w:szCs w:val="20"/>
          <w:lang w:val="en-AU"/>
        </w:rPr>
        <w:t>.</w:t>
      </w:r>
    </w:p>
    <w:p w14:paraId="66473F17" w14:textId="62396832" w:rsidR="00081452" w:rsidRPr="005668EA" w:rsidRDefault="008C636B" w:rsidP="006C41A0">
      <w:pPr>
        <w:pStyle w:val="Heading2"/>
        <w:adjustRightInd w:val="0"/>
        <w:snapToGrid w:val="0"/>
        <w:spacing w:before="120" w:after="120" w:line="360" w:lineRule="auto"/>
        <w:rPr>
          <w:rFonts w:ascii="Times New Roman" w:hAnsi="Times New Roman" w:cs="Times New Roman"/>
          <w:sz w:val="20"/>
          <w:szCs w:val="20"/>
        </w:rPr>
      </w:pPr>
      <w:r w:rsidRPr="005668EA">
        <w:rPr>
          <w:rFonts w:ascii="Times New Roman" w:hAnsi="Times New Roman" w:cs="Times New Roman"/>
          <w:sz w:val="20"/>
          <w:szCs w:val="20"/>
        </w:rPr>
        <w:t xml:space="preserve">2. </w:t>
      </w:r>
      <w:r w:rsidR="00081452" w:rsidRPr="005668EA">
        <w:rPr>
          <w:rFonts w:ascii="Times New Roman" w:hAnsi="Times New Roman" w:cs="Times New Roman"/>
          <w:sz w:val="20"/>
          <w:szCs w:val="20"/>
        </w:rPr>
        <w:t>Exclusion criteria </w:t>
      </w:r>
    </w:p>
    <w:p w14:paraId="67B0D770" w14:textId="4EA8E9E7" w:rsidR="0086608C" w:rsidRPr="005668EA" w:rsidRDefault="008C636B"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5668EA">
        <w:rPr>
          <w:rFonts w:ascii="Times New Roman" w:eastAsia="Times New Roman" w:hAnsi="Times New Roman" w:cs="Times New Roman"/>
          <w:kern w:val="0"/>
          <w:sz w:val="20"/>
          <w:szCs w:val="20"/>
          <w:bdr w:val="none" w:sz="0" w:space="0" w:color="auto" w:frame="1"/>
          <w:lang w:val="en-AU"/>
        </w:rPr>
        <w:t xml:space="preserve">(1) </w:t>
      </w:r>
      <w:r w:rsidR="00081452" w:rsidRPr="005668EA">
        <w:rPr>
          <w:rFonts w:ascii="Times New Roman" w:eastAsia="Times New Roman" w:hAnsi="Times New Roman" w:cs="Times New Roman"/>
          <w:kern w:val="0"/>
          <w:sz w:val="20"/>
          <w:szCs w:val="20"/>
          <w:bdr w:val="none" w:sz="0" w:space="0" w:color="auto" w:frame="1"/>
          <w:lang w:val="en-AU"/>
        </w:rPr>
        <w:t>Minor submissions that d</w:t>
      </w:r>
      <w:r w:rsidR="00726DA7" w:rsidRPr="005668EA">
        <w:rPr>
          <w:rFonts w:ascii="Times New Roman" w:eastAsia="Times New Roman" w:hAnsi="Times New Roman" w:cs="Times New Roman"/>
          <w:kern w:val="0"/>
          <w:sz w:val="20"/>
          <w:szCs w:val="20"/>
          <w:bdr w:val="none" w:sz="0" w:space="0" w:color="auto" w:frame="1"/>
          <w:lang w:val="en-AU"/>
        </w:rPr>
        <w:t>id</w:t>
      </w:r>
      <w:r w:rsidR="00081452" w:rsidRPr="005668EA">
        <w:rPr>
          <w:rFonts w:ascii="Times New Roman" w:eastAsia="Times New Roman" w:hAnsi="Times New Roman" w:cs="Times New Roman"/>
          <w:kern w:val="0"/>
          <w:sz w:val="20"/>
          <w:szCs w:val="20"/>
          <w:bdr w:val="none" w:sz="0" w:space="0" w:color="auto" w:frame="1"/>
          <w:lang w:val="en-AU"/>
        </w:rPr>
        <w:t xml:space="preserve"> not </w:t>
      </w:r>
      <w:r w:rsidR="00A543D9" w:rsidRPr="005668EA">
        <w:rPr>
          <w:rFonts w:ascii="Times New Roman" w:eastAsia="Times New Roman" w:hAnsi="Times New Roman" w:cs="Times New Roman"/>
          <w:kern w:val="0"/>
          <w:sz w:val="20"/>
          <w:szCs w:val="20"/>
          <w:bdr w:val="none" w:sz="0" w:space="0" w:color="auto" w:frame="1"/>
          <w:lang w:val="en-AU"/>
        </w:rPr>
        <w:t>present</w:t>
      </w:r>
      <w:r w:rsidR="00081452" w:rsidRPr="005668EA">
        <w:rPr>
          <w:rFonts w:ascii="Times New Roman" w:eastAsia="Times New Roman" w:hAnsi="Times New Roman" w:cs="Times New Roman"/>
          <w:kern w:val="0"/>
          <w:sz w:val="20"/>
          <w:szCs w:val="20"/>
          <w:bdr w:val="none" w:sz="0" w:space="0" w:color="auto" w:frame="1"/>
          <w:lang w:val="en-AU"/>
        </w:rPr>
        <w:t xml:space="preserve"> economic analysis. For instance, the listings for a new form or strength of an already-listed medicine, an amendment to the prescription circumstances, different administration techniques, an alternative for supply shortage</w:t>
      </w:r>
      <w:r w:rsidR="00B86766">
        <w:rPr>
          <w:rFonts w:ascii="Times New Roman" w:eastAsia="Times New Roman" w:hAnsi="Times New Roman" w:cs="Times New Roman"/>
          <w:kern w:val="0"/>
          <w:sz w:val="20"/>
          <w:szCs w:val="20"/>
          <w:bdr w:val="none" w:sz="0" w:space="0" w:color="auto" w:frame="1"/>
          <w:lang w:val="en-AU"/>
        </w:rPr>
        <w:t xml:space="preserve">, </w:t>
      </w:r>
      <w:r w:rsidR="00081452" w:rsidRPr="005668EA">
        <w:rPr>
          <w:rFonts w:ascii="Times New Roman" w:eastAsia="Times New Roman" w:hAnsi="Times New Roman" w:cs="Times New Roman"/>
          <w:kern w:val="0"/>
          <w:sz w:val="20"/>
          <w:szCs w:val="20"/>
          <w:bdr w:val="none" w:sz="0" w:space="0" w:color="auto" w:frame="1"/>
          <w:lang w:val="en-AU"/>
        </w:rPr>
        <w:t>et</w:t>
      </w:r>
      <w:r w:rsidR="0086608C">
        <w:rPr>
          <w:rFonts w:ascii="Times New Roman" w:eastAsia="Times New Roman" w:hAnsi="Times New Roman" w:cs="Times New Roman"/>
          <w:kern w:val="0"/>
          <w:sz w:val="20"/>
          <w:szCs w:val="20"/>
          <w:bdr w:val="none" w:sz="0" w:space="0" w:color="auto" w:frame="1"/>
          <w:lang w:val="en-AU"/>
        </w:rPr>
        <w:t>c</w:t>
      </w:r>
      <w:r w:rsidR="00081452" w:rsidRPr="005668EA">
        <w:rPr>
          <w:rFonts w:ascii="Times New Roman" w:eastAsia="Times New Roman" w:hAnsi="Times New Roman" w:cs="Times New Roman"/>
          <w:kern w:val="0"/>
          <w:sz w:val="20"/>
          <w:szCs w:val="20"/>
          <w:bdr w:val="none" w:sz="0" w:space="0" w:color="auto" w:frame="1"/>
          <w:lang w:val="en-AU"/>
        </w:rPr>
        <w:t>. </w:t>
      </w:r>
    </w:p>
    <w:p w14:paraId="15F7198B" w14:textId="412217AA" w:rsidR="00CE327D" w:rsidRPr="005668EA" w:rsidRDefault="00E13F77"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5668EA">
        <w:rPr>
          <w:rFonts w:ascii="Times New Roman" w:eastAsia="Times New Roman" w:hAnsi="Times New Roman" w:cs="Times New Roman"/>
          <w:kern w:val="0"/>
          <w:sz w:val="20"/>
          <w:szCs w:val="20"/>
          <w:bdr w:val="none" w:sz="0" w:space="0" w:color="auto" w:frame="1"/>
          <w:lang w:val="en-AU"/>
        </w:rPr>
        <w:t xml:space="preserve">(2) </w:t>
      </w:r>
      <w:r w:rsidR="00EF6724" w:rsidRPr="005668EA">
        <w:rPr>
          <w:rFonts w:ascii="Times New Roman" w:eastAsia="Times New Roman" w:hAnsi="Times New Roman" w:cs="Times New Roman"/>
          <w:kern w:val="0"/>
          <w:sz w:val="20"/>
          <w:szCs w:val="20"/>
          <w:bdr w:val="none" w:sz="0" w:space="0" w:color="auto" w:frame="1"/>
          <w:lang w:val="en-AU"/>
        </w:rPr>
        <w:t xml:space="preserve">The </w:t>
      </w:r>
      <w:r w:rsidR="00081452" w:rsidRPr="005668EA">
        <w:rPr>
          <w:rFonts w:ascii="Times New Roman" w:eastAsia="Times New Roman" w:hAnsi="Times New Roman" w:cs="Times New Roman"/>
          <w:kern w:val="0"/>
          <w:sz w:val="20"/>
          <w:szCs w:val="20"/>
          <w:bdr w:val="none" w:sz="0" w:space="0" w:color="auto" w:frame="1"/>
          <w:lang w:val="en-AU"/>
        </w:rPr>
        <w:t xml:space="preserve">submissions </w:t>
      </w:r>
      <w:r w:rsidR="00C02663" w:rsidRPr="005668EA">
        <w:rPr>
          <w:rFonts w:ascii="Times New Roman" w:eastAsia="Times New Roman" w:hAnsi="Times New Roman" w:cs="Times New Roman"/>
          <w:kern w:val="0"/>
          <w:sz w:val="20"/>
          <w:szCs w:val="20"/>
          <w:bdr w:val="none" w:sz="0" w:space="0" w:color="auto" w:frame="1"/>
          <w:lang w:val="en-AU"/>
        </w:rPr>
        <w:t xml:space="preserve">aimed to </w:t>
      </w:r>
      <w:r w:rsidR="00081452" w:rsidRPr="005668EA">
        <w:rPr>
          <w:rFonts w:ascii="Times New Roman" w:eastAsia="Times New Roman" w:hAnsi="Times New Roman" w:cs="Times New Roman"/>
          <w:kern w:val="0"/>
          <w:sz w:val="20"/>
          <w:szCs w:val="20"/>
          <w:bdr w:val="none" w:sz="0" w:space="0" w:color="auto" w:frame="1"/>
          <w:lang w:val="en-AU"/>
        </w:rPr>
        <w:t>respon</w:t>
      </w:r>
      <w:r w:rsidR="001558DE" w:rsidRPr="005668EA">
        <w:rPr>
          <w:rFonts w:ascii="Times New Roman" w:eastAsia="Times New Roman" w:hAnsi="Times New Roman" w:cs="Times New Roman"/>
          <w:kern w:val="0"/>
          <w:sz w:val="20"/>
          <w:szCs w:val="20"/>
          <w:bdr w:val="none" w:sz="0" w:space="0" w:color="auto" w:frame="1"/>
          <w:lang w:val="en-AU"/>
        </w:rPr>
        <w:t>d</w:t>
      </w:r>
      <w:r w:rsidR="00081452" w:rsidRPr="005668EA">
        <w:rPr>
          <w:rFonts w:ascii="Times New Roman" w:eastAsia="Times New Roman" w:hAnsi="Times New Roman" w:cs="Times New Roman"/>
          <w:kern w:val="0"/>
          <w:sz w:val="20"/>
          <w:szCs w:val="20"/>
          <w:bdr w:val="none" w:sz="0" w:space="0" w:color="auto" w:frame="1"/>
          <w:lang w:val="en-AU"/>
        </w:rPr>
        <w:t xml:space="preserve"> to PBAC's advice in some circumstances (e.g., some new brands of existing pharmaceutical items with an unusual presentation, potential equivalence, substitution, or quality use of medicines issues). </w:t>
      </w:r>
    </w:p>
    <w:p w14:paraId="5BF2FC74" w14:textId="53F298F1" w:rsidR="00081452" w:rsidRPr="005668EA" w:rsidRDefault="00E13F77"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5668EA">
        <w:rPr>
          <w:rFonts w:ascii="Times New Roman" w:eastAsia="Times New Roman" w:hAnsi="Times New Roman" w:cs="Times New Roman"/>
          <w:kern w:val="0"/>
          <w:sz w:val="20"/>
          <w:szCs w:val="20"/>
          <w:bdr w:val="none" w:sz="0" w:space="0" w:color="auto" w:frame="1"/>
          <w:lang w:val="en-AU"/>
        </w:rPr>
        <w:t xml:space="preserve">(3) </w:t>
      </w:r>
      <w:r w:rsidR="00081452" w:rsidRPr="005668EA">
        <w:rPr>
          <w:rFonts w:ascii="Times New Roman" w:eastAsia="Times New Roman" w:hAnsi="Times New Roman" w:cs="Times New Roman"/>
          <w:kern w:val="0"/>
          <w:sz w:val="20"/>
          <w:szCs w:val="20"/>
          <w:bdr w:val="none" w:sz="0" w:space="0" w:color="auto" w:frame="1"/>
          <w:lang w:val="en-AU"/>
        </w:rPr>
        <w:t>The submissions intend to extend indications and do not present economic evaluations.  </w:t>
      </w:r>
    </w:p>
    <w:p w14:paraId="0D30C96F" w14:textId="1CE23AA2" w:rsidR="00081452" w:rsidRPr="005668EA" w:rsidRDefault="00E13F77"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5668EA">
        <w:rPr>
          <w:rFonts w:ascii="Times New Roman" w:eastAsia="Times New Roman" w:hAnsi="Times New Roman" w:cs="Times New Roman"/>
          <w:kern w:val="0"/>
          <w:sz w:val="20"/>
          <w:szCs w:val="20"/>
          <w:bdr w:val="none" w:sz="0" w:space="0" w:color="auto" w:frame="1"/>
          <w:lang w:val="en-AU"/>
        </w:rPr>
        <w:t xml:space="preserve">(4) </w:t>
      </w:r>
      <w:r w:rsidR="00081452" w:rsidRPr="005668EA">
        <w:rPr>
          <w:rFonts w:ascii="Times New Roman" w:eastAsia="Times New Roman" w:hAnsi="Times New Roman" w:cs="Times New Roman"/>
          <w:kern w:val="0"/>
          <w:sz w:val="20"/>
          <w:szCs w:val="20"/>
          <w:bdr w:val="none" w:sz="0" w:space="0" w:color="auto" w:frame="1"/>
          <w:lang w:val="en-AU"/>
        </w:rPr>
        <w:t>Review documents, such as stakeholder meeting summar</w:t>
      </w:r>
      <w:r w:rsidR="007042FE" w:rsidRPr="005668EA">
        <w:rPr>
          <w:rFonts w:ascii="Times New Roman" w:eastAsia="Times New Roman" w:hAnsi="Times New Roman" w:cs="Times New Roman"/>
          <w:kern w:val="0"/>
          <w:sz w:val="20"/>
          <w:szCs w:val="20"/>
          <w:bdr w:val="none" w:sz="0" w:space="0" w:color="auto" w:frame="1"/>
          <w:lang w:val="en-AU"/>
        </w:rPr>
        <w:t>ies</w:t>
      </w:r>
      <w:r w:rsidR="00081452" w:rsidRPr="005668EA">
        <w:rPr>
          <w:rFonts w:ascii="Times New Roman" w:eastAsia="Times New Roman" w:hAnsi="Times New Roman" w:cs="Times New Roman"/>
          <w:kern w:val="0"/>
          <w:sz w:val="20"/>
          <w:szCs w:val="20"/>
          <w:bdr w:val="none" w:sz="0" w:space="0" w:color="auto" w:frame="1"/>
          <w:lang w:val="en-AU"/>
        </w:rPr>
        <w:t>, independent review</w:t>
      </w:r>
      <w:r w:rsidR="007042FE" w:rsidRPr="005668EA">
        <w:rPr>
          <w:rFonts w:ascii="Times New Roman" w:eastAsia="Times New Roman" w:hAnsi="Times New Roman" w:cs="Times New Roman"/>
          <w:kern w:val="0"/>
          <w:sz w:val="20"/>
          <w:szCs w:val="20"/>
          <w:bdr w:val="none" w:sz="0" w:space="0" w:color="auto" w:frame="1"/>
          <w:lang w:val="en-AU"/>
        </w:rPr>
        <w:t>s</w:t>
      </w:r>
      <w:r w:rsidR="00DE0F62" w:rsidRPr="005668EA">
        <w:rPr>
          <w:rFonts w:ascii="Times New Roman" w:eastAsia="Times New Roman" w:hAnsi="Times New Roman" w:cs="Times New Roman"/>
          <w:kern w:val="0"/>
          <w:sz w:val="20"/>
          <w:szCs w:val="20"/>
          <w:bdr w:val="none" w:sz="0" w:space="0" w:color="auto" w:frame="1"/>
          <w:lang w:val="en-AU"/>
        </w:rPr>
        <w:t xml:space="preserve">, committee secretariat </w:t>
      </w:r>
      <w:r w:rsidR="00AC492A" w:rsidRPr="005668EA">
        <w:rPr>
          <w:rFonts w:ascii="Times New Roman" w:eastAsia="Times New Roman" w:hAnsi="Times New Roman" w:cs="Times New Roman"/>
          <w:kern w:val="0"/>
          <w:sz w:val="20"/>
          <w:szCs w:val="20"/>
          <w:bdr w:val="none" w:sz="0" w:space="0" w:color="auto" w:frame="1"/>
          <w:lang w:val="en-AU"/>
        </w:rPr>
        <w:t>review</w:t>
      </w:r>
      <w:r w:rsidR="000F26C7" w:rsidRPr="005668EA">
        <w:rPr>
          <w:rFonts w:ascii="Times New Roman" w:eastAsia="Times New Roman" w:hAnsi="Times New Roman" w:cs="Times New Roman"/>
          <w:kern w:val="0"/>
          <w:sz w:val="20"/>
          <w:szCs w:val="20"/>
          <w:bdr w:val="none" w:sz="0" w:space="0" w:color="auto" w:frame="1"/>
          <w:lang w:val="en-AU"/>
        </w:rPr>
        <w:t>s</w:t>
      </w:r>
      <w:r w:rsidR="00AC492A" w:rsidRPr="005668EA">
        <w:rPr>
          <w:rFonts w:ascii="Times New Roman" w:eastAsia="Times New Roman" w:hAnsi="Times New Roman" w:cs="Times New Roman"/>
          <w:kern w:val="0"/>
          <w:sz w:val="20"/>
          <w:szCs w:val="20"/>
          <w:bdr w:val="none" w:sz="0" w:space="0" w:color="auto" w:frame="1"/>
          <w:lang w:val="en-AU"/>
        </w:rPr>
        <w:t xml:space="preserve"> and general correspondence to the PBAC</w:t>
      </w:r>
      <w:r w:rsidR="00081452" w:rsidRPr="005668EA">
        <w:rPr>
          <w:rFonts w:ascii="Times New Roman" w:eastAsia="Times New Roman" w:hAnsi="Times New Roman" w:cs="Times New Roman"/>
          <w:kern w:val="0"/>
          <w:sz w:val="20"/>
          <w:szCs w:val="20"/>
          <w:bdr w:val="none" w:sz="0" w:space="0" w:color="auto" w:frame="1"/>
          <w:lang w:val="en-AU"/>
        </w:rPr>
        <w:t>. </w:t>
      </w:r>
    </w:p>
    <w:p w14:paraId="28210541" w14:textId="2DF00D9A" w:rsidR="00081452" w:rsidRPr="005668EA" w:rsidRDefault="00E13F77" w:rsidP="006C41A0">
      <w:pPr>
        <w:widowControl/>
        <w:adjustRightInd w:val="0"/>
        <w:snapToGrid w:val="0"/>
        <w:spacing w:line="360" w:lineRule="auto"/>
        <w:rPr>
          <w:rFonts w:ascii="Times New Roman" w:eastAsia="Times New Roman" w:hAnsi="Times New Roman" w:cs="Times New Roman"/>
          <w:kern w:val="0"/>
          <w:sz w:val="20"/>
          <w:szCs w:val="20"/>
          <w:lang w:val="en-AU"/>
        </w:rPr>
      </w:pPr>
      <w:r w:rsidRPr="005668EA">
        <w:rPr>
          <w:rFonts w:ascii="Times New Roman" w:eastAsia="Times New Roman" w:hAnsi="Times New Roman" w:cs="Times New Roman"/>
          <w:kern w:val="0"/>
          <w:sz w:val="20"/>
          <w:szCs w:val="20"/>
          <w:bdr w:val="none" w:sz="0" w:space="0" w:color="auto" w:frame="1"/>
          <w:lang w:val="en-AU"/>
        </w:rPr>
        <w:t xml:space="preserve">(5) </w:t>
      </w:r>
      <w:r w:rsidR="00081452" w:rsidRPr="005668EA">
        <w:rPr>
          <w:rFonts w:ascii="Times New Roman" w:eastAsia="Times New Roman" w:hAnsi="Times New Roman" w:cs="Times New Roman"/>
          <w:kern w:val="0"/>
          <w:sz w:val="20"/>
          <w:szCs w:val="20"/>
          <w:bdr w:val="none" w:sz="0" w:space="0" w:color="auto" w:frame="1"/>
          <w:lang w:val="en-AU"/>
        </w:rPr>
        <w:t>Those submissions in which economic evaluation is not CUA-based (</w:t>
      </w:r>
      <w:r w:rsidR="005F0778" w:rsidRPr="005668EA">
        <w:rPr>
          <w:rFonts w:ascii="Times New Roman" w:eastAsia="Times New Roman" w:hAnsi="Times New Roman" w:cs="Times New Roman"/>
          <w:kern w:val="0"/>
          <w:sz w:val="20"/>
          <w:szCs w:val="20"/>
          <w:bdr w:val="none" w:sz="0" w:space="0" w:color="auto" w:frame="1"/>
          <w:lang w:val="en-AU"/>
        </w:rPr>
        <w:t xml:space="preserve">e.g., </w:t>
      </w:r>
      <w:r w:rsidR="00C103D1" w:rsidRPr="005668EA">
        <w:rPr>
          <w:rFonts w:ascii="Times New Roman" w:eastAsia="Times New Roman" w:hAnsi="Times New Roman" w:cs="Times New Roman"/>
          <w:kern w:val="0"/>
          <w:sz w:val="20"/>
          <w:szCs w:val="20"/>
          <w:bdr w:val="none" w:sz="0" w:space="0" w:color="auto" w:frame="1"/>
          <w:lang w:val="en-AU"/>
        </w:rPr>
        <w:t>c</w:t>
      </w:r>
      <w:r w:rsidR="00081452" w:rsidRPr="005668EA">
        <w:rPr>
          <w:rFonts w:ascii="Times New Roman" w:eastAsia="Times New Roman" w:hAnsi="Times New Roman" w:cs="Times New Roman"/>
          <w:kern w:val="0"/>
          <w:sz w:val="20"/>
          <w:szCs w:val="20"/>
          <w:bdr w:val="none" w:sz="0" w:space="0" w:color="auto" w:frame="1"/>
          <w:lang w:val="en-AU"/>
        </w:rPr>
        <w:t>ost-consequences analysis, cost-minimisation analysis, cost-effectiveness analysis). </w:t>
      </w:r>
    </w:p>
    <w:p w14:paraId="15D3677B" w14:textId="6D46A1FD" w:rsidR="00081452" w:rsidRPr="002A6A39" w:rsidRDefault="00E13F77" w:rsidP="006C41A0">
      <w:pPr>
        <w:widowControl/>
        <w:adjustRightInd w:val="0"/>
        <w:snapToGrid w:val="0"/>
        <w:spacing w:line="360" w:lineRule="auto"/>
        <w:rPr>
          <w:rFonts w:ascii="Times New Roman" w:eastAsia="Times New Roman" w:hAnsi="Times New Roman" w:cs="Times New Roman"/>
          <w:kern w:val="0"/>
          <w:sz w:val="20"/>
          <w:szCs w:val="20"/>
        </w:rPr>
      </w:pPr>
      <w:r w:rsidRPr="005668EA">
        <w:rPr>
          <w:rFonts w:ascii="Times New Roman" w:eastAsia="Times New Roman" w:hAnsi="Times New Roman" w:cs="Times New Roman"/>
          <w:kern w:val="0"/>
          <w:sz w:val="20"/>
          <w:szCs w:val="20"/>
          <w:bdr w:val="none" w:sz="0" w:space="0" w:color="auto" w:frame="1"/>
          <w:lang w:val="en-AU"/>
        </w:rPr>
        <w:t xml:space="preserve">(6) </w:t>
      </w:r>
      <w:r w:rsidR="00081452" w:rsidRPr="005668EA">
        <w:rPr>
          <w:rFonts w:ascii="Times New Roman" w:eastAsia="Times New Roman" w:hAnsi="Times New Roman" w:cs="Times New Roman"/>
          <w:kern w:val="0"/>
          <w:sz w:val="20"/>
          <w:szCs w:val="20"/>
          <w:bdr w:val="none" w:sz="0" w:space="0" w:color="auto" w:frame="1"/>
          <w:lang w:val="en-AU"/>
        </w:rPr>
        <w:t>The submission w</w:t>
      </w:r>
      <w:r w:rsidR="006812A0" w:rsidRPr="005668EA">
        <w:rPr>
          <w:rFonts w:ascii="Times New Roman" w:eastAsia="Times New Roman" w:hAnsi="Times New Roman" w:cs="Times New Roman"/>
          <w:kern w:val="0"/>
          <w:sz w:val="20"/>
          <w:szCs w:val="20"/>
          <w:bdr w:val="none" w:sz="0" w:space="0" w:color="auto" w:frame="1"/>
          <w:lang w:val="en-AU"/>
        </w:rPr>
        <w:t>as</w:t>
      </w:r>
      <w:r w:rsidR="00081452" w:rsidRPr="005668EA">
        <w:rPr>
          <w:rFonts w:ascii="Times New Roman" w:eastAsia="Times New Roman" w:hAnsi="Times New Roman" w:cs="Times New Roman"/>
          <w:kern w:val="0"/>
          <w:sz w:val="20"/>
          <w:szCs w:val="20"/>
          <w:bdr w:val="none" w:sz="0" w:space="0" w:color="auto" w:frame="1"/>
          <w:lang w:val="en-AU"/>
        </w:rPr>
        <w:t xml:space="preserve"> under </w:t>
      </w:r>
      <w:r w:rsidR="007E7A23" w:rsidRPr="005668EA">
        <w:rPr>
          <w:rFonts w:ascii="Times New Roman" w:eastAsia="Times New Roman" w:hAnsi="Times New Roman" w:cs="Times New Roman"/>
          <w:kern w:val="0"/>
          <w:sz w:val="20"/>
          <w:szCs w:val="20"/>
          <w:bdr w:val="none" w:sz="0" w:space="0" w:color="auto" w:frame="1"/>
          <w:lang w:val="en-AU"/>
        </w:rPr>
        <w:t>the</w:t>
      </w:r>
      <w:r w:rsidR="002A6A39">
        <w:rPr>
          <w:rFonts w:ascii="Times New Roman" w:eastAsia="Times New Roman" w:hAnsi="Times New Roman" w:cs="Times New Roman"/>
          <w:kern w:val="0"/>
          <w:sz w:val="20"/>
          <w:szCs w:val="20"/>
          <w:bdr w:val="none" w:sz="0" w:space="0" w:color="auto" w:frame="1"/>
          <w:lang w:val="en-AU"/>
        </w:rPr>
        <w:t xml:space="preserve"> </w:t>
      </w:r>
      <w:r w:rsidR="00081452" w:rsidRPr="005668EA">
        <w:rPr>
          <w:rFonts w:ascii="Times New Roman" w:eastAsia="Times New Roman" w:hAnsi="Times New Roman" w:cs="Times New Roman"/>
          <w:kern w:val="0"/>
          <w:sz w:val="20"/>
          <w:szCs w:val="20"/>
          <w:bdr w:val="none" w:sz="0" w:space="0" w:color="auto" w:frame="1"/>
          <w:lang w:val="en-AU"/>
        </w:rPr>
        <w:t>TGA/PBAC Parallel Process, at the time of PBAC advice, the TGA clinical evaluator’s report or the TGA delegate’s overview was not available.  </w:t>
      </w:r>
    </w:p>
    <w:p w14:paraId="0DEE7E38" w14:textId="49C146F8" w:rsidR="00081452" w:rsidRDefault="00E13F77" w:rsidP="006C41A0">
      <w:pPr>
        <w:adjustRightInd w:val="0"/>
        <w:snapToGrid w:val="0"/>
        <w:spacing w:line="360" w:lineRule="auto"/>
        <w:rPr>
          <w:rFonts w:ascii="Times New Roman" w:hAnsi="Times New Roman" w:cs="Times New Roman"/>
          <w:kern w:val="0"/>
          <w:sz w:val="20"/>
          <w:szCs w:val="20"/>
          <w:bdr w:val="none" w:sz="0" w:space="0" w:color="auto" w:frame="1"/>
          <w:lang w:val="en-AU"/>
        </w:rPr>
      </w:pPr>
      <w:r w:rsidRPr="005668EA">
        <w:rPr>
          <w:rFonts w:ascii="Times New Roman" w:eastAsia="Times New Roman" w:hAnsi="Times New Roman" w:cs="Times New Roman"/>
          <w:kern w:val="0"/>
          <w:sz w:val="20"/>
          <w:szCs w:val="20"/>
          <w:bdr w:val="none" w:sz="0" w:space="0" w:color="auto" w:frame="1"/>
          <w:lang w:val="en-AU"/>
        </w:rPr>
        <w:t xml:space="preserve">(7) </w:t>
      </w:r>
      <w:r w:rsidR="00081452" w:rsidRPr="005668EA">
        <w:rPr>
          <w:rFonts w:ascii="Times New Roman" w:eastAsia="Times New Roman" w:hAnsi="Times New Roman" w:cs="Times New Roman"/>
          <w:kern w:val="0"/>
          <w:sz w:val="20"/>
          <w:szCs w:val="20"/>
          <w:bdr w:val="none" w:sz="0" w:space="0" w:color="auto" w:frame="1"/>
          <w:lang w:val="en-AU"/>
        </w:rPr>
        <w:t>The medicine ha</w:t>
      </w:r>
      <w:r w:rsidR="006812A0" w:rsidRPr="005668EA">
        <w:rPr>
          <w:rFonts w:ascii="Times New Roman" w:eastAsia="Times New Roman" w:hAnsi="Times New Roman" w:cs="Times New Roman"/>
          <w:kern w:val="0"/>
          <w:sz w:val="20"/>
          <w:szCs w:val="20"/>
          <w:bdr w:val="none" w:sz="0" w:space="0" w:color="auto" w:frame="1"/>
          <w:lang w:val="en-AU"/>
        </w:rPr>
        <w:t>d</w:t>
      </w:r>
      <w:r w:rsidR="00081452" w:rsidRPr="005668EA">
        <w:rPr>
          <w:rFonts w:ascii="Times New Roman" w:eastAsia="Times New Roman" w:hAnsi="Times New Roman" w:cs="Times New Roman"/>
          <w:kern w:val="0"/>
          <w:sz w:val="20"/>
          <w:szCs w:val="20"/>
          <w:bdr w:val="none" w:sz="0" w:space="0" w:color="auto" w:frame="1"/>
          <w:lang w:val="en-AU"/>
        </w:rPr>
        <w:t> </w:t>
      </w:r>
      <w:r w:rsidR="00445D59" w:rsidRPr="005668EA">
        <w:rPr>
          <w:rFonts w:ascii="Times New Roman" w:eastAsia="Times New Roman" w:hAnsi="Times New Roman" w:cs="Times New Roman"/>
          <w:kern w:val="0"/>
          <w:sz w:val="20"/>
          <w:szCs w:val="20"/>
          <w:bdr w:val="none" w:sz="0" w:space="0" w:color="auto" w:frame="1"/>
          <w:lang w:val="en-AU"/>
        </w:rPr>
        <w:t xml:space="preserve">a </w:t>
      </w:r>
      <w:r w:rsidR="00081452" w:rsidRPr="005668EA">
        <w:rPr>
          <w:rFonts w:ascii="Times New Roman" w:eastAsia="Times New Roman" w:hAnsi="Times New Roman" w:cs="Times New Roman"/>
          <w:kern w:val="0"/>
          <w:sz w:val="20"/>
          <w:szCs w:val="20"/>
          <w:bdr w:val="none" w:sz="0" w:space="0" w:color="auto" w:frame="1"/>
          <w:lang w:val="en-AU"/>
        </w:rPr>
        <w:t>co-dependent test, which w</w:t>
      </w:r>
      <w:r w:rsidR="007042FE" w:rsidRPr="005668EA">
        <w:rPr>
          <w:rFonts w:ascii="Times New Roman" w:eastAsia="Times New Roman" w:hAnsi="Times New Roman" w:cs="Times New Roman"/>
          <w:kern w:val="0"/>
          <w:sz w:val="20"/>
          <w:szCs w:val="20"/>
          <w:bdr w:val="none" w:sz="0" w:space="0" w:color="auto" w:frame="1"/>
          <w:lang w:val="en-AU"/>
        </w:rPr>
        <w:t>as</w:t>
      </w:r>
      <w:r w:rsidR="00081452" w:rsidRPr="005668EA">
        <w:rPr>
          <w:rFonts w:ascii="Times New Roman" w:eastAsia="Times New Roman" w:hAnsi="Times New Roman" w:cs="Times New Roman"/>
          <w:kern w:val="0"/>
          <w:sz w:val="20"/>
          <w:szCs w:val="20"/>
          <w:bdr w:val="none" w:sz="0" w:space="0" w:color="auto" w:frame="1"/>
          <w:lang w:val="en-AU"/>
        </w:rPr>
        <w:t> considered by the Medical Benefits Advisory Committee and its decision was not available at the time of the PBAC meeting. </w:t>
      </w:r>
    </w:p>
    <w:p w14:paraId="31C4BD60" w14:textId="77777777" w:rsid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5B1603CB" w14:textId="77777777" w:rsid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78E14DA2" w14:textId="77777777" w:rsid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6F7081EE" w14:textId="77777777" w:rsid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18277B6A" w14:textId="77777777" w:rsid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50595067" w14:textId="77777777" w:rsidR="00E75DB0" w:rsidRPr="00E75DB0" w:rsidRDefault="00E75DB0" w:rsidP="006C41A0">
      <w:pPr>
        <w:adjustRightInd w:val="0"/>
        <w:snapToGrid w:val="0"/>
        <w:spacing w:line="360" w:lineRule="auto"/>
        <w:rPr>
          <w:rFonts w:ascii="Times New Roman" w:hAnsi="Times New Roman" w:cs="Times New Roman"/>
          <w:kern w:val="0"/>
          <w:sz w:val="20"/>
          <w:szCs w:val="20"/>
          <w:bdr w:val="none" w:sz="0" w:space="0" w:color="auto" w:frame="1"/>
          <w:lang w:val="en-AU"/>
        </w:rPr>
      </w:pPr>
    </w:p>
    <w:p w14:paraId="0921C8D2" w14:textId="38084833" w:rsidR="006F08CF" w:rsidRDefault="00BC1381" w:rsidP="00C15362">
      <w:pPr>
        <w:pStyle w:val="Heading1"/>
        <w:widowControl/>
        <w:adjustRightInd w:val="0"/>
        <w:snapToGrid w:val="0"/>
        <w:spacing w:before="240" w:after="0" w:line="360" w:lineRule="auto"/>
        <w:jc w:val="left"/>
        <w:rPr>
          <w:rFonts w:ascii="Times New Roman" w:hAnsi="Times New Roman" w:cs="Times New Roman"/>
          <w:kern w:val="2"/>
          <w:sz w:val="20"/>
          <w:szCs w:val="20"/>
        </w:rPr>
      </w:pPr>
      <w:r w:rsidRPr="4F533E7D">
        <w:rPr>
          <w:rFonts w:ascii="Times New Roman" w:eastAsiaTheme="majorEastAsia" w:hAnsi="Times New Roman" w:cs="Times New Roman"/>
          <w:kern w:val="0"/>
          <w:sz w:val="20"/>
          <w:szCs w:val="20"/>
          <w:lang w:val="en-AU" w:eastAsia="en-US"/>
        </w:rPr>
        <w:lastRenderedPageBreak/>
        <w:t xml:space="preserve">Appendix </w:t>
      </w:r>
      <w:r w:rsidR="002D64BF" w:rsidRPr="4F533E7D">
        <w:rPr>
          <w:rFonts w:ascii="Times New Roman" w:eastAsiaTheme="majorEastAsia" w:hAnsi="Times New Roman" w:cs="Times New Roman"/>
          <w:kern w:val="0"/>
          <w:sz w:val="20"/>
          <w:szCs w:val="20"/>
          <w:lang w:val="en-AU" w:eastAsia="en-US"/>
        </w:rPr>
        <w:t>3</w:t>
      </w:r>
      <w:r w:rsidR="00D535BC" w:rsidRPr="4F533E7D">
        <w:rPr>
          <w:rFonts w:ascii="Times New Roman" w:eastAsiaTheme="majorEastAsia" w:hAnsi="Times New Roman" w:cs="Times New Roman"/>
          <w:kern w:val="0"/>
          <w:sz w:val="20"/>
          <w:szCs w:val="20"/>
          <w:lang w:val="en-AU" w:eastAsia="en-US"/>
        </w:rPr>
        <w:t xml:space="preserve">. </w:t>
      </w:r>
      <w:r w:rsidR="001D3E23" w:rsidRPr="4F533E7D">
        <w:rPr>
          <w:rFonts w:ascii="Times New Roman" w:hAnsi="Times New Roman" w:cs="Times New Roman"/>
          <w:kern w:val="2"/>
          <w:sz w:val="20"/>
          <w:szCs w:val="20"/>
        </w:rPr>
        <w:t xml:space="preserve">Agreement </w:t>
      </w:r>
      <w:r w:rsidR="210AD0CC" w:rsidRPr="4F533E7D">
        <w:rPr>
          <w:rFonts w:ascii="Times New Roman" w:hAnsi="Times New Roman" w:cs="Times New Roman"/>
          <w:kern w:val="2"/>
          <w:sz w:val="20"/>
          <w:szCs w:val="20"/>
        </w:rPr>
        <w:t xml:space="preserve">between </w:t>
      </w:r>
      <w:r w:rsidR="001D3E23" w:rsidRPr="4F533E7D">
        <w:rPr>
          <w:rFonts w:ascii="Times New Roman" w:hAnsi="Times New Roman" w:cs="Times New Roman"/>
          <w:kern w:val="2"/>
          <w:sz w:val="20"/>
          <w:szCs w:val="20"/>
        </w:rPr>
        <w:t xml:space="preserve">reviewers </w:t>
      </w:r>
      <w:r w:rsidR="3D73F057" w:rsidRPr="4F533E7D">
        <w:rPr>
          <w:rFonts w:ascii="Times New Roman" w:hAnsi="Times New Roman" w:cs="Times New Roman"/>
          <w:sz w:val="20"/>
          <w:szCs w:val="20"/>
        </w:rPr>
        <w:t>regarding abstracting from public summary documents (PSDs)</w:t>
      </w:r>
    </w:p>
    <w:p w14:paraId="3EAA4F5F" w14:textId="0079E262" w:rsidR="004C0E9C" w:rsidRPr="00FA2341" w:rsidRDefault="001B6832" w:rsidP="00C15362">
      <w:pPr>
        <w:adjustRightInd w:val="0"/>
        <w:snapToGrid w:val="0"/>
        <w:spacing w:line="360" w:lineRule="auto"/>
        <w:rPr>
          <w:rFonts w:ascii="SimSun" w:eastAsia="SimSun" w:hAnsi="SimSun" w:cs="SimSun"/>
          <w:kern w:val="0"/>
          <w:sz w:val="20"/>
          <w:szCs w:val="20"/>
          <w:lang w:val="en-AU"/>
        </w:rPr>
      </w:pPr>
      <w:r>
        <w:rPr>
          <w:rFonts w:ascii="Times New Roman" w:eastAsia="Times New Roman" w:hAnsi="Times New Roman" w:cs="Times New Roman"/>
          <w:kern w:val="0"/>
          <w:sz w:val="20"/>
          <w:szCs w:val="20"/>
          <w:lang w:val="en-AU"/>
        </w:rPr>
        <w:t>Two rounds</w:t>
      </w:r>
      <w:r w:rsidR="00AB0766">
        <w:rPr>
          <w:rFonts w:ascii="Times New Roman" w:eastAsia="Times New Roman" w:hAnsi="Times New Roman" w:cs="Times New Roman"/>
          <w:kern w:val="0"/>
          <w:sz w:val="20"/>
          <w:szCs w:val="20"/>
          <w:lang w:val="en-AU"/>
        </w:rPr>
        <w:t xml:space="preserve"> </w:t>
      </w:r>
      <w:r w:rsidR="00FB30EA" w:rsidRPr="4F533E7D">
        <w:rPr>
          <w:rFonts w:ascii="Times New Roman" w:eastAsia="Times New Roman" w:hAnsi="Times New Roman" w:cs="Times New Roman"/>
          <w:sz w:val="20"/>
          <w:szCs w:val="20"/>
          <w:lang w:val="en-AU"/>
        </w:rPr>
        <w:t xml:space="preserve">of </w:t>
      </w:r>
      <w:r w:rsidR="009C08E4">
        <w:rPr>
          <w:rFonts w:ascii="Times New Roman" w:eastAsia="Times New Roman" w:hAnsi="Times New Roman" w:cs="Times New Roman"/>
          <w:kern w:val="0"/>
          <w:sz w:val="20"/>
          <w:szCs w:val="20"/>
          <w:lang w:val="en-AU"/>
        </w:rPr>
        <w:t>ex</w:t>
      </w:r>
      <w:r w:rsidR="00AB0766">
        <w:rPr>
          <w:rFonts w:ascii="Times New Roman" w:eastAsia="Times New Roman" w:hAnsi="Times New Roman" w:cs="Times New Roman"/>
          <w:kern w:val="0"/>
          <w:sz w:val="20"/>
          <w:szCs w:val="20"/>
          <w:lang w:val="en-AU"/>
        </w:rPr>
        <w:t>trac</w:t>
      </w:r>
      <w:r w:rsidR="00262653">
        <w:rPr>
          <w:rFonts w:ascii="Times New Roman" w:eastAsia="Times New Roman" w:hAnsi="Times New Roman" w:cs="Times New Roman"/>
          <w:kern w:val="0"/>
          <w:sz w:val="20"/>
          <w:szCs w:val="20"/>
          <w:lang w:val="en-AU"/>
        </w:rPr>
        <w:t xml:space="preserve">tion </w:t>
      </w:r>
      <w:r w:rsidR="00073848">
        <w:rPr>
          <w:rFonts w:ascii="Times New Roman" w:eastAsia="Times New Roman" w:hAnsi="Times New Roman" w:cs="Times New Roman"/>
          <w:kern w:val="0"/>
          <w:sz w:val="20"/>
          <w:szCs w:val="20"/>
          <w:lang w:val="en-AU"/>
        </w:rPr>
        <w:t xml:space="preserve">were </w:t>
      </w:r>
      <w:r w:rsidR="00262653">
        <w:rPr>
          <w:rFonts w:ascii="Times New Roman" w:eastAsia="Times New Roman" w:hAnsi="Times New Roman" w:cs="Times New Roman"/>
          <w:kern w:val="0"/>
          <w:sz w:val="20"/>
          <w:szCs w:val="20"/>
          <w:lang w:val="en-AU"/>
        </w:rPr>
        <w:t xml:space="preserve">conducted by </w:t>
      </w:r>
      <w:r w:rsidR="0011185D">
        <w:rPr>
          <w:rFonts w:ascii="Times New Roman" w:eastAsia="Times New Roman" w:hAnsi="Times New Roman" w:cs="Times New Roman"/>
          <w:sz w:val="20"/>
          <w:szCs w:val="20"/>
        </w:rPr>
        <w:t>QC</w:t>
      </w:r>
      <w:r w:rsidR="0011185D">
        <w:rPr>
          <w:rFonts w:ascii="Times New Roman" w:eastAsia="Times New Roman" w:hAnsi="Times New Roman" w:cs="Times New Roman"/>
          <w:kern w:val="0"/>
          <w:sz w:val="20"/>
          <w:szCs w:val="20"/>
          <w:lang w:val="en-AU"/>
        </w:rPr>
        <w:t xml:space="preserve"> </w:t>
      </w:r>
      <w:r w:rsidR="00262653">
        <w:rPr>
          <w:rFonts w:ascii="Times New Roman" w:eastAsia="Times New Roman" w:hAnsi="Times New Roman" w:cs="Times New Roman"/>
          <w:kern w:val="0"/>
          <w:sz w:val="20"/>
          <w:szCs w:val="20"/>
          <w:lang w:val="en-AU"/>
        </w:rPr>
        <w:t xml:space="preserve">first and then cross-checked by </w:t>
      </w:r>
      <w:r w:rsidR="008E2DEA">
        <w:rPr>
          <w:rFonts w:ascii="Times New Roman" w:eastAsia="Times New Roman" w:hAnsi="Times New Roman" w:cs="Times New Roman"/>
          <w:kern w:val="0"/>
          <w:sz w:val="20"/>
          <w:szCs w:val="20"/>
          <w:lang w:val="en-AU"/>
        </w:rPr>
        <w:t>XW, YW, YL, YX,</w:t>
      </w:r>
      <w:r w:rsidR="00BA4383">
        <w:rPr>
          <w:rFonts w:ascii="Times New Roman" w:eastAsia="Times New Roman" w:hAnsi="Times New Roman" w:cs="Times New Roman"/>
          <w:kern w:val="0"/>
          <w:sz w:val="20"/>
          <w:szCs w:val="20"/>
          <w:lang w:val="en-AU"/>
        </w:rPr>
        <w:t xml:space="preserve"> JZ, </w:t>
      </w:r>
      <w:r w:rsidR="00073848">
        <w:rPr>
          <w:rFonts w:ascii="Times New Roman" w:eastAsia="Times New Roman" w:hAnsi="Times New Roman" w:cs="Times New Roman"/>
          <w:kern w:val="0"/>
          <w:sz w:val="20"/>
          <w:szCs w:val="20"/>
          <w:lang w:val="en-AU"/>
        </w:rPr>
        <w:t xml:space="preserve">and </w:t>
      </w:r>
      <w:r w:rsidR="00BA4383">
        <w:rPr>
          <w:rFonts w:ascii="Times New Roman" w:eastAsia="Times New Roman" w:hAnsi="Times New Roman" w:cs="Times New Roman"/>
          <w:kern w:val="0"/>
          <w:sz w:val="20"/>
          <w:szCs w:val="20"/>
          <w:lang w:val="en-AU"/>
        </w:rPr>
        <w:t>SZ</w:t>
      </w:r>
      <w:r w:rsidR="00D92DDB">
        <w:rPr>
          <w:rFonts w:ascii="Times New Roman" w:eastAsia="Times New Roman" w:hAnsi="Times New Roman" w:cs="Times New Roman"/>
          <w:kern w:val="0"/>
          <w:sz w:val="20"/>
          <w:szCs w:val="20"/>
          <w:lang w:val="en-AU"/>
        </w:rPr>
        <w:t xml:space="preserve">, </w:t>
      </w:r>
      <w:r w:rsidR="00715534">
        <w:rPr>
          <w:rFonts w:ascii="Times New Roman" w:eastAsia="Times New Roman" w:hAnsi="Times New Roman" w:cs="Times New Roman"/>
          <w:kern w:val="0"/>
          <w:sz w:val="20"/>
          <w:szCs w:val="20"/>
          <w:lang w:val="en-AU"/>
        </w:rPr>
        <w:t>each responsible for abstracting some items of uncertainty.</w:t>
      </w:r>
      <w:r w:rsidR="001739F9">
        <w:rPr>
          <w:rFonts w:ascii="Times New Roman" w:eastAsia="Times New Roman" w:hAnsi="Times New Roman" w:cs="Times New Roman"/>
          <w:kern w:val="0"/>
          <w:sz w:val="20"/>
          <w:szCs w:val="20"/>
          <w:lang w:val="en-AU"/>
        </w:rPr>
        <w:t xml:space="preserve"> </w:t>
      </w:r>
      <w:r w:rsidR="00853F3B">
        <w:rPr>
          <w:rFonts w:ascii="Times New Roman" w:eastAsia="Times New Roman" w:hAnsi="Times New Roman" w:cs="Times New Roman"/>
          <w:kern w:val="0"/>
          <w:sz w:val="20"/>
          <w:szCs w:val="20"/>
          <w:lang w:val="en-AU"/>
        </w:rPr>
        <w:t>W</w:t>
      </w:r>
      <w:r w:rsidR="00F30D6A">
        <w:rPr>
          <w:rFonts w:ascii="Times New Roman" w:eastAsia="Times New Roman" w:hAnsi="Times New Roman" w:cs="Times New Roman"/>
          <w:kern w:val="0"/>
          <w:sz w:val="20"/>
          <w:szCs w:val="20"/>
          <w:lang w:val="en-AU"/>
        </w:rPr>
        <w:t xml:space="preserve">e used </w:t>
      </w:r>
      <w:r w:rsidR="008349B7" w:rsidRPr="008349B7">
        <w:rPr>
          <w:rFonts w:ascii="Times New Roman" w:eastAsia="Times New Roman" w:hAnsi="Times New Roman" w:cs="Times New Roman"/>
          <w:kern w:val="0"/>
          <w:sz w:val="20"/>
          <w:szCs w:val="20"/>
          <w:lang w:val="en-AU"/>
        </w:rPr>
        <w:t>Cohen's kappa</w:t>
      </w:r>
      <w:r w:rsidR="008349B7">
        <w:rPr>
          <w:rFonts w:ascii="Times New Roman" w:eastAsia="Times New Roman" w:hAnsi="Times New Roman" w:cs="Times New Roman"/>
          <w:kern w:val="0"/>
          <w:sz w:val="20"/>
          <w:szCs w:val="20"/>
          <w:lang w:val="en-AU"/>
        </w:rPr>
        <w:t xml:space="preserve"> to assess the agreement between </w:t>
      </w:r>
      <w:r w:rsidR="00D81510">
        <w:rPr>
          <w:rFonts w:ascii="Times New Roman" w:eastAsia="Times New Roman" w:hAnsi="Times New Roman" w:cs="Times New Roman"/>
          <w:kern w:val="0"/>
          <w:sz w:val="20"/>
          <w:szCs w:val="20"/>
          <w:lang w:val="en-AU"/>
        </w:rPr>
        <w:t xml:space="preserve">the </w:t>
      </w:r>
      <w:r w:rsidR="008349B7">
        <w:rPr>
          <w:rFonts w:ascii="Times New Roman" w:eastAsia="Times New Roman" w:hAnsi="Times New Roman" w:cs="Times New Roman"/>
          <w:kern w:val="0"/>
          <w:sz w:val="20"/>
          <w:szCs w:val="20"/>
          <w:lang w:val="en-AU"/>
        </w:rPr>
        <w:t>two reviewers</w:t>
      </w:r>
      <w:r w:rsidR="0076354E">
        <w:rPr>
          <w:rFonts w:ascii="Times New Roman" w:eastAsia="Times New Roman" w:hAnsi="Times New Roman" w:cs="Times New Roman"/>
          <w:kern w:val="0"/>
          <w:sz w:val="20"/>
          <w:szCs w:val="20"/>
          <w:lang w:val="en-AU"/>
        </w:rPr>
        <w:t xml:space="preserve"> for </w:t>
      </w:r>
      <w:r>
        <w:rPr>
          <w:rFonts w:ascii="Times New Roman" w:eastAsia="Times New Roman" w:hAnsi="Times New Roman" w:cs="Times New Roman"/>
          <w:kern w:val="0"/>
          <w:sz w:val="20"/>
          <w:szCs w:val="20"/>
          <w:lang w:val="en-AU"/>
        </w:rPr>
        <w:t>the second round</w:t>
      </w:r>
      <w:r w:rsidR="008349B7">
        <w:rPr>
          <w:rFonts w:ascii="Times New Roman" w:eastAsia="Times New Roman" w:hAnsi="Times New Roman" w:cs="Times New Roman"/>
          <w:kern w:val="0"/>
          <w:sz w:val="20"/>
          <w:szCs w:val="20"/>
          <w:lang w:val="en-AU"/>
        </w:rPr>
        <w:t>.</w:t>
      </w:r>
      <w:r w:rsidR="008349B7" w:rsidRPr="008349B7">
        <w:rPr>
          <w:rFonts w:ascii="Times New Roman" w:eastAsia="Times New Roman" w:hAnsi="Times New Roman" w:cs="Times New Roman"/>
          <w:kern w:val="0"/>
          <w:sz w:val="20"/>
          <w:szCs w:val="20"/>
          <w:lang w:val="en-AU"/>
        </w:rPr>
        <w:t xml:space="preserve"> </w:t>
      </w:r>
      <w:r w:rsidR="005D0130" w:rsidRPr="005D0130">
        <w:rPr>
          <w:rFonts w:ascii="Times New Roman" w:eastAsia="Times New Roman" w:hAnsi="Times New Roman" w:cs="Times New Roman"/>
          <w:kern w:val="0"/>
          <w:sz w:val="20"/>
          <w:szCs w:val="20"/>
          <w:lang w:val="en-AU"/>
        </w:rPr>
        <w:t xml:space="preserve">The degree of agreement was classified as poor for coefficients &lt;0, slight for 0.00-0.2, fair for 0.21-0.4, moderate for 0.41-0.60, substantial for 0.61-0.8, and perfect for 0.81-1.00 </w:t>
      </w:r>
      <w:r w:rsidR="005D0130" w:rsidRPr="005D0130">
        <w:rPr>
          <w:rFonts w:ascii="Times New Roman" w:eastAsia="Times New Roman" w:hAnsi="Times New Roman" w:cs="Times New Roman"/>
          <w:kern w:val="0"/>
          <w:sz w:val="20"/>
          <w:szCs w:val="20"/>
          <w:lang w:val="en-AU"/>
        </w:rPr>
        <w:fldChar w:fldCharType="begin">
          <w:fldData xml:space="preserve">PEVuZE5vdGU+PENpdGU+PEF1dGhvcj5BZGVzPC9BdXRob3I+PFJlY051bT4yPC9SZWNOdW0+PERp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==
</w:fldData>
        </w:fldChar>
      </w:r>
      <w:r w:rsidR="00AD61C8">
        <w:rPr>
          <w:rFonts w:ascii="Times New Roman" w:eastAsia="Times New Roman" w:hAnsi="Times New Roman" w:cs="Times New Roman"/>
          <w:kern w:val="0"/>
          <w:sz w:val="20"/>
          <w:szCs w:val="20"/>
          <w:lang w:val="en-AU"/>
        </w:rPr>
        <w:instrText xml:space="preserve"> ADDIN EN.CITE </w:instrText>
      </w:r>
      <w:r w:rsidR="00AD61C8">
        <w:rPr>
          <w:rFonts w:ascii="Times New Roman" w:eastAsia="Times New Roman" w:hAnsi="Times New Roman" w:cs="Times New Roman"/>
          <w:kern w:val="0"/>
          <w:sz w:val="20"/>
          <w:szCs w:val="20"/>
          <w:lang w:val="en-AU"/>
        </w:rPr>
        <w:fldChar w:fldCharType="begin">
          <w:fldData xml:space="preserve">PEVuZE5vdGU+PENpdGU+PEF1dGhvcj5BZGVzPC9BdXRob3I+PFJlY051bT4yPC9SZWNOdW0+PERp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==
</w:fldData>
        </w:fldChar>
      </w:r>
      <w:r w:rsidR="00AD61C8">
        <w:rPr>
          <w:rFonts w:ascii="Times New Roman" w:eastAsia="Times New Roman" w:hAnsi="Times New Roman" w:cs="Times New Roman"/>
          <w:kern w:val="0"/>
          <w:sz w:val="20"/>
          <w:szCs w:val="20"/>
          <w:lang w:val="en-AU"/>
        </w:rPr>
        <w:instrText xml:space="preserve"> ADDIN EN.CITE.DATA </w:instrText>
      </w:r>
      <w:r w:rsidR="00AD61C8">
        <w:rPr>
          <w:rFonts w:ascii="Times New Roman" w:eastAsia="Times New Roman" w:hAnsi="Times New Roman" w:cs="Times New Roman"/>
          <w:kern w:val="0"/>
          <w:sz w:val="20"/>
          <w:szCs w:val="20"/>
          <w:lang w:val="en-AU"/>
        </w:rPr>
      </w:r>
      <w:r w:rsidR="00AD61C8">
        <w:rPr>
          <w:rFonts w:ascii="Times New Roman" w:eastAsia="Times New Roman" w:hAnsi="Times New Roman" w:cs="Times New Roman"/>
          <w:kern w:val="0"/>
          <w:sz w:val="20"/>
          <w:szCs w:val="20"/>
          <w:lang w:val="en-AU"/>
        </w:rPr>
        <w:fldChar w:fldCharType="end"/>
      </w:r>
      <w:r w:rsidR="005D0130" w:rsidRPr="005D0130">
        <w:rPr>
          <w:rFonts w:ascii="Times New Roman" w:eastAsia="Times New Roman" w:hAnsi="Times New Roman" w:cs="Times New Roman"/>
          <w:kern w:val="0"/>
          <w:sz w:val="20"/>
          <w:szCs w:val="20"/>
          <w:lang w:val="en-AU"/>
        </w:rPr>
      </w:r>
      <w:r w:rsidR="005D0130" w:rsidRPr="005D0130">
        <w:rPr>
          <w:rFonts w:ascii="Times New Roman" w:eastAsia="Times New Roman" w:hAnsi="Times New Roman" w:cs="Times New Roman"/>
          <w:kern w:val="0"/>
          <w:sz w:val="20"/>
          <w:szCs w:val="20"/>
          <w:lang w:val="en-AU"/>
        </w:rPr>
        <w:fldChar w:fldCharType="separate"/>
      </w:r>
      <w:r w:rsidR="00AD61C8">
        <w:rPr>
          <w:rFonts w:ascii="Times New Roman" w:eastAsia="Times New Roman" w:hAnsi="Times New Roman" w:cs="Times New Roman"/>
          <w:noProof/>
          <w:kern w:val="0"/>
          <w:sz w:val="20"/>
          <w:szCs w:val="20"/>
          <w:lang w:val="en-AU"/>
        </w:rPr>
        <w:t>[56]</w:t>
      </w:r>
      <w:r w:rsidR="005D0130" w:rsidRPr="005D0130">
        <w:rPr>
          <w:rFonts w:ascii="Times New Roman" w:eastAsia="Times New Roman" w:hAnsi="Times New Roman" w:cs="Times New Roman"/>
          <w:kern w:val="0"/>
          <w:sz w:val="20"/>
          <w:szCs w:val="20"/>
          <w:lang w:val="en-AU"/>
        </w:rPr>
        <w:fldChar w:fldCharType="end"/>
      </w:r>
      <w:r w:rsidR="005D0130">
        <w:rPr>
          <w:rFonts w:ascii="Times New Roman" w:eastAsia="Times New Roman" w:hAnsi="Times New Roman" w:cs="Times New Roman"/>
          <w:kern w:val="0"/>
          <w:sz w:val="20"/>
          <w:szCs w:val="20"/>
          <w:lang w:val="en-AU"/>
        </w:rPr>
        <w:t xml:space="preserve">. </w:t>
      </w:r>
      <w:r w:rsidR="008349B7" w:rsidRPr="008349B7">
        <w:rPr>
          <w:rFonts w:ascii="Times New Roman" w:eastAsia="Times New Roman" w:hAnsi="Times New Roman" w:cs="Times New Roman"/>
          <w:kern w:val="0"/>
          <w:sz w:val="20"/>
          <w:szCs w:val="20"/>
          <w:lang w:val="en-AU"/>
        </w:rPr>
        <w:t>Cohen's kappa</w:t>
      </w:r>
      <w:r w:rsidR="008349B7">
        <w:rPr>
          <w:rFonts w:ascii="Times New Roman" w:eastAsia="Times New Roman" w:hAnsi="Times New Roman" w:cs="Times New Roman"/>
          <w:kern w:val="0"/>
          <w:sz w:val="20"/>
          <w:szCs w:val="20"/>
          <w:lang w:val="en-AU"/>
        </w:rPr>
        <w:t xml:space="preserve"> </w:t>
      </w:r>
      <w:r w:rsidR="007A6624">
        <w:rPr>
          <w:rFonts w:ascii="Times New Roman" w:eastAsia="Times New Roman" w:hAnsi="Times New Roman" w:cs="Times New Roman"/>
          <w:kern w:val="0"/>
          <w:sz w:val="20"/>
          <w:szCs w:val="20"/>
          <w:lang w:val="en-AU"/>
        </w:rPr>
        <w:t>has been</w:t>
      </w:r>
      <w:r w:rsidR="008349B7">
        <w:rPr>
          <w:rFonts w:ascii="Times New Roman" w:eastAsia="Times New Roman" w:hAnsi="Times New Roman" w:cs="Times New Roman"/>
          <w:kern w:val="0"/>
          <w:sz w:val="20"/>
          <w:szCs w:val="20"/>
          <w:lang w:val="en-AU"/>
        </w:rPr>
        <w:t xml:space="preserve"> widely used in HTA areas to </w:t>
      </w:r>
      <w:r w:rsidR="00FE7567">
        <w:rPr>
          <w:rFonts w:ascii="Times New Roman" w:eastAsia="Times New Roman" w:hAnsi="Times New Roman" w:cs="Times New Roman"/>
          <w:kern w:val="0"/>
          <w:sz w:val="20"/>
          <w:szCs w:val="20"/>
          <w:lang w:val="en-AU"/>
        </w:rPr>
        <w:t xml:space="preserve">compare the </w:t>
      </w:r>
      <w:r w:rsidR="00410621">
        <w:rPr>
          <w:rFonts w:ascii="Times New Roman" w:eastAsia="Times New Roman" w:hAnsi="Times New Roman" w:cs="Times New Roman"/>
          <w:kern w:val="0"/>
          <w:sz w:val="20"/>
          <w:szCs w:val="20"/>
          <w:lang w:val="en-AU"/>
        </w:rPr>
        <w:t xml:space="preserve">divergent </w:t>
      </w:r>
      <w:r w:rsidR="00FE7567">
        <w:rPr>
          <w:rFonts w:ascii="Times New Roman" w:eastAsia="Times New Roman" w:hAnsi="Times New Roman" w:cs="Times New Roman"/>
          <w:kern w:val="0"/>
          <w:sz w:val="20"/>
          <w:szCs w:val="20"/>
          <w:lang w:val="en-AU"/>
        </w:rPr>
        <w:t xml:space="preserve">decisions between different </w:t>
      </w:r>
      <w:r w:rsidR="00890252">
        <w:rPr>
          <w:rFonts w:ascii="Times New Roman" w:eastAsia="Times New Roman" w:hAnsi="Times New Roman" w:cs="Times New Roman"/>
          <w:kern w:val="0"/>
          <w:sz w:val="20"/>
          <w:szCs w:val="20"/>
          <w:lang w:val="en-AU"/>
        </w:rPr>
        <w:t>bodies</w:t>
      </w:r>
      <w:r w:rsidR="00FE7567">
        <w:rPr>
          <w:rFonts w:ascii="Times New Roman" w:eastAsia="Times New Roman" w:hAnsi="Times New Roman" w:cs="Times New Roman"/>
          <w:kern w:val="0"/>
          <w:sz w:val="20"/>
          <w:szCs w:val="20"/>
          <w:lang w:val="en-AU"/>
        </w:rPr>
        <w:t xml:space="preserve"> </w:t>
      </w:r>
      <w:r w:rsidR="00410621">
        <w:rPr>
          <w:rFonts w:ascii="Times New Roman" w:eastAsia="Times New Roman" w:hAnsi="Times New Roman" w:cs="Times New Roman"/>
          <w:kern w:val="0"/>
          <w:sz w:val="20"/>
          <w:szCs w:val="20"/>
          <w:lang w:val="en-AU"/>
        </w:rPr>
        <w:t>on</w:t>
      </w:r>
      <w:r w:rsidR="00FE7567">
        <w:rPr>
          <w:rFonts w:ascii="Times New Roman" w:eastAsia="Times New Roman" w:hAnsi="Times New Roman" w:cs="Times New Roman"/>
          <w:kern w:val="0"/>
          <w:sz w:val="20"/>
          <w:szCs w:val="20"/>
          <w:lang w:val="en-AU"/>
        </w:rPr>
        <w:t xml:space="preserve"> certain issues</w:t>
      </w:r>
      <w:r w:rsidR="008F714E">
        <w:rPr>
          <w:rFonts w:ascii="Times New Roman" w:eastAsia="Times New Roman" w:hAnsi="Times New Roman" w:cs="Times New Roman"/>
          <w:kern w:val="0"/>
          <w:sz w:val="20"/>
          <w:szCs w:val="20"/>
          <w:lang w:val="en-AU"/>
        </w:rPr>
        <w:t xml:space="preserve"> </w:t>
      </w:r>
      <w:r w:rsidR="006626C7">
        <w:rPr>
          <w:rFonts w:ascii="Times New Roman" w:eastAsia="Times New Roman" w:hAnsi="Times New Roman" w:cs="Times New Roman"/>
          <w:kern w:val="0"/>
          <w:sz w:val="20"/>
          <w:szCs w:val="20"/>
          <w:lang w:val="en-AU"/>
        </w:rPr>
        <w:fldChar w:fldCharType="begin">
          <w:fldData xml:space="preserve">PEVuZE5vdGU+PENpdGU+PEF1dGhvcj5EaW50c2lvczwvQXV0aG9yPjxZZWFyPjIwMTk8L1llYXI+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==
</w:fldData>
        </w:fldChar>
      </w:r>
      <w:r w:rsidR="00AD61C8">
        <w:rPr>
          <w:rFonts w:ascii="Times New Roman" w:eastAsia="Times New Roman" w:hAnsi="Times New Roman" w:cs="Times New Roman"/>
          <w:kern w:val="0"/>
          <w:sz w:val="20"/>
          <w:szCs w:val="20"/>
          <w:lang w:val="en-AU"/>
        </w:rPr>
        <w:instrText xml:space="preserve"> ADDIN EN.CITE </w:instrText>
      </w:r>
      <w:r w:rsidR="00AD61C8">
        <w:rPr>
          <w:rFonts w:ascii="Times New Roman" w:eastAsia="Times New Roman" w:hAnsi="Times New Roman" w:cs="Times New Roman"/>
          <w:kern w:val="0"/>
          <w:sz w:val="20"/>
          <w:szCs w:val="20"/>
          <w:lang w:val="en-AU"/>
        </w:rPr>
        <w:fldChar w:fldCharType="begin">
          <w:fldData xml:space="preserve">PEVuZE5vdGU+PENpdGU+PEF1dGhvcj5EaW50c2lvczwvQXV0aG9yPjxZZWFyPjIwMTk8L1llYXI+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==
</w:fldData>
        </w:fldChar>
      </w:r>
      <w:r w:rsidR="00AD61C8">
        <w:rPr>
          <w:rFonts w:ascii="Times New Roman" w:eastAsia="Times New Roman" w:hAnsi="Times New Roman" w:cs="Times New Roman"/>
          <w:kern w:val="0"/>
          <w:sz w:val="20"/>
          <w:szCs w:val="20"/>
          <w:lang w:val="en-AU"/>
        </w:rPr>
        <w:instrText xml:space="preserve"> ADDIN EN.CITE.DATA </w:instrText>
      </w:r>
      <w:r w:rsidR="00AD61C8">
        <w:rPr>
          <w:rFonts w:ascii="Times New Roman" w:eastAsia="Times New Roman" w:hAnsi="Times New Roman" w:cs="Times New Roman"/>
          <w:kern w:val="0"/>
          <w:sz w:val="20"/>
          <w:szCs w:val="20"/>
          <w:lang w:val="en-AU"/>
        </w:rPr>
      </w:r>
      <w:r w:rsidR="00AD61C8">
        <w:rPr>
          <w:rFonts w:ascii="Times New Roman" w:eastAsia="Times New Roman" w:hAnsi="Times New Roman" w:cs="Times New Roman"/>
          <w:kern w:val="0"/>
          <w:sz w:val="20"/>
          <w:szCs w:val="20"/>
          <w:lang w:val="en-AU"/>
        </w:rPr>
        <w:fldChar w:fldCharType="end"/>
      </w:r>
      <w:r w:rsidR="006626C7">
        <w:rPr>
          <w:rFonts w:ascii="Times New Roman" w:eastAsia="Times New Roman" w:hAnsi="Times New Roman" w:cs="Times New Roman"/>
          <w:kern w:val="0"/>
          <w:sz w:val="20"/>
          <w:szCs w:val="20"/>
          <w:lang w:val="en-AU"/>
        </w:rPr>
      </w:r>
      <w:r w:rsidR="006626C7">
        <w:rPr>
          <w:rFonts w:ascii="Times New Roman" w:eastAsia="Times New Roman" w:hAnsi="Times New Roman" w:cs="Times New Roman"/>
          <w:kern w:val="0"/>
          <w:sz w:val="20"/>
          <w:szCs w:val="20"/>
          <w:lang w:val="en-AU"/>
        </w:rPr>
        <w:fldChar w:fldCharType="separate"/>
      </w:r>
      <w:r w:rsidR="00AD61C8">
        <w:rPr>
          <w:rFonts w:ascii="Times New Roman" w:eastAsia="Times New Roman" w:hAnsi="Times New Roman" w:cs="Times New Roman"/>
          <w:noProof/>
          <w:kern w:val="0"/>
          <w:sz w:val="20"/>
          <w:szCs w:val="20"/>
          <w:lang w:val="en-AU"/>
        </w:rPr>
        <w:t>[57-59]</w:t>
      </w:r>
      <w:r w:rsidR="006626C7">
        <w:rPr>
          <w:rFonts w:ascii="Times New Roman" w:eastAsia="Times New Roman" w:hAnsi="Times New Roman" w:cs="Times New Roman"/>
          <w:kern w:val="0"/>
          <w:sz w:val="20"/>
          <w:szCs w:val="20"/>
          <w:lang w:val="en-AU"/>
        </w:rPr>
        <w:fldChar w:fldCharType="end"/>
      </w:r>
      <w:r w:rsidR="00FE7567">
        <w:rPr>
          <w:rFonts w:ascii="Times New Roman" w:eastAsia="Times New Roman" w:hAnsi="Times New Roman" w:cs="Times New Roman"/>
          <w:kern w:val="0"/>
          <w:sz w:val="20"/>
          <w:szCs w:val="20"/>
          <w:lang w:val="en-AU"/>
        </w:rPr>
        <w:t>.</w:t>
      </w:r>
      <w:r w:rsidR="008F0A84">
        <w:rPr>
          <w:rFonts w:ascii="Times New Roman" w:eastAsia="Times New Roman" w:hAnsi="Times New Roman" w:cs="Times New Roman"/>
          <w:kern w:val="0"/>
          <w:sz w:val="20"/>
          <w:szCs w:val="20"/>
          <w:lang w:val="en-AU"/>
        </w:rPr>
        <w:t xml:space="preserve"> </w:t>
      </w:r>
    </w:p>
    <w:p w14:paraId="40458361" w14:textId="0F27C127" w:rsidR="4F533E7D" w:rsidRDefault="4F533E7D" w:rsidP="00C15362">
      <w:pPr>
        <w:adjustRightInd w:val="0"/>
        <w:snapToGrid w:val="0"/>
        <w:spacing w:line="360" w:lineRule="auto"/>
        <w:rPr>
          <w:rFonts w:ascii="Times New Roman" w:eastAsia="Times New Roman" w:hAnsi="Times New Roman" w:cs="Times New Roman"/>
          <w:sz w:val="20"/>
          <w:szCs w:val="20"/>
          <w:lang w:val="en-AU"/>
        </w:rPr>
      </w:pPr>
    </w:p>
    <w:p w14:paraId="21347D37" w14:textId="00952DA2" w:rsidR="00BC1381" w:rsidRPr="005668EA" w:rsidRDefault="008841F8" w:rsidP="00C15362">
      <w:pPr>
        <w:adjustRightInd w:val="0"/>
        <w:snapToGrid w:val="0"/>
        <w:spacing w:line="360" w:lineRule="auto"/>
        <w:jc w:val="center"/>
        <w:rPr>
          <w:rFonts w:ascii="Times New Roman" w:eastAsia="SimSun" w:hAnsi="Times New Roman" w:cs="Times New Roman"/>
          <w:kern w:val="0"/>
          <w:sz w:val="20"/>
          <w:szCs w:val="20"/>
        </w:rPr>
      </w:pPr>
      <w:r w:rsidRPr="005668EA">
        <w:rPr>
          <w:rFonts w:ascii="Times New Roman" w:eastAsia="SimSun" w:hAnsi="Times New Roman" w:cs="Times New Roman"/>
          <w:b/>
          <w:bCs/>
          <w:kern w:val="0"/>
          <w:sz w:val="20"/>
          <w:szCs w:val="20"/>
        </w:rPr>
        <w:t xml:space="preserve">Table </w:t>
      </w:r>
      <w:r w:rsidR="009D4856" w:rsidRPr="005668EA">
        <w:rPr>
          <w:rFonts w:ascii="Times New Roman" w:eastAsia="SimSun" w:hAnsi="Times New Roman" w:cs="Times New Roman"/>
          <w:b/>
          <w:bCs/>
          <w:kern w:val="0"/>
          <w:sz w:val="20"/>
          <w:szCs w:val="20"/>
        </w:rPr>
        <w:t>3-</w:t>
      </w:r>
      <w:r w:rsidR="002D64BF" w:rsidRPr="005668EA">
        <w:rPr>
          <w:rFonts w:ascii="Times New Roman" w:eastAsia="SimSun" w:hAnsi="Times New Roman" w:cs="Times New Roman"/>
          <w:b/>
          <w:bCs/>
          <w:kern w:val="0"/>
          <w:sz w:val="20"/>
          <w:szCs w:val="20"/>
        </w:rPr>
        <w:t>1</w:t>
      </w:r>
      <w:r w:rsidR="00BD341B" w:rsidRPr="005668EA">
        <w:rPr>
          <w:rFonts w:ascii="Times New Roman" w:eastAsia="SimSun" w:hAnsi="Times New Roman" w:cs="Times New Roman"/>
          <w:b/>
          <w:bCs/>
          <w:kern w:val="0"/>
          <w:sz w:val="20"/>
          <w:szCs w:val="20"/>
        </w:rPr>
        <w:t xml:space="preserve"> </w:t>
      </w:r>
      <w:r w:rsidR="00BC1381" w:rsidRPr="005668EA">
        <w:rPr>
          <w:rFonts w:ascii="Times New Roman" w:eastAsia="SimSun" w:hAnsi="Times New Roman" w:cs="Times New Roman"/>
          <w:b/>
          <w:bCs/>
          <w:kern w:val="0"/>
          <w:sz w:val="20"/>
          <w:szCs w:val="20"/>
        </w:rPr>
        <w:t xml:space="preserve">Agreement </w:t>
      </w:r>
      <w:r w:rsidR="094410EE" w:rsidRPr="005668EA">
        <w:rPr>
          <w:rFonts w:ascii="Times New Roman" w:eastAsia="SimSun" w:hAnsi="Times New Roman" w:cs="Times New Roman"/>
          <w:b/>
          <w:bCs/>
          <w:kern w:val="0"/>
          <w:sz w:val="20"/>
          <w:szCs w:val="20"/>
        </w:rPr>
        <w:t xml:space="preserve">between </w:t>
      </w:r>
      <w:r w:rsidR="00BC1381" w:rsidRPr="005668EA">
        <w:rPr>
          <w:rFonts w:ascii="Times New Roman" w:eastAsia="SimSun" w:hAnsi="Times New Roman" w:cs="Times New Roman"/>
          <w:b/>
          <w:bCs/>
          <w:kern w:val="0"/>
          <w:sz w:val="20"/>
          <w:szCs w:val="20"/>
        </w:rPr>
        <w:t>reviewers</w:t>
      </w:r>
    </w:p>
    <w:tbl>
      <w:tblPr>
        <w:tblW w:w="8415" w:type="dxa"/>
        <w:tblInd w:w="90" w:type="dxa"/>
        <w:tblLook w:val="04A0" w:firstRow="1" w:lastRow="0" w:firstColumn="1" w:lastColumn="0" w:noHBand="0" w:noVBand="1"/>
      </w:tblPr>
      <w:tblGrid>
        <w:gridCol w:w="7565"/>
        <w:gridCol w:w="850"/>
      </w:tblGrid>
      <w:tr w:rsidR="00BC1381" w:rsidRPr="003039D5" w14:paraId="13731ECF" w14:textId="77777777" w:rsidTr="003039D5">
        <w:trPr>
          <w:trHeight w:val="240"/>
        </w:trPr>
        <w:tc>
          <w:tcPr>
            <w:tcW w:w="7565" w:type="dxa"/>
            <w:tcBorders>
              <w:top w:val="single" w:sz="4" w:space="0" w:color="auto"/>
              <w:bottom w:val="single" w:sz="4" w:space="0" w:color="auto"/>
            </w:tcBorders>
            <w:shd w:val="clear" w:color="auto" w:fill="D9D9D9" w:themeFill="background1" w:themeFillShade="D9"/>
            <w:vAlign w:val="center"/>
            <w:hideMark/>
          </w:tcPr>
          <w:p w14:paraId="75B46CF6" w14:textId="77777777" w:rsidR="00BC1381" w:rsidRPr="003039D5"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highlight w:val="lightGray"/>
                <w:lang w:val="en-AU"/>
              </w:rPr>
            </w:pPr>
            <w:bookmarkStart w:id="56" w:name="_Hlk158122951"/>
            <w:r w:rsidRPr="003039D5">
              <w:rPr>
                <w:rFonts w:ascii="Times New Roman" w:eastAsia="Times New Roman" w:hAnsi="Times New Roman" w:cs="Times New Roman"/>
                <w:kern w:val="0"/>
                <w:sz w:val="20"/>
                <w:szCs w:val="20"/>
                <w:highlight w:val="lightGray"/>
                <w:lang w:val="en-AU"/>
              </w:rPr>
              <w:t xml:space="preserve">Variables </w:t>
            </w:r>
          </w:p>
        </w:tc>
        <w:tc>
          <w:tcPr>
            <w:tcW w:w="850" w:type="dxa"/>
            <w:tcBorders>
              <w:top w:val="single" w:sz="4" w:space="0" w:color="auto"/>
              <w:bottom w:val="single" w:sz="4" w:space="0" w:color="auto"/>
            </w:tcBorders>
            <w:shd w:val="clear" w:color="auto" w:fill="D9D9D9" w:themeFill="background1" w:themeFillShade="D9"/>
            <w:vAlign w:val="center"/>
            <w:hideMark/>
          </w:tcPr>
          <w:p w14:paraId="25C50C3C" w14:textId="77777777" w:rsidR="00BC1381" w:rsidRPr="003039D5"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highlight w:val="lightGray"/>
                <w:lang w:val="en-AU"/>
              </w:rPr>
            </w:pPr>
            <w:r w:rsidRPr="003039D5">
              <w:rPr>
                <w:rFonts w:ascii="Times New Roman" w:eastAsia="Times New Roman" w:hAnsi="Times New Roman" w:cs="Times New Roman"/>
                <w:kern w:val="0"/>
                <w:sz w:val="20"/>
                <w:szCs w:val="20"/>
                <w:highlight w:val="lightGray"/>
                <w:lang w:val="en-AU"/>
              </w:rPr>
              <w:t xml:space="preserve">Kappa </w:t>
            </w:r>
          </w:p>
        </w:tc>
      </w:tr>
      <w:tr w:rsidR="00BC1381" w:rsidRPr="008F448B" w14:paraId="1D8D7141" w14:textId="77777777" w:rsidTr="4F533E7D">
        <w:trPr>
          <w:trHeight w:val="240"/>
        </w:trPr>
        <w:tc>
          <w:tcPr>
            <w:tcW w:w="8415" w:type="dxa"/>
            <w:gridSpan w:val="2"/>
            <w:tcBorders>
              <w:top w:val="single" w:sz="4" w:space="0" w:color="auto"/>
            </w:tcBorders>
            <w:shd w:val="clear" w:color="auto" w:fill="D9D9D9" w:themeFill="background1" w:themeFillShade="D9"/>
            <w:vAlign w:val="center"/>
          </w:tcPr>
          <w:p w14:paraId="4271A9D7" w14:textId="3E771437"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Un</w:t>
            </w:r>
            <w:r w:rsidR="00230578">
              <w:rPr>
                <w:rFonts w:ascii="Times New Roman" w:eastAsia="Times New Roman" w:hAnsi="Times New Roman" w:cs="Times New Roman"/>
                <w:kern w:val="0"/>
                <w:sz w:val="20"/>
                <w:szCs w:val="20"/>
                <w:lang w:val="en-AU"/>
              </w:rPr>
              <w:t>parameterisable</w:t>
            </w:r>
            <w:r w:rsidRPr="008F448B">
              <w:rPr>
                <w:rFonts w:ascii="Times New Roman" w:eastAsia="Times New Roman" w:hAnsi="Times New Roman" w:cs="Times New Roman"/>
                <w:kern w:val="0"/>
                <w:sz w:val="20"/>
                <w:szCs w:val="20"/>
                <w:lang w:val="en-AU"/>
              </w:rPr>
              <w:t xml:space="preserve"> methodological uncertainty</w:t>
            </w:r>
          </w:p>
        </w:tc>
      </w:tr>
      <w:tr w:rsidR="00BC1381" w:rsidRPr="008F448B" w14:paraId="55ABCEEA" w14:textId="77777777" w:rsidTr="4F533E7D">
        <w:trPr>
          <w:trHeight w:val="240"/>
        </w:trPr>
        <w:tc>
          <w:tcPr>
            <w:tcW w:w="7565" w:type="dxa"/>
            <w:shd w:val="clear" w:color="auto" w:fill="auto"/>
            <w:vAlign w:val="center"/>
          </w:tcPr>
          <w:p w14:paraId="563E7D6A" w14:textId="2FC8D7E7" w:rsidR="00BC1381" w:rsidRPr="008F448B" w:rsidRDefault="00BC1381"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The treatment </w:t>
            </w:r>
            <w:r w:rsidR="00574180">
              <w:rPr>
                <w:rFonts w:ascii="Times New Roman" w:eastAsia="Times New Roman" w:hAnsi="Times New Roman" w:cs="Times New Roman"/>
                <w:kern w:val="0"/>
                <w:sz w:val="20"/>
                <w:szCs w:val="20"/>
                <w:lang w:val="en-AU"/>
              </w:rPr>
              <w:t xml:space="preserve">proposed </w:t>
            </w:r>
            <w:r w:rsidRPr="008F448B">
              <w:rPr>
                <w:rFonts w:ascii="Times New Roman" w:eastAsia="Times New Roman" w:hAnsi="Times New Roman" w:cs="Times New Roman"/>
                <w:kern w:val="0"/>
                <w:sz w:val="20"/>
                <w:szCs w:val="20"/>
                <w:lang w:val="en-AU"/>
              </w:rPr>
              <w:t>was not consistent with the clinical place in therapy, or the restriction listed on the PBS schedule</w:t>
            </w:r>
          </w:p>
        </w:tc>
        <w:tc>
          <w:tcPr>
            <w:tcW w:w="850" w:type="dxa"/>
            <w:shd w:val="clear" w:color="auto" w:fill="auto"/>
            <w:vAlign w:val="center"/>
          </w:tcPr>
          <w:p w14:paraId="365E2B31" w14:textId="61F62D9D"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6D48F1">
              <w:rPr>
                <w:rFonts w:ascii="Times New Roman" w:eastAsia="Times New Roman" w:hAnsi="Times New Roman" w:cs="Times New Roman"/>
                <w:kern w:val="0"/>
                <w:sz w:val="20"/>
                <w:szCs w:val="20"/>
                <w:lang w:val="en-AU"/>
              </w:rPr>
              <w:t>85</w:t>
            </w:r>
          </w:p>
        </w:tc>
      </w:tr>
      <w:tr w:rsidR="00BC1381" w:rsidRPr="008F448B" w14:paraId="18D93A24" w14:textId="77777777" w:rsidTr="4F533E7D">
        <w:trPr>
          <w:trHeight w:val="240"/>
        </w:trPr>
        <w:tc>
          <w:tcPr>
            <w:tcW w:w="7565" w:type="dxa"/>
            <w:shd w:val="clear" w:color="auto" w:fill="auto"/>
            <w:vAlign w:val="center"/>
          </w:tcPr>
          <w:p w14:paraId="3B2DD83A" w14:textId="009EDEDD" w:rsidR="00BC1381" w:rsidRPr="008F448B" w:rsidRDefault="00BC1381"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Comparator</w:t>
            </w:r>
            <w:r w:rsidR="00042721">
              <w:rPr>
                <w:rFonts w:ascii="Times New Roman" w:eastAsia="Times New Roman" w:hAnsi="Times New Roman" w:cs="Times New Roman"/>
                <w:kern w:val="0"/>
                <w:sz w:val="20"/>
                <w:szCs w:val="20"/>
                <w:lang w:val="en-AU"/>
              </w:rPr>
              <w:t>s</w:t>
            </w:r>
            <w:r w:rsidRPr="008F448B">
              <w:rPr>
                <w:rFonts w:ascii="Times New Roman" w:eastAsia="Times New Roman" w:hAnsi="Times New Roman" w:cs="Times New Roman"/>
                <w:kern w:val="0"/>
                <w:sz w:val="20"/>
                <w:szCs w:val="20"/>
                <w:lang w:val="en-AU"/>
              </w:rPr>
              <w:t xml:space="preserve"> w</w:t>
            </w:r>
            <w:r w:rsidR="00042721">
              <w:rPr>
                <w:rFonts w:ascii="Times New Roman" w:eastAsia="Times New Roman" w:hAnsi="Times New Roman" w:cs="Times New Roman"/>
                <w:kern w:val="0"/>
                <w:sz w:val="20"/>
                <w:szCs w:val="20"/>
                <w:lang w:val="en-AU"/>
              </w:rPr>
              <w:t>ere</w:t>
            </w:r>
            <w:r w:rsidRPr="008F448B">
              <w:rPr>
                <w:rFonts w:ascii="Times New Roman" w:eastAsia="Times New Roman" w:hAnsi="Times New Roman" w:cs="Times New Roman"/>
                <w:kern w:val="0"/>
                <w:sz w:val="20"/>
                <w:szCs w:val="20"/>
                <w:lang w:val="en-AU"/>
              </w:rPr>
              <w:t xml:space="preserve"> unacceptable </w:t>
            </w:r>
          </w:p>
        </w:tc>
        <w:tc>
          <w:tcPr>
            <w:tcW w:w="850" w:type="dxa"/>
            <w:shd w:val="clear" w:color="auto" w:fill="auto"/>
            <w:vAlign w:val="center"/>
          </w:tcPr>
          <w:p w14:paraId="68CCEE27" w14:textId="7E50BB7E"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0.9</w:t>
            </w:r>
            <w:r w:rsidR="008732A2">
              <w:rPr>
                <w:rFonts w:ascii="Times New Roman" w:eastAsia="Times New Roman" w:hAnsi="Times New Roman" w:cs="Times New Roman"/>
                <w:kern w:val="0"/>
                <w:sz w:val="20"/>
                <w:szCs w:val="20"/>
                <w:lang w:val="en-AU"/>
              </w:rPr>
              <w:t>3</w:t>
            </w:r>
          </w:p>
        </w:tc>
      </w:tr>
      <w:tr w:rsidR="00BC1381" w:rsidRPr="008F448B" w14:paraId="297664B6" w14:textId="77777777" w:rsidTr="4F533E7D">
        <w:trPr>
          <w:trHeight w:val="240"/>
        </w:trPr>
        <w:tc>
          <w:tcPr>
            <w:tcW w:w="7565" w:type="dxa"/>
            <w:shd w:val="clear" w:color="auto" w:fill="auto"/>
            <w:vAlign w:val="center"/>
          </w:tcPr>
          <w:p w14:paraId="6098471A" w14:textId="4172E989" w:rsidR="00BC1381" w:rsidRPr="008F448B" w:rsidRDefault="00073848"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The p</w:t>
            </w:r>
            <w:r w:rsidRPr="008F448B">
              <w:rPr>
                <w:rFonts w:ascii="Times New Roman" w:eastAsia="Times New Roman" w:hAnsi="Times New Roman" w:cs="Times New Roman"/>
                <w:kern w:val="0"/>
                <w:sz w:val="20"/>
                <w:szCs w:val="20"/>
                <w:lang w:val="en-AU"/>
              </w:rPr>
              <w:t xml:space="preserve">erspective </w:t>
            </w:r>
            <w:r w:rsidR="00BC1381" w:rsidRPr="008F448B">
              <w:rPr>
                <w:rFonts w:ascii="Times New Roman" w:eastAsia="Times New Roman" w:hAnsi="Times New Roman" w:cs="Times New Roman"/>
                <w:kern w:val="0"/>
                <w:sz w:val="20"/>
                <w:szCs w:val="20"/>
                <w:lang w:val="en-AU"/>
              </w:rPr>
              <w:t>of the economic evaluation was not consistent with the guideline</w:t>
            </w:r>
            <w:r w:rsidR="4D9D65BA" w:rsidRPr="008F448B">
              <w:rPr>
                <w:rFonts w:ascii="Times New Roman" w:eastAsia="Times New Roman" w:hAnsi="Times New Roman" w:cs="Times New Roman"/>
                <w:kern w:val="0"/>
                <w:sz w:val="20"/>
                <w:szCs w:val="20"/>
                <w:lang w:val="en-AU"/>
              </w:rPr>
              <w:t>s</w:t>
            </w:r>
            <w:r w:rsidR="00BC1381" w:rsidRPr="008F448B">
              <w:rPr>
                <w:rFonts w:ascii="Times New Roman" w:eastAsia="Times New Roman" w:hAnsi="Times New Roman" w:cs="Times New Roman"/>
                <w:kern w:val="0"/>
                <w:sz w:val="20"/>
                <w:szCs w:val="20"/>
                <w:lang w:val="en-AU"/>
              </w:rPr>
              <w:t xml:space="preserve"> </w:t>
            </w:r>
          </w:p>
        </w:tc>
        <w:tc>
          <w:tcPr>
            <w:tcW w:w="850" w:type="dxa"/>
            <w:shd w:val="clear" w:color="auto" w:fill="auto"/>
            <w:vAlign w:val="center"/>
          </w:tcPr>
          <w:p w14:paraId="4CEC89FC" w14:textId="3C40D586" w:rsidR="00BC1381" w:rsidRPr="008F448B" w:rsidRDefault="000C7460"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0.85</w:t>
            </w:r>
          </w:p>
        </w:tc>
      </w:tr>
      <w:tr w:rsidR="00BC1381" w:rsidRPr="008F448B" w14:paraId="7BCEB636" w14:textId="77777777" w:rsidTr="4F533E7D">
        <w:trPr>
          <w:trHeight w:val="240"/>
        </w:trPr>
        <w:tc>
          <w:tcPr>
            <w:tcW w:w="8415" w:type="dxa"/>
            <w:gridSpan w:val="2"/>
            <w:shd w:val="clear" w:color="auto" w:fill="D9D9D9" w:themeFill="background1" w:themeFillShade="D9"/>
            <w:vAlign w:val="center"/>
          </w:tcPr>
          <w:p w14:paraId="3E025DA1" w14:textId="73E71FF1" w:rsidR="00BC1381" w:rsidRPr="008F448B" w:rsidRDefault="00230578"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Parameterisable</w:t>
            </w:r>
            <w:r w:rsidR="00BC1381" w:rsidRPr="008F448B">
              <w:rPr>
                <w:rFonts w:ascii="Times New Roman" w:eastAsia="Times New Roman" w:hAnsi="Times New Roman" w:cs="Times New Roman"/>
                <w:kern w:val="0"/>
                <w:sz w:val="20"/>
                <w:szCs w:val="20"/>
                <w:lang w:val="en-AU"/>
              </w:rPr>
              <w:t xml:space="preserve"> methodological uncertainty</w:t>
            </w:r>
          </w:p>
        </w:tc>
      </w:tr>
      <w:tr w:rsidR="00BC1381" w:rsidRPr="008F448B" w14:paraId="76E4B8A0" w14:textId="77777777" w:rsidTr="4F533E7D">
        <w:trPr>
          <w:trHeight w:val="240"/>
        </w:trPr>
        <w:tc>
          <w:tcPr>
            <w:tcW w:w="7565" w:type="dxa"/>
            <w:shd w:val="clear" w:color="auto" w:fill="auto"/>
            <w:vAlign w:val="center"/>
          </w:tcPr>
          <w:p w14:paraId="443135D2" w14:textId="77777777" w:rsidR="00BC1381" w:rsidRPr="008F448B" w:rsidRDefault="00BC1381"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Means of valuing health gains </w:t>
            </w:r>
          </w:p>
        </w:tc>
        <w:tc>
          <w:tcPr>
            <w:tcW w:w="850" w:type="dxa"/>
            <w:shd w:val="clear" w:color="auto" w:fill="auto"/>
            <w:vAlign w:val="center"/>
          </w:tcPr>
          <w:p w14:paraId="2EEA8B0A" w14:textId="291DB310"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C04EA9">
              <w:rPr>
                <w:rFonts w:ascii="Times New Roman" w:eastAsia="Times New Roman" w:hAnsi="Times New Roman" w:cs="Times New Roman"/>
                <w:kern w:val="0"/>
                <w:sz w:val="20"/>
                <w:szCs w:val="20"/>
                <w:lang w:val="en-AU"/>
              </w:rPr>
              <w:t>94</w:t>
            </w:r>
          </w:p>
        </w:tc>
      </w:tr>
      <w:tr w:rsidR="00BC1381" w:rsidRPr="008F448B" w14:paraId="0FD0B7A9" w14:textId="77777777" w:rsidTr="4F533E7D">
        <w:trPr>
          <w:trHeight w:val="240"/>
        </w:trPr>
        <w:tc>
          <w:tcPr>
            <w:tcW w:w="7565" w:type="dxa"/>
            <w:shd w:val="clear" w:color="auto" w:fill="auto"/>
            <w:vAlign w:val="center"/>
          </w:tcPr>
          <w:p w14:paraId="3F8BC298" w14:textId="76044E14" w:rsidR="00BC1381" w:rsidRPr="008F448B" w:rsidRDefault="00073848"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The d</w:t>
            </w:r>
            <w:r w:rsidRPr="008F448B">
              <w:rPr>
                <w:rFonts w:ascii="Times New Roman" w:eastAsia="Times New Roman" w:hAnsi="Times New Roman" w:cs="Times New Roman"/>
                <w:kern w:val="0"/>
                <w:sz w:val="20"/>
                <w:szCs w:val="20"/>
                <w:lang w:val="en-AU"/>
              </w:rPr>
              <w:t xml:space="preserve">iscount </w:t>
            </w:r>
            <w:r w:rsidR="00BC1381" w:rsidRPr="008F448B">
              <w:rPr>
                <w:rFonts w:ascii="Times New Roman" w:eastAsia="Times New Roman" w:hAnsi="Times New Roman" w:cs="Times New Roman"/>
                <w:kern w:val="0"/>
                <w:sz w:val="20"/>
                <w:szCs w:val="20"/>
                <w:lang w:val="en-AU"/>
              </w:rPr>
              <w:t>rate was not consistent with the guideline</w:t>
            </w:r>
            <w:r w:rsidR="145DE307">
              <w:rPr>
                <w:rFonts w:ascii="Times New Roman" w:eastAsia="Times New Roman" w:hAnsi="Times New Roman" w:cs="Times New Roman"/>
                <w:kern w:val="0"/>
                <w:sz w:val="20"/>
                <w:szCs w:val="20"/>
                <w:lang w:val="en-AU"/>
              </w:rPr>
              <w:t>s</w:t>
            </w:r>
          </w:p>
        </w:tc>
        <w:tc>
          <w:tcPr>
            <w:tcW w:w="850" w:type="dxa"/>
            <w:shd w:val="clear" w:color="auto" w:fill="auto"/>
            <w:vAlign w:val="center"/>
          </w:tcPr>
          <w:p w14:paraId="6FB50D6B" w14:textId="4181449F"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1.00</w:t>
            </w:r>
          </w:p>
        </w:tc>
      </w:tr>
      <w:tr w:rsidR="00BC1381" w:rsidRPr="008F448B" w14:paraId="2AF675FE" w14:textId="77777777" w:rsidTr="4F533E7D">
        <w:trPr>
          <w:trHeight w:val="240"/>
        </w:trPr>
        <w:tc>
          <w:tcPr>
            <w:tcW w:w="8415" w:type="dxa"/>
            <w:gridSpan w:val="2"/>
            <w:shd w:val="clear" w:color="auto" w:fill="D9D9D9" w:themeFill="background1" w:themeFillShade="D9"/>
            <w:vAlign w:val="center"/>
          </w:tcPr>
          <w:p w14:paraId="5522968D" w14:textId="08732BD5"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Un</w:t>
            </w:r>
            <w:r w:rsidR="00230578">
              <w:rPr>
                <w:rFonts w:ascii="Times New Roman" w:eastAsia="Times New Roman" w:hAnsi="Times New Roman" w:cs="Times New Roman"/>
                <w:kern w:val="0"/>
                <w:sz w:val="20"/>
                <w:szCs w:val="20"/>
                <w:lang w:val="en-AU"/>
              </w:rPr>
              <w:t>parameterisable</w:t>
            </w:r>
            <w:r w:rsidRPr="008F448B">
              <w:rPr>
                <w:rFonts w:ascii="Times New Roman" w:eastAsia="Times New Roman" w:hAnsi="Times New Roman" w:cs="Times New Roman"/>
                <w:kern w:val="0"/>
                <w:sz w:val="20"/>
                <w:szCs w:val="20"/>
                <w:lang w:val="en-AU"/>
              </w:rPr>
              <w:t xml:space="preserve"> structural uncertainty</w:t>
            </w:r>
          </w:p>
        </w:tc>
      </w:tr>
      <w:tr w:rsidR="00BC1381" w:rsidRPr="008F448B" w14:paraId="3C89409A" w14:textId="77777777" w:rsidTr="4F533E7D">
        <w:trPr>
          <w:trHeight w:val="240"/>
        </w:trPr>
        <w:tc>
          <w:tcPr>
            <w:tcW w:w="7565" w:type="dxa"/>
            <w:shd w:val="clear" w:color="auto" w:fill="auto"/>
            <w:vAlign w:val="center"/>
          </w:tcPr>
          <w:p w14:paraId="4C1951C9" w14:textId="48885B7C" w:rsidR="00BC1381" w:rsidRPr="008F448B" w:rsidRDefault="00574180"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Uncertainty around h</w:t>
            </w:r>
            <w:r w:rsidR="00BC1381" w:rsidRPr="008F448B">
              <w:rPr>
                <w:rFonts w:ascii="Times New Roman" w:eastAsia="Times New Roman" w:hAnsi="Times New Roman" w:cs="Times New Roman"/>
                <w:kern w:val="0"/>
                <w:sz w:val="20"/>
                <w:szCs w:val="20"/>
                <w:lang w:val="en-AU"/>
              </w:rPr>
              <w:t xml:space="preserve">ealth states </w:t>
            </w:r>
          </w:p>
        </w:tc>
        <w:tc>
          <w:tcPr>
            <w:tcW w:w="850" w:type="dxa"/>
            <w:shd w:val="clear" w:color="auto" w:fill="auto"/>
            <w:vAlign w:val="center"/>
          </w:tcPr>
          <w:p w14:paraId="026374EC" w14:textId="32976183"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0C7460" w:rsidRPr="008F448B">
              <w:rPr>
                <w:rFonts w:ascii="Times New Roman" w:eastAsia="Times New Roman" w:hAnsi="Times New Roman" w:cs="Times New Roman"/>
                <w:kern w:val="0"/>
                <w:sz w:val="20"/>
                <w:szCs w:val="20"/>
                <w:lang w:val="en-AU"/>
              </w:rPr>
              <w:t>9</w:t>
            </w:r>
            <w:r w:rsidR="000C7460">
              <w:rPr>
                <w:rFonts w:ascii="Times New Roman" w:eastAsia="Times New Roman" w:hAnsi="Times New Roman" w:cs="Times New Roman"/>
                <w:kern w:val="0"/>
                <w:sz w:val="20"/>
                <w:szCs w:val="20"/>
                <w:lang w:val="en-AU"/>
              </w:rPr>
              <w:t>6</w:t>
            </w:r>
          </w:p>
        </w:tc>
      </w:tr>
      <w:tr w:rsidR="00BC1381" w:rsidRPr="008F448B" w14:paraId="12B18CC6" w14:textId="77777777" w:rsidTr="4F533E7D">
        <w:trPr>
          <w:trHeight w:val="240"/>
        </w:trPr>
        <w:tc>
          <w:tcPr>
            <w:tcW w:w="7565" w:type="dxa"/>
            <w:shd w:val="clear" w:color="auto" w:fill="auto"/>
          </w:tcPr>
          <w:p w14:paraId="788016A1" w14:textId="1267BA56" w:rsidR="00BC1381" w:rsidRPr="008F448B" w:rsidRDefault="000745D1"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 xml:space="preserve">Uncertainty around </w:t>
            </w:r>
            <w:r w:rsidR="00073848">
              <w:rPr>
                <w:rFonts w:ascii="Times New Roman" w:eastAsia="Times New Roman" w:hAnsi="Times New Roman" w:cs="Times New Roman"/>
                <w:kern w:val="0"/>
                <w:sz w:val="20"/>
                <w:szCs w:val="20"/>
                <w:lang w:val="en-AU"/>
              </w:rPr>
              <w:t xml:space="preserve">the </w:t>
            </w:r>
            <w:r w:rsidR="00BC1381" w:rsidRPr="008F448B">
              <w:rPr>
                <w:rFonts w:ascii="Times New Roman" w:eastAsia="Times New Roman" w:hAnsi="Times New Roman" w:cs="Times New Roman"/>
                <w:kern w:val="0"/>
                <w:sz w:val="20"/>
                <w:szCs w:val="20"/>
                <w:lang w:val="en-AU"/>
              </w:rPr>
              <w:t>transition of patients between health states</w:t>
            </w:r>
          </w:p>
        </w:tc>
        <w:tc>
          <w:tcPr>
            <w:tcW w:w="850" w:type="dxa"/>
            <w:shd w:val="clear" w:color="auto" w:fill="auto"/>
            <w:vAlign w:val="center"/>
          </w:tcPr>
          <w:p w14:paraId="64F128A7" w14:textId="77777777"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p>
        </w:tc>
      </w:tr>
      <w:tr w:rsidR="00BC1381" w:rsidRPr="008F448B" w14:paraId="44B77847" w14:textId="77777777" w:rsidTr="4F533E7D">
        <w:trPr>
          <w:trHeight w:val="240"/>
        </w:trPr>
        <w:tc>
          <w:tcPr>
            <w:tcW w:w="7565" w:type="dxa"/>
            <w:shd w:val="clear" w:color="auto" w:fill="auto"/>
            <w:vAlign w:val="center"/>
          </w:tcPr>
          <w:p w14:paraId="4072564E" w14:textId="52A9D281" w:rsidR="00BC1381" w:rsidRPr="008F448B" w:rsidRDefault="00BC1381" w:rsidP="00C15362">
            <w:pPr>
              <w:widowControl/>
              <w:adjustRightInd w:val="0"/>
              <w:snapToGrid w:val="0"/>
              <w:spacing w:line="360" w:lineRule="auto"/>
              <w:ind w:left="567"/>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Invalid surrogate relationship between surrogate outcome and endpoint</w:t>
            </w:r>
          </w:p>
        </w:tc>
        <w:tc>
          <w:tcPr>
            <w:tcW w:w="850" w:type="dxa"/>
            <w:shd w:val="clear" w:color="auto" w:fill="auto"/>
            <w:vAlign w:val="center"/>
          </w:tcPr>
          <w:p w14:paraId="7D65C806" w14:textId="01B924B9"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0.8</w:t>
            </w:r>
            <w:r w:rsidR="00D855D9">
              <w:rPr>
                <w:rFonts w:ascii="Times New Roman" w:eastAsia="Times New Roman" w:hAnsi="Times New Roman" w:cs="Times New Roman"/>
                <w:kern w:val="0"/>
                <w:sz w:val="20"/>
                <w:szCs w:val="20"/>
                <w:lang w:val="en-AU"/>
              </w:rPr>
              <w:t>0</w:t>
            </w:r>
          </w:p>
        </w:tc>
      </w:tr>
      <w:tr w:rsidR="00BC1381" w:rsidRPr="008F448B" w14:paraId="3AD527B3" w14:textId="77777777" w:rsidTr="4F533E7D">
        <w:trPr>
          <w:trHeight w:val="60"/>
        </w:trPr>
        <w:tc>
          <w:tcPr>
            <w:tcW w:w="7565" w:type="dxa"/>
            <w:shd w:val="clear" w:color="auto" w:fill="auto"/>
            <w:vAlign w:val="center"/>
          </w:tcPr>
          <w:p w14:paraId="4D8E1D6D" w14:textId="4F696C61" w:rsidR="00BC1381" w:rsidRPr="008F448B" w:rsidRDefault="1A2B7658" w:rsidP="00C15362">
            <w:pPr>
              <w:widowControl/>
              <w:adjustRightInd w:val="0"/>
              <w:snapToGrid w:val="0"/>
              <w:spacing w:line="360" w:lineRule="auto"/>
              <w:ind w:left="567"/>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Un</w:t>
            </w:r>
            <w:r w:rsidR="00BC1381" w:rsidRPr="008F448B">
              <w:rPr>
                <w:rFonts w:ascii="Times New Roman" w:eastAsia="Times New Roman" w:hAnsi="Times New Roman" w:cs="Times New Roman"/>
                <w:kern w:val="0"/>
                <w:sz w:val="20"/>
                <w:szCs w:val="20"/>
                <w:lang w:val="en-AU"/>
              </w:rPr>
              <w:t>justified assumption on the direction of frequency of patient</w:t>
            </w:r>
            <w:r w:rsidR="00073848">
              <w:rPr>
                <w:rFonts w:ascii="Times New Roman" w:eastAsia="Times New Roman" w:hAnsi="Times New Roman" w:cs="Times New Roman"/>
                <w:kern w:val="0"/>
                <w:sz w:val="20"/>
                <w:szCs w:val="20"/>
                <w:lang w:val="en-AU"/>
              </w:rPr>
              <w:t>'</w:t>
            </w:r>
            <w:r w:rsidR="00BC1381" w:rsidRPr="008F448B">
              <w:rPr>
                <w:rFonts w:ascii="Times New Roman" w:eastAsia="Times New Roman" w:hAnsi="Times New Roman" w:cs="Times New Roman"/>
                <w:kern w:val="0"/>
                <w:sz w:val="20"/>
                <w:szCs w:val="20"/>
                <w:lang w:val="en-AU"/>
              </w:rPr>
              <w:t>s transition between health states</w:t>
            </w:r>
          </w:p>
        </w:tc>
        <w:tc>
          <w:tcPr>
            <w:tcW w:w="850" w:type="dxa"/>
            <w:shd w:val="clear" w:color="auto" w:fill="auto"/>
            <w:noWrap/>
            <w:vAlign w:val="center"/>
          </w:tcPr>
          <w:p w14:paraId="600BAC12" w14:textId="30075DA2"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0.7</w:t>
            </w:r>
            <w:r w:rsidR="000C7460">
              <w:rPr>
                <w:rFonts w:ascii="Times New Roman" w:eastAsia="Times New Roman" w:hAnsi="Times New Roman" w:cs="Times New Roman"/>
                <w:kern w:val="0"/>
                <w:sz w:val="20"/>
                <w:szCs w:val="20"/>
                <w:lang w:val="en-AU"/>
              </w:rPr>
              <w:t>0</w:t>
            </w:r>
          </w:p>
        </w:tc>
      </w:tr>
      <w:tr w:rsidR="00BC1381" w:rsidRPr="008F448B" w14:paraId="41702240" w14:textId="77777777" w:rsidTr="4F533E7D">
        <w:trPr>
          <w:trHeight w:val="240"/>
        </w:trPr>
        <w:tc>
          <w:tcPr>
            <w:tcW w:w="7565" w:type="dxa"/>
            <w:shd w:val="clear" w:color="auto" w:fill="D9D9D9" w:themeFill="background1" w:themeFillShade="D9"/>
            <w:vAlign w:val="center"/>
            <w:hideMark/>
          </w:tcPr>
          <w:p w14:paraId="1E60CCDB" w14:textId="56B27B5C" w:rsidR="00BC1381" w:rsidRPr="008F448B" w:rsidRDefault="00230578"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Parameterisable</w:t>
            </w:r>
            <w:r w:rsidR="00BC1381" w:rsidRPr="008F448B">
              <w:rPr>
                <w:rFonts w:ascii="Times New Roman" w:eastAsia="Times New Roman" w:hAnsi="Times New Roman" w:cs="Times New Roman"/>
                <w:kern w:val="0"/>
                <w:sz w:val="20"/>
                <w:szCs w:val="20"/>
                <w:lang w:val="en-AU"/>
              </w:rPr>
              <w:t xml:space="preserve"> structural uncertainty</w:t>
            </w:r>
          </w:p>
        </w:tc>
        <w:tc>
          <w:tcPr>
            <w:tcW w:w="850" w:type="dxa"/>
            <w:shd w:val="clear" w:color="auto" w:fill="D9D9D9" w:themeFill="background1" w:themeFillShade="D9"/>
            <w:noWrap/>
            <w:vAlign w:val="center"/>
            <w:hideMark/>
          </w:tcPr>
          <w:p w14:paraId="029FA456" w14:textId="77777777"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p>
        </w:tc>
      </w:tr>
      <w:tr w:rsidR="00BC1381" w:rsidRPr="008F448B" w14:paraId="2328E295" w14:textId="77777777" w:rsidTr="4F533E7D">
        <w:trPr>
          <w:trHeight w:val="240"/>
        </w:trPr>
        <w:tc>
          <w:tcPr>
            <w:tcW w:w="7565" w:type="dxa"/>
            <w:shd w:val="clear" w:color="auto" w:fill="auto"/>
            <w:vAlign w:val="center"/>
          </w:tcPr>
          <w:p w14:paraId="05DED523" w14:textId="77777777" w:rsidR="00BC1381" w:rsidRPr="008F448B" w:rsidRDefault="00BC1381"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Uncertainty around extrapolation</w:t>
            </w:r>
          </w:p>
        </w:tc>
        <w:tc>
          <w:tcPr>
            <w:tcW w:w="850" w:type="dxa"/>
            <w:shd w:val="clear" w:color="auto" w:fill="auto"/>
            <w:noWrap/>
            <w:vAlign w:val="center"/>
          </w:tcPr>
          <w:p w14:paraId="50A348B3" w14:textId="6982CB21"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0.8</w:t>
            </w:r>
            <w:r w:rsidR="00513DBB">
              <w:rPr>
                <w:rFonts w:ascii="Times New Roman" w:eastAsia="Times New Roman" w:hAnsi="Times New Roman" w:cs="Times New Roman"/>
                <w:kern w:val="0"/>
                <w:sz w:val="20"/>
                <w:szCs w:val="20"/>
                <w:lang w:val="en-AU"/>
              </w:rPr>
              <w:t>5</w:t>
            </w:r>
          </w:p>
        </w:tc>
      </w:tr>
      <w:tr w:rsidR="00BC1381" w:rsidRPr="008F448B" w14:paraId="22CE290B" w14:textId="77777777" w:rsidTr="4F533E7D">
        <w:trPr>
          <w:trHeight w:val="240"/>
        </w:trPr>
        <w:tc>
          <w:tcPr>
            <w:tcW w:w="7565" w:type="dxa"/>
            <w:shd w:val="clear" w:color="auto" w:fill="auto"/>
            <w:vAlign w:val="center"/>
            <w:hideMark/>
          </w:tcPr>
          <w:p w14:paraId="728922A7" w14:textId="77777777" w:rsidR="00BC1381" w:rsidRPr="008F448B" w:rsidRDefault="00BC1381" w:rsidP="00C15362">
            <w:pPr>
              <w:widowControl/>
              <w:adjustRightInd w:val="0"/>
              <w:snapToGrid w:val="0"/>
              <w:spacing w:line="360" w:lineRule="auto"/>
              <w:ind w:left="567"/>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Inappropriate time horizon</w:t>
            </w:r>
          </w:p>
        </w:tc>
        <w:tc>
          <w:tcPr>
            <w:tcW w:w="850" w:type="dxa"/>
            <w:shd w:val="clear" w:color="auto" w:fill="auto"/>
            <w:noWrap/>
            <w:vAlign w:val="center"/>
            <w:hideMark/>
          </w:tcPr>
          <w:p w14:paraId="1203472C" w14:textId="71D432FF"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0.9</w:t>
            </w:r>
            <w:r w:rsidR="00513DBB">
              <w:rPr>
                <w:rFonts w:ascii="Times New Roman" w:eastAsia="Times New Roman" w:hAnsi="Times New Roman" w:cs="Times New Roman"/>
                <w:kern w:val="0"/>
                <w:sz w:val="20"/>
                <w:szCs w:val="20"/>
                <w:lang w:val="en-AU"/>
              </w:rPr>
              <w:t>5</w:t>
            </w:r>
          </w:p>
        </w:tc>
      </w:tr>
      <w:tr w:rsidR="00BC1381" w:rsidRPr="008F448B" w14:paraId="42EF8E31" w14:textId="77777777" w:rsidTr="4F533E7D">
        <w:trPr>
          <w:trHeight w:val="240"/>
        </w:trPr>
        <w:tc>
          <w:tcPr>
            <w:tcW w:w="7565" w:type="dxa"/>
            <w:shd w:val="clear" w:color="auto" w:fill="auto"/>
            <w:vAlign w:val="center"/>
          </w:tcPr>
          <w:p w14:paraId="5A095E77" w14:textId="0F956C34" w:rsidR="00BC1381" w:rsidRPr="008F448B" w:rsidRDefault="217D0B3F" w:rsidP="00C15362">
            <w:pPr>
              <w:widowControl/>
              <w:adjustRightInd w:val="0"/>
              <w:snapToGrid w:val="0"/>
              <w:spacing w:line="360" w:lineRule="auto"/>
              <w:ind w:left="567"/>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rPr>
              <w:t>Unjustified</w:t>
            </w:r>
            <w:r w:rsidR="00BC1381" w:rsidRPr="008F448B">
              <w:rPr>
                <w:rFonts w:ascii="Times New Roman" w:eastAsia="Times New Roman" w:hAnsi="Times New Roman" w:cs="Times New Roman"/>
                <w:kern w:val="0"/>
                <w:sz w:val="20"/>
                <w:szCs w:val="20"/>
                <w:lang w:val="en-AU"/>
              </w:rPr>
              <w:t xml:space="preserve"> relationship between time and transition probabilities or treatment effect</w:t>
            </w:r>
          </w:p>
        </w:tc>
        <w:tc>
          <w:tcPr>
            <w:tcW w:w="850" w:type="dxa"/>
            <w:shd w:val="clear" w:color="auto" w:fill="auto"/>
            <w:noWrap/>
            <w:vAlign w:val="center"/>
          </w:tcPr>
          <w:p w14:paraId="3479E268" w14:textId="6C248A69"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275F09">
              <w:rPr>
                <w:rFonts w:ascii="Times New Roman" w:eastAsia="Times New Roman" w:hAnsi="Times New Roman" w:cs="Times New Roman"/>
                <w:kern w:val="0"/>
                <w:sz w:val="20"/>
                <w:szCs w:val="20"/>
                <w:lang w:val="en-AU"/>
              </w:rPr>
              <w:t>88</w:t>
            </w:r>
          </w:p>
        </w:tc>
      </w:tr>
      <w:tr w:rsidR="00BC1381" w:rsidRPr="008F448B" w14:paraId="739B4039" w14:textId="77777777" w:rsidTr="4F533E7D">
        <w:trPr>
          <w:trHeight w:val="240"/>
        </w:trPr>
        <w:tc>
          <w:tcPr>
            <w:tcW w:w="7565" w:type="dxa"/>
            <w:shd w:val="clear" w:color="auto" w:fill="auto"/>
            <w:vAlign w:val="center"/>
            <w:hideMark/>
          </w:tcPr>
          <w:p w14:paraId="7B2EC28B" w14:textId="1E34583E" w:rsidR="00BC1381" w:rsidRPr="008F448B" w:rsidRDefault="00BC1381" w:rsidP="00C15362">
            <w:pPr>
              <w:widowControl/>
              <w:adjustRightInd w:val="0"/>
              <w:snapToGrid w:val="0"/>
              <w:spacing w:line="360" w:lineRule="auto"/>
              <w:ind w:left="567"/>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Uncertainty in </w:t>
            </w:r>
            <w:r w:rsidR="2C7E42D2">
              <w:rPr>
                <w:rFonts w:ascii="Times New Roman" w:eastAsia="Times New Roman" w:hAnsi="Times New Roman" w:cs="Times New Roman"/>
                <w:kern w:val="0"/>
                <w:sz w:val="20"/>
                <w:szCs w:val="20"/>
                <w:lang w:val="en-AU"/>
              </w:rPr>
              <w:t xml:space="preserve">the </w:t>
            </w:r>
            <w:r w:rsidRPr="008F448B">
              <w:rPr>
                <w:rFonts w:ascii="Times New Roman" w:eastAsia="Times New Roman" w:hAnsi="Times New Roman" w:cs="Times New Roman"/>
                <w:kern w:val="0"/>
                <w:sz w:val="20"/>
                <w:szCs w:val="20"/>
                <w:lang w:val="en-AU"/>
              </w:rPr>
              <w:t xml:space="preserve">choice of parametric survival </w:t>
            </w:r>
            <w:r w:rsidR="731C81F3" w:rsidRPr="008F448B">
              <w:rPr>
                <w:rFonts w:ascii="Times New Roman" w:eastAsia="Times New Roman" w:hAnsi="Times New Roman" w:cs="Times New Roman"/>
                <w:kern w:val="0"/>
                <w:sz w:val="20"/>
                <w:szCs w:val="20"/>
                <w:lang w:val="en-AU"/>
              </w:rPr>
              <w:t>function</w:t>
            </w:r>
          </w:p>
        </w:tc>
        <w:tc>
          <w:tcPr>
            <w:tcW w:w="850" w:type="dxa"/>
            <w:shd w:val="clear" w:color="auto" w:fill="auto"/>
            <w:noWrap/>
            <w:vAlign w:val="center"/>
            <w:hideMark/>
          </w:tcPr>
          <w:p w14:paraId="4BEA390B" w14:textId="2BDF8FC0" w:rsidR="00BC1381" w:rsidRPr="008F448B" w:rsidRDefault="00BC138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0.9</w:t>
            </w:r>
            <w:r w:rsidR="003E3D6F">
              <w:rPr>
                <w:rFonts w:ascii="Times New Roman" w:eastAsia="Times New Roman" w:hAnsi="Times New Roman" w:cs="Times New Roman"/>
                <w:kern w:val="0"/>
                <w:sz w:val="20"/>
                <w:szCs w:val="20"/>
                <w:lang w:val="en-AU"/>
              </w:rPr>
              <w:t>7</w:t>
            </w:r>
          </w:p>
        </w:tc>
      </w:tr>
      <w:tr w:rsidR="00766442" w:rsidRPr="00766442" w14:paraId="0E466CA5" w14:textId="77777777" w:rsidTr="4F533E7D">
        <w:trPr>
          <w:trHeight w:val="240"/>
        </w:trPr>
        <w:tc>
          <w:tcPr>
            <w:tcW w:w="7565" w:type="dxa"/>
            <w:shd w:val="clear" w:color="auto" w:fill="D9D9D9" w:themeFill="background1" w:themeFillShade="D9"/>
            <w:vAlign w:val="center"/>
          </w:tcPr>
          <w:p w14:paraId="69BBF211" w14:textId="5BB824C6" w:rsidR="00766442" w:rsidRPr="008F448B" w:rsidRDefault="00CA08D1"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Pr>
                <w:rFonts w:ascii="Times New Roman" w:eastAsia="Times New Roman" w:hAnsi="Times New Roman" w:cs="Times New Roman"/>
                <w:kern w:val="0"/>
                <w:sz w:val="20"/>
                <w:szCs w:val="20"/>
                <w:lang w:val="en-AU"/>
              </w:rPr>
              <w:t>Generalisability</w:t>
            </w:r>
            <w:r w:rsidR="00A712D9">
              <w:rPr>
                <w:rFonts w:ascii="Times New Roman" w:eastAsia="Times New Roman" w:hAnsi="Times New Roman" w:cs="Times New Roman"/>
                <w:kern w:val="0"/>
                <w:sz w:val="20"/>
                <w:szCs w:val="20"/>
                <w:lang w:val="en-AU"/>
              </w:rPr>
              <w:t xml:space="preserve"> </w:t>
            </w:r>
            <w:r w:rsidR="00A712D9" w:rsidRPr="008F448B">
              <w:rPr>
                <w:rFonts w:ascii="Times New Roman" w:eastAsia="Times New Roman" w:hAnsi="Times New Roman" w:cs="Times New Roman"/>
                <w:kern w:val="0"/>
                <w:sz w:val="20"/>
                <w:szCs w:val="20"/>
                <w:lang w:val="en-AU"/>
              </w:rPr>
              <w:t>uncertainty</w:t>
            </w:r>
          </w:p>
        </w:tc>
        <w:tc>
          <w:tcPr>
            <w:tcW w:w="850" w:type="dxa"/>
            <w:shd w:val="clear" w:color="auto" w:fill="D9D9D9" w:themeFill="background1" w:themeFillShade="D9"/>
            <w:noWrap/>
            <w:vAlign w:val="center"/>
          </w:tcPr>
          <w:p w14:paraId="6A425868" w14:textId="6F7F7F67" w:rsidR="00766442" w:rsidRPr="008F448B" w:rsidRDefault="00766442"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0C7460">
              <w:rPr>
                <w:rFonts w:ascii="Times New Roman" w:eastAsia="Times New Roman" w:hAnsi="Times New Roman" w:cs="Times New Roman"/>
                <w:kern w:val="0"/>
                <w:sz w:val="20"/>
                <w:szCs w:val="20"/>
                <w:lang w:val="en-AU"/>
              </w:rPr>
              <w:t>71</w:t>
            </w:r>
          </w:p>
        </w:tc>
      </w:tr>
      <w:tr w:rsidR="00766442" w:rsidRPr="008F448B" w14:paraId="442BE66E" w14:textId="77777777" w:rsidTr="4F533E7D">
        <w:trPr>
          <w:trHeight w:val="60"/>
        </w:trPr>
        <w:tc>
          <w:tcPr>
            <w:tcW w:w="8415" w:type="dxa"/>
            <w:gridSpan w:val="2"/>
            <w:shd w:val="clear" w:color="auto" w:fill="D9D9D9" w:themeFill="background1" w:themeFillShade="D9"/>
            <w:vAlign w:val="center"/>
          </w:tcPr>
          <w:p w14:paraId="25FBB3C2" w14:textId="77777777" w:rsidR="00766442" w:rsidRPr="008F448B" w:rsidRDefault="00766442"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Parameter uncertainty </w:t>
            </w:r>
          </w:p>
        </w:tc>
      </w:tr>
      <w:tr w:rsidR="00766442" w:rsidRPr="008F448B" w14:paraId="219D614F" w14:textId="77777777" w:rsidTr="4F533E7D">
        <w:trPr>
          <w:trHeight w:val="240"/>
        </w:trPr>
        <w:tc>
          <w:tcPr>
            <w:tcW w:w="7565" w:type="dxa"/>
            <w:shd w:val="clear" w:color="auto" w:fill="auto"/>
            <w:vAlign w:val="center"/>
          </w:tcPr>
          <w:p w14:paraId="6333D257" w14:textId="77777777" w:rsidR="00766442" w:rsidRPr="008F448B" w:rsidRDefault="00766442"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Uncertainty around clinical effectiveness </w:t>
            </w:r>
          </w:p>
        </w:tc>
        <w:tc>
          <w:tcPr>
            <w:tcW w:w="850" w:type="dxa"/>
            <w:shd w:val="clear" w:color="auto" w:fill="auto"/>
            <w:noWrap/>
            <w:vAlign w:val="center"/>
          </w:tcPr>
          <w:p w14:paraId="56193F47" w14:textId="15CB9DCF" w:rsidR="00766442" w:rsidRPr="008F448B" w:rsidRDefault="00766442"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0C7460" w:rsidRPr="008F448B">
              <w:rPr>
                <w:rFonts w:ascii="Times New Roman" w:eastAsia="Times New Roman" w:hAnsi="Times New Roman" w:cs="Times New Roman"/>
                <w:kern w:val="0"/>
                <w:sz w:val="20"/>
                <w:szCs w:val="20"/>
                <w:lang w:val="en-AU"/>
              </w:rPr>
              <w:t>9</w:t>
            </w:r>
            <w:r w:rsidR="000C7460">
              <w:rPr>
                <w:rFonts w:ascii="Times New Roman" w:eastAsia="Times New Roman" w:hAnsi="Times New Roman" w:cs="Times New Roman"/>
                <w:kern w:val="0"/>
                <w:sz w:val="20"/>
                <w:szCs w:val="20"/>
                <w:lang w:val="en-AU"/>
              </w:rPr>
              <w:t>1</w:t>
            </w:r>
          </w:p>
        </w:tc>
      </w:tr>
      <w:tr w:rsidR="00766442" w:rsidRPr="008F448B" w14:paraId="4CF38097" w14:textId="77777777" w:rsidTr="4F533E7D">
        <w:trPr>
          <w:trHeight w:val="240"/>
        </w:trPr>
        <w:tc>
          <w:tcPr>
            <w:tcW w:w="7565" w:type="dxa"/>
            <w:shd w:val="clear" w:color="auto" w:fill="auto"/>
            <w:vAlign w:val="center"/>
          </w:tcPr>
          <w:p w14:paraId="2DAAD75C" w14:textId="0885A44A" w:rsidR="00766442" w:rsidRPr="008F448B" w:rsidRDefault="00766442"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Uncertainty around utility </w:t>
            </w:r>
            <w:r w:rsidR="0094381A">
              <w:rPr>
                <w:rFonts w:ascii="Times New Roman" w:eastAsia="Times New Roman" w:hAnsi="Times New Roman" w:cs="Times New Roman"/>
                <w:kern w:val="0"/>
                <w:sz w:val="20"/>
                <w:szCs w:val="20"/>
                <w:lang w:val="en-AU"/>
              </w:rPr>
              <w:t>estimation</w:t>
            </w:r>
          </w:p>
        </w:tc>
        <w:tc>
          <w:tcPr>
            <w:tcW w:w="850" w:type="dxa"/>
            <w:shd w:val="clear" w:color="auto" w:fill="auto"/>
            <w:noWrap/>
            <w:vAlign w:val="center"/>
          </w:tcPr>
          <w:p w14:paraId="0E14BF17" w14:textId="74300B87" w:rsidR="00766442" w:rsidRPr="008F448B" w:rsidRDefault="00766442"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0.8</w:t>
            </w:r>
            <w:r w:rsidR="00C367D6">
              <w:rPr>
                <w:rFonts w:ascii="Times New Roman" w:eastAsia="Times New Roman" w:hAnsi="Times New Roman" w:cs="Times New Roman"/>
                <w:kern w:val="0"/>
                <w:sz w:val="20"/>
                <w:szCs w:val="20"/>
                <w:lang w:val="en-AU"/>
              </w:rPr>
              <w:t>9</w:t>
            </w:r>
          </w:p>
        </w:tc>
      </w:tr>
      <w:tr w:rsidR="00766442" w:rsidRPr="008F448B" w14:paraId="7299D974" w14:textId="77777777" w:rsidTr="4F533E7D">
        <w:trPr>
          <w:trHeight w:val="240"/>
        </w:trPr>
        <w:tc>
          <w:tcPr>
            <w:tcW w:w="7565" w:type="dxa"/>
            <w:tcBorders>
              <w:bottom w:val="single" w:sz="4" w:space="0" w:color="auto"/>
            </w:tcBorders>
            <w:shd w:val="clear" w:color="auto" w:fill="auto"/>
            <w:vAlign w:val="center"/>
          </w:tcPr>
          <w:p w14:paraId="3498F347" w14:textId="23031654" w:rsidR="00766442" w:rsidRPr="008F448B" w:rsidRDefault="00766442" w:rsidP="00C15362">
            <w:pPr>
              <w:widowControl/>
              <w:adjustRightInd w:val="0"/>
              <w:snapToGrid w:val="0"/>
              <w:spacing w:line="360" w:lineRule="auto"/>
              <w:ind w:firstLine="210"/>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Uncertainty around </w:t>
            </w:r>
            <w:r w:rsidR="0094381A">
              <w:rPr>
                <w:rFonts w:ascii="Times New Roman" w:eastAsia="Times New Roman" w:hAnsi="Times New Roman" w:cs="Times New Roman"/>
                <w:kern w:val="0"/>
                <w:sz w:val="20"/>
                <w:szCs w:val="20"/>
                <w:lang w:val="en-AU"/>
              </w:rPr>
              <w:t>cost</w:t>
            </w:r>
            <w:r w:rsidR="0094381A" w:rsidRPr="008F448B">
              <w:rPr>
                <w:rFonts w:ascii="Times New Roman" w:eastAsia="Times New Roman" w:hAnsi="Times New Roman" w:cs="Times New Roman"/>
                <w:kern w:val="0"/>
                <w:sz w:val="20"/>
                <w:szCs w:val="20"/>
                <w:lang w:val="en-AU"/>
              </w:rPr>
              <w:t xml:space="preserve"> </w:t>
            </w:r>
            <w:r w:rsidR="0094381A">
              <w:rPr>
                <w:rFonts w:ascii="Times New Roman" w:eastAsia="Times New Roman" w:hAnsi="Times New Roman" w:cs="Times New Roman"/>
                <w:kern w:val="0"/>
                <w:sz w:val="20"/>
                <w:szCs w:val="20"/>
                <w:lang w:val="en-AU"/>
              </w:rPr>
              <w:t>estimation</w:t>
            </w:r>
          </w:p>
        </w:tc>
        <w:tc>
          <w:tcPr>
            <w:tcW w:w="850" w:type="dxa"/>
            <w:tcBorders>
              <w:bottom w:val="single" w:sz="4" w:space="0" w:color="auto"/>
            </w:tcBorders>
            <w:shd w:val="clear" w:color="auto" w:fill="auto"/>
            <w:noWrap/>
            <w:vAlign w:val="center"/>
          </w:tcPr>
          <w:p w14:paraId="6AB9BD23" w14:textId="5666C2FE" w:rsidR="00766442" w:rsidRPr="008F448B" w:rsidRDefault="00766442" w:rsidP="00C15362">
            <w:pPr>
              <w:widowControl/>
              <w:adjustRightInd w:val="0"/>
              <w:snapToGrid w:val="0"/>
              <w:spacing w:line="360" w:lineRule="auto"/>
              <w:jc w:val="left"/>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0.</w:t>
            </w:r>
            <w:r w:rsidR="007D38AB">
              <w:rPr>
                <w:rFonts w:ascii="Times New Roman" w:eastAsia="Times New Roman" w:hAnsi="Times New Roman" w:cs="Times New Roman"/>
                <w:kern w:val="0"/>
                <w:sz w:val="20"/>
                <w:szCs w:val="20"/>
                <w:lang w:val="en-AU"/>
              </w:rPr>
              <w:t>8</w:t>
            </w:r>
            <w:r w:rsidR="003E3D6F">
              <w:rPr>
                <w:rFonts w:ascii="Times New Roman" w:eastAsia="Times New Roman" w:hAnsi="Times New Roman" w:cs="Times New Roman"/>
                <w:kern w:val="0"/>
                <w:sz w:val="20"/>
                <w:szCs w:val="20"/>
                <w:lang w:val="en-AU"/>
              </w:rPr>
              <w:t>8</w:t>
            </w:r>
          </w:p>
        </w:tc>
      </w:tr>
      <w:bookmarkEnd w:id="56"/>
    </w:tbl>
    <w:p w14:paraId="46B6B847" w14:textId="77777777" w:rsidR="00BC1381" w:rsidRPr="008F448B" w:rsidRDefault="00BC1381" w:rsidP="00C15362">
      <w:pPr>
        <w:widowControl/>
        <w:adjustRightInd w:val="0"/>
        <w:snapToGrid w:val="0"/>
        <w:spacing w:line="360" w:lineRule="auto"/>
        <w:jc w:val="left"/>
        <w:rPr>
          <w:rFonts w:ascii="Times New Roman" w:eastAsia="DengXian" w:hAnsi="Times New Roman" w:cs="Times New Roman"/>
          <w:kern w:val="0"/>
          <w:sz w:val="22"/>
          <w:szCs w:val="22"/>
          <w:lang w:val="en-US"/>
        </w:rPr>
        <w:sectPr w:rsidR="00BC1381" w:rsidRPr="008F448B" w:rsidSect="00E82899">
          <w:type w:val="continuous"/>
          <w:pgSz w:w="11906" w:h="16838"/>
          <w:pgMar w:top="1440" w:right="1800" w:bottom="1440" w:left="1800" w:header="850" w:footer="994" w:gutter="0"/>
          <w:cols w:space="425"/>
          <w:docGrid w:type="lines" w:linePitch="312"/>
        </w:sectPr>
      </w:pPr>
    </w:p>
    <w:p w14:paraId="5B2FD45C" w14:textId="04D2E298" w:rsidR="00785A3E" w:rsidRPr="008F448B" w:rsidRDefault="00CA2910" w:rsidP="00C15362">
      <w:pPr>
        <w:pStyle w:val="Heading1"/>
        <w:widowControl/>
        <w:adjustRightInd w:val="0"/>
        <w:snapToGrid w:val="0"/>
        <w:spacing w:before="120" w:after="0" w:line="360" w:lineRule="auto"/>
        <w:jc w:val="left"/>
        <w:rPr>
          <w:rFonts w:ascii="Times New Roman" w:eastAsiaTheme="majorEastAsia" w:hAnsi="Times New Roman" w:cs="Times New Roman"/>
          <w:kern w:val="0"/>
          <w:sz w:val="21"/>
          <w:szCs w:val="21"/>
          <w:lang w:val="en-AU" w:eastAsia="en-US"/>
        </w:rPr>
      </w:pPr>
      <w:r w:rsidRPr="4F533E7D">
        <w:rPr>
          <w:rFonts w:ascii="Times New Roman" w:eastAsiaTheme="majorEastAsia" w:hAnsi="Times New Roman" w:cs="Times New Roman"/>
          <w:kern w:val="0"/>
          <w:sz w:val="21"/>
          <w:szCs w:val="21"/>
          <w:lang w:val="en-AU" w:eastAsia="en-US"/>
        </w:rPr>
        <w:lastRenderedPageBreak/>
        <w:t xml:space="preserve">Appendix </w:t>
      </w:r>
      <w:r w:rsidR="00846569" w:rsidRPr="4F533E7D">
        <w:rPr>
          <w:rFonts w:ascii="Times New Roman" w:eastAsiaTheme="majorEastAsia" w:hAnsi="Times New Roman" w:cs="Times New Roman"/>
          <w:kern w:val="0"/>
          <w:sz w:val="21"/>
          <w:szCs w:val="21"/>
          <w:lang w:val="en-AU" w:eastAsia="en-US"/>
        </w:rPr>
        <w:t>4</w:t>
      </w:r>
      <w:r w:rsidR="00D535BC" w:rsidRPr="4F533E7D">
        <w:rPr>
          <w:rFonts w:ascii="Times New Roman" w:eastAsiaTheme="majorEastAsia" w:hAnsi="Times New Roman" w:cs="Times New Roman"/>
          <w:kern w:val="0"/>
          <w:sz w:val="21"/>
          <w:szCs w:val="21"/>
          <w:lang w:val="en-AU" w:eastAsia="en-US"/>
        </w:rPr>
        <w:t xml:space="preserve">. </w:t>
      </w:r>
      <w:r w:rsidR="00785A3E" w:rsidRPr="4F533E7D">
        <w:rPr>
          <w:rFonts w:ascii="Times New Roman" w:eastAsiaTheme="majorEastAsia" w:hAnsi="Times New Roman" w:cs="Times New Roman"/>
          <w:kern w:val="0"/>
          <w:sz w:val="21"/>
          <w:szCs w:val="21"/>
          <w:lang w:val="en-AU" w:eastAsia="en-US"/>
        </w:rPr>
        <w:t xml:space="preserve">Description of variables </w:t>
      </w:r>
      <w:r w:rsidR="00B130D7" w:rsidRPr="4F533E7D">
        <w:rPr>
          <w:rFonts w:ascii="Times New Roman" w:eastAsiaTheme="majorEastAsia" w:hAnsi="Times New Roman" w:cs="Times New Roman"/>
          <w:kern w:val="0"/>
          <w:sz w:val="21"/>
          <w:szCs w:val="21"/>
          <w:lang w:val="en-AU" w:eastAsia="en-US"/>
        </w:rPr>
        <w:t>identified</w:t>
      </w:r>
    </w:p>
    <w:p w14:paraId="39B0085C" w14:textId="562C4476" w:rsidR="00CA2910" w:rsidRPr="008F448B" w:rsidRDefault="00B62C1E" w:rsidP="00C15362">
      <w:pPr>
        <w:adjustRightInd w:val="0"/>
        <w:snapToGrid w:val="0"/>
        <w:spacing w:before="120" w:line="360" w:lineRule="auto"/>
        <w:jc w:val="left"/>
        <w:rPr>
          <w:rFonts w:ascii="Times New Roman" w:eastAsia="SimSun" w:hAnsi="Times New Roman" w:cs="Times New Roman"/>
          <w:kern w:val="0"/>
        </w:rPr>
      </w:pPr>
      <w:r w:rsidRPr="4F533E7D">
        <w:rPr>
          <w:rFonts w:ascii="Times New Roman" w:eastAsia="SimSun" w:hAnsi="Times New Roman" w:cs="Times New Roman"/>
          <w:b/>
          <w:bCs/>
          <w:kern w:val="0"/>
        </w:rPr>
        <w:t xml:space="preserve">Table </w:t>
      </w:r>
      <w:r w:rsidR="009D4856" w:rsidRPr="4F533E7D">
        <w:rPr>
          <w:rFonts w:ascii="Times New Roman" w:eastAsia="SimSun" w:hAnsi="Times New Roman" w:cs="Times New Roman"/>
          <w:b/>
          <w:bCs/>
          <w:kern w:val="0"/>
        </w:rPr>
        <w:t>4-1</w:t>
      </w:r>
      <w:r w:rsidR="00BD341B" w:rsidRPr="4F533E7D">
        <w:rPr>
          <w:rFonts w:ascii="Times New Roman" w:eastAsia="SimSun" w:hAnsi="Times New Roman" w:cs="Times New Roman"/>
          <w:b/>
          <w:bCs/>
          <w:kern w:val="0"/>
        </w:rPr>
        <w:t xml:space="preserve"> </w:t>
      </w:r>
      <w:r w:rsidR="00CA2910" w:rsidRPr="4F533E7D">
        <w:rPr>
          <w:rFonts w:ascii="Times New Roman" w:eastAsia="SimSun" w:hAnsi="Times New Roman" w:cs="Times New Roman"/>
          <w:b/>
          <w:bCs/>
          <w:kern w:val="0"/>
        </w:rPr>
        <w:t xml:space="preserve">Description of variables </w:t>
      </w:r>
      <w:r w:rsidR="00B130D7" w:rsidRPr="4F533E7D">
        <w:rPr>
          <w:rFonts w:ascii="Times New Roman" w:eastAsia="SimSun" w:hAnsi="Times New Roman" w:cs="Times New Roman"/>
          <w:b/>
          <w:bCs/>
          <w:kern w:val="0"/>
        </w:rPr>
        <w:t>identified</w:t>
      </w:r>
    </w:p>
    <w:tbl>
      <w:tblPr>
        <w:tblStyle w:val="TableGrid"/>
        <w:tblW w:w="1440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5"/>
        <w:gridCol w:w="2340"/>
        <w:gridCol w:w="2858"/>
        <w:gridCol w:w="7312"/>
      </w:tblGrid>
      <w:tr w:rsidR="00B130D7" w:rsidRPr="00123299" w14:paraId="66885DB7" w14:textId="77777777" w:rsidTr="006A3453">
        <w:trPr>
          <w:trHeight w:val="404"/>
        </w:trPr>
        <w:tc>
          <w:tcPr>
            <w:tcW w:w="1895" w:type="dxa"/>
            <w:tcBorders>
              <w:top w:val="single" w:sz="4" w:space="0" w:color="auto"/>
              <w:bottom w:val="single" w:sz="4" w:space="0" w:color="auto"/>
            </w:tcBorders>
            <w:shd w:val="clear" w:color="auto" w:fill="D9D9D9" w:themeFill="background1" w:themeFillShade="D9"/>
          </w:tcPr>
          <w:p w14:paraId="4A52EC84" w14:textId="31BD113F" w:rsidR="00B130D7" w:rsidRPr="000C5E12" w:rsidRDefault="00B130D7" w:rsidP="001E3A10">
            <w:pPr>
              <w:adjustRightInd w:val="0"/>
              <w:snapToGrid w:val="0"/>
              <w:jc w:val="center"/>
              <w:rPr>
                <w:kern w:val="0"/>
                <w:sz w:val="20"/>
                <w:szCs w:val="20"/>
              </w:rPr>
            </w:pPr>
            <w:r w:rsidRPr="000C5E12">
              <w:rPr>
                <w:kern w:val="0"/>
                <w:sz w:val="20"/>
                <w:szCs w:val="20"/>
              </w:rPr>
              <w:t xml:space="preserve">Variables </w:t>
            </w:r>
          </w:p>
        </w:tc>
        <w:tc>
          <w:tcPr>
            <w:tcW w:w="2340" w:type="dxa"/>
            <w:tcBorders>
              <w:top w:val="single" w:sz="4" w:space="0" w:color="auto"/>
              <w:bottom w:val="single" w:sz="4" w:space="0" w:color="auto"/>
            </w:tcBorders>
            <w:shd w:val="clear" w:color="auto" w:fill="D9D9D9" w:themeFill="background1" w:themeFillShade="D9"/>
            <w:vAlign w:val="center"/>
            <w:hideMark/>
          </w:tcPr>
          <w:p w14:paraId="313D8604" w14:textId="6A11DCDD" w:rsidR="00B130D7" w:rsidRPr="000C5E12" w:rsidRDefault="00B130D7" w:rsidP="001E3A10">
            <w:pPr>
              <w:adjustRightInd w:val="0"/>
              <w:snapToGrid w:val="0"/>
              <w:jc w:val="center"/>
              <w:rPr>
                <w:kern w:val="0"/>
                <w:sz w:val="20"/>
                <w:szCs w:val="20"/>
              </w:rPr>
            </w:pPr>
            <w:r w:rsidRPr="000C5E12">
              <w:rPr>
                <w:kern w:val="0"/>
                <w:sz w:val="20"/>
                <w:szCs w:val="20"/>
              </w:rPr>
              <w:t>Items</w:t>
            </w:r>
          </w:p>
        </w:tc>
        <w:tc>
          <w:tcPr>
            <w:tcW w:w="2858" w:type="dxa"/>
            <w:tcBorders>
              <w:top w:val="single" w:sz="4" w:space="0" w:color="auto"/>
              <w:bottom w:val="single" w:sz="4" w:space="0" w:color="auto"/>
            </w:tcBorders>
            <w:shd w:val="clear" w:color="auto" w:fill="D9D9D9" w:themeFill="background1" w:themeFillShade="D9"/>
            <w:vAlign w:val="center"/>
            <w:hideMark/>
          </w:tcPr>
          <w:p w14:paraId="204B2411" w14:textId="77777777" w:rsidR="00B130D7" w:rsidRPr="000C5E12" w:rsidRDefault="00B130D7" w:rsidP="001E3A10">
            <w:pPr>
              <w:adjustRightInd w:val="0"/>
              <w:snapToGrid w:val="0"/>
              <w:jc w:val="center"/>
              <w:rPr>
                <w:kern w:val="0"/>
                <w:sz w:val="20"/>
                <w:szCs w:val="20"/>
              </w:rPr>
            </w:pPr>
            <w:r w:rsidRPr="000C5E12">
              <w:rPr>
                <w:kern w:val="0"/>
                <w:sz w:val="20"/>
                <w:szCs w:val="20"/>
              </w:rPr>
              <w:t>Value</w:t>
            </w:r>
          </w:p>
        </w:tc>
        <w:tc>
          <w:tcPr>
            <w:tcW w:w="7312" w:type="dxa"/>
            <w:tcBorders>
              <w:top w:val="single" w:sz="4" w:space="0" w:color="auto"/>
              <w:bottom w:val="single" w:sz="4" w:space="0" w:color="auto"/>
            </w:tcBorders>
            <w:shd w:val="clear" w:color="auto" w:fill="D9D9D9" w:themeFill="background1" w:themeFillShade="D9"/>
            <w:vAlign w:val="center"/>
            <w:hideMark/>
          </w:tcPr>
          <w:p w14:paraId="7DB36721" w14:textId="77777777" w:rsidR="00B130D7" w:rsidRPr="000C5E12" w:rsidRDefault="00B130D7" w:rsidP="001E3A10">
            <w:pPr>
              <w:adjustRightInd w:val="0"/>
              <w:snapToGrid w:val="0"/>
              <w:jc w:val="center"/>
              <w:rPr>
                <w:kern w:val="0"/>
                <w:sz w:val="20"/>
                <w:szCs w:val="20"/>
              </w:rPr>
            </w:pPr>
            <w:r w:rsidRPr="000C5E12">
              <w:rPr>
                <w:kern w:val="0"/>
                <w:sz w:val="20"/>
                <w:szCs w:val="20"/>
              </w:rPr>
              <w:t xml:space="preserve">Measurement </w:t>
            </w:r>
          </w:p>
        </w:tc>
      </w:tr>
      <w:tr w:rsidR="00B130D7" w:rsidRPr="000C5E12" w14:paraId="3E65BA74" w14:textId="77777777" w:rsidTr="006A3453">
        <w:trPr>
          <w:trHeight w:val="312"/>
        </w:trPr>
        <w:tc>
          <w:tcPr>
            <w:tcW w:w="1895" w:type="dxa"/>
            <w:tcBorders>
              <w:top w:val="single" w:sz="4" w:space="0" w:color="auto"/>
              <w:bottom w:val="dotted" w:sz="4" w:space="0" w:color="auto"/>
            </w:tcBorders>
            <w:shd w:val="clear" w:color="auto" w:fill="auto"/>
          </w:tcPr>
          <w:p w14:paraId="625FEB9D" w14:textId="77777777" w:rsidR="00247511" w:rsidRPr="000C5E12" w:rsidRDefault="00247511" w:rsidP="001E3A10">
            <w:pPr>
              <w:adjustRightInd w:val="0"/>
              <w:snapToGrid w:val="0"/>
              <w:rPr>
                <w:kern w:val="0"/>
                <w:sz w:val="20"/>
                <w:szCs w:val="20"/>
              </w:rPr>
            </w:pPr>
          </w:p>
          <w:p w14:paraId="2227A627" w14:textId="207C4414" w:rsidR="00B130D7" w:rsidRPr="000C5E12" w:rsidRDefault="69BFA46C" w:rsidP="001E3A10">
            <w:pPr>
              <w:adjustRightInd w:val="0"/>
              <w:snapToGrid w:val="0"/>
              <w:rPr>
                <w:kern w:val="0"/>
                <w:sz w:val="20"/>
                <w:szCs w:val="20"/>
              </w:rPr>
            </w:pPr>
            <w:r w:rsidRPr="000C5E12">
              <w:rPr>
                <w:kern w:val="0"/>
                <w:sz w:val="20"/>
                <w:szCs w:val="20"/>
              </w:rPr>
              <w:t>D</w:t>
            </w:r>
            <w:r w:rsidR="00B130D7" w:rsidRPr="000C5E12">
              <w:rPr>
                <w:kern w:val="0"/>
                <w:sz w:val="20"/>
                <w:szCs w:val="20"/>
              </w:rPr>
              <w:t>ependent variable</w:t>
            </w:r>
          </w:p>
        </w:tc>
        <w:tc>
          <w:tcPr>
            <w:tcW w:w="2340" w:type="dxa"/>
            <w:tcBorders>
              <w:top w:val="single" w:sz="4" w:space="0" w:color="auto"/>
              <w:bottom w:val="dotted" w:sz="4" w:space="0" w:color="auto"/>
            </w:tcBorders>
            <w:shd w:val="clear" w:color="auto" w:fill="auto"/>
            <w:vAlign w:val="center"/>
          </w:tcPr>
          <w:p w14:paraId="188011B8" w14:textId="7C25DBE9" w:rsidR="00B130D7" w:rsidRPr="000C5E12" w:rsidRDefault="00844EC8" w:rsidP="001E3A10">
            <w:pPr>
              <w:adjustRightInd w:val="0"/>
              <w:snapToGrid w:val="0"/>
              <w:rPr>
                <w:kern w:val="0"/>
                <w:sz w:val="20"/>
                <w:szCs w:val="20"/>
              </w:rPr>
            </w:pPr>
            <w:r w:rsidRPr="000C5E12">
              <w:rPr>
                <w:kern w:val="0"/>
                <w:sz w:val="20"/>
                <w:szCs w:val="20"/>
              </w:rPr>
              <w:t xml:space="preserve">PBAC </w:t>
            </w:r>
            <w:r w:rsidR="00B378DE" w:rsidRPr="000C5E12">
              <w:rPr>
                <w:kern w:val="0"/>
                <w:sz w:val="20"/>
                <w:szCs w:val="20"/>
              </w:rPr>
              <w:t xml:space="preserve">funding </w:t>
            </w:r>
            <w:r w:rsidR="00A41B2A" w:rsidRPr="000C5E12">
              <w:rPr>
                <w:rFonts w:hint="eastAsia"/>
                <w:kern w:val="0"/>
                <w:sz w:val="20"/>
                <w:szCs w:val="20"/>
              </w:rPr>
              <w:t>recommendation</w:t>
            </w:r>
          </w:p>
        </w:tc>
        <w:tc>
          <w:tcPr>
            <w:tcW w:w="2858" w:type="dxa"/>
            <w:tcBorders>
              <w:top w:val="single" w:sz="4" w:space="0" w:color="auto"/>
              <w:bottom w:val="dotted" w:sz="4" w:space="0" w:color="auto"/>
            </w:tcBorders>
            <w:shd w:val="clear" w:color="auto" w:fill="auto"/>
            <w:vAlign w:val="center"/>
          </w:tcPr>
          <w:p w14:paraId="44EF5E5C" w14:textId="73AB630B" w:rsidR="00B130D7" w:rsidRPr="000C5E12" w:rsidRDefault="00770F4D" w:rsidP="001E3A10">
            <w:pPr>
              <w:adjustRightInd w:val="0"/>
              <w:snapToGrid w:val="0"/>
              <w:rPr>
                <w:kern w:val="0"/>
                <w:sz w:val="20"/>
                <w:szCs w:val="20"/>
              </w:rPr>
            </w:pPr>
            <w:r w:rsidRPr="000C5E12">
              <w:rPr>
                <w:kern w:val="0"/>
                <w:sz w:val="20"/>
                <w:szCs w:val="20"/>
              </w:rPr>
              <w:t xml:space="preserve">0- </w:t>
            </w:r>
            <w:r w:rsidR="00F22C83" w:rsidRPr="000C5E12">
              <w:rPr>
                <w:kern w:val="0"/>
                <w:sz w:val="20"/>
                <w:szCs w:val="20"/>
              </w:rPr>
              <w:t>R</w:t>
            </w:r>
            <w:r w:rsidR="00F22C83" w:rsidRPr="000C5E12">
              <w:rPr>
                <w:rFonts w:hint="eastAsia"/>
                <w:kern w:val="0"/>
                <w:sz w:val="20"/>
                <w:szCs w:val="20"/>
              </w:rPr>
              <w:t>ejected</w:t>
            </w:r>
            <w:r w:rsidR="00F22C83" w:rsidRPr="000C5E12">
              <w:rPr>
                <w:kern w:val="0"/>
                <w:sz w:val="20"/>
                <w:szCs w:val="20"/>
              </w:rPr>
              <w:t xml:space="preserve"> or deferred</w:t>
            </w:r>
          </w:p>
          <w:p w14:paraId="6EAB5AC1" w14:textId="392C4DA4" w:rsidR="00FA66E2" w:rsidRPr="000C5E12" w:rsidRDefault="00770F4D" w:rsidP="001E3A10">
            <w:pPr>
              <w:adjustRightInd w:val="0"/>
              <w:snapToGrid w:val="0"/>
              <w:rPr>
                <w:kern w:val="0"/>
                <w:sz w:val="20"/>
                <w:szCs w:val="20"/>
              </w:rPr>
            </w:pPr>
            <w:r w:rsidRPr="000C5E12">
              <w:rPr>
                <w:kern w:val="0"/>
                <w:sz w:val="20"/>
                <w:szCs w:val="20"/>
              </w:rPr>
              <w:t xml:space="preserve">1- </w:t>
            </w:r>
            <w:r w:rsidR="00F22C83" w:rsidRPr="000C5E12">
              <w:rPr>
                <w:kern w:val="0"/>
                <w:sz w:val="20"/>
                <w:szCs w:val="20"/>
              </w:rPr>
              <w:t>P</w:t>
            </w:r>
            <w:r w:rsidR="00F22C83" w:rsidRPr="000C5E12">
              <w:rPr>
                <w:rFonts w:hint="eastAsia"/>
                <w:kern w:val="0"/>
                <w:sz w:val="20"/>
                <w:szCs w:val="20"/>
              </w:rPr>
              <w:t>ositive</w:t>
            </w:r>
            <w:r w:rsidR="00F22C83" w:rsidRPr="000C5E12">
              <w:rPr>
                <w:kern w:val="0"/>
                <w:sz w:val="20"/>
                <w:szCs w:val="20"/>
              </w:rPr>
              <w:t xml:space="preserve"> </w:t>
            </w:r>
            <w:r w:rsidR="00F22C83" w:rsidRPr="000C5E12">
              <w:rPr>
                <w:rFonts w:hint="eastAsia"/>
                <w:kern w:val="0"/>
                <w:sz w:val="20"/>
                <w:szCs w:val="20"/>
              </w:rPr>
              <w:t>recommendation</w:t>
            </w:r>
            <w:r w:rsidR="00F22C83" w:rsidRPr="000C5E12">
              <w:rPr>
                <w:kern w:val="0"/>
                <w:sz w:val="20"/>
                <w:szCs w:val="20"/>
              </w:rPr>
              <w:t xml:space="preserve"> </w:t>
            </w:r>
          </w:p>
        </w:tc>
        <w:tc>
          <w:tcPr>
            <w:tcW w:w="7312" w:type="dxa"/>
            <w:tcBorders>
              <w:top w:val="single" w:sz="4" w:space="0" w:color="auto"/>
              <w:bottom w:val="dotted" w:sz="4" w:space="0" w:color="auto"/>
            </w:tcBorders>
            <w:shd w:val="clear" w:color="auto" w:fill="auto"/>
            <w:vAlign w:val="center"/>
          </w:tcPr>
          <w:p w14:paraId="3EC59EB1" w14:textId="34E95677" w:rsidR="00B130D7" w:rsidRPr="000C5E12" w:rsidRDefault="0059657A" w:rsidP="001E3A10">
            <w:pPr>
              <w:adjustRightInd w:val="0"/>
              <w:snapToGrid w:val="0"/>
              <w:rPr>
                <w:kern w:val="0"/>
                <w:sz w:val="20"/>
                <w:szCs w:val="20"/>
              </w:rPr>
            </w:pPr>
            <w:r w:rsidRPr="000C5E12">
              <w:rPr>
                <w:kern w:val="0"/>
                <w:sz w:val="20"/>
                <w:szCs w:val="20"/>
              </w:rPr>
              <w:t xml:space="preserve">The PBAC decisions </w:t>
            </w:r>
            <w:r w:rsidR="00990D51" w:rsidRPr="000C5E12">
              <w:rPr>
                <w:kern w:val="0"/>
                <w:sz w:val="20"/>
                <w:szCs w:val="20"/>
              </w:rPr>
              <w:t xml:space="preserve">mainly refer to the </w:t>
            </w:r>
            <w:r w:rsidR="00E63053" w:rsidRPr="000C5E12">
              <w:rPr>
                <w:kern w:val="0"/>
                <w:sz w:val="20"/>
                <w:szCs w:val="20"/>
              </w:rPr>
              <w:t xml:space="preserve">overall outcome </w:t>
            </w:r>
            <w:r w:rsidR="00A41B2A" w:rsidRPr="000C5E12">
              <w:rPr>
                <w:kern w:val="0"/>
                <w:sz w:val="20"/>
                <w:szCs w:val="20"/>
              </w:rPr>
              <w:t>of</w:t>
            </w:r>
            <w:r w:rsidR="00E63053" w:rsidRPr="000C5E12">
              <w:rPr>
                <w:kern w:val="0"/>
                <w:sz w:val="20"/>
                <w:szCs w:val="20"/>
              </w:rPr>
              <w:t xml:space="preserve"> the PBAC. When the </w:t>
            </w:r>
            <w:r w:rsidR="001B6BF2" w:rsidRPr="000C5E12">
              <w:rPr>
                <w:kern w:val="0"/>
                <w:sz w:val="20"/>
                <w:szCs w:val="20"/>
              </w:rPr>
              <w:t xml:space="preserve">submission proposed multiple economic </w:t>
            </w:r>
            <w:r w:rsidR="00073848" w:rsidRPr="000C5E12">
              <w:rPr>
                <w:kern w:val="0"/>
                <w:sz w:val="20"/>
                <w:szCs w:val="20"/>
              </w:rPr>
              <w:t>analyses</w:t>
            </w:r>
            <w:r w:rsidR="001B6BF2" w:rsidRPr="000C5E12">
              <w:rPr>
                <w:kern w:val="0"/>
                <w:sz w:val="20"/>
                <w:szCs w:val="20"/>
              </w:rPr>
              <w:t xml:space="preserve">, </w:t>
            </w:r>
            <w:r w:rsidR="00521C83" w:rsidRPr="000C5E12">
              <w:rPr>
                <w:kern w:val="0"/>
                <w:sz w:val="20"/>
                <w:szCs w:val="20"/>
              </w:rPr>
              <w:t>PBAC</w:t>
            </w:r>
            <w:r w:rsidR="00073848" w:rsidRPr="000C5E12">
              <w:rPr>
                <w:kern w:val="0"/>
                <w:sz w:val="20"/>
                <w:szCs w:val="20"/>
              </w:rPr>
              <w:t>'s</w:t>
            </w:r>
            <w:r w:rsidR="00521C83" w:rsidRPr="000C5E12">
              <w:rPr>
                <w:kern w:val="0"/>
                <w:sz w:val="20"/>
                <w:szCs w:val="20"/>
              </w:rPr>
              <w:t xml:space="preserve"> decision was derived from the</w:t>
            </w:r>
            <w:r w:rsidR="00143CD9" w:rsidRPr="000C5E12">
              <w:rPr>
                <w:kern w:val="0"/>
                <w:sz w:val="20"/>
                <w:szCs w:val="20"/>
              </w:rPr>
              <w:t xml:space="preserve"> decision based on </w:t>
            </w:r>
            <w:r w:rsidR="00247E49" w:rsidRPr="000C5E12">
              <w:rPr>
                <w:kern w:val="0"/>
                <w:sz w:val="20"/>
                <w:szCs w:val="20"/>
              </w:rPr>
              <w:t>cost-utility analysis.</w:t>
            </w:r>
            <w:r w:rsidR="00521C83" w:rsidRPr="000C5E12">
              <w:rPr>
                <w:kern w:val="0"/>
                <w:sz w:val="20"/>
                <w:szCs w:val="20"/>
              </w:rPr>
              <w:t xml:space="preserve"> </w:t>
            </w:r>
            <w:r w:rsidR="001B6BF2" w:rsidRPr="000C5E12">
              <w:rPr>
                <w:kern w:val="0"/>
                <w:sz w:val="20"/>
                <w:szCs w:val="20"/>
              </w:rPr>
              <w:t xml:space="preserve"> </w:t>
            </w:r>
          </w:p>
        </w:tc>
      </w:tr>
      <w:tr w:rsidR="00B51ED4" w:rsidRPr="000C5E12" w14:paraId="1B2B3D82" w14:textId="77777777" w:rsidTr="006A3453">
        <w:trPr>
          <w:trHeight w:val="312"/>
        </w:trPr>
        <w:tc>
          <w:tcPr>
            <w:tcW w:w="1895" w:type="dxa"/>
            <w:vMerge w:val="restart"/>
            <w:tcBorders>
              <w:top w:val="dotted" w:sz="4" w:space="0" w:color="auto"/>
              <w:bottom w:val="nil"/>
            </w:tcBorders>
            <w:shd w:val="clear" w:color="auto" w:fill="auto"/>
          </w:tcPr>
          <w:p w14:paraId="4A1AAB7E" w14:textId="77777777" w:rsidR="00B51ED4" w:rsidRPr="000C5E12" w:rsidRDefault="00B51ED4" w:rsidP="001E3A10">
            <w:pPr>
              <w:adjustRightInd w:val="0"/>
              <w:snapToGrid w:val="0"/>
              <w:rPr>
                <w:kern w:val="0"/>
                <w:sz w:val="20"/>
                <w:szCs w:val="20"/>
              </w:rPr>
            </w:pPr>
          </w:p>
          <w:p w14:paraId="1D778369" w14:textId="77777777" w:rsidR="00B51ED4" w:rsidRPr="000C5E12" w:rsidRDefault="00B51ED4" w:rsidP="001E3A10">
            <w:pPr>
              <w:adjustRightInd w:val="0"/>
              <w:snapToGrid w:val="0"/>
              <w:rPr>
                <w:kern w:val="0"/>
                <w:sz w:val="20"/>
                <w:szCs w:val="20"/>
              </w:rPr>
            </w:pPr>
          </w:p>
          <w:p w14:paraId="4B6B31CF" w14:textId="77777777" w:rsidR="00B51ED4" w:rsidRPr="000C5E12" w:rsidRDefault="00B51ED4" w:rsidP="001E3A10">
            <w:pPr>
              <w:adjustRightInd w:val="0"/>
              <w:snapToGrid w:val="0"/>
              <w:rPr>
                <w:kern w:val="0"/>
                <w:sz w:val="20"/>
                <w:szCs w:val="20"/>
              </w:rPr>
            </w:pPr>
          </w:p>
          <w:p w14:paraId="66C5096C" w14:textId="77777777" w:rsidR="00B51ED4" w:rsidRPr="000C5E12" w:rsidRDefault="00B51ED4" w:rsidP="001E3A10">
            <w:pPr>
              <w:adjustRightInd w:val="0"/>
              <w:snapToGrid w:val="0"/>
              <w:rPr>
                <w:kern w:val="0"/>
                <w:sz w:val="20"/>
                <w:szCs w:val="20"/>
              </w:rPr>
            </w:pPr>
          </w:p>
          <w:p w14:paraId="27B1CDE1" w14:textId="77777777" w:rsidR="00B51ED4" w:rsidRPr="000C5E12" w:rsidRDefault="00B51ED4" w:rsidP="001E3A10">
            <w:pPr>
              <w:adjustRightInd w:val="0"/>
              <w:snapToGrid w:val="0"/>
              <w:rPr>
                <w:kern w:val="0"/>
                <w:sz w:val="20"/>
                <w:szCs w:val="20"/>
              </w:rPr>
            </w:pPr>
          </w:p>
          <w:p w14:paraId="45D46975" w14:textId="77777777" w:rsidR="00B51ED4" w:rsidRPr="000C5E12" w:rsidRDefault="00B51ED4" w:rsidP="001E3A10">
            <w:pPr>
              <w:adjustRightInd w:val="0"/>
              <w:snapToGrid w:val="0"/>
              <w:rPr>
                <w:kern w:val="0"/>
                <w:sz w:val="20"/>
                <w:szCs w:val="20"/>
              </w:rPr>
            </w:pPr>
          </w:p>
          <w:p w14:paraId="71F5A3EB" w14:textId="77777777" w:rsidR="00B51ED4" w:rsidRPr="000C5E12" w:rsidRDefault="00B51ED4" w:rsidP="001E3A10">
            <w:pPr>
              <w:adjustRightInd w:val="0"/>
              <w:snapToGrid w:val="0"/>
              <w:rPr>
                <w:kern w:val="0"/>
                <w:sz w:val="20"/>
                <w:szCs w:val="20"/>
              </w:rPr>
            </w:pPr>
          </w:p>
          <w:p w14:paraId="10224770" w14:textId="77777777" w:rsidR="00B51ED4" w:rsidRPr="000C5E12" w:rsidRDefault="00B51ED4" w:rsidP="001E3A10">
            <w:pPr>
              <w:adjustRightInd w:val="0"/>
              <w:snapToGrid w:val="0"/>
              <w:rPr>
                <w:kern w:val="0"/>
                <w:sz w:val="20"/>
                <w:szCs w:val="20"/>
              </w:rPr>
            </w:pPr>
          </w:p>
          <w:p w14:paraId="5FB176F4" w14:textId="779E54A5" w:rsidR="00B51ED4" w:rsidRPr="000C5E12" w:rsidRDefault="00B51ED4" w:rsidP="001E3A10">
            <w:pPr>
              <w:adjustRightInd w:val="0"/>
              <w:snapToGrid w:val="0"/>
              <w:rPr>
                <w:kern w:val="0"/>
                <w:sz w:val="20"/>
                <w:szCs w:val="20"/>
              </w:rPr>
            </w:pPr>
            <w:r w:rsidRPr="000C5E12">
              <w:rPr>
                <w:kern w:val="0"/>
                <w:sz w:val="20"/>
                <w:szCs w:val="20"/>
              </w:rPr>
              <w:t>C</w:t>
            </w:r>
            <w:r w:rsidRPr="000C5E12">
              <w:rPr>
                <w:rFonts w:hint="eastAsia"/>
                <w:kern w:val="0"/>
                <w:sz w:val="20"/>
                <w:szCs w:val="20"/>
              </w:rPr>
              <w:t>ontrol</w:t>
            </w:r>
            <w:r w:rsidRPr="000C5E12">
              <w:rPr>
                <w:kern w:val="0"/>
                <w:sz w:val="20"/>
                <w:szCs w:val="20"/>
              </w:rPr>
              <w:t xml:space="preserve"> </w:t>
            </w:r>
            <w:r w:rsidRPr="000C5E12">
              <w:rPr>
                <w:rFonts w:hint="eastAsia"/>
                <w:kern w:val="0"/>
                <w:sz w:val="20"/>
                <w:szCs w:val="20"/>
              </w:rPr>
              <w:t>variables</w:t>
            </w:r>
          </w:p>
        </w:tc>
        <w:tc>
          <w:tcPr>
            <w:tcW w:w="2340" w:type="dxa"/>
            <w:tcBorders>
              <w:top w:val="dotted" w:sz="4" w:space="0" w:color="auto"/>
              <w:bottom w:val="nil"/>
            </w:tcBorders>
            <w:shd w:val="clear" w:color="auto" w:fill="auto"/>
            <w:vAlign w:val="center"/>
          </w:tcPr>
          <w:p w14:paraId="193CEE2F" w14:textId="18AE1340" w:rsidR="00B51ED4" w:rsidRPr="000C5E12" w:rsidRDefault="00B51ED4" w:rsidP="001E3A10">
            <w:pPr>
              <w:adjustRightInd w:val="0"/>
              <w:snapToGrid w:val="0"/>
              <w:rPr>
                <w:kern w:val="0"/>
                <w:sz w:val="20"/>
                <w:szCs w:val="20"/>
              </w:rPr>
            </w:pPr>
            <w:r w:rsidRPr="000C5E12">
              <w:rPr>
                <w:kern w:val="0"/>
                <w:sz w:val="20"/>
                <w:szCs w:val="20"/>
              </w:rPr>
              <w:t xml:space="preserve">Safety profile  </w:t>
            </w:r>
          </w:p>
        </w:tc>
        <w:tc>
          <w:tcPr>
            <w:tcW w:w="2858" w:type="dxa"/>
            <w:tcBorders>
              <w:top w:val="dotted" w:sz="4" w:space="0" w:color="auto"/>
              <w:bottom w:val="nil"/>
            </w:tcBorders>
            <w:shd w:val="clear" w:color="auto" w:fill="auto"/>
            <w:vAlign w:val="center"/>
          </w:tcPr>
          <w:p w14:paraId="1E9782B3" w14:textId="77777777" w:rsidR="00B51ED4" w:rsidRPr="000C5E12" w:rsidRDefault="00B51ED4" w:rsidP="001E3A10">
            <w:pPr>
              <w:adjustRightInd w:val="0"/>
              <w:snapToGrid w:val="0"/>
              <w:rPr>
                <w:kern w:val="0"/>
                <w:sz w:val="20"/>
                <w:szCs w:val="20"/>
              </w:rPr>
            </w:pPr>
            <w:r w:rsidRPr="000C5E12">
              <w:rPr>
                <w:kern w:val="0"/>
                <w:sz w:val="20"/>
                <w:szCs w:val="20"/>
              </w:rPr>
              <w:t xml:space="preserve">0-Inferior </w:t>
            </w:r>
          </w:p>
          <w:p w14:paraId="518A3AC5" w14:textId="337EFB33" w:rsidR="00B51ED4" w:rsidRPr="000C5E12" w:rsidRDefault="00B51ED4" w:rsidP="001E3A10">
            <w:pPr>
              <w:adjustRightInd w:val="0"/>
              <w:snapToGrid w:val="0"/>
              <w:rPr>
                <w:kern w:val="0"/>
                <w:sz w:val="20"/>
                <w:szCs w:val="20"/>
              </w:rPr>
            </w:pPr>
            <w:r w:rsidRPr="000C5E12">
              <w:rPr>
                <w:kern w:val="0"/>
                <w:sz w:val="20"/>
                <w:szCs w:val="20"/>
              </w:rPr>
              <w:t>1-superior or non-inferior</w:t>
            </w:r>
          </w:p>
        </w:tc>
        <w:tc>
          <w:tcPr>
            <w:tcW w:w="7312" w:type="dxa"/>
            <w:tcBorders>
              <w:top w:val="dotted" w:sz="4" w:space="0" w:color="auto"/>
              <w:bottom w:val="nil"/>
            </w:tcBorders>
            <w:shd w:val="clear" w:color="auto" w:fill="auto"/>
            <w:vAlign w:val="center"/>
          </w:tcPr>
          <w:p w14:paraId="3EFD6C29" w14:textId="4C4EE63B" w:rsidR="00B51ED4" w:rsidRPr="000C5E12" w:rsidRDefault="00B51ED4" w:rsidP="001E3A10">
            <w:pPr>
              <w:adjustRightInd w:val="0"/>
              <w:snapToGrid w:val="0"/>
              <w:rPr>
                <w:kern w:val="0"/>
                <w:sz w:val="20"/>
                <w:szCs w:val="20"/>
              </w:rPr>
            </w:pPr>
            <w:r w:rsidRPr="000C5E12">
              <w:rPr>
                <w:kern w:val="0"/>
                <w:sz w:val="20"/>
                <w:szCs w:val="20"/>
              </w:rPr>
              <w:t xml:space="preserve">PBAC was concerned about safety if it thought the safety of medicines was inferior compared with its comparator </w:t>
            </w:r>
            <w:r w:rsidRPr="000C5E12">
              <w:rPr>
                <w:kern w:val="0"/>
                <w:sz w:val="20"/>
                <w:szCs w:val="20"/>
              </w:rPr>
              <w:fldChar w:fldCharType="begin"/>
            </w:r>
            <w:r w:rsidR="00AD61C8">
              <w:rPr>
                <w:kern w:val="0"/>
                <w:sz w:val="20"/>
                <w:szCs w:val="20"/>
              </w:rPr>
              <w:instrText xml:space="preserve"> ADDIN EN.CITE &lt;EndNote&gt;&lt;Cite&gt;&lt;Author&gt;Yuasa&lt;/Author&gt;&lt;Year&gt;2020&lt;/Year&gt;&lt;RecNum&gt;17275&lt;/RecNum&gt;&lt;DisplayText&gt;[60]&lt;/DisplayText&gt;&lt;record&gt;&lt;rec-number&gt;17275&lt;/rec-number&gt;&lt;foreign-keys&gt;&lt;key app="EN" db-id="5zttwaa2gstv57epr5z5zxv325varaa5e9rp" timestamp="1607043922"&gt;17275&lt;/key&gt;&lt;/foreign-keys&gt;&lt;ref-type name="Journal Article"&gt;17&lt;/ref-type&gt;&lt;contributors&gt;&lt;authors&gt;&lt;author&gt;Yuasa, A.&lt;/author&gt;&lt;author&gt;Yonemoto, N.&lt;/author&gt;&lt;author&gt;Demiya, S.&lt;/author&gt;&lt;author&gt;Foellscher, C.&lt;/author&gt;&lt;author&gt;Ikeda, S.&lt;/author&gt;&lt;/authors&gt;&lt;/contributors&gt;&lt;auth-address&gt;Pfizer Japan Inc, Tokyo, Japan.&amp;#xD;Graduate School of Medicine, International University of Health and Welfare, 1-26, Akasaka 4-chome, Minato-ku, Tokyo, 107-8402, Japan.&amp;#xD;IQVIA Solutions Japan K.K., Tokyo, Japan.&amp;#xD;Graduate School of Medicine, International University of Health and Welfare, 1-26, Akasaka 4-chome, Minato-ku, Tokyo, 107-8402, Japan. shunya@iuhw.ac.jp.&lt;/auth-address&gt;&lt;titles&gt;&lt;title&gt;Investigation of Factors Considered by Health Technology Assessment Agencies in Eight Countries&lt;/title&gt;&lt;secondary-title&gt;Pharmacoecon Open&lt;/secondary-title&gt;&lt;/titles&gt;&lt;periodical&gt;&lt;full-title&gt;Pharmacoecon Open&lt;/full-title&gt;&lt;/periodical&gt;&lt;pages&gt;57-69&lt;/pages&gt;&lt;volume&gt;5&lt;/volume&gt;&lt;number&gt;1&lt;/number&gt;&lt;edition&gt;2020/10/28&lt;/edition&gt;&lt;dates&gt;&lt;year&gt;2020&lt;/year&gt;&lt;p</w:instrText>
            </w:r>
            <w:r w:rsidR="00AD61C8">
              <w:rPr>
                <w:rFonts w:hint="eastAsia"/>
                <w:kern w:val="0"/>
                <w:sz w:val="20"/>
                <w:szCs w:val="20"/>
              </w:rPr>
              <w:instrText>ub-dates&gt;&lt;date&gt;Oct 27&lt;/date&gt;&lt;/pub-dates&gt;&lt;/dates&gt;&lt;isbn&gt;2509-4262&lt;/isbn&gt;&lt;accession-num&gt;33108616&lt;/accession-num&gt;&lt;label&gt;&lt;style face="normal" font="default" charset="134" size="100%"&gt;</w:instrText>
            </w:r>
            <w:r w:rsidR="00AD61C8">
              <w:rPr>
                <w:rFonts w:hint="eastAsia"/>
                <w:kern w:val="0"/>
                <w:sz w:val="20"/>
                <w:szCs w:val="20"/>
              </w:rPr>
              <w:instrText>影响因素多机构比较</w:instrText>
            </w:r>
            <w:r w:rsidR="00AD61C8">
              <w:rPr>
                <w:rFonts w:hint="eastAsia"/>
                <w:kern w:val="0"/>
                <w:sz w:val="20"/>
                <w:szCs w:val="20"/>
              </w:rPr>
              <w:instrText>&lt;/style&gt;&lt;/label&gt;&lt;urls&gt;&lt;/urls&gt;&lt;electronic-resource-num&gt;10.1007/s41669</w:instrText>
            </w:r>
            <w:r w:rsidR="00AD61C8">
              <w:rPr>
                <w:kern w:val="0"/>
                <w:sz w:val="20"/>
                <w:szCs w:val="20"/>
              </w:rPr>
              <w:instrText>-020-00235-6&lt;/electronic-resource-num&gt;&lt;remote-database-provider&gt;NLM&lt;/remote-database-provider&gt;&lt;language&gt;eng&lt;/language&gt;&lt;/record&gt;&lt;/Cite&gt;&lt;/EndNote&gt;</w:instrText>
            </w:r>
            <w:r w:rsidRPr="000C5E12">
              <w:rPr>
                <w:kern w:val="0"/>
                <w:sz w:val="20"/>
                <w:szCs w:val="20"/>
              </w:rPr>
              <w:fldChar w:fldCharType="separate"/>
            </w:r>
            <w:r w:rsidR="00AD61C8">
              <w:rPr>
                <w:noProof/>
                <w:kern w:val="0"/>
                <w:sz w:val="20"/>
                <w:szCs w:val="20"/>
              </w:rPr>
              <w:t>[60]</w:t>
            </w:r>
            <w:r w:rsidRPr="000C5E12">
              <w:rPr>
                <w:kern w:val="0"/>
                <w:sz w:val="20"/>
                <w:szCs w:val="20"/>
              </w:rPr>
              <w:fldChar w:fldCharType="end"/>
            </w:r>
            <w:r w:rsidRPr="000C5E12">
              <w:rPr>
                <w:kern w:val="0"/>
                <w:sz w:val="20"/>
                <w:szCs w:val="20"/>
              </w:rPr>
              <w:t>.</w:t>
            </w:r>
          </w:p>
        </w:tc>
      </w:tr>
      <w:tr w:rsidR="00B51ED4" w:rsidRPr="000C5E12" w14:paraId="32FC958B" w14:textId="77777777" w:rsidTr="00123299">
        <w:trPr>
          <w:trHeight w:val="312"/>
        </w:trPr>
        <w:tc>
          <w:tcPr>
            <w:tcW w:w="1895" w:type="dxa"/>
            <w:vMerge/>
            <w:tcBorders>
              <w:top w:val="nil"/>
              <w:bottom w:val="nil"/>
            </w:tcBorders>
            <w:shd w:val="clear" w:color="auto" w:fill="auto"/>
          </w:tcPr>
          <w:p w14:paraId="0FF23789" w14:textId="77777777" w:rsidR="00B51ED4" w:rsidRPr="000C5E12" w:rsidRDefault="00B51ED4" w:rsidP="000C5E12">
            <w:pPr>
              <w:adjustRightInd w:val="0"/>
              <w:snapToGrid w:val="0"/>
              <w:rPr>
                <w:kern w:val="0"/>
                <w:sz w:val="20"/>
                <w:szCs w:val="20"/>
              </w:rPr>
            </w:pPr>
          </w:p>
        </w:tc>
        <w:tc>
          <w:tcPr>
            <w:tcW w:w="2340" w:type="dxa"/>
            <w:tcBorders>
              <w:top w:val="nil"/>
              <w:bottom w:val="nil"/>
            </w:tcBorders>
            <w:shd w:val="clear" w:color="auto" w:fill="auto"/>
            <w:vAlign w:val="center"/>
          </w:tcPr>
          <w:p w14:paraId="5A494EE5" w14:textId="14B41264" w:rsidR="00B51ED4" w:rsidRPr="000C5E12" w:rsidRDefault="00B51ED4" w:rsidP="000C5E12">
            <w:pPr>
              <w:adjustRightInd w:val="0"/>
              <w:snapToGrid w:val="0"/>
              <w:rPr>
                <w:kern w:val="0"/>
                <w:sz w:val="20"/>
                <w:szCs w:val="20"/>
              </w:rPr>
            </w:pPr>
            <w:r w:rsidRPr="000C5E12">
              <w:rPr>
                <w:kern w:val="0"/>
                <w:sz w:val="20"/>
                <w:szCs w:val="20"/>
              </w:rPr>
              <w:t>Statistical Significance of clinical effectiveness</w:t>
            </w:r>
          </w:p>
        </w:tc>
        <w:tc>
          <w:tcPr>
            <w:tcW w:w="2858" w:type="dxa"/>
            <w:tcBorders>
              <w:top w:val="nil"/>
              <w:bottom w:val="nil"/>
            </w:tcBorders>
            <w:shd w:val="clear" w:color="auto" w:fill="auto"/>
            <w:vAlign w:val="center"/>
          </w:tcPr>
          <w:p w14:paraId="5B3254A0" w14:textId="77777777" w:rsidR="00B51ED4" w:rsidRPr="000C5E12" w:rsidRDefault="00B51ED4" w:rsidP="000C5E12">
            <w:pPr>
              <w:adjustRightInd w:val="0"/>
              <w:snapToGrid w:val="0"/>
              <w:rPr>
                <w:kern w:val="0"/>
                <w:sz w:val="20"/>
                <w:szCs w:val="20"/>
              </w:rPr>
            </w:pPr>
            <w:r w:rsidRPr="000C5E12">
              <w:rPr>
                <w:kern w:val="0"/>
                <w:sz w:val="20"/>
                <w:szCs w:val="20"/>
              </w:rPr>
              <w:t>0-Nonstatistically significant</w:t>
            </w:r>
          </w:p>
          <w:p w14:paraId="49649603" w14:textId="34E57736" w:rsidR="00B51ED4" w:rsidRPr="000C5E12" w:rsidRDefault="00B51ED4" w:rsidP="000C5E12">
            <w:pPr>
              <w:adjustRightInd w:val="0"/>
              <w:snapToGrid w:val="0"/>
              <w:rPr>
                <w:kern w:val="0"/>
                <w:sz w:val="20"/>
                <w:szCs w:val="20"/>
              </w:rPr>
            </w:pPr>
            <w:r w:rsidRPr="000C5E12">
              <w:rPr>
                <w:kern w:val="0"/>
                <w:sz w:val="20"/>
                <w:szCs w:val="20"/>
              </w:rPr>
              <w:t>1-Statistically significant</w:t>
            </w:r>
          </w:p>
        </w:tc>
        <w:tc>
          <w:tcPr>
            <w:tcW w:w="7312" w:type="dxa"/>
            <w:tcBorders>
              <w:top w:val="nil"/>
              <w:bottom w:val="nil"/>
            </w:tcBorders>
            <w:shd w:val="clear" w:color="auto" w:fill="auto"/>
            <w:vAlign w:val="center"/>
          </w:tcPr>
          <w:p w14:paraId="32DBBD5E" w14:textId="621B1A79" w:rsidR="00B51ED4" w:rsidRPr="000C5E12" w:rsidRDefault="00B51ED4" w:rsidP="000C5E12">
            <w:pPr>
              <w:adjustRightInd w:val="0"/>
              <w:snapToGrid w:val="0"/>
              <w:rPr>
                <w:kern w:val="0"/>
                <w:sz w:val="20"/>
                <w:szCs w:val="20"/>
              </w:rPr>
            </w:pPr>
            <w:r w:rsidRPr="000C5E12">
              <w:rPr>
                <w:kern w:val="0"/>
                <w:sz w:val="20"/>
                <w:szCs w:val="20"/>
              </w:rPr>
              <w:t xml:space="preserve">When multiple outcomes (i.e., surrogate outcomes or clinical endpoints) were reported, the value for clinical endpoints in a pivotal clinical trial was indicated to be nonstatistical significance if 95% CI of the </w:t>
            </w:r>
            <w:hyperlink r:id="rId12" w:history="1">
              <w:r w:rsidRPr="000C5E12">
                <w:rPr>
                  <w:sz w:val="20"/>
                  <w:szCs w:val="20"/>
                </w:rPr>
                <w:t>ratio</w:t>
              </w:r>
            </w:hyperlink>
            <w:r w:rsidRPr="000C5E12">
              <w:rPr>
                <w:sz w:val="20"/>
                <w:szCs w:val="20"/>
              </w:rPr>
              <w:t xml:space="preserve"> </w:t>
            </w:r>
            <w:r w:rsidRPr="000C5E12">
              <w:rPr>
                <w:kern w:val="0"/>
                <w:sz w:val="20"/>
                <w:szCs w:val="20"/>
              </w:rPr>
              <w:t xml:space="preserve">(i.e., hazard ratio) covers 1, or 0 for numerical variables. When the statistically significant clinical benefit was not reported or not measured, the judgement was based on the PBAC view of the clinical magnitude </w:t>
            </w:r>
            <w:r w:rsidRPr="000C5E12">
              <w:rPr>
                <w:kern w:val="0"/>
                <w:sz w:val="20"/>
                <w:szCs w:val="20"/>
              </w:rPr>
              <w:fldChar w:fldCharType="begin">
                <w:fldData xml:space="preserve">PEVuZE5vdGU+PENpdGU+PEF1dGhvcj5IYXJyaXM8L0F1dGhvcj48WWVhcj4yMDE2PC9ZZWFyPjxS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</w:fldData>
              </w:fldChar>
            </w:r>
            <w:r w:rsidRPr="000C5E12">
              <w:rPr>
                <w:kern w:val="0"/>
                <w:sz w:val="20"/>
                <w:szCs w:val="20"/>
              </w:rPr>
              <w:instrText xml:space="preserve"> ADDIN EN.CITE </w:instrText>
            </w:r>
            <w:r w:rsidRPr="000C5E12">
              <w:rPr>
                <w:kern w:val="0"/>
                <w:sz w:val="20"/>
                <w:szCs w:val="20"/>
              </w:rPr>
              <w:fldChar w:fldCharType="begin">
                <w:fldData xml:space="preserve">PEVuZE5vdGU+PENpdGU+PEF1dGhvcj5IYXJyaXM8L0F1dGhvcj48WWVhcj4yMDE2PC9ZZWFyPjxS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</w:fldData>
              </w:fldChar>
            </w:r>
            <w:r w:rsidRPr="000C5E12">
              <w:rPr>
                <w:kern w:val="0"/>
                <w:sz w:val="20"/>
                <w:szCs w:val="20"/>
              </w:rPr>
              <w:instrText xml:space="preserve"> ADDIN EN.CITE.DATA </w:instrText>
            </w:r>
            <w:r w:rsidRPr="000C5E12">
              <w:rPr>
                <w:kern w:val="0"/>
                <w:sz w:val="20"/>
                <w:szCs w:val="20"/>
              </w:rPr>
            </w:r>
            <w:r w:rsidRPr="000C5E12">
              <w:rPr>
                <w:kern w:val="0"/>
                <w:sz w:val="20"/>
                <w:szCs w:val="20"/>
              </w:rPr>
              <w:fldChar w:fldCharType="end"/>
            </w:r>
            <w:r w:rsidRPr="000C5E12">
              <w:rPr>
                <w:kern w:val="0"/>
                <w:sz w:val="20"/>
                <w:szCs w:val="20"/>
              </w:rPr>
            </w:r>
            <w:r w:rsidRPr="000C5E12">
              <w:rPr>
                <w:kern w:val="0"/>
                <w:sz w:val="20"/>
                <w:szCs w:val="20"/>
              </w:rPr>
              <w:fldChar w:fldCharType="separate"/>
            </w:r>
            <w:r w:rsidRPr="000C5E12">
              <w:rPr>
                <w:noProof/>
                <w:kern w:val="0"/>
                <w:sz w:val="20"/>
                <w:szCs w:val="20"/>
              </w:rPr>
              <w:t>[2, 3]</w:t>
            </w:r>
            <w:r w:rsidRPr="000C5E12">
              <w:rPr>
                <w:kern w:val="0"/>
                <w:sz w:val="20"/>
                <w:szCs w:val="20"/>
              </w:rPr>
              <w:fldChar w:fldCharType="end"/>
            </w:r>
            <w:r w:rsidRPr="000C5E12">
              <w:rPr>
                <w:kern w:val="0"/>
                <w:sz w:val="20"/>
                <w:szCs w:val="20"/>
              </w:rPr>
              <w:t>.</w:t>
            </w:r>
          </w:p>
        </w:tc>
      </w:tr>
      <w:tr w:rsidR="00B51ED4" w:rsidRPr="000C5E12" w14:paraId="113E0EEE" w14:textId="77777777" w:rsidTr="00123299">
        <w:trPr>
          <w:trHeight w:val="321"/>
        </w:trPr>
        <w:tc>
          <w:tcPr>
            <w:tcW w:w="1895" w:type="dxa"/>
            <w:vMerge/>
            <w:tcBorders>
              <w:top w:val="nil"/>
              <w:bottom w:val="nil"/>
            </w:tcBorders>
            <w:shd w:val="clear" w:color="auto" w:fill="auto"/>
          </w:tcPr>
          <w:p w14:paraId="35C7BC6B" w14:textId="77777777" w:rsidR="00B51ED4" w:rsidRPr="000C5E12" w:rsidRDefault="00B51ED4" w:rsidP="000C5E12">
            <w:pPr>
              <w:adjustRightInd w:val="0"/>
              <w:snapToGrid w:val="0"/>
              <w:rPr>
                <w:kern w:val="0"/>
                <w:sz w:val="20"/>
                <w:szCs w:val="20"/>
              </w:rPr>
            </w:pPr>
          </w:p>
        </w:tc>
        <w:tc>
          <w:tcPr>
            <w:tcW w:w="2340" w:type="dxa"/>
            <w:tcBorders>
              <w:top w:val="nil"/>
              <w:bottom w:val="nil"/>
            </w:tcBorders>
            <w:shd w:val="clear" w:color="auto" w:fill="auto"/>
            <w:vAlign w:val="center"/>
          </w:tcPr>
          <w:p w14:paraId="5FAEB8EC" w14:textId="7BA1BAA7" w:rsidR="00B51ED4" w:rsidRPr="000C5E12" w:rsidRDefault="00B51ED4" w:rsidP="000C5E12">
            <w:pPr>
              <w:adjustRightInd w:val="0"/>
              <w:snapToGrid w:val="0"/>
              <w:rPr>
                <w:kern w:val="0"/>
                <w:sz w:val="20"/>
                <w:szCs w:val="20"/>
              </w:rPr>
            </w:pPr>
          </w:p>
        </w:tc>
        <w:tc>
          <w:tcPr>
            <w:tcW w:w="2858" w:type="dxa"/>
            <w:tcBorders>
              <w:top w:val="nil"/>
              <w:bottom w:val="nil"/>
            </w:tcBorders>
            <w:shd w:val="clear" w:color="auto" w:fill="auto"/>
            <w:vAlign w:val="center"/>
          </w:tcPr>
          <w:p w14:paraId="0E215AAD" w14:textId="1A2DD505" w:rsidR="00B51ED4" w:rsidRPr="000C5E12" w:rsidRDefault="00B51ED4" w:rsidP="000C5E12">
            <w:pPr>
              <w:adjustRightInd w:val="0"/>
              <w:snapToGrid w:val="0"/>
              <w:rPr>
                <w:kern w:val="0"/>
                <w:sz w:val="20"/>
                <w:szCs w:val="20"/>
              </w:rPr>
            </w:pPr>
          </w:p>
        </w:tc>
        <w:tc>
          <w:tcPr>
            <w:tcW w:w="7312" w:type="dxa"/>
            <w:tcBorders>
              <w:top w:val="nil"/>
              <w:bottom w:val="nil"/>
            </w:tcBorders>
            <w:shd w:val="clear" w:color="auto" w:fill="auto"/>
            <w:vAlign w:val="center"/>
          </w:tcPr>
          <w:p w14:paraId="30A05087" w14:textId="4C8DB1A7" w:rsidR="00B51ED4" w:rsidRPr="000C5E12" w:rsidRDefault="00B51ED4" w:rsidP="000C5E12">
            <w:pPr>
              <w:widowControl/>
              <w:adjustRightInd w:val="0"/>
              <w:snapToGrid w:val="0"/>
              <w:jc w:val="left"/>
              <w:rPr>
                <w:kern w:val="0"/>
                <w:sz w:val="20"/>
                <w:szCs w:val="20"/>
              </w:rPr>
            </w:pPr>
          </w:p>
        </w:tc>
      </w:tr>
      <w:tr w:rsidR="00B51ED4" w:rsidRPr="000C5E12" w14:paraId="0D8E5E98" w14:textId="77777777" w:rsidTr="00123299">
        <w:trPr>
          <w:trHeight w:val="321"/>
        </w:trPr>
        <w:tc>
          <w:tcPr>
            <w:tcW w:w="1895" w:type="dxa"/>
            <w:vMerge/>
            <w:tcBorders>
              <w:top w:val="nil"/>
              <w:bottom w:val="nil"/>
            </w:tcBorders>
            <w:shd w:val="clear" w:color="auto" w:fill="auto"/>
          </w:tcPr>
          <w:p w14:paraId="30B466F6" w14:textId="77777777" w:rsidR="00B51ED4" w:rsidRPr="000C5E12" w:rsidRDefault="00B51ED4" w:rsidP="000C5E12">
            <w:pPr>
              <w:adjustRightInd w:val="0"/>
              <w:snapToGrid w:val="0"/>
              <w:rPr>
                <w:kern w:val="0"/>
                <w:sz w:val="20"/>
                <w:szCs w:val="20"/>
              </w:rPr>
            </w:pPr>
          </w:p>
        </w:tc>
        <w:tc>
          <w:tcPr>
            <w:tcW w:w="2340" w:type="dxa"/>
            <w:tcBorders>
              <w:top w:val="nil"/>
              <w:bottom w:val="nil"/>
            </w:tcBorders>
            <w:shd w:val="clear" w:color="auto" w:fill="auto"/>
            <w:vAlign w:val="center"/>
            <w:hideMark/>
          </w:tcPr>
          <w:p w14:paraId="14CF89AB" w14:textId="0B32A36E" w:rsidR="00B51ED4" w:rsidRPr="000C5E12" w:rsidRDefault="00B51ED4" w:rsidP="000C5E12">
            <w:pPr>
              <w:adjustRightInd w:val="0"/>
              <w:snapToGrid w:val="0"/>
              <w:rPr>
                <w:kern w:val="0"/>
                <w:sz w:val="20"/>
                <w:szCs w:val="20"/>
              </w:rPr>
            </w:pPr>
            <w:r w:rsidRPr="000C5E12">
              <w:rPr>
                <w:kern w:val="0"/>
                <w:sz w:val="20"/>
                <w:szCs w:val="20"/>
              </w:rPr>
              <w:t>The financial burden on PBS</w:t>
            </w:r>
          </w:p>
        </w:tc>
        <w:tc>
          <w:tcPr>
            <w:tcW w:w="2858" w:type="dxa"/>
            <w:tcBorders>
              <w:top w:val="nil"/>
              <w:bottom w:val="nil"/>
            </w:tcBorders>
            <w:shd w:val="clear" w:color="auto" w:fill="auto"/>
            <w:vAlign w:val="center"/>
            <w:hideMark/>
          </w:tcPr>
          <w:p w14:paraId="78E12A5A" w14:textId="0A3EC0FE" w:rsidR="00B51ED4" w:rsidRPr="000C5E12" w:rsidRDefault="00B51ED4" w:rsidP="000C5E12">
            <w:pPr>
              <w:adjustRightInd w:val="0"/>
              <w:snapToGrid w:val="0"/>
              <w:rPr>
                <w:kern w:val="0"/>
                <w:sz w:val="20"/>
                <w:szCs w:val="20"/>
              </w:rPr>
            </w:pPr>
            <w:r w:rsidRPr="000C5E12">
              <w:rPr>
                <w:kern w:val="0"/>
                <w:sz w:val="20"/>
                <w:szCs w:val="20"/>
              </w:rPr>
              <w:t>0-more than A$ 10 million</w:t>
            </w:r>
          </w:p>
          <w:p w14:paraId="7122B89A" w14:textId="247E8ED7" w:rsidR="00B51ED4" w:rsidRPr="000C5E12" w:rsidRDefault="00B51ED4" w:rsidP="000C5E12">
            <w:pPr>
              <w:adjustRightInd w:val="0"/>
              <w:snapToGrid w:val="0"/>
              <w:rPr>
                <w:kern w:val="0"/>
                <w:sz w:val="20"/>
                <w:szCs w:val="20"/>
              </w:rPr>
            </w:pPr>
            <w:r w:rsidRPr="000C5E12">
              <w:rPr>
                <w:kern w:val="0"/>
                <w:sz w:val="20"/>
                <w:szCs w:val="20"/>
              </w:rPr>
              <w:t>1-less than A$ 10 million</w:t>
            </w:r>
          </w:p>
        </w:tc>
        <w:tc>
          <w:tcPr>
            <w:tcW w:w="7312" w:type="dxa"/>
            <w:tcBorders>
              <w:top w:val="nil"/>
              <w:bottom w:val="nil"/>
            </w:tcBorders>
            <w:shd w:val="clear" w:color="auto" w:fill="auto"/>
            <w:vAlign w:val="center"/>
            <w:hideMark/>
          </w:tcPr>
          <w:p w14:paraId="5C10DA2A" w14:textId="7411B62A" w:rsidR="00B51ED4" w:rsidRPr="000C5E12" w:rsidRDefault="00B51ED4" w:rsidP="000C5E12">
            <w:pPr>
              <w:adjustRightInd w:val="0"/>
              <w:snapToGrid w:val="0"/>
              <w:rPr>
                <w:kern w:val="0"/>
                <w:sz w:val="20"/>
                <w:szCs w:val="20"/>
              </w:rPr>
            </w:pPr>
            <w:r w:rsidRPr="000C5E12">
              <w:rPr>
                <w:kern w:val="0"/>
                <w:sz w:val="20"/>
                <w:szCs w:val="20"/>
              </w:rPr>
              <w:t xml:space="preserve">Net cost to the PBS per annum at the fifth or sixth year or per year and the upper bound was used to categorise </w:t>
            </w:r>
            <w:r w:rsidRPr="000C5E12">
              <w:rPr>
                <w:kern w:val="0"/>
                <w:sz w:val="20"/>
                <w:szCs w:val="20"/>
              </w:rPr>
              <w:fldChar w:fldCharType="begin">
                <w:fldData xml:space="preserve">PEVuZE5vdGU+PENpdGU+PEF1dGhvcj5NYXVza29wZjwvQXV0aG9yPjxZZWFyPjIwMTM8L1llYXI+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==
</w:fldData>
              </w:fldChar>
            </w:r>
            <w:r w:rsidR="00AD61C8">
              <w:rPr>
                <w:kern w:val="0"/>
                <w:sz w:val="20"/>
                <w:szCs w:val="20"/>
              </w:rPr>
              <w:instrText xml:space="preserve"> ADDIN EN.CITE </w:instrText>
            </w:r>
            <w:r w:rsidR="00AD61C8">
              <w:rPr>
                <w:kern w:val="0"/>
                <w:sz w:val="20"/>
                <w:szCs w:val="20"/>
              </w:rPr>
              <w:fldChar w:fldCharType="begin">
                <w:fldData xml:space="preserve">PEVuZE5vdGU+PENpdGU+PEF1dGhvcj5NYXVza29wZjwvQXV0aG9yPjxZZWFyPjIwMTM8L1llYXI+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==
</w:fldData>
              </w:fldChar>
            </w:r>
            <w:r w:rsidR="00AD61C8">
              <w:rPr>
                <w:kern w:val="0"/>
                <w:sz w:val="20"/>
                <w:szCs w:val="20"/>
              </w:rPr>
              <w:instrText xml:space="preserve"> ADDIN EN.CITE.DATA </w:instrText>
            </w:r>
            <w:r w:rsidR="00AD61C8">
              <w:rPr>
                <w:kern w:val="0"/>
                <w:sz w:val="20"/>
                <w:szCs w:val="20"/>
              </w:rPr>
            </w:r>
            <w:r w:rsidR="00AD61C8">
              <w:rPr>
                <w:kern w:val="0"/>
                <w:sz w:val="20"/>
                <w:szCs w:val="20"/>
              </w:rPr>
              <w:fldChar w:fldCharType="end"/>
            </w:r>
            <w:r w:rsidRPr="000C5E12">
              <w:rPr>
                <w:kern w:val="0"/>
                <w:sz w:val="20"/>
                <w:szCs w:val="20"/>
              </w:rPr>
            </w:r>
            <w:r w:rsidRPr="000C5E12">
              <w:rPr>
                <w:kern w:val="0"/>
                <w:sz w:val="20"/>
                <w:szCs w:val="20"/>
              </w:rPr>
              <w:fldChar w:fldCharType="separate"/>
            </w:r>
            <w:r w:rsidR="00AD61C8">
              <w:rPr>
                <w:noProof/>
                <w:kern w:val="0"/>
                <w:sz w:val="20"/>
                <w:szCs w:val="20"/>
              </w:rPr>
              <w:t>[61]</w:t>
            </w:r>
            <w:r w:rsidRPr="000C5E12">
              <w:rPr>
                <w:kern w:val="0"/>
                <w:sz w:val="20"/>
                <w:szCs w:val="20"/>
              </w:rPr>
              <w:fldChar w:fldCharType="end"/>
            </w:r>
            <w:r w:rsidRPr="000C5E12">
              <w:rPr>
                <w:kern w:val="0"/>
                <w:sz w:val="20"/>
                <w:szCs w:val="20"/>
              </w:rPr>
              <w:t xml:space="preserve">. </w:t>
            </w:r>
          </w:p>
        </w:tc>
      </w:tr>
      <w:tr w:rsidR="00B51ED4" w:rsidRPr="000C5E12" w14:paraId="460915CB" w14:textId="77777777" w:rsidTr="00123299">
        <w:trPr>
          <w:trHeight w:val="321"/>
        </w:trPr>
        <w:tc>
          <w:tcPr>
            <w:tcW w:w="1895" w:type="dxa"/>
            <w:vMerge/>
            <w:tcBorders>
              <w:top w:val="nil"/>
              <w:bottom w:val="nil"/>
            </w:tcBorders>
            <w:shd w:val="clear" w:color="auto" w:fill="auto"/>
          </w:tcPr>
          <w:p w14:paraId="2D38E3B8" w14:textId="77777777" w:rsidR="00B51ED4" w:rsidRPr="000C5E12" w:rsidRDefault="00B51ED4" w:rsidP="000C5E12">
            <w:pPr>
              <w:adjustRightInd w:val="0"/>
              <w:snapToGrid w:val="0"/>
              <w:rPr>
                <w:kern w:val="0"/>
                <w:sz w:val="20"/>
                <w:szCs w:val="20"/>
              </w:rPr>
            </w:pPr>
          </w:p>
        </w:tc>
        <w:tc>
          <w:tcPr>
            <w:tcW w:w="2340" w:type="dxa"/>
            <w:tcBorders>
              <w:top w:val="nil"/>
              <w:bottom w:val="nil"/>
            </w:tcBorders>
            <w:shd w:val="clear" w:color="auto" w:fill="auto"/>
            <w:vAlign w:val="center"/>
          </w:tcPr>
          <w:p w14:paraId="29CF9ED3" w14:textId="7F20ED34" w:rsidR="00B51ED4" w:rsidRPr="000C5E12" w:rsidRDefault="00B51ED4" w:rsidP="000C5E12">
            <w:pPr>
              <w:adjustRightInd w:val="0"/>
              <w:snapToGrid w:val="0"/>
              <w:rPr>
                <w:kern w:val="0"/>
                <w:sz w:val="20"/>
                <w:szCs w:val="20"/>
              </w:rPr>
            </w:pPr>
            <w:r w:rsidRPr="000C5E12">
              <w:rPr>
                <w:kern w:val="0"/>
                <w:sz w:val="20"/>
                <w:szCs w:val="20"/>
              </w:rPr>
              <w:t xml:space="preserve">Severity of disease </w:t>
            </w:r>
          </w:p>
        </w:tc>
        <w:tc>
          <w:tcPr>
            <w:tcW w:w="2858" w:type="dxa"/>
            <w:tcBorders>
              <w:top w:val="nil"/>
              <w:bottom w:val="nil"/>
            </w:tcBorders>
            <w:shd w:val="clear" w:color="auto" w:fill="auto"/>
            <w:vAlign w:val="center"/>
          </w:tcPr>
          <w:p w14:paraId="1D0CC192" w14:textId="5A45EB53" w:rsidR="00B51ED4" w:rsidRPr="000C5E12" w:rsidRDefault="00B51ED4" w:rsidP="000C5E12">
            <w:pPr>
              <w:adjustRightInd w:val="0"/>
              <w:snapToGrid w:val="0"/>
              <w:rPr>
                <w:kern w:val="0"/>
                <w:sz w:val="20"/>
                <w:szCs w:val="20"/>
              </w:rPr>
            </w:pPr>
            <w:r w:rsidRPr="000C5E12">
              <w:rPr>
                <w:kern w:val="0"/>
                <w:sz w:val="20"/>
                <w:szCs w:val="20"/>
              </w:rPr>
              <w:t xml:space="preserve">0-not severe </w:t>
            </w:r>
          </w:p>
          <w:p w14:paraId="0D6ACB5E" w14:textId="489F9019" w:rsidR="00B51ED4" w:rsidRPr="000C5E12" w:rsidRDefault="00B51ED4" w:rsidP="000C5E12">
            <w:pPr>
              <w:adjustRightInd w:val="0"/>
              <w:snapToGrid w:val="0"/>
              <w:rPr>
                <w:kern w:val="0"/>
                <w:sz w:val="20"/>
                <w:szCs w:val="20"/>
              </w:rPr>
            </w:pPr>
            <w:r w:rsidRPr="000C5E12">
              <w:rPr>
                <w:kern w:val="0"/>
                <w:sz w:val="20"/>
                <w:szCs w:val="20"/>
              </w:rPr>
              <w:t xml:space="preserve">1-severe </w:t>
            </w:r>
          </w:p>
        </w:tc>
        <w:tc>
          <w:tcPr>
            <w:tcW w:w="7312" w:type="dxa"/>
            <w:tcBorders>
              <w:top w:val="nil"/>
              <w:bottom w:val="nil"/>
            </w:tcBorders>
            <w:shd w:val="clear" w:color="auto" w:fill="auto"/>
            <w:vAlign w:val="center"/>
          </w:tcPr>
          <w:p w14:paraId="55089A02" w14:textId="4F04135C" w:rsidR="00B51ED4" w:rsidRPr="000C5E12" w:rsidRDefault="00B51ED4" w:rsidP="000C5E12">
            <w:pPr>
              <w:adjustRightInd w:val="0"/>
              <w:snapToGrid w:val="0"/>
              <w:rPr>
                <w:kern w:val="0"/>
                <w:sz w:val="20"/>
                <w:szCs w:val="20"/>
              </w:rPr>
            </w:pPr>
            <w:r w:rsidRPr="000C5E12">
              <w:rPr>
                <w:kern w:val="0"/>
                <w:sz w:val="20"/>
                <w:szCs w:val="20"/>
              </w:rPr>
              <w:t xml:space="preserve">The most common definition used to measure the severity of the disease is from the perspective of a life-threatening condition, which is defined as a five-year survival rate was less than 50% </w:t>
            </w:r>
            <w:r w:rsidRPr="000C5E12">
              <w:rPr>
                <w:kern w:val="0"/>
                <w:sz w:val="20"/>
                <w:szCs w:val="20"/>
              </w:rPr>
              <w:fldChar w:fldCharType="begin">
                <w:fldData xml:space="preserve">PEVuZE5vdGU+PENpdGU+PEF1dGhvcj5LYXNwZXI8L0F1dGhvcj48WWVhcj4yMDE1PC9ZZWFyPjxS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</w:fldData>
              </w:fldChar>
            </w:r>
            <w:r w:rsidR="00AD61C8">
              <w:rPr>
                <w:kern w:val="0"/>
                <w:sz w:val="20"/>
                <w:szCs w:val="20"/>
              </w:rPr>
              <w:instrText xml:space="preserve"> ADDIN EN.CITE </w:instrText>
            </w:r>
            <w:r w:rsidR="00AD61C8">
              <w:rPr>
                <w:kern w:val="0"/>
                <w:sz w:val="20"/>
                <w:szCs w:val="20"/>
              </w:rPr>
              <w:fldChar w:fldCharType="begin">
                <w:fldData xml:space="preserve">PEVuZE5vdGU+PENpdGU+PEF1dGhvcj5LYXNwZXI8L0F1dGhvcj48WWVhcj4yMDE1PC9ZZWFyPjxS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</w:fldData>
              </w:fldChar>
            </w:r>
            <w:r w:rsidR="00AD61C8">
              <w:rPr>
                <w:kern w:val="0"/>
                <w:sz w:val="20"/>
                <w:szCs w:val="20"/>
              </w:rPr>
              <w:instrText xml:space="preserve"> ADDIN EN.CITE.DATA </w:instrText>
            </w:r>
            <w:r w:rsidR="00AD61C8">
              <w:rPr>
                <w:kern w:val="0"/>
                <w:sz w:val="20"/>
                <w:szCs w:val="20"/>
              </w:rPr>
            </w:r>
            <w:r w:rsidR="00AD61C8">
              <w:rPr>
                <w:kern w:val="0"/>
                <w:sz w:val="20"/>
                <w:szCs w:val="20"/>
              </w:rPr>
              <w:fldChar w:fldCharType="end"/>
            </w:r>
            <w:r w:rsidRPr="000C5E12">
              <w:rPr>
                <w:kern w:val="0"/>
                <w:sz w:val="20"/>
                <w:szCs w:val="20"/>
              </w:rPr>
            </w:r>
            <w:r w:rsidRPr="000C5E12">
              <w:rPr>
                <w:kern w:val="0"/>
                <w:sz w:val="20"/>
                <w:szCs w:val="20"/>
              </w:rPr>
              <w:fldChar w:fldCharType="separate"/>
            </w:r>
            <w:r w:rsidR="00AD61C8">
              <w:rPr>
                <w:noProof/>
                <w:kern w:val="0"/>
                <w:sz w:val="20"/>
                <w:szCs w:val="20"/>
              </w:rPr>
              <w:t>[3, 62]</w:t>
            </w:r>
            <w:r w:rsidRPr="000C5E12">
              <w:rPr>
                <w:kern w:val="0"/>
                <w:sz w:val="20"/>
                <w:szCs w:val="20"/>
              </w:rPr>
              <w:fldChar w:fldCharType="end"/>
            </w:r>
            <w:r w:rsidRPr="000C5E12">
              <w:rPr>
                <w:rFonts w:hint="eastAsia"/>
                <w:kern w:val="0"/>
                <w:sz w:val="20"/>
                <w:szCs w:val="20"/>
              </w:rPr>
              <w:t>,</w:t>
            </w:r>
            <w:r w:rsidRPr="000C5E12">
              <w:rPr>
                <w:kern w:val="0"/>
                <w:sz w:val="20"/>
                <w:szCs w:val="20"/>
              </w:rPr>
              <w:t xml:space="preserve"> in this study the rare disease </w:t>
            </w:r>
            <w:r w:rsidR="006A3453">
              <w:rPr>
                <w:rFonts w:hint="eastAsia"/>
                <w:kern w:val="0"/>
                <w:sz w:val="20"/>
                <w:szCs w:val="20"/>
              </w:rPr>
              <w:t xml:space="preserve">was not </w:t>
            </w:r>
            <w:r w:rsidRPr="000C5E12">
              <w:rPr>
                <w:kern w:val="0"/>
                <w:sz w:val="20"/>
                <w:szCs w:val="20"/>
              </w:rPr>
              <w:t>regarded as severe.</w:t>
            </w:r>
          </w:p>
        </w:tc>
      </w:tr>
      <w:tr w:rsidR="00B51ED4" w:rsidRPr="000C5E12" w14:paraId="3E3E420C" w14:textId="77777777" w:rsidTr="00123299">
        <w:trPr>
          <w:trHeight w:val="506"/>
        </w:trPr>
        <w:tc>
          <w:tcPr>
            <w:tcW w:w="1895" w:type="dxa"/>
            <w:vMerge/>
            <w:tcBorders>
              <w:top w:val="nil"/>
              <w:bottom w:val="nil"/>
              <w:right w:val="nil"/>
            </w:tcBorders>
            <w:shd w:val="clear" w:color="auto" w:fill="auto"/>
          </w:tcPr>
          <w:p w14:paraId="24065998" w14:textId="77777777" w:rsidR="00B51ED4" w:rsidRPr="000C5E12" w:rsidRDefault="00B51ED4" w:rsidP="000C5E12">
            <w:pPr>
              <w:adjustRightInd w:val="0"/>
              <w:snapToGrid w:val="0"/>
              <w:rPr>
                <w:kern w:val="0"/>
                <w:sz w:val="20"/>
                <w:szCs w:val="20"/>
              </w:rPr>
            </w:pPr>
          </w:p>
        </w:tc>
        <w:tc>
          <w:tcPr>
            <w:tcW w:w="2340" w:type="dxa"/>
            <w:tcBorders>
              <w:top w:val="nil"/>
              <w:left w:val="nil"/>
              <w:bottom w:val="nil"/>
              <w:right w:val="nil"/>
            </w:tcBorders>
            <w:shd w:val="clear" w:color="auto" w:fill="auto"/>
            <w:vAlign w:val="center"/>
          </w:tcPr>
          <w:p w14:paraId="5EEF25F4" w14:textId="1C59A352" w:rsidR="00B51ED4" w:rsidRPr="000C5E12" w:rsidRDefault="00B51ED4" w:rsidP="000C5E12">
            <w:pPr>
              <w:adjustRightInd w:val="0"/>
              <w:snapToGrid w:val="0"/>
              <w:rPr>
                <w:kern w:val="0"/>
                <w:sz w:val="20"/>
                <w:szCs w:val="20"/>
              </w:rPr>
            </w:pPr>
            <w:r w:rsidRPr="000C5E12">
              <w:rPr>
                <w:kern w:val="0"/>
                <w:sz w:val="20"/>
                <w:szCs w:val="20"/>
              </w:rPr>
              <w:t xml:space="preserve">ICER </w:t>
            </w:r>
            <w:r w:rsidR="008C69F2" w:rsidRPr="000C5E12">
              <w:rPr>
                <w:kern w:val="0"/>
                <w:sz w:val="20"/>
                <w:szCs w:val="20"/>
              </w:rPr>
              <w:t xml:space="preserve">in </w:t>
            </w:r>
            <w:r w:rsidR="00B07475">
              <w:rPr>
                <w:rFonts w:hint="eastAsia"/>
                <w:kern w:val="0"/>
                <w:sz w:val="20"/>
                <w:szCs w:val="20"/>
              </w:rPr>
              <w:t xml:space="preserve">the </w:t>
            </w:r>
            <w:r w:rsidR="008C69F2" w:rsidRPr="000C5E12">
              <w:rPr>
                <w:kern w:val="0"/>
                <w:sz w:val="20"/>
                <w:szCs w:val="20"/>
              </w:rPr>
              <w:t>base</w:t>
            </w:r>
            <w:r w:rsidRPr="000C5E12">
              <w:rPr>
                <w:kern w:val="0"/>
                <w:sz w:val="20"/>
                <w:szCs w:val="20"/>
              </w:rPr>
              <w:t xml:space="preserve"> case</w:t>
            </w:r>
          </w:p>
        </w:tc>
        <w:tc>
          <w:tcPr>
            <w:tcW w:w="2858" w:type="dxa"/>
            <w:tcBorders>
              <w:top w:val="nil"/>
              <w:left w:val="nil"/>
              <w:bottom w:val="nil"/>
              <w:right w:val="nil"/>
            </w:tcBorders>
            <w:shd w:val="clear" w:color="auto" w:fill="auto"/>
          </w:tcPr>
          <w:p w14:paraId="55C0CB75" w14:textId="45917981" w:rsidR="00B51ED4" w:rsidRPr="000C5E12" w:rsidRDefault="00B51ED4" w:rsidP="000C5E12">
            <w:pPr>
              <w:adjustRightInd w:val="0"/>
              <w:snapToGrid w:val="0"/>
              <w:rPr>
                <w:kern w:val="0"/>
                <w:sz w:val="20"/>
                <w:szCs w:val="20"/>
              </w:rPr>
            </w:pPr>
            <w:r w:rsidRPr="000C5E12">
              <w:rPr>
                <w:kern w:val="0"/>
                <w:sz w:val="20"/>
                <w:szCs w:val="20"/>
              </w:rPr>
              <w:t>0-More than A$ 45000/QALYs</w:t>
            </w:r>
          </w:p>
          <w:p w14:paraId="178FE1ED" w14:textId="074C0D5D" w:rsidR="00B51ED4" w:rsidRPr="000C5E12" w:rsidRDefault="00B51ED4" w:rsidP="005A20E3">
            <w:pPr>
              <w:adjustRightInd w:val="0"/>
              <w:snapToGrid w:val="0"/>
              <w:rPr>
                <w:sz w:val="20"/>
                <w:szCs w:val="20"/>
              </w:rPr>
            </w:pPr>
            <w:r w:rsidRPr="000C5E12">
              <w:rPr>
                <w:sz w:val="20"/>
                <w:szCs w:val="20"/>
              </w:rPr>
              <w:t>1-</w:t>
            </w:r>
            <w:r w:rsidR="005A20E3" w:rsidRPr="000C5E12">
              <w:rPr>
                <w:sz w:val="20"/>
                <w:szCs w:val="20"/>
              </w:rPr>
              <w:t xml:space="preserve"> Less than or equal to</w:t>
            </w:r>
            <w:r w:rsidR="005A20E3" w:rsidRPr="000C5E12" w:rsidDel="005A20E3">
              <w:rPr>
                <w:sz w:val="20"/>
                <w:szCs w:val="20"/>
              </w:rPr>
              <w:t xml:space="preserve"> </w:t>
            </w:r>
            <w:r w:rsidRPr="000C5E12">
              <w:rPr>
                <w:sz w:val="20"/>
                <w:szCs w:val="20"/>
              </w:rPr>
              <w:t>A$ 45000/QALYs</w:t>
            </w:r>
          </w:p>
        </w:tc>
        <w:tc>
          <w:tcPr>
            <w:tcW w:w="7312" w:type="dxa"/>
            <w:tcBorders>
              <w:top w:val="nil"/>
              <w:left w:val="nil"/>
              <w:bottom w:val="nil"/>
              <w:right w:val="nil"/>
            </w:tcBorders>
            <w:shd w:val="clear" w:color="auto" w:fill="auto"/>
            <w:vAlign w:val="center"/>
          </w:tcPr>
          <w:p w14:paraId="05DB043D" w14:textId="50504744" w:rsidR="00B51ED4" w:rsidRPr="000C5E12" w:rsidRDefault="00B51ED4" w:rsidP="001E3A10">
            <w:pPr>
              <w:adjustRightInd w:val="0"/>
              <w:snapToGrid w:val="0"/>
              <w:rPr>
                <w:kern w:val="0"/>
                <w:sz w:val="20"/>
                <w:szCs w:val="20"/>
              </w:rPr>
            </w:pPr>
            <w:r w:rsidRPr="000C5E12">
              <w:rPr>
                <w:kern w:val="0"/>
                <w:sz w:val="20"/>
                <w:szCs w:val="20"/>
              </w:rPr>
              <w:t xml:space="preserve">The upper limit of ICER in the </w:t>
            </w:r>
            <w:r w:rsidRPr="000C5E12">
              <w:rPr>
                <w:rFonts w:hint="eastAsia"/>
                <w:kern w:val="0"/>
                <w:sz w:val="20"/>
                <w:szCs w:val="20"/>
              </w:rPr>
              <w:t>base case</w:t>
            </w:r>
            <w:r w:rsidRPr="000C5E12">
              <w:rPr>
                <w:kern w:val="0"/>
                <w:sz w:val="20"/>
                <w:szCs w:val="20"/>
              </w:rPr>
              <w:t xml:space="preserve"> was identified, as the PBAC presented the categorical ICER instead of a specific value in the submissions </w:t>
            </w:r>
            <w:r w:rsidRPr="000C5E12">
              <w:rPr>
                <w:kern w:val="0"/>
                <w:sz w:val="20"/>
                <w:szCs w:val="20"/>
              </w:rPr>
              <w:fldChar w:fldCharType="begin">
                <w:fldData xml:space="preserve">PEVuZE5vdGU+PENpdGU+PEF1dGhvcj5IYXJyaXM8L0F1dGhvcj48WWVhcj4yMDA4PC9ZZWFyPjxS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</w:fldData>
              </w:fldChar>
            </w:r>
            <w:r w:rsidR="00AD61C8">
              <w:rPr>
                <w:kern w:val="0"/>
                <w:sz w:val="20"/>
                <w:szCs w:val="20"/>
              </w:rPr>
              <w:instrText xml:space="preserve"> ADDIN EN.CITE </w:instrText>
            </w:r>
            <w:r w:rsidR="00AD61C8">
              <w:rPr>
                <w:kern w:val="0"/>
                <w:sz w:val="20"/>
                <w:szCs w:val="20"/>
              </w:rPr>
              <w:fldChar w:fldCharType="begin">
                <w:fldData xml:space="preserve">PEVuZE5vdGU+PENpdGU+PEF1dGhvcj5IYXJyaXM8L0F1dGhvcj48WWVhcj4yMDA4PC9ZZWFyPjxS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</w:fldData>
              </w:fldChar>
            </w:r>
            <w:r w:rsidR="00AD61C8">
              <w:rPr>
                <w:kern w:val="0"/>
                <w:sz w:val="20"/>
                <w:szCs w:val="20"/>
              </w:rPr>
              <w:instrText xml:space="preserve"> ADDIN EN.CITE.DATA </w:instrText>
            </w:r>
            <w:r w:rsidR="00AD61C8">
              <w:rPr>
                <w:kern w:val="0"/>
                <w:sz w:val="20"/>
                <w:szCs w:val="20"/>
              </w:rPr>
            </w:r>
            <w:r w:rsidR="00AD61C8">
              <w:rPr>
                <w:kern w:val="0"/>
                <w:sz w:val="20"/>
                <w:szCs w:val="20"/>
              </w:rPr>
              <w:fldChar w:fldCharType="end"/>
            </w:r>
            <w:r w:rsidRPr="000C5E12">
              <w:rPr>
                <w:kern w:val="0"/>
                <w:sz w:val="20"/>
                <w:szCs w:val="20"/>
              </w:rPr>
            </w:r>
            <w:r w:rsidRPr="000C5E12">
              <w:rPr>
                <w:kern w:val="0"/>
                <w:sz w:val="20"/>
                <w:szCs w:val="20"/>
              </w:rPr>
              <w:fldChar w:fldCharType="separate"/>
            </w:r>
            <w:r w:rsidR="00AD61C8">
              <w:rPr>
                <w:noProof/>
                <w:kern w:val="0"/>
                <w:sz w:val="20"/>
                <w:szCs w:val="20"/>
              </w:rPr>
              <w:t>[2, 63]</w:t>
            </w:r>
            <w:r w:rsidRPr="000C5E12">
              <w:rPr>
                <w:kern w:val="0"/>
                <w:sz w:val="20"/>
                <w:szCs w:val="20"/>
              </w:rPr>
              <w:fldChar w:fldCharType="end"/>
            </w:r>
            <w:r w:rsidRPr="000C5E12">
              <w:rPr>
                <w:kern w:val="0"/>
                <w:sz w:val="20"/>
                <w:szCs w:val="20"/>
              </w:rPr>
              <w:t>.</w:t>
            </w:r>
          </w:p>
        </w:tc>
      </w:tr>
      <w:tr w:rsidR="003039D5" w:rsidRPr="000C5E12" w14:paraId="7ACC1021" w14:textId="77777777" w:rsidTr="00123299">
        <w:trPr>
          <w:trHeight w:val="506"/>
        </w:trPr>
        <w:tc>
          <w:tcPr>
            <w:tcW w:w="1895" w:type="dxa"/>
            <w:tcBorders>
              <w:top w:val="nil"/>
              <w:bottom w:val="nil"/>
              <w:right w:val="nil"/>
            </w:tcBorders>
            <w:shd w:val="clear" w:color="auto" w:fill="auto"/>
          </w:tcPr>
          <w:p w14:paraId="2ED75DEE" w14:textId="77777777" w:rsidR="003039D5" w:rsidRPr="000C5E12" w:rsidRDefault="003039D5" w:rsidP="003039D5">
            <w:pPr>
              <w:adjustRightInd w:val="0"/>
              <w:snapToGrid w:val="0"/>
              <w:rPr>
                <w:kern w:val="0"/>
                <w:sz w:val="20"/>
                <w:szCs w:val="20"/>
              </w:rPr>
            </w:pPr>
          </w:p>
        </w:tc>
        <w:tc>
          <w:tcPr>
            <w:tcW w:w="2340" w:type="dxa"/>
            <w:tcBorders>
              <w:top w:val="nil"/>
              <w:left w:val="nil"/>
              <w:bottom w:val="nil"/>
              <w:right w:val="nil"/>
            </w:tcBorders>
            <w:shd w:val="clear" w:color="auto" w:fill="auto"/>
            <w:vAlign w:val="center"/>
          </w:tcPr>
          <w:p w14:paraId="173B2D88" w14:textId="3E0DEC5A" w:rsidR="003039D5" w:rsidRPr="000C5E12" w:rsidRDefault="003039D5" w:rsidP="003039D5">
            <w:pPr>
              <w:adjustRightInd w:val="0"/>
              <w:snapToGrid w:val="0"/>
              <w:rPr>
                <w:kern w:val="0"/>
                <w:sz w:val="20"/>
                <w:szCs w:val="20"/>
              </w:rPr>
            </w:pPr>
            <w:r w:rsidRPr="000C5E12">
              <w:rPr>
                <w:rFonts w:hint="eastAsia"/>
                <w:kern w:val="0"/>
                <w:sz w:val="20"/>
                <w:szCs w:val="20"/>
              </w:rPr>
              <w:t>Magnitude of clinical effectiveness </w:t>
            </w:r>
          </w:p>
        </w:tc>
        <w:tc>
          <w:tcPr>
            <w:tcW w:w="2858" w:type="dxa"/>
            <w:tcBorders>
              <w:top w:val="nil"/>
              <w:left w:val="nil"/>
              <w:bottom w:val="nil"/>
              <w:right w:val="nil"/>
            </w:tcBorders>
            <w:shd w:val="clear" w:color="auto" w:fill="auto"/>
          </w:tcPr>
          <w:p w14:paraId="3731129C" w14:textId="77777777" w:rsidR="003039D5" w:rsidRPr="000C5E12" w:rsidRDefault="003039D5" w:rsidP="003039D5">
            <w:pPr>
              <w:pStyle w:val="paragraph"/>
              <w:spacing w:before="0" w:beforeAutospacing="0" w:after="0" w:afterAutospacing="0"/>
              <w:jc w:val="both"/>
              <w:textAlignment w:val="baseline"/>
              <w:divId w:val="1763450858"/>
              <w:rPr>
                <w:rFonts w:eastAsia="SimSun"/>
                <w:sz w:val="20"/>
                <w:szCs w:val="20"/>
                <w:lang w:val="en-GB"/>
              </w:rPr>
            </w:pPr>
            <w:r w:rsidRPr="000C5E12">
              <w:rPr>
                <w:rFonts w:eastAsia="SimSun" w:hint="eastAsia"/>
                <w:sz w:val="20"/>
                <w:szCs w:val="20"/>
              </w:rPr>
              <w:t>0-Uncertain </w:t>
            </w:r>
            <w:r w:rsidRPr="000C5E12">
              <w:rPr>
                <w:rFonts w:eastAsia="SimSun" w:hint="eastAsia"/>
                <w:sz w:val="20"/>
                <w:szCs w:val="20"/>
                <w:lang w:val="en-GB"/>
              </w:rPr>
              <w:t> </w:t>
            </w:r>
          </w:p>
          <w:p w14:paraId="544E8B7A" w14:textId="70A3C34F" w:rsidR="003039D5" w:rsidRPr="000C5E12" w:rsidRDefault="003039D5" w:rsidP="003039D5">
            <w:pPr>
              <w:adjustRightInd w:val="0"/>
              <w:snapToGrid w:val="0"/>
              <w:rPr>
                <w:kern w:val="0"/>
                <w:sz w:val="20"/>
                <w:szCs w:val="20"/>
              </w:rPr>
            </w:pPr>
            <w:r w:rsidRPr="000C5E12">
              <w:rPr>
                <w:rFonts w:hint="eastAsia"/>
                <w:kern w:val="0"/>
                <w:sz w:val="20"/>
                <w:szCs w:val="20"/>
              </w:rPr>
              <w:t>1-Certain  </w:t>
            </w:r>
          </w:p>
        </w:tc>
        <w:tc>
          <w:tcPr>
            <w:tcW w:w="7312" w:type="dxa"/>
            <w:tcBorders>
              <w:top w:val="nil"/>
              <w:left w:val="nil"/>
              <w:bottom w:val="nil"/>
              <w:right w:val="nil"/>
            </w:tcBorders>
            <w:shd w:val="clear" w:color="auto" w:fill="auto"/>
            <w:vAlign w:val="center"/>
          </w:tcPr>
          <w:p w14:paraId="6449B5B0" w14:textId="5588A954" w:rsidR="003039D5" w:rsidRPr="000C5E12" w:rsidRDefault="003039D5" w:rsidP="003039D5">
            <w:pPr>
              <w:adjustRightInd w:val="0"/>
              <w:snapToGrid w:val="0"/>
              <w:rPr>
                <w:kern w:val="0"/>
                <w:sz w:val="20"/>
                <w:szCs w:val="20"/>
              </w:rPr>
            </w:pPr>
            <w:r w:rsidRPr="000C5E12">
              <w:rPr>
                <w:rFonts w:hint="eastAsia"/>
                <w:kern w:val="0"/>
                <w:sz w:val="20"/>
                <w:szCs w:val="20"/>
              </w:rPr>
              <w:t>The magnitude of clinical effectiveness was assessed based on whether the PBAC expressed a view that there was uncertainty regarding the clinically meaningful gain due to the treatment [3]. </w:t>
            </w:r>
          </w:p>
        </w:tc>
      </w:tr>
      <w:tr w:rsidR="00711731" w:rsidRPr="000C5E12" w14:paraId="5417C0E2" w14:textId="77777777" w:rsidTr="00123299">
        <w:trPr>
          <w:trHeight w:val="506"/>
        </w:trPr>
        <w:tc>
          <w:tcPr>
            <w:tcW w:w="1895" w:type="dxa"/>
            <w:tcBorders>
              <w:top w:val="nil"/>
              <w:bottom w:val="single" w:sz="4" w:space="0" w:color="auto"/>
              <w:right w:val="nil"/>
            </w:tcBorders>
            <w:shd w:val="clear" w:color="auto" w:fill="auto"/>
          </w:tcPr>
          <w:p w14:paraId="62FEB19F" w14:textId="77777777" w:rsidR="00711731" w:rsidRPr="000C5E12" w:rsidRDefault="00711731" w:rsidP="003039D5">
            <w:pPr>
              <w:adjustRightInd w:val="0"/>
              <w:snapToGrid w:val="0"/>
              <w:rPr>
                <w:kern w:val="0"/>
                <w:sz w:val="20"/>
                <w:szCs w:val="20"/>
              </w:rPr>
            </w:pPr>
          </w:p>
        </w:tc>
        <w:tc>
          <w:tcPr>
            <w:tcW w:w="2340" w:type="dxa"/>
            <w:tcBorders>
              <w:top w:val="nil"/>
              <w:left w:val="nil"/>
              <w:bottom w:val="single" w:sz="4" w:space="0" w:color="auto"/>
              <w:right w:val="nil"/>
            </w:tcBorders>
            <w:shd w:val="clear" w:color="auto" w:fill="auto"/>
            <w:vAlign w:val="center"/>
          </w:tcPr>
          <w:p w14:paraId="5FF1125A" w14:textId="57EE8848" w:rsidR="00711731" w:rsidRPr="000C5E12" w:rsidRDefault="00711731" w:rsidP="003039D5">
            <w:pPr>
              <w:adjustRightInd w:val="0"/>
              <w:snapToGrid w:val="0"/>
              <w:rPr>
                <w:kern w:val="0"/>
                <w:sz w:val="20"/>
                <w:szCs w:val="20"/>
              </w:rPr>
            </w:pPr>
            <w:r w:rsidRPr="000C5E12">
              <w:rPr>
                <w:kern w:val="0"/>
                <w:sz w:val="20"/>
                <w:szCs w:val="20"/>
              </w:rPr>
              <w:t>Clinical need</w:t>
            </w:r>
          </w:p>
        </w:tc>
        <w:tc>
          <w:tcPr>
            <w:tcW w:w="2858" w:type="dxa"/>
            <w:tcBorders>
              <w:top w:val="nil"/>
              <w:left w:val="nil"/>
              <w:bottom w:val="single" w:sz="4" w:space="0" w:color="auto"/>
              <w:right w:val="nil"/>
            </w:tcBorders>
            <w:shd w:val="clear" w:color="auto" w:fill="auto"/>
          </w:tcPr>
          <w:p w14:paraId="32957DBB" w14:textId="1151B4EA" w:rsidR="00711731" w:rsidRPr="000C5E12" w:rsidRDefault="00711731" w:rsidP="00711731">
            <w:pPr>
              <w:pStyle w:val="paragraph"/>
              <w:spacing w:before="0" w:beforeAutospacing="0" w:after="0" w:afterAutospacing="0"/>
              <w:jc w:val="both"/>
              <w:textAlignment w:val="baseline"/>
              <w:rPr>
                <w:rFonts w:eastAsia="SimSun"/>
                <w:sz w:val="20"/>
                <w:szCs w:val="20"/>
                <w:lang w:val="en-GB"/>
              </w:rPr>
            </w:pPr>
            <w:r w:rsidRPr="000C5E12">
              <w:rPr>
                <w:rFonts w:eastAsia="SimSun" w:hint="eastAsia"/>
                <w:sz w:val="20"/>
                <w:szCs w:val="20"/>
              </w:rPr>
              <w:t>0-</w:t>
            </w:r>
            <w:r w:rsidRPr="000C5E12">
              <w:rPr>
                <w:rFonts w:eastAsia="SimSun"/>
                <w:sz w:val="20"/>
                <w:szCs w:val="20"/>
              </w:rPr>
              <w:t>unclear, not mentioned or none</w:t>
            </w:r>
            <w:r w:rsidRPr="000C5E12">
              <w:rPr>
                <w:rFonts w:eastAsia="SimSun" w:hint="eastAsia"/>
                <w:sz w:val="20"/>
                <w:szCs w:val="20"/>
              </w:rPr>
              <w:t> </w:t>
            </w:r>
            <w:r w:rsidRPr="000C5E12">
              <w:rPr>
                <w:rFonts w:eastAsia="SimSun" w:hint="eastAsia"/>
                <w:sz w:val="20"/>
                <w:szCs w:val="20"/>
                <w:lang w:val="en-GB"/>
              </w:rPr>
              <w:t> </w:t>
            </w:r>
          </w:p>
          <w:p w14:paraId="3E59EE9F" w14:textId="2FC6CF32" w:rsidR="00711731" w:rsidRPr="000C5E12" w:rsidRDefault="00711731" w:rsidP="00711731">
            <w:pPr>
              <w:pStyle w:val="paragraph"/>
              <w:spacing w:before="0" w:beforeAutospacing="0" w:after="0" w:afterAutospacing="0"/>
              <w:jc w:val="both"/>
              <w:textAlignment w:val="baseline"/>
              <w:rPr>
                <w:rFonts w:eastAsia="SimSun"/>
                <w:sz w:val="20"/>
                <w:szCs w:val="20"/>
              </w:rPr>
            </w:pPr>
            <w:r w:rsidRPr="000C5E12">
              <w:rPr>
                <w:rFonts w:eastAsia="SimSun" w:hint="eastAsia"/>
                <w:sz w:val="20"/>
                <w:szCs w:val="20"/>
              </w:rPr>
              <w:t>1-</w:t>
            </w:r>
            <w:r w:rsidRPr="000C5E12">
              <w:rPr>
                <w:rFonts w:eastAsia="SimSun"/>
                <w:sz w:val="20"/>
                <w:szCs w:val="20"/>
              </w:rPr>
              <w:t>unmet clinical need</w:t>
            </w:r>
            <w:r w:rsidRPr="000C5E12">
              <w:rPr>
                <w:rFonts w:eastAsia="SimSun" w:hint="eastAsia"/>
                <w:sz w:val="20"/>
                <w:szCs w:val="20"/>
              </w:rPr>
              <w:t>  </w:t>
            </w:r>
          </w:p>
        </w:tc>
        <w:tc>
          <w:tcPr>
            <w:tcW w:w="7312" w:type="dxa"/>
            <w:tcBorders>
              <w:top w:val="nil"/>
              <w:left w:val="nil"/>
              <w:bottom w:val="single" w:sz="4" w:space="0" w:color="auto"/>
              <w:right w:val="nil"/>
            </w:tcBorders>
            <w:shd w:val="clear" w:color="auto" w:fill="auto"/>
            <w:vAlign w:val="center"/>
          </w:tcPr>
          <w:p w14:paraId="1B242121" w14:textId="3CD2A67A" w:rsidR="00711731" w:rsidRPr="000C5E12" w:rsidRDefault="00711731" w:rsidP="003039D5">
            <w:pPr>
              <w:adjustRightInd w:val="0"/>
              <w:snapToGrid w:val="0"/>
              <w:rPr>
                <w:kern w:val="0"/>
                <w:sz w:val="20"/>
                <w:szCs w:val="20"/>
              </w:rPr>
            </w:pPr>
            <w:r w:rsidRPr="000C5E12">
              <w:rPr>
                <w:kern w:val="0"/>
                <w:sz w:val="20"/>
                <w:szCs w:val="20"/>
              </w:rPr>
              <w:t>The determination of whether the proposed treatment addressed an unmet clinical need was based on the PBAC’s assessment.</w:t>
            </w:r>
          </w:p>
        </w:tc>
      </w:tr>
    </w:tbl>
    <w:p w14:paraId="2B25731E" w14:textId="3965879D" w:rsidR="00F303AA" w:rsidRPr="00F303AA" w:rsidRDefault="00F303AA" w:rsidP="00F303AA">
      <w:pPr>
        <w:pStyle w:val="CommentText"/>
        <w:rPr>
          <w:rFonts w:ascii="Times New Roman" w:eastAsiaTheme="majorEastAsia" w:hAnsi="Times New Roman" w:cs="Times New Roman"/>
          <w:bCs/>
          <w:lang w:val="en-AU" w:eastAsia="en-US"/>
        </w:rPr>
      </w:pPr>
      <w:r w:rsidRPr="00F303AA">
        <w:rPr>
          <w:rFonts w:ascii="Times New Roman" w:hAnsi="Times New Roman" w:cs="Times New Roman"/>
        </w:rPr>
        <w:t>A$ AUD Australia dollar, CI confidence interval, ICER incremental cost-effectiveness ratio, PBAC Pharmaceutical Benefits Advisory Committee, PBS Pharmaceutical Benefits Scheme.</w:t>
      </w:r>
    </w:p>
    <w:p w14:paraId="558F48DC" w14:textId="77777777" w:rsidR="00C15362" w:rsidRDefault="00C15362" w:rsidP="00C15362">
      <w:pPr>
        <w:pStyle w:val="Heading1"/>
        <w:widowControl/>
        <w:adjustRightInd w:val="0"/>
        <w:snapToGrid w:val="0"/>
        <w:spacing w:before="240" w:after="0" w:line="360" w:lineRule="auto"/>
        <w:jc w:val="left"/>
        <w:rPr>
          <w:rFonts w:ascii="Times New Roman" w:hAnsi="Times New Roman" w:cs="Times New Roman"/>
          <w:kern w:val="0"/>
          <w:sz w:val="16"/>
          <w:szCs w:val="16"/>
        </w:rPr>
        <w:sectPr w:rsidR="00C15362" w:rsidSect="00E82899">
          <w:type w:val="continuous"/>
          <w:pgSz w:w="16838" w:h="11906" w:orient="landscape"/>
          <w:pgMar w:top="1797" w:right="1440" w:bottom="1797" w:left="1440" w:header="851" w:footer="992" w:gutter="0"/>
          <w:cols w:space="425"/>
          <w:docGrid w:type="linesAndChars" w:linePitch="312"/>
        </w:sectPr>
      </w:pPr>
    </w:p>
    <w:p w14:paraId="79A5CCF7" w14:textId="77777777" w:rsidR="00F303AA" w:rsidRPr="00810712" w:rsidRDefault="00F303AA" w:rsidP="00F303AA">
      <w:pPr>
        <w:pStyle w:val="Heading1"/>
        <w:adjustRightInd w:val="0"/>
        <w:snapToGrid w:val="0"/>
        <w:spacing w:before="120" w:after="120" w:line="360" w:lineRule="auto"/>
        <w:rPr>
          <w:rFonts w:ascii="Times New Roman" w:eastAsiaTheme="minorHAnsi" w:hAnsi="Times New Roman" w:cs="Times New Roman"/>
          <w:kern w:val="2"/>
          <w:sz w:val="20"/>
          <w:szCs w:val="20"/>
        </w:rPr>
      </w:pPr>
      <w:r w:rsidRPr="00810712">
        <w:rPr>
          <w:rFonts w:ascii="Times New Roman" w:eastAsiaTheme="minorHAnsi" w:hAnsi="Times New Roman" w:cs="Times New Roman"/>
          <w:kern w:val="2"/>
          <w:sz w:val="20"/>
          <w:szCs w:val="20"/>
        </w:rPr>
        <w:lastRenderedPageBreak/>
        <w:t xml:space="preserve">Appendix </w:t>
      </w:r>
      <w:r>
        <w:rPr>
          <w:rFonts w:ascii="Times New Roman" w:eastAsiaTheme="minorHAnsi" w:hAnsi="Times New Roman" w:cs="Times New Roman"/>
          <w:kern w:val="2"/>
          <w:sz w:val="20"/>
          <w:szCs w:val="20"/>
        </w:rPr>
        <w:t>5</w:t>
      </w:r>
      <w:r w:rsidRPr="00810712">
        <w:rPr>
          <w:rFonts w:ascii="Times New Roman" w:eastAsiaTheme="minorHAnsi" w:hAnsi="Times New Roman" w:cs="Times New Roman"/>
          <w:kern w:val="2"/>
          <w:sz w:val="20"/>
          <w:szCs w:val="20"/>
        </w:rPr>
        <w:t>. Flow diagram for medicine-indication pairs included</w:t>
      </w:r>
    </w:p>
    <w:p w14:paraId="5CBC3688" w14:textId="4A9DE780" w:rsidR="007E3F82" w:rsidRPr="008F448B" w:rsidRDefault="007E3F82" w:rsidP="006C41A0">
      <w:pPr>
        <w:widowControl/>
        <w:adjustRightInd w:val="0"/>
        <w:snapToGrid w:val="0"/>
        <w:spacing w:beforeLines="80" w:before="249" w:line="360" w:lineRule="auto"/>
        <w:jc w:val="center"/>
        <w:rPr>
          <w:rFonts w:ascii="Times New Roman" w:eastAsiaTheme="minorHAnsi" w:hAnsi="Times New Roman" w:cs="Times New Roman"/>
          <w:b/>
          <w:bCs/>
          <w:szCs w:val="21"/>
        </w:rPr>
      </w:pPr>
      <w:r w:rsidRPr="008F448B">
        <w:rPr>
          <w:rFonts w:ascii="Times New Roman" w:eastAsiaTheme="minorHAnsi" w:hAnsi="Times New Roman" w:cs="Times New Roman"/>
          <w:noProof/>
          <w:szCs w:val="21"/>
          <w:lang w:val="en-IN" w:eastAsia="en-IN"/>
        </w:rPr>
        <mc:AlternateContent>
          <mc:Choice Requires="wpc">
            <w:drawing>
              <wp:inline distT="0" distB="0" distL="114300" distR="114300" wp14:anchorId="694D656D" wp14:editId="67D0F388">
                <wp:extent cx="5409565" cy="4656337"/>
                <wp:effectExtent l="0" t="0" r="0" b="11430"/>
                <wp:docPr id="100" name="画布 1"/>
                <wp:cNvGraphicFramePr/>
                <a:graphic xmlns:a="http://schemas.openxmlformats.org/drawingml/2006/main">
                  <a:graphicData uri="http://schemas.microsoft.com/office/word/2010/wordprocessingCanvas">
                    <wpc:wpc>
                      <wpc:bg/>
                      <wpc:whole/>
                      <wps:wsp>
                        <wps:cNvPr id="22" name="文本框 2"/>
                        <wps:cNvSpPr txBox="1"/>
                        <wps:spPr>
                          <a:xfrm>
                            <a:off x="620785" y="134572"/>
                            <a:ext cx="4588778" cy="29609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48AB11" w14:textId="14BC6878" w:rsidR="007E3F82" w:rsidRPr="00745CBE" w:rsidRDefault="007E3F82" w:rsidP="007E3F82">
                              <w:pPr>
                                <w:adjustRightInd w:val="0"/>
                                <w:snapToGrid w:val="0"/>
                                <w:jc w:val="center"/>
                                <w:rPr>
                                  <w:rFonts w:ascii="Times New Roman" w:hAnsi="Times New Roman" w:cs="Times New Roman"/>
                                </w:rPr>
                              </w:pPr>
                              <w:r>
                                <w:rPr>
                                  <w:rFonts w:ascii="Times New Roman" w:hAnsi="Times New Roman" w:cs="Times New Roman"/>
                                </w:rPr>
                                <w:t>PSDs</w:t>
                              </w:r>
                              <w:r w:rsidRPr="00745CBE">
                                <w:rPr>
                                  <w:rFonts w:ascii="Times New Roman" w:hAnsi="Times New Roman" w:cs="Times New Roman"/>
                                </w:rPr>
                                <w:t xml:space="preserve"> identified from PBAC website by products</w:t>
                              </w:r>
                              <w:r w:rsidR="00500BEF">
                                <w:rPr>
                                  <w:rFonts w:ascii="Times New Roman" w:hAnsi="Times New Roman" w:cs="Times New Roman"/>
                                </w:rPr>
                                <w:t xml:space="preserve"> </w:t>
                              </w:r>
                              <w:r w:rsidR="00C563FA">
                                <w:rPr>
                                  <w:rFonts w:ascii="Times New Roman" w:hAnsi="Times New Roman" w:cs="Times New Roman"/>
                                </w:rPr>
                                <w:t xml:space="preserve">from </w:t>
                              </w:r>
                              <w:r w:rsidR="00500BEF">
                                <w:rPr>
                                  <w:rFonts w:ascii="Times New Roman" w:hAnsi="Times New Roman" w:cs="Times New Roman"/>
                                </w:rPr>
                                <w:t>2014</w:t>
                              </w:r>
                              <w:r w:rsidR="00C563FA">
                                <w:rPr>
                                  <w:rFonts w:ascii="Times New Roman" w:hAnsi="Times New Roman" w:cs="Times New Roman"/>
                                </w:rPr>
                                <w:t xml:space="preserve"> to </w:t>
                              </w:r>
                              <w:r w:rsidR="00500BEF">
                                <w:rPr>
                                  <w:rFonts w:ascii="Times New Roman" w:hAnsi="Times New Roman" w:cs="Times New Roman"/>
                                </w:rPr>
                                <w:t>2021</w:t>
                              </w:r>
                              <w:r w:rsidRPr="00745CBE">
                                <w:rPr>
                                  <w:rFonts w:ascii="Times New Roman" w:hAnsi="Times New Roman" w:cs="Times New Roman"/>
                                </w:rPr>
                                <w:t>: n=</w:t>
                              </w:r>
                              <w:r w:rsidR="00166ED7">
                                <w:rPr>
                                  <w:rFonts w:ascii="Times New Roman" w:hAnsi="Times New Roman" w:cs="Times New Roman"/>
                                </w:rPr>
                                <w:t>1</w:t>
                              </w:r>
                              <w:r w:rsidR="00DB0B9E">
                                <w:rPr>
                                  <w:rFonts w:ascii="Times New Roman" w:hAnsi="Times New Roman" w:cs="Times New Roman"/>
                                </w:rPr>
                                <w:t>386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文本框 3"/>
                        <wps:cNvSpPr txBox="1"/>
                        <wps:spPr>
                          <a:xfrm>
                            <a:off x="620785" y="963523"/>
                            <a:ext cx="4622334" cy="3059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D762FF" w14:textId="74451E68" w:rsidR="007E3F82" w:rsidRPr="00745CBE" w:rsidRDefault="007E3F82" w:rsidP="007E3F82">
                              <w:pPr>
                                <w:jc w:val="center"/>
                                <w:rPr>
                                  <w:rFonts w:ascii="Times New Roman" w:hAnsi="Times New Roman" w:cs="Times New Roman"/>
                                </w:rPr>
                              </w:pPr>
                              <w:r w:rsidRPr="00745CBE">
                                <w:rPr>
                                  <w:rFonts w:ascii="Times New Roman" w:hAnsi="Times New Roman" w:cs="Times New Roman"/>
                                </w:rPr>
                                <w:t xml:space="preserve"> PSDs </w:t>
                              </w:r>
                              <w:r>
                                <w:rPr>
                                  <w:rFonts w:ascii="Times New Roman" w:hAnsi="Times New Roman" w:cs="Times New Roman"/>
                                </w:rPr>
                                <w:t>initial included</w:t>
                              </w:r>
                              <w:r w:rsidRPr="00745CBE">
                                <w:rPr>
                                  <w:rFonts w:ascii="Times New Roman" w:hAnsi="Times New Roman" w:cs="Times New Roman"/>
                                </w:rPr>
                                <w:t>: n=</w:t>
                              </w:r>
                              <w:r w:rsidR="00476107">
                                <w:rPr>
                                  <w:rFonts w:ascii="Times New Roman" w:hAnsi="Times New Roman" w:cs="Times New Roman"/>
                                </w:rPr>
                                <w:t>1271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4"/>
                        <wps:cNvSpPr txBox="1"/>
                        <wps:spPr>
                          <a:xfrm>
                            <a:off x="1830360" y="1334064"/>
                            <a:ext cx="3412759" cy="25837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FDB6D6" w14:textId="069ECC60" w:rsidR="007E3F82" w:rsidRPr="00745CBE" w:rsidRDefault="007E3F82" w:rsidP="007E3F82">
                              <w:pPr>
                                <w:adjustRightInd w:val="0"/>
                                <w:snapToGrid w:val="0"/>
                                <w:jc w:val="left"/>
                                <w:rPr>
                                  <w:rFonts w:ascii="Times New Roman" w:hAnsi="Times New Roman" w:cs="Times New Roman"/>
                                </w:rPr>
                              </w:pPr>
                              <w:r w:rsidRPr="00745CBE">
                                <w:rPr>
                                  <w:rFonts w:ascii="Times New Roman" w:hAnsi="Times New Roman" w:cs="Times New Roman"/>
                                </w:rPr>
                                <w:t>PSDs excluded after screening of submission types</w:t>
                              </w:r>
                              <w:r>
                                <w:rPr>
                                  <w:rFonts w:ascii="Times New Roman" w:hAnsi="Times New Roman" w:cs="Times New Roman"/>
                                </w:rPr>
                                <w:t>(</w:t>
                              </w:r>
                              <w:r w:rsidRPr="00745CBE">
                                <w:rPr>
                                  <w:rFonts w:ascii="Times New Roman" w:hAnsi="Times New Roman" w:cs="Times New Roman"/>
                                </w:rPr>
                                <w:t>n=</w:t>
                              </w:r>
                              <w:r w:rsidRPr="00324CB2">
                                <w:rPr>
                                  <w:rFonts w:ascii="Times New Roman" w:hAnsi="Times New Roman" w:cs="Times New Roman"/>
                                </w:rPr>
                                <w:t>1</w:t>
                              </w:r>
                              <w:r w:rsidR="00C563FA">
                                <w:rPr>
                                  <w:rFonts w:ascii="Times New Roman" w:hAnsi="Times New Roman" w:cs="Times New Roman"/>
                                </w:rPr>
                                <w:t>085</w:t>
                              </w:r>
                              <w:r w:rsidRPr="00324CB2">
                                <w:rPr>
                                  <w:rFonts w:ascii="Times New Roman" w:hAnsi="Times New Roman" w:cs="Times New Roman"/>
                                </w:rPr>
                                <w:t>)</w:t>
                              </w:r>
                            </w:p>
                            <w:p w14:paraId="0DF8F36C" w14:textId="77777777" w:rsidR="00CF610C" w:rsidRDefault="00CF610C" w:rsidP="00CF610C">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Minor submission, including category 3 or 4 submissions for new strength, package, form, etc.(n=5</w:t>
                              </w:r>
                              <w:r>
                                <w:rPr>
                                  <w:rFonts w:ascii="Times New Roman" w:hAnsi="Times New Roman" w:cs="Times New Roman"/>
                                </w:rPr>
                                <w:t>38</w:t>
                              </w:r>
                              <w:r w:rsidRPr="00745CBE">
                                <w:rPr>
                                  <w:rFonts w:ascii="Times New Roman" w:hAnsi="Times New Roman" w:cs="Times New Roman"/>
                                </w:rPr>
                                <w:t>)</w:t>
                              </w:r>
                            </w:p>
                            <w:p w14:paraId="7C81D327" w14:textId="729F2D4E" w:rsidR="00AB42EA" w:rsidRPr="00AB42EA" w:rsidRDefault="00AB42EA" w:rsidP="00AB42EA">
                              <w:pPr>
                                <w:pStyle w:val="ListParagraph"/>
                                <w:numPr>
                                  <w:ilvl w:val="0"/>
                                  <w:numId w:val="6"/>
                                </w:numPr>
                                <w:adjustRightInd w:val="0"/>
                                <w:snapToGrid w:val="0"/>
                                <w:ind w:firstLineChars="0"/>
                                <w:jc w:val="left"/>
                                <w:rPr>
                                  <w:rFonts w:ascii="Times New Roman" w:hAnsi="Times New Roman" w:cs="Times New Roman"/>
                                </w:rPr>
                              </w:pPr>
                              <w:r w:rsidRPr="00AB42EA">
                                <w:rPr>
                                  <w:rFonts w:ascii="Times New Roman" w:hAnsi="Times New Roman" w:cs="Times New Roman"/>
                                </w:rPr>
                                <w:t>Committee secretariat submissions, general response to the PBAC and review(n=</w:t>
                              </w:r>
                              <w:r w:rsidR="005B5D48">
                                <w:rPr>
                                  <w:rFonts w:ascii="Times New Roman" w:hAnsi="Times New Roman" w:cs="Times New Roman"/>
                                </w:rPr>
                                <w:t>39</w:t>
                              </w:r>
                              <w:r w:rsidRPr="00AB42EA">
                                <w:rPr>
                                  <w:rFonts w:ascii="Times New Roman" w:hAnsi="Times New Roman" w:cs="Times New Roman"/>
                                </w:rPr>
                                <w:t>)</w:t>
                              </w:r>
                            </w:p>
                            <w:p w14:paraId="4E2928D2" w14:textId="7F8B8BF5" w:rsidR="002517D8" w:rsidRPr="00745CBE" w:rsidRDefault="002517D8" w:rsidP="002517D8">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Major submissions were released not for the first time(n=</w:t>
                              </w:r>
                              <w:r>
                                <w:rPr>
                                  <w:rFonts w:ascii="Times New Roman" w:hAnsi="Times New Roman" w:cs="Times New Roman"/>
                                </w:rPr>
                                <w:t>269</w:t>
                              </w:r>
                              <w:r w:rsidRPr="00745CBE">
                                <w:rPr>
                                  <w:rFonts w:ascii="Times New Roman" w:hAnsi="Times New Roman" w:cs="Times New Roman"/>
                                </w:rPr>
                                <w:t xml:space="preserve">) </w:t>
                              </w:r>
                            </w:p>
                            <w:p w14:paraId="0D3ED6FA" w14:textId="77777777" w:rsidR="00726E3E" w:rsidRPr="00745CBE" w:rsidRDefault="00726E3E" w:rsidP="00726E3E">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 xml:space="preserve">The economic analysis was not based on </w:t>
                              </w:r>
                              <w:r>
                                <w:rPr>
                                  <w:rFonts w:ascii="Times New Roman" w:hAnsi="Times New Roman" w:cs="Times New Roman"/>
                                </w:rPr>
                                <w:t>cost-utility analysis</w:t>
                              </w:r>
                              <w:r w:rsidRPr="00745CBE">
                                <w:rPr>
                                  <w:rFonts w:ascii="Times New Roman" w:hAnsi="Times New Roman" w:cs="Times New Roman"/>
                                </w:rPr>
                                <w:t>(n=</w:t>
                              </w:r>
                              <w:r>
                                <w:rPr>
                                  <w:rFonts w:ascii="Times New Roman" w:hAnsi="Times New Roman" w:cs="Times New Roman"/>
                                </w:rPr>
                                <w:t>205</w:t>
                              </w:r>
                              <w:r w:rsidRPr="00745CBE">
                                <w:rPr>
                                  <w:rFonts w:ascii="Times New Roman" w:hAnsi="Times New Roman" w:cs="Times New Roman"/>
                                </w:rPr>
                                <w:t>)</w:t>
                              </w:r>
                            </w:p>
                            <w:p w14:paraId="3903D9BC" w14:textId="77777777" w:rsidR="00726E3E" w:rsidRPr="00726E3E" w:rsidRDefault="00726E3E" w:rsidP="00726E3E">
                              <w:pPr>
                                <w:numPr>
                                  <w:ilvl w:val="0"/>
                                  <w:numId w:val="6"/>
                                </w:numPr>
                                <w:adjustRightInd w:val="0"/>
                                <w:snapToGrid w:val="0"/>
                                <w:jc w:val="left"/>
                              </w:pPr>
                              <w:r w:rsidRPr="00726E3E">
                                <w:rPr>
                                  <w:rFonts w:ascii="Times New Roman" w:hAnsi="Times New Roman" w:cs="Times New Roman"/>
                                </w:rPr>
                                <w:t xml:space="preserve">The PBAC admitted CMA was more appropriate for evaluation(n=22) </w:t>
                              </w:r>
                            </w:p>
                            <w:p w14:paraId="62D057D5" w14:textId="686D0273" w:rsidR="007E3F82" w:rsidRDefault="00726E3E" w:rsidP="00726E3E">
                              <w:pPr>
                                <w:numPr>
                                  <w:ilvl w:val="0"/>
                                  <w:numId w:val="6"/>
                                </w:numPr>
                                <w:adjustRightInd w:val="0"/>
                                <w:snapToGrid w:val="0"/>
                                <w:jc w:val="left"/>
                              </w:pPr>
                              <w:r w:rsidRPr="00726E3E">
                                <w:rPr>
                                  <w:rFonts w:ascii="Times New Roman" w:hAnsi="Times New Roman" w:cs="Times New Roman"/>
                                </w:rPr>
                                <w:t>The PBAC deferred the submission given no available TGA report or not registered on TGA, or the PBAC waited for MASC decisions on the codependent test (n=12)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文本框 5"/>
                        <wps:cNvSpPr txBox="1"/>
                        <wps:spPr>
                          <a:xfrm>
                            <a:off x="622542" y="3994563"/>
                            <a:ext cx="4605556" cy="4005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BB407CB" w14:textId="1E9D46C0" w:rsidR="007E3F82" w:rsidRPr="00745CBE" w:rsidRDefault="00C57DA6" w:rsidP="007E3F82">
                              <w:pPr>
                                <w:adjustRightInd w:val="0"/>
                                <w:snapToGrid w:val="0"/>
                                <w:jc w:val="center"/>
                                <w:rPr>
                                  <w:rFonts w:ascii="Times New Roman" w:hAnsi="Times New Roman" w:cs="Times New Roman"/>
                                </w:rPr>
                              </w:pPr>
                              <w:r>
                                <w:rPr>
                                  <w:rFonts w:ascii="Times New Roman" w:hAnsi="Times New Roman" w:cs="Times New Roman"/>
                                </w:rPr>
                                <w:t xml:space="preserve">The </w:t>
                              </w:r>
                              <w:r w:rsidR="00D307B8">
                                <w:rPr>
                                  <w:rFonts w:ascii="Times New Roman" w:hAnsi="Times New Roman" w:cs="Times New Roman"/>
                                </w:rPr>
                                <w:t>18</w:t>
                              </w:r>
                              <w:r w:rsidR="00DF5D7A">
                                <w:rPr>
                                  <w:rFonts w:ascii="Times New Roman" w:hAnsi="Times New Roman" w:cs="Times New Roman"/>
                                </w:rPr>
                                <w:t>6</w:t>
                              </w:r>
                              <w:r w:rsidR="00D307B8">
                                <w:rPr>
                                  <w:rFonts w:ascii="Times New Roman" w:hAnsi="Times New Roman" w:cs="Times New Roman"/>
                                </w:rPr>
                                <w:t xml:space="preserve"> </w:t>
                              </w:r>
                              <w:r w:rsidR="007E3F82" w:rsidRPr="00745CBE">
                                <w:rPr>
                                  <w:rFonts w:ascii="Times New Roman" w:hAnsi="Times New Roman" w:cs="Times New Roman"/>
                                </w:rPr>
                                <w:t>PSDs are eligible for inclusion</w:t>
                              </w:r>
                              <w:r w:rsidR="00D307B8">
                                <w:rPr>
                                  <w:rFonts w:ascii="Times New Roman" w:hAnsi="Times New Roman" w:cs="Times New Roman"/>
                                </w:rPr>
                                <w:t xml:space="preserve"> </w:t>
                              </w:r>
                              <w:r w:rsidR="007E3F82">
                                <w:rPr>
                                  <w:rFonts w:ascii="Times New Roman" w:hAnsi="Times New Roman" w:cs="Times New Roman"/>
                                </w:rPr>
                                <w:t xml:space="preserve">with 193 medicine-indication </w:t>
                              </w:r>
                              <w:r w:rsidR="00150C45">
                                <w:rPr>
                                  <w:rFonts w:ascii="Times New Roman" w:hAnsi="Times New Roman" w:cs="Times New Roman"/>
                                </w:rPr>
                                <w:t>pairs.</w:t>
                              </w:r>
                            </w:p>
                            <w:p w14:paraId="349BCCB1" w14:textId="4AC688CF" w:rsidR="007E3F82" w:rsidRDefault="007E3F82" w:rsidP="007E3F82">
                              <w:pPr>
                                <w:adjustRightInd w:val="0"/>
                                <w:snapToGrid w:val="0"/>
                                <w:jc w:val="center"/>
                                <w:rPr>
                                  <w:rFonts w:ascii="Times New Roman" w:hAnsi="Times New Roman" w:cs="Times New Roman"/>
                                </w:rPr>
                              </w:pPr>
                              <w:r w:rsidRPr="00745CBE">
                                <w:rPr>
                                  <w:rFonts w:ascii="Times New Roman" w:hAnsi="Times New Roman" w:cs="Times New Roman"/>
                                </w:rPr>
                                <w:t>(N</w:t>
                              </w:r>
                              <w:r w:rsidR="002753EF">
                                <w:rPr>
                                  <w:rFonts w:ascii="Times New Roman" w:hAnsi="Times New Roman" w:cs="Times New Roman"/>
                                </w:rPr>
                                <w:t xml:space="preserve"> </w:t>
                              </w:r>
                              <w:r w:rsidRPr="00745CBE">
                                <w:rPr>
                                  <w:rFonts w:ascii="Times New Roman" w:hAnsi="Times New Roman" w:cs="Times New Roman"/>
                                  <w:vertAlign w:val="subscript"/>
                                </w:rPr>
                                <w:t>vaccine</w:t>
                              </w:r>
                              <w:r w:rsidRPr="00745CBE">
                                <w:rPr>
                                  <w:rFonts w:ascii="Times New Roman" w:hAnsi="Times New Roman" w:cs="Times New Roman"/>
                                </w:rPr>
                                <w:t xml:space="preserve">=9, </w:t>
                              </w:r>
                              <w:proofErr w:type="spellStart"/>
                              <w:r w:rsidRPr="00745CBE">
                                <w:rPr>
                                  <w:rFonts w:ascii="Times New Roman" w:hAnsi="Times New Roman" w:cs="Times New Roman"/>
                                </w:rPr>
                                <w:t>N</w:t>
                              </w:r>
                              <w:r w:rsidRPr="00745CBE">
                                <w:rPr>
                                  <w:rFonts w:ascii="Times New Roman" w:hAnsi="Times New Roman" w:cs="Times New Roman"/>
                                  <w:vertAlign w:val="subscript"/>
                                </w:rPr>
                                <w:t>medicine</w:t>
                              </w:r>
                              <w:proofErr w:type="spellEnd"/>
                              <w:r w:rsidRPr="00745CBE">
                                <w:rPr>
                                  <w:rFonts w:ascii="Times New Roman" w:hAnsi="Times New Roman" w:cs="Times New Roman"/>
                                </w:rPr>
                                <w:t>=1</w:t>
                              </w:r>
                              <w:r>
                                <w:rPr>
                                  <w:rFonts w:ascii="Times New Roman" w:hAnsi="Times New Roman" w:cs="Times New Roman"/>
                                </w:rPr>
                                <w:t>84</w:t>
                              </w:r>
                              <w:r w:rsidRPr="00745CBE">
                                <w:rPr>
                                  <w:rFonts w:ascii="Times New Roman" w:hAnsi="Times New Roman" w:cs="Times New Roman"/>
                                </w:rPr>
                                <w:t>)</w:t>
                              </w:r>
                            </w:p>
                            <w:p w14:paraId="580862E3" w14:textId="77777777" w:rsidR="007E3F82" w:rsidRPr="00745CBE" w:rsidRDefault="007E3F82" w:rsidP="007E3F82">
                              <w:pPr>
                                <w:adjustRightInd w:val="0"/>
                                <w:snapToGrid w:val="0"/>
                                <w:jc w:val="center"/>
                                <w:rPr>
                                  <w:rFonts w:ascii="Times New Roman" w:hAnsi="Times New Roman" w:cs="Times New Roman"/>
                                </w:rPr>
                              </w:pPr>
                            </w:p>
                            <w:p w14:paraId="54C68E55" w14:textId="77777777" w:rsidR="007E3F82" w:rsidRPr="00745CBE" w:rsidRDefault="007E3F82" w:rsidP="007E3F82">
                              <w:pPr>
                                <w:adjustRightInd w:val="0"/>
                                <w:snapToGrid w:val="0"/>
                                <w:jc w:val="center"/>
                                <w:rPr>
                                  <w:rFonts w:ascii="Times New Roman" w:hAnsi="Times New Roman" w:cs="Times New Roman"/>
                                </w:rPr>
                              </w:pPr>
                            </w:p>
                            <w:p w14:paraId="604F33FC" w14:textId="77777777" w:rsidR="007E3F82" w:rsidRPr="00745CBE" w:rsidRDefault="007E3F82" w:rsidP="007E3F82">
                              <w:pPr>
                                <w:adjustRightInd w:val="0"/>
                                <w:snapToGrid w:val="0"/>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文本框 7"/>
                        <wps:cNvSpPr txBox="1"/>
                        <wps:spPr>
                          <a:xfrm>
                            <a:off x="1737685" y="505782"/>
                            <a:ext cx="3490413" cy="392762"/>
                          </a:xfrm>
                          <a:prstGeom prst="rect">
                            <a:avLst/>
                          </a:prstGeom>
                          <a:solidFill>
                            <a:schemeClr val="lt1"/>
                          </a:solidFill>
                          <a:ln w="317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5F8A0BD" w14:textId="65993D2A" w:rsidR="007E3F82" w:rsidRPr="00745CBE" w:rsidRDefault="007E3F82" w:rsidP="00AB42EA">
                              <w:pPr>
                                <w:adjustRightInd w:val="0"/>
                                <w:snapToGrid w:val="0"/>
                                <w:jc w:val="left"/>
                                <w:rPr>
                                  <w:rFonts w:ascii="Times New Roman" w:hAnsi="Times New Roman" w:cs="Times New Roman"/>
                                </w:rPr>
                              </w:pPr>
                              <w:r w:rsidRPr="00493B23">
                                <w:rPr>
                                  <w:rFonts w:ascii="Times New Roman" w:hAnsi="Times New Roman" w:cs="Times New Roman"/>
                                </w:rPr>
                                <w:t>PSDs related nutritional products and codependent technologies(n=11</w:t>
                              </w:r>
                              <w:r w:rsidR="005822E8">
                                <w:rPr>
                                  <w:rFonts w:ascii="Times New Roman" w:hAnsi="Times New Roman" w:cs="Times New Roman"/>
                                </w:rPr>
                                <w:t>5</w:t>
                              </w:r>
                              <w:r w:rsidRPr="00493B2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直接箭头连接符 9"/>
                        <wps:cNvCnPr/>
                        <wps:spPr>
                          <a:xfrm>
                            <a:off x="1499561" y="430661"/>
                            <a:ext cx="0" cy="547166"/>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4" name="直接箭头连接符 10"/>
                        <wps:cNvCnPr/>
                        <wps:spPr>
                          <a:xfrm>
                            <a:off x="1510341" y="1328220"/>
                            <a:ext cx="15377" cy="2630657"/>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5" name="直接箭头连接符 11"/>
                        <wps:cNvCnPr>
                          <a:endCxn id="92" idx="1"/>
                        </wps:cNvCnPr>
                        <wps:spPr>
                          <a:xfrm>
                            <a:off x="1499561" y="702159"/>
                            <a:ext cx="238124" cy="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6" name="直接箭头连接符 8"/>
                        <wps:cNvCnPr/>
                        <wps:spPr>
                          <a:xfrm>
                            <a:off x="1525718" y="2755565"/>
                            <a:ext cx="289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7" name="Flowchart: Alternate Process 31"/>
                        <wps:cNvSpPr/>
                        <wps:spPr>
                          <a:xfrm rot="16200000">
                            <a:off x="-129988" y="284125"/>
                            <a:ext cx="905548" cy="409303"/>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14:paraId="4E3B3EDD"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Identification</w:t>
                              </w:r>
                            </w:p>
                          </w:txbxContent>
                        </wps:txbx>
                        <wps:bodyPr rot="0" spcFirstLastPara="0" vert="horz" wrap="square" lIns="91440" tIns="45720" rIns="91440" bIns="45720" numCol="1" spcCol="0" rtlCol="0" fromWordArt="0" anchor="ctr" anchorCtr="0" forceAA="0" compatLnSpc="1">
                          <a:noAutofit/>
                        </wps:bodyPr>
                      </wps:wsp>
                      <wps:wsp>
                        <wps:cNvPr id="98" name="Flowchart: Alternate Process 32"/>
                        <wps:cNvSpPr/>
                        <wps:spPr>
                          <a:xfrm rot="16200000">
                            <a:off x="-1018868" y="2124306"/>
                            <a:ext cx="2650365" cy="390326"/>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14:paraId="51E773B5"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Screening</w:t>
                              </w:r>
                            </w:p>
                            <w:p w14:paraId="374ED546" w14:textId="77777777" w:rsidR="007E3F82" w:rsidRPr="00745CBE" w:rsidRDefault="007E3F82" w:rsidP="007E3F82">
                              <w:pPr>
                                <w:spacing w:after="160" w:line="256" w:lineRule="auto"/>
                                <w:rPr>
                                  <w:rFonts w:ascii="Times New Roman" w:eastAsia="DengXian" w:hAnsi="Times New Roman" w:cs="Times New Roman"/>
                                  <w:b/>
                                  <w:bCs/>
                                  <w:color w:val="000000"/>
                                  <w:sz w:val="18"/>
                                  <w:szCs w:val="18"/>
                                  <w:lang w:val="en-AU"/>
                                </w:rPr>
                              </w:pPr>
                              <w:r w:rsidRPr="00745CBE">
                                <w:rPr>
                                  <w:rFonts w:ascii="Times New Roman" w:eastAsia="DengXian" w:hAnsi="Times New Roman" w:cs="Times New Roman"/>
                                  <w:b/>
                                  <w:bCs/>
                                  <w:color w:val="000000"/>
                                  <w:sz w:val="18"/>
                                  <w:szCs w:val="18"/>
                                  <w:lang w:val="en-AU"/>
                                </w:rPr>
                                <w:t> </w:t>
                              </w:r>
                            </w:p>
                          </w:txbxContent>
                        </wps:txbx>
                        <wps:bodyPr rot="0" spcFirstLastPara="0" vert="horz" wrap="square" lIns="91440" tIns="45720" rIns="91440" bIns="45720" numCol="1" spcCol="0" rtlCol="0" fromWordArt="0" anchor="ctr" anchorCtr="0" forceAA="0" compatLnSpc="1">
                          <a:noAutofit/>
                        </wps:bodyPr>
                      </wps:wsp>
                      <wps:wsp>
                        <wps:cNvPr id="99" name="Flowchart: Alternate Process 33"/>
                        <wps:cNvSpPr/>
                        <wps:spPr>
                          <a:xfrm rot="16200000">
                            <a:off x="-179724" y="3963937"/>
                            <a:ext cx="983314" cy="401538"/>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14:paraId="6658B532"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Included</w:t>
                              </w:r>
                            </w:p>
                          </w:txbxContent>
                        </wps:txbx>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w14:anchorId="694D656D" id="画布 1" o:spid="_x0000_s1026" editas="canvas" style="width:425.95pt;height:366.65pt;mso-position-horizontal-relative:char;mso-position-vertical-relative:line" coordsize="54095,4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95;height:46558;visibility:visible;mso-wrap-style:square">
                  <v:fill o:detectmouseclick="t"/>
                  <v:path o:connecttype="none"/>
                </v:shape>
                <v:shapetype id="_x0000_t202" coordsize="21600,21600" o:spt="202" path="m,l,21600r21600,l21600,xe">
                  <v:stroke joinstyle="miter"/>
                  <v:path gradientshapeok="t" o:connecttype="rect"/>
                </v:shapetype>
                <v:shape id="文本框 2" o:spid="_x0000_s1028" type="#_x0000_t202" style="position:absolute;left:6207;top:1345;width:45888;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2948AB11" w14:textId="14BC6878" w:rsidR="007E3F82" w:rsidRPr="00745CBE" w:rsidRDefault="007E3F82" w:rsidP="007E3F82">
                        <w:pPr>
                          <w:adjustRightInd w:val="0"/>
                          <w:snapToGrid w:val="0"/>
                          <w:jc w:val="center"/>
                          <w:rPr>
                            <w:rFonts w:ascii="Times New Roman" w:hAnsi="Times New Roman" w:cs="Times New Roman"/>
                          </w:rPr>
                        </w:pPr>
                        <w:r>
                          <w:rPr>
                            <w:rFonts w:ascii="Times New Roman" w:hAnsi="Times New Roman" w:cs="Times New Roman"/>
                          </w:rPr>
                          <w:t>PSDs</w:t>
                        </w:r>
                        <w:r w:rsidRPr="00745CBE">
                          <w:rPr>
                            <w:rFonts w:ascii="Times New Roman" w:hAnsi="Times New Roman" w:cs="Times New Roman"/>
                          </w:rPr>
                          <w:t xml:space="preserve"> identified from PBAC website by products</w:t>
                        </w:r>
                        <w:r w:rsidR="00500BEF">
                          <w:rPr>
                            <w:rFonts w:ascii="Times New Roman" w:hAnsi="Times New Roman" w:cs="Times New Roman"/>
                          </w:rPr>
                          <w:t xml:space="preserve"> </w:t>
                        </w:r>
                        <w:r w:rsidR="00C563FA">
                          <w:rPr>
                            <w:rFonts w:ascii="Times New Roman" w:hAnsi="Times New Roman" w:cs="Times New Roman"/>
                          </w:rPr>
                          <w:t xml:space="preserve">from </w:t>
                        </w:r>
                        <w:r w:rsidR="00500BEF">
                          <w:rPr>
                            <w:rFonts w:ascii="Times New Roman" w:hAnsi="Times New Roman" w:cs="Times New Roman"/>
                          </w:rPr>
                          <w:t>2014</w:t>
                        </w:r>
                        <w:r w:rsidR="00C563FA">
                          <w:rPr>
                            <w:rFonts w:ascii="Times New Roman" w:hAnsi="Times New Roman" w:cs="Times New Roman"/>
                          </w:rPr>
                          <w:t xml:space="preserve"> to </w:t>
                        </w:r>
                        <w:r w:rsidR="00500BEF">
                          <w:rPr>
                            <w:rFonts w:ascii="Times New Roman" w:hAnsi="Times New Roman" w:cs="Times New Roman"/>
                          </w:rPr>
                          <w:t>2021</w:t>
                        </w:r>
                        <w:r w:rsidRPr="00745CBE">
                          <w:rPr>
                            <w:rFonts w:ascii="Times New Roman" w:hAnsi="Times New Roman" w:cs="Times New Roman"/>
                          </w:rPr>
                          <w:t>: n=</w:t>
                        </w:r>
                        <w:r w:rsidR="00166ED7">
                          <w:rPr>
                            <w:rFonts w:ascii="Times New Roman" w:hAnsi="Times New Roman" w:cs="Times New Roman"/>
                          </w:rPr>
                          <w:t>1</w:t>
                        </w:r>
                        <w:r w:rsidR="00DB0B9E">
                          <w:rPr>
                            <w:rFonts w:ascii="Times New Roman" w:hAnsi="Times New Roman" w:cs="Times New Roman"/>
                          </w:rPr>
                          <w:t>386</w:t>
                        </w:r>
                      </w:p>
                    </w:txbxContent>
                  </v:textbox>
                </v:shape>
                <v:shape id="文本框 3" o:spid="_x0000_s1029" type="#_x0000_t202" style="position:absolute;left:6207;top:9635;width:46224;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" fillcolor="white [3201]" strokeweight=".5pt">
                  <v:textbox>
                    <w:txbxContent>
                      <w:p w14:paraId="63D762FF" w14:textId="74451E68" w:rsidR="007E3F82" w:rsidRPr="00745CBE" w:rsidRDefault="007E3F82" w:rsidP="007E3F82">
                        <w:pPr>
                          <w:jc w:val="center"/>
                          <w:rPr>
                            <w:rFonts w:ascii="Times New Roman" w:hAnsi="Times New Roman" w:cs="Times New Roman"/>
                          </w:rPr>
                        </w:pPr>
                        <w:r w:rsidRPr="00745CBE">
                          <w:rPr>
                            <w:rFonts w:ascii="Times New Roman" w:hAnsi="Times New Roman" w:cs="Times New Roman"/>
                          </w:rPr>
                          <w:t xml:space="preserve"> PSDs </w:t>
                        </w:r>
                        <w:r>
                          <w:rPr>
                            <w:rFonts w:ascii="Times New Roman" w:hAnsi="Times New Roman" w:cs="Times New Roman"/>
                          </w:rPr>
                          <w:t>initial included</w:t>
                        </w:r>
                        <w:r w:rsidRPr="00745CBE">
                          <w:rPr>
                            <w:rFonts w:ascii="Times New Roman" w:hAnsi="Times New Roman" w:cs="Times New Roman"/>
                          </w:rPr>
                          <w:t>: n=</w:t>
                        </w:r>
                        <w:r w:rsidR="00476107">
                          <w:rPr>
                            <w:rFonts w:ascii="Times New Roman" w:hAnsi="Times New Roman" w:cs="Times New Roman"/>
                          </w:rPr>
                          <w:t>1271</w:t>
                        </w:r>
                      </w:p>
                    </w:txbxContent>
                  </v:textbox>
                </v:shape>
                <v:shape id="文本框 4" o:spid="_x0000_s1030" type="#_x0000_t202" style="position:absolute;left:18303;top:13340;width:34128;height:25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" fillcolor="white [3201]" strokeweight=".5pt">
                  <v:textbox>
                    <w:txbxContent>
                      <w:p w14:paraId="58FDB6D6" w14:textId="069ECC60" w:rsidR="007E3F82" w:rsidRPr="00745CBE" w:rsidRDefault="007E3F82" w:rsidP="007E3F82">
                        <w:pPr>
                          <w:adjustRightInd w:val="0"/>
                          <w:snapToGrid w:val="0"/>
                          <w:jc w:val="left"/>
                          <w:rPr>
                            <w:rFonts w:ascii="Times New Roman" w:hAnsi="Times New Roman" w:cs="Times New Roman"/>
                          </w:rPr>
                        </w:pPr>
                        <w:r w:rsidRPr="00745CBE">
                          <w:rPr>
                            <w:rFonts w:ascii="Times New Roman" w:hAnsi="Times New Roman" w:cs="Times New Roman"/>
                          </w:rPr>
                          <w:t>PSDs excluded after screening of submission types</w:t>
                        </w:r>
                        <w:r>
                          <w:rPr>
                            <w:rFonts w:ascii="Times New Roman" w:hAnsi="Times New Roman" w:cs="Times New Roman"/>
                          </w:rPr>
                          <w:t>(</w:t>
                        </w:r>
                        <w:r w:rsidRPr="00745CBE">
                          <w:rPr>
                            <w:rFonts w:ascii="Times New Roman" w:hAnsi="Times New Roman" w:cs="Times New Roman"/>
                          </w:rPr>
                          <w:t>n=</w:t>
                        </w:r>
                        <w:r w:rsidRPr="00324CB2">
                          <w:rPr>
                            <w:rFonts w:ascii="Times New Roman" w:hAnsi="Times New Roman" w:cs="Times New Roman"/>
                          </w:rPr>
                          <w:t>1</w:t>
                        </w:r>
                        <w:r w:rsidR="00C563FA">
                          <w:rPr>
                            <w:rFonts w:ascii="Times New Roman" w:hAnsi="Times New Roman" w:cs="Times New Roman"/>
                          </w:rPr>
                          <w:t>085</w:t>
                        </w:r>
                        <w:r w:rsidRPr="00324CB2">
                          <w:rPr>
                            <w:rFonts w:ascii="Times New Roman" w:hAnsi="Times New Roman" w:cs="Times New Roman"/>
                          </w:rPr>
                          <w:t>)</w:t>
                        </w:r>
                      </w:p>
                      <w:p w14:paraId="0DF8F36C" w14:textId="77777777" w:rsidR="00CF610C" w:rsidRDefault="00CF610C" w:rsidP="00CF610C">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Minor submission, including category 3 or 4 submissions for new strength, package, form, etc.(n=5</w:t>
                        </w:r>
                        <w:r>
                          <w:rPr>
                            <w:rFonts w:ascii="Times New Roman" w:hAnsi="Times New Roman" w:cs="Times New Roman"/>
                          </w:rPr>
                          <w:t>38</w:t>
                        </w:r>
                        <w:r w:rsidRPr="00745CBE">
                          <w:rPr>
                            <w:rFonts w:ascii="Times New Roman" w:hAnsi="Times New Roman" w:cs="Times New Roman"/>
                          </w:rPr>
                          <w:t>)</w:t>
                        </w:r>
                      </w:p>
                      <w:p w14:paraId="7C81D327" w14:textId="729F2D4E" w:rsidR="00AB42EA" w:rsidRPr="00AB42EA" w:rsidRDefault="00AB42EA" w:rsidP="00AB42EA">
                        <w:pPr>
                          <w:pStyle w:val="ListParagraph"/>
                          <w:numPr>
                            <w:ilvl w:val="0"/>
                            <w:numId w:val="6"/>
                          </w:numPr>
                          <w:adjustRightInd w:val="0"/>
                          <w:snapToGrid w:val="0"/>
                          <w:ind w:firstLineChars="0"/>
                          <w:jc w:val="left"/>
                          <w:rPr>
                            <w:rFonts w:ascii="Times New Roman" w:hAnsi="Times New Roman" w:cs="Times New Roman"/>
                          </w:rPr>
                        </w:pPr>
                        <w:r w:rsidRPr="00AB42EA">
                          <w:rPr>
                            <w:rFonts w:ascii="Times New Roman" w:hAnsi="Times New Roman" w:cs="Times New Roman"/>
                          </w:rPr>
                          <w:t>Committee secretariat submissions, general response to the PBAC and review(n=</w:t>
                        </w:r>
                        <w:r w:rsidR="005B5D48">
                          <w:rPr>
                            <w:rFonts w:ascii="Times New Roman" w:hAnsi="Times New Roman" w:cs="Times New Roman"/>
                          </w:rPr>
                          <w:t>39</w:t>
                        </w:r>
                        <w:r w:rsidRPr="00AB42EA">
                          <w:rPr>
                            <w:rFonts w:ascii="Times New Roman" w:hAnsi="Times New Roman" w:cs="Times New Roman"/>
                          </w:rPr>
                          <w:t>)</w:t>
                        </w:r>
                      </w:p>
                      <w:p w14:paraId="4E2928D2" w14:textId="7F8B8BF5" w:rsidR="002517D8" w:rsidRPr="00745CBE" w:rsidRDefault="002517D8" w:rsidP="002517D8">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Major submissions were released not for the first time(n=</w:t>
                        </w:r>
                        <w:r>
                          <w:rPr>
                            <w:rFonts w:ascii="Times New Roman" w:hAnsi="Times New Roman" w:cs="Times New Roman"/>
                          </w:rPr>
                          <w:t>269</w:t>
                        </w:r>
                        <w:r w:rsidRPr="00745CBE">
                          <w:rPr>
                            <w:rFonts w:ascii="Times New Roman" w:hAnsi="Times New Roman" w:cs="Times New Roman"/>
                          </w:rPr>
                          <w:t xml:space="preserve">) </w:t>
                        </w:r>
                      </w:p>
                      <w:p w14:paraId="0D3ED6FA" w14:textId="77777777" w:rsidR="00726E3E" w:rsidRPr="00745CBE" w:rsidRDefault="00726E3E" w:rsidP="00726E3E">
                        <w:pPr>
                          <w:numPr>
                            <w:ilvl w:val="0"/>
                            <w:numId w:val="6"/>
                          </w:numPr>
                          <w:adjustRightInd w:val="0"/>
                          <w:snapToGrid w:val="0"/>
                          <w:jc w:val="left"/>
                          <w:rPr>
                            <w:rFonts w:ascii="Times New Roman" w:hAnsi="Times New Roman" w:cs="Times New Roman"/>
                          </w:rPr>
                        </w:pPr>
                        <w:r w:rsidRPr="00745CBE">
                          <w:rPr>
                            <w:rFonts w:ascii="Times New Roman" w:hAnsi="Times New Roman" w:cs="Times New Roman"/>
                          </w:rPr>
                          <w:t xml:space="preserve">The economic analysis was not based on </w:t>
                        </w:r>
                        <w:r>
                          <w:rPr>
                            <w:rFonts w:ascii="Times New Roman" w:hAnsi="Times New Roman" w:cs="Times New Roman"/>
                          </w:rPr>
                          <w:t>cost-utility analysis</w:t>
                        </w:r>
                        <w:r w:rsidRPr="00745CBE">
                          <w:rPr>
                            <w:rFonts w:ascii="Times New Roman" w:hAnsi="Times New Roman" w:cs="Times New Roman"/>
                          </w:rPr>
                          <w:t>(n=</w:t>
                        </w:r>
                        <w:r>
                          <w:rPr>
                            <w:rFonts w:ascii="Times New Roman" w:hAnsi="Times New Roman" w:cs="Times New Roman"/>
                          </w:rPr>
                          <w:t>205</w:t>
                        </w:r>
                        <w:r w:rsidRPr="00745CBE">
                          <w:rPr>
                            <w:rFonts w:ascii="Times New Roman" w:hAnsi="Times New Roman" w:cs="Times New Roman"/>
                          </w:rPr>
                          <w:t>)</w:t>
                        </w:r>
                      </w:p>
                      <w:p w14:paraId="3903D9BC" w14:textId="77777777" w:rsidR="00726E3E" w:rsidRPr="00726E3E" w:rsidRDefault="00726E3E" w:rsidP="00726E3E">
                        <w:pPr>
                          <w:numPr>
                            <w:ilvl w:val="0"/>
                            <w:numId w:val="6"/>
                          </w:numPr>
                          <w:adjustRightInd w:val="0"/>
                          <w:snapToGrid w:val="0"/>
                          <w:jc w:val="left"/>
                        </w:pPr>
                        <w:r w:rsidRPr="00726E3E">
                          <w:rPr>
                            <w:rFonts w:ascii="Times New Roman" w:hAnsi="Times New Roman" w:cs="Times New Roman"/>
                          </w:rPr>
                          <w:t xml:space="preserve">The PBAC admitted CMA was more appropriate for evaluation(n=22) </w:t>
                        </w:r>
                      </w:p>
                      <w:p w14:paraId="62D057D5" w14:textId="686D0273" w:rsidR="007E3F82" w:rsidRDefault="00726E3E" w:rsidP="00726E3E">
                        <w:pPr>
                          <w:numPr>
                            <w:ilvl w:val="0"/>
                            <w:numId w:val="6"/>
                          </w:numPr>
                          <w:adjustRightInd w:val="0"/>
                          <w:snapToGrid w:val="0"/>
                          <w:jc w:val="left"/>
                        </w:pPr>
                        <w:r w:rsidRPr="00726E3E">
                          <w:rPr>
                            <w:rFonts w:ascii="Times New Roman" w:hAnsi="Times New Roman" w:cs="Times New Roman"/>
                          </w:rPr>
                          <w:t>The PBAC deferred the submission given no available TGA report or not registered on TGA, or the PBAC waited for MASC decisions on the codependent test (n=12)</w:t>
                        </w:r>
                      </w:p>
                    </w:txbxContent>
                  </v:textbox>
                </v:shape>
                <v:shape id="文本框 5" o:spid="_x0000_s1031" type="#_x0000_t202" style="position:absolute;left:6225;top:39945;width:46055;height: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" fillcolor="white [3201]" strokeweight=".5pt">
                  <v:textbox>
                    <w:txbxContent>
                      <w:p w14:paraId="2BB407CB" w14:textId="1E9D46C0" w:rsidR="007E3F82" w:rsidRPr="00745CBE" w:rsidRDefault="00C57DA6" w:rsidP="007E3F82">
                        <w:pPr>
                          <w:adjustRightInd w:val="0"/>
                          <w:snapToGrid w:val="0"/>
                          <w:jc w:val="center"/>
                          <w:rPr>
                            <w:rFonts w:ascii="Times New Roman" w:hAnsi="Times New Roman" w:cs="Times New Roman"/>
                          </w:rPr>
                        </w:pPr>
                        <w:r>
                          <w:rPr>
                            <w:rFonts w:ascii="Times New Roman" w:hAnsi="Times New Roman" w:cs="Times New Roman"/>
                          </w:rPr>
                          <w:t xml:space="preserve">The </w:t>
                        </w:r>
                        <w:r w:rsidR="00D307B8">
                          <w:rPr>
                            <w:rFonts w:ascii="Times New Roman" w:hAnsi="Times New Roman" w:cs="Times New Roman"/>
                          </w:rPr>
                          <w:t>18</w:t>
                        </w:r>
                        <w:r w:rsidR="00DF5D7A">
                          <w:rPr>
                            <w:rFonts w:ascii="Times New Roman" w:hAnsi="Times New Roman" w:cs="Times New Roman"/>
                          </w:rPr>
                          <w:t>6</w:t>
                        </w:r>
                        <w:r w:rsidR="00D307B8">
                          <w:rPr>
                            <w:rFonts w:ascii="Times New Roman" w:hAnsi="Times New Roman" w:cs="Times New Roman"/>
                          </w:rPr>
                          <w:t xml:space="preserve"> </w:t>
                        </w:r>
                        <w:r w:rsidR="007E3F82" w:rsidRPr="00745CBE">
                          <w:rPr>
                            <w:rFonts w:ascii="Times New Roman" w:hAnsi="Times New Roman" w:cs="Times New Roman"/>
                          </w:rPr>
                          <w:t>PSDs are eligible for inclusion</w:t>
                        </w:r>
                        <w:r w:rsidR="00D307B8">
                          <w:rPr>
                            <w:rFonts w:ascii="Times New Roman" w:hAnsi="Times New Roman" w:cs="Times New Roman"/>
                          </w:rPr>
                          <w:t xml:space="preserve"> </w:t>
                        </w:r>
                        <w:r w:rsidR="007E3F82">
                          <w:rPr>
                            <w:rFonts w:ascii="Times New Roman" w:hAnsi="Times New Roman" w:cs="Times New Roman"/>
                          </w:rPr>
                          <w:t xml:space="preserve">with 193 medicine-indication </w:t>
                        </w:r>
                        <w:r w:rsidR="00150C45">
                          <w:rPr>
                            <w:rFonts w:ascii="Times New Roman" w:hAnsi="Times New Roman" w:cs="Times New Roman"/>
                          </w:rPr>
                          <w:t>pairs.</w:t>
                        </w:r>
                      </w:p>
                      <w:p w14:paraId="349BCCB1" w14:textId="4AC688CF" w:rsidR="007E3F82" w:rsidRDefault="007E3F82" w:rsidP="007E3F82">
                        <w:pPr>
                          <w:adjustRightInd w:val="0"/>
                          <w:snapToGrid w:val="0"/>
                          <w:jc w:val="center"/>
                          <w:rPr>
                            <w:rFonts w:ascii="Times New Roman" w:hAnsi="Times New Roman" w:cs="Times New Roman"/>
                          </w:rPr>
                        </w:pPr>
                        <w:r w:rsidRPr="00745CBE">
                          <w:rPr>
                            <w:rFonts w:ascii="Times New Roman" w:hAnsi="Times New Roman" w:cs="Times New Roman"/>
                          </w:rPr>
                          <w:t>(N</w:t>
                        </w:r>
                        <w:r w:rsidR="002753EF">
                          <w:rPr>
                            <w:rFonts w:ascii="Times New Roman" w:hAnsi="Times New Roman" w:cs="Times New Roman"/>
                          </w:rPr>
                          <w:t xml:space="preserve"> </w:t>
                        </w:r>
                        <w:r w:rsidRPr="00745CBE">
                          <w:rPr>
                            <w:rFonts w:ascii="Times New Roman" w:hAnsi="Times New Roman" w:cs="Times New Roman"/>
                            <w:vertAlign w:val="subscript"/>
                          </w:rPr>
                          <w:t>vaccine</w:t>
                        </w:r>
                        <w:r w:rsidRPr="00745CBE">
                          <w:rPr>
                            <w:rFonts w:ascii="Times New Roman" w:hAnsi="Times New Roman" w:cs="Times New Roman"/>
                          </w:rPr>
                          <w:t>=9, N</w:t>
                        </w:r>
                        <w:r w:rsidRPr="00745CBE">
                          <w:rPr>
                            <w:rFonts w:ascii="Times New Roman" w:hAnsi="Times New Roman" w:cs="Times New Roman"/>
                            <w:vertAlign w:val="subscript"/>
                          </w:rPr>
                          <w:t>medicine</w:t>
                        </w:r>
                        <w:r w:rsidRPr="00745CBE">
                          <w:rPr>
                            <w:rFonts w:ascii="Times New Roman" w:hAnsi="Times New Roman" w:cs="Times New Roman"/>
                          </w:rPr>
                          <w:t>=1</w:t>
                        </w:r>
                        <w:r>
                          <w:rPr>
                            <w:rFonts w:ascii="Times New Roman" w:hAnsi="Times New Roman" w:cs="Times New Roman"/>
                          </w:rPr>
                          <w:t>84</w:t>
                        </w:r>
                        <w:r w:rsidRPr="00745CBE">
                          <w:rPr>
                            <w:rFonts w:ascii="Times New Roman" w:hAnsi="Times New Roman" w:cs="Times New Roman"/>
                          </w:rPr>
                          <w:t>)</w:t>
                        </w:r>
                      </w:p>
                      <w:p w14:paraId="580862E3" w14:textId="77777777" w:rsidR="007E3F82" w:rsidRPr="00745CBE" w:rsidRDefault="007E3F82" w:rsidP="007E3F82">
                        <w:pPr>
                          <w:adjustRightInd w:val="0"/>
                          <w:snapToGrid w:val="0"/>
                          <w:jc w:val="center"/>
                          <w:rPr>
                            <w:rFonts w:ascii="Times New Roman" w:hAnsi="Times New Roman" w:cs="Times New Roman"/>
                          </w:rPr>
                        </w:pPr>
                      </w:p>
                      <w:p w14:paraId="54C68E55" w14:textId="77777777" w:rsidR="007E3F82" w:rsidRPr="00745CBE" w:rsidRDefault="007E3F82" w:rsidP="007E3F82">
                        <w:pPr>
                          <w:adjustRightInd w:val="0"/>
                          <w:snapToGrid w:val="0"/>
                          <w:jc w:val="center"/>
                          <w:rPr>
                            <w:rFonts w:ascii="Times New Roman" w:hAnsi="Times New Roman" w:cs="Times New Roman"/>
                          </w:rPr>
                        </w:pPr>
                      </w:p>
                      <w:p w14:paraId="604F33FC" w14:textId="77777777" w:rsidR="007E3F82" w:rsidRPr="00745CBE" w:rsidRDefault="007E3F82" w:rsidP="007E3F82">
                        <w:pPr>
                          <w:adjustRightInd w:val="0"/>
                          <w:snapToGrid w:val="0"/>
                          <w:jc w:val="center"/>
                          <w:rPr>
                            <w:rFonts w:ascii="Times New Roman" w:hAnsi="Times New Roman" w:cs="Times New Roman"/>
                          </w:rPr>
                        </w:pPr>
                      </w:p>
                    </w:txbxContent>
                  </v:textbox>
                </v:shape>
                <v:shape id="文本框 7" o:spid="_x0000_s1032" type="#_x0000_t202" style="position:absolute;left:17376;top:5057;width:34904;height:3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" fillcolor="white [3201]" strokecolor="black [3213]" strokeweight=".25pt">
                  <v:textbox>
                    <w:txbxContent>
                      <w:p w14:paraId="25F8A0BD" w14:textId="65993D2A" w:rsidR="007E3F82" w:rsidRPr="00745CBE" w:rsidRDefault="007E3F82" w:rsidP="00AB42EA">
                        <w:pPr>
                          <w:adjustRightInd w:val="0"/>
                          <w:snapToGrid w:val="0"/>
                          <w:jc w:val="left"/>
                          <w:rPr>
                            <w:rFonts w:ascii="Times New Roman" w:hAnsi="Times New Roman" w:cs="Times New Roman"/>
                          </w:rPr>
                        </w:pPr>
                        <w:r w:rsidRPr="00493B23">
                          <w:rPr>
                            <w:rFonts w:ascii="Times New Roman" w:hAnsi="Times New Roman" w:cs="Times New Roman"/>
                          </w:rPr>
                          <w:t>PSDs related nutritional products and codependent technologies(n=11</w:t>
                        </w:r>
                        <w:r w:rsidR="005822E8">
                          <w:rPr>
                            <w:rFonts w:ascii="Times New Roman" w:hAnsi="Times New Roman" w:cs="Times New Roman"/>
                          </w:rPr>
                          <w:t>5</w:t>
                        </w:r>
                        <w:r w:rsidRPr="00493B23">
                          <w:rPr>
                            <w:rFonts w:ascii="Times New Roman" w:hAnsi="Times New Roman" w:cs="Times New Roman"/>
                          </w:rPr>
                          <w:t>)</w:t>
                        </w:r>
                      </w:p>
                    </w:txbxContent>
                  </v:textbox>
                </v:shape>
                <v:shapetype id="_x0000_t32" coordsize="21600,21600" o:spt="32" o:oned="t" path="m,l21600,21600e" filled="f">
                  <v:path arrowok="t" fillok="f" o:connecttype="none"/>
                  <o:lock v:ext="edit" shapetype="t"/>
                </v:shapetype>
                <v:shape id="直接箭头连接符 9" o:spid="_x0000_s1033" type="#_x0000_t32" style="position:absolute;left:14995;top:4306;width:0;height:54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" strokecolor="black [3213]" strokeweight=".25pt">
                  <v:stroke endarrow="open" joinstyle="miter"/>
                </v:shape>
                <v:shape id="直接箭头连接符 10" o:spid="_x0000_s1034" type="#_x0000_t32" style="position:absolute;left:15103;top:13282;width:154;height:26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" strokecolor="black [3213]" strokeweight=".25pt">
                  <v:stroke endarrow="open" joinstyle="miter"/>
                </v:shape>
                <v:shape id="直接箭头连接符 11" o:spid="_x0000_s1035" type="#_x0000_t32" style="position:absolute;left:14995;top:7021;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" strokecolor="black [3213]" strokeweight=".25pt">
                  <v:stroke endarrow="open" joinstyle="miter"/>
                </v:shape>
                <v:shape id="直接箭头连接符 8" o:spid="_x0000_s1036" type="#_x0000_t32" style="position:absolute;left:15257;top:27555;width:28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" strokecolor="black [3200]"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37" type="#_x0000_t176" style="position:absolute;left:-1300;top:2841;width:9055;height:40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" fillcolor="white [3201]" strokecolor="#4472c4 [3204]" strokeweight="1pt">
                  <v:textbox>
                    <w:txbxContent>
                      <w:p w14:paraId="4E3B3EDD"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Identification</w:t>
                        </w:r>
                      </w:p>
                    </w:txbxContent>
                  </v:textbox>
                </v:shape>
                <v:shape id="Flowchart: Alternate Process 32" o:spid="_x0000_s1038" type="#_x0000_t176" style="position:absolute;left:-10189;top:21242;width:26504;height:390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" fillcolor="white [3201]" strokecolor="#4472c4 [3204]" strokeweight="1pt">
                  <v:textbox>
                    <w:txbxContent>
                      <w:p w14:paraId="51E773B5"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Screening</w:t>
                        </w:r>
                      </w:p>
                      <w:p w14:paraId="374ED546" w14:textId="77777777" w:rsidR="007E3F82" w:rsidRPr="00745CBE" w:rsidRDefault="007E3F82" w:rsidP="007E3F82">
                        <w:pPr>
                          <w:spacing w:after="160" w:line="256" w:lineRule="auto"/>
                          <w:rPr>
                            <w:rFonts w:ascii="Times New Roman" w:eastAsia="DengXian" w:hAnsi="Times New Roman" w:cs="Times New Roman"/>
                            <w:b/>
                            <w:bCs/>
                            <w:color w:val="000000"/>
                            <w:sz w:val="18"/>
                            <w:szCs w:val="18"/>
                            <w:lang w:val="en-AU"/>
                          </w:rPr>
                        </w:pPr>
                        <w:r w:rsidRPr="00745CBE">
                          <w:rPr>
                            <w:rFonts w:ascii="Times New Roman" w:eastAsia="DengXian" w:hAnsi="Times New Roman" w:cs="Times New Roman"/>
                            <w:b/>
                            <w:bCs/>
                            <w:color w:val="000000"/>
                            <w:sz w:val="18"/>
                            <w:szCs w:val="18"/>
                            <w:lang w:val="en-AU"/>
                          </w:rPr>
                          <w:t> </w:t>
                        </w:r>
                      </w:p>
                    </w:txbxContent>
                  </v:textbox>
                </v:shape>
                <v:shape id="Flowchart: Alternate Process 33" o:spid="_x0000_s1039" type="#_x0000_t176" style="position:absolute;left:-1798;top:39639;width:9833;height:40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" fillcolor="white [3201]" strokecolor="#4472c4 [3204]" strokeweight="1pt">
                  <v:textbox>
                    <w:txbxContent>
                      <w:p w14:paraId="6658B532" w14:textId="77777777" w:rsidR="007E3F82" w:rsidRPr="00745CBE" w:rsidRDefault="007E3F82" w:rsidP="007E3F82">
                        <w:pPr>
                          <w:spacing w:after="160" w:line="256" w:lineRule="auto"/>
                          <w:jc w:val="center"/>
                          <w:rPr>
                            <w:rFonts w:ascii="Times New Roman" w:eastAsia="DengXian" w:hAnsi="Times New Roman" w:cs="Times New Roman"/>
                            <w:color w:val="000000"/>
                            <w:kern w:val="0"/>
                            <w:sz w:val="18"/>
                            <w:szCs w:val="18"/>
                            <w:lang w:val="en-AU"/>
                          </w:rPr>
                        </w:pPr>
                        <w:r w:rsidRPr="00745CBE">
                          <w:rPr>
                            <w:rFonts w:ascii="Times New Roman" w:eastAsia="DengXian" w:hAnsi="Times New Roman" w:cs="Times New Roman"/>
                            <w:color w:val="000000"/>
                            <w:sz w:val="18"/>
                            <w:szCs w:val="18"/>
                            <w:lang w:val="en-AU"/>
                          </w:rPr>
                          <w:t>Included</w:t>
                        </w:r>
                      </w:p>
                    </w:txbxContent>
                  </v:textbox>
                </v:shape>
                <w10:anchorlock/>
              </v:group>
            </w:pict>
          </mc:Fallback>
        </mc:AlternateContent>
      </w:r>
    </w:p>
    <w:p w14:paraId="3B84E4A3" w14:textId="6EFCE34E" w:rsidR="007E3F82" w:rsidRDefault="007E3F82" w:rsidP="00C15362">
      <w:pPr>
        <w:adjustRightInd w:val="0"/>
        <w:snapToGrid w:val="0"/>
        <w:spacing w:line="360" w:lineRule="auto"/>
        <w:jc w:val="left"/>
        <w:rPr>
          <w:rFonts w:ascii="Times New Roman" w:eastAsia="Times New Roman" w:hAnsi="Times New Roman" w:cs="Times New Roman"/>
          <w:kern w:val="0"/>
          <w:sz w:val="16"/>
          <w:szCs w:val="16"/>
          <w:lang w:val="en-AU"/>
        </w:rPr>
      </w:pPr>
      <w:r w:rsidRPr="008F448B">
        <w:rPr>
          <w:rFonts w:ascii="Times New Roman" w:eastAsia="Times New Roman" w:hAnsi="Times New Roman" w:cs="Times New Roman"/>
          <w:kern w:val="0"/>
          <w:sz w:val="16"/>
          <w:szCs w:val="16"/>
          <w:lang w:val="en-AU"/>
        </w:rPr>
        <w:t>CUA</w:t>
      </w:r>
      <w:r>
        <w:rPr>
          <w:rFonts w:ascii="Times New Roman" w:eastAsia="Times New Roman" w:hAnsi="Times New Roman" w:cs="Times New Roman"/>
          <w:kern w:val="0"/>
          <w:sz w:val="16"/>
          <w:szCs w:val="16"/>
          <w:lang w:val="en-AU"/>
        </w:rPr>
        <w:t xml:space="preserve"> </w:t>
      </w:r>
      <w:r w:rsidR="00073848" w:rsidRPr="008F448B">
        <w:rPr>
          <w:rFonts w:ascii="Times New Roman" w:eastAsia="Times New Roman" w:hAnsi="Times New Roman" w:cs="Times New Roman"/>
          <w:kern w:val="0"/>
          <w:sz w:val="16"/>
          <w:szCs w:val="16"/>
          <w:lang w:val="en-AU"/>
        </w:rPr>
        <w:t>cost</w:t>
      </w:r>
      <w:r w:rsidR="00073848">
        <w:rPr>
          <w:rFonts w:ascii="Times New Roman" w:eastAsia="Times New Roman" w:hAnsi="Times New Roman" w:cs="Times New Roman"/>
          <w:kern w:val="0"/>
          <w:sz w:val="16"/>
          <w:szCs w:val="16"/>
          <w:lang w:val="en-AU"/>
        </w:rPr>
        <w:t>-</w:t>
      </w:r>
      <w:r w:rsidRPr="008F448B">
        <w:rPr>
          <w:rFonts w:ascii="Times New Roman" w:eastAsia="Times New Roman" w:hAnsi="Times New Roman" w:cs="Times New Roman"/>
          <w:kern w:val="0"/>
          <w:sz w:val="16"/>
          <w:szCs w:val="16"/>
          <w:lang w:val="en-AU"/>
        </w:rPr>
        <w:t>utility analysis</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CMA</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cost-minimisation analysis,</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PBAC</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Pharmaceutical Benefits Advisory Committee</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PSDs</w:t>
      </w:r>
      <w:r>
        <w:rPr>
          <w:rFonts w:ascii="Times New Roman" w:eastAsia="Times New Roman" w:hAnsi="Times New Roman" w:cs="Times New Roman"/>
          <w:kern w:val="0"/>
          <w:sz w:val="16"/>
          <w:szCs w:val="16"/>
          <w:lang w:val="en-AU"/>
        </w:rPr>
        <w:t xml:space="preserve"> </w:t>
      </w:r>
      <w:r w:rsidRPr="008F448B">
        <w:rPr>
          <w:rFonts w:ascii="Times New Roman" w:eastAsia="Times New Roman" w:hAnsi="Times New Roman" w:cs="Times New Roman"/>
          <w:kern w:val="0"/>
          <w:sz w:val="16"/>
          <w:szCs w:val="16"/>
          <w:lang w:val="en-AU"/>
        </w:rPr>
        <w:t>Public Summary Documents</w:t>
      </w:r>
      <w:bookmarkStart w:id="57" w:name="_Hlk82007310"/>
    </w:p>
    <w:p w14:paraId="6391D4BC" w14:textId="066BDA5C" w:rsidR="00A2458F" w:rsidRDefault="007E3F82" w:rsidP="00C15362">
      <w:pPr>
        <w:adjustRightInd w:val="0"/>
        <w:snapToGrid w:val="0"/>
        <w:spacing w:beforeLines="80" w:before="249" w:line="360" w:lineRule="auto"/>
        <w:jc w:val="center"/>
        <w:rPr>
          <w:rFonts w:ascii="Times New Roman" w:eastAsiaTheme="majorEastAsia" w:hAnsi="Times New Roman" w:cs="Times New Roman"/>
          <w:b/>
          <w:bCs/>
          <w:kern w:val="0"/>
          <w:sz w:val="20"/>
          <w:szCs w:val="20"/>
          <w:lang w:val="en-AU" w:eastAsia="en-US"/>
        </w:rPr>
      </w:pPr>
      <w:r w:rsidRPr="00550D76">
        <w:rPr>
          <w:rFonts w:ascii="Times New Roman" w:eastAsia="Times New Roman" w:hAnsi="Times New Roman" w:cs="Times New Roman"/>
          <w:kern w:val="0"/>
          <w:sz w:val="16"/>
          <w:szCs w:val="16"/>
          <w:lang w:val="en-AU"/>
        </w:rPr>
        <w:t xml:space="preserve">Figure 5-1 Flowchart for medicine-indication pairs </w:t>
      </w:r>
      <w:bookmarkEnd w:id="57"/>
      <w:r w:rsidRPr="00550D76">
        <w:rPr>
          <w:rFonts w:ascii="Times New Roman" w:eastAsia="Times New Roman" w:hAnsi="Times New Roman" w:cs="Times New Roman"/>
          <w:kern w:val="0"/>
          <w:sz w:val="16"/>
          <w:szCs w:val="16"/>
          <w:lang w:val="en-AU"/>
        </w:rPr>
        <w:t>included.</w:t>
      </w:r>
    </w:p>
    <w:p w14:paraId="74EB15C8" w14:textId="77777777" w:rsidR="00C15362" w:rsidRDefault="00C15362" w:rsidP="00C15362">
      <w:pPr>
        <w:adjustRightInd w:val="0"/>
        <w:snapToGrid w:val="0"/>
        <w:spacing w:beforeLines="80" w:before="249" w:line="360" w:lineRule="auto"/>
        <w:jc w:val="center"/>
        <w:rPr>
          <w:rFonts w:ascii="Times New Roman" w:eastAsia="Times New Roman" w:hAnsi="Times New Roman" w:cs="Times New Roman"/>
          <w:kern w:val="0"/>
          <w:sz w:val="16"/>
          <w:szCs w:val="16"/>
          <w:lang w:val="en-AU"/>
        </w:rPr>
        <w:sectPr w:rsidR="00C15362" w:rsidSect="00E82899">
          <w:type w:val="continuous"/>
          <w:pgSz w:w="11906" w:h="16838"/>
          <w:pgMar w:top="1440" w:right="1800" w:bottom="1440" w:left="1800" w:header="850" w:footer="994" w:gutter="0"/>
          <w:cols w:space="425"/>
          <w:docGrid w:type="lines" w:linePitch="312"/>
        </w:sectPr>
      </w:pPr>
    </w:p>
    <w:p w14:paraId="439F1ADE" w14:textId="5FDC383D" w:rsidR="008940BC" w:rsidRPr="008F448B" w:rsidRDefault="008940BC" w:rsidP="006C41A0">
      <w:pPr>
        <w:pStyle w:val="Heading1"/>
        <w:widowControl/>
        <w:adjustRightInd w:val="0"/>
        <w:snapToGrid w:val="0"/>
        <w:spacing w:before="120" w:after="0" w:line="360" w:lineRule="auto"/>
        <w:jc w:val="left"/>
        <w:rPr>
          <w:rFonts w:ascii="Times New Roman" w:eastAsiaTheme="majorEastAsia" w:hAnsi="Times New Roman" w:cs="Times New Roman"/>
          <w:kern w:val="0"/>
          <w:sz w:val="21"/>
          <w:szCs w:val="21"/>
          <w:lang w:val="en-AU" w:eastAsia="en-US"/>
        </w:rPr>
      </w:pPr>
      <w:r w:rsidRPr="4F533E7D">
        <w:rPr>
          <w:rFonts w:ascii="Times New Roman" w:eastAsiaTheme="majorEastAsia" w:hAnsi="Times New Roman" w:cs="Times New Roman"/>
          <w:kern w:val="0"/>
          <w:sz w:val="21"/>
          <w:szCs w:val="21"/>
          <w:lang w:val="en-AU" w:eastAsia="en-US"/>
        </w:rPr>
        <w:lastRenderedPageBreak/>
        <w:t xml:space="preserve">Appendix </w:t>
      </w:r>
      <w:r w:rsidRPr="4F533E7D">
        <w:rPr>
          <w:rFonts w:ascii="Times New Roman" w:eastAsiaTheme="majorEastAsia" w:hAnsi="Times New Roman" w:cs="Times New Roman"/>
          <w:sz w:val="21"/>
          <w:szCs w:val="21"/>
          <w:lang w:val="en-AU" w:eastAsia="en-US"/>
        </w:rPr>
        <w:t>6</w:t>
      </w:r>
      <w:r w:rsidRPr="4F533E7D">
        <w:rPr>
          <w:rFonts w:ascii="Times New Roman" w:eastAsiaTheme="majorEastAsia" w:hAnsi="Times New Roman" w:cs="Times New Roman"/>
          <w:kern w:val="0"/>
          <w:sz w:val="21"/>
          <w:szCs w:val="21"/>
          <w:lang w:val="en-AU" w:eastAsia="en-US"/>
        </w:rPr>
        <w:t xml:space="preserve">. </w:t>
      </w:r>
      <w:r w:rsidR="00861A27" w:rsidRPr="4F533E7D">
        <w:rPr>
          <w:rFonts w:ascii="Times New Roman" w:eastAsiaTheme="majorEastAsia" w:hAnsi="Times New Roman" w:cs="Times New Roman"/>
          <w:sz w:val="21"/>
          <w:szCs w:val="21"/>
          <w:lang w:val="en-AU"/>
        </w:rPr>
        <w:t>R</w:t>
      </w:r>
      <w:r w:rsidRPr="4F533E7D">
        <w:rPr>
          <w:rFonts w:ascii="Times New Roman" w:eastAsiaTheme="majorEastAsia" w:hAnsi="Times New Roman" w:cs="Times New Roman"/>
          <w:kern w:val="0"/>
          <w:sz w:val="21"/>
          <w:szCs w:val="21"/>
          <w:lang w:val="en-AU" w:eastAsia="en-US"/>
        </w:rPr>
        <w:t>esults of the Kendall test of each uncertainty</w:t>
      </w:r>
    </w:p>
    <w:p w14:paraId="49D67D01" w14:textId="6B25EC93" w:rsidR="008940BC" w:rsidRPr="008F448B" w:rsidRDefault="008940BC" w:rsidP="00C15362">
      <w:pPr>
        <w:adjustRightInd w:val="0"/>
        <w:snapToGrid w:val="0"/>
        <w:spacing w:line="360" w:lineRule="auto"/>
        <w:rPr>
          <w:rFonts w:ascii="Times New Roman" w:eastAsia="Times New Roman" w:hAnsi="Times New Roman" w:cs="Times New Roman"/>
          <w:kern w:val="0"/>
          <w:sz w:val="20"/>
          <w:szCs w:val="20"/>
          <w:lang w:val="en-AU"/>
        </w:rPr>
      </w:pPr>
      <w:r w:rsidRPr="008F448B">
        <w:rPr>
          <w:rFonts w:ascii="Times New Roman" w:eastAsia="Times New Roman" w:hAnsi="Times New Roman" w:cs="Times New Roman"/>
          <w:kern w:val="0"/>
          <w:sz w:val="20"/>
          <w:szCs w:val="20"/>
          <w:lang w:val="en-AU"/>
        </w:rPr>
        <w:t xml:space="preserve">Kendall's </w:t>
      </w:r>
      <w:r w:rsidR="007B6F84" w:rsidRPr="4F533E7D">
        <w:rPr>
          <w:rFonts w:ascii="Times New Roman" w:eastAsia="Times New Roman" w:hAnsi="Times New Roman" w:cs="Times New Roman"/>
          <w:sz w:val="20"/>
          <w:szCs w:val="20"/>
          <w:lang w:val="en-AU"/>
        </w:rPr>
        <w:t>tau-b (τ</w:t>
      </w:r>
      <w:r w:rsidR="007B6F84" w:rsidRPr="4F533E7D">
        <w:rPr>
          <w:rFonts w:ascii="Times New Roman" w:hAnsi="Times New Roman" w:cs="Times New Roman"/>
          <w:sz w:val="20"/>
          <w:szCs w:val="20"/>
          <w:lang w:val="en-AU"/>
        </w:rPr>
        <w:t xml:space="preserve"> </w:t>
      </w:r>
      <w:r w:rsidR="007B6F84" w:rsidRPr="00937F08">
        <w:rPr>
          <w:rFonts w:ascii="Times New Roman" w:eastAsia="Times New Roman" w:hAnsi="Times New Roman" w:cs="Times New Roman"/>
          <w:kern w:val="0"/>
          <w:sz w:val="20"/>
          <w:szCs w:val="20"/>
          <w:vertAlign w:val="subscript"/>
          <w:lang w:val="en-AU"/>
        </w:rPr>
        <w:t>b</w:t>
      </w:r>
      <w:r w:rsidR="007B6F84" w:rsidRPr="4F533E7D">
        <w:rPr>
          <w:rFonts w:ascii="Times New Roman" w:eastAsia="Times New Roman" w:hAnsi="Times New Roman" w:cs="Times New Roman"/>
          <w:sz w:val="20"/>
          <w:szCs w:val="20"/>
          <w:lang w:val="en-AU"/>
        </w:rPr>
        <w:t xml:space="preserve">) </w:t>
      </w:r>
      <w:r w:rsidRPr="008F448B">
        <w:rPr>
          <w:rFonts w:ascii="Times New Roman" w:eastAsia="Times New Roman" w:hAnsi="Times New Roman" w:cs="Times New Roman"/>
          <w:kern w:val="0"/>
          <w:sz w:val="20"/>
          <w:szCs w:val="20"/>
          <w:lang w:val="en-AU"/>
        </w:rPr>
        <w:t>coefficient</w:t>
      </w:r>
      <w:r w:rsidR="006B61F9">
        <w:rPr>
          <w:rFonts w:ascii="Times New Roman" w:eastAsia="Times New Roman" w:hAnsi="Times New Roman" w:cs="Times New Roman"/>
          <w:kern w:val="0"/>
          <w:sz w:val="20"/>
          <w:szCs w:val="20"/>
          <w:lang w:val="en-AU"/>
        </w:rPr>
        <w:t xml:space="preserve"> </w:t>
      </w:r>
      <w:r w:rsidR="00512D56">
        <w:rPr>
          <w:rFonts w:ascii="Times New Roman" w:eastAsia="Times New Roman" w:hAnsi="Times New Roman" w:cs="Times New Roman"/>
          <w:kern w:val="0"/>
          <w:sz w:val="20"/>
          <w:szCs w:val="20"/>
          <w:lang w:val="en-AU"/>
        </w:rPr>
        <w:t>was</w:t>
      </w:r>
      <w:r w:rsidRPr="008F448B">
        <w:rPr>
          <w:rFonts w:ascii="Times New Roman" w:eastAsia="Times New Roman" w:hAnsi="Times New Roman" w:cs="Times New Roman"/>
          <w:kern w:val="0"/>
          <w:sz w:val="20"/>
          <w:szCs w:val="20"/>
          <w:lang w:val="en-AU"/>
        </w:rPr>
        <w:t xml:space="preserve"> used to measure the significant </w:t>
      </w:r>
      <w:hyperlink r:id="rId13" w:history="1">
        <w:r w:rsidRPr="008F448B">
          <w:rPr>
            <w:rFonts w:ascii="Times New Roman" w:eastAsia="Times New Roman" w:hAnsi="Times New Roman" w:cs="Times New Roman"/>
            <w:kern w:val="0"/>
            <w:sz w:val="20"/>
            <w:szCs w:val="20"/>
            <w:lang w:val="en-AU"/>
          </w:rPr>
          <w:t>association</w:t>
        </w:r>
      </w:hyperlink>
      <w:r w:rsidRPr="008F448B">
        <w:rPr>
          <w:rFonts w:ascii="Times New Roman" w:eastAsia="Times New Roman" w:hAnsi="Times New Roman" w:cs="Times New Roman"/>
          <w:kern w:val="0"/>
          <w:sz w:val="20"/>
          <w:szCs w:val="20"/>
          <w:lang w:val="en-AU"/>
        </w:rPr>
        <w:t xml:space="preserve"> between different types of uncertainty and each </w:t>
      </w:r>
      <w:r w:rsidR="00C773AE" w:rsidRPr="008F448B">
        <w:rPr>
          <w:rFonts w:ascii="Times New Roman" w:eastAsia="Times New Roman" w:hAnsi="Times New Roman" w:cs="Times New Roman"/>
          <w:kern w:val="0"/>
          <w:sz w:val="20"/>
          <w:szCs w:val="20"/>
          <w:lang w:val="en-AU"/>
        </w:rPr>
        <w:t>item</w:t>
      </w:r>
      <w:r w:rsidRPr="008F448B">
        <w:rPr>
          <w:rFonts w:ascii="Times New Roman" w:eastAsia="Times New Roman" w:hAnsi="Times New Roman" w:cs="Times New Roman"/>
          <w:kern w:val="0"/>
          <w:sz w:val="20"/>
          <w:szCs w:val="20"/>
          <w:lang w:val="en-AU"/>
        </w:rPr>
        <w:t xml:space="preserve"> of </w:t>
      </w:r>
      <w:r w:rsidR="00925D75" w:rsidRPr="008F448B">
        <w:rPr>
          <w:rFonts w:ascii="Times New Roman" w:eastAsia="Times New Roman" w:hAnsi="Times New Roman" w:cs="Times New Roman"/>
          <w:kern w:val="0"/>
          <w:sz w:val="20"/>
          <w:szCs w:val="20"/>
          <w:lang w:val="en-AU"/>
        </w:rPr>
        <w:t>uncertainty</w:t>
      </w:r>
      <w:r w:rsidR="00512D56">
        <w:rPr>
          <w:rFonts w:ascii="Times New Roman" w:eastAsia="Times New Roman" w:hAnsi="Times New Roman" w:cs="Times New Roman"/>
          <w:kern w:val="0"/>
          <w:sz w:val="20"/>
          <w:szCs w:val="20"/>
          <w:lang w:val="en-AU"/>
        </w:rPr>
        <w:t>.</w:t>
      </w:r>
      <w:r w:rsidR="00925D75" w:rsidRPr="008F448B">
        <w:rPr>
          <w:rFonts w:ascii="Times New Roman" w:eastAsia="Times New Roman" w:hAnsi="Times New Roman" w:cs="Times New Roman"/>
          <w:kern w:val="0"/>
          <w:sz w:val="20"/>
          <w:szCs w:val="20"/>
          <w:lang w:val="en-AU"/>
        </w:rPr>
        <w:t xml:space="preserve"> </w:t>
      </w:r>
      <w:r w:rsidR="00E95883" w:rsidRPr="008F448B">
        <w:rPr>
          <w:rFonts w:ascii="Times New Roman" w:eastAsia="Times New Roman" w:hAnsi="Times New Roman" w:cs="Times New Roman"/>
          <w:kern w:val="0"/>
          <w:sz w:val="20"/>
          <w:szCs w:val="20"/>
          <w:lang w:val="en-AU"/>
        </w:rPr>
        <w:t>Table</w:t>
      </w:r>
      <w:r w:rsidRPr="008F448B">
        <w:rPr>
          <w:rFonts w:ascii="Times New Roman" w:eastAsia="Times New Roman" w:hAnsi="Times New Roman" w:cs="Times New Roman"/>
          <w:kern w:val="0"/>
          <w:sz w:val="20"/>
          <w:szCs w:val="20"/>
          <w:lang w:val="en-AU"/>
        </w:rPr>
        <w:t xml:space="preserve"> </w:t>
      </w:r>
      <w:r w:rsidRPr="4F533E7D">
        <w:rPr>
          <w:rFonts w:ascii="Times New Roman" w:eastAsia="Times New Roman" w:hAnsi="Times New Roman" w:cs="Times New Roman"/>
          <w:sz w:val="20"/>
          <w:szCs w:val="20"/>
          <w:lang w:val="en-AU"/>
        </w:rPr>
        <w:t>6</w:t>
      </w:r>
      <w:r w:rsidR="00547ED9">
        <w:rPr>
          <w:rFonts w:ascii="Times New Roman" w:eastAsia="Times New Roman" w:hAnsi="Times New Roman" w:cs="Times New Roman"/>
          <w:kern w:val="0"/>
          <w:sz w:val="20"/>
          <w:szCs w:val="20"/>
          <w:lang w:val="en-AU"/>
        </w:rPr>
        <w:t>-</w:t>
      </w:r>
      <w:r w:rsidRPr="008F448B">
        <w:rPr>
          <w:rFonts w:ascii="Times New Roman" w:eastAsia="Times New Roman" w:hAnsi="Times New Roman" w:cs="Times New Roman"/>
          <w:kern w:val="0"/>
          <w:sz w:val="20"/>
          <w:szCs w:val="20"/>
          <w:lang w:val="en-AU"/>
        </w:rPr>
        <w:t xml:space="preserve">1 and </w:t>
      </w:r>
      <w:r w:rsidRPr="4F533E7D">
        <w:rPr>
          <w:rFonts w:ascii="Times New Roman" w:eastAsia="Times New Roman" w:hAnsi="Times New Roman" w:cs="Times New Roman"/>
          <w:sz w:val="20"/>
          <w:szCs w:val="20"/>
          <w:lang w:val="en-AU"/>
        </w:rPr>
        <w:t>6</w:t>
      </w:r>
      <w:r w:rsidR="00547ED9">
        <w:rPr>
          <w:rFonts w:ascii="Times New Roman" w:eastAsia="Times New Roman" w:hAnsi="Times New Roman" w:cs="Times New Roman"/>
          <w:kern w:val="0"/>
          <w:sz w:val="20"/>
          <w:szCs w:val="20"/>
          <w:lang w:val="en-AU"/>
        </w:rPr>
        <w:t>-</w:t>
      </w:r>
      <w:r w:rsidRPr="008F448B">
        <w:rPr>
          <w:rFonts w:ascii="Times New Roman" w:eastAsia="Times New Roman" w:hAnsi="Times New Roman" w:cs="Times New Roman"/>
          <w:kern w:val="0"/>
          <w:sz w:val="20"/>
          <w:szCs w:val="20"/>
          <w:lang w:val="en-AU"/>
        </w:rPr>
        <w:t>2</w:t>
      </w:r>
      <w:r w:rsidR="00512D56">
        <w:rPr>
          <w:rFonts w:ascii="Times New Roman" w:eastAsia="Times New Roman" w:hAnsi="Times New Roman" w:cs="Times New Roman"/>
          <w:kern w:val="0"/>
          <w:sz w:val="20"/>
          <w:szCs w:val="20"/>
          <w:lang w:val="en-AU"/>
        </w:rPr>
        <w:t xml:space="preserve"> present the </w:t>
      </w:r>
      <w:r w:rsidR="00512D56" w:rsidRPr="4F533E7D">
        <w:rPr>
          <w:rFonts w:ascii="Times New Roman" w:eastAsia="Times New Roman" w:hAnsi="Times New Roman" w:cs="Times New Roman"/>
          <w:sz w:val="20"/>
          <w:szCs w:val="20"/>
          <w:lang w:val="en-AU"/>
        </w:rPr>
        <w:t>τ</w:t>
      </w:r>
      <w:r w:rsidR="00512D56" w:rsidRPr="4F533E7D">
        <w:rPr>
          <w:rFonts w:ascii="Times New Roman" w:hAnsi="Times New Roman" w:cs="Times New Roman"/>
          <w:sz w:val="20"/>
          <w:szCs w:val="20"/>
          <w:lang w:val="en-AU"/>
        </w:rPr>
        <w:t xml:space="preserve"> </w:t>
      </w:r>
      <w:r w:rsidR="00512D56" w:rsidRPr="00937F08">
        <w:rPr>
          <w:rFonts w:ascii="Times New Roman" w:eastAsia="Times New Roman" w:hAnsi="Times New Roman" w:cs="Times New Roman"/>
          <w:kern w:val="0"/>
          <w:sz w:val="20"/>
          <w:szCs w:val="20"/>
          <w:vertAlign w:val="subscript"/>
          <w:lang w:val="en-AU"/>
        </w:rPr>
        <w:t>b</w:t>
      </w:r>
      <w:r w:rsidR="00512D56">
        <w:rPr>
          <w:rFonts w:ascii="Times New Roman" w:eastAsia="Times New Roman" w:hAnsi="Times New Roman" w:cs="Times New Roman"/>
          <w:kern w:val="0"/>
          <w:sz w:val="20"/>
          <w:szCs w:val="20"/>
          <w:lang w:val="en-AU"/>
        </w:rPr>
        <w:t xml:space="preserve"> coefficient</w:t>
      </w:r>
      <w:r w:rsidR="00953C70">
        <w:rPr>
          <w:rFonts w:ascii="Times New Roman" w:eastAsia="Times New Roman" w:hAnsi="Times New Roman" w:cs="Times New Roman"/>
          <w:kern w:val="0"/>
          <w:sz w:val="20"/>
          <w:szCs w:val="20"/>
          <w:lang w:val="en-AU"/>
        </w:rPr>
        <w:t>s</w:t>
      </w:r>
      <w:r w:rsidR="00512D56">
        <w:rPr>
          <w:rFonts w:ascii="Times New Roman" w:eastAsia="Times New Roman" w:hAnsi="Times New Roman" w:cs="Times New Roman"/>
          <w:kern w:val="0"/>
          <w:sz w:val="20"/>
          <w:szCs w:val="20"/>
          <w:lang w:val="en-AU"/>
        </w:rPr>
        <w:t xml:space="preserve"> (</w:t>
      </w:r>
      <w:r w:rsidR="00953C70">
        <w:rPr>
          <w:rFonts w:ascii="Times New Roman" w:eastAsia="Times New Roman" w:hAnsi="Times New Roman" w:cs="Times New Roman"/>
          <w:kern w:val="0"/>
          <w:sz w:val="20"/>
          <w:szCs w:val="20"/>
          <w:lang w:val="en-AU"/>
        </w:rPr>
        <w:t>above</w:t>
      </w:r>
      <w:r w:rsidR="00512D56">
        <w:rPr>
          <w:rFonts w:ascii="Times New Roman" w:eastAsia="Times New Roman" w:hAnsi="Times New Roman" w:cs="Times New Roman"/>
          <w:kern w:val="0"/>
          <w:sz w:val="20"/>
          <w:szCs w:val="20"/>
          <w:lang w:val="en-AU"/>
        </w:rPr>
        <w:t xml:space="preserve">) and </w:t>
      </w:r>
      <w:r w:rsidR="00953C70">
        <w:rPr>
          <w:rFonts w:ascii="Times New Roman" w:eastAsia="Times New Roman" w:hAnsi="Times New Roman" w:cs="Times New Roman"/>
          <w:kern w:val="0"/>
          <w:sz w:val="20"/>
          <w:szCs w:val="20"/>
          <w:lang w:val="en-AU"/>
        </w:rPr>
        <w:t>associated</w:t>
      </w:r>
      <w:r w:rsidR="00512D56">
        <w:rPr>
          <w:rFonts w:ascii="Times New Roman" w:eastAsia="Times New Roman" w:hAnsi="Times New Roman" w:cs="Times New Roman"/>
          <w:kern w:val="0"/>
          <w:sz w:val="20"/>
          <w:szCs w:val="20"/>
          <w:lang w:val="en-AU"/>
        </w:rPr>
        <w:t xml:space="preserve"> </w:t>
      </w:r>
      <w:r w:rsidR="00512D56" w:rsidRPr="00512D56">
        <w:rPr>
          <w:rFonts w:ascii="Times New Roman" w:eastAsia="Times New Roman" w:hAnsi="Times New Roman" w:cs="Times New Roman"/>
          <w:kern w:val="0"/>
          <w:sz w:val="20"/>
          <w:szCs w:val="20"/>
          <w:lang w:val="en-AU"/>
        </w:rPr>
        <w:t>p-value</w:t>
      </w:r>
      <w:r w:rsidR="00953C70">
        <w:rPr>
          <w:rFonts w:ascii="Times New Roman" w:eastAsia="Times New Roman" w:hAnsi="Times New Roman" w:cs="Times New Roman"/>
          <w:kern w:val="0"/>
          <w:sz w:val="20"/>
          <w:szCs w:val="20"/>
          <w:lang w:val="en-AU"/>
        </w:rPr>
        <w:t>s</w:t>
      </w:r>
      <w:r w:rsidR="00512D56">
        <w:rPr>
          <w:rFonts w:ascii="Times New Roman" w:eastAsia="Times New Roman" w:hAnsi="Times New Roman" w:cs="Times New Roman"/>
          <w:kern w:val="0"/>
          <w:sz w:val="20"/>
          <w:szCs w:val="20"/>
          <w:lang w:val="en-AU"/>
        </w:rPr>
        <w:t xml:space="preserve"> (</w:t>
      </w:r>
      <w:r w:rsidR="00953C70">
        <w:rPr>
          <w:rFonts w:ascii="Times New Roman" w:eastAsia="Times New Roman" w:hAnsi="Times New Roman" w:cs="Times New Roman"/>
          <w:kern w:val="0"/>
          <w:sz w:val="20"/>
          <w:szCs w:val="20"/>
          <w:lang w:val="en-AU"/>
        </w:rPr>
        <w:t>below in brackets</w:t>
      </w:r>
      <w:r w:rsidR="00512D56">
        <w:rPr>
          <w:rFonts w:ascii="Times New Roman" w:eastAsia="Times New Roman" w:hAnsi="Times New Roman" w:cs="Times New Roman"/>
          <w:kern w:val="0"/>
          <w:sz w:val="20"/>
          <w:szCs w:val="20"/>
          <w:lang w:val="en-AU"/>
        </w:rPr>
        <w:t>)</w:t>
      </w:r>
      <w:r w:rsidRPr="008F448B">
        <w:rPr>
          <w:rFonts w:ascii="Times New Roman" w:eastAsia="Times New Roman" w:hAnsi="Times New Roman" w:cs="Times New Roman"/>
          <w:kern w:val="0"/>
          <w:sz w:val="20"/>
          <w:szCs w:val="20"/>
          <w:lang w:val="en-AU"/>
        </w:rPr>
        <w:t xml:space="preserve">. </w:t>
      </w:r>
      <w:r w:rsidR="00D22FBB" w:rsidRPr="00D22FBB">
        <w:rPr>
          <w:rFonts w:ascii="Times New Roman" w:eastAsia="Times New Roman" w:hAnsi="Times New Roman" w:cs="Times New Roman"/>
          <w:kern w:val="0"/>
          <w:sz w:val="20"/>
          <w:szCs w:val="20"/>
          <w:lang w:val="en-AU"/>
        </w:rPr>
        <w:t xml:space="preserve">A value of P &lt; 0.05 was taken as implying </w:t>
      </w:r>
      <w:r w:rsidR="00B07475">
        <w:rPr>
          <w:rFonts w:ascii="Times New Roman" w:eastAsia="Times New Roman" w:hAnsi="Times New Roman" w:cs="Times New Roman"/>
          <w:kern w:val="0"/>
          <w:sz w:val="20"/>
          <w:szCs w:val="20"/>
          <w:lang w:val="en-AU"/>
        </w:rPr>
        <w:t xml:space="preserve">the </w:t>
      </w:r>
      <w:r w:rsidR="00D22FBB" w:rsidRPr="00D22FBB">
        <w:rPr>
          <w:rFonts w:ascii="Times New Roman" w:eastAsia="Times New Roman" w:hAnsi="Times New Roman" w:cs="Times New Roman"/>
          <w:kern w:val="0"/>
          <w:sz w:val="20"/>
          <w:szCs w:val="20"/>
          <w:lang w:val="en-AU"/>
        </w:rPr>
        <w:t>statistical significance</w:t>
      </w:r>
      <w:r w:rsidR="00D22FBB">
        <w:rPr>
          <w:rFonts w:ascii="Times New Roman" w:hAnsi="Times New Roman" w:cs="Times New Roman"/>
          <w:kern w:val="0"/>
          <w:sz w:val="20"/>
          <w:szCs w:val="20"/>
          <w:lang w:val="en-AU"/>
        </w:rPr>
        <w:t xml:space="preserve"> of </w:t>
      </w:r>
      <w:r w:rsidR="00E5319A" w:rsidRPr="008F448B">
        <w:rPr>
          <w:rFonts w:ascii="Times New Roman" w:eastAsia="Times New Roman" w:hAnsi="Times New Roman" w:cs="Times New Roman"/>
          <w:kern w:val="0"/>
          <w:sz w:val="20"/>
          <w:szCs w:val="20"/>
          <w:lang w:val="en-AU"/>
        </w:rPr>
        <w:t>Kendall's</w:t>
      </w:r>
      <w:r w:rsidR="00E5319A" w:rsidRPr="4F533E7D">
        <w:rPr>
          <w:rFonts w:ascii="Times New Roman" w:eastAsia="Times New Roman" w:hAnsi="Times New Roman" w:cs="Times New Roman"/>
          <w:sz w:val="20"/>
          <w:szCs w:val="20"/>
          <w:lang w:val="en-AU"/>
        </w:rPr>
        <w:t xml:space="preserve"> </w:t>
      </w:r>
      <w:r w:rsidR="00A26F78" w:rsidRPr="4F533E7D">
        <w:rPr>
          <w:rFonts w:ascii="Times New Roman" w:eastAsia="Times New Roman" w:hAnsi="Times New Roman" w:cs="Times New Roman"/>
          <w:sz w:val="20"/>
          <w:szCs w:val="20"/>
          <w:lang w:val="en-AU"/>
        </w:rPr>
        <w:t>τ</w:t>
      </w:r>
      <w:r w:rsidR="00A26F78" w:rsidRPr="4F533E7D">
        <w:rPr>
          <w:rFonts w:ascii="Times New Roman" w:hAnsi="Times New Roman" w:cs="Times New Roman"/>
          <w:sz w:val="20"/>
          <w:szCs w:val="20"/>
          <w:lang w:val="en-AU"/>
        </w:rPr>
        <w:t xml:space="preserve"> </w:t>
      </w:r>
      <w:r w:rsidR="00A26F78" w:rsidRPr="00937F08">
        <w:rPr>
          <w:rFonts w:ascii="Times New Roman" w:eastAsia="Times New Roman" w:hAnsi="Times New Roman" w:cs="Times New Roman"/>
          <w:kern w:val="0"/>
          <w:sz w:val="20"/>
          <w:szCs w:val="20"/>
          <w:vertAlign w:val="subscript"/>
          <w:lang w:val="en-AU"/>
        </w:rPr>
        <w:t>b</w:t>
      </w:r>
      <w:r w:rsidR="00A26F78" w:rsidRPr="00A26F78">
        <w:rPr>
          <w:rFonts w:ascii="Times New Roman" w:eastAsia="Times New Roman" w:hAnsi="Times New Roman" w:cs="Times New Roman"/>
          <w:kern w:val="0"/>
          <w:sz w:val="20"/>
          <w:szCs w:val="20"/>
          <w:lang w:val="en-AU"/>
        </w:rPr>
        <w:t xml:space="preserve"> </w:t>
      </w:r>
      <w:r w:rsidR="00A26F78" w:rsidRPr="008F448B">
        <w:rPr>
          <w:rFonts w:ascii="Times New Roman" w:eastAsia="Times New Roman" w:hAnsi="Times New Roman" w:cs="Times New Roman"/>
          <w:kern w:val="0"/>
          <w:sz w:val="20"/>
          <w:szCs w:val="20"/>
          <w:lang w:val="en-AU"/>
        </w:rPr>
        <w:t>coefficient</w:t>
      </w:r>
      <w:r w:rsidR="00E5319A">
        <w:rPr>
          <w:rFonts w:ascii="Times New Roman" w:hAnsi="Times New Roman" w:cs="Times New Roman"/>
          <w:kern w:val="0"/>
          <w:sz w:val="20"/>
          <w:szCs w:val="20"/>
          <w:lang w:val="en-AU"/>
        </w:rPr>
        <w:t xml:space="preserve">. </w:t>
      </w:r>
      <w:r w:rsidRPr="008F448B">
        <w:rPr>
          <w:rFonts w:ascii="Times New Roman" w:eastAsia="Times New Roman" w:hAnsi="Times New Roman" w:cs="Times New Roman"/>
          <w:kern w:val="0"/>
          <w:sz w:val="20"/>
          <w:szCs w:val="20"/>
          <w:lang w:val="en-AU"/>
        </w:rPr>
        <w:t xml:space="preserve">The correlation was determined as very weak for </w:t>
      </w:r>
      <w:r w:rsidR="00937F08" w:rsidRPr="4F533E7D">
        <w:rPr>
          <w:rFonts w:ascii="Times New Roman" w:eastAsia="Times New Roman" w:hAnsi="Times New Roman" w:cs="Times New Roman"/>
          <w:sz w:val="20"/>
          <w:szCs w:val="20"/>
          <w:lang w:val="en-AU"/>
        </w:rPr>
        <w:t>τ</w:t>
      </w:r>
      <w:r w:rsidR="00937F08" w:rsidRPr="4F533E7D">
        <w:rPr>
          <w:rFonts w:ascii="Times New Roman" w:hAnsi="Times New Roman" w:cs="Times New Roman"/>
          <w:sz w:val="20"/>
          <w:szCs w:val="20"/>
          <w:lang w:val="en-AU"/>
        </w:rPr>
        <w:t xml:space="preserve"> </w:t>
      </w:r>
      <w:r w:rsidR="00937F08" w:rsidRPr="4F533E7D">
        <w:rPr>
          <w:rFonts w:ascii="Times New Roman" w:eastAsia="Times New Roman" w:hAnsi="Times New Roman" w:cs="Times New Roman"/>
          <w:sz w:val="20"/>
          <w:szCs w:val="20"/>
          <w:vertAlign w:val="subscript"/>
          <w:lang w:val="en-AU"/>
        </w:rPr>
        <w:t>b</w:t>
      </w:r>
      <w:r w:rsidRPr="008F448B">
        <w:rPr>
          <w:rFonts w:ascii="Times New Roman" w:eastAsia="Times New Roman" w:hAnsi="Times New Roman" w:cs="Times New Roman"/>
          <w:kern w:val="0"/>
          <w:sz w:val="20"/>
          <w:szCs w:val="20"/>
          <w:lang w:val="en-AU"/>
        </w:rPr>
        <w:t xml:space="preserve"> being less than 0.10, weak for -0.10 to 0.19, moderate for 0.20 to 0.29, and </w:t>
      </w:r>
      <w:r w:rsidR="00BF1C0F" w:rsidRPr="008F448B">
        <w:rPr>
          <w:rFonts w:ascii="Times New Roman" w:eastAsia="Times New Roman" w:hAnsi="Times New Roman" w:cs="Times New Roman"/>
          <w:kern w:val="0"/>
          <w:sz w:val="20"/>
          <w:szCs w:val="20"/>
          <w:lang w:val="en-AU"/>
        </w:rPr>
        <w:t>strong</w:t>
      </w:r>
      <w:r w:rsidR="00BF1C0F">
        <w:rPr>
          <w:rFonts w:ascii="Times New Roman" w:eastAsia="Times New Roman" w:hAnsi="Times New Roman" w:cs="Times New Roman"/>
          <w:kern w:val="0"/>
          <w:sz w:val="20"/>
          <w:szCs w:val="20"/>
          <w:lang w:val="en-AU"/>
        </w:rPr>
        <w:t xml:space="preserve"> for</w:t>
      </w:r>
      <w:r w:rsidR="00BF1C0F" w:rsidRPr="008F448B">
        <w:rPr>
          <w:rFonts w:ascii="Times New Roman" w:eastAsia="Times New Roman" w:hAnsi="Times New Roman" w:cs="Times New Roman"/>
          <w:kern w:val="0"/>
          <w:sz w:val="20"/>
          <w:szCs w:val="20"/>
          <w:lang w:val="en-AU"/>
        </w:rPr>
        <w:t xml:space="preserve"> </w:t>
      </w:r>
      <w:r w:rsidRPr="008F448B">
        <w:rPr>
          <w:rFonts w:ascii="Times New Roman" w:eastAsia="Times New Roman" w:hAnsi="Times New Roman" w:cs="Times New Roman"/>
          <w:kern w:val="0"/>
          <w:sz w:val="20"/>
          <w:szCs w:val="20"/>
          <w:lang w:val="en-AU"/>
        </w:rPr>
        <w:t xml:space="preserve">0.30 or above </w:t>
      </w:r>
      <w:r w:rsidRPr="008F448B">
        <w:rPr>
          <w:rFonts w:ascii="Times New Roman" w:eastAsia="Times New Roman" w:hAnsi="Times New Roman" w:cs="Times New Roman"/>
          <w:kern w:val="0"/>
          <w:sz w:val="20"/>
          <w:szCs w:val="20"/>
          <w:lang w:val="en-AU"/>
        </w:rPr>
        <w:fldChar w:fldCharType="begin"/>
      </w:r>
      <w:r w:rsidR="00AD61C8">
        <w:rPr>
          <w:rFonts w:ascii="Times New Roman" w:eastAsia="Times New Roman" w:hAnsi="Times New Roman" w:cs="Times New Roman"/>
          <w:kern w:val="0"/>
          <w:sz w:val="20"/>
          <w:szCs w:val="20"/>
          <w:lang w:val="en-AU"/>
        </w:rPr>
        <w:instrText xml:space="preserve"> ADDIN EN.CITE &lt;EndNote&gt;&lt;Cite&gt;&lt;Author&gt;Robert E&lt;/Author&gt;&lt;Year&gt;2009&lt;/Year&gt;&lt;RecNum&gt;19305&lt;/RecNum&gt;&lt;DisplayText&gt;[64]&lt;/DisplayText&gt;&lt;record&gt;&lt;rec-number&gt;19305&lt;/rec-number&gt;&lt;foreign-keys&gt;&lt;key app="EN" db-id="5zttwaa2gstv57epr5z5zxv325varaa5e9rp" timestamp="1683360834"&gt;19305&lt;/key&gt;&lt;/foreign-keys&gt;&lt;ref-type name="Web Page"&gt;12&lt;/ref-type&gt;&lt;contributors&gt;&lt;authors&gt;&lt;author&gt; Robert E,&lt;/author&gt;&lt;/authors&gt;&lt;/contributors&gt;&lt;titles&gt;&lt;title&gt;Chapter 12. Significance and Measures of Association&lt;/title&gt;&lt;/titles&gt;&lt;dates&gt;&lt;year&gt;2009&lt;/year&gt;&lt;/dates&gt;&lt;urls&gt;&lt;related-urls&gt;&lt;url&gt;https://polisci.usca.edu/apls301/Text/Chapter%2012.%20Significance%20and%20Measures%20of%20Association.htm&lt;/url&gt;&lt;/related-urls&gt;&lt;/urls&gt;&lt;/record&gt;&lt;/Cite&gt;&lt;/EndNote&gt;</w:instrText>
      </w:r>
      <w:r w:rsidRPr="008F448B">
        <w:rPr>
          <w:rFonts w:ascii="Times New Roman" w:eastAsia="Times New Roman" w:hAnsi="Times New Roman" w:cs="Times New Roman"/>
          <w:kern w:val="0"/>
          <w:sz w:val="20"/>
          <w:szCs w:val="20"/>
          <w:lang w:val="en-AU"/>
        </w:rPr>
        <w:fldChar w:fldCharType="separate"/>
      </w:r>
      <w:r w:rsidR="00AD61C8">
        <w:rPr>
          <w:rFonts w:ascii="Times New Roman" w:eastAsia="Times New Roman" w:hAnsi="Times New Roman" w:cs="Times New Roman"/>
          <w:noProof/>
          <w:kern w:val="0"/>
          <w:sz w:val="20"/>
          <w:szCs w:val="20"/>
          <w:lang w:val="en-AU"/>
        </w:rPr>
        <w:t>[64]</w:t>
      </w:r>
      <w:r w:rsidRPr="008F448B">
        <w:rPr>
          <w:rFonts w:ascii="Times New Roman" w:eastAsia="Times New Roman" w:hAnsi="Times New Roman" w:cs="Times New Roman"/>
          <w:kern w:val="0"/>
          <w:sz w:val="20"/>
          <w:szCs w:val="20"/>
          <w:lang w:val="en-AU"/>
        </w:rPr>
        <w:fldChar w:fldCharType="end"/>
      </w:r>
      <w:r w:rsidRPr="008F448B">
        <w:rPr>
          <w:rFonts w:ascii="Times New Roman" w:eastAsia="Times New Roman" w:hAnsi="Times New Roman" w:cs="Times New Roman"/>
          <w:kern w:val="0"/>
          <w:sz w:val="20"/>
          <w:szCs w:val="20"/>
          <w:lang w:val="en-AU"/>
        </w:rPr>
        <w:t xml:space="preserve">. </w:t>
      </w:r>
      <w:r w:rsidR="00937F08" w:rsidRPr="4F533E7D">
        <w:rPr>
          <w:rFonts w:ascii="Times New Roman" w:hAnsi="Times New Roman" w:cs="Times New Roman"/>
          <w:sz w:val="20"/>
          <w:szCs w:val="20"/>
          <w:lang w:val="en-AU"/>
        </w:rPr>
        <w:t xml:space="preserve">Six </w:t>
      </w:r>
      <w:r w:rsidR="00890554" w:rsidRPr="4F533E7D">
        <w:rPr>
          <w:rFonts w:ascii="Times New Roman" w:hAnsi="Times New Roman" w:cs="Times New Roman"/>
          <w:sz w:val="20"/>
          <w:szCs w:val="20"/>
          <w:lang w:val="en-AU"/>
        </w:rPr>
        <w:t>types</w:t>
      </w:r>
      <w:r w:rsidR="00890554" w:rsidRPr="008F448B" w:rsidDel="00937F08">
        <w:rPr>
          <w:rFonts w:ascii="Times New Roman" w:eastAsia="Times New Roman" w:hAnsi="Times New Roman" w:cs="Times New Roman"/>
          <w:kern w:val="0"/>
          <w:sz w:val="20"/>
          <w:szCs w:val="20"/>
          <w:lang w:val="en-AU"/>
        </w:rPr>
        <w:t xml:space="preserve"> of</w:t>
      </w:r>
      <w:r w:rsidRPr="008F448B">
        <w:rPr>
          <w:rFonts w:ascii="Times New Roman" w:eastAsia="Times New Roman" w:hAnsi="Times New Roman" w:cs="Times New Roman"/>
          <w:kern w:val="0"/>
          <w:sz w:val="20"/>
          <w:szCs w:val="20"/>
          <w:lang w:val="en-AU"/>
        </w:rPr>
        <w:t xml:space="preserve"> uncertainty showed a weak or very weak correlation. </w:t>
      </w:r>
    </w:p>
    <w:p w14:paraId="05BB14C3" w14:textId="5E2B3F18" w:rsidR="4F533E7D" w:rsidRDefault="4F533E7D" w:rsidP="00C15362">
      <w:pPr>
        <w:adjustRightInd w:val="0"/>
        <w:snapToGrid w:val="0"/>
        <w:spacing w:line="360" w:lineRule="auto"/>
        <w:rPr>
          <w:rFonts w:ascii="Times New Roman" w:eastAsia="Times New Roman" w:hAnsi="Times New Roman" w:cs="Times New Roman"/>
          <w:sz w:val="20"/>
          <w:szCs w:val="20"/>
          <w:lang w:val="en-AU"/>
        </w:rPr>
      </w:pPr>
    </w:p>
    <w:p w14:paraId="44867EB5" w14:textId="23468396" w:rsidR="008940BC" w:rsidRPr="008F448B" w:rsidRDefault="008940BC" w:rsidP="006C41A0">
      <w:pPr>
        <w:adjustRightInd w:val="0"/>
        <w:snapToGrid w:val="0"/>
        <w:spacing w:line="360" w:lineRule="auto"/>
        <w:jc w:val="left"/>
        <w:rPr>
          <w:rFonts w:ascii="Times New Roman" w:eastAsia="SimSun" w:hAnsi="Times New Roman" w:cs="Times New Roman"/>
          <w:kern w:val="0"/>
          <w:sz w:val="20"/>
          <w:szCs w:val="20"/>
        </w:rPr>
      </w:pPr>
      <w:r w:rsidRPr="008F448B">
        <w:rPr>
          <w:rFonts w:ascii="Times New Roman" w:eastAsia="SimSun" w:hAnsi="Times New Roman" w:cs="Times New Roman"/>
          <w:b/>
          <w:bCs/>
          <w:kern w:val="0"/>
          <w:sz w:val="20"/>
          <w:szCs w:val="20"/>
        </w:rPr>
        <w:t xml:space="preserve">Table </w:t>
      </w:r>
      <w:r w:rsidRPr="4F533E7D">
        <w:rPr>
          <w:rFonts w:ascii="Times New Roman" w:eastAsia="SimSun" w:hAnsi="Times New Roman" w:cs="Times New Roman"/>
          <w:b/>
          <w:bCs/>
          <w:sz w:val="20"/>
          <w:szCs w:val="20"/>
        </w:rPr>
        <w:t>6</w:t>
      </w:r>
      <w:r w:rsidRPr="008F448B">
        <w:rPr>
          <w:rFonts w:ascii="Times New Roman" w:eastAsia="SimSun" w:hAnsi="Times New Roman" w:cs="Times New Roman"/>
          <w:b/>
          <w:bCs/>
          <w:kern w:val="0"/>
          <w:sz w:val="20"/>
          <w:szCs w:val="20"/>
        </w:rPr>
        <w:t>-1 The results of the Kendall test of each uncertainty</w:t>
      </w:r>
    </w:p>
    <w:tbl>
      <w:tblPr>
        <w:tblW w:w="14675" w:type="dxa"/>
        <w:tblInd w:w="-5" w:type="dxa"/>
        <w:tblBorders>
          <w:top w:val="single" w:sz="4" w:space="0" w:color="auto"/>
          <w:bottom w:val="single" w:sz="4" w:space="0" w:color="auto"/>
        </w:tblBorders>
        <w:tblLayout w:type="fixed"/>
        <w:tblLook w:val="04A0" w:firstRow="1" w:lastRow="0" w:firstColumn="1" w:lastColumn="0" w:noHBand="0" w:noVBand="1"/>
      </w:tblPr>
      <w:tblGrid>
        <w:gridCol w:w="2075"/>
        <w:gridCol w:w="2250"/>
        <w:gridCol w:w="2520"/>
        <w:gridCol w:w="2070"/>
        <w:gridCol w:w="2070"/>
        <w:gridCol w:w="2340"/>
        <w:gridCol w:w="1350"/>
      </w:tblGrid>
      <w:tr w:rsidR="00EC5F20" w:rsidRPr="00123299" w14:paraId="5C1D5632" w14:textId="77777777" w:rsidTr="00AD0763">
        <w:trPr>
          <w:trHeight w:val="80"/>
        </w:trPr>
        <w:tc>
          <w:tcPr>
            <w:tcW w:w="2075" w:type="dxa"/>
            <w:tcBorders>
              <w:top w:val="single" w:sz="4" w:space="0" w:color="auto"/>
              <w:bottom w:val="single" w:sz="4" w:space="0" w:color="auto"/>
            </w:tcBorders>
            <w:shd w:val="clear" w:color="auto" w:fill="D9D9D9" w:themeFill="background1" w:themeFillShade="D9"/>
            <w:hideMark/>
          </w:tcPr>
          <w:p w14:paraId="00BFDC00" w14:textId="77777777" w:rsidR="00EC5F20" w:rsidRPr="000C5E12" w:rsidRDefault="00EC5F20" w:rsidP="00EC5F20">
            <w:pPr>
              <w:adjustRightInd w:val="0"/>
              <w:snapToGrid w:val="0"/>
              <w:jc w:val="left"/>
              <w:rPr>
                <w:rFonts w:ascii="Times New Roman" w:eastAsia="Times New Roman" w:hAnsi="Times New Roman" w:cs="Times New Roman"/>
                <w:kern w:val="0"/>
                <w:sz w:val="20"/>
                <w:szCs w:val="20"/>
                <w:lang w:val="en-AU"/>
              </w:rPr>
            </w:pPr>
          </w:p>
        </w:tc>
        <w:tc>
          <w:tcPr>
            <w:tcW w:w="2250" w:type="dxa"/>
            <w:tcBorders>
              <w:top w:val="single" w:sz="4" w:space="0" w:color="auto"/>
              <w:bottom w:val="single" w:sz="4" w:space="0" w:color="auto"/>
            </w:tcBorders>
            <w:shd w:val="clear" w:color="auto" w:fill="D9D9D9" w:themeFill="background1" w:themeFillShade="D9"/>
          </w:tcPr>
          <w:p w14:paraId="5B6791B0" w14:textId="77777777"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Methodological uncertainty (unparameterisable)</w:t>
            </w:r>
          </w:p>
        </w:tc>
        <w:tc>
          <w:tcPr>
            <w:tcW w:w="2520" w:type="dxa"/>
            <w:tcBorders>
              <w:top w:val="single" w:sz="4" w:space="0" w:color="auto"/>
              <w:bottom w:val="single" w:sz="4" w:space="0" w:color="auto"/>
            </w:tcBorders>
            <w:shd w:val="clear" w:color="auto" w:fill="D9D9D9" w:themeFill="background1" w:themeFillShade="D9"/>
          </w:tcPr>
          <w:p w14:paraId="2F4CF4CA" w14:textId="77777777"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Methodological uncertainty (parameterisable)</w:t>
            </w:r>
          </w:p>
        </w:tc>
        <w:tc>
          <w:tcPr>
            <w:tcW w:w="2070" w:type="dxa"/>
            <w:tcBorders>
              <w:top w:val="single" w:sz="4" w:space="0" w:color="auto"/>
              <w:bottom w:val="single" w:sz="4" w:space="0" w:color="auto"/>
            </w:tcBorders>
            <w:shd w:val="clear" w:color="auto" w:fill="D9D9D9" w:themeFill="background1" w:themeFillShade="D9"/>
          </w:tcPr>
          <w:p w14:paraId="44F6A591" w14:textId="11969E99"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Generalisability uncertainty</w:t>
            </w:r>
          </w:p>
        </w:tc>
        <w:tc>
          <w:tcPr>
            <w:tcW w:w="2070" w:type="dxa"/>
            <w:tcBorders>
              <w:top w:val="single" w:sz="4" w:space="0" w:color="auto"/>
              <w:bottom w:val="single" w:sz="4" w:space="0" w:color="auto"/>
            </w:tcBorders>
            <w:shd w:val="clear" w:color="auto" w:fill="D9D9D9" w:themeFill="background1" w:themeFillShade="D9"/>
          </w:tcPr>
          <w:p w14:paraId="3657C53F" w14:textId="635813A6"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Structural uncertainty (unparameterisable)</w:t>
            </w:r>
          </w:p>
        </w:tc>
        <w:tc>
          <w:tcPr>
            <w:tcW w:w="2340" w:type="dxa"/>
            <w:tcBorders>
              <w:top w:val="single" w:sz="4" w:space="0" w:color="auto"/>
              <w:bottom w:val="single" w:sz="4" w:space="0" w:color="auto"/>
            </w:tcBorders>
            <w:shd w:val="clear" w:color="auto" w:fill="D9D9D9" w:themeFill="background1" w:themeFillShade="D9"/>
          </w:tcPr>
          <w:p w14:paraId="6036CFE3" w14:textId="77777777"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Structural uncertainty (parameterisable, extrapolation)</w:t>
            </w:r>
          </w:p>
        </w:tc>
        <w:tc>
          <w:tcPr>
            <w:tcW w:w="1350" w:type="dxa"/>
            <w:tcBorders>
              <w:top w:val="single" w:sz="4" w:space="0" w:color="auto"/>
              <w:bottom w:val="single" w:sz="4" w:space="0" w:color="auto"/>
            </w:tcBorders>
            <w:shd w:val="clear" w:color="auto" w:fill="D9D9D9" w:themeFill="background1" w:themeFillShade="D9"/>
          </w:tcPr>
          <w:p w14:paraId="63700930" w14:textId="77777777" w:rsidR="00EC5F20" w:rsidRPr="000C5E12" w:rsidRDefault="00EC5F20" w:rsidP="00EC5F20">
            <w:pPr>
              <w:adjustRightInd w:val="0"/>
              <w:snapToGrid w:val="0"/>
              <w:jc w:val="center"/>
              <w:rPr>
                <w:rFonts w:ascii="Times New Roman" w:eastAsia="Times New Roman" w:hAnsi="Times New Roman" w:cs="Times New Roman"/>
                <w:b/>
                <w:bCs/>
                <w:kern w:val="0"/>
                <w:sz w:val="20"/>
                <w:szCs w:val="20"/>
                <w:lang w:val="en-AU"/>
              </w:rPr>
            </w:pPr>
            <w:r w:rsidRPr="000C5E12">
              <w:rPr>
                <w:rFonts w:ascii="Times New Roman" w:eastAsia="Times New Roman" w:hAnsi="Times New Roman" w:cs="Times New Roman"/>
                <w:b/>
                <w:bCs/>
                <w:kern w:val="0"/>
                <w:sz w:val="20"/>
                <w:szCs w:val="20"/>
                <w:lang w:val="en-AU"/>
              </w:rPr>
              <w:t>Parameter uncertainty</w:t>
            </w:r>
          </w:p>
        </w:tc>
      </w:tr>
      <w:tr w:rsidR="000C5E12" w:rsidRPr="00AD61C8" w14:paraId="1B86191B" w14:textId="77777777" w:rsidTr="00AD0763">
        <w:trPr>
          <w:trHeight w:val="80"/>
        </w:trPr>
        <w:tc>
          <w:tcPr>
            <w:tcW w:w="2075" w:type="dxa"/>
            <w:tcBorders>
              <w:top w:val="single" w:sz="4" w:space="0" w:color="auto"/>
              <w:bottom w:val="dashSmallGap" w:sz="4" w:space="0" w:color="auto"/>
            </w:tcBorders>
          </w:tcPr>
          <w:p w14:paraId="6C809B3F"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Methodological uncertainty (unparameterisable)</w:t>
            </w:r>
          </w:p>
        </w:tc>
        <w:tc>
          <w:tcPr>
            <w:tcW w:w="2250" w:type="dxa"/>
            <w:tcBorders>
              <w:top w:val="single" w:sz="4" w:space="0" w:color="auto"/>
              <w:bottom w:val="dashSmallGap" w:sz="4" w:space="0" w:color="auto"/>
            </w:tcBorders>
          </w:tcPr>
          <w:p w14:paraId="0C890502" w14:textId="3E0C270E" w:rsidR="000C5E12" w:rsidRPr="000C5E12" w:rsidRDefault="000C5E12" w:rsidP="000C5E12">
            <w:pPr>
              <w:widowControl/>
              <w:adjustRightInd w:val="0"/>
              <w:snapToGrid w:val="0"/>
              <w:jc w:val="center"/>
              <w:rPr>
                <w:rFonts w:ascii="Times New Roman" w:hAnsi="Times New Roman" w:cs="Times New Roman"/>
                <w:kern w:val="0"/>
                <w:sz w:val="20"/>
                <w:szCs w:val="20"/>
                <w:lang w:val="en-AU"/>
              </w:rPr>
            </w:pPr>
            <w:r w:rsidRPr="00AD61C8">
              <w:rPr>
                <w:rFonts w:ascii="Times New Roman" w:hAnsi="Times New Roman" w:cs="Times New Roman"/>
              </w:rPr>
              <w:t xml:space="preserve"> 1.000 </w:t>
            </w:r>
          </w:p>
        </w:tc>
        <w:tc>
          <w:tcPr>
            <w:tcW w:w="2520" w:type="dxa"/>
            <w:tcBorders>
              <w:top w:val="single" w:sz="4" w:space="0" w:color="auto"/>
              <w:bottom w:val="dashSmallGap" w:sz="4" w:space="0" w:color="auto"/>
            </w:tcBorders>
          </w:tcPr>
          <w:p w14:paraId="7F91DFCF"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070" w:type="dxa"/>
            <w:tcBorders>
              <w:top w:val="single" w:sz="4" w:space="0" w:color="auto"/>
              <w:bottom w:val="dashSmallGap" w:sz="4" w:space="0" w:color="auto"/>
            </w:tcBorders>
          </w:tcPr>
          <w:p w14:paraId="5EB563C0"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070" w:type="dxa"/>
            <w:tcBorders>
              <w:top w:val="single" w:sz="4" w:space="0" w:color="auto"/>
              <w:bottom w:val="dashSmallGap" w:sz="4" w:space="0" w:color="auto"/>
            </w:tcBorders>
          </w:tcPr>
          <w:p w14:paraId="1A441059" w14:textId="2CF8C54A"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340" w:type="dxa"/>
            <w:tcBorders>
              <w:top w:val="single" w:sz="4" w:space="0" w:color="auto"/>
              <w:bottom w:val="dashSmallGap" w:sz="4" w:space="0" w:color="auto"/>
            </w:tcBorders>
          </w:tcPr>
          <w:p w14:paraId="4033DB75"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350" w:type="dxa"/>
            <w:tcBorders>
              <w:top w:val="single" w:sz="4" w:space="0" w:color="auto"/>
              <w:bottom w:val="dashSmallGap" w:sz="4" w:space="0" w:color="auto"/>
            </w:tcBorders>
          </w:tcPr>
          <w:p w14:paraId="0CD67D00" w14:textId="17FB4EAC"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rPr>
              <w:t xml:space="preserve"> </w:t>
            </w:r>
          </w:p>
        </w:tc>
      </w:tr>
      <w:tr w:rsidR="000C5E12" w:rsidRPr="00AD61C8" w14:paraId="3C645E7A" w14:textId="77777777" w:rsidTr="00AD0763">
        <w:trPr>
          <w:trHeight w:val="80"/>
        </w:trPr>
        <w:tc>
          <w:tcPr>
            <w:tcW w:w="2075" w:type="dxa"/>
            <w:tcBorders>
              <w:top w:val="dashSmallGap" w:sz="4" w:space="0" w:color="auto"/>
              <w:bottom w:val="dashSmallGap" w:sz="4" w:space="0" w:color="auto"/>
            </w:tcBorders>
          </w:tcPr>
          <w:p w14:paraId="027DEBD1"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Methodological uncertainty (parameterisable)</w:t>
            </w:r>
          </w:p>
        </w:tc>
        <w:tc>
          <w:tcPr>
            <w:tcW w:w="2250" w:type="dxa"/>
            <w:tcBorders>
              <w:top w:val="dashSmallGap" w:sz="4" w:space="0" w:color="auto"/>
              <w:bottom w:val="dashSmallGap" w:sz="4" w:space="0" w:color="auto"/>
            </w:tcBorders>
          </w:tcPr>
          <w:p w14:paraId="2FF869AB"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0.157</w:t>
            </w:r>
            <w:r w:rsidR="00AD0763">
              <w:rPr>
                <w:rFonts w:ascii="Times New Roman" w:hAnsi="Times New Roman" w:cs="Times New Roman"/>
              </w:rPr>
              <w:t xml:space="preserve"> </w:t>
            </w:r>
          </w:p>
          <w:p w14:paraId="33CC5D96" w14:textId="455D6689" w:rsidR="000C5E12" w:rsidRPr="000C5E12" w:rsidRDefault="00512D56" w:rsidP="00AD0763">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rPr>
              <w:t xml:space="preserve"> </w:t>
            </w:r>
            <w:r w:rsidR="00AD0763">
              <w:rPr>
                <w:rFonts w:ascii="Times New Roman" w:hAnsi="Times New Roman" w:cs="Times New Roman"/>
              </w:rPr>
              <w:t>(</w:t>
            </w:r>
            <w:r w:rsidR="00AD0763" w:rsidRPr="00AD0763">
              <w:rPr>
                <w:rFonts w:ascii="Times New Roman" w:hAnsi="Times New Roman" w:cs="Times New Roman"/>
              </w:rPr>
              <w:t>0.363</w:t>
            </w:r>
            <w:r w:rsidR="00AD0763">
              <w:rPr>
                <w:rFonts w:ascii="Times New Roman" w:hAnsi="Times New Roman" w:cs="Times New Roman"/>
              </w:rPr>
              <w:t>)</w:t>
            </w:r>
          </w:p>
        </w:tc>
        <w:tc>
          <w:tcPr>
            <w:tcW w:w="2520" w:type="dxa"/>
            <w:tcBorders>
              <w:top w:val="dashSmallGap" w:sz="4" w:space="0" w:color="auto"/>
              <w:bottom w:val="dashSmallGap" w:sz="4" w:space="0" w:color="auto"/>
            </w:tcBorders>
          </w:tcPr>
          <w:p w14:paraId="422F00DC" w14:textId="2AD16148"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rPr>
              <w:t xml:space="preserve"> 1.000 </w:t>
            </w:r>
          </w:p>
        </w:tc>
        <w:tc>
          <w:tcPr>
            <w:tcW w:w="2070" w:type="dxa"/>
            <w:tcBorders>
              <w:top w:val="dashSmallGap" w:sz="4" w:space="0" w:color="auto"/>
              <w:bottom w:val="dashSmallGap" w:sz="4" w:space="0" w:color="auto"/>
            </w:tcBorders>
          </w:tcPr>
          <w:p w14:paraId="0A070202"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070" w:type="dxa"/>
            <w:tcBorders>
              <w:top w:val="dashSmallGap" w:sz="4" w:space="0" w:color="auto"/>
              <w:bottom w:val="dashSmallGap" w:sz="4" w:space="0" w:color="auto"/>
            </w:tcBorders>
          </w:tcPr>
          <w:p w14:paraId="2040DFB3" w14:textId="6D4EFB2E"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340" w:type="dxa"/>
            <w:tcBorders>
              <w:top w:val="dashSmallGap" w:sz="4" w:space="0" w:color="auto"/>
              <w:bottom w:val="dashSmallGap" w:sz="4" w:space="0" w:color="auto"/>
            </w:tcBorders>
          </w:tcPr>
          <w:p w14:paraId="73D29F74"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350" w:type="dxa"/>
            <w:tcBorders>
              <w:top w:val="dashSmallGap" w:sz="4" w:space="0" w:color="auto"/>
              <w:bottom w:val="dashSmallGap" w:sz="4" w:space="0" w:color="auto"/>
            </w:tcBorders>
          </w:tcPr>
          <w:p w14:paraId="087CF234" w14:textId="5850618E"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72B3E706" w14:textId="77777777" w:rsidTr="00AD0763">
        <w:trPr>
          <w:trHeight w:val="255"/>
        </w:trPr>
        <w:tc>
          <w:tcPr>
            <w:tcW w:w="2075" w:type="dxa"/>
            <w:tcBorders>
              <w:top w:val="dashSmallGap" w:sz="4" w:space="0" w:color="auto"/>
              <w:bottom w:val="dashSmallGap" w:sz="4" w:space="0" w:color="auto"/>
            </w:tcBorders>
          </w:tcPr>
          <w:p w14:paraId="718940E3"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Generalisability uncertainty</w:t>
            </w:r>
          </w:p>
        </w:tc>
        <w:tc>
          <w:tcPr>
            <w:tcW w:w="2250" w:type="dxa"/>
            <w:tcBorders>
              <w:top w:val="dashSmallGap" w:sz="4" w:space="0" w:color="auto"/>
              <w:bottom w:val="dashSmallGap" w:sz="4" w:space="0" w:color="auto"/>
            </w:tcBorders>
          </w:tcPr>
          <w:p w14:paraId="4A897E1D"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0.166 </w:t>
            </w:r>
          </w:p>
          <w:p w14:paraId="398B4B1D" w14:textId="06B10193" w:rsidR="00AD0763" w:rsidRPr="000C5E12" w:rsidRDefault="00AD0763" w:rsidP="000C5E12">
            <w:pPr>
              <w:widowControl/>
              <w:adjustRightInd w:val="0"/>
              <w:snapToGrid w:val="0"/>
              <w:jc w:val="center"/>
              <w:rPr>
                <w:rFonts w:ascii="Times New Roman" w:hAnsi="Times New Roman" w:cs="Times New Roman"/>
                <w:b/>
                <w:bCs/>
                <w:kern w:val="0"/>
                <w:sz w:val="20"/>
                <w:szCs w:val="20"/>
                <w:lang w:val="en-AU"/>
              </w:rPr>
            </w:pPr>
            <w:r>
              <w:rPr>
                <w:rFonts w:ascii="Times New Roman" w:hAnsi="Times New Roman" w:cs="Times New Roman"/>
              </w:rPr>
              <w:t>(</w:t>
            </w:r>
            <w:r w:rsidRPr="00AD0763">
              <w:rPr>
                <w:rFonts w:ascii="Times New Roman" w:hAnsi="Times New Roman" w:cs="Times New Roman"/>
              </w:rPr>
              <w:t>0.276</w:t>
            </w:r>
            <w:r>
              <w:rPr>
                <w:rFonts w:ascii="Times New Roman" w:hAnsi="Times New Roman" w:cs="Times New Roman"/>
              </w:rPr>
              <w:t>)</w:t>
            </w:r>
          </w:p>
        </w:tc>
        <w:tc>
          <w:tcPr>
            <w:tcW w:w="2520" w:type="dxa"/>
            <w:tcBorders>
              <w:top w:val="dashSmallGap" w:sz="4" w:space="0" w:color="auto"/>
              <w:bottom w:val="dashSmallGap" w:sz="4" w:space="0" w:color="auto"/>
            </w:tcBorders>
          </w:tcPr>
          <w:p w14:paraId="4674D436"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0.014</w:t>
            </w:r>
          </w:p>
          <w:p w14:paraId="2FCD5ABF" w14:textId="0AFE0558" w:rsidR="000C5E12"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(1.000)</w:t>
            </w:r>
            <w:r w:rsidR="000C5E12" w:rsidRPr="00AD61C8">
              <w:rPr>
                <w:rFonts w:ascii="Times New Roman" w:hAnsi="Times New Roman" w:cs="Times New Roman"/>
              </w:rPr>
              <w:t xml:space="preserve"> </w:t>
            </w:r>
          </w:p>
        </w:tc>
        <w:tc>
          <w:tcPr>
            <w:tcW w:w="2070" w:type="dxa"/>
            <w:tcBorders>
              <w:top w:val="dashSmallGap" w:sz="4" w:space="0" w:color="auto"/>
              <w:bottom w:val="dashSmallGap" w:sz="4" w:space="0" w:color="auto"/>
            </w:tcBorders>
          </w:tcPr>
          <w:p w14:paraId="5B35A58C" w14:textId="0A5DE6F1" w:rsidR="000C5E12" w:rsidRPr="000C5E12" w:rsidRDefault="000C5E12" w:rsidP="000C5E12">
            <w:pPr>
              <w:widowControl/>
              <w:adjustRightInd w:val="0"/>
              <w:snapToGrid w:val="0"/>
              <w:jc w:val="center"/>
              <w:rPr>
                <w:rFonts w:ascii="Times New Roman" w:hAnsi="Times New Roman" w:cs="Times New Roman"/>
                <w:kern w:val="0"/>
                <w:sz w:val="20"/>
                <w:szCs w:val="20"/>
                <w:lang w:val="en-AU"/>
              </w:rPr>
            </w:pPr>
            <w:r w:rsidRPr="00AD61C8">
              <w:rPr>
                <w:rFonts w:ascii="Times New Roman" w:hAnsi="Times New Roman" w:cs="Times New Roman"/>
              </w:rPr>
              <w:t xml:space="preserve"> 1.000 </w:t>
            </w:r>
          </w:p>
        </w:tc>
        <w:tc>
          <w:tcPr>
            <w:tcW w:w="2070" w:type="dxa"/>
            <w:tcBorders>
              <w:top w:val="dashSmallGap" w:sz="4" w:space="0" w:color="auto"/>
              <w:bottom w:val="dashSmallGap" w:sz="4" w:space="0" w:color="auto"/>
            </w:tcBorders>
          </w:tcPr>
          <w:p w14:paraId="741F289A" w14:textId="41C652C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340" w:type="dxa"/>
            <w:tcBorders>
              <w:top w:val="dashSmallGap" w:sz="4" w:space="0" w:color="auto"/>
              <w:bottom w:val="dashSmallGap" w:sz="4" w:space="0" w:color="auto"/>
            </w:tcBorders>
          </w:tcPr>
          <w:p w14:paraId="6A658644" w14:textId="77777777"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350" w:type="dxa"/>
            <w:tcBorders>
              <w:top w:val="dashSmallGap" w:sz="4" w:space="0" w:color="auto"/>
              <w:bottom w:val="dashSmallGap" w:sz="4" w:space="0" w:color="auto"/>
            </w:tcBorders>
          </w:tcPr>
          <w:p w14:paraId="59F04C81" w14:textId="04DCAEAD"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3F29BC8F" w14:textId="77777777" w:rsidTr="00AD0763">
        <w:trPr>
          <w:trHeight w:val="104"/>
        </w:trPr>
        <w:tc>
          <w:tcPr>
            <w:tcW w:w="2075" w:type="dxa"/>
            <w:tcBorders>
              <w:top w:val="dashSmallGap" w:sz="4" w:space="0" w:color="auto"/>
              <w:bottom w:val="dashSmallGap" w:sz="4" w:space="0" w:color="auto"/>
            </w:tcBorders>
          </w:tcPr>
          <w:p w14:paraId="7AB2BC2D"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Structural uncertainty (unparameterisable)</w:t>
            </w:r>
          </w:p>
        </w:tc>
        <w:tc>
          <w:tcPr>
            <w:tcW w:w="2250" w:type="dxa"/>
            <w:tcBorders>
              <w:top w:val="dashSmallGap" w:sz="4" w:space="0" w:color="auto"/>
              <w:bottom w:val="dashSmallGap" w:sz="4" w:space="0" w:color="auto"/>
            </w:tcBorders>
          </w:tcPr>
          <w:p w14:paraId="4D4CB6D5"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0.108</w:t>
            </w:r>
          </w:p>
          <w:p w14:paraId="35E9F2E0" w14:textId="501F0A7C" w:rsidR="000C5E12" w:rsidRPr="000C5E12" w:rsidRDefault="00AD0763"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rPr>
              <w:t>(</w:t>
            </w:r>
            <w:r w:rsidRPr="00AD0763">
              <w:rPr>
                <w:rFonts w:ascii="Times New Roman" w:hAnsi="Times New Roman" w:cs="Times New Roman"/>
              </w:rPr>
              <w:t>0.888</w:t>
            </w:r>
            <w:r>
              <w:rPr>
                <w:rFonts w:ascii="Times New Roman" w:hAnsi="Times New Roman" w:cs="Times New Roman"/>
              </w:rPr>
              <w:t>)</w:t>
            </w:r>
            <w:r w:rsidR="000C5E12" w:rsidRPr="00AD61C8">
              <w:rPr>
                <w:rFonts w:ascii="Times New Roman" w:hAnsi="Times New Roman" w:cs="Times New Roman"/>
              </w:rPr>
              <w:t xml:space="preserve"> </w:t>
            </w:r>
          </w:p>
        </w:tc>
        <w:tc>
          <w:tcPr>
            <w:tcW w:w="2520" w:type="dxa"/>
            <w:tcBorders>
              <w:top w:val="dashSmallGap" w:sz="4" w:space="0" w:color="auto"/>
              <w:bottom w:val="dashSmallGap" w:sz="4" w:space="0" w:color="auto"/>
            </w:tcBorders>
          </w:tcPr>
          <w:p w14:paraId="6FF0EDDF"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0.112</w:t>
            </w:r>
          </w:p>
          <w:p w14:paraId="6B173DD6" w14:textId="450B6D7B" w:rsidR="000C5E12" w:rsidRPr="000C5E12" w:rsidRDefault="00AD0763"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rPr>
              <w:t>(0.885)</w:t>
            </w:r>
            <w:r w:rsidR="000C5E12" w:rsidRPr="00AD61C8">
              <w:rPr>
                <w:rFonts w:ascii="Times New Roman" w:hAnsi="Times New Roman" w:cs="Times New Roman"/>
              </w:rPr>
              <w:t xml:space="preserve"> </w:t>
            </w:r>
          </w:p>
        </w:tc>
        <w:tc>
          <w:tcPr>
            <w:tcW w:w="2070" w:type="dxa"/>
            <w:tcBorders>
              <w:top w:val="dashSmallGap" w:sz="4" w:space="0" w:color="auto"/>
              <w:bottom w:val="dashSmallGap" w:sz="4" w:space="0" w:color="auto"/>
            </w:tcBorders>
          </w:tcPr>
          <w:p w14:paraId="51FFC4E7"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0.040 </w:t>
            </w:r>
          </w:p>
          <w:p w14:paraId="38EB30E8" w14:textId="5C31B13A"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(1.000)</w:t>
            </w:r>
          </w:p>
        </w:tc>
        <w:tc>
          <w:tcPr>
            <w:tcW w:w="2070" w:type="dxa"/>
            <w:tcBorders>
              <w:top w:val="dashSmallGap" w:sz="4" w:space="0" w:color="auto"/>
              <w:bottom w:val="dashSmallGap" w:sz="4" w:space="0" w:color="auto"/>
            </w:tcBorders>
          </w:tcPr>
          <w:p w14:paraId="75AC1900" w14:textId="668DB50B" w:rsidR="000C5E12" w:rsidRPr="000C5E12" w:rsidRDefault="000C5E12" w:rsidP="000C5E12">
            <w:pPr>
              <w:widowControl/>
              <w:adjustRightInd w:val="0"/>
              <w:snapToGrid w:val="0"/>
              <w:jc w:val="center"/>
              <w:rPr>
                <w:rFonts w:ascii="Times New Roman" w:hAnsi="Times New Roman" w:cs="Times New Roman"/>
                <w:kern w:val="0"/>
                <w:sz w:val="20"/>
                <w:szCs w:val="20"/>
                <w:lang w:val="en-AU"/>
              </w:rPr>
            </w:pPr>
            <w:r w:rsidRPr="00AD61C8">
              <w:rPr>
                <w:rFonts w:ascii="Times New Roman" w:hAnsi="Times New Roman" w:cs="Times New Roman"/>
              </w:rPr>
              <w:t xml:space="preserve"> 1.000 </w:t>
            </w:r>
          </w:p>
        </w:tc>
        <w:tc>
          <w:tcPr>
            <w:tcW w:w="2340" w:type="dxa"/>
            <w:tcBorders>
              <w:top w:val="dashSmallGap" w:sz="4" w:space="0" w:color="auto"/>
              <w:bottom w:val="dashSmallGap" w:sz="4" w:space="0" w:color="auto"/>
            </w:tcBorders>
          </w:tcPr>
          <w:p w14:paraId="66480252" w14:textId="7577FBF8"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350" w:type="dxa"/>
            <w:tcBorders>
              <w:top w:val="dashSmallGap" w:sz="4" w:space="0" w:color="auto"/>
              <w:bottom w:val="dashSmallGap" w:sz="4" w:space="0" w:color="auto"/>
            </w:tcBorders>
          </w:tcPr>
          <w:p w14:paraId="24933A21" w14:textId="7DBD3835"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041F9885" w14:textId="77777777" w:rsidTr="00AD0763">
        <w:trPr>
          <w:trHeight w:val="125"/>
        </w:trPr>
        <w:tc>
          <w:tcPr>
            <w:tcW w:w="2075" w:type="dxa"/>
            <w:tcBorders>
              <w:top w:val="dashSmallGap" w:sz="4" w:space="0" w:color="auto"/>
              <w:bottom w:val="dashSmallGap" w:sz="4" w:space="0" w:color="auto"/>
            </w:tcBorders>
          </w:tcPr>
          <w:p w14:paraId="3F33991C"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Structural uncertainty (parameterisable)</w:t>
            </w:r>
          </w:p>
        </w:tc>
        <w:tc>
          <w:tcPr>
            <w:tcW w:w="2250" w:type="dxa"/>
            <w:tcBorders>
              <w:top w:val="dashSmallGap" w:sz="4" w:space="0" w:color="auto"/>
              <w:bottom w:val="dashSmallGap" w:sz="4" w:space="0" w:color="auto"/>
            </w:tcBorders>
          </w:tcPr>
          <w:p w14:paraId="6B42587E"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0.082 </w:t>
            </w:r>
          </w:p>
          <w:p w14:paraId="398594E0" w14:textId="6296247C"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w:t>
            </w:r>
            <w:r w:rsidRPr="00AD0763">
              <w:rPr>
                <w:rFonts w:ascii="Times New Roman" w:hAnsi="Times New Roman" w:cs="Times New Roman"/>
              </w:rPr>
              <w:t>0.989</w:t>
            </w:r>
            <w:r>
              <w:rPr>
                <w:rFonts w:ascii="Times New Roman" w:hAnsi="Times New Roman" w:cs="Times New Roman"/>
              </w:rPr>
              <w:t>)</w:t>
            </w:r>
          </w:p>
        </w:tc>
        <w:tc>
          <w:tcPr>
            <w:tcW w:w="2520" w:type="dxa"/>
            <w:tcBorders>
              <w:top w:val="dashSmallGap" w:sz="4" w:space="0" w:color="auto"/>
              <w:bottom w:val="dashSmallGap" w:sz="4" w:space="0" w:color="auto"/>
            </w:tcBorders>
          </w:tcPr>
          <w:p w14:paraId="2EC1BB90"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0.091 </w:t>
            </w:r>
          </w:p>
          <w:p w14:paraId="54AD16B6" w14:textId="762D4DF9" w:rsidR="000C5E12" w:rsidRPr="000C5E12" w:rsidRDefault="00512D56"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w:t>
            </w:r>
            <w:r w:rsidRPr="00AD0763">
              <w:rPr>
                <w:rFonts w:ascii="Times New Roman" w:hAnsi="Times New Roman" w:cs="Times New Roman"/>
              </w:rPr>
              <w:t>0.970</w:t>
            </w:r>
            <w:r>
              <w:rPr>
                <w:rFonts w:ascii="Times New Roman" w:hAnsi="Times New Roman" w:cs="Times New Roman"/>
              </w:rPr>
              <w:t>)</w:t>
            </w:r>
            <w:r w:rsidRPr="00AD0763">
              <w:rPr>
                <w:rFonts w:ascii="Times New Roman" w:hAnsi="Times New Roman" w:cs="Times New Roman"/>
              </w:rPr>
              <w:tab/>
            </w:r>
          </w:p>
        </w:tc>
        <w:tc>
          <w:tcPr>
            <w:tcW w:w="2070" w:type="dxa"/>
            <w:tcBorders>
              <w:top w:val="dashSmallGap" w:sz="4" w:space="0" w:color="auto"/>
              <w:bottom w:val="dashSmallGap" w:sz="4" w:space="0" w:color="auto"/>
            </w:tcBorders>
          </w:tcPr>
          <w:p w14:paraId="50962C41" w14:textId="77777777" w:rsidR="00AD0763"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0.123</w:t>
            </w:r>
            <w:r w:rsidR="00AD0763" w:rsidRPr="00AD0763">
              <w:rPr>
                <w:rFonts w:ascii="Times New Roman" w:hAnsi="Times New Roman" w:cs="Times New Roman"/>
              </w:rPr>
              <w:tab/>
            </w:r>
          </w:p>
          <w:p w14:paraId="320D55C8" w14:textId="4EF42112" w:rsidR="000C5E12" w:rsidRPr="000C5E12"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rPr>
              <w:t>(</w:t>
            </w:r>
            <w:r w:rsidRPr="00AD0763">
              <w:rPr>
                <w:rFonts w:ascii="Times New Roman" w:hAnsi="Times New Roman" w:cs="Times New Roman"/>
              </w:rPr>
              <w:t>0.749</w:t>
            </w:r>
            <w:r>
              <w:rPr>
                <w:rFonts w:ascii="Times New Roman" w:hAnsi="Times New Roman" w:cs="Times New Roman"/>
              </w:rPr>
              <w:t>)</w:t>
            </w:r>
            <w:r w:rsidR="00AD0763" w:rsidRPr="00AD0763">
              <w:rPr>
                <w:rFonts w:ascii="Times New Roman" w:hAnsi="Times New Roman" w:cs="Times New Roman"/>
              </w:rPr>
              <w:tab/>
            </w:r>
          </w:p>
        </w:tc>
        <w:tc>
          <w:tcPr>
            <w:tcW w:w="2070" w:type="dxa"/>
            <w:tcBorders>
              <w:top w:val="dashSmallGap" w:sz="4" w:space="0" w:color="auto"/>
              <w:bottom w:val="dashSmallGap" w:sz="4" w:space="0" w:color="auto"/>
            </w:tcBorders>
          </w:tcPr>
          <w:p w14:paraId="446A20E2"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0.127 </w:t>
            </w:r>
          </w:p>
          <w:p w14:paraId="0F4D2CF2" w14:textId="24D2C85D" w:rsidR="00AD0763" w:rsidRPr="000C5E12" w:rsidRDefault="00512D56" w:rsidP="00512D56">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w:t>
            </w:r>
            <w:r w:rsidRPr="00AD0763">
              <w:rPr>
                <w:rFonts w:ascii="Times New Roman" w:hAnsi="Times New Roman" w:cs="Times New Roman"/>
              </w:rPr>
              <w:t>0.711</w:t>
            </w:r>
            <w:r>
              <w:rPr>
                <w:rFonts w:ascii="Times New Roman" w:hAnsi="Times New Roman" w:cs="Times New Roman"/>
              </w:rPr>
              <w:t>)</w:t>
            </w:r>
          </w:p>
        </w:tc>
        <w:tc>
          <w:tcPr>
            <w:tcW w:w="2340" w:type="dxa"/>
            <w:tcBorders>
              <w:top w:val="dashSmallGap" w:sz="4" w:space="0" w:color="auto"/>
              <w:bottom w:val="dashSmallGap" w:sz="4" w:space="0" w:color="auto"/>
            </w:tcBorders>
          </w:tcPr>
          <w:p w14:paraId="3E0AA819"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1.000 </w:t>
            </w:r>
          </w:p>
          <w:p w14:paraId="1EC1F7D0" w14:textId="156C3851" w:rsidR="00AD0763" w:rsidRPr="000C5E12" w:rsidRDefault="00AD0763" w:rsidP="00AD0763">
            <w:pPr>
              <w:widowControl/>
              <w:adjustRightInd w:val="0"/>
              <w:snapToGrid w:val="0"/>
              <w:jc w:val="center"/>
              <w:rPr>
                <w:rFonts w:ascii="Times New Roman" w:eastAsia="Times New Roman" w:hAnsi="Times New Roman" w:cs="Times New Roman"/>
                <w:kern w:val="0"/>
                <w:sz w:val="20"/>
                <w:szCs w:val="20"/>
                <w:lang w:val="en-AU"/>
              </w:rPr>
            </w:pPr>
          </w:p>
        </w:tc>
        <w:tc>
          <w:tcPr>
            <w:tcW w:w="1350" w:type="dxa"/>
            <w:tcBorders>
              <w:top w:val="dashSmallGap" w:sz="4" w:space="0" w:color="auto"/>
              <w:bottom w:val="dashSmallGap" w:sz="4" w:space="0" w:color="auto"/>
            </w:tcBorders>
          </w:tcPr>
          <w:p w14:paraId="22A3E1F1" w14:textId="253AE64F" w:rsidR="000C5E12" w:rsidRPr="000C5E12"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123299" w14:paraId="31F5AA86" w14:textId="77777777" w:rsidTr="00AD0763">
        <w:trPr>
          <w:trHeight w:val="59"/>
        </w:trPr>
        <w:tc>
          <w:tcPr>
            <w:tcW w:w="2075" w:type="dxa"/>
            <w:tcBorders>
              <w:top w:val="dashSmallGap" w:sz="4" w:space="0" w:color="auto"/>
              <w:bottom w:val="single" w:sz="4" w:space="0" w:color="auto"/>
            </w:tcBorders>
          </w:tcPr>
          <w:p w14:paraId="4B2AE21C" w14:textId="77777777" w:rsidR="000C5E12" w:rsidRPr="000C5E12" w:rsidRDefault="000C5E12" w:rsidP="000C5E12">
            <w:pPr>
              <w:adjustRightInd w:val="0"/>
              <w:snapToGrid w:val="0"/>
              <w:jc w:val="left"/>
              <w:rPr>
                <w:rFonts w:ascii="Times New Roman" w:eastAsia="Times New Roman" w:hAnsi="Times New Roman" w:cs="Times New Roman"/>
                <w:kern w:val="0"/>
                <w:sz w:val="20"/>
                <w:szCs w:val="20"/>
                <w:lang w:val="en-AU"/>
              </w:rPr>
            </w:pPr>
            <w:r w:rsidRPr="000C5E12">
              <w:rPr>
                <w:rFonts w:ascii="Times New Roman" w:eastAsia="Times New Roman" w:hAnsi="Times New Roman" w:cs="Times New Roman"/>
                <w:kern w:val="0"/>
                <w:sz w:val="20"/>
                <w:szCs w:val="20"/>
                <w:lang w:val="en-AU"/>
              </w:rPr>
              <w:t>Parameter uncertainty</w:t>
            </w:r>
          </w:p>
        </w:tc>
        <w:tc>
          <w:tcPr>
            <w:tcW w:w="2250" w:type="dxa"/>
            <w:tcBorders>
              <w:top w:val="dashSmallGap" w:sz="4" w:space="0" w:color="auto"/>
              <w:bottom w:val="single" w:sz="4" w:space="0" w:color="auto"/>
            </w:tcBorders>
          </w:tcPr>
          <w:p w14:paraId="3D94C26E"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0.002 </w:t>
            </w:r>
          </w:p>
          <w:p w14:paraId="47312410" w14:textId="7770C3C1"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(1.000)</w:t>
            </w:r>
          </w:p>
        </w:tc>
        <w:tc>
          <w:tcPr>
            <w:tcW w:w="2520" w:type="dxa"/>
            <w:tcBorders>
              <w:top w:val="dashSmallGap" w:sz="4" w:space="0" w:color="auto"/>
              <w:bottom w:val="single" w:sz="4" w:space="0" w:color="auto"/>
            </w:tcBorders>
          </w:tcPr>
          <w:p w14:paraId="17F492CB"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0.014 </w:t>
            </w:r>
          </w:p>
          <w:p w14:paraId="43415620" w14:textId="1CB02FAB"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(1.000)</w:t>
            </w:r>
          </w:p>
        </w:tc>
        <w:tc>
          <w:tcPr>
            <w:tcW w:w="2070" w:type="dxa"/>
            <w:tcBorders>
              <w:top w:val="dashSmallGap" w:sz="4" w:space="0" w:color="auto"/>
              <w:bottom w:val="single" w:sz="4" w:space="0" w:color="auto"/>
            </w:tcBorders>
          </w:tcPr>
          <w:p w14:paraId="54C29239"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-0.033 </w:t>
            </w:r>
          </w:p>
          <w:p w14:paraId="19E0C47E" w14:textId="47708327" w:rsidR="00AD0763" w:rsidRPr="000C5E12" w:rsidRDefault="00AD0763"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rPr>
              <w:t>(1.000)</w:t>
            </w:r>
          </w:p>
        </w:tc>
        <w:tc>
          <w:tcPr>
            <w:tcW w:w="2070" w:type="dxa"/>
            <w:tcBorders>
              <w:top w:val="dashSmallGap" w:sz="4" w:space="0" w:color="auto"/>
              <w:bottom w:val="single" w:sz="4" w:space="0" w:color="auto"/>
            </w:tcBorders>
          </w:tcPr>
          <w:p w14:paraId="1AD074BB"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0.076 </w:t>
            </w:r>
          </w:p>
          <w:p w14:paraId="3C91DB13" w14:textId="2BC815C6"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(0.995)</w:t>
            </w:r>
          </w:p>
        </w:tc>
        <w:tc>
          <w:tcPr>
            <w:tcW w:w="2340" w:type="dxa"/>
            <w:tcBorders>
              <w:top w:val="dashSmallGap" w:sz="4" w:space="0" w:color="auto"/>
              <w:bottom w:val="single" w:sz="4" w:space="0" w:color="auto"/>
            </w:tcBorders>
          </w:tcPr>
          <w:p w14:paraId="0B618BD6" w14:textId="77777777" w:rsidR="000C5E12" w:rsidRDefault="000C5E12" w:rsidP="000C5E12">
            <w:pPr>
              <w:widowControl/>
              <w:adjustRightInd w:val="0"/>
              <w:snapToGrid w:val="0"/>
              <w:jc w:val="center"/>
              <w:rPr>
                <w:rFonts w:ascii="Times New Roman" w:hAnsi="Times New Roman" w:cs="Times New Roman"/>
              </w:rPr>
            </w:pPr>
            <w:r w:rsidRPr="00AD61C8">
              <w:rPr>
                <w:rFonts w:ascii="Times New Roman" w:hAnsi="Times New Roman" w:cs="Times New Roman"/>
              </w:rPr>
              <w:t xml:space="preserve"> 0.034 </w:t>
            </w:r>
          </w:p>
          <w:p w14:paraId="428E2C63" w14:textId="383E5620" w:rsidR="00AD0763" w:rsidRPr="000C5E12" w:rsidRDefault="00AD0763"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rPr>
              <w:t>(1.000)</w:t>
            </w:r>
          </w:p>
        </w:tc>
        <w:tc>
          <w:tcPr>
            <w:tcW w:w="1350" w:type="dxa"/>
            <w:tcBorders>
              <w:top w:val="dashSmallGap" w:sz="4" w:space="0" w:color="auto"/>
              <w:bottom w:val="single" w:sz="4" w:space="0" w:color="auto"/>
            </w:tcBorders>
          </w:tcPr>
          <w:p w14:paraId="1C6D8E38" w14:textId="7DAD81F5" w:rsidR="000C5E12" w:rsidRPr="000C5E12" w:rsidRDefault="00AD61C8"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rPr>
              <w:t>1.000</w:t>
            </w:r>
          </w:p>
        </w:tc>
      </w:tr>
    </w:tbl>
    <w:p w14:paraId="0A28FF61" w14:textId="1DAB6E90" w:rsidR="00EC5F20" w:rsidRDefault="00E5319A" w:rsidP="00C15362">
      <w:pPr>
        <w:adjustRightInd w:val="0"/>
        <w:snapToGrid w:val="0"/>
        <w:spacing w:line="360" w:lineRule="auto"/>
        <w:jc w:val="left"/>
        <w:rPr>
          <w:rFonts w:ascii="Times New Roman" w:eastAsia="SimSun" w:hAnsi="Times New Roman" w:cs="Times New Roman"/>
          <w:b/>
          <w:bCs/>
          <w:kern w:val="0"/>
          <w:sz w:val="20"/>
          <w:szCs w:val="20"/>
        </w:rPr>
      </w:pPr>
      <w:r w:rsidRPr="00E5319A">
        <w:rPr>
          <w:rFonts w:ascii="Times New Roman" w:hAnsi="Times New Roman" w:cs="Times New Roman"/>
          <w:kern w:val="0"/>
          <w:sz w:val="20"/>
          <w:szCs w:val="20"/>
          <w:lang w:val="en-AU"/>
        </w:rPr>
        <w:t xml:space="preserve">The statistical significance of Kendall's </w:t>
      </w:r>
      <w:r w:rsidRPr="4F533E7D">
        <w:rPr>
          <w:rFonts w:ascii="Times New Roman" w:eastAsia="Times New Roman" w:hAnsi="Times New Roman" w:cs="Times New Roman"/>
          <w:sz w:val="20"/>
          <w:szCs w:val="20"/>
          <w:lang w:val="en-AU"/>
        </w:rPr>
        <w:t>τ</w:t>
      </w:r>
      <w:r w:rsidRPr="4F533E7D">
        <w:rPr>
          <w:rFonts w:ascii="Times New Roman" w:hAnsi="Times New Roman" w:cs="Times New Roman"/>
          <w:sz w:val="20"/>
          <w:szCs w:val="20"/>
          <w:lang w:val="en-AU"/>
        </w:rPr>
        <w:t xml:space="preserve"> </w:t>
      </w:r>
      <w:r w:rsidRPr="00937F08">
        <w:rPr>
          <w:rFonts w:ascii="Times New Roman" w:eastAsia="Times New Roman" w:hAnsi="Times New Roman" w:cs="Times New Roman"/>
          <w:kern w:val="0"/>
          <w:sz w:val="20"/>
          <w:szCs w:val="20"/>
          <w:vertAlign w:val="subscript"/>
          <w:lang w:val="en-AU"/>
        </w:rPr>
        <w:t>b</w:t>
      </w:r>
      <w:r w:rsidRPr="00E5319A">
        <w:rPr>
          <w:rFonts w:ascii="Times New Roman" w:hAnsi="Times New Roman" w:cs="Times New Roman"/>
          <w:kern w:val="0"/>
          <w:sz w:val="20"/>
          <w:szCs w:val="20"/>
          <w:lang w:val="en-AU"/>
        </w:rPr>
        <w:t xml:space="preserve"> coefficient was tested, but six types of uncertainty were not significantly correlated.</w:t>
      </w:r>
    </w:p>
    <w:p w14:paraId="68F3E9D3" w14:textId="77777777" w:rsidR="005A20E3" w:rsidRDefault="005A20E3" w:rsidP="00C15362">
      <w:pPr>
        <w:adjustRightInd w:val="0"/>
        <w:snapToGrid w:val="0"/>
        <w:spacing w:line="360" w:lineRule="auto"/>
        <w:jc w:val="left"/>
        <w:rPr>
          <w:rFonts w:ascii="Times New Roman" w:eastAsia="SimSun" w:hAnsi="Times New Roman" w:cs="Times New Roman"/>
          <w:b/>
          <w:bCs/>
          <w:kern w:val="0"/>
          <w:sz w:val="20"/>
          <w:szCs w:val="20"/>
        </w:rPr>
      </w:pPr>
    </w:p>
    <w:p w14:paraId="423B871D" w14:textId="77777777" w:rsidR="00EC5F20" w:rsidRDefault="00EC5F20" w:rsidP="00C15362">
      <w:pPr>
        <w:adjustRightInd w:val="0"/>
        <w:snapToGrid w:val="0"/>
        <w:spacing w:line="360" w:lineRule="auto"/>
        <w:jc w:val="left"/>
        <w:rPr>
          <w:rFonts w:ascii="Times New Roman" w:eastAsia="SimSun" w:hAnsi="Times New Roman" w:cs="Times New Roman"/>
          <w:b/>
          <w:bCs/>
          <w:kern w:val="0"/>
          <w:sz w:val="20"/>
          <w:szCs w:val="20"/>
        </w:rPr>
      </w:pPr>
    </w:p>
    <w:p w14:paraId="46760827" w14:textId="77777777" w:rsidR="00687A2B" w:rsidRDefault="00687A2B" w:rsidP="00C15362">
      <w:pPr>
        <w:adjustRightInd w:val="0"/>
        <w:snapToGrid w:val="0"/>
        <w:spacing w:line="360" w:lineRule="auto"/>
        <w:jc w:val="left"/>
        <w:rPr>
          <w:rFonts w:ascii="Times New Roman" w:eastAsia="SimSun" w:hAnsi="Times New Roman" w:cs="Times New Roman"/>
          <w:b/>
          <w:bCs/>
          <w:kern w:val="0"/>
          <w:sz w:val="20"/>
          <w:szCs w:val="20"/>
        </w:rPr>
      </w:pPr>
    </w:p>
    <w:p w14:paraId="281F9626" w14:textId="77777777" w:rsidR="00687A2B" w:rsidRDefault="00687A2B" w:rsidP="00C15362">
      <w:pPr>
        <w:adjustRightInd w:val="0"/>
        <w:snapToGrid w:val="0"/>
        <w:spacing w:line="360" w:lineRule="auto"/>
        <w:jc w:val="left"/>
        <w:rPr>
          <w:rFonts w:ascii="Times New Roman" w:eastAsia="SimSun" w:hAnsi="Times New Roman" w:cs="Times New Roman"/>
          <w:b/>
          <w:bCs/>
          <w:kern w:val="0"/>
          <w:sz w:val="20"/>
          <w:szCs w:val="20"/>
        </w:rPr>
      </w:pPr>
    </w:p>
    <w:p w14:paraId="52E31BEA" w14:textId="48DC3073" w:rsidR="00DE0EAF" w:rsidRPr="008F448B" w:rsidRDefault="008940BC" w:rsidP="00C15362">
      <w:pPr>
        <w:adjustRightInd w:val="0"/>
        <w:snapToGrid w:val="0"/>
        <w:spacing w:line="360" w:lineRule="auto"/>
        <w:jc w:val="left"/>
        <w:rPr>
          <w:rFonts w:ascii="Times New Roman" w:eastAsia="SimSun" w:hAnsi="Times New Roman" w:cs="Times New Roman"/>
          <w:kern w:val="0"/>
          <w:sz w:val="20"/>
          <w:szCs w:val="20"/>
        </w:rPr>
      </w:pPr>
      <w:r w:rsidRPr="008F448B">
        <w:rPr>
          <w:rFonts w:ascii="Times New Roman" w:eastAsia="SimSun" w:hAnsi="Times New Roman" w:cs="Times New Roman"/>
          <w:b/>
          <w:bCs/>
          <w:kern w:val="0"/>
          <w:sz w:val="20"/>
          <w:szCs w:val="20"/>
        </w:rPr>
        <w:lastRenderedPageBreak/>
        <w:t xml:space="preserve">Table </w:t>
      </w:r>
      <w:r w:rsidRPr="4F533E7D">
        <w:rPr>
          <w:rFonts w:ascii="Times New Roman" w:eastAsia="SimSun" w:hAnsi="Times New Roman" w:cs="Times New Roman"/>
          <w:b/>
          <w:bCs/>
          <w:sz w:val="20"/>
          <w:szCs w:val="20"/>
        </w:rPr>
        <w:t>6</w:t>
      </w:r>
      <w:r w:rsidRPr="008F448B">
        <w:rPr>
          <w:rFonts w:ascii="Times New Roman" w:eastAsia="SimSun" w:hAnsi="Times New Roman" w:cs="Times New Roman"/>
          <w:b/>
          <w:bCs/>
          <w:kern w:val="0"/>
          <w:sz w:val="20"/>
          <w:szCs w:val="20"/>
        </w:rPr>
        <w:t xml:space="preserve">-2. The results of </w:t>
      </w:r>
      <w:r>
        <w:rPr>
          <w:rFonts w:ascii="Times New Roman" w:eastAsia="SimSun" w:hAnsi="Times New Roman" w:cs="Times New Roman"/>
          <w:b/>
          <w:bCs/>
          <w:kern w:val="0"/>
          <w:sz w:val="20"/>
          <w:szCs w:val="20"/>
        </w:rPr>
        <w:t xml:space="preserve">the </w:t>
      </w:r>
      <w:r w:rsidRPr="008F448B">
        <w:rPr>
          <w:rFonts w:ascii="Times New Roman" w:eastAsia="SimSun" w:hAnsi="Times New Roman" w:cs="Times New Roman"/>
          <w:b/>
          <w:bCs/>
          <w:kern w:val="0"/>
          <w:sz w:val="20"/>
          <w:szCs w:val="20"/>
        </w:rPr>
        <w:t>Kendall test of detailed sources of uncertainty</w:t>
      </w:r>
    </w:p>
    <w:tbl>
      <w:tblPr>
        <w:tblW w:w="15300" w:type="dxa"/>
        <w:tblInd w:w="-630" w:type="dxa"/>
        <w:tblLook w:val="04A0" w:firstRow="1" w:lastRow="0" w:firstColumn="1" w:lastColumn="0" w:noHBand="0" w:noVBand="1"/>
      </w:tblPr>
      <w:tblGrid>
        <w:gridCol w:w="4316"/>
        <w:gridCol w:w="2524"/>
        <w:gridCol w:w="1260"/>
        <w:gridCol w:w="2070"/>
        <w:gridCol w:w="1440"/>
        <w:gridCol w:w="1980"/>
        <w:gridCol w:w="1800"/>
      </w:tblGrid>
      <w:tr w:rsidR="00CE233C" w:rsidRPr="00982203" w14:paraId="1B67A351" w14:textId="77777777" w:rsidTr="006B7319">
        <w:trPr>
          <w:trHeight w:val="1065"/>
          <w:tblHeader/>
        </w:trPr>
        <w:tc>
          <w:tcPr>
            <w:tcW w:w="4316" w:type="dxa"/>
            <w:tcBorders>
              <w:top w:val="single" w:sz="4" w:space="0" w:color="auto"/>
              <w:bottom w:val="single" w:sz="4" w:space="0" w:color="auto"/>
            </w:tcBorders>
            <w:shd w:val="clear" w:color="auto" w:fill="D9D9D9" w:themeFill="background1" w:themeFillShade="D9"/>
            <w:noWrap/>
            <w:vAlign w:val="bottom"/>
            <w:hideMark/>
          </w:tcPr>
          <w:p w14:paraId="001479C3" w14:textId="77777777" w:rsidR="00CE233C" w:rsidRPr="00982203" w:rsidRDefault="00CE233C" w:rsidP="002341C5">
            <w:pPr>
              <w:widowControl/>
              <w:adjustRightInd w:val="0"/>
              <w:snapToGrid w:val="0"/>
              <w:jc w:val="left"/>
              <w:rPr>
                <w:rFonts w:ascii="Times New Roman" w:eastAsia="Times New Roman" w:hAnsi="Times New Roman" w:cs="Times New Roman"/>
                <w:kern w:val="0"/>
                <w:sz w:val="20"/>
                <w:szCs w:val="20"/>
              </w:rPr>
            </w:pPr>
            <w:bookmarkStart w:id="58" w:name="_Hlk157869052"/>
          </w:p>
        </w:tc>
        <w:tc>
          <w:tcPr>
            <w:tcW w:w="2524" w:type="dxa"/>
            <w:tcBorders>
              <w:top w:val="single" w:sz="4" w:space="0" w:color="auto"/>
              <w:bottom w:val="single" w:sz="4" w:space="0" w:color="auto"/>
            </w:tcBorders>
            <w:shd w:val="clear" w:color="auto" w:fill="D9D9D9" w:themeFill="background1" w:themeFillShade="D9"/>
            <w:noWrap/>
            <w:vAlign w:val="center"/>
            <w:hideMark/>
          </w:tcPr>
          <w:p w14:paraId="2C8FD81A" w14:textId="77777777"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bookmarkStart w:id="59" w:name="_Hlk169088320"/>
            <w:r w:rsidRPr="00982203">
              <w:rPr>
                <w:rFonts w:ascii="Times New Roman" w:eastAsia="Times New Roman" w:hAnsi="Times New Roman" w:cs="Times New Roman"/>
                <w:sz w:val="20"/>
                <w:szCs w:val="20"/>
                <w:lang w:val="en-AU"/>
              </w:rPr>
              <w:t>The proposed clinical management algorithms and proposed PBS listing were not consistent with current clinical practice in Australia</w:t>
            </w:r>
            <w:bookmarkEnd w:id="59"/>
          </w:p>
        </w:tc>
        <w:tc>
          <w:tcPr>
            <w:tcW w:w="1170" w:type="dxa"/>
            <w:tcBorders>
              <w:top w:val="single" w:sz="4" w:space="0" w:color="auto"/>
              <w:bottom w:val="single" w:sz="4" w:space="0" w:color="auto"/>
            </w:tcBorders>
            <w:shd w:val="clear" w:color="auto" w:fill="D9D9D9" w:themeFill="background1" w:themeFillShade="D9"/>
            <w:noWrap/>
            <w:vAlign w:val="center"/>
            <w:hideMark/>
          </w:tcPr>
          <w:p w14:paraId="25622202" w14:textId="77777777"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Comparator was unacceptable</w:t>
            </w:r>
          </w:p>
        </w:tc>
        <w:tc>
          <w:tcPr>
            <w:tcW w:w="2070" w:type="dxa"/>
            <w:tcBorders>
              <w:top w:val="single" w:sz="4" w:space="0" w:color="auto"/>
              <w:bottom w:val="single" w:sz="4" w:space="0" w:color="auto"/>
            </w:tcBorders>
            <w:shd w:val="clear" w:color="auto" w:fill="D9D9D9" w:themeFill="background1" w:themeFillShade="D9"/>
            <w:vAlign w:val="center"/>
            <w:hideMark/>
          </w:tcPr>
          <w:p w14:paraId="40BF6F8F" w14:textId="77777777"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The perspective of the economic evaluation was not consistent with the guidelines</w:t>
            </w:r>
          </w:p>
        </w:tc>
        <w:tc>
          <w:tcPr>
            <w:tcW w:w="1440" w:type="dxa"/>
            <w:tcBorders>
              <w:top w:val="single" w:sz="4" w:space="0" w:color="auto"/>
              <w:bottom w:val="single" w:sz="4" w:space="0" w:color="auto"/>
            </w:tcBorders>
            <w:shd w:val="clear" w:color="auto" w:fill="D9D9D9" w:themeFill="background1" w:themeFillShade="D9"/>
            <w:noWrap/>
            <w:vAlign w:val="center"/>
            <w:hideMark/>
          </w:tcPr>
          <w:p w14:paraId="0B2789B5" w14:textId="77777777"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The utility estimation was not trial based</w:t>
            </w:r>
          </w:p>
        </w:tc>
        <w:tc>
          <w:tcPr>
            <w:tcW w:w="1980" w:type="dxa"/>
            <w:tcBorders>
              <w:top w:val="single" w:sz="4" w:space="0" w:color="auto"/>
              <w:bottom w:val="single" w:sz="4" w:space="0" w:color="auto"/>
            </w:tcBorders>
            <w:shd w:val="clear" w:color="auto" w:fill="D9D9D9" w:themeFill="background1" w:themeFillShade="D9"/>
            <w:noWrap/>
            <w:vAlign w:val="center"/>
            <w:hideMark/>
          </w:tcPr>
          <w:p w14:paraId="06DAA68B" w14:textId="77777777"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The scoring algorithm of the instruments used was not applicable to the Australian population</w:t>
            </w:r>
          </w:p>
        </w:tc>
        <w:tc>
          <w:tcPr>
            <w:tcW w:w="1800" w:type="dxa"/>
            <w:tcBorders>
              <w:top w:val="single" w:sz="4" w:space="0" w:color="auto"/>
              <w:bottom w:val="single" w:sz="4" w:space="0" w:color="auto"/>
            </w:tcBorders>
            <w:shd w:val="clear" w:color="auto" w:fill="D9D9D9" w:themeFill="background1" w:themeFillShade="D9"/>
            <w:noWrap/>
            <w:vAlign w:val="center"/>
            <w:hideMark/>
          </w:tcPr>
          <w:p w14:paraId="0D33E868" w14:textId="071A5751" w:rsidR="00CE233C" w:rsidRPr="00982203" w:rsidRDefault="00CE233C" w:rsidP="002341C5">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The discount rate w</w:t>
            </w:r>
            <w:r w:rsidR="00FF2833" w:rsidRPr="00982203">
              <w:rPr>
                <w:rFonts w:ascii="Times New Roman" w:eastAsia="Times New Roman" w:hAnsi="Times New Roman" w:cs="Times New Roman"/>
                <w:kern w:val="0"/>
                <w:sz w:val="20"/>
                <w:szCs w:val="20"/>
                <w:lang w:val="en-AU"/>
              </w:rPr>
              <w:t>as</w:t>
            </w:r>
            <w:r w:rsidRPr="00982203">
              <w:rPr>
                <w:rFonts w:ascii="Times New Roman" w:eastAsia="Times New Roman" w:hAnsi="Times New Roman" w:cs="Times New Roman"/>
                <w:kern w:val="0"/>
                <w:sz w:val="20"/>
                <w:szCs w:val="20"/>
                <w:lang w:val="en-AU"/>
              </w:rPr>
              <w:t xml:space="preserve"> not consistent with the guidelines</w:t>
            </w:r>
          </w:p>
        </w:tc>
      </w:tr>
      <w:tr w:rsidR="000C5E12" w:rsidRPr="00982203" w14:paraId="0AEFAA1A" w14:textId="77777777" w:rsidTr="002A6662">
        <w:trPr>
          <w:trHeight w:val="226"/>
        </w:trPr>
        <w:tc>
          <w:tcPr>
            <w:tcW w:w="4316" w:type="dxa"/>
            <w:tcBorders>
              <w:top w:val="single" w:sz="4" w:space="0" w:color="auto"/>
              <w:bottom w:val="dotted" w:sz="4" w:space="0" w:color="auto"/>
            </w:tcBorders>
            <w:shd w:val="clear" w:color="auto" w:fill="auto"/>
            <w:noWrap/>
            <w:vAlign w:val="center"/>
            <w:hideMark/>
          </w:tcPr>
          <w:p w14:paraId="71F1237A" w14:textId="77777777" w:rsidR="000C5E12" w:rsidRPr="00982203"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sz w:val="20"/>
                <w:szCs w:val="20"/>
                <w:lang w:val="en-AU"/>
              </w:rPr>
              <w:t>The proposed clinical management algorithms and proposed PBS listing were not consistent with current clinical practice in Australia</w:t>
            </w:r>
          </w:p>
        </w:tc>
        <w:tc>
          <w:tcPr>
            <w:tcW w:w="2524" w:type="dxa"/>
            <w:tcBorders>
              <w:top w:val="single" w:sz="4" w:space="0" w:color="auto"/>
              <w:bottom w:val="dotted" w:sz="4" w:space="0" w:color="auto"/>
            </w:tcBorders>
            <w:shd w:val="clear" w:color="auto" w:fill="auto"/>
            <w:noWrap/>
            <w:hideMark/>
          </w:tcPr>
          <w:p w14:paraId="4AEB0358" w14:textId="72308855"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hAnsi="Times New Roman" w:cs="Times New Roman"/>
                <w:sz w:val="20"/>
                <w:szCs w:val="20"/>
              </w:rPr>
              <w:t xml:space="preserve">1.000 </w:t>
            </w:r>
          </w:p>
        </w:tc>
        <w:tc>
          <w:tcPr>
            <w:tcW w:w="1170" w:type="dxa"/>
            <w:tcBorders>
              <w:top w:val="single" w:sz="4" w:space="0" w:color="auto"/>
              <w:bottom w:val="dotted" w:sz="4" w:space="0" w:color="auto"/>
            </w:tcBorders>
            <w:shd w:val="clear" w:color="auto" w:fill="auto"/>
            <w:noWrap/>
            <w:hideMark/>
          </w:tcPr>
          <w:p w14:paraId="34EC22E8"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2070" w:type="dxa"/>
            <w:tcBorders>
              <w:top w:val="single" w:sz="4" w:space="0" w:color="auto"/>
              <w:bottom w:val="dotted" w:sz="4" w:space="0" w:color="auto"/>
            </w:tcBorders>
            <w:shd w:val="clear" w:color="auto" w:fill="auto"/>
            <w:noWrap/>
            <w:hideMark/>
          </w:tcPr>
          <w:p w14:paraId="6203F340"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440" w:type="dxa"/>
            <w:tcBorders>
              <w:top w:val="single" w:sz="4" w:space="0" w:color="auto"/>
              <w:bottom w:val="dotted" w:sz="4" w:space="0" w:color="auto"/>
            </w:tcBorders>
            <w:shd w:val="clear" w:color="auto" w:fill="auto"/>
            <w:noWrap/>
            <w:hideMark/>
          </w:tcPr>
          <w:p w14:paraId="4C97B757"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980" w:type="dxa"/>
            <w:tcBorders>
              <w:top w:val="single" w:sz="4" w:space="0" w:color="auto"/>
              <w:bottom w:val="dotted" w:sz="4" w:space="0" w:color="auto"/>
            </w:tcBorders>
            <w:shd w:val="clear" w:color="auto" w:fill="auto"/>
            <w:noWrap/>
            <w:hideMark/>
          </w:tcPr>
          <w:p w14:paraId="73615D51"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800" w:type="dxa"/>
            <w:tcBorders>
              <w:top w:val="single" w:sz="4" w:space="0" w:color="auto"/>
              <w:bottom w:val="dotted" w:sz="4" w:space="0" w:color="auto"/>
            </w:tcBorders>
            <w:shd w:val="clear" w:color="auto" w:fill="auto"/>
            <w:noWrap/>
            <w:hideMark/>
          </w:tcPr>
          <w:p w14:paraId="7945EF06"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982203" w14:paraId="45539939"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275D50BC" w14:textId="77777777" w:rsidR="000C5E12" w:rsidRPr="00982203"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Comparator was unacceptable</w:t>
            </w:r>
          </w:p>
        </w:tc>
        <w:tc>
          <w:tcPr>
            <w:tcW w:w="2524" w:type="dxa"/>
            <w:tcBorders>
              <w:top w:val="dotted" w:sz="4" w:space="0" w:color="auto"/>
              <w:bottom w:val="dotted" w:sz="4" w:space="0" w:color="auto"/>
            </w:tcBorders>
            <w:shd w:val="clear" w:color="auto" w:fill="auto"/>
            <w:noWrap/>
            <w:hideMark/>
          </w:tcPr>
          <w:p w14:paraId="36128B68" w14:textId="77777777" w:rsidR="00512D56" w:rsidRDefault="000C5E12" w:rsidP="000C5E12">
            <w:pPr>
              <w:widowControl/>
              <w:adjustRightInd w:val="0"/>
              <w:snapToGrid w:val="0"/>
              <w:jc w:val="center"/>
              <w:rPr>
                <w:rFonts w:ascii="Times New Roman" w:hAnsi="Times New Roman" w:cs="Times New Roman"/>
                <w:sz w:val="20"/>
                <w:szCs w:val="20"/>
              </w:rPr>
            </w:pPr>
            <w:r w:rsidRPr="00982203">
              <w:rPr>
                <w:rFonts w:ascii="Times New Roman" w:hAnsi="Times New Roman" w:cs="Times New Roman"/>
                <w:sz w:val="20"/>
                <w:szCs w:val="20"/>
              </w:rPr>
              <w:t>0.071</w:t>
            </w:r>
          </w:p>
          <w:p w14:paraId="41EEF2FF" w14:textId="7EB9B2AB" w:rsidR="000C5E12" w:rsidRPr="00982203" w:rsidRDefault="00512D56"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r w:rsidR="000C5E12" w:rsidRPr="00982203">
              <w:rPr>
                <w:rFonts w:ascii="Times New Roman" w:hAnsi="Times New Roman" w:cs="Times New Roman"/>
                <w:sz w:val="20"/>
                <w:szCs w:val="20"/>
              </w:rPr>
              <w:t xml:space="preserve"> </w:t>
            </w:r>
          </w:p>
        </w:tc>
        <w:tc>
          <w:tcPr>
            <w:tcW w:w="1170" w:type="dxa"/>
            <w:tcBorders>
              <w:top w:val="dotted" w:sz="4" w:space="0" w:color="auto"/>
              <w:bottom w:val="dotted" w:sz="4" w:space="0" w:color="auto"/>
            </w:tcBorders>
            <w:shd w:val="clear" w:color="auto" w:fill="auto"/>
            <w:noWrap/>
            <w:hideMark/>
          </w:tcPr>
          <w:p w14:paraId="06ECEB0B" w14:textId="0EA39B76"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982203">
              <w:rPr>
                <w:rFonts w:ascii="Times New Roman" w:hAnsi="Times New Roman" w:cs="Times New Roman"/>
                <w:sz w:val="20"/>
                <w:szCs w:val="20"/>
              </w:rPr>
              <w:t xml:space="preserve">1.000 </w:t>
            </w:r>
          </w:p>
        </w:tc>
        <w:tc>
          <w:tcPr>
            <w:tcW w:w="2070" w:type="dxa"/>
            <w:tcBorders>
              <w:top w:val="dotted" w:sz="4" w:space="0" w:color="auto"/>
              <w:bottom w:val="dotted" w:sz="4" w:space="0" w:color="auto"/>
            </w:tcBorders>
            <w:shd w:val="clear" w:color="auto" w:fill="auto"/>
            <w:noWrap/>
            <w:hideMark/>
          </w:tcPr>
          <w:p w14:paraId="4A01C6A2"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440" w:type="dxa"/>
            <w:tcBorders>
              <w:top w:val="dotted" w:sz="4" w:space="0" w:color="auto"/>
              <w:bottom w:val="dotted" w:sz="4" w:space="0" w:color="auto"/>
            </w:tcBorders>
            <w:shd w:val="clear" w:color="auto" w:fill="auto"/>
            <w:noWrap/>
            <w:hideMark/>
          </w:tcPr>
          <w:p w14:paraId="412E1330"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980" w:type="dxa"/>
            <w:tcBorders>
              <w:top w:val="dotted" w:sz="4" w:space="0" w:color="auto"/>
              <w:bottom w:val="dotted" w:sz="4" w:space="0" w:color="auto"/>
            </w:tcBorders>
            <w:shd w:val="clear" w:color="auto" w:fill="auto"/>
            <w:noWrap/>
            <w:hideMark/>
          </w:tcPr>
          <w:p w14:paraId="1FA2E637"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800" w:type="dxa"/>
            <w:tcBorders>
              <w:top w:val="dotted" w:sz="4" w:space="0" w:color="auto"/>
              <w:bottom w:val="dotted" w:sz="4" w:space="0" w:color="auto"/>
            </w:tcBorders>
            <w:shd w:val="clear" w:color="auto" w:fill="auto"/>
            <w:noWrap/>
            <w:hideMark/>
          </w:tcPr>
          <w:p w14:paraId="47669449" w14:textId="77777777" w:rsidR="000C5E12" w:rsidRPr="00982203"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003C3C8B" w14:textId="77777777" w:rsidTr="002A6662">
        <w:trPr>
          <w:trHeight w:val="226"/>
        </w:trPr>
        <w:tc>
          <w:tcPr>
            <w:tcW w:w="4316" w:type="dxa"/>
            <w:tcBorders>
              <w:top w:val="dotted" w:sz="4" w:space="0" w:color="auto"/>
              <w:bottom w:val="dotted" w:sz="4" w:space="0" w:color="auto"/>
            </w:tcBorders>
            <w:shd w:val="clear" w:color="auto" w:fill="auto"/>
            <w:vAlign w:val="center"/>
            <w:hideMark/>
          </w:tcPr>
          <w:p w14:paraId="3329FE58" w14:textId="77777777" w:rsidR="000C5E12" w:rsidRPr="00982203"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982203">
              <w:rPr>
                <w:rFonts w:ascii="Times New Roman" w:eastAsia="Times New Roman" w:hAnsi="Times New Roman" w:cs="Times New Roman"/>
                <w:kern w:val="0"/>
                <w:sz w:val="20"/>
                <w:szCs w:val="20"/>
                <w:lang w:val="en-AU"/>
              </w:rPr>
              <w:t>The perspective of the economic evaluation was not consistent with the guidelines</w:t>
            </w:r>
          </w:p>
        </w:tc>
        <w:tc>
          <w:tcPr>
            <w:tcW w:w="2524" w:type="dxa"/>
            <w:tcBorders>
              <w:top w:val="dotted" w:sz="4" w:space="0" w:color="auto"/>
              <w:bottom w:val="dotted" w:sz="4" w:space="0" w:color="auto"/>
            </w:tcBorders>
            <w:shd w:val="clear" w:color="auto" w:fill="auto"/>
            <w:noWrap/>
            <w:hideMark/>
          </w:tcPr>
          <w:p w14:paraId="4572623F" w14:textId="77777777" w:rsidR="000C5E12" w:rsidRDefault="000C5E12" w:rsidP="000C5E12">
            <w:pPr>
              <w:widowControl/>
              <w:adjustRightInd w:val="0"/>
              <w:snapToGrid w:val="0"/>
              <w:jc w:val="center"/>
              <w:rPr>
                <w:rFonts w:ascii="Times New Roman" w:hAnsi="Times New Roman" w:cs="Times New Roman"/>
                <w:sz w:val="20"/>
                <w:szCs w:val="20"/>
              </w:rPr>
            </w:pPr>
            <w:r w:rsidRPr="00982203">
              <w:rPr>
                <w:rFonts w:ascii="Times New Roman" w:hAnsi="Times New Roman" w:cs="Times New Roman"/>
                <w:sz w:val="20"/>
                <w:szCs w:val="20"/>
              </w:rPr>
              <w:t xml:space="preserve">-0.026 </w:t>
            </w:r>
          </w:p>
          <w:p w14:paraId="6D0F3940" w14:textId="502FE8B2" w:rsidR="00512D56" w:rsidRPr="00982203" w:rsidRDefault="00512D56"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21031E40" w14:textId="77777777" w:rsidR="000C5E12" w:rsidRDefault="000C5E12" w:rsidP="000C5E12">
            <w:pPr>
              <w:widowControl/>
              <w:adjustRightInd w:val="0"/>
              <w:snapToGrid w:val="0"/>
              <w:jc w:val="center"/>
              <w:rPr>
                <w:rFonts w:ascii="Times New Roman" w:hAnsi="Times New Roman" w:cs="Times New Roman"/>
                <w:sz w:val="20"/>
                <w:szCs w:val="20"/>
              </w:rPr>
            </w:pPr>
            <w:r w:rsidRPr="00982203">
              <w:rPr>
                <w:rFonts w:ascii="Times New Roman" w:hAnsi="Times New Roman" w:cs="Times New Roman"/>
                <w:sz w:val="20"/>
                <w:szCs w:val="20"/>
              </w:rPr>
              <w:t xml:space="preserve">-0.068 </w:t>
            </w:r>
          </w:p>
          <w:p w14:paraId="7C1450CB" w14:textId="0FAC3992"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326C8863" w14:textId="771E11F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sz w:val="20"/>
                <w:szCs w:val="20"/>
              </w:rPr>
              <w:t xml:space="preserve">1.000 </w:t>
            </w:r>
          </w:p>
        </w:tc>
        <w:tc>
          <w:tcPr>
            <w:tcW w:w="1440" w:type="dxa"/>
            <w:tcBorders>
              <w:top w:val="dotted" w:sz="4" w:space="0" w:color="auto"/>
              <w:bottom w:val="dotted" w:sz="4" w:space="0" w:color="auto"/>
            </w:tcBorders>
            <w:shd w:val="clear" w:color="auto" w:fill="auto"/>
            <w:noWrap/>
            <w:hideMark/>
          </w:tcPr>
          <w:p w14:paraId="08B9158F"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980" w:type="dxa"/>
            <w:tcBorders>
              <w:top w:val="dotted" w:sz="4" w:space="0" w:color="auto"/>
              <w:bottom w:val="dotted" w:sz="4" w:space="0" w:color="auto"/>
            </w:tcBorders>
            <w:shd w:val="clear" w:color="auto" w:fill="auto"/>
            <w:noWrap/>
            <w:hideMark/>
          </w:tcPr>
          <w:p w14:paraId="3F7CCF63"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800" w:type="dxa"/>
            <w:tcBorders>
              <w:top w:val="dotted" w:sz="4" w:space="0" w:color="auto"/>
              <w:bottom w:val="dotted" w:sz="4" w:space="0" w:color="auto"/>
            </w:tcBorders>
            <w:shd w:val="clear" w:color="auto" w:fill="auto"/>
            <w:noWrap/>
            <w:hideMark/>
          </w:tcPr>
          <w:p w14:paraId="322CEAE6"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37EAD114"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21EB62CF" w14:textId="77777777" w:rsidR="000C5E12" w:rsidRPr="00AD61C8"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AD61C8">
              <w:rPr>
                <w:rFonts w:ascii="Times New Roman" w:eastAsia="Times New Roman" w:hAnsi="Times New Roman" w:cs="Times New Roman"/>
                <w:kern w:val="0"/>
                <w:sz w:val="20"/>
                <w:szCs w:val="20"/>
                <w:lang w:val="en-AU"/>
              </w:rPr>
              <w:t>The utility estimation was not trial based</w:t>
            </w:r>
          </w:p>
        </w:tc>
        <w:tc>
          <w:tcPr>
            <w:tcW w:w="2524" w:type="dxa"/>
            <w:tcBorders>
              <w:top w:val="dotted" w:sz="4" w:space="0" w:color="auto"/>
              <w:bottom w:val="dotted" w:sz="4" w:space="0" w:color="auto"/>
            </w:tcBorders>
            <w:shd w:val="clear" w:color="auto" w:fill="auto"/>
            <w:noWrap/>
            <w:hideMark/>
          </w:tcPr>
          <w:p w14:paraId="0B1C802A"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0.143 </w:t>
            </w:r>
          </w:p>
          <w:p w14:paraId="5E3A6F86" w14:textId="3D648413"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(0.997)</w:t>
            </w:r>
          </w:p>
        </w:tc>
        <w:tc>
          <w:tcPr>
            <w:tcW w:w="1170" w:type="dxa"/>
            <w:tcBorders>
              <w:top w:val="dotted" w:sz="4" w:space="0" w:color="auto"/>
              <w:bottom w:val="dotted" w:sz="4" w:space="0" w:color="auto"/>
            </w:tcBorders>
            <w:shd w:val="clear" w:color="auto" w:fill="auto"/>
            <w:noWrap/>
            <w:hideMark/>
          </w:tcPr>
          <w:p w14:paraId="153AF004"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-0.037 </w:t>
            </w:r>
          </w:p>
          <w:p w14:paraId="02D5451F" w14:textId="1116772A"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52EF142B"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0.148 </w:t>
            </w:r>
          </w:p>
          <w:p w14:paraId="4AC956C8" w14:textId="46399DA6"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(0.994)</w:t>
            </w:r>
          </w:p>
        </w:tc>
        <w:tc>
          <w:tcPr>
            <w:tcW w:w="1440" w:type="dxa"/>
            <w:tcBorders>
              <w:top w:val="dotted" w:sz="4" w:space="0" w:color="auto"/>
              <w:bottom w:val="dotted" w:sz="4" w:space="0" w:color="auto"/>
            </w:tcBorders>
            <w:shd w:val="clear" w:color="auto" w:fill="auto"/>
            <w:noWrap/>
            <w:hideMark/>
          </w:tcPr>
          <w:p w14:paraId="29130A0E" w14:textId="57628F1A" w:rsidR="000C5E12" w:rsidRPr="00AD61C8" w:rsidRDefault="000C5E12" w:rsidP="000C5E12">
            <w:pPr>
              <w:widowControl/>
              <w:adjustRightInd w:val="0"/>
              <w:snapToGrid w:val="0"/>
              <w:ind w:left="420" w:hanging="420"/>
              <w:jc w:val="center"/>
              <w:rPr>
                <w:rFonts w:ascii="Times New Roman" w:eastAsia="Times New Roman" w:hAnsi="Times New Roman" w:cs="Times New Roman"/>
                <w:kern w:val="0"/>
                <w:sz w:val="20"/>
                <w:szCs w:val="20"/>
                <w:lang w:val="en-AU"/>
              </w:rPr>
            </w:pPr>
            <w:r w:rsidRPr="00AD61C8">
              <w:rPr>
                <w:rFonts w:ascii="Times New Roman" w:hAnsi="Times New Roman" w:cs="Times New Roman"/>
                <w:sz w:val="20"/>
                <w:szCs w:val="20"/>
              </w:rPr>
              <w:t xml:space="preserve">1.000 </w:t>
            </w:r>
          </w:p>
        </w:tc>
        <w:tc>
          <w:tcPr>
            <w:tcW w:w="1980" w:type="dxa"/>
            <w:tcBorders>
              <w:top w:val="dotted" w:sz="4" w:space="0" w:color="auto"/>
              <w:bottom w:val="dotted" w:sz="4" w:space="0" w:color="auto"/>
            </w:tcBorders>
            <w:shd w:val="clear" w:color="auto" w:fill="auto"/>
            <w:noWrap/>
            <w:hideMark/>
          </w:tcPr>
          <w:p w14:paraId="5A758BEF"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c>
          <w:tcPr>
            <w:tcW w:w="1800" w:type="dxa"/>
            <w:tcBorders>
              <w:top w:val="dotted" w:sz="4" w:space="0" w:color="auto"/>
              <w:bottom w:val="dotted" w:sz="4" w:space="0" w:color="auto"/>
            </w:tcBorders>
            <w:shd w:val="clear" w:color="auto" w:fill="auto"/>
            <w:noWrap/>
            <w:hideMark/>
          </w:tcPr>
          <w:p w14:paraId="6A862949"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1B6E9D53"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4663B3E6" w14:textId="77777777" w:rsidR="000C5E12" w:rsidRPr="00AD61C8"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AD61C8">
              <w:rPr>
                <w:rFonts w:ascii="Times New Roman" w:eastAsia="Times New Roman" w:hAnsi="Times New Roman" w:cs="Times New Roman"/>
                <w:kern w:val="0"/>
                <w:sz w:val="20"/>
                <w:szCs w:val="20"/>
                <w:lang w:val="en-AU"/>
              </w:rPr>
              <w:t>The scoring algorithm of the instruments used was not applicable to the Australian population</w:t>
            </w:r>
          </w:p>
        </w:tc>
        <w:tc>
          <w:tcPr>
            <w:tcW w:w="2524" w:type="dxa"/>
            <w:tcBorders>
              <w:top w:val="dotted" w:sz="4" w:space="0" w:color="auto"/>
              <w:bottom w:val="dotted" w:sz="4" w:space="0" w:color="auto"/>
            </w:tcBorders>
            <w:shd w:val="clear" w:color="auto" w:fill="auto"/>
            <w:noWrap/>
            <w:hideMark/>
          </w:tcPr>
          <w:p w14:paraId="095E51EB"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0.171 </w:t>
            </w:r>
          </w:p>
          <w:p w14:paraId="79F94AE7" w14:textId="3DAFFCE7" w:rsidR="00512D56" w:rsidRPr="00AD61C8" w:rsidRDefault="00512D56"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(0.889)</w:t>
            </w:r>
          </w:p>
        </w:tc>
        <w:tc>
          <w:tcPr>
            <w:tcW w:w="1170" w:type="dxa"/>
            <w:tcBorders>
              <w:top w:val="dotted" w:sz="4" w:space="0" w:color="auto"/>
              <w:bottom w:val="dotted" w:sz="4" w:space="0" w:color="auto"/>
            </w:tcBorders>
            <w:shd w:val="clear" w:color="auto" w:fill="auto"/>
            <w:noWrap/>
            <w:hideMark/>
          </w:tcPr>
          <w:p w14:paraId="5F3DA2FC"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-0.109 </w:t>
            </w:r>
          </w:p>
          <w:p w14:paraId="6BBB83A4" w14:textId="3B1BEAE3"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11F43102"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-0.056 </w:t>
            </w:r>
          </w:p>
          <w:p w14:paraId="13B61102" w14:textId="6008E7BA"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57677BFF" w14:textId="77777777" w:rsidR="00512D56"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0.214</w:t>
            </w:r>
          </w:p>
          <w:p w14:paraId="4AB738E4" w14:textId="2E73E71B" w:rsidR="000C5E12"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(0.301)</w:t>
            </w:r>
            <w:r w:rsidR="000C5E12" w:rsidRPr="00AD61C8">
              <w:rPr>
                <w:rFonts w:ascii="Times New Roman" w:hAnsi="Times New Roman" w:cs="Times New Roman"/>
                <w:sz w:val="20"/>
                <w:szCs w:val="20"/>
              </w:rPr>
              <w:t xml:space="preserve"> </w:t>
            </w:r>
          </w:p>
        </w:tc>
        <w:tc>
          <w:tcPr>
            <w:tcW w:w="1980" w:type="dxa"/>
            <w:tcBorders>
              <w:top w:val="dotted" w:sz="4" w:space="0" w:color="auto"/>
              <w:bottom w:val="dotted" w:sz="4" w:space="0" w:color="auto"/>
            </w:tcBorders>
            <w:shd w:val="clear" w:color="auto" w:fill="auto"/>
            <w:noWrap/>
            <w:hideMark/>
          </w:tcPr>
          <w:p w14:paraId="720E6163" w14:textId="761E453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sz w:val="20"/>
                <w:szCs w:val="20"/>
              </w:rPr>
              <w:t xml:space="preserve">1.000 </w:t>
            </w:r>
          </w:p>
        </w:tc>
        <w:tc>
          <w:tcPr>
            <w:tcW w:w="1800" w:type="dxa"/>
            <w:tcBorders>
              <w:top w:val="dotted" w:sz="4" w:space="0" w:color="auto"/>
              <w:bottom w:val="dotted" w:sz="4" w:space="0" w:color="auto"/>
            </w:tcBorders>
            <w:shd w:val="clear" w:color="auto" w:fill="auto"/>
            <w:noWrap/>
            <w:hideMark/>
          </w:tcPr>
          <w:p w14:paraId="2CBAF5A6" w14:textId="7777777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p>
        </w:tc>
      </w:tr>
      <w:tr w:rsidR="000C5E12" w:rsidRPr="00AD61C8" w14:paraId="0F6BAE11"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7D963F95" w14:textId="77777777" w:rsidR="000C5E12" w:rsidRPr="00AD61C8"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AD61C8">
              <w:rPr>
                <w:rFonts w:ascii="Times New Roman" w:eastAsia="Times New Roman" w:hAnsi="Times New Roman" w:cs="Times New Roman"/>
                <w:kern w:val="0"/>
                <w:sz w:val="20"/>
                <w:szCs w:val="20"/>
                <w:lang w:val="en-AU"/>
              </w:rPr>
              <w:t>The discount rate was not consistent with the guidelines</w:t>
            </w:r>
          </w:p>
        </w:tc>
        <w:tc>
          <w:tcPr>
            <w:tcW w:w="2524" w:type="dxa"/>
            <w:tcBorders>
              <w:top w:val="dotted" w:sz="4" w:space="0" w:color="auto"/>
              <w:bottom w:val="dotted" w:sz="4" w:space="0" w:color="auto"/>
            </w:tcBorders>
            <w:shd w:val="clear" w:color="auto" w:fill="auto"/>
            <w:noWrap/>
            <w:hideMark/>
          </w:tcPr>
          <w:p w14:paraId="03B39F2D" w14:textId="77777777" w:rsidR="00512D56"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-0.037</w:t>
            </w:r>
          </w:p>
          <w:p w14:paraId="08122D72" w14:textId="1CEE465C" w:rsidR="000C5E12" w:rsidRPr="00AD61C8" w:rsidRDefault="00512D56"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r w:rsidR="000C5E12" w:rsidRPr="00AD61C8">
              <w:rPr>
                <w:rFonts w:ascii="Times New Roman" w:hAnsi="Times New Roman" w:cs="Times New Roman"/>
                <w:sz w:val="20"/>
                <w:szCs w:val="20"/>
              </w:rPr>
              <w:t xml:space="preserve"> </w:t>
            </w:r>
          </w:p>
        </w:tc>
        <w:tc>
          <w:tcPr>
            <w:tcW w:w="1170" w:type="dxa"/>
            <w:tcBorders>
              <w:top w:val="dotted" w:sz="4" w:space="0" w:color="auto"/>
              <w:bottom w:val="dotted" w:sz="4" w:space="0" w:color="auto"/>
            </w:tcBorders>
            <w:shd w:val="clear" w:color="auto" w:fill="auto"/>
            <w:noWrap/>
            <w:hideMark/>
          </w:tcPr>
          <w:p w14:paraId="3EA597F5" w14:textId="77777777" w:rsidR="00512D56"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-0.026</w:t>
            </w:r>
          </w:p>
          <w:p w14:paraId="3C661AB2" w14:textId="71C36B3E" w:rsidR="000C5E12"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AD61C8">
              <w:rPr>
                <w:rFonts w:ascii="Times New Roman" w:hAnsi="Times New Roman" w:cs="Times New Roman"/>
                <w:sz w:val="20"/>
                <w:szCs w:val="20"/>
              </w:rPr>
              <w:t xml:space="preserve"> </w:t>
            </w:r>
          </w:p>
        </w:tc>
        <w:tc>
          <w:tcPr>
            <w:tcW w:w="2070" w:type="dxa"/>
            <w:tcBorders>
              <w:top w:val="dotted" w:sz="4" w:space="0" w:color="auto"/>
              <w:bottom w:val="dotted" w:sz="4" w:space="0" w:color="auto"/>
            </w:tcBorders>
            <w:shd w:val="clear" w:color="auto" w:fill="auto"/>
            <w:noWrap/>
            <w:hideMark/>
          </w:tcPr>
          <w:p w14:paraId="2AD7627E"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0.219 </w:t>
            </w:r>
          </w:p>
          <w:p w14:paraId="341B05EB" w14:textId="547C438B"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eastAsia="Times New Roman" w:hAnsi="Times New Roman" w:cs="Times New Roman"/>
                <w:sz w:val="20"/>
                <w:szCs w:val="20"/>
              </w:rPr>
              <w:t>(0.266)</w:t>
            </w:r>
          </w:p>
        </w:tc>
        <w:tc>
          <w:tcPr>
            <w:tcW w:w="1440" w:type="dxa"/>
            <w:tcBorders>
              <w:top w:val="dotted" w:sz="4" w:space="0" w:color="auto"/>
              <w:bottom w:val="dotted" w:sz="4" w:space="0" w:color="auto"/>
            </w:tcBorders>
            <w:shd w:val="clear" w:color="auto" w:fill="auto"/>
            <w:noWrap/>
            <w:hideMark/>
          </w:tcPr>
          <w:p w14:paraId="08C0E86E"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0.211 </w:t>
            </w:r>
          </w:p>
          <w:p w14:paraId="0BBEC764" w14:textId="4B69596A" w:rsidR="00512D56" w:rsidRPr="00AD61C8" w:rsidRDefault="00512D56"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eastAsia="Times New Roman" w:hAnsi="Times New Roman" w:cs="Times New Roman"/>
                <w:sz w:val="20"/>
                <w:szCs w:val="20"/>
              </w:rPr>
              <w:t>(0.349)</w:t>
            </w:r>
          </w:p>
        </w:tc>
        <w:tc>
          <w:tcPr>
            <w:tcW w:w="1980" w:type="dxa"/>
            <w:tcBorders>
              <w:top w:val="dotted" w:sz="4" w:space="0" w:color="auto"/>
              <w:bottom w:val="dotted" w:sz="4" w:space="0" w:color="auto"/>
            </w:tcBorders>
            <w:shd w:val="clear" w:color="auto" w:fill="auto"/>
            <w:noWrap/>
            <w:hideMark/>
          </w:tcPr>
          <w:p w14:paraId="202255C7" w14:textId="73285748"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0.00</w:t>
            </w:r>
            <w:r w:rsidR="001A67E1">
              <w:rPr>
                <w:rFonts w:ascii="Times New Roman" w:hAnsi="Times New Roman" w:cs="Times New Roman"/>
                <w:sz w:val="20"/>
                <w:szCs w:val="20"/>
              </w:rPr>
              <w:t>4</w:t>
            </w:r>
            <w:r w:rsidRPr="00AD61C8">
              <w:rPr>
                <w:rFonts w:ascii="Times New Roman" w:hAnsi="Times New Roman" w:cs="Times New Roman"/>
                <w:sz w:val="20"/>
                <w:szCs w:val="20"/>
              </w:rPr>
              <w:t xml:space="preserve"> </w:t>
            </w:r>
          </w:p>
          <w:p w14:paraId="30F3F197" w14:textId="604164E5" w:rsidR="001A67E1"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1987F26B" w14:textId="6D6E8CF7" w:rsidR="000C5E12" w:rsidRPr="00AD61C8" w:rsidRDefault="000C5E12" w:rsidP="000C5E12">
            <w:pPr>
              <w:widowControl/>
              <w:adjustRightInd w:val="0"/>
              <w:snapToGrid w:val="0"/>
              <w:jc w:val="center"/>
              <w:rPr>
                <w:rFonts w:ascii="Times New Roman" w:eastAsia="Times New Roman" w:hAnsi="Times New Roman" w:cs="Times New Roman"/>
                <w:kern w:val="0"/>
                <w:sz w:val="20"/>
                <w:szCs w:val="20"/>
                <w:lang w:val="en-AU"/>
              </w:rPr>
            </w:pPr>
            <w:r w:rsidRPr="00AD61C8">
              <w:rPr>
                <w:rFonts w:ascii="Times New Roman" w:hAnsi="Times New Roman" w:cs="Times New Roman"/>
                <w:sz w:val="20"/>
                <w:szCs w:val="20"/>
              </w:rPr>
              <w:t xml:space="preserve">1.000 </w:t>
            </w:r>
          </w:p>
        </w:tc>
      </w:tr>
      <w:tr w:rsidR="000C5E12" w:rsidRPr="00123299" w14:paraId="60259BA8" w14:textId="77777777" w:rsidTr="002A6662">
        <w:trPr>
          <w:trHeight w:val="226"/>
        </w:trPr>
        <w:tc>
          <w:tcPr>
            <w:tcW w:w="4316" w:type="dxa"/>
            <w:tcBorders>
              <w:top w:val="dotted" w:sz="4" w:space="0" w:color="auto"/>
              <w:bottom w:val="dotted" w:sz="4" w:space="0" w:color="auto"/>
            </w:tcBorders>
            <w:shd w:val="clear" w:color="auto" w:fill="auto"/>
            <w:noWrap/>
            <w:vAlign w:val="center"/>
          </w:tcPr>
          <w:p w14:paraId="310188AF" w14:textId="77777777" w:rsidR="000C5E12" w:rsidRPr="00AD61C8"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AD61C8">
              <w:rPr>
                <w:rFonts w:ascii="Times New Roman" w:eastAsia="Times New Roman" w:hAnsi="Times New Roman" w:cs="Times New Roman"/>
                <w:kern w:val="0"/>
                <w:sz w:val="20"/>
                <w:szCs w:val="20"/>
                <w:lang w:val="en-AU"/>
              </w:rPr>
              <w:t>Generalisability uncertainty</w:t>
            </w:r>
          </w:p>
        </w:tc>
        <w:tc>
          <w:tcPr>
            <w:tcW w:w="2524" w:type="dxa"/>
            <w:tcBorders>
              <w:top w:val="dotted" w:sz="4" w:space="0" w:color="auto"/>
              <w:bottom w:val="dotted" w:sz="4" w:space="0" w:color="auto"/>
            </w:tcBorders>
            <w:shd w:val="clear" w:color="auto" w:fill="auto"/>
            <w:noWrap/>
          </w:tcPr>
          <w:p w14:paraId="137D7062"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0.157 </w:t>
            </w:r>
          </w:p>
          <w:p w14:paraId="22E5787E" w14:textId="4630F310" w:rsidR="001A67E1" w:rsidRPr="00AD61C8"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(0.972)</w:t>
            </w:r>
          </w:p>
        </w:tc>
        <w:tc>
          <w:tcPr>
            <w:tcW w:w="1170" w:type="dxa"/>
            <w:tcBorders>
              <w:top w:val="dotted" w:sz="4" w:space="0" w:color="auto"/>
              <w:bottom w:val="dotted" w:sz="4" w:space="0" w:color="auto"/>
            </w:tcBorders>
            <w:shd w:val="clear" w:color="auto" w:fill="auto"/>
            <w:noWrap/>
          </w:tcPr>
          <w:p w14:paraId="400AA466"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0.143 </w:t>
            </w:r>
          </w:p>
          <w:p w14:paraId="584C4839" w14:textId="25A6A9CA" w:rsidR="001A67E1"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eastAsia="Times New Roman" w:hAnsi="Times New Roman" w:cs="Times New Roman"/>
                <w:sz w:val="20"/>
                <w:szCs w:val="20"/>
              </w:rPr>
              <w:t>(0.997)</w:t>
            </w:r>
          </w:p>
        </w:tc>
        <w:tc>
          <w:tcPr>
            <w:tcW w:w="2070" w:type="dxa"/>
            <w:tcBorders>
              <w:top w:val="dotted" w:sz="4" w:space="0" w:color="auto"/>
              <w:bottom w:val="dotted" w:sz="4" w:space="0" w:color="auto"/>
            </w:tcBorders>
            <w:shd w:val="clear" w:color="auto" w:fill="auto"/>
            <w:noWrap/>
          </w:tcPr>
          <w:p w14:paraId="107B0195" w14:textId="77777777" w:rsidR="001A67E1"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-0.037</w:t>
            </w:r>
          </w:p>
          <w:p w14:paraId="017B935E" w14:textId="59F86F2B" w:rsidR="000C5E12"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AD61C8">
              <w:rPr>
                <w:rFonts w:ascii="Times New Roman" w:hAnsi="Times New Roman" w:cs="Times New Roman"/>
                <w:sz w:val="20"/>
                <w:szCs w:val="20"/>
              </w:rPr>
              <w:t xml:space="preserve"> </w:t>
            </w:r>
          </w:p>
        </w:tc>
        <w:tc>
          <w:tcPr>
            <w:tcW w:w="1440" w:type="dxa"/>
            <w:tcBorders>
              <w:top w:val="dotted" w:sz="4" w:space="0" w:color="auto"/>
              <w:bottom w:val="dotted" w:sz="4" w:space="0" w:color="auto"/>
            </w:tcBorders>
            <w:shd w:val="clear" w:color="auto" w:fill="auto"/>
            <w:noWrap/>
          </w:tcPr>
          <w:p w14:paraId="2F8F4C28"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0.041 </w:t>
            </w:r>
          </w:p>
          <w:p w14:paraId="7CD13CC2" w14:textId="27697738" w:rsidR="001A67E1"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tcPr>
          <w:p w14:paraId="2EDFC64F"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0.044 </w:t>
            </w:r>
          </w:p>
          <w:p w14:paraId="0214E6DA" w14:textId="59C7A129" w:rsidR="001A67E1"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tcPr>
          <w:p w14:paraId="42326366" w14:textId="77777777" w:rsidR="000C5E12" w:rsidRDefault="000C5E12" w:rsidP="000C5E12">
            <w:pPr>
              <w:widowControl/>
              <w:adjustRightInd w:val="0"/>
              <w:snapToGrid w:val="0"/>
              <w:jc w:val="center"/>
              <w:rPr>
                <w:rFonts w:ascii="Times New Roman" w:hAnsi="Times New Roman" w:cs="Times New Roman"/>
                <w:sz w:val="20"/>
                <w:szCs w:val="20"/>
              </w:rPr>
            </w:pPr>
            <w:r w:rsidRPr="00AD61C8">
              <w:rPr>
                <w:rFonts w:ascii="Times New Roman" w:hAnsi="Times New Roman" w:cs="Times New Roman"/>
                <w:sz w:val="20"/>
                <w:szCs w:val="20"/>
              </w:rPr>
              <w:t xml:space="preserve">0.007 </w:t>
            </w:r>
          </w:p>
          <w:p w14:paraId="76E8E852" w14:textId="221C1B65" w:rsidR="001A67E1" w:rsidRPr="00AD61C8"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31D3BD7A" w14:textId="77777777" w:rsidTr="002A6662">
        <w:trPr>
          <w:trHeight w:val="226"/>
        </w:trPr>
        <w:tc>
          <w:tcPr>
            <w:tcW w:w="4316" w:type="dxa"/>
            <w:tcBorders>
              <w:top w:val="dotted" w:sz="4" w:space="0" w:color="auto"/>
              <w:bottom w:val="dotted" w:sz="4" w:space="0" w:color="auto"/>
            </w:tcBorders>
            <w:shd w:val="clear" w:color="auto" w:fill="auto"/>
            <w:noWrap/>
            <w:vAlign w:val="center"/>
          </w:tcPr>
          <w:p w14:paraId="1DD17558"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 xml:space="preserve">Uncertainty </w:t>
            </w:r>
            <w:bookmarkStart w:id="60" w:name="_Hlk169088356"/>
            <w:r w:rsidRPr="00123299">
              <w:rPr>
                <w:rFonts w:ascii="Times New Roman" w:eastAsia="Times New Roman" w:hAnsi="Times New Roman" w:cs="Times New Roman"/>
                <w:kern w:val="0"/>
                <w:sz w:val="20"/>
                <w:szCs w:val="20"/>
                <w:lang w:val="en-AU"/>
              </w:rPr>
              <w:t>around health states</w:t>
            </w:r>
            <w:bookmarkEnd w:id="60"/>
          </w:p>
        </w:tc>
        <w:tc>
          <w:tcPr>
            <w:tcW w:w="2524" w:type="dxa"/>
            <w:tcBorders>
              <w:top w:val="dotted" w:sz="4" w:space="0" w:color="auto"/>
              <w:bottom w:val="dotted" w:sz="4" w:space="0" w:color="auto"/>
            </w:tcBorders>
            <w:shd w:val="clear" w:color="auto" w:fill="auto"/>
            <w:noWrap/>
          </w:tcPr>
          <w:p w14:paraId="455E387D"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0.143 </w:t>
            </w:r>
          </w:p>
          <w:p w14:paraId="078F675F" w14:textId="0BB554C1"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(0.997)</w:t>
            </w:r>
          </w:p>
        </w:tc>
        <w:tc>
          <w:tcPr>
            <w:tcW w:w="1170" w:type="dxa"/>
            <w:tcBorders>
              <w:top w:val="dotted" w:sz="4" w:space="0" w:color="auto"/>
              <w:bottom w:val="dotted" w:sz="4" w:space="0" w:color="auto"/>
            </w:tcBorders>
            <w:shd w:val="clear" w:color="auto" w:fill="auto"/>
            <w:noWrap/>
          </w:tcPr>
          <w:p w14:paraId="625EF39D"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-0.057 </w:t>
            </w:r>
          </w:p>
          <w:p w14:paraId="237D560B" w14:textId="6FB4B5F5" w:rsidR="001A67E1" w:rsidRPr="00123299" w:rsidRDefault="001A67E1" w:rsidP="000C5E12">
            <w:pPr>
              <w:widowControl/>
              <w:adjustRightInd w:val="0"/>
              <w:snapToGrid w:val="0"/>
              <w:jc w:val="center"/>
              <w:rPr>
                <w:rFonts w:ascii="Times New Roman" w:hAnsi="Times New Roman" w:cs="Times New Roman"/>
                <w:sz w:val="20"/>
                <w:szCs w:val="20"/>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tcPr>
          <w:p w14:paraId="06727F59"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0.162 </w:t>
            </w:r>
          </w:p>
          <w:p w14:paraId="1A5AB61F" w14:textId="7B85A229" w:rsidR="001A67E1" w:rsidRPr="00123299" w:rsidRDefault="001A67E1" w:rsidP="000C5E12">
            <w:pPr>
              <w:widowControl/>
              <w:adjustRightInd w:val="0"/>
              <w:snapToGrid w:val="0"/>
              <w:jc w:val="center"/>
              <w:rPr>
                <w:rFonts w:ascii="Times New Roman" w:hAnsi="Times New Roman" w:cs="Times New Roman"/>
                <w:sz w:val="20"/>
                <w:szCs w:val="20"/>
              </w:rPr>
            </w:pPr>
            <w:r>
              <w:rPr>
                <w:rFonts w:ascii="Times New Roman" w:hAnsi="Times New Roman" w:cs="Times New Roman"/>
                <w:sz w:val="20"/>
                <w:szCs w:val="20"/>
              </w:rPr>
              <w:t>(0.955)</w:t>
            </w:r>
          </w:p>
        </w:tc>
        <w:tc>
          <w:tcPr>
            <w:tcW w:w="1440" w:type="dxa"/>
            <w:tcBorders>
              <w:top w:val="dotted" w:sz="4" w:space="0" w:color="auto"/>
              <w:bottom w:val="dotted" w:sz="4" w:space="0" w:color="auto"/>
            </w:tcBorders>
            <w:shd w:val="clear" w:color="auto" w:fill="auto"/>
            <w:noWrap/>
          </w:tcPr>
          <w:p w14:paraId="4929295A"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0.158 </w:t>
            </w:r>
          </w:p>
          <w:p w14:paraId="250979BD" w14:textId="42E962E9" w:rsidR="001A67E1" w:rsidRPr="00123299" w:rsidRDefault="001A67E1" w:rsidP="000C5E12">
            <w:pPr>
              <w:widowControl/>
              <w:adjustRightInd w:val="0"/>
              <w:snapToGrid w:val="0"/>
              <w:jc w:val="center"/>
              <w:rPr>
                <w:rFonts w:ascii="Times New Roman" w:hAnsi="Times New Roman" w:cs="Times New Roman"/>
                <w:sz w:val="20"/>
                <w:szCs w:val="20"/>
              </w:rPr>
            </w:pPr>
            <w:r>
              <w:rPr>
                <w:rFonts w:ascii="Times New Roman" w:hAnsi="Times New Roman" w:cs="Times New Roman"/>
                <w:sz w:val="20"/>
                <w:szCs w:val="20"/>
              </w:rPr>
              <w:t>(0.970)</w:t>
            </w:r>
          </w:p>
        </w:tc>
        <w:tc>
          <w:tcPr>
            <w:tcW w:w="1980" w:type="dxa"/>
            <w:tcBorders>
              <w:top w:val="dotted" w:sz="4" w:space="0" w:color="auto"/>
              <w:bottom w:val="dotted" w:sz="4" w:space="0" w:color="auto"/>
            </w:tcBorders>
            <w:shd w:val="clear" w:color="auto" w:fill="auto"/>
            <w:noWrap/>
          </w:tcPr>
          <w:p w14:paraId="06439712"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0.086 </w:t>
            </w:r>
          </w:p>
          <w:p w14:paraId="778FFD28" w14:textId="6A0730FA" w:rsidR="001A67E1" w:rsidRPr="00123299" w:rsidRDefault="001A67E1" w:rsidP="000C5E12">
            <w:pPr>
              <w:widowControl/>
              <w:adjustRightInd w:val="0"/>
              <w:snapToGrid w:val="0"/>
              <w:jc w:val="center"/>
              <w:rPr>
                <w:rFonts w:ascii="Times New Roman" w:hAnsi="Times New Roman" w:cs="Times New Roman"/>
                <w:sz w:val="20"/>
                <w:szCs w:val="20"/>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tcPr>
          <w:p w14:paraId="57A60869"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-0.005 </w:t>
            </w:r>
          </w:p>
          <w:p w14:paraId="69EFDBE5" w14:textId="179D954A" w:rsidR="001A67E1" w:rsidRPr="00123299" w:rsidRDefault="001A67E1" w:rsidP="000C5E12">
            <w:pPr>
              <w:widowControl/>
              <w:adjustRightInd w:val="0"/>
              <w:snapToGrid w:val="0"/>
              <w:jc w:val="center"/>
              <w:rPr>
                <w:rFonts w:ascii="Times New Roman" w:hAnsi="Times New Roman" w:cs="Times New Roman"/>
                <w:sz w:val="20"/>
                <w:szCs w:val="20"/>
              </w:rPr>
            </w:pPr>
            <w:r>
              <w:rPr>
                <w:rFonts w:ascii="Times New Roman" w:hAnsi="Times New Roman" w:cs="Times New Roman"/>
                <w:sz w:val="20"/>
                <w:szCs w:val="20"/>
              </w:rPr>
              <w:t>(1.000)</w:t>
            </w:r>
          </w:p>
        </w:tc>
      </w:tr>
      <w:tr w:rsidR="000C5E12" w:rsidRPr="00123299" w14:paraId="6EA5AE06"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2318D0A2"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Uncertain surrogate relationship between surrogate outcome and clinical endpoint</w:t>
            </w:r>
          </w:p>
        </w:tc>
        <w:tc>
          <w:tcPr>
            <w:tcW w:w="2524" w:type="dxa"/>
            <w:tcBorders>
              <w:top w:val="dotted" w:sz="4" w:space="0" w:color="auto"/>
              <w:bottom w:val="dotted" w:sz="4" w:space="0" w:color="auto"/>
            </w:tcBorders>
            <w:shd w:val="clear" w:color="auto" w:fill="auto"/>
            <w:noWrap/>
            <w:hideMark/>
          </w:tcPr>
          <w:p w14:paraId="090E27BC"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0.126 </w:t>
            </w:r>
          </w:p>
          <w:p w14:paraId="0A088C21" w14:textId="7F170094"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7431EF5A" w14:textId="77777777" w:rsidR="001A67E1"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-0.107</w:t>
            </w:r>
          </w:p>
          <w:p w14:paraId="04F48716" w14:textId="3AB845A2" w:rsidR="000C5E12"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123299">
              <w:rPr>
                <w:rFonts w:ascii="Times New Roman" w:hAnsi="Times New Roman" w:cs="Times New Roman"/>
                <w:sz w:val="20"/>
                <w:szCs w:val="20"/>
              </w:rPr>
              <w:t xml:space="preserve"> </w:t>
            </w:r>
          </w:p>
        </w:tc>
        <w:tc>
          <w:tcPr>
            <w:tcW w:w="2070" w:type="dxa"/>
            <w:tcBorders>
              <w:top w:val="dotted" w:sz="4" w:space="0" w:color="auto"/>
              <w:bottom w:val="dotted" w:sz="4" w:space="0" w:color="auto"/>
            </w:tcBorders>
            <w:shd w:val="clear" w:color="auto" w:fill="auto"/>
            <w:noWrap/>
            <w:hideMark/>
          </w:tcPr>
          <w:p w14:paraId="1A792B2F"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-0.076 </w:t>
            </w:r>
          </w:p>
          <w:p w14:paraId="33EF1A34" w14:textId="357A6318"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1786B57E"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0.075 </w:t>
            </w:r>
          </w:p>
          <w:p w14:paraId="76CD141B" w14:textId="25ED665C"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0CBD739F"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0.012 </w:t>
            </w:r>
          </w:p>
          <w:p w14:paraId="34893A22" w14:textId="5B094672"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72CDFF23"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0.093 </w:t>
            </w:r>
          </w:p>
          <w:p w14:paraId="0F87FA9A" w14:textId="63C1D5B4"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4E438B55" w14:textId="77777777" w:rsidTr="002A6662">
        <w:trPr>
          <w:trHeight w:val="515"/>
        </w:trPr>
        <w:tc>
          <w:tcPr>
            <w:tcW w:w="4316" w:type="dxa"/>
            <w:tcBorders>
              <w:top w:val="dotted" w:sz="4" w:space="0" w:color="auto"/>
              <w:bottom w:val="dotted" w:sz="4" w:space="0" w:color="auto"/>
            </w:tcBorders>
            <w:shd w:val="clear" w:color="auto" w:fill="auto"/>
            <w:vAlign w:val="center"/>
            <w:hideMark/>
          </w:tcPr>
          <w:p w14:paraId="65121257"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Unjustified assumption on the direction or frequency of patients' transitions between health states</w:t>
            </w:r>
          </w:p>
        </w:tc>
        <w:tc>
          <w:tcPr>
            <w:tcW w:w="2524" w:type="dxa"/>
            <w:tcBorders>
              <w:top w:val="dotted" w:sz="4" w:space="0" w:color="auto"/>
              <w:bottom w:val="dotted" w:sz="4" w:space="0" w:color="auto"/>
            </w:tcBorders>
            <w:shd w:val="clear" w:color="auto" w:fill="auto"/>
            <w:noWrap/>
            <w:hideMark/>
          </w:tcPr>
          <w:p w14:paraId="7B36C6FC"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0.077 </w:t>
            </w:r>
          </w:p>
          <w:p w14:paraId="01567EAF" w14:textId="7F7CBA83"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34851BF7"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0.014 </w:t>
            </w:r>
          </w:p>
          <w:p w14:paraId="6E46A257" w14:textId="718E9065"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48CE232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-0.032 </w:t>
            </w:r>
          </w:p>
          <w:p w14:paraId="26CEC83D" w14:textId="60C1B6CC"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08EA2AE3"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-0.002 </w:t>
            </w:r>
          </w:p>
          <w:p w14:paraId="65E48913" w14:textId="1A7BF7D8"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396015D0"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0.058 </w:t>
            </w:r>
          </w:p>
          <w:p w14:paraId="0B6B9198" w14:textId="3631AF05"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3B590135"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0.078 </w:t>
            </w:r>
          </w:p>
          <w:p w14:paraId="38BD3914" w14:textId="60902C23"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4D63B4E2" w14:textId="77777777" w:rsidTr="002A6662">
        <w:trPr>
          <w:trHeight w:val="60"/>
        </w:trPr>
        <w:tc>
          <w:tcPr>
            <w:tcW w:w="4316" w:type="dxa"/>
            <w:tcBorders>
              <w:top w:val="dotted" w:sz="4" w:space="0" w:color="auto"/>
              <w:bottom w:val="dotted" w:sz="4" w:space="0" w:color="auto"/>
            </w:tcBorders>
            <w:shd w:val="clear" w:color="auto" w:fill="auto"/>
            <w:noWrap/>
            <w:vAlign w:val="center"/>
            <w:hideMark/>
          </w:tcPr>
          <w:p w14:paraId="10451845"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Inappropriate time horizon</w:t>
            </w:r>
          </w:p>
        </w:tc>
        <w:tc>
          <w:tcPr>
            <w:tcW w:w="2524" w:type="dxa"/>
            <w:tcBorders>
              <w:top w:val="dotted" w:sz="4" w:space="0" w:color="auto"/>
              <w:bottom w:val="dotted" w:sz="4" w:space="0" w:color="auto"/>
            </w:tcBorders>
            <w:shd w:val="clear" w:color="auto" w:fill="auto"/>
            <w:noWrap/>
            <w:hideMark/>
          </w:tcPr>
          <w:p w14:paraId="426541E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0.144 </w:t>
            </w:r>
          </w:p>
          <w:p w14:paraId="45C0C11E" w14:textId="57B05054"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(0.996)</w:t>
            </w:r>
          </w:p>
        </w:tc>
        <w:tc>
          <w:tcPr>
            <w:tcW w:w="1170" w:type="dxa"/>
            <w:tcBorders>
              <w:top w:val="dotted" w:sz="4" w:space="0" w:color="auto"/>
              <w:bottom w:val="dotted" w:sz="4" w:space="0" w:color="auto"/>
            </w:tcBorders>
            <w:shd w:val="clear" w:color="auto" w:fill="auto"/>
            <w:noWrap/>
            <w:hideMark/>
          </w:tcPr>
          <w:p w14:paraId="6FF82366"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0.070 </w:t>
            </w:r>
          </w:p>
          <w:p w14:paraId="0EBD82A1" w14:textId="1D72F0AD"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3E5B514F"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-0.055 </w:t>
            </w:r>
          </w:p>
          <w:p w14:paraId="17490F17" w14:textId="504B0C9B"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376A24F0"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-0.074 </w:t>
            </w:r>
          </w:p>
          <w:p w14:paraId="68D4AC76" w14:textId="7E17D177"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101C94FC"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0.040 </w:t>
            </w:r>
          </w:p>
          <w:p w14:paraId="41E9132B" w14:textId="338C47C3"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38BEA400"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-0.078 </w:t>
            </w:r>
          </w:p>
          <w:p w14:paraId="25912C78" w14:textId="04A65531"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50DC2242"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051F3246"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Unjustified relationship between time and transition probabilities or treatment effect</w:t>
            </w:r>
          </w:p>
        </w:tc>
        <w:tc>
          <w:tcPr>
            <w:tcW w:w="2524" w:type="dxa"/>
            <w:tcBorders>
              <w:top w:val="dotted" w:sz="4" w:space="0" w:color="auto"/>
              <w:bottom w:val="dotted" w:sz="4" w:space="0" w:color="auto"/>
            </w:tcBorders>
            <w:shd w:val="clear" w:color="auto" w:fill="auto"/>
            <w:noWrap/>
            <w:hideMark/>
          </w:tcPr>
          <w:p w14:paraId="49836FA7"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0.100 </w:t>
            </w:r>
          </w:p>
          <w:p w14:paraId="18D857B0" w14:textId="525F4617"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17CF8CD5"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-0.028 </w:t>
            </w:r>
          </w:p>
          <w:p w14:paraId="3EA8AD84" w14:textId="105A7F6E"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30BEED2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0.041 </w:t>
            </w:r>
          </w:p>
          <w:p w14:paraId="68156BBB" w14:textId="279CD666"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2C1D4AD4"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0.111 </w:t>
            </w:r>
          </w:p>
          <w:p w14:paraId="18D2C96A" w14:textId="7ACC6175"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28AD17B6"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-0.002 </w:t>
            </w:r>
          </w:p>
          <w:p w14:paraId="6985B13C" w14:textId="137372CB"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6F16E227"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-0.061 </w:t>
            </w:r>
          </w:p>
          <w:p w14:paraId="48ED40CF" w14:textId="5BEEE448"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2157F36D"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281B2EBF"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Uncertainty in the choice of parametric survival function</w:t>
            </w:r>
          </w:p>
        </w:tc>
        <w:tc>
          <w:tcPr>
            <w:tcW w:w="2524" w:type="dxa"/>
            <w:tcBorders>
              <w:top w:val="dotted" w:sz="4" w:space="0" w:color="auto"/>
              <w:bottom w:val="dotted" w:sz="4" w:space="0" w:color="auto"/>
            </w:tcBorders>
            <w:shd w:val="clear" w:color="auto" w:fill="auto"/>
            <w:noWrap/>
            <w:hideMark/>
          </w:tcPr>
          <w:p w14:paraId="218F18E4"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0.041 </w:t>
            </w:r>
          </w:p>
          <w:p w14:paraId="35DD1706" w14:textId="09BAB361"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0B29E795" w14:textId="77777777" w:rsidR="001A67E1"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0.025</w:t>
            </w:r>
          </w:p>
          <w:p w14:paraId="7DC91F83" w14:textId="61A5FF31" w:rsidR="000C5E12"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123299">
              <w:rPr>
                <w:rFonts w:ascii="Times New Roman" w:hAnsi="Times New Roman" w:cs="Times New Roman"/>
                <w:sz w:val="20"/>
                <w:szCs w:val="20"/>
              </w:rPr>
              <w:t xml:space="preserve"> </w:t>
            </w:r>
          </w:p>
        </w:tc>
        <w:tc>
          <w:tcPr>
            <w:tcW w:w="2070" w:type="dxa"/>
            <w:tcBorders>
              <w:top w:val="dotted" w:sz="4" w:space="0" w:color="auto"/>
              <w:bottom w:val="dotted" w:sz="4" w:space="0" w:color="auto"/>
            </w:tcBorders>
            <w:shd w:val="clear" w:color="auto" w:fill="auto"/>
            <w:noWrap/>
            <w:hideMark/>
          </w:tcPr>
          <w:p w14:paraId="6C16F534"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-0.120 </w:t>
            </w:r>
          </w:p>
          <w:p w14:paraId="27CAD8BB" w14:textId="47C9B2B1"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0ECBBED7"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-0.034 </w:t>
            </w:r>
          </w:p>
          <w:p w14:paraId="2BE94664" w14:textId="39650450"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1A3D4C01"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0.021 </w:t>
            </w:r>
          </w:p>
          <w:p w14:paraId="2F3E369B" w14:textId="3C997D42"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5C4CFF7F"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-0.051 </w:t>
            </w:r>
          </w:p>
          <w:p w14:paraId="00C1AEB5" w14:textId="10F2A0B4"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7FDA399D"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462273BE"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lastRenderedPageBreak/>
              <w:t>Uncertainty around clinical effectiveness</w:t>
            </w:r>
          </w:p>
        </w:tc>
        <w:tc>
          <w:tcPr>
            <w:tcW w:w="2524" w:type="dxa"/>
            <w:tcBorders>
              <w:top w:val="dotted" w:sz="4" w:space="0" w:color="auto"/>
              <w:bottom w:val="dotted" w:sz="4" w:space="0" w:color="auto"/>
            </w:tcBorders>
            <w:shd w:val="clear" w:color="auto" w:fill="auto"/>
            <w:noWrap/>
            <w:hideMark/>
          </w:tcPr>
          <w:p w14:paraId="0736A3B2"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0.063 </w:t>
            </w:r>
          </w:p>
          <w:p w14:paraId="32BF0885" w14:textId="5632A9CC"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03A0DA09"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0.005 </w:t>
            </w:r>
          </w:p>
          <w:p w14:paraId="65B692DB" w14:textId="4CD94B42"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659D4AC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0.009 </w:t>
            </w:r>
          </w:p>
          <w:p w14:paraId="282CD2C5" w14:textId="5E4AC354"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dotted" w:sz="4" w:space="0" w:color="auto"/>
            </w:tcBorders>
            <w:shd w:val="clear" w:color="auto" w:fill="auto"/>
            <w:noWrap/>
            <w:hideMark/>
          </w:tcPr>
          <w:p w14:paraId="445FA487"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0.083 </w:t>
            </w:r>
          </w:p>
          <w:p w14:paraId="5A9EA908" w14:textId="2437AE47"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980" w:type="dxa"/>
            <w:tcBorders>
              <w:top w:val="dotted" w:sz="4" w:space="0" w:color="auto"/>
              <w:bottom w:val="dotted" w:sz="4" w:space="0" w:color="auto"/>
            </w:tcBorders>
            <w:shd w:val="clear" w:color="auto" w:fill="auto"/>
            <w:noWrap/>
            <w:hideMark/>
          </w:tcPr>
          <w:p w14:paraId="79F5C0DB"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0.022 </w:t>
            </w:r>
          </w:p>
          <w:p w14:paraId="13C76D1A" w14:textId="63F484DF"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6DF176D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0.075 </w:t>
            </w:r>
          </w:p>
          <w:p w14:paraId="64B14613" w14:textId="63693AA5"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1EA9403A" w14:textId="77777777" w:rsidTr="002A6662">
        <w:trPr>
          <w:trHeight w:val="226"/>
        </w:trPr>
        <w:tc>
          <w:tcPr>
            <w:tcW w:w="4316" w:type="dxa"/>
            <w:tcBorders>
              <w:top w:val="dotted" w:sz="4" w:space="0" w:color="auto"/>
              <w:bottom w:val="dotted" w:sz="4" w:space="0" w:color="auto"/>
            </w:tcBorders>
            <w:shd w:val="clear" w:color="auto" w:fill="auto"/>
            <w:noWrap/>
            <w:vAlign w:val="center"/>
            <w:hideMark/>
          </w:tcPr>
          <w:p w14:paraId="71E13FC2"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Uncertainty around utility estimation</w:t>
            </w:r>
          </w:p>
        </w:tc>
        <w:tc>
          <w:tcPr>
            <w:tcW w:w="2524" w:type="dxa"/>
            <w:tcBorders>
              <w:top w:val="dotted" w:sz="4" w:space="0" w:color="auto"/>
              <w:bottom w:val="dotted" w:sz="4" w:space="0" w:color="auto"/>
            </w:tcBorders>
            <w:shd w:val="clear" w:color="auto" w:fill="auto"/>
            <w:noWrap/>
            <w:hideMark/>
          </w:tcPr>
          <w:p w14:paraId="177BCAEB"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0.048 </w:t>
            </w:r>
          </w:p>
          <w:p w14:paraId="6957DBE7" w14:textId="032451F2"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dotted" w:sz="4" w:space="0" w:color="auto"/>
            </w:tcBorders>
            <w:shd w:val="clear" w:color="auto" w:fill="auto"/>
            <w:noWrap/>
            <w:hideMark/>
          </w:tcPr>
          <w:p w14:paraId="35A42294"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-0.053 </w:t>
            </w:r>
          </w:p>
          <w:p w14:paraId="6A9C1272" w14:textId="74CF55B0"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dotted" w:sz="4" w:space="0" w:color="auto"/>
            </w:tcBorders>
            <w:shd w:val="clear" w:color="auto" w:fill="auto"/>
            <w:noWrap/>
            <w:hideMark/>
          </w:tcPr>
          <w:p w14:paraId="75F4EDF0" w14:textId="77777777" w:rsidR="001A67E1"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0.077</w:t>
            </w:r>
          </w:p>
          <w:p w14:paraId="007C7DFA" w14:textId="5059024D" w:rsidR="000C5E12"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123299">
              <w:rPr>
                <w:rFonts w:ascii="Times New Roman" w:hAnsi="Times New Roman" w:cs="Times New Roman"/>
                <w:sz w:val="20"/>
                <w:szCs w:val="20"/>
              </w:rPr>
              <w:t xml:space="preserve"> </w:t>
            </w:r>
          </w:p>
        </w:tc>
        <w:tc>
          <w:tcPr>
            <w:tcW w:w="1440" w:type="dxa"/>
            <w:tcBorders>
              <w:top w:val="dotted" w:sz="4" w:space="0" w:color="auto"/>
              <w:bottom w:val="dotted" w:sz="4" w:space="0" w:color="auto"/>
            </w:tcBorders>
            <w:shd w:val="clear" w:color="auto" w:fill="auto"/>
            <w:noWrap/>
            <w:hideMark/>
          </w:tcPr>
          <w:p w14:paraId="4BA2C872" w14:textId="77777777" w:rsidR="001A67E1"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0.123</w:t>
            </w:r>
          </w:p>
          <w:p w14:paraId="42F99C23" w14:textId="3EF0A69D" w:rsidR="000C5E12"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123299">
              <w:rPr>
                <w:rFonts w:ascii="Times New Roman" w:hAnsi="Times New Roman" w:cs="Times New Roman"/>
                <w:sz w:val="20"/>
                <w:szCs w:val="20"/>
              </w:rPr>
              <w:t xml:space="preserve"> </w:t>
            </w:r>
          </w:p>
        </w:tc>
        <w:tc>
          <w:tcPr>
            <w:tcW w:w="1980" w:type="dxa"/>
            <w:tcBorders>
              <w:top w:val="dotted" w:sz="4" w:space="0" w:color="auto"/>
              <w:bottom w:val="dotted" w:sz="4" w:space="0" w:color="auto"/>
            </w:tcBorders>
            <w:shd w:val="clear" w:color="auto" w:fill="auto"/>
            <w:noWrap/>
            <w:hideMark/>
          </w:tcPr>
          <w:p w14:paraId="58A8B0A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0.149 </w:t>
            </w:r>
          </w:p>
          <w:p w14:paraId="7CE7CD05" w14:textId="5A8DF36C"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dotted" w:sz="4" w:space="0" w:color="auto"/>
            </w:tcBorders>
            <w:shd w:val="clear" w:color="auto" w:fill="auto"/>
            <w:noWrap/>
            <w:hideMark/>
          </w:tcPr>
          <w:p w14:paraId="142700E0"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0.043 </w:t>
            </w:r>
          </w:p>
          <w:p w14:paraId="63B12A1B" w14:textId="3759557C"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r w:rsidR="000C5E12" w:rsidRPr="00123299" w14:paraId="099D3184" w14:textId="77777777" w:rsidTr="002A6662">
        <w:trPr>
          <w:trHeight w:val="226"/>
        </w:trPr>
        <w:tc>
          <w:tcPr>
            <w:tcW w:w="4316" w:type="dxa"/>
            <w:tcBorders>
              <w:top w:val="dotted" w:sz="4" w:space="0" w:color="auto"/>
              <w:bottom w:val="single" w:sz="4" w:space="0" w:color="auto"/>
            </w:tcBorders>
            <w:shd w:val="clear" w:color="auto" w:fill="auto"/>
            <w:noWrap/>
            <w:vAlign w:val="center"/>
            <w:hideMark/>
          </w:tcPr>
          <w:p w14:paraId="5E11B28E" w14:textId="77777777" w:rsidR="000C5E12" w:rsidRPr="00123299" w:rsidRDefault="000C5E12" w:rsidP="000C5E12">
            <w:pPr>
              <w:widowControl/>
              <w:adjustRightInd w:val="0"/>
              <w:snapToGrid w:val="0"/>
              <w:jc w:val="left"/>
              <w:rPr>
                <w:rFonts w:ascii="Times New Roman" w:eastAsia="Times New Roman" w:hAnsi="Times New Roman" w:cs="Times New Roman"/>
                <w:kern w:val="0"/>
                <w:sz w:val="20"/>
                <w:szCs w:val="20"/>
                <w:lang w:val="en-AU"/>
              </w:rPr>
            </w:pPr>
            <w:r w:rsidRPr="00123299">
              <w:rPr>
                <w:rFonts w:ascii="Times New Roman" w:eastAsia="Times New Roman" w:hAnsi="Times New Roman" w:cs="Times New Roman"/>
                <w:kern w:val="0"/>
                <w:sz w:val="20"/>
                <w:szCs w:val="20"/>
                <w:lang w:val="en-AU"/>
              </w:rPr>
              <w:t>Uncertainty around cost estimation</w:t>
            </w:r>
          </w:p>
        </w:tc>
        <w:tc>
          <w:tcPr>
            <w:tcW w:w="2524" w:type="dxa"/>
            <w:tcBorders>
              <w:top w:val="dotted" w:sz="4" w:space="0" w:color="auto"/>
              <w:bottom w:val="single" w:sz="4" w:space="0" w:color="auto"/>
            </w:tcBorders>
            <w:shd w:val="clear" w:color="auto" w:fill="auto"/>
            <w:noWrap/>
            <w:hideMark/>
          </w:tcPr>
          <w:p w14:paraId="77AC38D1"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-0.082 </w:t>
            </w:r>
          </w:p>
          <w:p w14:paraId="67FBE858" w14:textId="250CA8A2"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170" w:type="dxa"/>
            <w:tcBorders>
              <w:top w:val="dotted" w:sz="4" w:space="0" w:color="auto"/>
              <w:bottom w:val="single" w:sz="4" w:space="0" w:color="auto"/>
            </w:tcBorders>
            <w:shd w:val="clear" w:color="auto" w:fill="auto"/>
            <w:noWrap/>
            <w:hideMark/>
          </w:tcPr>
          <w:p w14:paraId="3C8217D8"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0.100 </w:t>
            </w:r>
          </w:p>
          <w:p w14:paraId="460D745A" w14:textId="65D97C3A"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2070" w:type="dxa"/>
            <w:tcBorders>
              <w:top w:val="dotted" w:sz="4" w:space="0" w:color="auto"/>
              <w:bottom w:val="single" w:sz="4" w:space="0" w:color="auto"/>
            </w:tcBorders>
            <w:shd w:val="clear" w:color="auto" w:fill="auto"/>
            <w:noWrap/>
            <w:hideMark/>
          </w:tcPr>
          <w:p w14:paraId="5FC55BD0"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0.001 </w:t>
            </w:r>
          </w:p>
          <w:p w14:paraId="0D356841" w14:textId="31603154" w:rsidR="001A67E1" w:rsidRPr="00123299" w:rsidRDefault="001A67E1" w:rsidP="000C5E12">
            <w:pPr>
              <w:widowControl/>
              <w:adjustRightInd w:val="0"/>
              <w:snapToGrid w:val="0"/>
              <w:jc w:val="center"/>
              <w:rPr>
                <w:rFonts w:ascii="Times New Roman" w:hAnsi="Times New Roman" w:cs="Times New Roman"/>
                <w:kern w:val="0"/>
                <w:sz w:val="20"/>
                <w:szCs w:val="20"/>
                <w:lang w:val="en-AU"/>
              </w:rPr>
            </w:pPr>
            <w:r>
              <w:rPr>
                <w:rFonts w:ascii="Times New Roman" w:hAnsi="Times New Roman" w:cs="Times New Roman"/>
                <w:sz w:val="20"/>
                <w:szCs w:val="20"/>
              </w:rPr>
              <w:t>(1.000)</w:t>
            </w:r>
          </w:p>
        </w:tc>
        <w:tc>
          <w:tcPr>
            <w:tcW w:w="1440" w:type="dxa"/>
            <w:tcBorders>
              <w:top w:val="dotted" w:sz="4" w:space="0" w:color="auto"/>
              <w:bottom w:val="single" w:sz="4" w:space="0" w:color="auto"/>
            </w:tcBorders>
            <w:shd w:val="clear" w:color="auto" w:fill="auto"/>
            <w:noWrap/>
            <w:hideMark/>
          </w:tcPr>
          <w:p w14:paraId="4D48177F" w14:textId="77777777" w:rsidR="001A67E1"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0.073</w:t>
            </w:r>
          </w:p>
          <w:p w14:paraId="54ED4AFF" w14:textId="61BA316F" w:rsidR="000C5E12"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r w:rsidR="000C5E12" w:rsidRPr="00123299">
              <w:rPr>
                <w:rFonts w:ascii="Times New Roman" w:hAnsi="Times New Roman" w:cs="Times New Roman"/>
                <w:sz w:val="20"/>
                <w:szCs w:val="20"/>
              </w:rPr>
              <w:t xml:space="preserve"> </w:t>
            </w:r>
          </w:p>
        </w:tc>
        <w:tc>
          <w:tcPr>
            <w:tcW w:w="1980" w:type="dxa"/>
            <w:tcBorders>
              <w:top w:val="dotted" w:sz="4" w:space="0" w:color="auto"/>
              <w:bottom w:val="single" w:sz="4" w:space="0" w:color="auto"/>
            </w:tcBorders>
            <w:shd w:val="clear" w:color="auto" w:fill="auto"/>
            <w:noWrap/>
            <w:hideMark/>
          </w:tcPr>
          <w:p w14:paraId="7947FDFD"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0.052 </w:t>
            </w:r>
          </w:p>
          <w:p w14:paraId="2E62FA1F" w14:textId="59E7DCA1"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c>
          <w:tcPr>
            <w:tcW w:w="1800" w:type="dxa"/>
            <w:tcBorders>
              <w:top w:val="dotted" w:sz="4" w:space="0" w:color="auto"/>
              <w:bottom w:val="single" w:sz="4" w:space="0" w:color="auto"/>
            </w:tcBorders>
            <w:shd w:val="clear" w:color="auto" w:fill="auto"/>
            <w:noWrap/>
            <w:hideMark/>
          </w:tcPr>
          <w:p w14:paraId="747661C3" w14:textId="77777777" w:rsidR="000C5E12" w:rsidRDefault="000C5E12" w:rsidP="000C5E12">
            <w:pPr>
              <w:widowControl/>
              <w:adjustRightInd w:val="0"/>
              <w:snapToGrid w:val="0"/>
              <w:jc w:val="center"/>
              <w:rPr>
                <w:rFonts w:ascii="Times New Roman" w:hAnsi="Times New Roman" w:cs="Times New Roman"/>
                <w:sz w:val="20"/>
                <w:szCs w:val="20"/>
              </w:rPr>
            </w:pPr>
            <w:r w:rsidRPr="00123299">
              <w:rPr>
                <w:rFonts w:ascii="Times New Roman" w:hAnsi="Times New Roman" w:cs="Times New Roman"/>
                <w:sz w:val="20"/>
                <w:szCs w:val="20"/>
              </w:rPr>
              <w:t xml:space="preserve">0.001 </w:t>
            </w:r>
          </w:p>
          <w:p w14:paraId="262236CE" w14:textId="7C9170F2" w:rsidR="001A67E1" w:rsidRPr="00123299" w:rsidRDefault="001A67E1" w:rsidP="000C5E12">
            <w:pPr>
              <w:widowControl/>
              <w:adjustRightInd w:val="0"/>
              <w:snapToGrid w:val="0"/>
              <w:jc w:val="center"/>
              <w:rPr>
                <w:rFonts w:ascii="Times New Roman" w:eastAsia="Times New Roman" w:hAnsi="Times New Roman" w:cs="Times New Roman"/>
                <w:kern w:val="0"/>
                <w:sz w:val="20"/>
                <w:szCs w:val="20"/>
                <w:lang w:val="en-AU"/>
              </w:rPr>
            </w:pPr>
            <w:r>
              <w:rPr>
                <w:rFonts w:ascii="Times New Roman" w:hAnsi="Times New Roman" w:cs="Times New Roman"/>
                <w:sz w:val="20"/>
                <w:szCs w:val="20"/>
              </w:rPr>
              <w:t>(1.000)</w:t>
            </w:r>
          </w:p>
        </w:tc>
      </w:tr>
    </w:tbl>
    <w:p w14:paraId="40F35DB2" w14:textId="77777777" w:rsidR="00953C70" w:rsidRDefault="00953C70" w:rsidP="006C41A0">
      <w:pPr>
        <w:adjustRightInd w:val="0"/>
        <w:snapToGrid w:val="0"/>
        <w:spacing w:line="360" w:lineRule="auto"/>
        <w:jc w:val="left"/>
        <w:rPr>
          <w:rFonts w:ascii="Times New Roman" w:eastAsia="SimSun" w:hAnsi="Times New Roman" w:cs="Times New Roman"/>
          <w:b/>
          <w:bCs/>
          <w:kern w:val="0"/>
          <w:sz w:val="20"/>
          <w:szCs w:val="20"/>
        </w:rPr>
      </w:pPr>
    </w:p>
    <w:p w14:paraId="56EE5113" w14:textId="63975DB9" w:rsidR="008940BC" w:rsidRPr="008F448B" w:rsidRDefault="008940BC" w:rsidP="006C41A0">
      <w:pPr>
        <w:adjustRightInd w:val="0"/>
        <w:snapToGrid w:val="0"/>
        <w:spacing w:line="360" w:lineRule="auto"/>
        <w:jc w:val="left"/>
        <w:rPr>
          <w:rFonts w:ascii="Times New Roman" w:eastAsia="SimSun" w:hAnsi="Times New Roman" w:cs="Times New Roman"/>
          <w:b/>
          <w:bCs/>
          <w:kern w:val="0"/>
          <w:sz w:val="20"/>
          <w:szCs w:val="20"/>
        </w:rPr>
      </w:pPr>
      <w:r w:rsidRPr="008F448B">
        <w:rPr>
          <w:rFonts w:ascii="Times New Roman" w:eastAsia="SimSun" w:hAnsi="Times New Roman" w:cs="Times New Roman"/>
          <w:b/>
          <w:bCs/>
          <w:kern w:val="0"/>
          <w:sz w:val="20"/>
          <w:szCs w:val="20"/>
        </w:rPr>
        <w:t xml:space="preserve">Table </w:t>
      </w:r>
      <w:r w:rsidR="007E3F82">
        <w:rPr>
          <w:rFonts w:ascii="Times New Roman" w:eastAsia="SimSun" w:hAnsi="Times New Roman" w:cs="Times New Roman"/>
          <w:b/>
          <w:bCs/>
          <w:kern w:val="0"/>
          <w:sz w:val="20"/>
          <w:szCs w:val="20"/>
        </w:rPr>
        <w:t>6</w:t>
      </w:r>
      <w:r w:rsidRPr="008F448B">
        <w:rPr>
          <w:rFonts w:ascii="Times New Roman" w:eastAsia="SimSun" w:hAnsi="Times New Roman" w:cs="Times New Roman"/>
          <w:b/>
          <w:bCs/>
          <w:kern w:val="0"/>
          <w:sz w:val="20"/>
          <w:szCs w:val="20"/>
        </w:rPr>
        <w:t xml:space="preserve">-2. The results of </w:t>
      </w:r>
      <w:r>
        <w:rPr>
          <w:rFonts w:ascii="Times New Roman" w:eastAsia="SimSun" w:hAnsi="Times New Roman" w:cs="Times New Roman"/>
          <w:b/>
          <w:bCs/>
          <w:kern w:val="0"/>
          <w:sz w:val="20"/>
          <w:szCs w:val="20"/>
        </w:rPr>
        <w:t xml:space="preserve">the </w:t>
      </w:r>
      <w:r w:rsidRPr="008F448B">
        <w:rPr>
          <w:rFonts w:ascii="Times New Roman" w:eastAsia="SimSun" w:hAnsi="Times New Roman" w:cs="Times New Roman"/>
          <w:b/>
          <w:bCs/>
          <w:kern w:val="0"/>
          <w:sz w:val="20"/>
          <w:szCs w:val="20"/>
        </w:rPr>
        <w:t>Kendall test of detailed sources of uncertainty (continued)</w:t>
      </w:r>
    </w:p>
    <w:tbl>
      <w:tblPr>
        <w:tblW w:w="16316" w:type="dxa"/>
        <w:tblInd w:w="-900" w:type="dxa"/>
        <w:tblBorders>
          <w:top w:val="single" w:sz="4" w:space="0" w:color="auto"/>
          <w:bottom w:val="single" w:sz="4" w:space="0" w:color="auto"/>
        </w:tblBorders>
        <w:tblLook w:val="04A0" w:firstRow="1" w:lastRow="0" w:firstColumn="1" w:lastColumn="0" w:noHBand="0" w:noVBand="1"/>
      </w:tblPr>
      <w:tblGrid>
        <w:gridCol w:w="2790"/>
        <w:gridCol w:w="1366"/>
        <w:gridCol w:w="1066"/>
        <w:gridCol w:w="1708"/>
        <w:gridCol w:w="1795"/>
        <w:gridCol w:w="1186"/>
        <w:gridCol w:w="1335"/>
        <w:gridCol w:w="1488"/>
        <w:gridCol w:w="1260"/>
        <w:gridCol w:w="1161"/>
        <w:gridCol w:w="1137"/>
        <w:gridCol w:w="24"/>
      </w:tblGrid>
      <w:tr w:rsidR="002D36A2" w:rsidRPr="009517B4" w14:paraId="578F0898" w14:textId="2E9BEF9A" w:rsidTr="006B7319">
        <w:trPr>
          <w:trHeight w:val="339"/>
          <w:tblHeader/>
        </w:trPr>
        <w:tc>
          <w:tcPr>
            <w:tcW w:w="2790" w:type="dxa"/>
            <w:tcBorders>
              <w:top w:val="single" w:sz="4" w:space="0" w:color="auto"/>
              <w:bottom w:val="single" w:sz="4" w:space="0" w:color="auto"/>
            </w:tcBorders>
            <w:shd w:val="clear" w:color="auto" w:fill="D9D9D9" w:themeFill="background1" w:themeFillShade="D9"/>
            <w:noWrap/>
            <w:vAlign w:val="bottom"/>
            <w:hideMark/>
          </w:tcPr>
          <w:p w14:paraId="38A1640C" w14:textId="77777777" w:rsidR="002D36A2" w:rsidRPr="009517B4" w:rsidRDefault="002D36A2" w:rsidP="002D36A2">
            <w:pPr>
              <w:adjustRightInd w:val="0"/>
              <w:snapToGrid w:val="0"/>
              <w:rPr>
                <w:rFonts w:ascii="Times New Roman" w:hAnsi="Times New Roman" w:cs="Times New Roman"/>
                <w:sz w:val="18"/>
                <w:szCs w:val="18"/>
                <w:lang w:val="en-AU"/>
              </w:rPr>
            </w:pPr>
          </w:p>
        </w:tc>
        <w:tc>
          <w:tcPr>
            <w:tcW w:w="1366" w:type="dxa"/>
            <w:tcBorders>
              <w:top w:val="single" w:sz="4" w:space="0" w:color="auto"/>
              <w:bottom w:val="single" w:sz="4" w:space="0" w:color="auto"/>
            </w:tcBorders>
            <w:shd w:val="clear" w:color="auto" w:fill="D9D9D9" w:themeFill="background1" w:themeFillShade="D9"/>
          </w:tcPr>
          <w:p w14:paraId="1D764DDF" w14:textId="77777777" w:rsidR="002D36A2" w:rsidRDefault="002D36A2" w:rsidP="002D36A2">
            <w:pPr>
              <w:adjustRightInd w:val="0"/>
              <w:snapToGrid w:val="0"/>
              <w:rPr>
                <w:rFonts w:ascii="Times New Roman" w:hAnsi="Times New Roman" w:cs="Times New Roman"/>
                <w:sz w:val="18"/>
                <w:szCs w:val="18"/>
                <w:lang w:val="en-AU"/>
              </w:rPr>
            </w:pPr>
          </w:p>
          <w:p w14:paraId="2D43349B" w14:textId="77777777" w:rsidR="002D36A2" w:rsidRDefault="002D36A2" w:rsidP="002D36A2">
            <w:pPr>
              <w:adjustRightInd w:val="0"/>
              <w:snapToGrid w:val="0"/>
              <w:rPr>
                <w:rFonts w:ascii="Times New Roman" w:hAnsi="Times New Roman" w:cs="Times New Roman"/>
                <w:sz w:val="18"/>
                <w:szCs w:val="18"/>
                <w:lang w:val="en-AU"/>
              </w:rPr>
            </w:pPr>
          </w:p>
          <w:p w14:paraId="228804EA" w14:textId="3F153FF3"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Generalisability uncertainty</w:t>
            </w:r>
          </w:p>
        </w:tc>
        <w:tc>
          <w:tcPr>
            <w:tcW w:w="1066" w:type="dxa"/>
            <w:tcBorders>
              <w:top w:val="single" w:sz="4" w:space="0" w:color="auto"/>
              <w:bottom w:val="single" w:sz="4" w:space="0" w:color="auto"/>
            </w:tcBorders>
            <w:shd w:val="clear" w:color="auto" w:fill="D9D9D9" w:themeFill="background1" w:themeFillShade="D9"/>
            <w:noWrap/>
            <w:vAlign w:val="center"/>
            <w:hideMark/>
          </w:tcPr>
          <w:p w14:paraId="573155B4"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Uncertainty around health states</w:t>
            </w:r>
          </w:p>
        </w:tc>
        <w:tc>
          <w:tcPr>
            <w:tcW w:w="1708" w:type="dxa"/>
            <w:tcBorders>
              <w:top w:val="single" w:sz="4" w:space="0" w:color="auto"/>
              <w:bottom w:val="single" w:sz="4" w:space="0" w:color="auto"/>
            </w:tcBorders>
            <w:shd w:val="clear" w:color="auto" w:fill="D9D9D9" w:themeFill="background1" w:themeFillShade="D9"/>
            <w:noWrap/>
            <w:vAlign w:val="center"/>
            <w:hideMark/>
          </w:tcPr>
          <w:p w14:paraId="1AB1CC49"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 surrogate relationship between surrogate outcome and clinical endpoint</w:t>
            </w:r>
          </w:p>
        </w:tc>
        <w:tc>
          <w:tcPr>
            <w:tcW w:w="1795" w:type="dxa"/>
            <w:tcBorders>
              <w:top w:val="single" w:sz="4" w:space="0" w:color="auto"/>
              <w:bottom w:val="single" w:sz="4" w:space="0" w:color="auto"/>
            </w:tcBorders>
            <w:shd w:val="clear" w:color="auto" w:fill="D9D9D9" w:themeFill="background1" w:themeFillShade="D9"/>
            <w:vAlign w:val="center"/>
            <w:hideMark/>
          </w:tcPr>
          <w:p w14:paraId="31F6C398"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Unjustified assumption on the direction or frequency of patients' transitions between health states</w:t>
            </w:r>
          </w:p>
        </w:tc>
        <w:tc>
          <w:tcPr>
            <w:tcW w:w="1186" w:type="dxa"/>
            <w:tcBorders>
              <w:top w:val="single" w:sz="4" w:space="0" w:color="auto"/>
              <w:bottom w:val="single" w:sz="4" w:space="0" w:color="auto"/>
            </w:tcBorders>
            <w:shd w:val="clear" w:color="auto" w:fill="D9D9D9" w:themeFill="background1" w:themeFillShade="D9"/>
            <w:noWrap/>
            <w:vAlign w:val="center"/>
            <w:hideMark/>
          </w:tcPr>
          <w:p w14:paraId="62BA6519"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Inappropriate time horizon</w:t>
            </w:r>
          </w:p>
        </w:tc>
        <w:tc>
          <w:tcPr>
            <w:tcW w:w="1335" w:type="dxa"/>
            <w:tcBorders>
              <w:top w:val="single" w:sz="4" w:space="0" w:color="auto"/>
              <w:bottom w:val="single" w:sz="4" w:space="0" w:color="auto"/>
            </w:tcBorders>
            <w:shd w:val="clear" w:color="auto" w:fill="D9D9D9" w:themeFill="background1" w:themeFillShade="D9"/>
            <w:noWrap/>
            <w:vAlign w:val="center"/>
            <w:hideMark/>
          </w:tcPr>
          <w:p w14:paraId="23C569D8"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Unjustified relationship between time and transition probabilities or treatment effect</w:t>
            </w:r>
          </w:p>
        </w:tc>
        <w:tc>
          <w:tcPr>
            <w:tcW w:w="1488" w:type="dxa"/>
            <w:tcBorders>
              <w:top w:val="single" w:sz="4" w:space="0" w:color="auto"/>
              <w:bottom w:val="single" w:sz="4" w:space="0" w:color="auto"/>
            </w:tcBorders>
            <w:shd w:val="clear" w:color="auto" w:fill="D9D9D9" w:themeFill="background1" w:themeFillShade="D9"/>
            <w:noWrap/>
            <w:vAlign w:val="center"/>
            <w:hideMark/>
          </w:tcPr>
          <w:p w14:paraId="677A3D50" w14:textId="77777777" w:rsidR="002D36A2" w:rsidRPr="009517B4" w:rsidRDefault="002D36A2" w:rsidP="002D36A2">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Uncertainty in the choice of parametric survival function</w:t>
            </w:r>
          </w:p>
        </w:tc>
        <w:tc>
          <w:tcPr>
            <w:tcW w:w="1260" w:type="dxa"/>
            <w:tcBorders>
              <w:top w:val="single" w:sz="4" w:space="0" w:color="auto"/>
              <w:bottom w:val="single" w:sz="4" w:space="0" w:color="auto"/>
            </w:tcBorders>
            <w:shd w:val="clear" w:color="auto" w:fill="D9D9D9" w:themeFill="background1" w:themeFillShade="D9"/>
            <w:vAlign w:val="bottom"/>
          </w:tcPr>
          <w:p w14:paraId="4F95ED38" w14:textId="6F2BB6AD" w:rsidR="002D36A2" w:rsidRPr="009517B4" w:rsidRDefault="002D36A2" w:rsidP="002D36A2">
            <w:pPr>
              <w:adjustRightInd w:val="0"/>
              <w:snapToGrid w:val="0"/>
              <w:rPr>
                <w:rFonts w:ascii="Times New Roman" w:hAnsi="Times New Roman" w:cs="Times New Roman"/>
                <w:sz w:val="18"/>
                <w:szCs w:val="18"/>
                <w:lang w:val="en-AU"/>
              </w:rPr>
            </w:pPr>
            <w:r w:rsidRPr="000D4B59">
              <w:rPr>
                <w:rFonts w:ascii="Times New Roman" w:eastAsia="Times New Roman" w:hAnsi="Times New Roman" w:cs="Times New Roman"/>
                <w:kern w:val="0"/>
                <w:sz w:val="20"/>
                <w:szCs w:val="20"/>
                <w:lang w:val="en-AU"/>
              </w:rPr>
              <w:t>Uncertainty around clinical effectiveness</w:t>
            </w:r>
          </w:p>
        </w:tc>
        <w:tc>
          <w:tcPr>
            <w:tcW w:w="1161" w:type="dxa"/>
            <w:tcBorders>
              <w:top w:val="single" w:sz="4" w:space="0" w:color="auto"/>
              <w:bottom w:val="single" w:sz="4" w:space="0" w:color="auto"/>
            </w:tcBorders>
            <w:shd w:val="clear" w:color="auto" w:fill="D9D9D9" w:themeFill="background1" w:themeFillShade="D9"/>
            <w:vAlign w:val="bottom"/>
          </w:tcPr>
          <w:p w14:paraId="2E323736" w14:textId="7B0C0B59" w:rsidR="002D36A2" w:rsidRPr="009517B4" w:rsidRDefault="002D36A2" w:rsidP="002D36A2">
            <w:pPr>
              <w:adjustRightInd w:val="0"/>
              <w:snapToGrid w:val="0"/>
              <w:rPr>
                <w:rFonts w:ascii="Times New Roman" w:hAnsi="Times New Roman" w:cs="Times New Roman"/>
                <w:sz w:val="18"/>
                <w:szCs w:val="18"/>
                <w:lang w:val="en-AU"/>
              </w:rPr>
            </w:pPr>
            <w:r w:rsidRPr="000D4B59">
              <w:rPr>
                <w:rFonts w:ascii="Times New Roman" w:eastAsia="Times New Roman" w:hAnsi="Times New Roman" w:cs="Times New Roman"/>
                <w:kern w:val="0"/>
                <w:sz w:val="20"/>
                <w:szCs w:val="20"/>
                <w:lang w:val="en-AU"/>
              </w:rPr>
              <w:t>Uncertainty around utility estimation</w:t>
            </w:r>
          </w:p>
        </w:tc>
        <w:tc>
          <w:tcPr>
            <w:tcW w:w="1161" w:type="dxa"/>
            <w:gridSpan w:val="2"/>
            <w:tcBorders>
              <w:top w:val="single" w:sz="4" w:space="0" w:color="auto"/>
              <w:bottom w:val="single" w:sz="4" w:space="0" w:color="auto"/>
            </w:tcBorders>
            <w:shd w:val="clear" w:color="auto" w:fill="D9D9D9" w:themeFill="background1" w:themeFillShade="D9"/>
            <w:vAlign w:val="bottom"/>
          </w:tcPr>
          <w:p w14:paraId="2F43A24A" w14:textId="181C42F4" w:rsidR="002D36A2" w:rsidRPr="009517B4" w:rsidRDefault="002D36A2" w:rsidP="002D36A2">
            <w:pPr>
              <w:adjustRightInd w:val="0"/>
              <w:snapToGrid w:val="0"/>
              <w:rPr>
                <w:rFonts w:ascii="Times New Roman" w:hAnsi="Times New Roman" w:cs="Times New Roman"/>
                <w:sz w:val="18"/>
                <w:szCs w:val="18"/>
                <w:lang w:val="en-AU"/>
              </w:rPr>
            </w:pPr>
            <w:r w:rsidRPr="000D4B59">
              <w:rPr>
                <w:rFonts w:ascii="Times New Roman" w:eastAsia="Times New Roman" w:hAnsi="Times New Roman" w:cs="Times New Roman"/>
                <w:kern w:val="0"/>
                <w:sz w:val="20"/>
                <w:szCs w:val="20"/>
                <w:lang w:val="en-AU"/>
              </w:rPr>
              <w:t>Uncertainty around cost estimation</w:t>
            </w:r>
          </w:p>
        </w:tc>
      </w:tr>
      <w:tr w:rsidR="000D6681" w:rsidRPr="002D36A2" w14:paraId="489DAB5F" w14:textId="77777777" w:rsidTr="006B7319">
        <w:trPr>
          <w:gridAfter w:val="1"/>
          <w:wAfter w:w="24" w:type="dxa"/>
          <w:trHeight w:val="211"/>
        </w:trPr>
        <w:tc>
          <w:tcPr>
            <w:tcW w:w="2790" w:type="dxa"/>
            <w:tcBorders>
              <w:top w:val="single" w:sz="4" w:space="0" w:color="auto"/>
              <w:bottom w:val="dotted" w:sz="4" w:space="0" w:color="auto"/>
            </w:tcBorders>
            <w:shd w:val="clear" w:color="auto" w:fill="auto"/>
            <w:noWrap/>
            <w:vAlign w:val="bottom"/>
            <w:hideMark/>
          </w:tcPr>
          <w:p w14:paraId="25498397"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Generalisability uncertainty</w:t>
            </w:r>
          </w:p>
        </w:tc>
        <w:tc>
          <w:tcPr>
            <w:tcW w:w="1366" w:type="dxa"/>
            <w:tcBorders>
              <w:top w:val="single" w:sz="4" w:space="0" w:color="auto"/>
              <w:bottom w:val="dotted" w:sz="4" w:space="0" w:color="auto"/>
            </w:tcBorders>
          </w:tcPr>
          <w:p w14:paraId="1049FF91" w14:textId="2AE21D03" w:rsidR="000D6681" w:rsidRP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066" w:type="dxa"/>
            <w:tcBorders>
              <w:top w:val="single" w:sz="4" w:space="0" w:color="auto"/>
              <w:bottom w:val="dotted" w:sz="4" w:space="0" w:color="auto"/>
            </w:tcBorders>
            <w:shd w:val="clear" w:color="auto" w:fill="auto"/>
            <w:noWrap/>
            <w:hideMark/>
          </w:tcPr>
          <w:p w14:paraId="01DE0AA3" w14:textId="77777777" w:rsidR="000D6681" w:rsidRPr="00AD61C8" w:rsidRDefault="000D6681" w:rsidP="000D6681">
            <w:pPr>
              <w:adjustRightInd w:val="0"/>
              <w:snapToGrid w:val="0"/>
              <w:rPr>
                <w:rFonts w:ascii="Times New Roman" w:hAnsi="Times New Roman" w:cs="Times New Roman"/>
                <w:sz w:val="18"/>
                <w:szCs w:val="18"/>
              </w:rPr>
            </w:pPr>
          </w:p>
        </w:tc>
        <w:tc>
          <w:tcPr>
            <w:tcW w:w="1708" w:type="dxa"/>
            <w:tcBorders>
              <w:top w:val="single" w:sz="4" w:space="0" w:color="auto"/>
              <w:bottom w:val="dotted" w:sz="4" w:space="0" w:color="auto"/>
            </w:tcBorders>
            <w:shd w:val="clear" w:color="auto" w:fill="auto"/>
            <w:noWrap/>
            <w:hideMark/>
          </w:tcPr>
          <w:p w14:paraId="3E4AC217" w14:textId="77777777" w:rsidR="000D6681" w:rsidRPr="00AD61C8" w:rsidRDefault="000D6681" w:rsidP="000D6681">
            <w:pPr>
              <w:adjustRightInd w:val="0"/>
              <w:snapToGrid w:val="0"/>
              <w:rPr>
                <w:rFonts w:ascii="Times New Roman" w:hAnsi="Times New Roman" w:cs="Times New Roman"/>
                <w:sz w:val="18"/>
                <w:szCs w:val="18"/>
              </w:rPr>
            </w:pPr>
          </w:p>
        </w:tc>
        <w:tc>
          <w:tcPr>
            <w:tcW w:w="1795" w:type="dxa"/>
            <w:tcBorders>
              <w:top w:val="single" w:sz="4" w:space="0" w:color="auto"/>
              <w:bottom w:val="dotted" w:sz="4" w:space="0" w:color="auto"/>
            </w:tcBorders>
            <w:shd w:val="clear" w:color="auto" w:fill="auto"/>
            <w:noWrap/>
            <w:hideMark/>
          </w:tcPr>
          <w:p w14:paraId="5504D302" w14:textId="77777777" w:rsidR="000D6681" w:rsidRPr="00AD61C8" w:rsidRDefault="000D6681" w:rsidP="000D6681">
            <w:pPr>
              <w:adjustRightInd w:val="0"/>
              <w:snapToGrid w:val="0"/>
              <w:rPr>
                <w:rFonts w:ascii="Times New Roman" w:hAnsi="Times New Roman" w:cs="Times New Roman"/>
                <w:sz w:val="18"/>
                <w:szCs w:val="18"/>
              </w:rPr>
            </w:pPr>
          </w:p>
        </w:tc>
        <w:tc>
          <w:tcPr>
            <w:tcW w:w="1186" w:type="dxa"/>
            <w:tcBorders>
              <w:top w:val="single" w:sz="4" w:space="0" w:color="auto"/>
              <w:bottom w:val="dotted" w:sz="4" w:space="0" w:color="auto"/>
            </w:tcBorders>
            <w:shd w:val="clear" w:color="auto" w:fill="auto"/>
            <w:noWrap/>
            <w:hideMark/>
          </w:tcPr>
          <w:p w14:paraId="351FDEBA" w14:textId="77777777" w:rsidR="000D6681" w:rsidRPr="00AD61C8" w:rsidRDefault="000D6681" w:rsidP="000D6681">
            <w:pPr>
              <w:adjustRightInd w:val="0"/>
              <w:snapToGrid w:val="0"/>
              <w:rPr>
                <w:rFonts w:ascii="Times New Roman" w:hAnsi="Times New Roman" w:cs="Times New Roman"/>
                <w:sz w:val="18"/>
                <w:szCs w:val="18"/>
              </w:rPr>
            </w:pPr>
          </w:p>
        </w:tc>
        <w:tc>
          <w:tcPr>
            <w:tcW w:w="1335" w:type="dxa"/>
            <w:tcBorders>
              <w:top w:val="single" w:sz="4" w:space="0" w:color="auto"/>
              <w:bottom w:val="dotted" w:sz="4" w:space="0" w:color="auto"/>
            </w:tcBorders>
            <w:shd w:val="clear" w:color="auto" w:fill="auto"/>
            <w:noWrap/>
            <w:hideMark/>
          </w:tcPr>
          <w:p w14:paraId="22B047BC" w14:textId="77777777" w:rsidR="000D6681" w:rsidRPr="00AD61C8" w:rsidRDefault="000D6681" w:rsidP="000D6681">
            <w:pPr>
              <w:adjustRightInd w:val="0"/>
              <w:snapToGrid w:val="0"/>
              <w:rPr>
                <w:rFonts w:ascii="Times New Roman" w:hAnsi="Times New Roman" w:cs="Times New Roman"/>
                <w:sz w:val="18"/>
                <w:szCs w:val="18"/>
              </w:rPr>
            </w:pPr>
          </w:p>
        </w:tc>
        <w:tc>
          <w:tcPr>
            <w:tcW w:w="1488" w:type="dxa"/>
            <w:tcBorders>
              <w:top w:val="single" w:sz="4" w:space="0" w:color="auto"/>
              <w:bottom w:val="dotted" w:sz="4" w:space="0" w:color="auto"/>
            </w:tcBorders>
            <w:shd w:val="clear" w:color="auto" w:fill="auto"/>
            <w:noWrap/>
            <w:hideMark/>
          </w:tcPr>
          <w:p w14:paraId="5FBCB9AF"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single" w:sz="4" w:space="0" w:color="auto"/>
              <w:bottom w:val="dotted" w:sz="4" w:space="0" w:color="auto"/>
            </w:tcBorders>
          </w:tcPr>
          <w:p w14:paraId="5E83B7BD"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single" w:sz="4" w:space="0" w:color="auto"/>
              <w:bottom w:val="dotted" w:sz="4" w:space="0" w:color="auto"/>
            </w:tcBorders>
          </w:tcPr>
          <w:p w14:paraId="753994F2"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single" w:sz="4" w:space="0" w:color="auto"/>
              <w:bottom w:val="dotted" w:sz="4" w:space="0" w:color="auto"/>
            </w:tcBorders>
          </w:tcPr>
          <w:p w14:paraId="451F2A9D" w14:textId="0B7A1B71"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578A7C77" w14:textId="77777777" w:rsidTr="006B7319">
        <w:trPr>
          <w:gridAfter w:val="1"/>
          <w:wAfter w:w="24" w:type="dxa"/>
          <w:trHeight w:val="211"/>
        </w:trPr>
        <w:tc>
          <w:tcPr>
            <w:tcW w:w="2790" w:type="dxa"/>
            <w:tcBorders>
              <w:top w:val="single" w:sz="4" w:space="0" w:color="auto"/>
              <w:bottom w:val="dotted" w:sz="4" w:space="0" w:color="auto"/>
            </w:tcBorders>
            <w:shd w:val="clear" w:color="auto" w:fill="auto"/>
            <w:noWrap/>
            <w:vAlign w:val="bottom"/>
          </w:tcPr>
          <w:p w14:paraId="4B812094"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Uncertainty around health states</w:t>
            </w:r>
          </w:p>
        </w:tc>
        <w:tc>
          <w:tcPr>
            <w:tcW w:w="1366" w:type="dxa"/>
            <w:tcBorders>
              <w:top w:val="single" w:sz="4" w:space="0" w:color="auto"/>
              <w:bottom w:val="dotted" w:sz="4" w:space="0" w:color="auto"/>
            </w:tcBorders>
          </w:tcPr>
          <w:p w14:paraId="75CFEF12"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0.071 </w:t>
            </w:r>
          </w:p>
          <w:p w14:paraId="33CB99D2" w14:textId="45138298"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single" w:sz="4" w:space="0" w:color="auto"/>
              <w:bottom w:val="dotted" w:sz="4" w:space="0" w:color="auto"/>
            </w:tcBorders>
            <w:shd w:val="clear" w:color="auto" w:fill="auto"/>
            <w:noWrap/>
          </w:tcPr>
          <w:p w14:paraId="24D8CEC7" w14:textId="6E4ECA93" w:rsidR="000D6681" w:rsidRP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708" w:type="dxa"/>
            <w:tcBorders>
              <w:top w:val="single" w:sz="4" w:space="0" w:color="auto"/>
              <w:bottom w:val="dotted" w:sz="4" w:space="0" w:color="auto"/>
            </w:tcBorders>
            <w:shd w:val="clear" w:color="auto" w:fill="auto"/>
            <w:noWrap/>
          </w:tcPr>
          <w:p w14:paraId="2C8178B1" w14:textId="77777777" w:rsidR="000D6681" w:rsidRPr="00AD61C8" w:rsidRDefault="000D6681" w:rsidP="000D6681">
            <w:pPr>
              <w:adjustRightInd w:val="0"/>
              <w:snapToGrid w:val="0"/>
              <w:rPr>
                <w:rFonts w:ascii="Times New Roman" w:hAnsi="Times New Roman" w:cs="Times New Roman"/>
                <w:sz w:val="18"/>
                <w:szCs w:val="18"/>
              </w:rPr>
            </w:pPr>
          </w:p>
        </w:tc>
        <w:tc>
          <w:tcPr>
            <w:tcW w:w="1795" w:type="dxa"/>
            <w:tcBorders>
              <w:top w:val="single" w:sz="4" w:space="0" w:color="auto"/>
              <w:bottom w:val="dotted" w:sz="4" w:space="0" w:color="auto"/>
            </w:tcBorders>
            <w:shd w:val="clear" w:color="auto" w:fill="auto"/>
            <w:noWrap/>
          </w:tcPr>
          <w:p w14:paraId="7DFFF451" w14:textId="77777777" w:rsidR="000D6681" w:rsidRPr="00AD61C8" w:rsidRDefault="000D6681" w:rsidP="000D6681">
            <w:pPr>
              <w:adjustRightInd w:val="0"/>
              <w:snapToGrid w:val="0"/>
              <w:rPr>
                <w:rFonts w:ascii="Times New Roman" w:hAnsi="Times New Roman" w:cs="Times New Roman"/>
                <w:sz w:val="18"/>
                <w:szCs w:val="18"/>
              </w:rPr>
            </w:pPr>
          </w:p>
        </w:tc>
        <w:tc>
          <w:tcPr>
            <w:tcW w:w="1186" w:type="dxa"/>
            <w:tcBorders>
              <w:top w:val="single" w:sz="4" w:space="0" w:color="auto"/>
              <w:bottom w:val="dotted" w:sz="4" w:space="0" w:color="auto"/>
            </w:tcBorders>
            <w:shd w:val="clear" w:color="auto" w:fill="auto"/>
            <w:noWrap/>
          </w:tcPr>
          <w:p w14:paraId="5F4CB558" w14:textId="77777777" w:rsidR="000D6681" w:rsidRPr="00AD61C8" w:rsidRDefault="000D6681" w:rsidP="000D6681">
            <w:pPr>
              <w:adjustRightInd w:val="0"/>
              <w:snapToGrid w:val="0"/>
              <w:rPr>
                <w:rFonts w:ascii="Times New Roman" w:hAnsi="Times New Roman" w:cs="Times New Roman"/>
                <w:sz w:val="18"/>
                <w:szCs w:val="18"/>
              </w:rPr>
            </w:pPr>
          </w:p>
        </w:tc>
        <w:tc>
          <w:tcPr>
            <w:tcW w:w="1335" w:type="dxa"/>
            <w:tcBorders>
              <w:top w:val="single" w:sz="4" w:space="0" w:color="auto"/>
              <w:bottom w:val="dotted" w:sz="4" w:space="0" w:color="auto"/>
            </w:tcBorders>
            <w:shd w:val="clear" w:color="auto" w:fill="auto"/>
            <w:noWrap/>
          </w:tcPr>
          <w:p w14:paraId="1CD5DCCB" w14:textId="77777777" w:rsidR="000D6681" w:rsidRPr="00AD61C8" w:rsidRDefault="000D6681" w:rsidP="000D6681">
            <w:pPr>
              <w:adjustRightInd w:val="0"/>
              <w:snapToGrid w:val="0"/>
              <w:rPr>
                <w:rFonts w:ascii="Times New Roman" w:hAnsi="Times New Roman" w:cs="Times New Roman"/>
                <w:sz w:val="18"/>
                <w:szCs w:val="18"/>
              </w:rPr>
            </w:pPr>
          </w:p>
        </w:tc>
        <w:tc>
          <w:tcPr>
            <w:tcW w:w="1488" w:type="dxa"/>
            <w:tcBorders>
              <w:top w:val="single" w:sz="4" w:space="0" w:color="auto"/>
              <w:bottom w:val="dotted" w:sz="4" w:space="0" w:color="auto"/>
            </w:tcBorders>
            <w:shd w:val="clear" w:color="auto" w:fill="auto"/>
            <w:noWrap/>
          </w:tcPr>
          <w:p w14:paraId="538419D5"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single" w:sz="4" w:space="0" w:color="auto"/>
              <w:bottom w:val="dotted" w:sz="4" w:space="0" w:color="auto"/>
            </w:tcBorders>
          </w:tcPr>
          <w:p w14:paraId="268C9EDA"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single" w:sz="4" w:space="0" w:color="auto"/>
              <w:bottom w:val="dotted" w:sz="4" w:space="0" w:color="auto"/>
            </w:tcBorders>
          </w:tcPr>
          <w:p w14:paraId="3AD891D6"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single" w:sz="4" w:space="0" w:color="auto"/>
              <w:bottom w:val="dotted" w:sz="4" w:space="0" w:color="auto"/>
            </w:tcBorders>
          </w:tcPr>
          <w:p w14:paraId="73804331" w14:textId="667B7C2A"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2AF60725" w14:textId="77777777" w:rsidTr="006B7319">
        <w:trPr>
          <w:gridAfter w:val="1"/>
          <w:wAfter w:w="24" w:type="dxa"/>
          <w:trHeight w:val="211"/>
        </w:trPr>
        <w:tc>
          <w:tcPr>
            <w:tcW w:w="2790" w:type="dxa"/>
            <w:tcBorders>
              <w:top w:val="dotted" w:sz="4" w:space="0" w:color="auto"/>
              <w:bottom w:val="dotted" w:sz="4" w:space="0" w:color="auto"/>
            </w:tcBorders>
            <w:shd w:val="clear" w:color="auto" w:fill="auto"/>
            <w:noWrap/>
            <w:vAlign w:val="bottom"/>
            <w:hideMark/>
          </w:tcPr>
          <w:p w14:paraId="60F41A4E"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 surrogate relationship between surrogate outcome and clinical endpoint</w:t>
            </w:r>
          </w:p>
        </w:tc>
        <w:tc>
          <w:tcPr>
            <w:tcW w:w="1366" w:type="dxa"/>
            <w:tcBorders>
              <w:top w:val="dotted" w:sz="4" w:space="0" w:color="auto"/>
              <w:bottom w:val="dotted" w:sz="4" w:space="0" w:color="auto"/>
            </w:tcBorders>
          </w:tcPr>
          <w:p w14:paraId="631D5584"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0.045 </w:t>
            </w:r>
          </w:p>
          <w:p w14:paraId="0FA21342" w14:textId="776689AF"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06B419E5"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0.148 </w:t>
            </w:r>
          </w:p>
          <w:p w14:paraId="57C97430" w14:textId="65D7962E"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(0.993)</w:t>
            </w:r>
          </w:p>
        </w:tc>
        <w:tc>
          <w:tcPr>
            <w:tcW w:w="1708" w:type="dxa"/>
            <w:tcBorders>
              <w:top w:val="dotted" w:sz="4" w:space="0" w:color="auto"/>
              <w:bottom w:val="dotted" w:sz="4" w:space="0" w:color="auto"/>
            </w:tcBorders>
            <w:shd w:val="clear" w:color="auto" w:fill="auto"/>
            <w:noWrap/>
            <w:hideMark/>
          </w:tcPr>
          <w:p w14:paraId="667B2B87" w14:textId="65CAE8AA" w:rsidR="000D6681" w:rsidRPr="00AD61C8"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795" w:type="dxa"/>
            <w:tcBorders>
              <w:top w:val="dotted" w:sz="4" w:space="0" w:color="auto"/>
              <w:bottom w:val="dotted" w:sz="4" w:space="0" w:color="auto"/>
            </w:tcBorders>
            <w:shd w:val="clear" w:color="auto" w:fill="auto"/>
            <w:noWrap/>
            <w:hideMark/>
          </w:tcPr>
          <w:p w14:paraId="1E41CEEF" w14:textId="77777777" w:rsidR="000D6681" w:rsidRPr="00AD61C8" w:rsidRDefault="000D6681" w:rsidP="000D6681">
            <w:pPr>
              <w:adjustRightInd w:val="0"/>
              <w:snapToGrid w:val="0"/>
              <w:rPr>
                <w:rFonts w:ascii="Times New Roman" w:hAnsi="Times New Roman" w:cs="Times New Roman"/>
                <w:sz w:val="18"/>
                <w:szCs w:val="18"/>
              </w:rPr>
            </w:pPr>
          </w:p>
        </w:tc>
        <w:tc>
          <w:tcPr>
            <w:tcW w:w="1186" w:type="dxa"/>
            <w:tcBorders>
              <w:top w:val="dotted" w:sz="4" w:space="0" w:color="auto"/>
              <w:bottom w:val="dotted" w:sz="4" w:space="0" w:color="auto"/>
            </w:tcBorders>
            <w:shd w:val="clear" w:color="auto" w:fill="auto"/>
            <w:noWrap/>
            <w:hideMark/>
          </w:tcPr>
          <w:p w14:paraId="5DAC6816" w14:textId="77777777" w:rsidR="000D6681" w:rsidRPr="00AD61C8" w:rsidRDefault="000D6681" w:rsidP="000D6681">
            <w:pPr>
              <w:adjustRightInd w:val="0"/>
              <w:snapToGrid w:val="0"/>
              <w:rPr>
                <w:rFonts w:ascii="Times New Roman" w:hAnsi="Times New Roman" w:cs="Times New Roman"/>
                <w:sz w:val="18"/>
                <w:szCs w:val="18"/>
              </w:rPr>
            </w:pPr>
          </w:p>
        </w:tc>
        <w:tc>
          <w:tcPr>
            <w:tcW w:w="1335" w:type="dxa"/>
            <w:tcBorders>
              <w:top w:val="dotted" w:sz="4" w:space="0" w:color="auto"/>
              <w:bottom w:val="dotted" w:sz="4" w:space="0" w:color="auto"/>
            </w:tcBorders>
            <w:shd w:val="clear" w:color="auto" w:fill="auto"/>
            <w:noWrap/>
            <w:hideMark/>
          </w:tcPr>
          <w:p w14:paraId="3A21F5D9" w14:textId="77777777" w:rsidR="000D6681" w:rsidRPr="00AD61C8" w:rsidRDefault="000D6681" w:rsidP="000D6681">
            <w:pPr>
              <w:adjustRightInd w:val="0"/>
              <w:snapToGrid w:val="0"/>
              <w:rPr>
                <w:rFonts w:ascii="Times New Roman" w:hAnsi="Times New Roman" w:cs="Times New Roman"/>
                <w:sz w:val="18"/>
                <w:szCs w:val="18"/>
              </w:rPr>
            </w:pPr>
          </w:p>
        </w:tc>
        <w:tc>
          <w:tcPr>
            <w:tcW w:w="1488" w:type="dxa"/>
            <w:tcBorders>
              <w:top w:val="dotted" w:sz="4" w:space="0" w:color="auto"/>
              <w:bottom w:val="dotted" w:sz="4" w:space="0" w:color="auto"/>
            </w:tcBorders>
            <w:shd w:val="clear" w:color="auto" w:fill="auto"/>
            <w:noWrap/>
            <w:hideMark/>
          </w:tcPr>
          <w:p w14:paraId="43E16837"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dotted" w:sz="4" w:space="0" w:color="auto"/>
              <w:bottom w:val="dotted" w:sz="4" w:space="0" w:color="auto"/>
            </w:tcBorders>
          </w:tcPr>
          <w:p w14:paraId="3126E957"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dotted" w:sz="4" w:space="0" w:color="auto"/>
              <w:bottom w:val="dotted" w:sz="4" w:space="0" w:color="auto"/>
            </w:tcBorders>
          </w:tcPr>
          <w:p w14:paraId="343DBB08"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5E13439D" w14:textId="2A57475A"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46A7ACA2" w14:textId="77777777" w:rsidTr="006B7319">
        <w:trPr>
          <w:gridAfter w:val="1"/>
          <w:wAfter w:w="24" w:type="dxa"/>
          <w:trHeight w:val="211"/>
        </w:trPr>
        <w:tc>
          <w:tcPr>
            <w:tcW w:w="2790" w:type="dxa"/>
            <w:tcBorders>
              <w:top w:val="dotted" w:sz="4" w:space="0" w:color="auto"/>
              <w:bottom w:val="dotted" w:sz="4" w:space="0" w:color="auto"/>
            </w:tcBorders>
            <w:shd w:val="clear" w:color="auto" w:fill="auto"/>
            <w:vAlign w:val="center"/>
            <w:hideMark/>
          </w:tcPr>
          <w:p w14:paraId="5E19CE74"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Unjustified assumption on the direction or frequency of patients' transitions between health states</w:t>
            </w:r>
          </w:p>
        </w:tc>
        <w:tc>
          <w:tcPr>
            <w:tcW w:w="1366" w:type="dxa"/>
            <w:tcBorders>
              <w:top w:val="dotted" w:sz="4" w:space="0" w:color="auto"/>
              <w:bottom w:val="dotted" w:sz="4" w:space="0" w:color="auto"/>
            </w:tcBorders>
          </w:tcPr>
          <w:p w14:paraId="6D75B180"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0.052 </w:t>
            </w:r>
          </w:p>
          <w:p w14:paraId="1F123114" w14:textId="57276034"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463A1D03" w14:textId="77777777" w:rsidR="001A67E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0.219</w:t>
            </w:r>
          </w:p>
          <w:p w14:paraId="17F18630" w14:textId="02844A7D" w:rsidR="000D668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(0.256)</w:t>
            </w:r>
            <w:r w:rsidR="000D6681" w:rsidRPr="00AD61C8">
              <w:rPr>
                <w:rFonts w:ascii="Times New Roman" w:hAnsi="Times New Roman" w:cs="Times New Roman"/>
                <w:sz w:val="18"/>
                <w:szCs w:val="18"/>
              </w:rPr>
              <w:t xml:space="preserve"> </w:t>
            </w:r>
          </w:p>
        </w:tc>
        <w:tc>
          <w:tcPr>
            <w:tcW w:w="1708" w:type="dxa"/>
            <w:tcBorders>
              <w:top w:val="dotted" w:sz="4" w:space="0" w:color="auto"/>
              <w:bottom w:val="dotted" w:sz="4" w:space="0" w:color="auto"/>
            </w:tcBorders>
            <w:shd w:val="clear" w:color="auto" w:fill="auto"/>
            <w:noWrap/>
          </w:tcPr>
          <w:p w14:paraId="7C39D172"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0.182 </w:t>
            </w:r>
          </w:p>
          <w:p w14:paraId="27B5A293" w14:textId="54C43A42"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(0.757)</w:t>
            </w:r>
          </w:p>
        </w:tc>
        <w:tc>
          <w:tcPr>
            <w:tcW w:w="1795" w:type="dxa"/>
            <w:tcBorders>
              <w:top w:val="dotted" w:sz="4" w:space="0" w:color="auto"/>
              <w:bottom w:val="dotted" w:sz="4" w:space="0" w:color="auto"/>
            </w:tcBorders>
            <w:shd w:val="clear" w:color="auto" w:fill="auto"/>
            <w:noWrap/>
            <w:hideMark/>
          </w:tcPr>
          <w:p w14:paraId="7E2AB1A6" w14:textId="245C7C50" w:rsidR="000D6681" w:rsidRPr="00AD61C8"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186" w:type="dxa"/>
            <w:tcBorders>
              <w:top w:val="dotted" w:sz="4" w:space="0" w:color="auto"/>
              <w:bottom w:val="dotted" w:sz="4" w:space="0" w:color="auto"/>
            </w:tcBorders>
            <w:shd w:val="clear" w:color="auto" w:fill="auto"/>
            <w:noWrap/>
            <w:hideMark/>
          </w:tcPr>
          <w:p w14:paraId="46EE1BC0" w14:textId="77777777" w:rsidR="000D6681" w:rsidRPr="00AD61C8" w:rsidRDefault="000D6681" w:rsidP="000D6681">
            <w:pPr>
              <w:adjustRightInd w:val="0"/>
              <w:snapToGrid w:val="0"/>
              <w:rPr>
                <w:rFonts w:ascii="Times New Roman" w:hAnsi="Times New Roman" w:cs="Times New Roman"/>
                <w:sz w:val="18"/>
                <w:szCs w:val="18"/>
              </w:rPr>
            </w:pPr>
          </w:p>
        </w:tc>
        <w:tc>
          <w:tcPr>
            <w:tcW w:w="1335" w:type="dxa"/>
            <w:tcBorders>
              <w:top w:val="dotted" w:sz="4" w:space="0" w:color="auto"/>
              <w:bottom w:val="dotted" w:sz="4" w:space="0" w:color="auto"/>
            </w:tcBorders>
            <w:shd w:val="clear" w:color="auto" w:fill="auto"/>
            <w:noWrap/>
            <w:hideMark/>
          </w:tcPr>
          <w:p w14:paraId="37AB64B3" w14:textId="77777777" w:rsidR="000D6681" w:rsidRPr="00AD61C8" w:rsidRDefault="000D6681" w:rsidP="000D6681">
            <w:pPr>
              <w:adjustRightInd w:val="0"/>
              <w:snapToGrid w:val="0"/>
              <w:rPr>
                <w:rFonts w:ascii="Times New Roman" w:hAnsi="Times New Roman" w:cs="Times New Roman"/>
                <w:sz w:val="18"/>
                <w:szCs w:val="18"/>
              </w:rPr>
            </w:pPr>
          </w:p>
        </w:tc>
        <w:tc>
          <w:tcPr>
            <w:tcW w:w="1488" w:type="dxa"/>
            <w:tcBorders>
              <w:top w:val="dotted" w:sz="4" w:space="0" w:color="auto"/>
              <w:bottom w:val="dotted" w:sz="4" w:space="0" w:color="auto"/>
            </w:tcBorders>
            <w:shd w:val="clear" w:color="auto" w:fill="auto"/>
            <w:noWrap/>
            <w:hideMark/>
          </w:tcPr>
          <w:p w14:paraId="4542F999"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dotted" w:sz="4" w:space="0" w:color="auto"/>
              <w:bottom w:val="dotted" w:sz="4" w:space="0" w:color="auto"/>
            </w:tcBorders>
          </w:tcPr>
          <w:p w14:paraId="4FEC3330"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dotted" w:sz="4" w:space="0" w:color="auto"/>
              <w:bottom w:val="dotted" w:sz="4" w:space="0" w:color="auto"/>
            </w:tcBorders>
          </w:tcPr>
          <w:p w14:paraId="2E5B8FAD"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57A44703" w14:textId="71591757"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4BBB89D6" w14:textId="77777777" w:rsidTr="006B7319">
        <w:trPr>
          <w:gridAfter w:val="1"/>
          <w:wAfter w:w="24" w:type="dxa"/>
          <w:trHeight w:val="211"/>
        </w:trPr>
        <w:tc>
          <w:tcPr>
            <w:tcW w:w="2790" w:type="dxa"/>
            <w:tcBorders>
              <w:top w:val="dotted" w:sz="4" w:space="0" w:color="auto"/>
              <w:bottom w:val="dotted" w:sz="4" w:space="0" w:color="auto"/>
            </w:tcBorders>
            <w:shd w:val="clear" w:color="auto" w:fill="auto"/>
            <w:noWrap/>
            <w:vAlign w:val="bottom"/>
            <w:hideMark/>
          </w:tcPr>
          <w:p w14:paraId="620801C8"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Inappropriate time horizon</w:t>
            </w:r>
          </w:p>
        </w:tc>
        <w:tc>
          <w:tcPr>
            <w:tcW w:w="1366" w:type="dxa"/>
            <w:tcBorders>
              <w:top w:val="dotted" w:sz="4" w:space="0" w:color="auto"/>
              <w:bottom w:val="dotted" w:sz="4" w:space="0" w:color="auto"/>
            </w:tcBorders>
          </w:tcPr>
          <w:p w14:paraId="040D25DD"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0.207 </w:t>
            </w:r>
          </w:p>
          <w:p w14:paraId="68394C44" w14:textId="1D97E2B9"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(0.400)</w:t>
            </w:r>
          </w:p>
        </w:tc>
        <w:tc>
          <w:tcPr>
            <w:tcW w:w="1066" w:type="dxa"/>
            <w:tcBorders>
              <w:top w:val="dotted" w:sz="4" w:space="0" w:color="auto"/>
              <w:bottom w:val="dotted" w:sz="4" w:space="0" w:color="auto"/>
            </w:tcBorders>
            <w:shd w:val="clear" w:color="auto" w:fill="auto"/>
            <w:noWrap/>
            <w:hideMark/>
          </w:tcPr>
          <w:p w14:paraId="799BE3D5"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-0.018 </w:t>
            </w:r>
          </w:p>
          <w:p w14:paraId="792FBB25" w14:textId="6C80541E"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08" w:type="dxa"/>
            <w:tcBorders>
              <w:top w:val="dotted" w:sz="4" w:space="0" w:color="auto"/>
              <w:bottom w:val="dotted" w:sz="4" w:space="0" w:color="auto"/>
            </w:tcBorders>
            <w:shd w:val="clear" w:color="auto" w:fill="auto"/>
            <w:noWrap/>
          </w:tcPr>
          <w:p w14:paraId="2284DFC8"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-0.084 </w:t>
            </w:r>
          </w:p>
          <w:p w14:paraId="372B709B" w14:textId="5E89CD07"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95" w:type="dxa"/>
            <w:tcBorders>
              <w:top w:val="dotted" w:sz="4" w:space="0" w:color="auto"/>
              <w:bottom w:val="dotted" w:sz="4" w:space="0" w:color="auto"/>
            </w:tcBorders>
            <w:shd w:val="clear" w:color="auto" w:fill="auto"/>
            <w:noWrap/>
            <w:hideMark/>
          </w:tcPr>
          <w:p w14:paraId="6A5832F1"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0.018 </w:t>
            </w:r>
          </w:p>
          <w:p w14:paraId="188BAF05" w14:textId="54A7382B"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86" w:type="dxa"/>
            <w:tcBorders>
              <w:top w:val="dotted" w:sz="4" w:space="0" w:color="auto"/>
              <w:bottom w:val="dotted" w:sz="4" w:space="0" w:color="auto"/>
            </w:tcBorders>
            <w:shd w:val="clear" w:color="auto" w:fill="auto"/>
            <w:noWrap/>
            <w:hideMark/>
          </w:tcPr>
          <w:p w14:paraId="41C61BF2" w14:textId="27811D4A" w:rsidR="000D6681" w:rsidRPr="00AD61C8"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335" w:type="dxa"/>
            <w:tcBorders>
              <w:top w:val="dotted" w:sz="4" w:space="0" w:color="auto"/>
              <w:bottom w:val="dotted" w:sz="4" w:space="0" w:color="auto"/>
            </w:tcBorders>
            <w:shd w:val="clear" w:color="auto" w:fill="auto"/>
            <w:noWrap/>
            <w:hideMark/>
          </w:tcPr>
          <w:p w14:paraId="682AF78A" w14:textId="77777777" w:rsidR="000D6681" w:rsidRPr="00AD61C8" w:rsidRDefault="000D6681" w:rsidP="000D6681">
            <w:pPr>
              <w:adjustRightInd w:val="0"/>
              <w:snapToGrid w:val="0"/>
              <w:rPr>
                <w:rFonts w:ascii="Times New Roman" w:hAnsi="Times New Roman" w:cs="Times New Roman"/>
                <w:sz w:val="18"/>
                <w:szCs w:val="18"/>
              </w:rPr>
            </w:pPr>
          </w:p>
        </w:tc>
        <w:tc>
          <w:tcPr>
            <w:tcW w:w="1488" w:type="dxa"/>
            <w:tcBorders>
              <w:top w:val="dotted" w:sz="4" w:space="0" w:color="auto"/>
              <w:bottom w:val="dotted" w:sz="4" w:space="0" w:color="auto"/>
            </w:tcBorders>
            <w:shd w:val="clear" w:color="auto" w:fill="auto"/>
            <w:noWrap/>
            <w:hideMark/>
          </w:tcPr>
          <w:p w14:paraId="53676729"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dotted" w:sz="4" w:space="0" w:color="auto"/>
              <w:bottom w:val="dotted" w:sz="4" w:space="0" w:color="auto"/>
            </w:tcBorders>
          </w:tcPr>
          <w:p w14:paraId="0B7EDA5D"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dotted" w:sz="4" w:space="0" w:color="auto"/>
              <w:bottom w:val="dotted" w:sz="4" w:space="0" w:color="auto"/>
            </w:tcBorders>
          </w:tcPr>
          <w:p w14:paraId="3B815C0A"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04FF9D6C" w14:textId="01E16809"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12FD58F5" w14:textId="77777777" w:rsidTr="006B7319">
        <w:trPr>
          <w:gridAfter w:val="1"/>
          <w:wAfter w:w="24" w:type="dxa"/>
          <w:trHeight w:val="211"/>
        </w:trPr>
        <w:tc>
          <w:tcPr>
            <w:tcW w:w="2790" w:type="dxa"/>
            <w:tcBorders>
              <w:top w:val="dotted" w:sz="4" w:space="0" w:color="auto"/>
              <w:bottom w:val="dotted" w:sz="4" w:space="0" w:color="auto"/>
            </w:tcBorders>
            <w:shd w:val="clear" w:color="auto" w:fill="auto"/>
            <w:noWrap/>
            <w:vAlign w:val="bottom"/>
            <w:hideMark/>
          </w:tcPr>
          <w:p w14:paraId="71FAC091" w14:textId="77777777" w:rsidR="000D6681" w:rsidRPr="00C15362" w:rsidRDefault="000D6681" w:rsidP="000D6681">
            <w:pPr>
              <w:adjustRightInd w:val="0"/>
              <w:snapToGrid w:val="0"/>
              <w:rPr>
                <w:rFonts w:ascii="Times New Roman" w:hAnsi="Times New Roman" w:cs="Times New Roman"/>
                <w:sz w:val="18"/>
                <w:szCs w:val="18"/>
                <w:lang w:val="en-AU"/>
              </w:rPr>
            </w:pPr>
            <w:r w:rsidRPr="00C15362">
              <w:rPr>
                <w:rFonts w:ascii="Times New Roman" w:hAnsi="Times New Roman" w:cs="Times New Roman"/>
                <w:sz w:val="18"/>
                <w:szCs w:val="18"/>
                <w:lang w:val="en-AU"/>
              </w:rPr>
              <w:t>Unjustified relationship between time and transition probabilities or treatment effect</w:t>
            </w:r>
          </w:p>
        </w:tc>
        <w:tc>
          <w:tcPr>
            <w:tcW w:w="1366" w:type="dxa"/>
            <w:tcBorders>
              <w:top w:val="dotted" w:sz="4" w:space="0" w:color="auto"/>
              <w:bottom w:val="dotted" w:sz="4" w:space="0" w:color="auto"/>
            </w:tcBorders>
          </w:tcPr>
          <w:p w14:paraId="01EE5728"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0.047 </w:t>
            </w:r>
          </w:p>
          <w:p w14:paraId="3BBA6466" w14:textId="2F924032"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0802D926"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0.188 </w:t>
            </w:r>
          </w:p>
          <w:p w14:paraId="78AA8248" w14:textId="5AC6BC96"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(0.672)</w:t>
            </w:r>
          </w:p>
        </w:tc>
        <w:tc>
          <w:tcPr>
            <w:tcW w:w="1708" w:type="dxa"/>
            <w:tcBorders>
              <w:top w:val="dotted" w:sz="4" w:space="0" w:color="auto"/>
              <w:bottom w:val="dotted" w:sz="4" w:space="0" w:color="auto"/>
            </w:tcBorders>
            <w:shd w:val="clear" w:color="auto" w:fill="auto"/>
            <w:noWrap/>
          </w:tcPr>
          <w:p w14:paraId="7CB4BB13"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0.184 </w:t>
            </w:r>
          </w:p>
          <w:p w14:paraId="4054ED35" w14:textId="4476CA24"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(0.734)</w:t>
            </w:r>
          </w:p>
        </w:tc>
        <w:tc>
          <w:tcPr>
            <w:tcW w:w="1795" w:type="dxa"/>
            <w:tcBorders>
              <w:top w:val="dotted" w:sz="4" w:space="0" w:color="auto"/>
              <w:bottom w:val="dotted" w:sz="4" w:space="0" w:color="auto"/>
            </w:tcBorders>
            <w:shd w:val="clear" w:color="auto" w:fill="auto"/>
            <w:noWrap/>
            <w:hideMark/>
          </w:tcPr>
          <w:p w14:paraId="52C6CDE2"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0.170 </w:t>
            </w:r>
          </w:p>
          <w:p w14:paraId="151CD735" w14:textId="4E72C1C3"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(0.893)</w:t>
            </w:r>
          </w:p>
        </w:tc>
        <w:tc>
          <w:tcPr>
            <w:tcW w:w="1186" w:type="dxa"/>
            <w:tcBorders>
              <w:top w:val="dotted" w:sz="4" w:space="0" w:color="auto"/>
              <w:bottom w:val="dotted" w:sz="4" w:space="0" w:color="auto"/>
            </w:tcBorders>
            <w:shd w:val="clear" w:color="auto" w:fill="auto"/>
            <w:noWrap/>
            <w:hideMark/>
          </w:tcPr>
          <w:p w14:paraId="07085F84"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0.119 </w:t>
            </w:r>
          </w:p>
          <w:p w14:paraId="0E78D4A3" w14:textId="67450AF1"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335" w:type="dxa"/>
            <w:tcBorders>
              <w:top w:val="dotted" w:sz="4" w:space="0" w:color="auto"/>
              <w:bottom w:val="dotted" w:sz="4" w:space="0" w:color="auto"/>
            </w:tcBorders>
            <w:shd w:val="clear" w:color="auto" w:fill="auto"/>
            <w:noWrap/>
            <w:hideMark/>
          </w:tcPr>
          <w:p w14:paraId="4C823686" w14:textId="6891E81A" w:rsidR="000D6681" w:rsidRPr="00AD61C8"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488" w:type="dxa"/>
            <w:tcBorders>
              <w:top w:val="dotted" w:sz="4" w:space="0" w:color="auto"/>
              <w:bottom w:val="dotted" w:sz="4" w:space="0" w:color="auto"/>
            </w:tcBorders>
            <w:shd w:val="clear" w:color="auto" w:fill="auto"/>
            <w:noWrap/>
            <w:hideMark/>
          </w:tcPr>
          <w:p w14:paraId="3A728D32" w14:textId="77777777" w:rsidR="000D6681" w:rsidRPr="00AD61C8" w:rsidRDefault="000D6681" w:rsidP="000D6681">
            <w:pPr>
              <w:adjustRightInd w:val="0"/>
              <w:snapToGrid w:val="0"/>
              <w:rPr>
                <w:rFonts w:ascii="Times New Roman" w:hAnsi="Times New Roman" w:cs="Times New Roman"/>
                <w:sz w:val="18"/>
                <w:szCs w:val="18"/>
              </w:rPr>
            </w:pPr>
          </w:p>
        </w:tc>
        <w:tc>
          <w:tcPr>
            <w:tcW w:w="1260" w:type="dxa"/>
            <w:tcBorders>
              <w:top w:val="dotted" w:sz="4" w:space="0" w:color="auto"/>
              <w:bottom w:val="dotted" w:sz="4" w:space="0" w:color="auto"/>
            </w:tcBorders>
          </w:tcPr>
          <w:p w14:paraId="26B4970E" w14:textId="77777777" w:rsidR="000D6681" w:rsidRPr="00AD61C8" w:rsidRDefault="000D6681" w:rsidP="000D6681">
            <w:pPr>
              <w:adjustRightInd w:val="0"/>
              <w:snapToGrid w:val="0"/>
              <w:rPr>
                <w:rFonts w:ascii="Times New Roman" w:hAnsi="Times New Roman" w:cs="Times New Roman"/>
                <w:sz w:val="18"/>
                <w:szCs w:val="18"/>
              </w:rPr>
            </w:pPr>
          </w:p>
        </w:tc>
        <w:tc>
          <w:tcPr>
            <w:tcW w:w="1161" w:type="dxa"/>
            <w:tcBorders>
              <w:top w:val="dotted" w:sz="4" w:space="0" w:color="auto"/>
              <w:bottom w:val="dotted" w:sz="4" w:space="0" w:color="auto"/>
            </w:tcBorders>
          </w:tcPr>
          <w:p w14:paraId="32B178A9" w14:textId="77777777" w:rsidR="000D6681" w:rsidRPr="00AD61C8"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489BAD83" w14:textId="3F60C576" w:rsidR="000D6681" w:rsidRPr="002D36A2" w:rsidRDefault="000D6681" w:rsidP="000D6681">
            <w:pPr>
              <w:adjustRightInd w:val="0"/>
              <w:snapToGrid w:val="0"/>
              <w:rPr>
                <w:rFonts w:ascii="Times New Roman" w:hAnsi="Times New Roman" w:cs="Times New Roman"/>
                <w:sz w:val="18"/>
                <w:szCs w:val="18"/>
                <w:lang w:val="en-AU"/>
              </w:rPr>
            </w:pPr>
          </w:p>
        </w:tc>
      </w:tr>
      <w:tr w:rsidR="000D6681" w:rsidRPr="002D36A2" w14:paraId="1347AE23" w14:textId="77777777" w:rsidTr="006B7319">
        <w:trPr>
          <w:gridAfter w:val="1"/>
          <w:wAfter w:w="24" w:type="dxa"/>
          <w:trHeight w:val="211"/>
        </w:trPr>
        <w:tc>
          <w:tcPr>
            <w:tcW w:w="2790" w:type="dxa"/>
            <w:tcBorders>
              <w:top w:val="dotted" w:sz="4" w:space="0" w:color="auto"/>
              <w:bottom w:val="dotted" w:sz="4" w:space="0" w:color="auto"/>
            </w:tcBorders>
            <w:shd w:val="clear" w:color="auto" w:fill="auto"/>
            <w:noWrap/>
            <w:vAlign w:val="bottom"/>
            <w:hideMark/>
          </w:tcPr>
          <w:p w14:paraId="1C37CB51"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t>Uncertainty in the choice of parametric survival function</w:t>
            </w:r>
          </w:p>
        </w:tc>
        <w:tc>
          <w:tcPr>
            <w:tcW w:w="1366" w:type="dxa"/>
            <w:tcBorders>
              <w:top w:val="dotted" w:sz="4" w:space="0" w:color="auto"/>
              <w:bottom w:val="dotted" w:sz="4" w:space="0" w:color="auto"/>
            </w:tcBorders>
          </w:tcPr>
          <w:p w14:paraId="44D89AFB"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0.055 </w:t>
            </w:r>
          </w:p>
          <w:p w14:paraId="237FB406" w14:textId="44BE759C" w:rsidR="001A67E1" w:rsidRPr="000D6681"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3A8DEE38" w14:textId="77777777" w:rsidR="001A67E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-0.006</w:t>
            </w:r>
          </w:p>
          <w:p w14:paraId="752A1C99" w14:textId="71F89AC8" w:rsidR="000D668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r w:rsidR="000D6681" w:rsidRPr="00AD61C8">
              <w:rPr>
                <w:rFonts w:ascii="Times New Roman" w:hAnsi="Times New Roman" w:cs="Times New Roman"/>
                <w:sz w:val="18"/>
                <w:szCs w:val="18"/>
              </w:rPr>
              <w:t xml:space="preserve"> </w:t>
            </w:r>
          </w:p>
        </w:tc>
        <w:tc>
          <w:tcPr>
            <w:tcW w:w="1708" w:type="dxa"/>
            <w:tcBorders>
              <w:top w:val="dotted" w:sz="4" w:space="0" w:color="auto"/>
              <w:bottom w:val="dotted" w:sz="4" w:space="0" w:color="auto"/>
            </w:tcBorders>
            <w:shd w:val="clear" w:color="auto" w:fill="auto"/>
            <w:noWrap/>
          </w:tcPr>
          <w:p w14:paraId="41F37FEB"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0.075 </w:t>
            </w:r>
          </w:p>
          <w:p w14:paraId="6B98124A" w14:textId="357F23A7"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95" w:type="dxa"/>
            <w:tcBorders>
              <w:top w:val="dotted" w:sz="4" w:space="0" w:color="auto"/>
              <w:bottom w:val="dotted" w:sz="4" w:space="0" w:color="auto"/>
            </w:tcBorders>
            <w:shd w:val="clear" w:color="auto" w:fill="auto"/>
            <w:noWrap/>
            <w:hideMark/>
          </w:tcPr>
          <w:p w14:paraId="0FC0FF70"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-0.203 </w:t>
            </w:r>
          </w:p>
          <w:p w14:paraId="440292B3" w14:textId="5E94991A"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(0.452)</w:t>
            </w:r>
          </w:p>
        </w:tc>
        <w:tc>
          <w:tcPr>
            <w:tcW w:w="1186" w:type="dxa"/>
            <w:tcBorders>
              <w:top w:val="dotted" w:sz="4" w:space="0" w:color="auto"/>
              <w:bottom w:val="dotted" w:sz="4" w:space="0" w:color="auto"/>
            </w:tcBorders>
            <w:shd w:val="clear" w:color="auto" w:fill="auto"/>
            <w:noWrap/>
            <w:hideMark/>
          </w:tcPr>
          <w:p w14:paraId="0EB49D54"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0.30</w:t>
            </w:r>
            <w:r w:rsidR="00616657">
              <w:rPr>
                <w:rFonts w:ascii="Times New Roman" w:hAnsi="Times New Roman" w:cs="Times New Roman" w:hint="eastAsia"/>
                <w:sz w:val="18"/>
                <w:szCs w:val="18"/>
              </w:rPr>
              <w:t>2</w:t>
            </w:r>
            <w:r w:rsidRPr="00AD61C8">
              <w:rPr>
                <w:rFonts w:ascii="Times New Roman" w:hAnsi="Times New Roman" w:cs="Times New Roman"/>
                <w:sz w:val="18"/>
                <w:szCs w:val="18"/>
              </w:rPr>
              <w:t>*</w:t>
            </w:r>
          </w:p>
          <w:p w14:paraId="31C2B392" w14:textId="3B6C0673"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(0.035)</w:t>
            </w:r>
          </w:p>
        </w:tc>
        <w:tc>
          <w:tcPr>
            <w:tcW w:w="1335" w:type="dxa"/>
            <w:tcBorders>
              <w:top w:val="dotted" w:sz="4" w:space="0" w:color="auto"/>
              <w:bottom w:val="dotted" w:sz="4" w:space="0" w:color="auto"/>
            </w:tcBorders>
            <w:shd w:val="clear" w:color="auto" w:fill="auto"/>
            <w:noWrap/>
            <w:hideMark/>
          </w:tcPr>
          <w:p w14:paraId="4D1305B8"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-0.046 </w:t>
            </w:r>
          </w:p>
          <w:p w14:paraId="156FBA03" w14:textId="6DCF3D28"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488" w:type="dxa"/>
            <w:tcBorders>
              <w:top w:val="dotted" w:sz="4" w:space="0" w:color="auto"/>
              <w:bottom w:val="dotted" w:sz="4" w:space="0" w:color="auto"/>
            </w:tcBorders>
            <w:shd w:val="clear" w:color="auto" w:fill="auto"/>
            <w:noWrap/>
            <w:hideMark/>
          </w:tcPr>
          <w:p w14:paraId="7A3FD3FC" w14:textId="42302DDD" w:rsidR="000D6681" w:rsidRPr="00AD61C8"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260" w:type="dxa"/>
            <w:tcBorders>
              <w:top w:val="dotted" w:sz="4" w:space="0" w:color="auto"/>
              <w:bottom w:val="dotted" w:sz="4" w:space="0" w:color="auto"/>
            </w:tcBorders>
          </w:tcPr>
          <w:p w14:paraId="1055DB1C" w14:textId="77777777" w:rsidR="000D6681" w:rsidRPr="000D6681" w:rsidRDefault="000D6681" w:rsidP="000D6681">
            <w:pPr>
              <w:adjustRightInd w:val="0"/>
              <w:snapToGrid w:val="0"/>
              <w:rPr>
                <w:rFonts w:ascii="Times New Roman" w:hAnsi="Times New Roman" w:cs="Times New Roman"/>
                <w:sz w:val="18"/>
                <w:szCs w:val="18"/>
              </w:rPr>
            </w:pPr>
          </w:p>
        </w:tc>
        <w:tc>
          <w:tcPr>
            <w:tcW w:w="1161" w:type="dxa"/>
            <w:tcBorders>
              <w:top w:val="dotted" w:sz="4" w:space="0" w:color="auto"/>
              <w:bottom w:val="dotted" w:sz="4" w:space="0" w:color="auto"/>
            </w:tcBorders>
          </w:tcPr>
          <w:p w14:paraId="231F16F9" w14:textId="77777777" w:rsidR="000D6681" w:rsidRPr="000D6681"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4285CA81" w14:textId="7E840F71" w:rsidR="000D6681" w:rsidRPr="00AD61C8" w:rsidRDefault="000D6681" w:rsidP="000D6681">
            <w:pPr>
              <w:adjustRightInd w:val="0"/>
              <w:snapToGrid w:val="0"/>
              <w:rPr>
                <w:rFonts w:ascii="Times New Roman" w:hAnsi="Times New Roman" w:cs="Times New Roman"/>
                <w:sz w:val="18"/>
                <w:szCs w:val="18"/>
                <w:lang w:val="en-AU"/>
              </w:rPr>
            </w:pPr>
          </w:p>
        </w:tc>
      </w:tr>
      <w:tr w:rsidR="000D6681" w:rsidRPr="002D36A2" w14:paraId="172965DA" w14:textId="20E18609" w:rsidTr="006B7319">
        <w:trPr>
          <w:gridAfter w:val="1"/>
          <w:wAfter w:w="24" w:type="dxa"/>
          <w:trHeight w:val="211"/>
        </w:trPr>
        <w:tc>
          <w:tcPr>
            <w:tcW w:w="2790" w:type="dxa"/>
            <w:tcBorders>
              <w:top w:val="dotted" w:sz="4" w:space="0" w:color="auto"/>
              <w:bottom w:val="dotted" w:sz="4" w:space="0" w:color="auto"/>
            </w:tcBorders>
            <w:shd w:val="clear" w:color="auto" w:fill="auto"/>
            <w:noWrap/>
            <w:vAlign w:val="bottom"/>
            <w:hideMark/>
          </w:tcPr>
          <w:p w14:paraId="0EF9E7B5" w14:textId="77777777" w:rsidR="000D6681" w:rsidRPr="009517B4" w:rsidRDefault="000D6681" w:rsidP="000D6681">
            <w:pPr>
              <w:adjustRightInd w:val="0"/>
              <w:snapToGrid w:val="0"/>
              <w:rPr>
                <w:rFonts w:ascii="Times New Roman" w:hAnsi="Times New Roman" w:cs="Times New Roman"/>
                <w:sz w:val="18"/>
                <w:szCs w:val="18"/>
                <w:lang w:val="en-AU"/>
              </w:rPr>
            </w:pPr>
            <w:r w:rsidRPr="009517B4">
              <w:rPr>
                <w:rFonts w:ascii="Times New Roman" w:hAnsi="Times New Roman" w:cs="Times New Roman"/>
                <w:sz w:val="18"/>
                <w:szCs w:val="18"/>
                <w:lang w:val="en-AU"/>
              </w:rPr>
              <w:lastRenderedPageBreak/>
              <w:t>Uncertainty around clinical effectiveness</w:t>
            </w:r>
          </w:p>
        </w:tc>
        <w:tc>
          <w:tcPr>
            <w:tcW w:w="1366" w:type="dxa"/>
            <w:tcBorders>
              <w:top w:val="dotted" w:sz="4" w:space="0" w:color="auto"/>
              <w:bottom w:val="dotted" w:sz="4" w:space="0" w:color="auto"/>
            </w:tcBorders>
          </w:tcPr>
          <w:p w14:paraId="7ABA491D"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0.112 </w:t>
            </w:r>
          </w:p>
          <w:p w14:paraId="243AC8B9" w14:textId="5793D678" w:rsidR="001A67E1" w:rsidRPr="002D36A2"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1BFCCF9E"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0.099 </w:t>
            </w:r>
          </w:p>
          <w:p w14:paraId="7E331CFF" w14:textId="4CB5A867"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08" w:type="dxa"/>
            <w:tcBorders>
              <w:top w:val="dotted" w:sz="4" w:space="0" w:color="auto"/>
              <w:bottom w:val="dotted" w:sz="4" w:space="0" w:color="auto"/>
            </w:tcBorders>
            <w:shd w:val="clear" w:color="auto" w:fill="auto"/>
            <w:noWrap/>
          </w:tcPr>
          <w:p w14:paraId="5A0F5DCA"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0.124 </w:t>
            </w:r>
          </w:p>
          <w:p w14:paraId="09EC60E5" w14:textId="1A8DF69C"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95" w:type="dxa"/>
            <w:tcBorders>
              <w:top w:val="dotted" w:sz="4" w:space="0" w:color="auto"/>
              <w:bottom w:val="dotted" w:sz="4" w:space="0" w:color="auto"/>
            </w:tcBorders>
            <w:shd w:val="clear" w:color="auto" w:fill="auto"/>
            <w:noWrap/>
            <w:hideMark/>
          </w:tcPr>
          <w:p w14:paraId="080861A4"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0.018 </w:t>
            </w:r>
          </w:p>
          <w:p w14:paraId="4C4DE737" w14:textId="449673A5"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86" w:type="dxa"/>
            <w:tcBorders>
              <w:top w:val="dotted" w:sz="4" w:space="0" w:color="auto"/>
              <w:bottom w:val="dotted" w:sz="4" w:space="0" w:color="auto"/>
            </w:tcBorders>
            <w:shd w:val="clear" w:color="auto" w:fill="auto"/>
            <w:noWrap/>
            <w:hideMark/>
          </w:tcPr>
          <w:p w14:paraId="45B5FBD0"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-0.065 </w:t>
            </w:r>
          </w:p>
          <w:p w14:paraId="63AC0165" w14:textId="718A2377"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335" w:type="dxa"/>
            <w:tcBorders>
              <w:top w:val="dotted" w:sz="4" w:space="0" w:color="auto"/>
              <w:bottom w:val="dotted" w:sz="4" w:space="0" w:color="auto"/>
            </w:tcBorders>
            <w:shd w:val="clear" w:color="auto" w:fill="auto"/>
            <w:noWrap/>
            <w:hideMark/>
          </w:tcPr>
          <w:p w14:paraId="45B74174"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-0.007 </w:t>
            </w:r>
          </w:p>
          <w:p w14:paraId="58BE666B" w14:textId="2256EBCA"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488" w:type="dxa"/>
            <w:tcBorders>
              <w:top w:val="dotted" w:sz="4" w:space="0" w:color="auto"/>
              <w:bottom w:val="dotted" w:sz="4" w:space="0" w:color="auto"/>
            </w:tcBorders>
            <w:shd w:val="clear" w:color="auto" w:fill="auto"/>
            <w:noWrap/>
            <w:hideMark/>
          </w:tcPr>
          <w:p w14:paraId="53850B81"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-0.068 </w:t>
            </w:r>
          </w:p>
          <w:p w14:paraId="1B6BF1D6" w14:textId="32173366"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260" w:type="dxa"/>
            <w:tcBorders>
              <w:top w:val="dotted" w:sz="4" w:space="0" w:color="auto"/>
              <w:bottom w:val="dotted" w:sz="4" w:space="0" w:color="auto"/>
            </w:tcBorders>
          </w:tcPr>
          <w:p w14:paraId="49E55830" w14:textId="6217842D" w:rsidR="000D6681" w:rsidRPr="002341C5"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161" w:type="dxa"/>
            <w:tcBorders>
              <w:top w:val="dotted" w:sz="4" w:space="0" w:color="auto"/>
              <w:bottom w:val="dotted" w:sz="4" w:space="0" w:color="auto"/>
            </w:tcBorders>
          </w:tcPr>
          <w:p w14:paraId="056E6FD1" w14:textId="77777777" w:rsidR="000D6681" w:rsidRPr="002341C5" w:rsidRDefault="000D6681" w:rsidP="000D6681">
            <w:pPr>
              <w:adjustRightInd w:val="0"/>
              <w:snapToGrid w:val="0"/>
              <w:rPr>
                <w:rFonts w:ascii="Times New Roman" w:hAnsi="Times New Roman" w:cs="Times New Roman"/>
                <w:sz w:val="18"/>
                <w:szCs w:val="18"/>
              </w:rPr>
            </w:pPr>
          </w:p>
        </w:tc>
        <w:tc>
          <w:tcPr>
            <w:tcW w:w="1137" w:type="dxa"/>
            <w:tcBorders>
              <w:top w:val="dotted" w:sz="4" w:space="0" w:color="auto"/>
              <w:bottom w:val="dotted" w:sz="4" w:space="0" w:color="auto"/>
            </w:tcBorders>
          </w:tcPr>
          <w:p w14:paraId="06DFD220" w14:textId="2B514F26" w:rsidR="000D6681" w:rsidRPr="002341C5" w:rsidRDefault="000D6681" w:rsidP="000D6681">
            <w:pPr>
              <w:adjustRightInd w:val="0"/>
              <w:snapToGrid w:val="0"/>
              <w:rPr>
                <w:rFonts w:ascii="Times New Roman" w:hAnsi="Times New Roman" w:cs="Times New Roman"/>
                <w:sz w:val="18"/>
                <w:szCs w:val="18"/>
              </w:rPr>
            </w:pPr>
          </w:p>
        </w:tc>
      </w:tr>
      <w:tr w:rsidR="000D6681" w:rsidRPr="002D36A2" w14:paraId="6377FE93" w14:textId="26DFD898" w:rsidTr="006B7319">
        <w:trPr>
          <w:gridAfter w:val="1"/>
          <w:wAfter w:w="24" w:type="dxa"/>
          <w:trHeight w:val="54"/>
        </w:trPr>
        <w:tc>
          <w:tcPr>
            <w:tcW w:w="2790" w:type="dxa"/>
            <w:tcBorders>
              <w:top w:val="dotted" w:sz="4" w:space="0" w:color="auto"/>
              <w:bottom w:val="dotted" w:sz="4" w:space="0" w:color="auto"/>
            </w:tcBorders>
            <w:shd w:val="clear" w:color="auto" w:fill="auto"/>
            <w:noWrap/>
            <w:vAlign w:val="bottom"/>
            <w:hideMark/>
          </w:tcPr>
          <w:p w14:paraId="2A351E22" w14:textId="77777777" w:rsidR="000D6681" w:rsidRPr="00C15362" w:rsidRDefault="000D6681" w:rsidP="000D6681">
            <w:pPr>
              <w:adjustRightInd w:val="0"/>
              <w:snapToGrid w:val="0"/>
              <w:rPr>
                <w:rFonts w:ascii="Times New Roman" w:hAnsi="Times New Roman" w:cs="Times New Roman"/>
                <w:sz w:val="18"/>
                <w:szCs w:val="18"/>
                <w:lang w:val="en-AU"/>
              </w:rPr>
            </w:pPr>
            <w:r w:rsidRPr="00C15362">
              <w:rPr>
                <w:rFonts w:ascii="Times New Roman" w:hAnsi="Times New Roman" w:cs="Times New Roman"/>
                <w:sz w:val="18"/>
                <w:szCs w:val="18"/>
                <w:lang w:val="en-AU"/>
              </w:rPr>
              <w:t>Uncertainty around utility estimation</w:t>
            </w:r>
          </w:p>
        </w:tc>
        <w:tc>
          <w:tcPr>
            <w:tcW w:w="1366" w:type="dxa"/>
            <w:tcBorders>
              <w:top w:val="dotted" w:sz="4" w:space="0" w:color="auto"/>
              <w:bottom w:val="dotted" w:sz="4" w:space="0" w:color="auto"/>
            </w:tcBorders>
          </w:tcPr>
          <w:p w14:paraId="20F8C2E5"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-0.011 </w:t>
            </w:r>
          </w:p>
          <w:p w14:paraId="52D1D232" w14:textId="02598F88" w:rsidR="001A67E1" w:rsidRPr="002D36A2"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dotted" w:sz="4" w:space="0" w:color="auto"/>
            </w:tcBorders>
            <w:shd w:val="clear" w:color="auto" w:fill="auto"/>
            <w:noWrap/>
            <w:hideMark/>
          </w:tcPr>
          <w:p w14:paraId="0515518B"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0.132 </w:t>
            </w:r>
          </w:p>
          <w:p w14:paraId="5679ABD1" w14:textId="1DE5E191"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08" w:type="dxa"/>
            <w:tcBorders>
              <w:top w:val="dotted" w:sz="4" w:space="0" w:color="auto"/>
              <w:bottom w:val="dotted" w:sz="4" w:space="0" w:color="auto"/>
            </w:tcBorders>
            <w:shd w:val="clear" w:color="auto" w:fill="auto"/>
            <w:noWrap/>
          </w:tcPr>
          <w:p w14:paraId="31621373" w14:textId="77777777" w:rsidR="001A67E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0.138</w:t>
            </w:r>
          </w:p>
          <w:p w14:paraId="14C16119" w14:textId="72CE1301" w:rsidR="000D668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(0.999)</w:t>
            </w:r>
            <w:r w:rsidR="000D6681" w:rsidRPr="00AD61C8">
              <w:rPr>
                <w:rFonts w:ascii="Times New Roman" w:hAnsi="Times New Roman" w:cs="Times New Roman"/>
                <w:sz w:val="18"/>
                <w:szCs w:val="18"/>
              </w:rPr>
              <w:t xml:space="preserve"> </w:t>
            </w:r>
          </w:p>
        </w:tc>
        <w:tc>
          <w:tcPr>
            <w:tcW w:w="1795" w:type="dxa"/>
            <w:tcBorders>
              <w:top w:val="dotted" w:sz="4" w:space="0" w:color="auto"/>
              <w:bottom w:val="dotted" w:sz="4" w:space="0" w:color="auto"/>
            </w:tcBorders>
            <w:shd w:val="clear" w:color="auto" w:fill="auto"/>
            <w:noWrap/>
            <w:hideMark/>
          </w:tcPr>
          <w:p w14:paraId="53F76CBD"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0.062 </w:t>
            </w:r>
          </w:p>
          <w:p w14:paraId="59B6AC56" w14:textId="561361D4"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86" w:type="dxa"/>
            <w:tcBorders>
              <w:top w:val="dotted" w:sz="4" w:space="0" w:color="auto"/>
              <w:bottom w:val="dotted" w:sz="4" w:space="0" w:color="auto"/>
            </w:tcBorders>
            <w:shd w:val="clear" w:color="auto" w:fill="auto"/>
            <w:noWrap/>
            <w:hideMark/>
          </w:tcPr>
          <w:p w14:paraId="603D491A"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-0.068 </w:t>
            </w:r>
          </w:p>
          <w:p w14:paraId="4FFE382E" w14:textId="2A2A640E"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335" w:type="dxa"/>
            <w:tcBorders>
              <w:top w:val="dotted" w:sz="4" w:space="0" w:color="auto"/>
              <w:bottom w:val="dotted" w:sz="4" w:space="0" w:color="auto"/>
            </w:tcBorders>
            <w:shd w:val="clear" w:color="auto" w:fill="auto"/>
            <w:noWrap/>
            <w:hideMark/>
          </w:tcPr>
          <w:p w14:paraId="298470D5"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0.038 </w:t>
            </w:r>
          </w:p>
          <w:p w14:paraId="66BE2DDA" w14:textId="58E96EFF"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488" w:type="dxa"/>
            <w:tcBorders>
              <w:top w:val="dotted" w:sz="4" w:space="0" w:color="auto"/>
              <w:bottom w:val="dotted" w:sz="4" w:space="0" w:color="auto"/>
            </w:tcBorders>
            <w:shd w:val="clear" w:color="auto" w:fill="auto"/>
            <w:noWrap/>
            <w:hideMark/>
          </w:tcPr>
          <w:p w14:paraId="4C9F98EB"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-0.087 </w:t>
            </w:r>
          </w:p>
          <w:p w14:paraId="28F1E8AD" w14:textId="21BA44DE"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260" w:type="dxa"/>
            <w:tcBorders>
              <w:top w:val="dotted" w:sz="4" w:space="0" w:color="auto"/>
              <w:bottom w:val="dotted" w:sz="4" w:space="0" w:color="auto"/>
            </w:tcBorders>
          </w:tcPr>
          <w:p w14:paraId="0A7AE89E"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0.084 </w:t>
            </w:r>
          </w:p>
          <w:p w14:paraId="52E8FCCC" w14:textId="283AADE6" w:rsidR="001A67E1" w:rsidRPr="002341C5"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61" w:type="dxa"/>
            <w:tcBorders>
              <w:top w:val="dotted" w:sz="4" w:space="0" w:color="auto"/>
              <w:bottom w:val="dotted" w:sz="4" w:space="0" w:color="auto"/>
            </w:tcBorders>
          </w:tcPr>
          <w:p w14:paraId="25C29B83" w14:textId="7DEDD189" w:rsidR="000D6681" w:rsidRPr="002341C5"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1.000 </w:t>
            </w:r>
          </w:p>
        </w:tc>
        <w:tc>
          <w:tcPr>
            <w:tcW w:w="1137" w:type="dxa"/>
            <w:tcBorders>
              <w:top w:val="dotted" w:sz="4" w:space="0" w:color="auto"/>
              <w:bottom w:val="dotted" w:sz="4" w:space="0" w:color="auto"/>
            </w:tcBorders>
          </w:tcPr>
          <w:p w14:paraId="748518C1" w14:textId="69562A43" w:rsidR="000D6681" w:rsidRPr="002341C5" w:rsidRDefault="000D6681" w:rsidP="000D6681">
            <w:pPr>
              <w:adjustRightInd w:val="0"/>
              <w:snapToGrid w:val="0"/>
              <w:rPr>
                <w:rFonts w:ascii="Times New Roman" w:hAnsi="Times New Roman" w:cs="Times New Roman"/>
                <w:sz w:val="18"/>
                <w:szCs w:val="18"/>
              </w:rPr>
            </w:pPr>
          </w:p>
        </w:tc>
      </w:tr>
      <w:tr w:rsidR="000D6681" w:rsidRPr="002D36A2" w14:paraId="1CFCFA0E" w14:textId="668BEFD2" w:rsidTr="006B7319">
        <w:trPr>
          <w:gridAfter w:val="1"/>
          <w:wAfter w:w="24" w:type="dxa"/>
          <w:trHeight w:val="211"/>
        </w:trPr>
        <w:tc>
          <w:tcPr>
            <w:tcW w:w="2790" w:type="dxa"/>
            <w:tcBorders>
              <w:top w:val="dotted" w:sz="4" w:space="0" w:color="auto"/>
              <w:bottom w:val="single" w:sz="4" w:space="0" w:color="auto"/>
            </w:tcBorders>
            <w:shd w:val="clear" w:color="auto" w:fill="auto"/>
            <w:noWrap/>
            <w:vAlign w:val="bottom"/>
            <w:hideMark/>
          </w:tcPr>
          <w:p w14:paraId="0D6E436B" w14:textId="77777777" w:rsidR="000D6681" w:rsidRPr="00C15362" w:rsidRDefault="000D6681" w:rsidP="000D6681">
            <w:pPr>
              <w:adjustRightInd w:val="0"/>
              <w:snapToGrid w:val="0"/>
              <w:rPr>
                <w:rFonts w:ascii="Times New Roman" w:hAnsi="Times New Roman" w:cs="Times New Roman"/>
                <w:sz w:val="18"/>
                <w:szCs w:val="18"/>
                <w:lang w:val="en-AU"/>
              </w:rPr>
            </w:pPr>
            <w:r w:rsidRPr="00C15362">
              <w:rPr>
                <w:rFonts w:ascii="Times New Roman" w:hAnsi="Times New Roman" w:cs="Times New Roman"/>
                <w:sz w:val="18"/>
                <w:szCs w:val="18"/>
                <w:lang w:val="en-AU"/>
              </w:rPr>
              <w:t>Uncertainty around cost estimation</w:t>
            </w:r>
          </w:p>
        </w:tc>
        <w:tc>
          <w:tcPr>
            <w:tcW w:w="1366" w:type="dxa"/>
            <w:tcBorders>
              <w:top w:val="dotted" w:sz="4" w:space="0" w:color="auto"/>
              <w:bottom w:val="single" w:sz="4" w:space="0" w:color="auto"/>
            </w:tcBorders>
          </w:tcPr>
          <w:p w14:paraId="799057BE"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0.007 </w:t>
            </w:r>
          </w:p>
          <w:p w14:paraId="5A1D1691" w14:textId="318310C8" w:rsidR="001A67E1" w:rsidRPr="002D36A2"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066" w:type="dxa"/>
            <w:tcBorders>
              <w:top w:val="dotted" w:sz="4" w:space="0" w:color="auto"/>
              <w:bottom w:val="single" w:sz="4" w:space="0" w:color="auto"/>
            </w:tcBorders>
            <w:shd w:val="clear" w:color="auto" w:fill="auto"/>
            <w:noWrap/>
            <w:hideMark/>
          </w:tcPr>
          <w:p w14:paraId="3C8A9966"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0.013 </w:t>
            </w:r>
          </w:p>
          <w:p w14:paraId="28F7A972" w14:textId="2C2BA8C2"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08" w:type="dxa"/>
            <w:tcBorders>
              <w:top w:val="dotted" w:sz="4" w:space="0" w:color="auto"/>
              <w:bottom w:val="single" w:sz="4" w:space="0" w:color="auto"/>
            </w:tcBorders>
            <w:shd w:val="clear" w:color="auto" w:fill="auto"/>
            <w:noWrap/>
          </w:tcPr>
          <w:p w14:paraId="6C069E1C"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-0.012 </w:t>
            </w:r>
          </w:p>
          <w:p w14:paraId="402C3C0D" w14:textId="54EC7AA0"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795" w:type="dxa"/>
            <w:tcBorders>
              <w:top w:val="dotted" w:sz="4" w:space="0" w:color="auto"/>
              <w:bottom w:val="single" w:sz="4" w:space="0" w:color="auto"/>
            </w:tcBorders>
            <w:shd w:val="clear" w:color="auto" w:fill="auto"/>
            <w:noWrap/>
            <w:hideMark/>
          </w:tcPr>
          <w:p w14:paraId="365A5611"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0.002 </w:t>
            </w:r>
          </w:p>
          <w:p w14:paraId="7C089D0E" w14:textId="42A4A810"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86" w:type="dxa"/>
            <w:tcBorders>
              <w:top w:val="dotted" w:sz="4" w:space="0" w:color="auto"/>
              <w:bottom w:val="single" w:sz="4" w:space="0" w:color="auto"/>
            </w:tcBorders>
            <w:shd w:val="clear" w:color="auto" w:fill="auto"/>
            <w:noWrap/>
            <w:hideMark/>
          </w:tcPr>
          <w:p w14:paraId="70897260"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0.082 </w:t>
            </w:r>
          </w:p>
          <w:p w14:paraId="717E1639" w14:textId="63F5C1B0"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335" w:type="dxa"/>
            <w:tcBorders>
              <w:top w:val="dotted" w:sz="4" w:space="0" w:color="auto"/>
              <w:bottom w:val="single" w:sz="4" w:space="0" w:color="auto"/>
            </w:tcBorders>
            <w:shd w:val="clear" w:color="auto" w:fill="auto"/>
            <w:noWrap/>
            <w:hideMark/>
          </w:tcPr>
          <w:p w14:paraId="57CBD931"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-0.029 </w:t>
            </w:r>
          </w:p>
          <w:p w14:paraId="0D277788" w14:textId="42580E5C"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488" w:type="dxa"/>
            <w:tcBorders>
              <w:top w:val="dotted" w:sz="4" w:space="0" w:color="auto"/>
              <w:bottom w:val="single" w:sz="4" w:space="0" w:color="auto"/>
            </w:tcBorders>
            <w:shd w:val="clear" w:color="auto" w:fill="auto"/>
            <w:noWrap/>
            <w:hideMark/>
          </w:tcPr>
          <w:p w14:paraId="29B22F46"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0.088 </w:t>
            </w:r>
          </w:p>
          <w:p w14:paraId="3E214265" w14:textId="33CC4F72" w:rsidR="001A67E1" w:rsidRPr="00AD61C8"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260" w:type="dxa"/>
            <w:tcBorders>
              <w:top w:val="dotted" w:sz="4" w:space="0" w:color="auto"/>
              <w:bottom w:val="single" w:sz="4" w:space="0" w:color="auto"/>
            </w:tcBorders>
          </w:tcPr>
          <w:p w14:paraId="743D1885"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-0.089 </w:t>
            </w:r>
          </w:p>
          <w:p w14:paraId="2D9DD33C" w14:textId="66E29D73" w:rsidR="001A67E1" w:rsidRPr="002341C5"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61" w:type="dxa"/>
            <w:tcBorders>
              <w:top w:val="dotted" w:sz="4" w:space="0" w:color="auto"/>
              <w:bottom w:val="single" w:sz="4" w:space="0" w:color="auto"/>
            </w:tcBorders>
          </w:tcPr>
          <w:p w14:paraId="64501950" w14:textId="77777777" w:rsidR="000D6681" w:rsidRDefault="000D6681" w:rsidP="000D6681">
            <w:pPr>
              <w:adjustRightInd w:val="0"/>
              <w:snapToGrid w:val="0"/>
              <w:rPr>
                <w:rFonts w:ascii="Times New Roman" w:hAnsi="Times New Roman" w:cs="Times New Roman"/>
                <w:sz w:val="18"/>
                <w:szCs w:val="18"/>
              </w:rPr>
            </w:pPr>
            <w:r w:rsidRPr="00AD61C8">
              <w:rPr>
                <w:rFonts w:ascii="Times New Roman" w:hAnsi="Times New Roman" w:cs="Times New Roman"/>
                <w:sz w:val="18"/>
                <w:szCs w:val="18"/>
              </w:rPr>
              <w:t xml:space="preserve">0.102 </w:t>
            </w:r>
          </w:p>
          <w:p w14:paraId="4F3C4B6F" w14:textId="6FE7F14B" w:rsidR="001A67E1" w:rsidRPr="002341C5" w:rsidRDefault="001A67E1" w:rsidP="000D6681">
            <w:pPr>
              <w:adjustRightInd w:val="0"/>
              <w:snapToGrid w:val="0"/>
              <w:rPr>
                <w:rFonts w:ascii="Times New Roman" w:hAnsi="Times New Roman" w:cs="Times New Roman"/>
                <w:sz w:val="18"/>
                <w:szCs w:val="18"/>
              </w:rPr>
            </w:pPr>
            <w:r>
              <w:rPr>
                <w:rFonts w:ascii="Times New Roman" w:hAnsi="Times New Roman" w:cs="Times New Roman"/>
                <w:sz w:val="20"/>
                <w:szCs w:val="20"/>
              </w:rPr>
              <w:t>(1.000)</w:t>
            </w:r>
          </w:p>
        </w:tc>
        <w:tc>
          <w:tcPr>
            <w:tcW w:w="1137" w:type="dxa"/>
            <w:tcBorders>
              <w:top w:val="dotted" w:sz="4" w:space="0" w:color="auto"/>
              <w:bottom w:val="single" w:sz="4" w:space="0" w:color="auto"/>
            </w:tcBorders>
          </w:tcPr>
          <w:p w14:paraId="217C4340" w14:textId="3FC4F491" w:rsidR="000D6681" w:rsidRPr="002341C5" w:rsidRDefault="000D6681" w:rsidP="000D6681">
            <w:pPr>
              <w:adjustRightInd w:val="0"/>
              <w:snapToGrid w:val="0"/>
              <w:rPr>
                <w:rFonts w:ascii="Times New Roman" w:hAnsi="Times New Roman" w:cs="Times New Roman"/>
                <w:sz w:val="18"/>
                <w:szCs w:val="18"/>
              </w:rPr>
            </w:pPr>
            <w:r>
              <w:rPr>
                <w:rFonts w:ascii="Times New Roman" w:hAnsi="Times New Roman" w:cs="Times New Roman"/>
                <w:sz w:val="18"/>
                <w:szCs w:val="18"/>
              </w:rPr>
              <w:t>1.000</w:t>
            </w:r>
          </w:p>
        </w:tc>
      </w:tr>
    </w:tbl>
    <w:p w14:paraId="0B6DA047" w14:textId="14FD4FB5" w:rsidR="002D36A2" w:rsidRPr="00B51ED4" w:rsidRDefault="002D36A2" w:rsidP="002D36A2">
      <w:pPr>
        <w:adjustRightInd w:val="0"/>
        <w:snapToGrid w:val="0"/>
        <w:spacing w:line="360" w:lineRule="auto"/>
        <w:rPr>
          <w:rFonts w:ascii="Times New Roman" w:hAnsi="Times New Roman" w:cs="Times New Roman"/>
          <w:vertAlign w:val="superscript"/>
        </w:rPr>
        <w:sectPr w:rsidR="002D36A2" w:rsidRPr="00B51ED4" w:rsidSect="00E82899">
          <w:type w:val="continuous"/>
          <w:pgSz w:w="16838" w:h="11906" w:orient="landscape"/>
          <w:pgMar w:top="1797" w:right="1440" w:bottom="1797" w:left="1440" w:header="851" w:footer="992" w:gutter="0"/>
          <w:cols w:space="425"/>
          <w:docGrid w:type="linesAndChars" w:linePitch="312"/>
        </w:sectPr>
      </w:pPr>
      <w:r w:rsidRPr="00592401">
        <w:rPr>
          <w:rFonts w:ascii="Times New Roman" w:hAnsi="Times New Roman" w:cs="Times New Roman" w:hint="eastAsia"/>
          <w:vertAlign w:val="superscript"/>
        </w:rPr>
        <w:t>*</w:t>
      </w:r>
      <w:r>
        <w:rPr>
          <w:rFonts w:ascii="Times New Roman" w:hAnsi="Times New Roman" w:cs="Times New Roman" w:hint="eastAsia"/>
          <w:vertAlign w:val="superscript"/>
        </w:rPr>
        <w:t xml:space="preserve"> </w:t>
      </w:r>
      <w:r w:rsidRPr="002F23A9">
        <w:rPr>
          <w:rFonts w:ascii="Times New Roman" w:hAnsi="Times New Roman" w:cs="Times New Roman" w:hint="eastAsia"/>
          <w:vertAlign w:val="subscript"/>
        </w:rPr>
        <w:t>p value</w:t>
      </w:r>
      <w:r>
        <w:rPr>
          <w:rFonts w:ascii="Times New Roman" w:hAnsi="Times New Roman" w:cs="Times New Roman"/>
          <w:vertAlign w:val="subscript"/>
        </w:rPr>
        <w:t xml:space="preserve"> &lt;0.05</w:t>
      </w:r>
      <w:r w:rsidRPr="002F23A9">
        <w:rPr>
          <w:rFonts w:ascii="Times New Roman" w:hAnsi="Times New Roman" w:cs="Times New Roman" w:hint="eastAsia"/>
          <w:vertAlign w:val="subscript"/>
        </w:rPr>
        <w:t xml:space="preserve"> of </w:t>
      </w:r>
      <w:r w:rsidRPr="002F23A9">
        <w:rPr>
          <w:rFonts w:ascii="Times New Roman" w:hAnsi="Times New Roman" w:cs="Times New Roman"/>
          <w:vertAlign w:val="subscript"/>
        </w:rPr>
        <w:t xml:space="preserve">Kendall's </w:t>
      </w:r>
      <w:r w:rsidRPr="002F23A9">
        <w:rPr>
          <w:rFonts w:ascii="Times New Roman" w:hAnsi="Times New Roman" w:cs="Times New Roman"/>
        </w:rPr>
        <w:t xml:space="preserve">τ </w:t>
      </w:r>
      <w:r w:rsidRPr="00592401">
        <w:rPr>
          <w:rFonts w:ascii="Times New Roman" w:hAnsi="Times New Roman" w:cs="Times New Roman"/>
          <w:vertAlign w:val="subscript"/>
        </w:rPr>
        <w:t>b</w:t>
      </w:r>
      <w:r w:rsidRPr="002F23A9">
        <w:rPr>
          <w:rFonts w:ascii="Times New Roman" w:hAnsi="Times New Roman" w:cs="Times New Roman"/>
          <w:vertAlign w:val="subscript"/>
        </w:rPr>
        <w:t xml:space="preserve"> correlation coefficient</w:t>
      </w:r>
    </w:p>
    <w:bookmarkEnd w:id="58"/>
    <w:p w14:paraId="1EBD23A5" w14:textId="7468CAA3" w:rsidR="00507299" w:rsidRPr="00930257" w:rsidRDefault="00507299" w:rsidP="006C41A0">
      <w:pPr>
        <w:pStyle w:val="Heading1"/>
        <w:widowControl/>
        <w:adjustRightInd w:val="0"/>
        <w:snapToGrid w:val="0"/>
        <w:spacing w:before="0" w:after="0" w:line="360" w:lineRule="auto"/>
        <w:jc w:val="left"/>
        <w:rPr>
          <w:rFonts w:ascii="Times New Roman" w:eastAsiaTheme="majorEastAsia" w:hAnsi="Times New Roman" w:cs="Times New Roman"/>
          <w:kern w:val="0"/>
          <w:sz w:val="20"/>
          <w:szCs w:val="20"/>
          <w:lang w:val="en-AU" w:eastAsia="en-US"/>
        </w:rPr>
      </w:pPr>
      <w:r w:rsidRPr="4F533E7D">
        <w:rPr>
          <w:rFonts w:ascii="Times New Roman" w:eastAsiaTheme="majorEastAsia" w:hAnsi="Times New Roman" w:cs="Times New Roman"/>
          <w:kern w:val="0"/>
          <w:sz w:val="20"/>
          <w:szCs w:val="20"/>
          <w:lang w:val="en-AU" w:eastAsia="en-US"/>
        </w:rPr>
        <w:lastRenderedPageBreak/>
        <w:t xml:space="preserve">Appendix </w:t>
      </w:r>
      <w:r w:rsidRPr="4F533E7D">
        <w:rPr>
          <w:rFonts w:ascii="Times New Roman" w:eastAsiaTheme="majorEastAsia" w:hAnsi="Times New Roman" w:cs="Times New Roman"/>
          <w:sz w:val="20"/>
          <w:szCs w:val="20"/>
          <w:lang w:val="en-AU" w:eastAsia="en-US"/>
        </w:rPr>
        <w:t>7</w:t>
      </w:r>
      <w:r w:rsidRPr="4F533E7D">
        <w:rPr>
          <w:rFonts w:ascii="Times New Roman" w:eastAsiaTheme="majorEastAsia" w:hAnsi="Times New Roman" w:cs="Times New Roman"/>
          <w:kern w:val="0"/>
          <w:sz w:val="20"/>
          <w:szCs w:val="20"/>
          <w:lang w:val="en-AU" w:eastAsia="en-US"/>
        </w:rPr>
        <w:t xml:space="preserve">. </w:t>
      </w:r>
      <w:r w:rsidR="00861A27" w:rsidRPr="4F533E7D">
        <w:rPr>
          <w:rFonts w:ascii="Times New Roman" w:eastAsiaTheme="majorEastAsia" w:hAnsi="Times New Roman" w:cs="Times New Roman"/>
          <w:sz w:val="20"/>
          <w:szCs w:val="20"/>
          <w:lang w:val="en-AU"/>
        </w:rPr>
        <w:t>R</w:t>
      </w:r>
      <w:r w:rsidRPr="4F533E7D">
        <w:rPr>
          <w:rFonts w:ascii="Times New Roman" w:eastAsiaTheme="majorEastAsia" w:hAnsi="Times New Roman" w:cs="Times New Roman"/>
          <w:kern w:val="0"/>
          <w:sz w:val="20"/>
          <w:szCs w:val="20"/>
          <w:lang w:val="en-AU" w:eastAsia="en-US"/>
        </w:rPr>
        <w:t>obustness check</w:t>
      </w:r>
      <w:r w:rsidR="000F1759">
        <w:rPr>
          <w:rFonts w:ascii="Times New Roman" w:eastAsiaTheme="majorEastAsia" w:hAnsi="Times New Roman" w:cs="Times New Roman"/>
          <w:kern w:val="0"/>
          <w:sz w:val="20"/>
          <w:szCs w:val="20"/>
          <w:lang w:val="en-AU" w:eastAsia="en-US"/>
        </w:rPr>
        <w:t>s</w:t>
      </w:r>
    </w:p>
    <w:p w14:paraId="6DC9933E" w14:textId="4C856019" w:rsidR="00123299" w:rsidRDefault="00415705" w:rsidP="00123299">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123299">
        <w:rPr>
          <w:rFonts w:ascii="Times New Roman" w:hAnsi="Times New Roman" w:cs="Times New Roman"/>
          <w:sz w:val="20"/>
          <w:szCs w:val="20"/>
        </w:rPr>
        <w:t>In Model 1</w:t>
      </w:r>
      <w:r w:rsidR="00320EA0" w:rsidRPr="00123299">
        <w:rPr>
          <w:rFonts w:ascii="Times New Roman" w:hAnsi="Times New Roman" w:cs="Times New Roman"/>
          <w:sz w:val="20"/>
          <w:szCs w:val="20"/>
        </w:rPr>
        <w:t xml:space="preserve">, </w:t>
      </w:r>
      <w:r w:rsidR="003A1413" w:rsidRPr="00123299">
        <w:rPr>
          <w:rFonts w:ascii="Times New Roman" w:hAnsi="Times New Roman" w:cs="Times New Roman"/>
          <w:sz w:val="20"/>
          <w:szCs w:val="20"/>
        </w:rPr>
        <w:t>we examined whether the results were sensitive to additional control variables by replacing the statistical significance of clinical benefit with judgement on uncertain clinical magnitude [2, 3]</w:t>
      </w:r>
      <w:r w:rsidR="00C362CB">
        <w:rPr>
          <w:rFonts w:ascii="Times New Roman" w:hAnsi="Times New Roman" w:cs="Times New Roman" w:hint="eastAsia"/>
          <w:sz w:val="20"/>
          <w:szCs w:val="20"/>
        </w:rPr>
        <w:t xml:space="preserve"> and adding a variable of unmet clinical need.</w:t>
      </w:r>
    </w:p>
    <w:p w14:paraId="24011B07" w14:textId="25A2B369" w:rsidR="003B75B2" w:rsidRPr="00123299" w:rsidRDefault="00415705" w:rsidP="00BD5BED">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123299">
        <w:rPr>
          <w:rFonts w:ascii="Times New Roman" w:hAnsi="Times New Roman" w:cs="Times New Roman"/>
          <w:sz w:val="20"/>
          <w:szCs w:val="20"/>
        </w:rPr>
        <w:t>In Model 2</w:t>
      </w:r>
      <w:r w:rsidR="00320EA0" w:rsidRPr="00123299">
        <w:rPr>
          <w:rFonts w:ascii="Times New Roman" w:hAnsi="Times New Roman" w:cs="Times New Roman"/>
          <w:sz w:val="20"/>
          <w:szCs w:val="20"/>
        </w:rPr>
        <w:t xml:space="preserve">, </w:t>
      </w:r>
      <w:r w:rsidR="00507299" w:rsidRPr="00123299">
        <w:rPr>
          <w:rFonts w:ascii="Times New Roman" w:hAnsi="Times New Roman" w:cs="Times New Roman"/>
          <w:sz w:val="20"/>
          <w:szCs w:val="20"/>
        </w:rPr>
        <w:t>we redefined the uncertainty around extrapolation as categorical variables with three levels</w:t>
      </w:r>
      <w:r w:rsidR="00A871A3" w:rsidRPr="00123299">
        <w:rPr>
          <w:rFonts w:ascii="Times New Roman" w:hAnsi="Times New Roman" w:cs="Times New Roman" w:hint="eastAsia"/>
          <w:sz w:val="20"/>
          <w:szCs w:val="20"/>
        </w:rPr>
        <w:t xml:space="preserve">, following </w:t>
      </w:r>
      <w:r w:rsidR="00A871A3" w:rsidRPr="00123299">
        <w:rPr>
          <w:rFonts w:ascii="Times New Roman" w:hAnsi="Times New Roman" w:cs="Times New Roman"/>
          <w:sz w:val="20"/>
          <w:szCs w:val="20"/>
        </w:rPr>
        <w:t>Bloem</w:t>
      </w:r>
      <w:r w:rsidR="00A871A3" w:rsidRPr="00123299">
        <w:rPr>
          <w:rFonts w:ascii="Times New Roman" w:hAnsi="Times New Roman" w:cs="Times New Roman" w:hint="eastAsia"/>
          <w:sz w:val="20"/>
          <w:szCs w:val="20"/>
        </w:rPr>
        <w:t xml:space="preserve"> et al. (2021) </w:t>
      </w:r>
      <w:r w:rsidR="00A871A3" w:rsidRPr="00123299">
        <w:rPr>
          <w:rFonts w:ascii="Times New Roman" w:hAnsi="Times New Roman" w:cs="Times New Roman"/>
          <w:sz w:val="20"/>
          <w:szCs w:val="20"/>
        </w:rPr>
        <w:fldChar w:fldCharType="begin">
          <w:fldData xml:space="preserve">PEVuZE5vdGU+PENpdGU+PEF1dGhvcj5CbG9lbTwvQXV0aG9yPjxZZWFyPjIwMjE8L1llYXI+PFJl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</w:fldData>
        </w:fldChar>
      </w:r>
      <w:r w:rsidR="00AD61C8" w:rsidRPr="00123299">
        <w:rPr>
          <w:rFonts w:ascii="Times New Roman" w:hAnsi="Times New Roman" w:cs="Times New Roman"/>
          <w:sz w:val="20"/>
          <w:szCs w:val="20"/>
        </w:rPr>
        <w:instrText xml:space="preserve"> ADDIN EN.CITE </w:instrText>
      </w:r>
      <w:r w:rsidR="00AD61C8" w:rsidRPr="00123299">
        <w:rPr>
          <w:rFonts w:ascii="Times New Roman" w:hAnsi="Times New Roman" w:cs="Times New Roman"/>
          <w:sz w:val="20"/>
          <w:szCs w:val="20"/>
        </w:rPr>
        <w:fldChar w:fldCharType="begin">
          <w:fldData xml:space="preserve">PEVuZE5vdGU+PENpdGU+PEF1dGhvcj5CbG9lbTwvQXV0aG9yPjxZZWFyPjIwMjE8L1llYXI+PFJl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</w:fldData>
        </w:fldChar>
      </w:r>
      <w:r w:rsidR="00AD61C8" w:rsidRPr="00123299">
        <w:rPr>
          <w:rFonts w:ascii="Times New Roman" w:hAnsi="Times New Roman" w:cs="Times New Roman"/>
          <w:sz w:val="20"/>
          <w:szCs w:val="20"/>
        </w:rPr>
        <w:instrText xml:space="preserve"> ADDIN EN.CITE.DATA </w:instrText>
      </w:r>
      <w:r w:rsidR="00AD61C8" w:rsidRPr="00123299">
        <w:rPr>
          <w:rFonts w:ascii="Times New Roman" w:hAnsi="Times New Roman" w:cs="Times New Roman"/>
          <w:sz w:val="20"/>
          <w:szCs w:val="20"/>
        </w:rPr>
      </w:r>
      <w:r w:rsidR="00AD61C8" w:rsidRPr="00123299">
        <w:rPr>
          <w:rFonts w:ascii="Times New Roman" w:hAnsi="Times New Roman" w:cs="Times New Roman"/>
          <w:sz w:val="20"/>
          <w:szCs w:val="20"/>
        </w:rPr>
        <w:fldChar w:fldCharType="end"/>
      </w:r>
      <w:r w:rsidR="00A871A3" w:rsidRPr="00123299">
        <w:rPr>
          <w:rFonts w:ascii="Times New Roman" w:hAnsi="Times New Roman" w:cs="Times New Roman"/>
          <w:sz w:val="20"/>
          <w:szCs w:val="20"/>
        </w:rPr>
      </w:r>
      <w:r w:rsidR="00A871A3" w:rsidRPr="00123299">
        <w:rPr>
          <w:rFonts w:ascii="Times New Roman" w:hAnsi="Times New Roman" w:cs="Times New Roman"/>
          <w:sz w:val="20"/>
          <w:szCs w:val="20"/>
        </w:rPr>
        <w:fldChar w:fldCharType="separate"/>
      </w:r>
      <w:r w:rsidR="00AD61C8" w:rsidRPr="00123299">
        <w:rPr>
          <w:rFonts w:ascii="Times New Roman" w:hAnsi="Times New Roman" w:cs="Times New Roman"/>
          <w:noProof/>
          <w:sz w:val="20"/>
          <w:szCs w:val="20"/>
        </w:rPr>
        <w:t>[65]</w:t>
      </w:r>
      <w:r w:rsidR="00A871A3" w:rsidRPr="00123299">
        <w:rPr>
          <w:rFonts w:ascii="Times New Roman" w:hAnsi="Times New Roman" w:cs="Times New Roman"/>
          <w:sz w:val="20"/>
          <w:szCs w:val="20"/>
        </w:rPr>
        <w:fldChar w:fldCharType="end"/>
      </w:r>
      <w:r w:rsidR="00507299" w:rsidRPr="00123299">
        <w:rPr>
          <w:rFonts w:ascii="Times New Roman" w:hAnsi="Times New Roman" w:cs="Times New Roman"/>
          <w:sz w:val="20"/>
          <w:szCs w:val="20"/>
        </w:rPr>
        <w:t>. A high level of extrapolation uncertainty was defined if there were three</w:t>
      </w:r>
      <w:r w:rsidR="00B94BBC" w:rsidRPr="00123299">
        <w:rPr>
          <w:rFonts w:ascii="Times New Roman" w:hAnsi="Times New Roman" w:cs="Times New Roman"/>
          <w:sz w:val="20"/>
          <w:szCs w:val="20"/>
        </w:rPr>
        <w:t xml:space="preserve"> sources of</w:t>
      </w:r>
      <w:r w:rsidR="00507299" w:rsidRPr="00123299">
        <w:rPr>
          <w:rFonts w:ascii="Times New Roman" w:hAnsi="Times New Roman" w:cs="Times New Roman"/>
          <w:sz w:val="20"/>
          <w:szCs w:val="20"/>
        </w:rPr>
        <w:t xml:space="preserve"> uncertaint</w:t>
      </w:r>
      <w:r w:rsidR="1E411B49" w:rsidRPr="00123299">
        <w:rPr>
          <w:rFonts w:ascii="Times New Roman" w:hAnsi="Times New Roman" w:cs="Times New Roman"/>
          <w:sz w:val="20"/>
          <w:szCs w:val="20"/>
        </w:rPr>
        <w:t>y</w:t>
      </w:r>
      <w:r w:rsidR="00507299" w:rsidRPr="00123299">
        <w:rPr>
          <w:rFonts w:ascii="Times New Roman" w:hAnsi="Times New Roman" w:cs="Times New Roman"/>
          <w:sz w:val="20"/>
          <w:szCs w:val="20"/>
        </w:rPr>
        <w:t xml:space="preserve"> around the assumption on the time horizon, time-transition probabilities relationship and parametric survival </w:t>
      </w:r>
      <w:r w:rsidR="4AE7CDEE" w:rsidRPr="00123299">
        <w:rPr>
          <w:rFonts w:ascii="Times New Roman" w:hAnsi="Times New Roman" w:cs="Times New Roman"/>
          <w:sz w:val="20"/>
          <w:szCs w:val="20"/>
        </w:rPr>
        <w:t>function</w:t>
      </w:r>
      <w:r w:rsidR="006B5733" w:rsidRPr="00123299">
        <w:rPr>
          <w:rFonts w:ascii="Times New Roman" w:hAnsi="Times New Roman" w:cs="Times New Roman"/>
          <w:sz w:val="20"/>
          <w:szCs w:val="20"/>
        </w:rPr>
        <w:t>. A</w:t>
      </w:r>
      <w:r w:rsidR="00507299" w:rsidRPr="00123299">
        <w:rPr>
          <w:rFonts w:ascii="Times New Roman" w:hAnsi="Times New Roman" w:cs="Times New Roman"/>
          <w:sz w:val="20"/>
          <w:szCs w:val="20"/>
        </w:rPr>
        <w:t xml:space="preserve"> medium level was defined if there </w:t>
      </w:r>
      <w:r w:rsidR="00E9053F" w:rsidRPr="00123299">
        <w:rPr>
          <w:rFonts w:ascii="Times New Roman" w:hAnsi="Times New Roman" w:cs="Times New Roman"/>
          <w:sz w:val="20"/>
          <w:szCs w:val="20"/>
        </w:rPr>
        <w:t xml:space="preserve">was </w:t>
      </w:r>
      <w:r w:rsidR="00507299" w:rsidRPr="00123299">
        <w:rPr>
          <w:rFonts w:ascii="Times New Roman" w:hAnsi="Times New Roman" w:cs="Times New Roman"/>
          <w:sz w:val="20"/>
          <w:szCs w:val="20"/>
        </w:rPr>
        <w:t xml:space="preserve">at least one uncertainty above and a low level was defined if there was none of the uncertainty. </w:t>
      </w:r>
    </w:p>
    <w:p w14:paraId="513A6AA8" w14:textId="295B147F" w:rsidR="003B75B2" w:rsidRDefault="30F0AC53" w:rsidP="006C41A0">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A871A3">
        <w:rPr>
          <w:rFonts w:ascii="Times New Roman" w:hAnsi="Times New Roman" w:cs="Times New Roman"/>
          <w:sz w:val="20"/>
          <w:szCs w:val="20"/>
        </w:rPr>
        <w:t>G</w:t>
      </w:r>
      <w:r w:rsidR="00124B1C" w:rsidRPr="00A871A3">
        <w:rPr>
          <w:rFonts w:ascii="Times New Roman" w:hAnsi="Times New Roman" w:cs="Times New Roman"/>
          <w:sz w:val="20"/>
          <w:szCs w:val="20"/>
        </w:rPr>
        <w:t xml:space="preserve">iven the unbalanced sample for parameter uncertainty, that is, the number of submissions having parameter uncertainty </w:t>
      </w:r>
      <w:r w:rsidR="00415705" w:rsidRPr="00A871A3">
        <w:rPr>
          <w:rFonts w:ascii="Times New Roman" w:hAnsi="Times New Roman" w:cs="Times New Roman"/>
          <w:sz w:val="20"/>
          <w:szCs w:val="20"/>
        </w:rPr>
        <w:t xml:space="preserve">was </w:t>
      </w:r>
      <w:r w:rsidR="00124B1C" w:rsidRPr="00A871A3">
        <w:rPr>
          <w:rFonts w:ascii="Times New Roman" w:hAnsi="Times New Roman" w:cs="Times New Roman"/>
          <w:sz w:val="20"/>
          <w:szCs w:val="20"/>
        </w:rPr>
        <w:t>significantly high</w:t>
      </w:r>
      <w:r w:rsidR="00E9053F" w:rsidRPr="00A871A3">
        <w:rPr>
          <w:rFonts w:ascii="Times New Roman" w:hAnsi="Times New Roman" w:cs="Times New Roman"/>
          <w:sz w:val="20"/>
          <w:szCs w:val="20"/>
        </w:rPr>
        <w:t>er</w:t>
      </w:r>
      <w:r w:rsidR="00124B1C" w:rsidRPr="00A871A3">
        <w:rPr>
          <w:rFonts w:ascii="Times New Roman" w:hAnsi="Times New Roman" w:cs="Times New Roman"/>
          <w:sz w:val="20"/>
          <w:szCs w:val="20"/>
        </w:rPr>
        <w:t xml:space="preserve"> than those not having such uncertainty, we redefined the parameter uncertainty into uncertainty around cost, utility and clinical effectiveness or transition </w:t>
      </w:r>
      <w:r w:rsidR="00E624C8" w:rsidRPr="00A871A3">
        <w:rPr>
          <w:rFonts w:ascii="Times New Roman" w:hAnsi="Times New Roman" w:cs="Times New Roman"/>
          <w:sz w:val="20"/>
          <w:szCs w:val="20"/>
        </w:rPr>
        <w:t>possibilities</w:t>
      </w:r>
      <w:r w:rsidR="00415705" w:rsidRPr="00A871A3">
        <w:rPr>
          <w:rFonts w:ascii="Times New Roman" w:hAnsi="Times New Roman" w:cs="Times New Roman"/>
          <w:sz w:val="20"/>
          <w:szCs w:val="20"/>
        </w:rPr>
        <w:t xml:space="preserve"> in Model 3</w:t>
      </w:r>
      <w:r w:rsidR="00422620">
        <w:rPr>
          <w:rFonts w:ascii="Times New Roman" w:hAnsi="Times New Roman" w:cs="Times New Roman"/>
          <w:sz w:val="20"/>
          <w:szCs w:val="20"/>
        </w:rPr>
        <w:t>.</w:t>
      </w:r>
      <w:bookmarkStart w:id="61" w:name="_Hlk167358298"/>
    </w:p>
    <w:p w14:paraId="5CBA179E" w14:textId="7DA8D683" w:rsidR="00A871A3" w:rsidRDefault="00415705" w:rsidP="006C41A0">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A871A3">
        <w:rPr>
          <w:rFonts w:ascii="Times New Roman" w:hAnsi="Times New Roman" w:cs="Times New Roman"/>
          <w:sz w:val="20"/>
          <w:szCs w:val="20"/>
        </w:rPr>
        <w:t xml:space="preserve">In Model 4, </w:t>
      </w:r>
      <w:r w:rsidR="00124B1C" w:rsidRPr="00A871A3">
        <w:rPr>
          <w:rFonts w:ascii="Times New Roman" w:hAnsi="Times New Roman" w:cs="Times New Roman"/>
          <w:sz w:val="20"/>
          <w:szCs w:val="20"/>
        </w:rPr>
        <w:t>we used the probit model to estimate the effect of uncertainties on funding decisions</w:t>
      </w:r>
      <w:r w:rsidR="00320EA0" w:rsidRPr="00A871A3">
        <w:rPr>
          <w:rFonts w:ascii="Times New Roman" w:hAnsi="Times New Roman" w:cs="Times New Roman"/>
          <w:sz w:val="20"/>
          <w:szCs w:val="20"/>
        </w:rPr>
        <w:t>.</w:t>
      </w:r>
      <w:r w:rsidR="00124B1C" w:rsidRPr="00A871A3">
        <w:rPr>
          <w:rFonts w:ascii="Times New Roman" w:hAnsi="Times New Roman" w:cs="Times New Roman"/>
          <w:sz w:val="20"/>
          <w:szCs w:val="20"/>
        </w:rPr>
        <w:t xml:space="preserve"> </w:t>
      </w:r>
    </w:p>
    <w:p w14:paraId="0D68582E" w14:textId="064B4F74" w:rsidR="00F303AA" w:rsidRPr="00F303AA" w:rsidRDefault="00F303AA" w:rsidP="00F303AA">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F303AA">
        <w:rPr>
          <w:rFonts w:ascii="Times New Roman" w:hAnsi="Times New Roman" w:cs="Times New Roman" w:hint="eastAsia"/>
          <w:sz w:val="20"/>
          <w:szCs w:val="20"/>
        </w:rPr>
        <w:t>In the main model, the</w:t>
      </w:r>
      <w:r w:rsidRPr="00F303AA">
        <w:rPr>
          <w:rFonts w:ascii="Times New Roman" w:hAnsi="Times New Roman" w:cs="Times New Roman"/>
          <w:sz w:val="20"/>
          <w:szCs w:val="20"/>
        </w:rPr>
        <w:t xml:space="preserve"> generalisability uncertainty pertained specifically to </w:t>
      </w:r>
      <w:r w:rsidRPr="00F303AA">
        <w:rPr>
          <w:rFonts w:ascii="Times New Roman" w:hAnsi="Times New Roman" w:cs="Times New Roman" w:hint="eastAsia"/>
          <w:sz w:val="20"/>
          <w:szCs w:val="20"/>
        </w:rPr>
        <w:t>those unparameterisable part</w:t>
      </w:r>
      <w:r w:rsidR="00B07475">
        <w:rPr>
          <w:rFonts w:ascii="Times New Roman" w:hAnsi="Times New Roman" w:cs="Times New Roman"/>
          <w:sz w:val="20"/>
          <w:szCs w:val="20"/>
        </w:rPr>
        <w:t>s</w:t>
      </w:r>
      <w:r w:rsidRPr="00F303AA">
        <w:rPr>
          <w:rFonts w:ascii="Times New Roman" w:hAnsi="Times New Roman" w:cs="Times New Roman" w:hint="eastAsia"/>
          <w:sz w:val="20"/>
          <w:szCs w:val="20"/>
        </w:rPr>
        <w:t>. However, in practice, the</w:t>
      </w:r>
      <w:r w:rsidRPr="00F303AA">
        <w:rPr>
          <w:rFonts w:ascii="Times New Roman" w:hAnsi="Times New Roman" w:cs="Times New Roman"/>
          <w:sz w:val="20"/>
          <w:szCs w:val="20"/>
        </w:rPr>
        <w:t xml:space="preserve"> PBAC expressed </w:t>
      </w:r>
      <w:r w:rsidRPr="00F303AA">
        <w:rPr>
          <w:rFonts w:ascii="Times New Roman" w:hAnsi="Times New Roman" w:cs="Times New Roman" w:hint="eastAsia"/>
          <w:sz w:val="20"/>
          <w:szCs w:val="20"/>
        </w:rPr>
        <w:t xml:space="preserve">their concerns on </w:t>
      </w:r>
      <w:r w:rsidRPr="00F303AA">
        <w:rPr>
          <w:rFonts w:ascii="Times New Roman" w:hAnsi="Times New Roman" w:cs="Times New Roman"/>
          <w:sz w:val="20"/>
          <w:szCs w:val="20"/>
        </w:rPr>
        <w:t xml:space="preserve">the applicability to the PBS population </w:t>
      </w:r>
      <w:r w:rsidRPr="00F303AA">
        <w:rPr>
          <w:rFonts w:ascii="Times New Roman" w:hAnsi="Times New Roman" w:cs="Times New Roman" w:hint="eastAsia"/>
          <w:sz w:val="20"/>
          <w:szCs w:val="20"/>
        </w:rPr>
        <w:t xml:space="preserve">without considering whether it could be explored by </w:t>
      </w:r>
      <w:r w:rsidRPr="00F303AA">
        <w:rPr>
          <w:rFonts w:ascii="Times New Roman" w:hAnsi="Times New Roman" w:cs="Times New Roman"/>
          <w:sz w:val="20"/>
          <w:szCs w:val="20"/>
        </w:rPr>
        <w:t>alternative data sources (e.g., ITT population or subgroup population</w:t>
      </w:r>
      <w:r>
        <w:rPr>
          <w:rFonts w:ascii="Times New Roman" w:hAnsi="Times New Roman" w:cs="Times New Roman" w:hint="eastAsia"/>
          <w:sz w:val="20"/>
          <w:szCs w:val="20"/>
        </w:rPr>
        <w:t>) or not</w:t>
      </w:r>
      <w:r w:rsidRPr="00F303AA">
        <w:rPr>
          <w:rFonts w:ascii="Times New Roman" w:hAnsi="Times New Roman" w:cs="Times New Roman"/>
          <w:sz w:val="20"/>
          <w:szCs w:val="20"/>
        </w:rPr>
        <w:t xml:space="preserve">. </w:t>
      </w:r>
      <w:r w:rsidRPr="00F303AA">
        <w:rPr>
          <w:rFonts w:ascii="Times New Roman" w:hAnsi="Times New Roman" w:cs="Times New Roman" w:hint="eastAsia"/>
          <w:sz w:val="20"/>
          <w:szCs w:val="20"/>
        </w:rPr>
        <w:t xml:space="preserve">For example, in the </w:t>
      </w:r>
      <w:r w:rsidRPr="00F303AA">
        <w:rPr>
          <w:rFonts w:ascii="Times New Roman" w:hAnsi="Times New Roman" w:cs="Times New Roman"/>
          <w:sz w:val="20"/>
          <w:szCs w:val="20"/>
        </w:rPr>
        <w:t>submission</w:t>
      </w:r>
      <w:r w:rsidRPr="00F303AA">
        <w:rPr>
          <w:rFonts w:ascii="Times New Roman" w:hAnsi="Times New Roman" w:cs="Times New Roman" w:hint="eastAsia"/>
          <w:sz w:val="20"/>
          <w:szCs w:val="20"/>
        </w:rPr>
        <w:t xml:space="preserve"> of </w:t>
      </w:r>
      <w:r w:rsidRPr="00F303AA">
        <w:rPr>
          <w:rFonts w:ascii="Times New Roman" w:hAnsi="Times New Roman" w:cs="Times New Roman"/>
          <w:sz w:val="20"/>
          <w:szCs w:val="20"/>
        </w:rPr>
        <w:t xml:space="preserve">abiraterone for </w:t>
      </w:r>
      <w:r w:rsidR="00B07475">
        <w:rPr>
          <w:rFonts w:ascii="Times New Roman" w:hAnsi="Times New Roman" w:cs="Times New Roman"/>
          <w:sz w:val="20"/>
          <w:szCs w:val="20"/>
        </w:rPr>
        <w:t xml:space="preserve">the </w:t>
      </w:r>
      <w:r w:rsidRPr="00F303AA">
        <w:rPr>
          <w:rFonts w:ascii="Times New Roman" w:hAnsi="Times New Roman" w:cs="Times New Roman"/>
          <w:sz w:val="20"/>
          <w:szCs w:val="20"/>
        </w:rPr>
        <w:t>treatment of metastatic castrate-resistant prostate cancer</w:t>
      </w:r>
      <w:r w:rsidRPr="00F303AA">
        <w:rPr>
          <w:rFonts w:ascii="Times New Roman" w:hAnsi="Times New Roman" w:cs="Times New Roman" w:hint="eastAsia"/>
          <w:sz w:val="20"/>
          <w:szCs w:val="20"/>
        </w:rPr>
        <w:t xml:space="preserve">, one of </w:t>
      </w:r>
      <w:r w:rsidR="00B07475">
        <w:rPr>
          <w:rFonts w:ascii="Times New Roman" w:hAnsi="Times New Roman" w:cs="Times New Roman"/>
          <w:sz w:val="20"/>
          <w:szCs w:val="20"/>
        </w:rPr>
        <w:t xml:space="preserve">the </w:t>
      </w:r>
      <w:r w:rsidRPr="00F303AA">
        <w:rPr>
          <w:rFonts w:ascii="Times New Roman" w:hAnsi="Times New Roman" w:cs="Times New Roman" w:hint="eastAsia"/>
          <w:sz w:val="20"/>
          <w:szCs w:val="20"/>
        </w:rPr>
        <w:t>reason</w:t>
      </w:r>
      <w:r w:rsidR="00B07475">
        <w:rPr>
          <w:rFonts w:ascii="Times New Roman" w:hAnsi="Times New Roman" w:cs="Times New Roman"/>
          <w:sz w:val="20"/>
          <w:szCs w:val="20"/>
        </w:rPr>
        <w:t>s</w:t>
      </w:r>
      <w:r w:rsidRPr="00F303AA">
        <w:rPr>
          <w:rFonts w:ascii="Times New Roman" w:hAnsi="Times New Roman" w:cs="Times New Roman" w:hint="eastAsia"/>
          <w:sz w:val="20"/>
          <w:szCs w:val="20"/>
        </w:rPr>
        <w:t xml:space="preserve"> the</w:t>
      </w:r>
      <w:r w:rsidRPr="00F303AA">
        <w:rPr>
          <w:rFonts w:ascii="Times New Roman" w:hAnsi="Times New Roman" w:cs="Times New Roman"/>
          <w:sz w:val="20"/>
          <w:szCs w:val="20"/>
        </w:rPr>
        <w:t xml:space="preserve"> PBAC rejected </w:t>
      </w:r>
      <w:r w:rsidRPr="00F303AA">
        <w:rPr>
          <w:rFonts w:ascii="Times New Roman" w:hAnsi="Times New Roman" w:cs="Times New Roman" w:hint="eastAsia"/>
          <w:sz w:val="20"/>
          <w:szCs w:val="20"/>
        </w:rPr>
        <w:t xml:space="preserve">it was that </w:t>
      </w:r>
      <w:r w:rsidR="00B07475">
        <w:rPr>
          <w:rFonts w:ascii="Times New Roman" w:hAnsi="Times New Roman" w:cs="Times New Roman"/>
          <w:sz w:val="20"/>
          <w:szCs w:val="20"/>
        </w:rPr>
        <w:t xml:space="preserve">the </w:t>
      </w:r>
      <w:r w:rsidRPr="00F303AA">
        <w:rPr>
          <w:rFonts w:ascii="Times New Roman" w:hAnsi="Times New Roman" w:cs="Times New Roman"/>
          <w:sz w:val="20"/>
          <w:szCs w:val="20"/>
        </w:rPr>
        <w:t xml:space="preserve">subgroup </w:t>
      </w:r>
      <w:r w:rsidRPr="00F303AA">
        <w:rPr>
          <w:rFonts w:ascii="Times New Roman" w:hAnsi="Times New Roman" w:cs="Times New Roman" w:hint="eastAsia"/>
          <w:sz w:val="20"/>
          <w:szCs w:val="20"/>
        </w:rPr>
        <w:t xml:space="preserve">population was not applicable to the PBS population, the PBAC noted that </w:t>
      </w:r>
      <w:r w:rsidRPr="00F303AA">
        <w:rPr>
          <w:rFonts w:ascii="Times New Roman" w:hAnsi="Times New Roman" w:cs="Times New Roman"/>
          <w:sz w:val="20"/>
          <w:szCs w:val="20"/>
        </w:rPr>
        <w:t>ITT would therefore appear the most appropriate population</w:t>
      </w:r>
      <w:r>
        <w:rPr>
          <w:rFonts w:ascii="Times New Roman" w:hAnsi="Times New Roman" w:cs="Times New Roman" w:hint="eastAsia"/>
          <w:sz w:val="20"/>
          <w:szCs w:val="20"/>
        </w:rPr>
        <w:t xml:space="preserve"> </w:t>
      </w:r>
      <w:r>
        <w:rPr>
          <w:rFonts w:ascii="Times New Roman" w:hAnsi="Times New Roman" w:cs="Times New Roman"/>
          <w:sz w:val="20"/>
          <w:szCs w:val="20"/>
        </w:rPr>
        <w:fldChar w:fldCharType="begin"/>
      </w:r>
      <w:r w:rsidR="00AD61C8">
        <w:rPr>
          <w:rFonts w:ascii="Times New Roman" w:hAnsi="Times New Roman" w:cs="Times New Roman"/>
          <w:sz w:val="20"/>
          <w:szCs w:val="20"/>
        </w:rPr>
        <w:instrText xml:space="preserve"> ADDIN EN.CITE &lt;EndNote&gt;&lt;Cite&gt;&lt;Author&gt;Pharmaceutical Benefits Advisory Committee&lt;/Author&gt;&lt;Year&gt;2014&lt;/Year&gt;&lt;RecNum&gt;19274&lt;/RecNum&gt;&lt;DisplayText&gt;[15]&lt;/DisplayText&gt;&lt;record&gt;&lt;rec-number&gt;19274&lt;/rec-number&gt;&lt;foreign-keys&gt;&lt;key app="EN" db-id="5zttwaa2gstv57epr5z5zxv325varaa5e9rp" timestamp="1681373617"&gt;19274&lt;/key&gt;&lt;/foreign-keys&gt;&lt;ref-type name="Government Document"&gt;46&lt;/ref-type&gt;&lt;contributors&gt;&lt;authors&gt;&lt;author&gt;Pharmaceutical Benefits Advisory Committee,&lt;/author&gt;&lt;/authors&gt;&lt;/contributors&gt;&lt;titles&gt;&lt;title&gt;Abiraterone Acetate, tablet, 250 mg, Zytiga®, Janssen-Cilag Pty Ltd&lt;/title&gt;&lt;/titles&gt;&lt;dates&gt;&lt;year&gt;2014&lt;/year&gt;&lt;/dates&gt;&lt;urls&gt;&lt;related-urls&gt;&lt;url&gt;https://www.pbs.gov.au/info/industry/listing/elements/pbac-meetings/psd/2014-07/abiraterone-psd-07-2014&lt;/url&gt;&lt;/related-urls&gt;&lt;/urls&gt;&lt;access-date&gt;30 Aug 2020&lt;/access-date&gt;&lt;/record&gt;&lt;/Cite&gt;&lt;/EndNote&gt;</w:instrText>
      </w:r>
      <w:r>
        <w:rPr>
          <w:rFonts w:ascii="Times New Roman" w:hAnsi="Times New Roman" w:cs="Times New Roman"/>
          <w:sz w:val="20"/>
          <w:szCs w:val="20"/>
        </w:rPr>
        <w:fldChar w:fldCharType="separate"/>
      </w:r>
      <w:r w:rsidR="00AD61C8">
        <w:rPr>
          <w:rFonts w:ascii="Times New Roman" w:hAnsi="Times New Roman" w:cs="Times New Roman"/>
          <w:noProof/>
          <w:sz w:val="20"/>
          <w:szCs w:val="20"/>
        </w:rPr>
        <w:t>[15]</w:t>
      </w:r>
      <w:r>
        <w:rPr>
          <w:rFonts w:ascii="Times New Roman" w:hAnsi="Times New Roman" w:cs="Times New Roman"/>
          <w:sz w:val="20"/>
          <w:szCs w:val="20"/>
        </w:rPr>
        <w:fldChar w:fldCharType="end"/>
      </w:r>
      <w:r>
        <w:rPr>
          <w:rFonts w:ascii="Times New Roman" w:hAnsi="Times New Roman" w:cs="Times New Roman" w:hint="eastAsia"/>
          <w:sz w:val="20"/>
          <w:szCs w:val="20"/>
        </w:rPr>
        <w:t xml:space="preserve">. </w:t>
      </w:r>
      <w:proofErr w:type="gramStart"/>
      <w:r>
        <w:rPr>
          <w:rFonts w:ascii="Times New Roman" w:hAnsi="Times New Roman" w:cs="Times New Roman" w:hint="eastAsia"/>
          <w:sz w:val="20"/>
          <w:szCs w:val="20"/>
        </w:rPr>
        <w:t>In order to</w:t>
      </w:r>
      <w:proofErr w:type="gramEnd"/>
      <w:r>
        <w:rPr>
          <w:rFonts w:ascii="Times New Roman" w:hAnsi="Times New Roman" w:cs="Times New Roman" w:hint="eastAsia"/>
          <w:sz w:val="20"/>
          <w:szCs w:val="20"/>
        </w:rPr>
        <w:t xml:space="preserve"> avoid measurement bia</w:t>
      </w:r>
      <w:r w:rsidR="00D7244B">
        <w:rPr>
          <w:rFonts w:ascii="Times New Roman" w:hAnsi="Times New Roman" w:cs="Times New Roman" w:hint="eastAsia"/>
          <w:sz w:val="20"/>
          <w:szCs w:val="20"/>
        </w:rPr>
        <w:t>s</w:t>
      </w:r>
      <w:r>
        <w:rPr>
          <w:rFonts w:ascii="Times New Roman" w:hAnsi="Times New Roman" w:cs="Times New Roman" w:hint="eastAsia"/>
          <w:sz w:val="20"/>
          <w:szCs w:val="20"/>
        </w:rPr>
        <w:t xml:space="preserve">, we used the PBAC overall judgement on the </w:t>
      </w:r>
      <w:r>
        <w:rPr>
          <w:rFonts w:ascii="Times New Roman" w:hAnsi="Times New Roman" w:cs="Times New Roman"/>
          <w:sz w:val="20"/>
          <w:szCs w:val="20"/>
        </w:rPr>
        <w:t>generalis</w:t>
      </w:r>
      <w:r>
        <w:rPr>
          <w:rFonts w:ascii="Times New Roman" w:hAnsi="Times New Roman" w:cs="Times New Roman" w:hint="eastAsia"/>
          <w:sz w:val="20"/>
          <w:szCs w:val="20"/>
        </w:rPr>
        <w:t xml:space="preserve">ability uncertainty instead to explore the </w:t>
      </w:r>
      <w:r>
        <w:rPr>
          <w:rFonts w:ascii="Times New Roman" w:hAnsi="Times New Roman" w:cs="Times New Roman"/>
          <w:sz w:val="20"/>
          <w:szCs w:val="20"/>
        </w:rPr>
        <w:t>association</w:t>
      </w:r>
      <w:r>
        <w:rPr>
          <w:rFonts w:ascii="Times New Roman" w:hAnsi="Times New Roman" w:cs="Times New Roman" w:hint="eastAsia"/>
          <w:sz w:val="20"/>
          <w:szCs w:val="20"/>
        </w:rPr>
        <w:t xml:space="preserve">s with the </w:t>
      </w:r>
      <w:r>
        <w:rPr>
          <w:rFonts w:ascii="Times New Roman" w:hAnsi="Times New Roman" w:cs="Times New Roman"/>
          <w:sz w:val="20"/>
          <w:szCs w:val="20"/>
        </w:rPr>
        <w:t>positiv</w:t>
      </w:r>
      <w:r>
        <w:rPr>
          <w:rFonts w:ascii="Times New Roman" w:hAnsi="Times New Roman" w:cs="Times New Roman" w:hint="eastAsia"/>
          <w:sz w:val="20"/>
          <w:szCs w:val="20"/>
        </w:rPr>
        <w:t>e recommendations in Model 5.</w:t>
      </w:r>
    </w:p>
    <w:p w14:paraId="7E6509C8" w14:textId="560ACE9A" w:rsidR="00335FA7" w:rsidRDefault="00C84F9D" w:rsidP="006C41A0">
      <w:pPr>
        <w:pStyle w:val="ListParagraph"/>
        <w:widowControl/>
        <w:numPr>
          <w:ilvl w:val="0"/>
          <w:numId w:val="1"/>
        </w:numPr>
        <w:adjustRightInd w:val="0"/>
        <w:snapToGrid w:val="0"/>
        <w:spacing w:line="360" w:lineRule="auto"/>
        <w:ind w:left="0" w:firstLineChars="0" w:firstLine="288"/>
        <w:rPr>
          <w:rFonts w:ascii="Times New Roman" w:hAnsi="Times New Roman" w:cs="Times New Roman"/>
          <w:sz w:val="20"/>
          <w:szCs w:val="20"/>
        </w:rPr>
      </w:pPr>
      <w:r w:rsidRPr="00A871A3">
        <w:rPr>
          <w:rFonts w:ascii="Times New Roman" w:hAnsi="Times New Roman" w:cs="Times New Roman"/>
          <w:sz w:val="20"/>
          <w:szCs w:val="20"/>
        </w:rPr>
        <w:t xml:space="preserve">Model </w:t>
      </w:r>
      <w:r w:rsidR="00EF1B6A">
        <w:rPr>
          <w:rFonts w:ascii="Times New Roman" w:hAnsi="Times New Roman" w:cs="Times New Roman" w:hint="eastAsia"/>
          <w:sz w:val="20"/>
          <w:szCs w:val="20"/>
        </w:rPr>
        <w:t>6</w:t>
      </w:r>
      <w:r w:rsidR="00016A5A">
        <w:rPr>
          <w:rFonts w:ascii="Times New Roman" w:hAnsi="Times New Roman" w:cs="Times New Roman" w:hint="eastAsia"/>
          <w:sz w:val="20"/>
          <w:szCs w:val="20"/>
        </w:rPr>
        <w:t xml:space="preserve"> interacted</w:t>
      </w:r>
      <w:r w:rsidR="00B07475">
        <w:rPr>
          <w:rFonts w:ascii="Times New Roman" w:hAnsi="Times New Roman" w:cs="Times New Roman" w:hint="eastAsia"/>
          <w:sz w:val="20"/>
          <w:szCs w:val="20"/>
        </w:rPr>
        <w:t xml:space="preserve"> with</w:t>
      </w:r>
      <w:r w:rsidR="00016A5A">
        <w:rPr>
          <w:rFonts w:ascii="Times New Roman" w:hAnsi="Times New Roman" w:cs="Times New Roman" w:hint="eastAsia"/>
          <w:sz w:val="20"/>
          <w:szCs w:val="20"/>
        </w:rPr>
        <w:t xml:space="preserve"> </w:t>
      </w:r>
      <w:r w:rsidR="00016A5A" w:rsidRPr="00016A5A">
        <w:rPr>
          <w:rFonts w:ascii="Times New Roman" w:hAnsi="Times New Roman" w:cs="Times New Roman"/>
          <w:sz w:val="20"/>
          <w:szCs w:val="20"/>
        </w:rPr>
        <w:t>the statistical significance of clinical benefit and parameter uncertainty</w:t>
      </w:r>
      <w:r w:rsidR="00016A5A">
        <w:rPr>
          <w:rFonts w:ascii="Times New Roman" w:hAnsi="Times New Roman" w:cs="Times New Roman" w:hint="eastAsia"/>
          <w:sz w:val="20"/>
          <w:szCs w:val="20"/>
        </w:rPr>
        <w:t>.</w:t>
      </w:r>
    </w:p>
    <w:p w14:paraId="00D62423" w14:textId="28C29014" w:rsidR="006B7319" w:rsidRPr="006B7319" w:rsidRDefault="00945E97" w:rsidP="00A55FF2">
      <w:pPr>
        <w:pStyle w:val="ListParagraph"/>
        <w:widowControl/>
        <w:numPr>
          <w:ilvl w:val="0"/>
          <w:numId w:val="1"/>
        </w:numPr>
        <w:autoSpaceDE w:val="0"/>
        <w:autoSpaceDN w:val="0"/>
        <w:adjustRightInd w:val="0"/>
        <w:snapToGrid w:val="0"/>
        <w:spacing w:line="360" w:lineRule="auto"/>
        <w:ind w:left="0" w:firstLineChars="0" w:firstLine="288"/>
        <w:jc w:val="left"/>
        <w:rPr>
          <w:rFonts w:ascii="Times New Roman" w:hAnsi="Times New Roman" w:cs="Times New Roman"/>
          <w:b/>
          <w:bCs/>
        </w:rPr>
      </w:pPr>
      <w:r w:rsidRPr="006B7319">
        <w:rPr>
          <w:rFonts w:ascii="Times New Roman" w:hAnsi="Times New Roman" w:cs="Times New Roman"/>
          <w:color w:val="000000" w:themeColor="text1"/>
          <w:sz w:val="20"/>
          <w:szCs w:val="20"/>
        </w:rPr>
        <w:t xml:space="preserve">Harris et al. (2008) </w:t>
      </w:r>
      <w:r w:rsidR="00507299" w:rsidRPr="006B7319">
        <w:rPr>
          <w:rFonts w:ascii="Times New Roman" w:hAnsi="Times New Roman" w:cs="Times New Roman"/>
          <w:color w:val="000000" w:themeColor="text1"/>
          <w:sz w:val="20"/>
          <w:szCs w:val="20"/>
        </w:rPr>
        <w:fldChar w:fldCharType="begin"/>
      </w:r>
      <w:r w:rsidR="00507299" w:rsidRPr="006B7319">
        <w:rPr>
          <w:rFonts w:ascii="Times New Roman" w:hAnsi="Times New Roman" w:cs="Times New Roman"/>
          <w:color w:val="000000" w:themeColor="text1"/>
          <w:sz w:val="20"/>
          <w:szCs w:val="20"/>
        </w:rPr>
        <w:instrText xml:space="preserve"> ADDIN EN.CITE &lt;EndNote&gt;&lt;Cite&gt;&lt;Author&gt;Harris&lt;/Author&gt;&lt;Year&gt;2008&lt;/Year&gt;&lt;RecNum&gt;17164&lt;/RecNum&gt;&lt;DisplayText&gt;[2]&lt;/DisplayText&gt;&lt;record&gt;&lt;rec-number&gt;17164&lt;/rec-number&gt;&lt;foreign-keys&gt;&lt;key app="EN" db-id="5zttwaa2gstv57epr5z5zxv325varaa5e9rp" timestamp="1604582507"&gt;17164&lt;/key&gt;&lt;/foreign-keys&gt;&lt;ref-type name="Journal Article"&gt;17&lt;/ref-type&gt;&lt;contributors&gt;&lt;authors&gt;&lt;author&gt;Harris, A. H.&lt;/author&gt;&lt;author&gt;Hill, S. R.&lt;/author&gt;&lt;author&gt;Chin, G.&lt;/author&gt;&lt;author&gt;Li, J. J.&lt;/author&gt;&lt;author&gt;Walkom, E.&lt;/author&gt;&lt;/authors&gt;&lt;/contributors&gt;&lt;auth-address&gt;Monash University, Victoria, Australia. anthony.harris@buseco.monash.edu.au&lt;/auth-address&gt;&lt;titles&gt;&lt;title&gt;The role of value for money in public insurance coverage decisions for drugs in Australia: a retrospective analysis 1994-2004&lt;/title&gt;&lt;secondary-title&gt;Med Decis Making&lt;/secondary-title&gt;&lt;/titles&gt;&lt;periodical&gt;&lt;full-title&gt;Med Decis Making&lt;/full-title&gt;&lt;abbr-1&gt;Medical decision making : an international journal of the Society for Medical Decision Making&lt;/abbr-1&gt;&lt;/periodical&gt;&lt;pages&gt;713-22&lt;/pages&gt;&lt;volume&gt;28&lt;/volume&gt;&lt;number&gt;5&lt;/number&gt;&lt;edition&gt;2008/04/02&lt;/edition&gt;&lt;keywords&gt;&lt;keyword&gt;Australia&lt;/keyword&gt;&lt;keyword&gt;Decision Making&lt;/keyword&gt;&lt;keyword&gt;Insurance Coverage/*economics&lt;/keyword&gt;&lt;keyword&gt;Insurance, Pharmaceutical Services&lt;/keyword&gt;&lt;keyword&gt;Models, Statistical&lt;/keyword&gt;&lt;keyword&gt;National Health Programs&lt;/keyword&gt;&lt;keyword&gt;Pharmaceutical Preparations/*economics&lt;/keyword&gt;&lt;keyword&gt;Quality-Adjusted Life Years&lt;/keyword&gt;&lt;keyword&gt;Retrospective Studies&lt;/keyword&gt;&lt;/keywords&gt;&lt;dates&gt;&lt;year&gt;2008&lt;/year&gt;&lt;pub-dates&gt;&lt;date&gt;Sep-Oct&lt;/date&gt;&lt;/pub-dates&gt;&lt;/dates&gt;&lt;isbn&gt;0272-989X (Print)&amp;#xD;0272-989x&lt;/isbn&gt;&lt;accession-num&gt;18378939&lt;/accession-num&gt;&lt;label&gt;&lt;style face="normal" font="default" charset="134" size="100%"&gt;</w:instrText>
      </w:r>
      <w:r w:rsidR="00507299" w:rsidRPr="006B7319">
        <w:rPr>
          <w:rFonts w:ascii="Times New Roman" w:hAnsi="Times New Roman" w:cs="Times New Roman"/>
          <w:color w:val="000000" w:themeColor="text1"/>
          <w:sz w:val="20"/>
          <w:szCs w:val="20"/>
        </w:rPr>
        <w:instrText>影响因素分析</w:instrText>
      </w:r>
      <w:r w:rsidR="00507299" w:rsidRPr="006B7319">
        <w:rPr>
          <w:rFonts w:ascii="Times New Roman" w:hAnsi="Times New Roman" w:cs="Times New Roman"/>
          <w:color w:val="000000" w:themeColor="text1"/>
          <w:sz w:val="20"/>
          <w:szCs w:val="20"/>
        </w:rPr>
        <w:instrText>&lt;/style&gt;&lt;/label&gt;&lt;urls&gt;&lt;/urls&gt;&lt;electronic-resource-num&gt;10.1177/0272989x08315247&lt;/electronic-resource-num&gt;&lt;remote-database-provider&gt;NLM&lt;/remote-database-provider&gt;&lt;language&gt;eng&lt;/language&gt;&lt;/record&gt;&lt;/Cite&gt;&lt;/EndNote&gt;</w:instrText>
      </w:r>
      <w:r w:rsidR="00507299" w:rsidRPr="006B7319">
        <w:rPr>
          <w:rFonts w:ascii="Times New Roman" w:hAnsi="Times New Roman" w:cs="Times New Roman"/>
          <w:color w:val="000000" w:themeColor="text1"/>
          <w:sz w:val="20"/>
          <w:szCs w:val="20"/>
        </w:rPr>
        <w:fldChar w:fldCharType="separate"/>
      </w:r>
      <w:r w:rsidRPr="006B7319">
        <w:rPr>
          <w:rFonts w:ascii="Times New Roman" w:hAnsi="Times New Roman" w:cs="Times New Roman"/>
          <w:noProof/>
          <w:color w:val="000000" w:themeColor="text1"/>
          <w:sz w:val="20"/>
          <w:szCs w:val="20"/>
        </w:rPr>
        <w:t>[2]</w:t>
      </w:r>
      <w:r w:rsidR="00507299" w:rsidRPr="006B7319">
        <w:rPr>
          <w:rFonts w:ascii="Times New Roman" w:hAnsi="Times New Roman" w:cs="Times New Roman"/>
          <w:color w:val="000000" w:themeColor="text1"/>
          <w:sz w:val="20"/>
          <w:szCs w:val="20"/>
        </w:rPr>
        <w:fldChar w:fldCharType="end"/>
      </w:r>
      <w:r w:rsidRPr="006B7319">
        <w:rPr>
          <w:rFonts w:ascii="Times New Roman" w:hAnsi="Times New Roman" w:cs="Times New Roman"/>
          <w:color w:val="000000" w:themeColor="text1"/>
          <w:sz w:val="20"/>
          <w:szCs w:val="20"/>
        </w:rPr>
        <w:t xml:space="preserve"> did not regard the uncertainty around utility separately, we followed them to pool </w:t>
      </w:r>
      <w:r w:rsidRPr="006B7319">
        <w:rPr>
          <w:rFonts w:ascii="Times New Roman" w:hAnsi="Times New Roman" w:cs="Times New Roman"/>
          <w:sz w:val="20"/>
          <w:szCs w:val="20"/>
        </w:rPr>
        <w:t>parameterisable methodological uncertainty and parameter uncertainty around utility to test whether it was associated with the PBAC recommendation</w:t>
      </w:r>
      <w:r w:rsidR="00094C80" w:rsidRPr="006B7319">
        <w:rPr>
          <w:rFonts w:ascii="Times New Roman" w:hAnsi="Times New Roman" w:cs="Times New Roman"/>
          <w:sz w:val="20"/>
          <w:szCs w:val="20"/>
        </w:rPr>
        <w:t xml:space="preserve"> in Model </w:t>
      </w:r>
      <w:r w:rsidR="00EF1B6A" w:rsidRPr="006B7319">
        <w:rPr>
          <w:rFonts w:ascii="Times New Roman" w:hAnsi="Times New Roman" w:cs="Times New Roman" w:hint="eastAsia"/>
          <w:sz w:val="20"/>
          <w:szCs w:val="20"/>
        </w:rPr>
        <w:t>7</w:t>
      </w:r>
      <w:r w:rsidRPr="006B7319">
        <w:rPr>
          <w:rFonts w:ascii="Times New Roman" w:hAnsi="Times New Roman" w:cs="Times New Roman"/>
          <w:sz w:val="20"/>
          <w:szCs w:val="20"/>
        </w:rPr>
        <w:t>.</w:t>
      </w:r>
      <w:bookmarkEnd w:id="61"/>
    </w:p>
    <w:p w14:paraId="352D4F24"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4A9B8999"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6874EF93"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50AC1AB1"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1C010B9E"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54ACE503"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64E15C56"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0342EF0A"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580B17FB"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74555AFF"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pPr>
    </w:p>
    <w:p w14:paraId="0990CDCB" w14:textId="77777777" w:rsidR="006B7319" w:rsidRDefault="006B7319" w:rsidP="00B74735">
      <w:pPr>
        <w:autoSpaceDE w:val="0"/>
        <w:autoSpaceDN w:val="0"/>
        <w:adjustRightInd w:val="0"/>
        <w:snapToGrid w:val="0"/>
        <w:spacing w:line="360" w:lineRule="auto"/>
        <w:jc w:val="left"/>
        <w:rPr>
          <w:rFonts w:ascii="Times New Roman" w:hAnsi="Times New Roman" w:cs="Times New Roman"/>
          <w:b/>
          <w:bCs/>
        </w:rPr>
        <w:sectPr w:rsidR="006B7319" w:rsidSect="00E82899">
          <w:type w:val="continuous"/>
          <w:pgSz w:w="11906" w:h="16838"/>
          <w:pgMar w:top="1440" w:right="1800" w:bottom="1440" w:left="1800" w:header="850" w:footer="994" w:gutter="0"/>
          <w:cols w:space="425"/>
          <w:docGrid w:type="lines" w:linePitch="312"/>
        </w:sectPr>
      </w:pPr>
    </w:p>
    <w:p w14:paraId="62D55ED1" w14:textId="3C746EF8" w:rsidR="00006F22" w:rsidRDefault="00930257" w:rsidP="00B74735">
      <w:pPr>
        <w:autoSpaceDE w:val="0"/>
        <w:autoSpaceDN w:val="0"/>
        <w:adjustRightInd w:val="0"/>
        <w:snapToGrid w:val="0"/>
        <w:spacing w:line="360" w:lineRule="auto"/>
        <w:jc w:val="left"/>
      </w:pPr>
      <w:r w:rsidRPr="00B51ED4">
        <w:rPr>
          <w:rFonts w:ascii="Times New Roman" w:hAnsi="Times New Roman" w:cs="Times New Roman"/>
          <w:b/>
          <w:bCs/>
        </w:rPr>
        <w:lastRenderedPageBreak/>
        <w:t xml:space="preserve">Table </w:t>
      </w:r>
      <w:r w:rsidRPr="00CD4A45">
        <w:rPr>
          <w:rFonts w:ascii="Times New Roman" w:hAnsi="Times New Roman" w:cs="Times New Roman"/>
        </w:rPr>
        <w:t>7</w:t>
      </w:r>
      <w:r w:rsidRPr="00B51ED4">
        <w:rPr>
          <w:rFonts w:ascii="Times New Roman" w:hAnsi="Times New Roman" w:cs="Times New Roman"/>
          <w:b/>
          <w:bCs/>
        </w:rPr>
        <w:t xml:space="preserve">-1 </w:t>
      </w:r>
      <w:r w:rsidR="006B7319">
        <w:rPr>
          <w:rFonts w:ascii="Times New Roman" w:hAnsi="Times New Roman" w:cs="Times New Roman" w:hint="eastAsia"/>
          <w:b/>
          <w:bCs/>
        </w:rPr>
        <w:t>R</w:t>
      </w:r>
      <w:r w:rsidRPr="00B51ED4">
        <w:rPr>
          <w:rFonts w:ascii="Times New Roman" w:hAnsi="Times New Roman" w:cs="Times New Roman"/>
          <w:b/>
          <w:bCs/>
        </w:rPr>
        <w:t>esult of the robustness check</w:t>
      </w:r>
      <w:r w:rsidR="000F1759">
        <w:rPr>
          <w:rFonts w:ascii="Times New Roman" w:hAnsi="Times New Roman" w:cs="Times New Roman"/>
          <w:b/>
          <w:bCs/>
        </w:rPr>
        <w:t>s</w:t>
      </w:r>
    </w:p>
    <w:tbl>
      <w:tblPr>
        <w:tblpPr w:leftFromText="180" w:rightFromText="180" w:vertAnchor="text" w:tblpX="-323" w:tblpY="1"/>
        <w:tblOverlap w:val="neve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80"/>
        <w:gridCol w:w="1440"/>
        <w:gridCol w:w="1620"/>
        <w:gridCol w:w="1440"/>
        <w:gridCol w:w="1440"/>
        <w:gridCol w:w="1525"/>
        <w:gridCol w:w="1445"/>
        <w:gridCol w:w="1440"/>
        <w:gridCol w:w="1615"/>
      </w:tblGrid>
      <w:tr w:rsidR="00EF1B6A" w:rsidRPr="0077583B" w14:paraId="18292008" w14:textId="77777777" w:rsidTr="00EF1B6A">
        <w:trPr>
          <w:trHeight w:val="80"/>
          <w:tblHeader/>
        </w:trPr>
        <w:tc>
          <w:tcPr>
            <w:tcW w:w="1980" w:type="dxa"/>
          </w:tcPr>
          <w:p w14:paraId="2EA3707D" w14:textId="77777777" w:rsidR="00EF1B6A" w:rsidRPr="0077583B" w:rsidRDefault="00EF1B6A" w:rsidP="00006F22">
            <w:pPr>
              <w:autoSpaceDE w:val="0"/>
              <w:autoSpaceDN w:val="0"/>
              <w:adjustRightInd w:val="0"/>
              <w:snapToGrid w:val="0"/>
              <w:rPr>
                <w:rFonts w:ascii="Times New Roman" w:hAnsi="Times New Roman" w:cs="Times New Roman"/>
                <w:b/>
                <w:bCs/>
                <w:sz w:val="20"/>
                <w:szCs w:val="20"/>
              </w:rPr>
            </w:pPr>
            <w:r w:rsidRPr="0077583B">
              <w:rPr>
                <w:rFonts w:ascii="Times New Roman" w:hAnsi="Times New Roman" w:cs="Times New Roman"/>
                <w:b/>
                <w:bCs/>
                <w:sz w:val="20"/>
                <w:szCs w:val="20"/>
              </w:rPr>
              <w:t xml:space="preserve">Variables </w:t>
            </w:r>
          </w:p>
        </w:tc>
        <w:tc>
          <w:tcPr>
            <w:tcW w:w="1440" w:type="dxa"/>
          </w:tcPr>
          <w:p w14:paraId="4F1F28DA" w14:textId="77777777" w:rsidR="00EF1B6A" w:rsidRPr="0077583B" w:rsidRDefault="00EF1B6A" w:rsidP="00006F22">
            <w:pPr>
              <w:autoSpaceDE w:val="0"/>
              <w:autoSpaceDN w:val="0"/>
              <w:adjustRightInd w:val="0"/>
              <w:snapToGrid w:val="0"/>
              <w:jc w:val="left"/>
              <w:rPr>
                <w:rFonts w:ascii="Times New Roman" w:hAnsi="Times New Roman" w:cs="Times New Roman"/>
                <w:b/>
                <w:bCs/>
                <w:sz w:val="20"/>
                <w:szCs w:val="20"/>
              </w:rPr>
            </w:pPr>
            <w:r w:rsidRPr="0077583B">
              <w:rPr>
                <w:rFonts w:ascii="Times New Roman" w:hAnsi="Times New Roman" w:cs="Times New Roman"/>
                <w:b/>
                <w:bCs/>
                <w:sz w:val="20"/>
                <w:szCs w:val="20"/>
              </w:rPr>
              <w:t>Main model</w:t>
            </w:r>
          </w:p>
          <w:p w14:paraId="796F0AEF" w14:textId="77777777" w:rsidR="00EF1B6A" w:rsidRPr="0077583B" w:rsidRDefault="00EF1B6A" w:rsidP="00006F22">
            <w:pPr>
              <w:autoSpaceDE w:val="0"/>
              <w:autoSpaceDN w:val="0"/>
              <w:adjustRightInd w:val="0"/>
              <w:snapToGrid w:val="0"/>
              <w:jc w:val="left"/>
              <w:rPr>
                <w:rFonts w:ascii="Times New Roman" w:hAnsi="Times New Roman" w:cs="Times New Roman"/>
                <w:b/>
                <w:bCs/>
                <w:sz w:val="20"/>
                <w:szCs w:val="20"/>
              </w:rPr>
            </w:pPr>
            <w:r w:rsidRPr="0077583B">
              <w:rPr>
                <w:rFonts w:ascii="Times New Roman" w:hAnsi="Times New Roman" w:cs="Times New Roman"/>
                <w:b/>
                <w:bCs/>
                <w:sz w:val="20"/>
                <w:szCs w:val="20"/>
              </w:rPr>
              <w:t xml:space="preserve">AME (95%CI)  </w:t>
            </w:r>
          </w:p>
        </w:tc>
        <w:tc>
          <w:tcPr>
            <w:tcW w:w="1620" w:type="dxa"/>
          </w:tcPr>
          <w:p w14:paraId="34036790" w14:textId="77777777" w:rsidR="00EF1B6A" w:rsidRPr="0077583B" w:rsidRDefault="00EF1B6A" w:rsidP="00006F22">
            <w:pPr>
              <w:autoSpaceDE w:val="0"/>
              <w:autoSpaceDN w:val="0"/>
              <w:adjustRightInd w:val="0"/>
              <w:snapToGrid w:val="0"/>
              <w:jc w:val="left"/>
              <w:rPr>
                <w:rFonts w:ascii="Times New Roman" w:hAnsi="Times New Roman" w:cs="Times New Roman"/>
                <w:b/>
                <w:bCs/>
                <w:sz w:val="20"/>
                <w:szCs w:val="20"/>
              </w:rPr>
            </w:pPr>
            <w:r w:rsidRPr="0077583B">
              <w:rPr>
                <w:rFonts w:ascii="Times New Roman" w:hAnsi="Times New Roman" w:cs="Times New Roman"/>
                <w:b/>
                <w:bCs/>
                <w:sz w:val="20"/>
                <w:szCs w:val="20"/>
              </w:rPr>
              <w:t>Model 1</w:t>
            </w:r>
          </w:p>
          <w:p w14:paraId="01A8D928" w14:textId="77777777" w:rsidR="00EF1B6A" w:rsidRPr="0077583B" w:rsidRDefault="00EF1B6A" w:rsidP="00006F22">
            <w:pPr>
              <w:autoSpaceDE w:val="0"/>
              <w:autoSpaceDN w:val="0"/>
              <w:adjustRightInd w:val="0"/>
              <w:snapToGrid w:val="0"/>
              <w:jc w:val="left"/>
              <w:rPr>
                <w:rFonts w:ascii="Times New Roman" w:hAnsi="Times New Roman" w:cs="Times New Roman"/>
                <w:b/>
                <w:bCs/>
                <w:sz w:val="20"/>
                <w:szCs w:val="20"/>
              </w:rPr>
            </w:pPr>
            <w:r w:rsidRPr="0077583B">
              <w:rPr>
                <w:rFonts w:ascii="Times New Roman" w:hAnsi="Times New Roman" w:cs="Times New Roman"/>
                <w:b/>
                <w:bCs/>
                <w:sz w:val="20"/>
                <w:szCs w:val="20"/>
              </w:rPr>
              <w:t xml:space="preserve">AME (95%CI)  </w:t>
            </w:r>
          </w:p>
        </w:tc>
        <w:tc>
          <w:tcPr>
            <w:tcW w:w="1440" w:type="dxa"/>
          </w:tcPr>
          <w:p w14:paraId="459F7ED7"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Model 2</w:t>
            </w:r>
          </w:p>
          <w:p w14:paraId="12D1D780" w14:textId="77777777" w:rsidR="00EF1B6A" w:rsidRPr="0077583B" w:rsidRDefault="00EF1B6A" w:rsidP="00006F22">
            <w:pPr>
              <w:autoSpaceDE w:val="0"/>
              <w:autoSpaceDN w:val="0"/>
              <w:adjustRightInd w:val="0"/>
              <w:snapToGrid w:val="0"/>
              <w:jc w:val="left"/>
              <w:rPr>
                <w:rFonts w:ascii="Times New Roman" w:hAnsi="Times New Roman" w:cs="Times New Roman"/>
                <w:b/>
                <w:bCs/>
                <w:sz w:val="20"/>
                <w:szCs w:val="20"/>
              </w:rPr>
            </w:pPr>
            <w:r w:rsidRPr="0077583B">
              <w:rPr>
                <w:rFonts w:ascii="Times New Roman" w:eastAsia="SimSun" w:hAnsi="Times New Roman" w:cs="Times New Roman"/>
                <w:b/>
                <w:bCs/>
                <w:sz w:val="20"/>
                <w:szCs w:val="20"/>
              </w:rPr>
              <w:t xml:space="preserve">AME (95%CI)  </w:t>
            </w:r>
          </w:p>
        </w:tc>
        <w:tc>
          <w:tcPr>
            <w:tcW w:w="1440" w:type="dxa"/>
          </w:tcPr>
          <w:p w14:paraId="1744FCD4"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Model 3</w:t>
            </w:r>
          </w:p>
          <w:p w14:paraId="4CA414C0"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AME (95%CI)  </w:t>
            </w:r>
          </w:p>
        </w:tc>
        <w:tc>
          <w:tcPr>
            <w:tcW w:w="1525" w:type="dxa"/>
          </w:tcPr>
          <w:p w14:paraId="4DBCEB62"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Model 4</w:t>
            </w:r>
          </w:p>
          <w:p w14:paraId="639EDC13"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AME (95%CI)  </w:t>
            </w:r>
          </w:p>
        </w:tc>
        <w:tc>
          <w:tcPr>
            <w:tcW w:w="1445" w:type="dxa"/>
            <w:shd w:val="clear" w:color="auto" w:fill="auto"/>
          </w:tcPr>
          <w:p w14:paraId="606DBE0F"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Model 5</w:t>
            </w:r>
          </w:p>
          <w:p w14:paraId="6D213AA2"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AME (95%CI)  </w:t>
            </w:r>
          </w:p>
        </w:tc>
        <w:tc>
          <w:tcPr>
            <w:tcW w:w="1440" w:type="dxa"/>
          </w:tcPr>
          <w:p w14:paraId="4E13E1ED" w14:textId="6E8DF2C5"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  Model </w:t>
            </w:r>
            <w:r>
              <w:rPr>
                <w:rFonts w:ascii="Times New Roman" w:eastAsia="SimSun" w:hAnsi="Times New Roman" w:cs="Times New Roman" w:hint="eastAsia"/>
                <w:b/>
                <w:bCs/>
                <w:sz w:val="20"/>
                <w:szCs w:val="20"/>
              </w:rPr>
              <w:t>6</w:t>
            </w:r>
          </w:p>
          <w:p w14:paraId="6BCF1BD5"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AME (95%CI)  </w:t>
            </w:r>
          </w:p>
        </w:tc>
        <w:tc>
          <w:tcPr>
            <w:tcW w:w="1615" w:type="dxa"/>
          </w:tcPr>
          <w:p w14:paraId="036BB950" w14:textId="70BCA735"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Model </w:t>
            </w:r>
            <w:r>
              <w:rPr>
                <w:rFonts w:ascii="Times New Roman" w:eastAsia="SimSun" w:hAnsi="Times New Roman" w:cs="Times New Roman" w:hint="eastAsia"/>
                <w:b/>
                <w:bCs/>
                <w:sz w:val="20"/>
                <w:szCs w:val="20"/>
              </w:rPr>
              <w:t>7</w:t>
            </w:r>
          </w:p>
          <w:p w14:paraId="56B0DA26" w14:textId="77777777" w:rsidR="00EF1B6A" w:rsidRPr="0077583B" w:rsidRDefault="00EF1B6A" w:rsidP="00006F22">
            <w:pPr>
              <w:autoSpaceDE w:val="0"/>
              <w:autoSpaceDN w:val="0"/>
              <w:adjustRightInd w:val="0"/>
              <w:snapToGrid w:val="0"/>
              <w:jc w:val="left"/>
              <w:rPr>
                <w:rFonts w:ascii="Times New Roman" w:eastAsia="SimSun" w:hAnsi="Times New Roman" w:cs="Times New Roman"/>
                <w:b/>
                <w:bCs/>
                <w:kern w:val="0"/>
                <w:sz w:val="20"/>
                <w:szCs w:val="20"/>
              </w:rPr>
            </w:pPr>
            <w:r w:rsidRPr="0077583B">
              <w:rPr>
                <w:rFonts w:ascii="Times New Roman" w:eastAsia="SimSun" w:hAnsi="Times New Roman" w:cs="Times New Roman"/>
                <w:b/>
                <w:bCs/>
                <w:sz w:val="20"/>
                <w:szCs w:val="20"/>
              </w:rPr>
              <w:t xml:space="preserve">AME (95%CI)  </w:t>
            </w:r>
          </w:p>
        </w:tc>
      </w:tr>
      <w:tr w:rsidR="00EF1B6A" w:rsidRPr="0077583B" w14:paraId="18ADE865" w14:textId="77777777" w:rsidTr="00EF1B6A">
        <w:trPr>
          <w:trHeight w:val="210"/>
        </w:trPr>
        <w:tc>
          <w:tcPr>
            <w:tcW w:w="1980" w:type="dxa"/>
          </w:tcPr>
          <w:p w14:paraId="7A56C8D7"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Methodological uncertainty (unparameterisable)</w:t>
            </w:r>
          </w:p>
        </w:tc>
        <w:tc>
          <w:tcPr>
            <w:tcW w:w="1440" w:type="dxa"/>
          </w:tcPr>
          <w:p w14:paraId="6E63E879" w14:textId="77777777" w:rsidR="00EF1B6A" w:rsidRPr="0077583B" w:rsidRDefault="00EF1B6A" w:rsidP="00006F22">
            <w:pPr>
              <w:autoSpaceDE w:val="0"/>
              <w:autoSpaceDN w:val="0"/>
              <w:adjustRightInd w:val="0"/>
              <w:snapToGrid w:val="0"/>
              <w:jc w:val="left"/>
              <w:rPr>
                <w:rFonts w:ascii="Times New Roman" w:hAnsi="Times New Roman" w:cs="Times New Roman"/>
                <w:sz w:val="20"/>
                <w:szCs w:val="20"/>
              </w:rPr>
            </w:pPr>
          </w:p>
        </w:tc>
        <w:tc>
          <w:tcPr>
            <w:tcW w:w="1620" w:type="dxa"/>
          </w:tcPr>
          <w:p w14:paraId="09DA5A47" w14:textId="77777777" w:rsidR="00EF1B6A" w:rsidRPr="0077583B" w:rsidRDefault="00EF1B6A" w:rsidP="00006F22">
            <w:pPr>
              <w:autoSpaceDE w:val="0"/>
              <w:autoSpaceDN w:val="0"/>
              <w:adjustRightInd w:val="0"/>
              <w:snapToGrid w:val="0"/>
              <w:jc w:val="left"/>
              <w:rPr>
                <w:rFonts w:ascii="Times New Roman" w:hAnsi="Times New Roman" w:cs="Times New Roman"/>
                <w:sz w:val="20"/>
                <w:szCs w:val="20"/>
              </w:rPr>
            </w:pPr>
          </w:p>
        </w:tc>
        <w:tc>
          <w:tcPr>
            <w:tcW w:w="1440" w:type="dxa"/>
          </w:tcPr>
          <w:p w14:paraId="18C61410" w14:textId="77777777" w:rsidR="00EF1B6A" w:rsidRPr="0077583B" w:rsidRDefault="00EF1B6A" w:rsidP="00006F22">
            <w:pPr>
              <w:autoSpaceDE w:val="0"/>
              <w:autoSpaceDN w:val="0"/>
              <w:adjustRightInd w:val="0"/>
              <w:snapToGrid w:val="0"/>
              <w:jc w:val="left"/>
              <w:rPr>
                <w:rFonts w:ascii="Times New Roman" w:hAnsi="Times New Roman" w:cs="Times New Roman"/>
                <w:sz w:val="20"/>
                <w:szCs w:val="20"/>
              </w:rPr>
            </w:pPr>
          </w:p>
        </w:tc>
        <w:tc>
          <w:tcPr>
            <w:tcW w:w="1440" w:type="dxa"/>
          </w:tcPr>
          <w:p w14:paraId="01FC5B1F"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p>
        </w:tc>
        <w:tc>
          <w:tcPr>
            <w:tcW w:w="1525" w:type="dxa"/>
          </w:tcPr>
          <w:p w14:paraId="4940554E"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p>
        </w:tc>
        <w:tc>
          <w:tcPr>
            <w:tcW w:w="1445" w:type="dxa"/>
            <w:shd w:val="clear" w:color="auto" w:fill="auto"/>
          </w:tcPr>
          <w:p w14:paraId="44156F26"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4A5F50B5"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p>
        </w:tc>
        <w:tc>
          <w:tcPr>
            <w:tcW w:w="1615" w:type="dxa"/>
          </w:tcPr>
          <w:p w14:paraId="45A812A9" w14:textId="77777777" w:rsidR="00EF1B6A" w:rsidRPr="0077583B" w:rsidRDefault="00EF1B6A" w:rsidP="00006F22">
            <w:pPr>
              <w:autoSpaceDE w:val="0"/>
              <w:autoSpaceDN w:val="0"/>
              <w:adjustRightInd w:val="0"/>
              <w:snapToGrid w:val="0"/>
              <w:jc w:val="left"/>
              <w:rPr>
                <w:rFonts w:ascii="Times New Roman" w:eastAsia="SimSun" w:hAnsi="Times New Roman" w:cs="Times New Roman"/>
                <w:kern w:val="0"/>
                <w:sz w:val="20"/>
                <w:szCs w:val="20"/>
              </w:rPr>
            </w:pPr>
          </w:p>
        </w:tc>
      </w:tr>
      <w:tr w:rsidR="00EF1B6A" w:rsidRPr="0077583B" w14:paraId="76ADA978" w14:textId="77777777" w:rsidTr="00EF1B6A">
        <w:trPr>
          <w:trHeight w:val="53"/>
        </w:trPr>
        <w:tc>
          <w:tcPr>
            <w:tcW w:w="1980" w:type="dxa"/>
          </w:tcPr>
          <w:p w14:paraId="558959FD" w14:textId="77777777"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 (Ref. yes)</w:t>
            </w:r>
          </w:p>
        </w:tc>
        <w:tc>
          <w:tcPr>
            <w:tcW w:w="1440" w:type="dxa"/>
          </w:tcPr>
          <w:p w14:paraId="7B661770" w14:textId="569CE692"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0.150*** (0.061, 0.240)</w:t>
            </w:r>
          </w:p>
        </w:tc>
        <w:tc>
          <w:tcPr>
            <w:tcW w:w="1620" w:type="dxa"/>
          </w:tcPr>
          <w:p w14:paraId="00D4E577"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0.136***</w:t>
            </w:r>
          </w:p>
          <w:p w14:paraId="49CE4ADA" w14:textId="1405F19E"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0.046</w:t>
            </w:r>
            <w:r>
              <w:rPr>
                <w:rFonts w:ascii="Times New Roman" w:hAnsi="Times New Roman" w:cs="Times New Roman"/>
                <w:sz w:val="20"/>
                <w:szCs w:val="20"/>
              </w:rPr>
              <w:t xml:space="preserve">, </w:t>
            </w:r>
            <w:r w:rsidRPr="0077583B">
              <w:rPr>
                <w:rFonts w:ascii="Times New Roman" w:hAnsi="Times New Roman" w:cs="Times New Roman"/>
                <w:sz w:val="20"/>
                <w:szCs w:val="20"/>
              </w:rPr>
              <w:t>0.226)</w:t>
            </w:r>
          </w:p>
        </w:tc>
        <w:tc>
          <w:tcPr>
            <w:tcW w:w="1440" w:type="dxa"/>
          </w:tcPr>
          <w:p w14:paraId="34D81472" w14:textId="47FA5F05"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0.142***</w:t>
            </w:r>
            <w:r>
              <w:rPr>
                <w:rFonts w:ascii="Times New Roman" w:hAnsi="Times New Roman" w:cs="Times New Roman"/>
                <w:sz w:val="20"/>
                <w:szCs w:val="20"/>
              </w:rPr>
              <w:t xml:space="preserve"> (</w:t>
            </w:r>
            <w:r w:rsidRPr="0077583B">
              <w:rPr>
                <w:rFonts w:ascii="Times New Roman" w:hAnsi="Times New Roman" w:cs="Times New Roman"/>
                <w:sz w:val="20"/>
                <w:szCs w:val="20"/>
              </w:rPr>
              <w:t>0.054</w:t>
            </w:r>
            <w:r>
              <w:rPr>
                <w:rFonts w:ascii="Times New Roman" w:hAnsi="Times New Roman" w:cs="Times New Roman"/>
                <w:sz w:val="20"/>
                <w:szCs w:val="20"/>
              </w:rPr>
              <w:t xml:space="preserve">, </w:t>
            </w:r>
            <w:r w:rsidRPr="0077583B">
              <w:rPr>
                <w:rFonts w:ascii="Times New Roman" w:hAnsi="Times New Roman" w:cs="Times New Roman"/>
                <w:sz w:val="20"/>
                <w:szCs w:val="20"/>
              </w:rPr>
              <w:t>0.230)</w:t>
            </w:r>
          </w:p>
        </w:tc>
        <w:tc>
          <w:tcPr>
            <w:tcW w:w="1440" w:type="dxa"/>
          </w:tcPr>
          <w:p w14:paraId="57D06B4B" w14:textId="3327AC5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hAnsi="Times New Roman" w:cs="Times New Roman"/>
                <w:sz w:val="20"/>
                <w:szCs w:val="20"/>
              </w:rPr>
              <w:t>0.150***</w:t>
            </w:r>
            <w:r>
              <w:rPr>
                <w:rFonts w:ascii="Times New Roman" w:hAnsi="Times New Roman" w:cs="Times New Roman" w:hint="eastAsia"/>
                <w:sz w:val="20"/>
                <w:szCs w:val="20"/>
              </w:rPr>
              <w:t xml:space="preserve"> </w:t>
            </w:r>
            <w:r>
              <w:rPr>
                <w:rFonts w:ascii="Times New Roman" w:hAnsi="Times New Roman" w:cs="Times New Roman"/>
                <w:sz w:val="20"/>
                <w:szCs w:val="20"/>
              </w:rPr>
              <w:t>(</w:t>
            </w:r>
            <w:r w:rsidRPr="0077583B">
              <w:rPr>
                <w:rFonts w:ascii="Times New Roman" w:hAnsi="Times New Roman" w:cs="Times New Roman"/>
                <w:sz w:val="20"/>
                <w:szCs w:val="20"/>
              </w:rPr>
              <w:t>0.064</w:t>
            </w:r>
            <w:r>
              <w:rPr>
                <w:rFonts w:ascii="Times New Roman" w:hAnsi="Times New Roman" w:cs="Times New Roman"/>
                <w:sz w:val="20"/>
                <w:szCs w:val="20"/>
              </w:rPr>
              <w:t xml:space="preserve">, </w:t>
            </w:r>
            <w:r w:rsidRPr="0077583B">
              <w:rPr>
                <w:rFonts w:ascii="Times New Roman" w:hAnsi="Times New Roman" w:cs="Times New Roman"/>
                <w:sz w:val="20"/>
                <w:szCs w:val="20"/>
              </w:rPr>
              <w:t>0.237)</w:t>
            </w:r>
          </w:p>
        </w:tc>
        <w:tc>
          <w:tcPr>
            <w:tcW w:w="1525" w:type="dxa"/>
          </w:tcPr>
          <w:p w14:paraId="5E0B29E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0.142***</w:t>
            </w:r>
            <w:r>
              <w:rPr>
                <w:rFonts w:ascii="Times New Roman" w:hAnsi="Times New Roman" w:cs="Times New Roman"/>
                <w:sz w:val="20"/>
                <w:szCs w:val="20"/>
              </w:rPr>
              <w:t xml:space="preserve"> </w:t>
            </w:r>
          </w:p>
          <w:p w14:paraId="2C0BA51B" w14:textId="38B39FED"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0.053</w:t>
            </w:r>
            <w:r>
              <w:rPr>
                <w:rFonts w:ascii="Times New Roman" w:hAnsi="Times New Roman" w:cs="Times New Roman"/>
                <w:sz w:val="20"/>
                <w:szCs w:val="20"/>
              </w:rPr>
              <w:t xml:space="preserve">, </w:t>
            </w:r>
            <w:r w:rsidRPr="0077583B">
              <w:rPr>
                <w:rFonts w:ascii="Times New Roman" w:hAnsi="Times New Roman" w:cs="Times New Roman"/>
                <w:sz w:val="20"/>
                <w:szCs w:val="20"/>
              </w:rPr>
              <w:t>0.231)</w:t>
            </w:r>
          </w:p>
        </w:tc>
        <w:tc>
          <w:tcPr>
            <w:tcW w:w="1445" w:type="dxa"/>
            <w:shd w:val="clear" w:color="auto" w:fill="auto"/>
          </w:tcPr>
          <w:p w14:paraId="3A453B19" w14:textId="46C997C1"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hAnsi="Times New Roman" w:cs="Times New Roman"/>
                <w:sz w:val="20"/>
                <w:szCs w:val="20"/>
              </w:rPr>
              <w:t>0.156***</w:t>
            </w:r>
            <w:r>
              <w:rPr>
                <w:rFonts w:ascii="Times New Roman" w:hAnsi="Times New Roman" w:cs="Times New Roman"/>
                <w:sz w:val="20"/>
                <w:szCs w:val="20"/>
              </w:rPr>
              <w:t xml:space="preserve"> (</w:t>
            </w:r>
            <w:r w:rsidRPr="0077583B">
              <w:rPr>
                <w:rFonts w:ascii="Times New Roman" w:hAnsi="Times New Roman" w:cs="Times New Roman"/>
                <w:sz w:val="20"/>
                <w:szCs w:val="20"/>
              </w:rPr>
              <w:t>0.063</w:t>
            </w:r>
            <w:r>
              <w:rPr>
                <w:rFonts w:ascii="Times New Roman" w:hAnsi="Times New Roman" w:cs="Times New Roman"/>
                <w:sz w:val="20"/>
                <w:szCs w:val="20"/>
              </w:rPr>
              <w:t xml:space="preserve">, </w:t>
            </w:r>
            <w:r w:rsidRPr="0077583B">
              <w:rPr>
                <w:rFonts w:ascii="Times New Roman" w:hAnsi="Times New Roman" w:cs="Times New Roman"/>
                <w:sz w:val="20"/>
                <w:szCs w:val="20"/>
              </w:rPr>
              <w:t>0.249)</w:t>
            </w:r>
          </w:p>
        </w:tc>
        <w:tc>
          <w:tcPr>
            <w:tcW w:w="1440" w:type="dxa"/>
          </w:tcPr>
          <w:p w14:paraId="3B531ABB" w14:textId="02E8735B"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0.152***</w:t>
            </w:r>
            <w:r>
              <w:rPr>
                <w:rFonts w:ascii="Times New Roman" w:hAnsi="Times New Roman" w:cs="Times New Roman"/>
                <w:sz w:val="20"/>
                <w:szCs w:val="20"/>
              </w:rPr>
              <w:t xml:space="preserve"> (</w:t>
            </w:r>
            <w:r w:rsidRPr="0077583B">
              <w:rPr>
                <w:rFonts w:ascii="Times New Roman" w:hAnsi="Times New Roman" w:cs="Times New Roman"/>
                <w:sz w:val="20"/>
                <w:szCs w:val="20"/>
              </w:rPr>
              <w:t>0.057</w:t>
            </w:r>
            <w:r>
              <w:rPr>
                <w:rFonts w:ascii="Times New Roman" w:hAnsi="Times New Roman" w:cs="Times New Roman"/>
                <w:sz w:val="20"/>
                <w:szCs w:val="20"/>
              </w:rPr>
              <w:t xml:space="preserve">, </w:t>
            </w:r>
            <w:r w:rsidRPr="0077583B">
              <w:rPr>
                <w:rFonts w:ascii="Times New Roman" w:hAnsi="Times New Roman" w:cs="Times New Roman"/>
                <w:sz w:val="20"/>
                <w:szCs w:val="20"/>
              </w:rPr>
              <w:t>0.247)</w:t>
            </w:r>
          </w:p>
        </w:tc>
        <w:tc>
          <w:tcPr>
            <w:tcW w:w="1615" w:type="dxa"/>
          </w:tcPr>
          <w:p w14:paraId="45B1D5D0"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0.163***</w:t>
            </w:r>
            <w:r>
              <w:rPr>
                <w:rFonts w:ascii="Times New Roman" w:hAnsi="Times New Roman" w:cs="Times New Roman"/>
                <w:sz w:val="20"/>
                <w:szCs w:val="20"/>
              </w:rPr>
              <w:t xml:space="preserve"> </w:t>
            </w:r>
          </w:p>
          <w:p w14:paraId="5E77EBA2" w14:textId="0EF121AC"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0.072</w:t>
            </w:r>
            <w:r>
              <w:rPr>
                <w:rFonts w:ascii="Times New Roman" w:hAnsi="Times New Roman" w:cs="Times New Roman"/>
                <w:sz w:val="20"/>
                <w:szCs w:val="20"/>
              </w:rPr>
              <w:t xml:space="preserve">, </w:t>
            </w:r>
            <w:r w:rsidRPr="0077583B">
              <w:rPr>
                <w:rFonts w:ascii="Times New Roman" w:hAnsi="Times New Roman" w:cs="Times New Roman"/>
                <w:sz w:val="20"/>
                <w:szCs w:val="20"/>
              </w:rPr>
              <w:t>0.254)</w:t>
            </w:r>
          </w:p>
        </w:tc>
      </w:tr>
      <w:tr w:rsidR="00EF1B6A" w:rsidRPr="0077583B" w14:paraId="03CD14AE" w14:textId="77777777" w:rsidTr="00EF1B6A">
        <w:trPr>
          <w:trHeight w:val="396"/>
        </w:trPr>
        <w:tc>
          <w:tcPr>
            <w:tcW w:w="1980" w:type="dxa"/>
          </w:tcPr>
          <w:p w14:paraId="08EFC297" w14:textId="154A905E"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Methodological uncertainty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parameterisable)</w:t>
            </w:r>
          </w:p>
        </w:tc>
        <w:tc>
          <w:tcPr>
            <w:tcW w:w="1440" w:type="dxa"/>
          </w:tcPr>
          <w:p w14:paraId="7108D42C"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7AC09A76" w14:textId="5EB2C9CC"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49F29215" w14:textId="1C8EB509"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79DB1B26" w14:textId="6DBC60E9"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 xml:space="preserve"> </w:t>
            </w:r>
          </w:p>
        </w:tc>
        <w:tc>
          <w:tcPr>
            <w:tcW w:w="1525" w:type="dxa"/>
          </w:tcPr>
          <w:p w14:paraId="65AD73BE" w14:textId="4BBFDF5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5" w:type="dxa"/>
            <w:shd w:val="clear" w:color="auto" w:fill="auto"/>
          </w:tcPr>
          <w:p w14:paraId="4A3E3270" w14:textId="111B0A9C"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60C9B087" w14:textId="1DB3C925"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3486276D" w14:textId="267BD196"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7596B4EA" w14:textId="77777777" w:rsidTr="00EF1B6A">
        <w:trPr>
          <w:trHeight w:val="242"/>
        </w:trPr>
        <w:tc>
          <w:tcPr>
            <w:tcW w:w="1980" w:type="dxa"/>
          </w:tcPr>
          <w:p w14:paraId="2813EBEB" w14:textId="3D26D1C7"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tcPr>
          <w:p w14:paraId="2D1714E1"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0.042</w:t>
            </w:r>
            <w:r>
              <w:rPr>
                <w:rFonts w:ascii="Times New Roman" w:hAnsi="Times New Roman" w:cs="Times New Roman"/>
                <w:sz w:val="20"/>
                <w:szCs w:val="20"/>
              </w:rPr>
              <w:t xml:space="preserve"> </w:t>
            </w:r>
          </w:p>
          <w:p w14:paraId="1A990E51" w14:textId="4FE20643"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-0.047, 0.131)</w:t>
            </w:r>
          </w:p>
        </w:tc>
        <w:tc>
          <w:tcPr>
            <w:tcW w:w="1620" w:type="dxa"/>
          </w:tcPr>
          <w:p w14:paraId="6DE045C8" w14:textId="77777777" w:rsidR="00EF1B6A" w:rsidRDefault="00EF1B6A" w:rsidP="0039601B">
            <w:pPr>
              <w:pStyle w:val="a"/>
              <w:adjustRightInd w:val="0"/>
              <w:snapToGrid w:val="0"/>
              <w:jc w:val="left"/>
              <w:rPr>
                <w:sz w:val="20"/>
                <w:szCs w:val="20"/>
              </w:rPr>
            </w:pPr>
            <w:r w:rsidRPr="0077583B">
              <w:rPr>
                <w:sz w:val="20"/>
                <w:szCs w:val="20"/>
              </w:rPr>
              <w:t>0.03</w:t>
            </w:r>
            <w:r>
              <w:rPr>
                <w:sz w:val="20"/>
                <w:szCs w:val="20"/>
              </w:rPr>
              <w:t xml:space="preserve"> </w:t>
            </w:r>
          </w:p>
          <w:p w14:paraId="76A92985" w14:textId="0D7E30CB" w:rsidR="00EF1B6A" w:rsidRPr="0077583B" w:rsidRDefault="00EF1B6A" w:rsidP="0039601B">
            <w:pPr>
              <w:pStyle w:val="a"/>
              <w:adjustRightInd w:val="0"/>
              <w:snapToGrid w:val="0"/>
              <w:jc w:val="left"/>
              <w:rPr>
                <w:sz w:val="20"/>
                <w:szCs w:val="20"/>
              </w:rPr>
            </w:pPr>
            <w:r>
              <w:rPr>
                <w:sz w:val="20"/>
                <w:szCs w:val="20"/>
              </w:rPr>
              <w:t>(</w:t>
            </w:r>
            <w:r w:rsidRPr="0077583B">
              <w:rPr>
                <w:sz w:val="20"/>
                <w:szCs w:val="20"/>
              </w:rPr>
              <w:t>-0.053</w:t>
            </w:r>
            <w:r>
              <w:rPr>
                <w:sz w:val="20"/>
                <w:szCs w:val="20"/>
              </w:rPr>
              <w:t xml:space="preserve">, </w:t>
            </w:r>
            <w:r w:rsidRPr="0077583B">
              <w:rPr>
                <w:sz w:val="20"/>
                <w:szCs w:val="20"/>
              </w:rPr>
              <w:t>0.125)</w:t>
            </w:r>
          </w:p>
        </w:tc>
        <w:tc>
          <w:tcPr>
            <w:tcW w:w="1440" w:type="dxa"/>
          </w:tcPr>
          <w:p w14:paraId="66541F72" w14:textId="77777777" w:rsidR="00EF1B6A" w:rsidRDefault="00EF1B6A" w:rsidP="0039601B">
            <w:pPr>
              <w:pStyle w:val="a"/>
              <w:adjustRightInd w:val="0"/>
              <w:snapToGrid w:val="0"/>
              <w:jc w:val="left"/>
              <w:rPr>
                <w:sz w:val="20"/>
                <w:szCs w:val="20"/>
              </w:rPr>
            </w:pPr>
            <w:r w:rsidRPr="0077583B">
              <w:rPr>
                <w:sz w:val="20"/>
                <w:szCs w:val="20"/>
              </w:rPr>
              <w:t>0.048</w:t>
            </w:r>
          </w:p>
          <w:p w14:paraId="7A54172B" w14:textId="7275A886" w:rsidR="00EF1B6A" w:rsidRPr="0077583B" w:rsidRDefault="00EF1B6A" w:rsidP="0039601B">
            <w:pPr>
              <w:pStyle w:val="a"/>
              <w:adjustRightInd w:val="0"/>
              <w:snapToGrid w:val="0"/>
              <w:jc w:val="left"/>
              <w:rPr>
                <w:rFonts w:eastAsiaTheme="minorEastAsia"/>
                <w:sz w:val="20"/>
                <w:szCs w:val="20"/>
                <w:lang w:val="en-GB"/>
              </w:rPr>
            </w:pPr>
            <w:r>
              <w:rPr>
                <w:sz w:val="20"/>
                <w:szCs w:val="20"/>
              </w:rPr>
              <w:t>(</w:t>
            </w:r>
            <w:r w:rsidRPr="0077583B">
              <w:rPr>
                <w:sz w:val="20"/>
                <w:szCs w:val="20"/>
              </w:rPr>
              <w:t>-0.039</w:t>
            </w:r>
            <w:r>
              <w:rPr>
                <w:sz w:val="20"/>
                <w:szCs w:val="20"/>
              </w:rPr>
              <w:t xml:space="preserve">, </w:t>
            </w:r>
            <w:r w:rsidRPr="0077583B">
              <w:rPr>
                <w:sz w:val="20"/>
                <w:szCs w:val="20"/>
              </w:rPr>
              <w:t>0.136)</w:t>
            </w:r>
          </w:p>
        </w:tc>
        <w:tc>
          <w:tcPr>
            <w:tcW w:w="1440" w:type="dxa"/>
          </w:tcPr>
          <w:p w14:paraId="2E375766" w14:textId="77777777" w:rsidR="00EF1B6A" w:rsidRDefault="00EF1B6A" w:rsidP="0039601B">
            <w:pPr>
              <w:pStyle w:val="a"/>
              <w:adjustRightInd w:val="0"/>
              <w:snapToGrid w:val="0"/>
              <w:jc w:val="left"/>
              <w:rPr>
                <w:sz w:val="20"/>
                <w:szCs w:val="20"/>
              </w:rPr>
            </w:pPr>
            <w:r w:rsidRPr="0077583B">
              <w:rPr>
                <w:sz w:val="20"/>
                <w:szCs w:val="20"/>
              </w:rPr>
              <w:t>0.037</w:t>
            </w:r>
          </w:p>
          <w:p w14:paraId="1EC423D0" w14:textId="6E862A9B" w:rsidR="00EF1B6A" w:rsidRPr="0077583B" w:rsidRDefault="00EF1B6A" w:rsidP="0039601B">
            <w:pPr>
              <w:pStyle w:val="a"/>
              <w:adjustRightInd w:val="0"/>
              <w:snapToGrid w:val="0"/>
              <w:jc w:val="left"/>
              <w:rPr>
                <w:kern w:val="0"/>
                <w:sz w:val="20"/>
                <w:szCs w:val="20"/>
                <w:lang w:val="en-GB"/>
              </w:rPr>
            </w:pPr>
            <w:r>
              <w:rPr>
                <w:sz w:val="20"/>
                <w:szCs w:val="20"/>
              </w:rPr>
              <w:t>(</w:t>
            </w:r>
            <w:r w:rsidRPr="0077583B">
              <w:rPr>
                <w:sz w:val="20"/>
                <w:szCs w:val="20"/>
              </w:rPr>
              <w:t>-0.054</w:t>
            </w:r>
            <w:r>
              <w:rPr>
                <w:sz w:val="20"/>
                <w:szCs w:val="20"/>
              </w:rPr>
              <w:t xml:space="preserve">, </w:t>
            </w:r>
            <w:r w:rsidRPr="0077583B">
              <w:rPr>
                <w:sz w:val="20"/>
                <w:szCs w:val="20"/>
              </w:rPr>
              <w:t>0.128)</w:t>
            </w:r>
          </w:p>
        </w:tc>
        <w:tc>
          <w:tcPr>
            <w:tcW w:w="1525" w:type="dxa"/>
          </w:tcPr>
          <w:p w14:paraId="3F64EA2C"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0.048</w:t>
            </w:r>
            <w:r>
              <w:rPr>
                <w:rFonts w:ascii="Times New Roman" w:hAnsi="Times New Roman" w:cs="Times New Roman"/>
                <w:sz w:val="20"/>
                <w:szCs w:val="20"/>
              </w:rPr>
              <w:t xml:space="preserve"> </w:t>
            </w:r>
          </w:p>
          <w:p w14:paraId="10D1E517" w14:textId="02FF16C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-0.039</w:t>
            </w:r>
            <w:r>
              <w:rPr>
                <w:rFonts w:ascii="Times New Roman" w:hAnsi="Times New Roman" w:cs="Times New Roman"/>
                <w:sz w:val="20"/>
                <w:szCs w:val="20"/>
              </w:rPr>
              <w:t xml:space="preserve">, </w:t>
            </w:r>
            <w:r w:rsidRPr="0077583B">
              <w:rPr>
                <w:rFonts w:ascii="Times New Roman" w:hAnsi="Times New Roman" w:cs="Times New Roman"/>
                <w:sz w:val="20"/>
                <w:szCs w:val="20"/>
              </w:rPr>
              <w:t>0.135)</w:t>
            </w:r>
          </w:p>
        </w:tc>
        <w:tc>
          <w:tcPr>
            <w:tcW w:w="1445" w:type="dxa"/>
            <w:shd w:val="clear" w:color="auto" w:fill="auto"/>
          </w:tcPr>
          <w:p w14:paraId="3D96AD0E"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0.039</w:t>
            </w:r>
            <w:r>
              <w:rPr>
                <w:rFonts w:ascii="Times New Roman" w:hAnsi="Times New Roman" w:cs="Times New Roman"/>
                <w:sz w:val="20"/>
                <w:szCs w:val="20"/>
              </w:rPr>
              <w:t xml:space="preserve"> </w:t>
            </w:r>
          </w:p>
          <w:p w14:paraId="5E48B9D0" w14:textId="3985D38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-0.050</w:t>
            </w:r>
            <w:r>
              <w:rPr>
                <w:rFonts w:ascii="Times New Roman" w:hAnsi="Times New Roman" w:cs="Times New Roman"/>
                <w:sz w:val="20"/>
                <w:szCs w:val="20"/>
              </w:rPr>
              <w:t xml:space="preserve">, </w:t>
            </w:r>
            <w:r w:rsidRPr="0077583B">
              <w:rPr>
                <w:rFonts w:ascii="Times New Roman" w:hAnsi="Times New Roman" w:cs="Times New Roman"/>
                <w:sz w:val="20"/>
                <w:szCs w:val="20"/>
              </w:rPr>
              <w:t>0.129)</w:t>
            </w:r>
          </w:p>
        </w:tc>
        <w:tc>
          <w:tcPr>
            <w:tcW w:w="1440" w:type="dxa"/>
          </w:tcPr>
          <w:p w14:paraId="3AAA344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0.054</w:t>
            </w:r>
            <w:r>
              <w:rPr>
                <w:rFonts w:ascii="Times New Roman" w:hAnsi="Times New Roman" w:cs="Times New Roman"/>
                <w:sz w:val="20"/>
                <w:szCs w:val="20"/>
              </w:rPr>
              <w:t xml:space="preserve"> </w:t>
            </w:r>
          </w:p>
          <w:p w14:paraId="6915EF26" w14:textId="5E0FC18E"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-0.039</w:t>
            </w:r>
            <w:r>
              <w:rPr>
                <w:rFonts w:ascii="Times New Roman" w:hAnsi="Times New Roman" w:cs="Times New Roman"/>
                <w:sz w:val="20"/>
                <w:szCs w:val="20"/>
              </w:rPr>
              <w:t xml:space="preserve">, </w:t>
            </w:r>
            <w:r w:rsidRPr="0077583B">
              <w:rPr>
                <w:rFonts w:ascii="Times New Roman" w:hAnsi="Times New Roman" w:cs="Times New Roman"/>
                <w:sz w:val="20"/>
                <w:szCs w:val="20"/>
              </w:rPr>
              <w:t>0.147)</w:t>
            </w:r>
          </w:p>
        </w:tc>
        <w:tc>
          <w:tcPr>
            <w:tcW w:w="1615" w:type="dxa"/>
          </w:tcPr>
          <w:p w14:paraId="09847ABF" w14:textId="4E6CF036" w:rsidR="00EF1B6A" w:rsidRPr="0077583B" w:rsidRDefault="00EF1B6A" w:rsidP="0039601B">
            <w:pPr>
              <w:adjustRightInd w:val="0"/>
              <w:snapToGrid w:val="0"/>
              <w:rPr>
                <w:rFonts w:ascii="Times New Roman" w:hAnsi="Times New Roman" w:cs="Times New Roman"/>
                <w:sz w:val="20"/>
                <w:szCs w:val="20"/>
              </w:rPr>
            </w:pPr>
          </w:p>
        </w:tc>
      </w:tr>
      <w:tr w:rsidR="00EF1B6A" w:rsidRPr="0077583B" w14:paraId="3F15B118" w14:textId="77777777" w:rsidTr="00EF1B6A">
        <w:trPr>
          <w:trHeight w:val="91"/>
        </w:trPr>
        <w:tc>
          <w:tcPr>
            <w:tcW w:w="1980" w:type="dxa"/>
          </w:tcPr>
          <w:p w14:paraId="67E2CA6C" w14:textId="77777777"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Generalisability uncertainty</w:t>
            </w:r>
          </w:p>
        </w:tc>
        <w:tc>
          <w:tcPr>
            <w:tcW w:w="1440" w:type="dxa"/>
          </w:tcPr>
          <w:p w14:paraId="027C78DD" w14:textId="77777777" w:rsidR="00EF1B6A" w:rsidRPr="0077583B" w:rsidRDefault="00EF1B6A" w:rsidP="0039601B">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7C3571C6" w14:textId="067B48EB" w:rsidR="00EF1B6A" w:rsidRPr="0077583B" w:rsidRDefault="00EF1B6A" w:rsidP="0039601B">
            <w:pPr>
              <w:pStyle w:val="a"/>
              <w:adjustRightInd w:val="0"/>
              <w:snapToGrid w:val="0"/>
              <w:jc w:val="left"/>
              <w:rPr>
                <w:sz w:val="20"/>
                <w:szCs w:val="20"/>
              </w:rPr>
            </w:pPr>
          </w:p>
        </w:tc>
        <w:tc>
          <w:tcPr>
            <w:tcW w:w="1440" w:type="dxa"/>
          </w:tcPr>
          <w:p w14:paraId="295AC1AE" w14:textId="279DE335" w:rsidR="00EF1B6A" w:rsidRPr="0077583B" w:rsidRDefault="00EF1B6A" w:rsidP="0039601B">
            <w:pPr>
              <w:pStyle w:val="a"/>
              <w:adjustRightInd w:val="0"/>
              <w:snapToGrid w:val="0"/>
              <w:jc w:val="left"/>
              <w:rPr>
                <w:sz w:val="20"/>
                <w:szCs w:val="20"/>
              </w:rPr>
            </w:pPr>
          </w:p>
        </w:tc>
        <w:tc>
          <w:tcPr>
            <w:tcW w:w="1440" w:type="dxa"/>
          </w:tcPr>
          <w:p w14:paraId="19C4E749" w14:textId="6148FAAB" w:rsidR="00EF1B6A" w:rsidRPr="0077583B" w:rsidRDefault="00EF1B6A" w:rsidP="0039601B">
            <w:pPr>
              <w:pStyle w:val="a"/>
              <w:adjustRightInd w:val="0"/>
              <w:snapToGrid w:val="0"/>
              <w:jc w:val="left"/>
              <w:rPr>
                <w:sz w:val="20"/>
                <w:szCs w:val="20"/>
              </w:rPr>
            </w:pPr>
          </w:p>
        </w:tc>
        <w:tc>
          <w:tcPr>
            <w:tcW w:w="1525" w:type="dxa"/>
          </w:tcPr>
          <w:p w14:paraId="31E9A267" w14:textId="78DDFAFF"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6B081CD0" w14:textId="0A9ACB1A"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6DD66318" w14:textId="69243D24"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54A48A73" w14:textId="64623AD2" w:rsidR="00EF1B6A" w:rsidRPr="0077583B" w:rsidRDefault="00EF1B6A" w:rsidP="0039601B">
            <w:pPr>
              <w:adjustRightInd w:val="0"/>
              <w:snapToGrid w:val="0"/>
              <w:rPr>
                <w:rFonts w:ascii="Times New Roman" w:hAnsi="Times New Roman" w:cs="Times New Roman"/>
                <w:sz w:val="20"/>
                <w:szCs w:val="20"/>
              </w:rPr>
            </w:pPr>
          </w:p>
        </w:tc>
      </w:tr>
      <w:tr w:rsidR="00EF1B6A" w:rsidRPr="0077583B" w14:paraId="69E06F5C" w14:textId="77777777" w:rsidTr="00EF1B6A">
        <w:trPr>
          <w:trHeight w:val="164"/>
        </w:trPr>
        <w:tc>
          <w:tcPr>
            <w:tcW w:w="1980" w:type="dxa"/>
          </w:tcPr>
          <w:p w14:paraId="545056E5" w14:textId="2E84F139"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None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yes)</w:t>
            </w:r>
          </w:p>
        </w:tc>
        <w:tc>
          <w:tcPr>
            <w:tcW w:w="1440" w:type="dxa"/>
          </w:tcPr>
          <w:p w14:paraId="4ADE029B"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0.102**</w:t>
            </w:r>
          </w:p>
          <w:p w14:paraId="26D0F8D7" w14:textId="5C3726F2" w:rsidR="00EF1B6A" w:rsidRPr="0077583B" w:rsidRDefault="00EF1B6A" w:rsidP="0039601B">
            <w:pPr>
              <w:autoSpaceDE w:val="0"/>
              <w:autoSpaceDN w:val="0"/>
              <w:adjustRightInd w:val="0"/>
              <w:snapToGrid w:val="0"/>
              <w:jc w:val="left"/>
              <w:rPr>
                <w:rFonts w:ascii="Times New Roman" w:eastAsia="SimSun" w:hAnsi="Times New Roman" w:cs="Times New Roman"/>
                <w:sz w:val="20"/>
                <w:szCs w:val="20"/>
                <w:lang w:val="en-AU"/>
              </w:rPr>
            </w:pPr>
            <w:r w:rsidRPr="0077583B">
              <w:rPr>
                <w:rFonts w:ascii="Times New Roman" w:hAnsi="Times New Roman" w:cs="Times New Roman"/>
                <w:sz w:val="20"/>
                <w:szCs w:val="20"/>
              </w:rPr>
              <w:t xml:space="preserve"> </w:t>
            </w:r>
            <w:r>
              <w:rPr>
                <w:rFonts w:ascii="Times New Roman" w:hAnsi="Times New Roman" w:cs="Times New Roman"/>
                <w:sz w:val="20"/>
                <w:szCs w:val="20"/>
              </w:rPr>
              <w:t>(</w:t>
            </w:r>
            <w:r w:rsidRPr="0077583B">
              <w:rPr>
                <w:rFonts w:ascii="Times New Roman" w:hAnsi="Times New Roman" w:cs="Times New Roman"/>
                <w:sz w:val="20"/>
                <w:szCs w:val="20"/>
              </w:rPr>
              <w:t>0.008, 0.196)</w:t>
            </w:r>
          </w:p>
        </w:tc>
        <w:tc>
          <w:tcPr>
            <w:tcW w:w="1620" w:type="dxa"/>
          </w:tcPr>
          <w:p w14:paraId="459ABC50" w14:textId="77777777" w:rsidR="00EF1B6A" w:rsidRDefault="00EF1B6A" w:rsidP="0039601B">
            <w:pPr>
              <w:pStyle w:val="a"/>
              <w:adjustRightInd w:val="0"/>
              <w:snapToGrid w:val="0"/>
              <w:jc w:val="left"/>
              <w:rPr>
                <w:sz w:val="20"/>
                <w:szCs w:val="20"/>
              </w:rPr>
            </w:pPr>
            <w:r w:rsidRPr="0077583B">
              <w:rPr>
                <w:sz w:val="20"/>
                <w:szCs w:val="20"/>
              </w:rPr>
              <w:t>0.101**</w:t>
            </w:r>
            <w:r>
              <w:rPr>
                <w:sz w:val="20"/>
                <w:szCs w:val="20"/>
              </w:rPr>
              <w:t xml:space="preserve"> </w:t>
            </w:r>
          </w:p>
          <w:p w14:paraId="725290D4" w14:textId="0735745F" w:rsidR="00EF1B6A" w:rsidRPr="0077583B" w:rsidRDefault="00EF1B6A" w:rsidP="0039601B">
            <w:pPr>
              <w:pStyle w:val="a"/>
              <w:adjustRightInd w:val="0"/>
              <w:snapToGrid w:val="0"/>
              <w:jc w:val="left"/>
              <w:rPr>
                <w:sz w:val="20"/>
                <w:szCs w:val="20"/>
              </w:rPr>
            </w:pPr>
            <w:r>
              <w:rPr>
                <w:sz w:val="20"/>
                <w:szCs w:val="20"/>
              </w:rPr>
              <w:t>(</w:t>
            </w:r>
            <w:r w:rsidRPr="0077583B">
              <w:rPr>
                <w:sz w:val="20"/>
                <w:szCs w:val="20"/>
              </w:rPr>
              <w:t>0.013</w:t>
            </w:r>
            <w:r>
              <w:rPr>
                <w:sz w:val="20"/>
                <w:szCs w:val="20"/>
              </w:rPr>
              <w:t xml:space="preserve">, </w:t>
            </w:r>
            <w:r w:rsidRPr="0077583B">
              <w:rPr>
                <w:sz w:val="20"/>
                <w:szCs w:val="20"/>
              </w:rPr>
              <w:t>0.189)</w:t>
            </w:r>
          </w:p>
        </w:tc>
        <w:tc>
          <w:tcPr>
            <w:tcW w:w="1440" w:type="dxa"/>
          </w:tcPr>
          <w:p w14:paraId="530E2977" w14:textId="77777777" w:rsidR="00EF1B6A" w:rsidRDefault="00EF1B6A" w:rsidP="0039601B">
            <w:pPr>
              <w:pStyle w:val="a"/>
              <w:adjustRightInd w:val="0"/>
              <w:snapToGrid w:val="0"/>
              <w:jc w:val="left"/>
              <w:rPr>
                <w:sz w:val="20"/>
                <w:szCs w:val="20"/>
              </w:rPr>
            </w:pPr>
            <w:r w:rsidRPr="0077583B">
              <w:rPr>
                <w:sz w:val="20"/>
                <w:szCs w:val="20"/>
              </w:rPr>
              <w:t>0.091*</w:t>
            </w:r>
            <w:r>
              <w:rPr>
                <w:sz w:val="20"/>
                <w:szCs w:val="20"/>
              </w:rPr>
              <w:t xml:space="preserve"> </w:t>
            </w:r>
          </w:p>
          <w:p w14:paraId="43A63A87" w14:textId="1D7974F3" w:rsidR="00EF1B6A" w:rsidRPr="0077583B" w:rsidRDefault="00EF1B6A" w:rsidP="0039601B">
            <w:pPr>
              <w:pStyle w:val="a"/>
              <w:adjustRightInd w:val="0"/>
              <w:snapToGrid w:val="0"/>
              <w:jc w:val="left"/>
              <w:rPr>
                <w:sz w:val="20"/>
                <w:szCs w:val="20"/>
              </w:rPr>
            </w:pPr>
            <w:r>
              <w:rPr>
                <w:sz w:val="20"/>
                <w:szCs w:val="20"/>
              </w:rPr>
              <w:t>(</w:t>
            </w:r>
            <w:r w:rsidRPr="0077583B">
              <w:rPr>
                <w:sz w:val="20"/>
                <w:szCs w:val="20"/>
              </w:rPr>
              <w:t>-0.001</w:t>
            </w:r>
            <w:r>
              <w:rPr>
                <w:sz w:val="20"/>
                <w:szCs w:val="20"/>
              </w:rPr>
              <w:t xml:space="preserve">, </w:t>
            </w:r>
            <w:r w:rsidRPr="0077583B">
              <w:rPr>
                <w:sz w:val="20"/>
                <w:szCs w:val="20"/>
              </w:rPr>
              <w:t>0.183)</w:t>
            </w:r>
          </w:p>
        </w:tc>
        <w:tc>
          <w:tcPr>
            <w:tcW w:w="1440" w:type="dxa"/>
          </w:tcPr>
          <w:p w14:paraId="1CF9B474" w14:textId="77777777" w:rsidR="00EF1B6A" w:rsidRDefault="00EF1B6A" w:rsidP="0039601B">
            <w:pPr>
              <w:pStyle w:val="a"/>
              <w:adjustRightInd w:val="0"/>
              <w:snapToGrid w:val="0"/>
              <w:jc w:val="left"/>
              <w:rPr>
                <w:sz w:val="20"/>
                <w:szCs w:val="20"/>
              </w:rPr>
            </w:pPr>
            <w:r w:rsidRPr="0077583B">
              <w:rPr>
                <w:sz w:val="20"/>
                <w:szCs w:val="20"/>
              </w:rPr>
              <w:t>0.098**</w:t>
            </w:r>
            <w:r>
              <w:rPr>
                <w:sz w:val="20"/>
                <w:szCs w:val="20"/>
              </w:rPr>
              <w:t xml:space="preserve"> </w:t>
            </w:r>
          </w:p>
          <w:p w14:paraId="7938F806" w14:textId="22B3CAC0" w:rsidR="00EF1B6A" w:rsidRPr="0077583B" w:rsidRDefault="00EF1B6A" w:rsidP="0039601B">
            <w:pPr>
              <w:pStyle w:val="a"/>
              <w:adjustRightInd w:val="0"/>
              <w:snapToGrid w:val="0"/>
              <w:jc w:val="left"/>
              <w:rPr>
                <w:sz w:val="20"/>
                <w:szCs w:val="20"/>
              </w:rPr>
            </w:pPr>
            <w:r>
              <w:rPr>
                <w:sz w:val="20"/>
                <w:szCs w:val="20"/>
              </w:rPr>
              <w:t>(</w:t>
            </w:r>
            <w:r w:rsidRPr="0077583B">
              <w:rPr>
                <w:sz w:val="20"/>
                <w:szCs w:val="20"/>
              </w:rPr>
              <w:t>0.005</w:t>
            </w:r>
            <w:r>
              <w:rPr>
                <w:sz w:val="20"/>
                <w:szCs w:val="20"/>
              </w:rPr>
              <w:t xml:space="preserve">, </w:t>
            </w:r>
            <w:r w:rsidRPr="0077583B">
              <w:rPr>
                <w:sz w:val="20"/>
                <w:szCs w:val="20"/>
              </w:rPr>
              <w:t>0.191)</w:t>
            </w:r>
          </w:p>
        </w:tc>
        <w:tc>
          <w:tcPr>
            <w:tcW w:w="1525" w:type="dxa"/>
          </w:tcPr>
          <w:p w14:paraId="3F232EF1"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0.098**</w:t>
            </w:r>
            <w:r>
              <w:rPr>
                <w:rFonts w:ascii="Times New Roman" w:hAnsi="Times New Roman" w:cs="Times New Roman"/>
                <w:sz w:val="20"/>
                <w:szCs w:val="20"/>
              </w:rPr>
              <w:t xml:space="preserve"> </w:t>
            </w:r>
          </w:p>
          <w:p w14:paraId="42F0F501" w14:textId="563F2583"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0.006</w:t>
            </w:r>
            <w:r>
              <w:rPr>
                <w:rFonts w:ascii="Times New Roman" w:hAnsi="Times New Roman" w:cs="Times New Roman"/>
                <w:sz w:val="20"/>
                <w:szCs w:val="20"/>
              </w:rPr>
              <w:t xml:space="preserve">, </w:t>
            </w:r>
            <w:r w:rsidRPr="0077583B">
              <w:rPr>
                <w:rFonts w:ascii="Times New Roman" w:hAnsi="Times New Roman" w:cs="Times New Roman"/>
                <w:sz w:val="20"/>
                <w:szCs w:val="20"/>
              </w:rPr>
              <w:t>0.189)</w:t>
            </w:r>
          </w:p>
        </w:tc>
        <w:tc>
          <w:tcPr>
            <w:tcW w:w="1445" w:type="dxa"/>
            <w:shd w:val="clear" w:color="auto" w:fill="auto"/>
          </w:tcPr>
          <w:p w14:paraId="30F3F30B" w14:textId="30DEB642"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57F43C31"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0.110**</w:t>
            </w:r>
            <w:r>
              <w:rPr>
                <w:rFonts w:ascii="Times New Roman" w:hAnsi="Times New Roman" w:cs="Times New Roman"/>
                <w:sz w:val="20"/>
                <w:szCs w:val="20"/>
              </w:rPr>
              <w:t xml:space="preserve"> </w:t>
            </w:r>
          </w:p>
          <w:p w14:paraId="7FC63568" w14:textId="6D545956"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0.017</w:t>
            </w:r>
            <w:r>
              <w:rPr>
                <w:rFonts w:ascii="Times New Roman" w:hAnsi="Times New Roman" w:cs="Times New Roman"/>
                <w:sz w:val="20"/>
                <w:szCs w:val="20"/>
              </w:rPr>
              <w:t xml:space="preserve">, </w:t>
            </w:r>
            <w:r w:rsidRPr="0077583B">
              <w:rPr>
                <w:rFonts w:ascii="Times New Roman" w:hAnsi="Times New Roman" w:cs="Times New Roman"/>
                <w:sz w:val="20"/>
                <w:szCs w:val="20"/>
              </w:rPr>
              <w:t>0.203)</w:t>
            </w:r>
          </w:p>
        </w:tc>
        <w:tc>
          <w:tcPr>
            <w:tcW w:w="1615" w:type="dxa"/>
          </w:tcPr>
          <w:p w14:paraId="11F25414"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0.102**</w:t>
            </w:r>
            <w:r>
              <w:rPr>
                <w:rFonts w:ascii="Times New Roman" w:hAnsi="Times New Roman" w:cs="Times New Roman"/>
                <w:sz w:val="20"/>
                <w:szCs w:val="20"/>
              </w:rPr>
              <w:t xml:space="preserve"> </w:t>
            </w:r>
          </w:p>
          <w:p w14:paraId="66538934" w14:textId="4E331E54" w:rsidR="00EF1B6A" w:rsidRPr="0077583B" w:rsidRDefault="00EF1B6A" w:rsidP="0039601B">
            <w:pPr>
              <w:adjustRightInd w:val="0"/>
              <w:snapToGrid w:val="0"/>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0.005</w:t>
            </w:r>
            <w:r>
              <w:rPr>
                <w:rFonts w:ascii="Times New Roman" w:hAnsi="Times New Roman" w:cs="Times New Roman"/>
                <w:sz w:val="20"/>
                <w:szCs w:val="20"/>
              </w:rPr>
              <w:t xml:space="preserve">, </w:t>
            </w:r>
            <w:r w:rsidRPr="0077583B">
              <w:rPr>
                <w:rFonts w:ascii="Times New Roman" w:hAnsi="Times New Roman" w:cs="Times New Roman"/>
                <w:sz w:val="20"/>
                <w:szCs w:val="20"/>
              </w:rPr>
              <w:t>0.198)</w:t>
            </w:r>
          </w:p>
        </w:tc>
      </w:tr>
      <w:tr w:rsidR="00EF1B6A" w:rsidRPr="0077583B" w14:paraId="4A1CDD3A" w14:textId="77777777" w:rsidTr="00EF1B6A">
        <w:trPr>
          <w:trHeight w:val="182"/>
        </w:trPr>
        <w:tc>
          <w:tcPr>
            <w:tcW w:w="1980" w:type="dxa"/>
          </w:tcPr>
          <w:p w14:paraId="414B0819" w14:textId="68912E2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Structural uncertainty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unparameterisable)</w:t>
            </w:r>
          </w:p>
        </w:tc>
        <w:tc>
          <w:tcPr>
            <w:tcW w:w="1440" w:type="dxa"/>
          </w:tcPr>
          <w:p w14:paraId="76828F4E"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09C09694" w14:textId="1F0CB55D" w:rsidR="00EF1B6A" w:rsidRPr="0077583B" w:rsidRDefault="00EF1B6A" w:rsidP="0039601B">
            <w:pPr>
              <w:pStyle w:val="a"/>
              <w:adjustRightInd w:val="0"/>
              <w:snapToGrid w:val="0"/>
              <w:jc w:val="left"/>
              <w:rPr>
                <w:rFonts w:eastAsiaTheme="minorEastAsia"/>
                <w:sz w:val="20"/>
                <w:szCs w:val="20"/>
                <w:lang w:val="en-GB"/>
              </w:rPr>
            </w:pPr>
          </w:p>
        </w:tc>
        <w:tc>
          <w:tcPr>
            <w:tcW w:w="1440" w:type="dxa"/>
          </w:tcPr>
          <w:p w14:paraId="3C5D6D54" w14:textId="3D0E68BB" w:rsidR="00EF1B6A" w:rsidRPr="0077583B" w:rsidRDefault="00EF1B6A" w:rsidP="0039601B">
            <w:pPr>
              <w:pStyle w:val="a"/>
              <w:adjustRightInd w:val="0"/>
              <w:snapToGrid w:val="0"/>
              <w:jc w:val="left"/>
              <w:rPr>
                <w:rFonts w:eastAsiaTheme="minorEastAsia"/>
                <w:sz w:val="20"/>
                <w:szCs w:val="20"/>
                <w:lang w:val="en-GB"/>
              </w:rPr>
            </w:pPr>
          </w:p>
        </w:tc>
        <w:tc>
          <w:tcPr>
            <w:tcW w:w="1440" w:type="dxa"/>
          </w:tcPr>
          <w:p w14:paraId="673806E1" w14:textId="77F40E0A" w:rsidR="00EF1B6A" w:rsidRPr="0077583B" w:rsidRDefault="00EF1B6A" w:rsidP="0039601B">
            <w:pPr>
              <w:pStyle w:val="a"/>
              <w:adjustRightInd w:val="0"/>
              <w:snapToGrid w:val="0"/>
              <w:jc w:val="left"/>
              <w:rPr>
                <w:kern w:val="0"/>
                <w:sz w:val="20"/>
                <w:szCs w:val="20"/>
              </w:rPr>
            </w:pPr>
          </w:p>
        </w:tc>
        <w:tc>
          <w:tcPr>
            <w:tcW w:w="1525" w:type="dxa"/>
          </w:tcPr>
          <w:p w14:paraId="6B6CDDFF" w14:textId="10437927" w:rsidR="00EF1B6A" w:rsidRPr="0077583B" w:rsidRDefault="00EF1B6A" w:rsidP="0039601B">
            <w:pPr>
              <w:autoSpaceDE w:val="0"/>
              <w:autoSpaceDN w:val="0"/>
              <w:adjustRightInd w:val="0"/>
              <w:snapToGrid w:val="0"/>
              <w:jc w:val="left"/>
              <w:rPr>
                <w:rFonts w:ascii="Times New Roman" w:hAnsi="Times New Roman" w:cs="Times New Roman"/>
                <w:kern w:val="0"/>
                <w:sz w:val="20"/>
                <w:szCs w:val="20"/>
              </w:rPr>
            </w:pPr>
          </w:p>
        </w:tc>
        <w:tc>
          <w:tcPr>
            <w:tcW w:w="1445" w:type="dxa"/>
            <w:shd w:val="clear" w:color="auto" w:fill="auto"/>
          </w:tcPr>
          <w:p w14:paraId="4A8D6DEE" w14:textId="27CC6D99"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76FBCBD0" w14:textId="32688878"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34C6D257" w14:textId="3D081418"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66CCF488" w14:textId="77777777" w:rsidTr="00EF1B6A">
        <w:trPr>
          <w:trHeight w:val="53"/>
        </w:trPr>
        <w:tc>
          <w:tcPr>
            <w:tcW w:w="1980" w:type="dxa"/>
          </w:tcPr>
          <w:p w14:paraId="2FE99C48" w14:textId="24A47D5D"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   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tcPr>
          <w:p w14:paraId="6BBA7A76"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0.044</w:t>
            </w:r>
          </w:p>
          <w:p w14:paraId="6C28E29F" w14:textId="6BF8E2CC" w:rsidR="00EF1B6A" w:rsidRPr="0077583B" w:rsidRDefault="00EF1B6A" w:rsidP="0039601B">
            <w:pPr>
              <w:autoSpaceDE w:val="0"/>
              <w:autoSpaceDN w:val="0"/>
              <w:adjustRightInd w:val="0"/>
              <w:snapToGrid w:val="0"/>
              <w:jc w:val="left"/>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-0.052, 0.141)</w:t>
            </w:r>
          </w:p>
        </w:tc>
        <w:tc>
          <w:tcPr>
            <w:tcW w:w="1620" w:type="dxa"/>
          </w:tcPr>
          <w:p w14:paraId="1A35E85F" w14:textId="77777777" w:rsidR="00EF1B6A" w:rsidRDefault="00EF1B6A" w:rsidP="0039601B">
            <w:pPr>
              <w:pStyle w:val="a"/>
              <w:adjustRightInd w:val="0"/>
              <w:snapToGrid w:val="0"/>
              <w:jc w:val="left"/>
              <w:rPr>
                <w:sz w:val="20"/>
                <w:szCs w:val="20"/>
              </w:rPr>
            </w:pPr>
            <w:r w:rsidRPr="0077583B">
              <w:rPr>
                <w:sz w:val="20"/>
                <w:szCs w:val="20"/>
              </w:rPr>
              <w:t>0.035</w:t>
            </w:r>
          </w:p>
          <w:p w14:paraId="25CCC604" w14:textId="408E23BB" w:rsidR="00EF1B6A" w:rsidRPr="0077583B" w:rsidRDefault="00EF1B6A" w:rsidP="0039601B">
            <w:pPr>
              <w:pStyle w:val="a"/>
              <w:adjustRightInd w:val="0"/>
              <w:snapToGrid w:val="0"/>
              <w:jc w:val="left"/>
              <w:rPr>
                <w:sz w:val="20"/>
                <w:szCs w:val="20"/>
              </w:rPr>
            </w:pPr>
            <w:r>
              <w:rPr>
                <w:sz w:val="20"/>
                <w:szCs w:val="20"/>
              </w:rPr>
              <w:t xml:space="preserve"> (</w:t>
            </w:r>
            <w:r w:rsidRPr="0077583B">
              <w:rPr>
                <w:sz w:val="20"/>
                <w:szCs w:val="20"/>
              </w:rPr>
              <w:t>-0.065</w:t>
            </w:r>
            <w:r>
              <w:rPr>
                <w:sz w:val="20"/>
                <w:szCs w:val="20"/>
              </w:rPr>
              <w:t xml:space="preserve">, </w:t>
            </w:r>
            <w:r w:rsidRPr="0077583B">
              <w:rPr>
                <w:sz w:val="20"/>
                <w:szCs w:val="20"/>
              </w:rPr>
              <w:t>0.135)</w:t>
            </w:r>
          </w:p>
        </w:tc>
        <w:tc>
          <w:tcPr>
            <w:tcW w:w="1440" w:type="dxa"/>
          </w:tcPr>
          <w:p w14:paraId="37C4794A"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0.033</w:t>
            </w:r>
            <w:r>
              <w:rPr>
                <w:rFonts w:ascii="Times New Roman" w:hAnsi="Times New Roman" w:cs="Times New Roman"/>
                <w:sz w:val="20"/>
                <w:szCs w:val="20"/>
              </w:rPr>
              <w:t xml:space="preserve"> </w:t>
            </w:r>
          </w:p>
          <w:p w14:paraId="026A1E49" w14:textId="43D65AE6" w:rsidR="00EF1B6A" w:rsidRPr="0077583B" w:rsidRDefault="00EF1B6A" w:rsidP="0039601B">
            <w:pPr>
              <w:adjustRightInd w:val="0"/>
              <w:snapToGrid w:val="0"/>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-0.067</w:t>
            </w:r>
            <w:r>
              <w:rPr>
                <w:rFonts w:ascii="Times New Roman" w:hAnsi="Times New Roman" w:cs="Times New Roman"/>
                <w:sz w:val="20"/>
                <w:szCs w:val="20"/>
              </w:rPr>
              <w:t xml:space="preserve">, </w:t>
            </w:r>
            <w:r w:rsidRPr="0077583B">
              <w:rPr>
                <w:rFonts w:ascii="Times New Roman" w:hAnsi="Times New Roman" w:cs="Times New Roman"/>
                <w:sz w:val="20"/>
                <w:szCs w:val="20"/>
              </w:rPr>
              <w:t>0.133)</w:t>
            </w:r>
          </w:p>
        </w:tc>
        <w:tc>
          <w:tcPr>
            <w:tcW w:w="1440" w:type="dxa"/>
          </w:tcPr>
          <w:p w14:paraId="5F9D05CF" w14:textId="77777777" w:rsidR="00EF1B6A" w:rsidRDefault="00EF1B6A" w:rsidP="0039601B">
            <w:pPr>
              <w:pStyle w:val="a"/>
              <w:adjustRightInd w:val="0"/>
              <w:snapToGrid w:val="0"/>
              <w:jc w:val="left"/>
              <w:rPr>
                <w:sz w:val="20"/>
                <w:szCs w:val="20"/>
              </w:rPr>
            </w:pPr>
            <w:r w:rsidRPr="0077583B">
              <w:rPr>
                <w:sz w:val="20"/>
                <w:szCs w:val="20"/>
              </w:rPr>
              <w:t>0.033</w:t>
            </w:r>
            <w:r>
              <w:rPr>
                <w:sz w:val="20"/>
                <w:szCs w:val="20"/>
              </w:rPr>
              <w:t xml:space="preserve"> </w:t>
            </w:r>
          </w:p>
          <w:p w14:paraId="15D73D47" w14:textId="2AFA0C66" w:rsidR="00EF1B6A" w:rsidRPr="0077583B" w:rsidRDefault="00EF1B6A" w:rsidP="0039601B">
            <w:pPr>
              <w:pStyle w:val="a"/>
              <w:adjustRightInd w:val="0"/>
              <w:snapToGrid w:val="0"/>
              <w:jc w:val="left"/>
              <w:rPr>
                <w:sz w:val="20"/>
                <w:szCs w:val="20"/>
              </w:rPr>
            </w:pPr>
            <w:r>
              <w:rPr>
                <w:sz w:val="20"/>
                <w:szCs w:val="20"/>
              </w:rPr>
              <w:t>(</w:t>
            </w:r>
            <w:r w:rsidRPr="0077583B">
              <w:rPr>
                <w:sz w:val="20"/>
                <w:szCs w:val="20"/>
              </w:rPr>
              <w:t>-0.064</w:t>
            </w:r>
            <w:r>
              <w:rPr>
                <w:sz w:val="20"/>
                <w:szCs w:val="20"/>
              </w:rPr>
              <w:t xml:space="preserve">, </w:t>
            </w:r>
            <w:r w:rsidRPr="0077583B">
              <w:rPr>
                <w:sz w:val="20"/>
                <w:szCs w:val="20"/>
              </w:rPr>
              <w:t>0.131)</w:t>
            </w:r>
          </w:p>
        </w:tc>
        <w:tc>
          <w:tcPr>
            <w:tcW w:w="1525" w:type="dxa"/>
          </w:tcPr>
          <w:p w14:paraId="01034D11"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0.051</w:t>
            </w:r>
            <w:r>
              <w:rPr>
                <w:rFonts w:ascii="Times New Roman" w:hAnsi="Times New Roman" w:cs="Times New Roman"/>
                <w:sz w:val="20"/>
                <w:szCs w:val="20"/>
              </w:rPr>
              <w:t xml:space="preserve"> </w:t>
            </w:r>
          </w:p>
          <w:p w14:paraId="7C0D7704" w14:textId="6DC2B2F3" w:rsidR="00EF1B6A" w:rsidRPr="0077583B" w:rsidRDefault="00EF1B6A" w:rsidP="0039601B">
            <w:pPr>
              <w:adjustRightInd w:val="0"/>
              <w:snapToGrid w:val="0"/>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-0.044</w:t>
            </w:r>
            <w:r>
              <w:rPr>
                <w:rFonts w:ascii="Times New Roman" w:hAnsi="Times New Roman" w:cs="Times New Roman"/>
                <w:sz w:val="20"/>
                <w:szCs w:val="20"/>
              </w:rPr>
              <w:t xml:space="preserve">, </w:t>
            </w:r>
            <w:r w:rsidRPr="0077583B">
              <w:rPr>
                <w:rFonts w:ascii="Times New Roman" w:hAnsi="Times New Roman" w:cs="Times New Roman"/>
                <w:sz w:val="20"/>
                <w:szCs w:val="20"/>
              </w:rPr>
              <w:t>0.146)</w:t>
            </w:r>
          </w:p>
        </w:tc>
        <w:tc>
          <w:tcPr>
            <w:tcW w:w="1445" w:type="dxa"/>
            <w:shd w:val="clear" w:color="auto" w:fill="auto"/>
          </w:tcPr>
          <w:p w14:paraId="11727221"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0.042</w:t>
            </w:r>
            <w:r>
              <w:rPr>
                <w:rFonts w:ascii="Times New Roman" w:hAnsi="Times New Roman" w:cs="Times New Roman"/>
                <w:sz w:val="20"/>
                <w:szCs w:val="20"/>
              </w:rPr>
              <w:t xml:space="preserve"> </w:t>
            </w:r>
          </w:p>
          <w:p w14:paraId="15CC70AD" w14:textId="07732E56" w:rsidR="00EF1B6A" w:rsidRPr="0077583B" w:rsidRDefault="00EF1B6A" w:rsidP="0039601B">
            <w:pPr>
              <w:adjustRightInd w:val="0"/>
              <w:snapToGrid w:val="0"/>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-0.052</w:t>
            </w:r>
            <w:r>
              <w:rPr>
                <w:rFonts w:ascii="Times New Roman" w:hAnsi="Times New Roman" w:cs="Times New Roman"/>
                <w:sz w:val="20"/>
                <w:szCs w:val="20"/>
              </w:rPr>
              <w:t xml:space="preserve">, </w:t>
            </w:r>
            <w:r w:rsidRPr="0077583B">
              <w:rPr>
                <w:rFonts w:ascii="Times New Roman" w:hAnsi="Times New Roman" w:cs="Times New Roman"/>
                <w:sz w:val="20"/>
                <w:szCs w:val="20"/>
              </w:rPr>
              <w:t>0.135)</w:t>
            </w:r>
          </w:p>
        </w:tc>
        <w:tc>
          <w:tcPr>
            <w:tcW w:w="1440" w:type="dxa"/>
          </w:tcPr>
          <w:p w14:paraId="00A77EC1"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0.066</w:t>
            </w:r>
            <w:r>
              <w:rPr>
                <w:rFonts w:ascii="Times New Roman" w:hAnsi="Times New Roman" w:cs="Times New Roman"/>
                <w:sz w:val="20"/>
                <w:szCs w:val="20"/>
              </w:rPr>
              <w:t xml:space="preserve"> </w:t>
            </w:r>
          </w:p>
          <w:p w14:paraId="7D88A2CE" w14:textId="36BF688F" w:rsidR="00EF1B6A" w:rsidRPr="0077583B" w:rsidRDefault="00EF1B6A" w:rsidP="0039601B">
            <w:pPr>
              <w:adjustRightInd w:val="0"/>
              <w:snapToGrid w:val="0"/>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-0.027</w:t>
            </w:r>
            <w:r>
              <w:rPr>
                <w:rFonts w:ascii="Times New Roman" w:hAnsi="Times New Roman" w:cs="Times New Roman"/>
                <w:sz w:val="20"/>
                <w:szCs w:val="20"/>
              </w:rPr>
              <w:t xml:space="preserve">, </w:t>
            </w:r>
            <w:r w:rsidRPr="0077583B">
              <w:rPr>
                <w:rFonts w:ascii="Times New Roman" w:hAnsi="Times New Roman" w:cs="Times New Roman"/>
                <w:sz w:val="20"/>
                <w:szCs w:val="20"/>
              </w:rPr>
              <w:t>0.159)</w:t>
            </w:r>
          </w:p>
        </w:tc>
        <w:tc>
          <w:tcPr>
            <w:tcW w:w="1615" w:type="dxa"/>
          </w:tcPr>
          <w:p w14:paraId="52A3B7B4"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0.036</w:t>
            </w:r>
            <w:r>
              <w:rPr>
                <w:rFonts w:ascii="Times New Roman" w:hAnsi="Times New Roman" w:cs="Times New Roman"/>
                <w:sz w:val="20"/>
                <w:szCs w:val="20"/>
              </w:rPr>
              <w:t xml:space="preserve"> </w:t>
            </w:r>
          </w:p>
          <w:p w14:paraId="47FFC8BA" w14:textId="703C956F" w:rsidR="00EF1B6A" w:rsidRPr="0077583B" w:rsidRDefault="00EF1B6A" w:rsidP="0039601B">
            <w:pPr>
              <w:adjustRightInd w:val="0"/>
              <w:snapToGrid w:val="0"/>
              <w:rPr>
                <w:rFonts w:ascii="Times New Roman" w:eastAsia="SimSu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-0.066</w:t>
            </w:r>
            <w:r>
              <w:rPr>
                <w:rFonts w:ascii="Times New Roman" w:hAnsi="Times New Roman" w:cs="Times New Roman"/>
                <w:sz w:val="20"/>
                <w:szCs w:val="20"/>
              </w:rPr>
              <w:t xml:space="preserve">, </w:t>
            </w:r>
            <w:r w:rsidRPr="0077583B">
              <w:rPr>
                <w:rFonts w:ascii="Times New Roman" w:hAnsi="Times New Roman" w:cs="Times New Roman"/>
                <w:sz w:val="20"/>
                <w:szCs w:val="20"/>
              </w:rPr>
              <w:t>0.139)</w:t>
            </w:r>
          </w:p>
        </w:tc>
      </w:tr>
      <w:tr w:rsidR="00EF1B6A" w:rsidRPr="0077583B" w14:paraId="74BB388B" w14:textId="77777777" w:rsidTr="00EF1B6A">
        <w:trPr>
          <w:trHeight w:val="220"/>
        </w:trPr>
        <w:tc>
          <w:tcPr>
            <w:tcW w:w="1980" w:type="dxa"/>
          </w:tcPr>
          <w:p w14:paraId="19D156B8" w14:textId="63959348"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Structural uncertainty</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parameterisable, extrapolation)</w:t>
            </w:r>
          </w:p>
        </w:tc>
        <w:tc>
          <w:tcPr>
            <w:tcW w:w="1440" w:type="dxa"/>
          </w:tcPr>
          <w:p w14:paraId="0EF87F61"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6E3B57FE" w14:textId="5AB23E4B"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75ABAE78" w14:textId="74287DA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565133E5" w14:textId="22F8E602" w:rsidR="00EF1B6A" w:rsidRPr="0077583B" w:rsidRDefault="00EF1B6A" w:rsidP="0039601B">
            <w:pPr>
              <w:pStyle w:val="a"/>
              <w:adjustRightInd w:val="0"/>
              <w:snapToGrid w:val="0"/>
              <w:jc w:val="left"/>
              <w:rPr>
                <w:kern w:val="0"/>
                <w:sz w:val="20"/>
                <w:szCs w:val="20"/>
              </w:rPr>
            </w:pPr>
          </w:p>
        </w:tc>
        <w:tc>
          <w:tcPr>
            <w:tcW w:w="1525" w:type="dxa"/>
          </w:tcPr>
          <w:p w14:paraId="0440AD3D" w14:textId="01B92BB9" w:rsidR="00EF1B6A" w:rsidRPr="0077583B" w:rsidRDefault="00EF1B6A" w:rsidP="0039601B">
            <w:pPr>
              <w:pStyle w:val="a"/>
              <w:adjustRightInd w:val="0"/>
              <w:snapToGrid w:val="0"/>
              <w:jc w:val="left"/>
              <w:rPr>
                <w:kern w:val="0"/>
                <w:sz w:val="20"/>
                <w:szCs w:val="20"/>
              </w:rPr>
            </w:pPr>
          </w:p>
        </w:tc>
        <w:tc>
          <w:tcPr>
            <w:tcW w:w="1445" w:type="dxa"/>
            <w:shd w:val="clear" w:color="auto" w:fill="auto"/>
          </w:tcPr>
          <w:p w14:paraId="4042B6DB" w14:textId="6087BBFA"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400AE8C8" w14:textId="59DE4C9B"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7D91079C" w14:textId="2A27BDD4"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1DF61E6F" w14:textId="77777777" w:rsidTr="00EF1B6A">
        <w:trPr>
          <w:trHeight w:val="53"/>
        </w:trPr>
        <w:tc>
          <w:tcPr>
            <w:tcW w:w="1980" w:type="dxa"/>
          </w:tcPr>
          <w:p w14:paraId="3FC2E14B" w14:textId="556A218A"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   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tcPr>
          <w:p w14:paraId="530CDC2D" w14:textId="3380700A"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0.176***</w:t>
            </w:r>
            <w:r>
              <w:rPr>
                <w:rFonts w:ascii="Times New Roman" w:hAnsi="Times New Roman" w:cs="Times New Roman"/>
                <w:sz w:val="20"/>
                <w:szCs w:val="20"/>
              </w:rPr>
              <w:t xml:space="preserve"> (</w:t>
            </w:r>
            <w:r w:rsidRPr="0077583B">
              <w:rPr>
                <w:rFonts w:ascii="Times New Roman" w:hAnsi="Times New Roman" w:cs="Times New Roman"/>
                <w:sz w:val="20"/>
                <w:szCs w:val="20"/>
              </w:rPr>
              <w:t>0.056, 0.297)</w:t>
            </w:r>
          </w:p>
        </w:tc>
        <w:tc>
          <w:tcPr>
            <w:tcW w:w="1620" w:type="dxa"/>
          </w:tcPr>
          <w:p w14:paraId="2BC88C1B"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 xml:space="preserve">0.191*** </w:t>
            </w:r>
          </w:p>
          <w:p w14:paraId="31555677" w14:textId="5C4CC8C7"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0.064</w:t>
            </w:r>
            <w:r>
              <w:rPr>
                <w:rFonts w:ascii="Times New Roman" w:hAnsi="Times New Roman" w:cs="Times New Roman"/>
                <w:sz w:val="20"/>
                <w:szCs w:val="20"/>
              </w:rPr>
              <w:t xml:space="preserve">, </w:t>
            </w:r>
            <w:r w:rsidRPr="0077583B">
              <w:rPr>
                <w:rFonts w:ascii="Times New Roman" w:hAnsi="Times New Roman" w:cs="Times New Roman"/>
                <w:sz w:val="20"/>
                <w:szCs w:val="20"/>
              </w:rPr>
              <w:t>0.318)</w:t>
            </w:r>
          </w:p>
        </w:tc>
        <w:tc>
          <w:tcPr>
            <w:tcW w:w="1440" w:type="dxa"/>
          </w:tcPr>
          <w:p w14:paraId="31E2D804"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392ABEBB" w14:textId="2E6D5523" w:rsidR="00EF1B6A" w:rsidRPr="0077583B" w:rsidRDefault="00EF1B6A" w:rsidP="0039601B">
            <w:pPr>
              <w:adjustRightInd w:val="0"/>
              <w:snapToGrid w:val="0"/>
              <w:rPr>
                <w:rFonts w:ascii="Times New Roman" w:hAnsi="Times New Roman" w:cs="Times New Roman"/>
                <w:sz w:val="20"/>
                <w:szCs w:val="20"/>
                <w:lang w:val="en-AU"/>
              </w:rPr>
            </w:pPr>
            <w:r w:rsidRPr="0077583B">
              <w:rPr>
                <w:rFonts w:ascii="Times New Roman" w:hAnsi="Times New Roman" w:cs="Times New Roman"/>
                <w:sz w:val="20"/>
                <w:szCs w:val="20"/>
              </w:rPr>
              <w:t>0.181***</w:t>
            </w:r>
            <w:r>
              <w:rPr>
                <w:rFonts w:ascii="Times New Roman" w:hAnsi="Times New Roman" w:cs="Times New Roman"/>
                <w:sz w:val="20"/>
                <w:szCs w:val="20"/>
              </w:rPr>
              <w:t xml:space="preserve"> (</w:t>
            </w:r>
            <w:r w:rsidRPr="0077583B">
              <w:rPr>
                <w:rFonts w:ascii="Times New Roman" w:hAnsi="Times New Roman" w:cs="Times New Roman"/>
                <w:sz w:val="20"/>
                <w:szCs w:val="20"/>
              </w:rPr>
              <w:t>0.049</w:t>
            </w:r>
            <w:r>
              <w:rPr>
                <w:rFonts w:ascii="Times New Roman" w:hAnsi="Times New Roman" w:cs="Times New Roman"/>
                <w:sz w:val="20"/>
                <w:szCs w:val="20"/>
              </w:rPr>
              <w:t xml:space="preserve">, </w:t>
            </w:r>
            <w:r w:rsidRPr="0077583B">
              <w:rPr>
                <w:rFonts w:ascii="Times New Roman" w:hAnsi="Times New Roman" w:cs="Times New Roman"/>
                <w:sz w:val="20"/>
                <w:szCs w:val="20"/>
              </w:rPr>
              <w:t>0.313)</w:t>
            </w:r>
          </w:p>
        </w:tc>
        <w:tc>
          <w:tcPr>
            <w:tcW w:w="1525" w:type="dxa"/>
          </w:tcPr>
          <w:p w14:paraId="53896C76"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0.181***</w:t>
            </w:r>
            <w:r>
              <w:rPr>
                <w:rFonts w:ascii="Times New Roman" w:hAnsi="Times New Roman" w:cs="Times New Roman"/>
                <w:sz w:val="20"/>
                <w:szCs w:val="20"/>
              </w:rPr>
              <w:t xml:space="preserve"> </w:t>
            </w:r>
          </w:p>
          <w:p w14:paraId="3CADB1B5" w14:textId="3645351D"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0.052</w:t>
            </w:r>
            <w:r>
              <w:rPr>
                <w:rFonts w:ascii="Times New Roman" w:hAnsi="Times New Roman" w:cs="Times New Roman"/>
                <w:sz w:val="20"/>
                <w:szCs w:val="20"/>
              </w:rPr>
              <w:t xml:space="preserve">, </w:t>
            </w:r>
            <w:r w:rsidRPr="0077583B">
              <w:rPr>
                <w:rFonts w:ascii="Times New Roman" w:hAnsi="Times New Roman" w:cs="Times New Roman"/>
                <w:sz w:val="20"/>
                <w:szCs w:val="20"/>
              </w:rPr>
              <w:t>0.310)</w:t>
            </w:r>
          </w:p>
        </w:tc>
        <w:tc>
          <w:tcPr>
            <w:tcW w:w="1445" w:type="dxa"/>
            <w:shd w:val="clear" w:color="auto" w:fill="auto"/>
          </w:tcPr>
          <w:p w14:paraId="542DE39A" w14:textId="3B6970A1"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hAnsi="Times New Roman" w:cs="Times New Roman"/>
                <w:sz w:val="20"/>
                <w:szCs w:val="20"/>
              </w:rPr>
              <w:t>0.194***</w:t>
            </w:r>
            <w:r>
              <w:rPr>
                <w:rFonts w:ascii="Times New Roman" w:hAnsi="Times New Roman" w:cs="Times New Roman"/>
                <w:sz w:val="20"/>
                <w:szCs w:val="20"/>
              </w:rPr>
              <w:t xml:space="preserve"> (</w:t>
            </w:r>
            <w:r w:rsidRPr="0077583B">
              <w:rPr>
                <w:rFonts w:ascii="Times New Roman" w:hAnsi="Times New Roman" w:cs="Times New Roman"/>
                <w:sz w:val="20"/>
                <w:szCs w:val="20"/>
              </w:rPr>
              <w:t>0.067</w:t>
            </w:r>
            <w:r>
              <w:rPr>
                <w:rFonts w:ascii="Times New Roman" w:hAnsi="Times New Roman" w:cs="Times New Roman"/>
                <w:sz w:val="20"/>
                <w:szCs w:val="20"/>
              </w:rPr>
              <w:t xml:space="preserve">, </w:t>
            </w:r>
            <w:r w:rsidRPr="0077583B">
              <w:rPr>
                <w:rFonts w:ascii="Times New Roman" w:hAnsi="Times New Roman" w:cs="Times New Roman"/>
                <w:sz w:val="20"/>
                <w:szCs w:val="20"/>
              </w:rPr>
              <w:t>0.322)</w:t>
            </w:r>
          </w:p>
        </w:tc>
        <w:tc>
          <w:tcPr>
            <w:tcW w:w="1440" w:type="dxa"/>
          </w:tcPr>
          <w:p w14:paraId="5317AA3C" w14:textId="223BAB22" w:rsidR="00EF1B6A" w:rsidRPr="0077583B" w:rsidRDefault="00EF1B6A" w:rsidP="0039601B">
            <w:pPr>
              <w:adjustRightInd w:val="0"/>
              <w:snapToGrid w:val="0"/>
              <w:rPr>
                <w:rFonts w:ascii="Times New Roman" w:hAnsi="Times New Roman" w:cs="Times New Roman"/>
                <w:sz w:val="20"/>
                <w:szCs w:val="20"/>
                <w:lang w:val="en-AU"/>
              </w:rPr>
            </w:pPr>
            <w:r w:rsidRPr="0077583B">
              <w:rPr>
                <w:rFonts w:ascii="Times New Roman" w:hAnsi="Times New Roman" w:cs="Times New Roman"/>
                <w:sz w:val="20"/>
                <w:szCs w:val="20"/>
              </w:rPr>
              <w:t>0.199***</w:t>
            </w:r>
            <w:r>
              <w:rPr>
                <w:rFonts w:ascii="Times New Roman" w:hAnsi="Times New Roman" w:cs="Times New Roman"/>
                <w:sz w:val="20"/>
                <w:szCs w:val="20"/>
              </w:rPr>
              <w:t xml:space="preserve"> (</w:t>
            </w:r>
            <w:r w:rsidRPr="0077583B">
              <w:rPr>
                <w:rFonts w:ascii="Times New Roman" w:hAnsi="Times New Roman" w:cs="Times New Roman"/>
                <w:sz w:val="20"/>
                <w:szCs w:val="20"/>
              </w:rPr>
              <w:t>0.067</w:t>
            </w:r>
            <w:r>
              <w:rPr>
                <w:rFonts w:ascii="Times New Roman" w:hAnsi="Times New Roman" w:cs="Times New Roman"/>
                <w:sz w:val="20"/>
                <w:szCs w:val="20"/>
              </w:rPr>
              <w:t xml:space="preserve">, </w:t>
            </w:r>
            <w:r w:rsidRPr="0077583B">
              <w:rPr>
                <w:rFonts w:ascii="Times New Roman" w:hAnsi="Times New Roman" w:cs="Times New Roman"/>
                <w:sz w:val="20"/>
                <w:szCs w:val="20"/>
              </w:rPr>
              <w:t>0.331)</w:t>
            </w:r>
          </w:p>
        </w:tc>
        <w:tc>
          <w:tcPr>
            <w:tcW w:w="1615" w:type="dxa"/>
          </w:tcPr>
          <w:p w14:paraId="0ABC8D05"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0.204***</w:t>
            </w:r>
            <w:r>
              <w:rPr>
                <w:rFonts w:ascii="Times New Roman" w:hAnsi="Times New Roman" w:cs="Times New Roman"/>
                <w:sz w:val="20"/>
                <w:szCs w:val="20"/>
              </w:rPr>
              <w:t xml:space="preserve"> </w:t>
            </w:r>
          </w:p>
          <w:p w14:paraId="3CD28B5A" w14:textId="192B09B0" w:rsidR="00EF1B6A" w:rsidRPr="0077583B" w:rsidRDefault="00EF1B6A" w:rsidP="0039601B">
            <w:pPr>
              <w:adjustRightInd w:val="0"/>
              <w:snapToGrid w:val="0"/>
              <w:rPr>
                <w:rFonts w:ascii="Times New Roma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0.066</w:t>
            </w:r>
            <w:r>
              <w:rPr>
                <w:rFonts w:ascii="Times New Roman" w:hAnsi="Times New Roman" w:cs="Times New Roman"/>
                <w:sz w:val="20"/>
                <w:szCs w:val="20"/>
              </w:rPr>
              <w:t xml:space="preserve">, </w:t>
            </w:r>
            <w:r w:rsidRPr="0077583B">
              <w:rPr>
                <w:rFonts w:ascii="Times New Roman" w:hAnsi="Times New Roman" w:cs="Times New Roman"/>
                <w:sz w:val="20"/>
                <w:szCs w:val="20"/>
              </w:rPr>
              <w:t>0.341)</w:t>
            </w:r>
          </w:p>
        </w:tc>
      </w:tr>
      <w:tr w:rsidR="00EF1B6A" w:rsidRPr="0077583B" w14:paraId="5FCC7C61" w14:textId="77777777" w:rsidTr="00EF1B6A">
        <w:trPr>
          <w:trHeight w:val="272"/>
        </w:trPr>
        <w:tc>
          <w:tcPr>
            <w:tcW w:w="1980" w:type="dxa"/>
          </w:tcPr>
          <w:p w14:paraId="42CF412B" w14:textId="7777777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Parameter uncertainty</w:t>
            </w:r>
          </w:p>
        </w:tc>
        <w:tc>
          <w:tcPr>
            <w:tcW w:w="1440" w:type="dxa"/>
          </w:tcPr>
          <w:p w14:paraId="2403D847"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428CE479" w14:textId="1E772435"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3225D724"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70BB4A1B" w14:textId="7925568A" w:rsidR="00EF1B6A" w:rsidRPr="0077583B" w:rsidRDefault="00EF1B6A" w:rsidP="0039601B">
            <w:pPr>
              <w:pStyle w:val="a"/>
              <w:adjustRightInd w:val="0"/>
              <w:snapToGrid w:val="0"/>
              <w:jc w:val="left"/>
              <w:rPr>
                <w:kern w:val="0"/>
                <w:sz w:val="20"/>
                <w:szCs w:val="20"/>
              </w:rPr>
            </w:pPr>
          </w:p>
        </w:tc>
        <w:tc>
          <w:tcPr>
            <w:tcW w:w="1525" w:type="dxa"/>
          </w:tcPr>
          <w:p w14:paraId="5C16D954" w14:textId="62E5533C" w:rsidR="00EF1B6A" w:rsidRPr="0077583B" w:rsidRDefault="00EF1B6A" w:rsidP="0039601B">
            <w:pPr>
              <w:pStyle w:val="a"/>
              <w:adjustRightInd w:val="0"/>
              <w:snapToGrid w:val="0"/>
              <w:jc w:val="left"/>
              <w:rPr>
                <w:kern w:val="0"/>
                <w:sz w:val="20"/>
                <w:szCs w:val="20"/>
              </w:rPr>
            </w:pPr>
          </w:p>
        </w:tc>
        <w:tc>
          <w:tcPr>
            <w:tcW w:w="1445" w:type="dxa"/>
            <w:shd w:val="clear" w:color="auto" w:fill="auto"/>
          </w:tcPr>
          <w:p w14:paraId="739C5E87" w14:textId="669B700B"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3D0B2BBC" w14:textId="337D297D"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7099B23F" w14:textId="24362859"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124D947A" w14:textId="77777777" w:rsidTr="00EF1B6A">
        <w:trPr>
          <w:trHeight w:val="220"/>
        </w:trPr>
        <w:tc>
          <w:tcPr>
            <w:tcW w:w="1980" w:type="dxa"/>
          </w:tcPr>
          <w:p w14:paraId="73A16F4B" w14:textId="7C401D6D"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  None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yes)</w:t>
            </w:r>
          </w:p>
        </w:tc>
        <w:tc>
          <w:tcPr>
            <w:tcW w:w="1440" w:type="dxa"/>
          </w:tcPr>
          <w:p w14:paraId="437B478E"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0.039</w:t>
            </w:r>
          </w:p>
          <w:p w14:paraId="534ED8BC" w14:textId="6B74F3EA"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-0.203, 0.282)</w:t>
            </w:r>
          </w:p>
        </w:tc>
        <w:tc>
          <w:tcPr>
            <w:tcW w:w="1620" w:type="dxa"/>
          </w:tcPr>
          <w:p w14:paraId="210304A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0.003</w:t>
            </w:r>
          </w:p>
          <w:p w14:paraId="59FFCB10" w14:textId="0797C944"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-0.224</w:t>
            </w:r>
            <w:r>
              <w:rPr>
                <w:rFonts w:ascii="Times New Roman" w:hAnsi="Times New Roman" w:cs="Times New Roman"/>
                <w:sz w:val="20"/>
                <w:szCs w:val="20"/>
              </w:rPr>
              <w:t xml:space="preserve">, </w:t>
            </w:r>
            <w:r w:rsidRPr="0077583B">
              <w:rPr>
                <w:rFonts w:ascii="Times New Roman" w:hAnsi="Times New Roman" w:cs="Times New Roman"/>
                <w:sz w:val="20"/>
                <w:szCs w:val="20"/>
              </w:rPr>
              <w:t>0.230)</w:t>
            </w:r>
          </w:p>
        </w:tc>
        <w:tc>
          <w:tcPr>
            <w:tcW w:w="1440" w:type="dxa"/>
          </w:tcPr>
          <w:p w14:paraId="6594E11C"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0.068</w:t>
            </w:r>
            <w:r>
              <w:rPr>
                <w:rFonts w:ascii="Times New Roman" w:hAnsi="Times New Roman" w:cs="Times New Roman"/>
                <w:sz w:val="20"/>
                <w:szCs w:val="20"/>
              </w:rPr>
              <w:t xml:space="preserve"> </w:t>
            </w:r>
          </w:p>
          <w:p w14:paraId="2AC1FE36" w14:textId="556A2EDE"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-0.235 -0.371)</w:t>
            </w:r>
          </w:p>
        </w:tc>
        <w:tc>
          <w:tcPr>
            <w:tcW w:w="1440" w:type="dxa"/>
          </w:tcPr>
          <w:p w14:paraId="6F4232E2" w14:textId="7777777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525" w:type="dxa"/>
          </w:tcPr>
          <w:p w14:paraId="0829EEAA"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0.082</w:t>
            </w:r>
            <w:r>
              <w:rPr>
                <w:rFonts w:ascii="Times New Roman" w:hAnsi="Times New Roman" w:cs="Times New Roman"/>
                <w:sz w:val="20"/>
                <w:szCs w:val="20"/>
              </w:rPr>
              <w:t xml:space="preserve"> </w:t>
            </w:r>
          </w:p>
          <w:p w14:paraId="76473D7B" w14:textId="54B75C6B"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-0.193</w:t>
            </w:r>
            <w:r>
              <w:rPr>
                <w:rFonts w:ascii="Times New Roman" w:hAnsi="Times New Roman" w:cs="Times New Roman"/>
                <w:sz w:val="20"/>
                <w:szCs w:val="20"/>
              </w:rPr>
              <w:t xml:space="preserve">, </w:t>
            </w:r>
            <w:r w:rsidRPr="0077583B">
              <w:rPr>
                <w:rFonts w:ascii="Times New Roman" w:hAnsi="Times New Roman" w:cs="Times New Roman"/>
                <w:sz w:val="20"/>
                <w:szCs w:val="20"/>
              </w:rPr>
              <w:t>0.356)</w:t>
            </w:r>
          </w:p>
        </w:tc>
        <w:tc>
          <w:tcPr>
            <w:tcW w:w="1445" w:type="dxa"/>
            <w:shd w:val="clear" w:color="auto" w:fill="auto"/>
          </w:tcPr>
          <w:p w14:paraId="11ABAD53"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0.015</w:t>
            </w:r>
            <w:r>
              <w:rPr>
                <w:rFonts w:ascii="Times New Roman" w:hAnsi="Times New Roman" w:cs="Times New Roman"/>
                <w:sz w:val="20"/>
                <w:szCs w:val="20"/>
              </w:rPr>
              <w:t xml:space="preserve"> </w:t>
            </w:r>
          </w:p>
          <w:p w14:paraId="14C6C09A" w14:textId="443537E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-0.220</w:t>
            </w:r>
            <w:r>
              <w:rPr>
                <w:rFonts w:ascii="Times New Roman" w:hAnsi="Times New Roman" w:cs="Times New Roman"/>
                <w:sz w:val="20"/>
                <w:szCs w:val="20"/>
              </w:rPr>
              <w:t xml:space="preserve">, </w:t>
            </w:r>
            <w:r w:rsidRPr="0077583B">
              <w:rPr>
                <w:rFonts w:ascii="Times New Roman" w:hAnsi="Times New Roman" w:cs="Times New Roman"/>
                <w:sz w:val="20"/>
                <w:szCs w:val="20"/>
              </w:rPr>
              <w:t>0.251)</w:t>
            </w:r>
          </w:p>
        </w:tc>
        <w:tc>
          <w:tcPr>
            <w:tcW w:w="1440" w:type="dxa"/>
          </w:tcPr>
          <w:p w14:paraId="46A5E39A" w14:textId="733D18A2"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65195B7E"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2D7EDC37" w14:textId="77777777" w:rsidTr="00EF1B6A">
        <w:trPr>
          <w:trHeight w:val="220"/>
        </w:trPr>
        <w:tc>
          <w:tcPr>
            <w:tcW w:w="1980" w:type="dxa"/>
            <w:vAlign w:val="center"/>
          </w:tcPr>
          <w:p w14:paraId="2B08C940" w14:textId="77777777"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Safety profile</w:t>
            </w:r>
          </w:p>
        </w:tc>
        <w:tc>
          <w:tcPr>
            <w:tcW w:w="1440" w:type="dxa"/>
          </w:tcPr>
          <w:p w14:paraId="0B1D6263"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0154240B" w14:textId="21FEF28E"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13F776B1" w14:textId="646E9FA1"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17911CBA"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525" w:type="dxa"/>
          </w:tcPr>
          <w:p w14:paraId="3507C1EF" w14:textId="23DFF6F3"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5" w:type="dxa"/>
            <w:shd w:val="clear" w:color="auto" w:fill="auto"/>
          </w:tcPr>
          <w:p w14:paraId="05A7AC0E" w14:textId="21035715"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327366A4" w14:textId="4E9946C6"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10357F34"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5F038036" w14:textId="77777777" w:rsidTr="00EF1B6A">
        <w:trPr>
          <w:trHeight w:val="53"/>
        </w:trPr>
        <w:tc>
          <w:tcPr>
            <w:tcW w:w="1980" w:type="dxa"/>
            <w:vAlign w:val="center"/>
          </w:tcPr>
          <w:p w14:paraId="78A9565C" w14:textId="42B5CA7F"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Superior or non- Inferior</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inferior)</w:t>
            </w:r>
          </w:p>
        </w:tc>
        <w:tc>
          <w:tcPr>
            <w:tcW w:w="1440" w:type="dxa"/>
          </w:tcPr>
          <w:p w14:paraId="0B6844D7"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0.102**</w:t>
            </w:r>
            <w:r>
              <w:rPr>
                <w:rFonts w:ascii="Times New Roman" w:hAnsi="Times New Roman" w:cs="Times New Roman"/>
                <w:sz w:val="20"/>
                <w:szCs w:val="20"/>
              </w:rPr>
              <w:t xml:space="preserve"> </w:t>
            </w:r>
          </w:p>
          <w:p w14:paraId="5A420A32" w14:textId="4B836937"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0.002, 0.203)</w:t>
            </w:r>
          </w:p>
        </w:tc>
        <w:tc>
          <w:tcPr>
            <w:tcW w:w="1620" w:type="dxa"/>
          </w:tcPr>
          <w:p w14:paraId="0A006084"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0.120**</w:t>
            </w:r>
            <w:r>
              <w:rPr>
                <w:rFonts w:ascii="Times New Roman" w:hAnsi="Times New Roman" w:cs="Times New Roman"/>
                <w:sz w:val="20"/>
                <w:szCs w:val="20"/>
              </w:rPr>
              <w:t xml:space="preserve"> </w:t>
            </w:r>
          </w:p>
          <w:p w14:paraId="0F6E7F7D" w14:textId="78CB18CB"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0.023</w:t>
            </w:r>
            <w:r>
              <w:rPr>
                <w:rFonts w:ascii="Times New Roman" w:hAnsi="Times New Roman" w:cs="Times New Roman"/>
                <w:sz w:val="20"/>
                <w:szCs w:val="20"/>
              </w:rPr>
              <w:t xml:space="preserve">, </w:t>
            </w:r>
            <w:r w:rsidRPr="0077583B">
              <w:rPr>
                <w:rFonts w:ascii="Times New Roman" w:hAnsi="Times New Roman" w:cs="Times New Roman"/>
                <w:sz w:val="20"/>
                <w:szCs w:val="20"/>
              </w:rPr>
              <w:t>0.218)</w:t>
            </w:r>
          </w:p>
        </w:tc>
        <w:tc>
          <w:tcPr>
            <w:tcW w:w="1440" w:type="dxa"/>
          </w:tcPr>
          <w:p w14:paraId="51AF9A0F"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0.100**</w:t>
            </w:r>
            <w:r>
              <w:rPr>
                <w:rFonts w:ascii="Times New Roman" w:hAnsi="Times New Roman" w:cs="Times New Roman"/>
                <w:sz w:val="20"/>
                <w:szCs w:val="20"/>
              </w:rPr>
              <w:t xml:space="preserve"> </w:t>
            </w:r>
          </w:p>
          <w:p w14:paraId="1629F855" w14:textId="186F1C69"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0.004</w:t>
            </w:r>
            <w:r>
              <w:rPr>
                <w:rFonts w:ascii="Times New Roman" w:hAnsi="Times New Roman" w:cs="Times New Roman"/>
                <w:sz w:val="20"/>
                <w:szCs w:val="20"/>
              </w:rPr>
              <w:t xml:space="preserve">, </w:t>
            </w:r>
            <w:r w:rsidRPr="0077583B">
              <w:rPr>
                <w:rFonts w:ascii="Times New Roman" w:hAnsi="Times New Roman" w:cs="Times New Roman"/>
                <w:sz w:val="20"/>
                <w:szCs w:val="20"/>
              </w:rPr>
              <w:t>0.196)</w:t>
            </w:r>
          </w:p>
        </w:tc>
        <w:tc>
          <w:tcPr>
            <w:tcW w:w="1440" w:type="dxa"/>
          </w:tcPr>
          <w:p w14:paraId="596078A0"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0.110**</w:t>
            </w:r>
            <w:r>
              <w:rPr>
                <w:rFonts w:ascii="Times New Roman" w:hAnsi="Times New Roman" w:cs="Times New Roman"/>
                <w:sz w:val="20"/>
                <w:szCs w:val="20"/>
              </w:rPr>
              <w:t xml:space="preserve"> </w:t>
            </w:r>
          </w:p>
          <w:p w14:paraId="632898E9" w14:textId="4AFDF05A"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0.010</w:t>
            </w:r>
            <w:r>
              <w:rPr>
                <w:rFonts w:ascii="Times New Roman" w:hAnsi="Times New Roman" w:cs="Times New Roman"/>
                <w:sz w:val="20"/>
                <w:szCs w:val="20"/>
              </w:rPr>
              <w:t xml:space="preserve">, </w:t>
            </w:r>
            <w:r w:rsidRPr="0077583B">
              <w:rPr>
                <w:rFonts w:ascii="Times New Roman" w:hAnsi="Times New Roman" w:cs="Times New Roman"/>
                <w:sz w:val="20"/>
                <w:szCs w:val="20"/>
              </w:rPr>
              <w:t>0.211)</w:t>
            </w:r>
          </w:p>
        </w:tc>
        <w:tc>
          <w:tcPr>
            <w:tcW w:w="1525" w:type="dxa"/>
          </w:tcPr>
          <w:p w14:paraId="5D31E947"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0.096*</w:t>
            </w:r>
            <w:r>
              <w:rPr>
                <w:rFonts w:ascii="Times New Roman" w:hAnsi="Times New Roman" w:cs="Times New Roman"/>
                <w:sz w:val="20"/>
                <w:szCs w:val="20"/>
              </w:rPr>
              <w:t xml:space="preserve"> </w:t>
            </w:r>
          </w:p>
          <w:p w14:paraId="277F2027" w14:textId="4824C626"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-0.002</w:t>
            </w:r>
            <w:r>
              <w:rPr>
                <w:rFonts w:ascii="Times New Roman" w:hAnsi="Times New Roman" w:cs="Times New Roman"/>
                <w:sz w:val="20"/>
                <w:szCs w:val="20"/>
              </w:rPr>
              <w:t xml:space="preserve">, </w:t>
            </w:r>
            <w:r w:rsidRPr="0077583B">
              <w:rPr>
                <w:rFonts w:ascii="Times New Roman" w:hAnsi="Times New Roman" w:cs="Times New Roman"/>
                <w:sz w:val="20"/>
                <w:szCs w:val="20"/>
              </w:rPr>
              <w:t>0.194)</w:t>
            </w:r>
          </w:p>
        </w:tc>
        <w:tc>
          <w:tcPr>
            <w:tcW w:w="1445" w:type="dxa"/>
            <w:shd w:val="clear" w:color="auto" w:fill="auto"/>
          </w:tcPr>
          <w:p w14:paraId="4FC040D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0.109**</w:t>
            </w:r>
          </w:p>
          <w:p w14:paraId="70613A30" w14:textId="3613064E"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0.007</w:t>
            </w:r>
            <w:r>
              <w:rPr>
                <w:rFonts w:ascii="Times New Roman" w:hAnsi="Times New Roman" w:cs="Times New Roman"/>
                <w:sz w:val="20"/>
                <w:szCs w:val="20"/>
              </w:rPr>
              <w:t xml:space="preserve">, </w:t>
            </w:r>
            <w:r w:rsidRPr="0077583B">
              <w:rPr>
                <w:rFonts w:ascii="Times New Roman" w:hAnsi="Times New Roman" w:cs="Times New Roman"/>
                <w:sz w:val="20"/>
                <w:szCs w:val="20"/>
              </w:rPr>
              <w:t>0.212)</w:t>
            </w:r>
          </w:p>
        </w:tc>
        <w:tc>
          <w:tcPr>
            <w:tcW w:w="1440" w:type="dxa"/>
          </w:tcPr>
          <w:p w14:paraId="6721652A"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0.110**</w:t>
            </w:r>
            <w:r>
              <w:rPr>
                <w:rFonts w:ascii="Times New Roman" w:hAnsi="Times New Roman" w:cs="Times New Roman"/>
                <w:sz w:val="20"/>
                <w:szCs w:val="20"/>
              </w:rPr>
              <w:t xml:space="preserve"> </w:t>
            </w:r>
          </w:p>
          <w:p w14:paraId="0B5FB9E1" w14:textId="341E3EE0"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0.004</w:t>
            </w:r>
            <w:r>
              <w:rPr>
                <w:rFonts w:ascii="Times New Roman" w:hAnsi="Times New Roman" w:cs="Times New Roman"/>
                <w:sz w:val="20"/>
                <w:szCs w:val="20"/>
              </w:rPr>
              <w:t xml:space="preserve">, </w:t>
            </w:r>
            <w:r w:rsidRPr="0077583B">
              <w:rPr>
                <w:rFonts w:ascii="Times New Roman" w:hAnsi="Times New Roman" w:cs="Times New Roman"/>
                <w:sz w:val="20"/>
                <w:szCs w:val="20"/>
              </w:rPr>
              <w:t>0.216)</w:t>
            </w:r>
          </w:p>
        </w:tc>
        <w:tc>
          <w:tcPr>
            <w:tcW w:w="1615" w:type="dxa"/>
          </w:tcPr>
          <w:p w14:paraId="3F0E8A2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0.115**</w:t>
            </w:r>
            <w:r>
              <w:rPr>
                <w:rFonts w:ascii="Times New Roman" w:hAnsi="Times New Roman" w:cs="Times New Roman"/>
                <w:sz w:val="20"/>
                <w:szCs w:val="20"/>
              </w:rPr>
              <w:t xml:space="preserve"> </w:t>
            </w:r>
          </w:p>
          <w:p w14:paraId="01C7762E" w14:textId="608C5A53"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0.011</w:t>
            </w:r>
            <w:r>
              <w:rPr>
                <w:rFonts w:ascii="Times New Roman" w:hAnsi="Times New Roman" w:cs="Times New Roman"/>
                <w:sz w:val="20"/>
                <w:szCs w:val="20"/>
              </w:rPr>
              <w:t xml:space="preserve">, </w:t>
            </w:r>
            <w:r w:rsidRPr="0077583B">
              <w:rPr>
                <w:rFonts w:ascii="Times New Roman" w:hAnsi="Times New Roman" w:cs="Times New Roman"/>
                <w:sz w:val="20"/>
                <w:szCs w:val="20"/>
              </w:rPr>
              <w:t>0.219)</w:t>
            </w:r>
          </w:p>
        </w:tc>
      </w:tr>
      <w:tr w:rsidR="00EF1B6A" w:rsidRPr="0077583B" w14:paraId="3ECBF2CA" w14:textId="77777777" w:rsidTr="00EF1B6A">
        <w:trPr>
          <w:trHeight w:val="220"/>
        </w:trPr>
        <w:tc>
          <w:tcPr>
            <w:tcW w:w="1980" w:type="dxa"/>
          </w:tcPr>
          <w:p w14:paraId="0A7EEC7F" w14:textId="77777777"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Statistical significance of clinical benefit</w:t>
            </w:r>
          </w:p>
        </w:tc>
        <w:tc>
          <w:tcPr>
            <w:tcW w:w="1440" w:type="dxa"/>
          </w:tcPr>
          <w:p w14:paraId="42437930"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318CF0FE" w14:textId="3EEAABA4"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07060FDA" w14:textId="429FDFB8"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0E9ACDEE" w14:textId="27237B68"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525" w:type="dxa"/>
          </w:tcPr>
          <w:p w14:paraId="63DACB9F" w14:textId="15652F8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5" w:type="dxa"/>
            <w:shd w:val="clear" w:color="auto" w:fill="auto"/>
          </w:tcPr>
          <w:p w14:paraId="5BC27A63" w14:textId="259C92D8"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372B9FAC" w14:textId="5044A89B"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1F994FEB" w14:textId="3D05FFC5"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41095F97" w14:textId="77777777" w:rsidTr="00EF1B6A">
        <w:trPr>
          <w:trHeight w:val="220"/>
        </w:trPr>
        <w:tc>
          <w:tcPr>
            <w:tcW w:w="1980" w:type="dxa"/>
            <w:vAlign w:val="center"/>
          </w:tcPr>
          <w:p w14:paraId="0C47AE5D" w14:textId="53263331"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lastRenderedPageBreak/>
              <w:t>Yes</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no)</w:t>
            </w:r>
          </w:p>
        </w:tc>
        <w:tc>
          <w:tcPr>
            <w:tcW w:w="1440" w:type="dxa"/>
          </w:tcPr>
          <w:p w14:paraId="3821D5B0"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0.111**</w:t>
            </w:r>
          </w:p>
          <w:p w14:paraId="4AAAE5E4" w14:textId="050F8906"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0.011, 0.210)</w:t>
            </w:r>
          </w:p>
        </w:tc>
        <w:tc>
          <w:tcPr>
            <w:tcW w:w="1620" w:type="dxa"/>
          </w:tcPr>
          <w:p w14:paraId="1AA1C359" w14:textId="6B99791F" w:rsidR="00EF1B6A" w:rsidRPr="0077583B" w:rsidRDefault="00EF1B6A" w:rsidP="0039601B">
            <w:pPr>
              <w:autoSpaceDE w:val="0"/>
              <w:autoSpaceDN w:val="0"/>
              <w:adjustRightInd w:val="0"/>
              <w:snapToGrid w:val="0"/>
              <w:jc w:val="center"/>
              <w:rPr>
                <w:rFonts w:ascii="Times New Roman" w:hAnsi="Times New Roman" w:cs="Times New Roman"/>
                <w:sz w:val="20"/>
                <w:szCs w:val="20"/>
              </w:rPr>
            </w:pPr>
          </w:p>
        </w:tc>
        <w:tc>
          <w:tcPr>
            <w:tcW w:w="1440" w:type="dxa"/>
          </w:tcPr>
          <w:p w14:paraId="7AE3DA70"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0.096*</w:t>
            </w:r>
            <w:r>
              <w:rPr>
                <w:rFonts w:ascii="Times New Roman" w:hAnsi="Times New Roman" w:cs="Times New Roman"/>
                <w:sz w:val="20"/>
                <w:szCs w:val="20"/>
              </w:rPr>
              <w:t xml:space="preserve"> </w:t>
            </w:r>
          </w:p>
          <w:p w14:paraId="282EC5FD" w14:textId="472D8D53"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-0.004</w:t>
            </w:r>
            <w:r>
              <w:rPr>
                <w:rFonts w:ascii="Times New Roman" w:hAnsi="Times New Roman" w:cs="Times New Roman"/>
                <w:sz w:val="20"/>
                <w:szCs w:val="20"/>
              </w:rPr>
              <w:t xml:space="preserve">, </w:t>
            </w:r>
            <w:r w:rsidRPr="0077583B">
              <w:rPr>
                <w:rFonts w:ascii="Times New Roman" w:hAnsi="Times New Roman" w:cs="Times New Roman"/>
                <w:sz w:val="20"/>
                <w:szCs w:val="20"/>
              </w:rPr>
              <w:t>0.197)</w:t>
            </w:r>
          </w:p>
        </w:tc>
        <w:tc>
          <w:tcPr>
            <w:tcW w:w="1440" w:type="dxa"/>
          </w:tcPr>
          <w:p w14:paraId="147F5974"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0.105**</w:t>
            </w:r>
          </w:p>
          <w:p w14:paraId="1129C44B" w14:textId="6AF85D3C"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0.004</w:t>
            </w:r>
            <w:r>
              <w:rPr>
                <w:rFonts w:ascii="Times New Roman" w:hAnsi="Times New Roman" w:cs="Times New Roman"/>
                <w:sz w:val="20"/>
                <w:szCs w:val="20"/>
              </w:rPr>
              <w:t xml:space="preserve">, </w:t>
            </w:r>
            <w:r w:rsidRPr="0077583B">
              <w:rPr>
                <w:rFonts w:ascii="Times New Roman" w:hAnsi="Times New Roman" w:cs="Times New Roman"/>
                <w:sz w:val="20"/>
                <w:szCs w:val="20"/>
              </w:rPr>
              <w:t>0.206)</w:t>
            </w:r>
          </w:p>
        </w:tc>
        <w:tc>
          <w:tcPr>
            <w:tcW w:w="1525" w:type="dxa"/>
          </w:tcPr>
          <w:p w14:paraId="3E780877"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0.106**</w:t>
            </w:r>
            <w:r>
              <w:rPr>
                <w:rFonts w:ascii="Times New Roman" w:hAnsi="Times New Roman" w:cs="Times New Roman"/>
                <w:sz w:val="20"/>
                <w:szCs w:val="20"/>
              </w:rPr>
              <w:t xml:space="preserve"> </w:t>
            </w:r>
          </w:p>
          <w:p w14:paraId="0B97E348" w14:textId="72C4189B"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0.011</w:t>
            </w:r>
            <w:r>
              <w:rPr>
                <w:rFonts w:ascii="Times New Roman" w:hAnsi="Times New Roman" w:cs="Times New Roman"/>
                <w:sz w:val="20"/>
                <w:szCs w:val="20"/>
              </w:rPr>
              <w:t xml:space="preserve">, </w:t>
            </w:r>
            <w:r w:rsidRPr="0077583B">
              <w:rPr>
                <w:rFonts w:ascii="Times New Roman" w:hAnsi="Times New Roman" w:cs="Times New Roman"/>
                <w:sz w:val="20"/>
                <w:szCs w:val="20"/>
              </w:rPr>
              <w:t>0.202)</w:t>
            </w:r>
          </w:p>
        </w:tc>
        <w:tc>
          <w:tcPr>
            <w:tcW w:w="1445" w:type="dxa"/>
            <w:shd w:val="clear" w:color="auto" w:fill="auto"/>
          </w:tcPr>
          <w:p w14:paraId="6BC4E4A9"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0.110**</w:t>
            </w:r>
            <w:r>
              <w:rPr>
                <w:rFonts w:ascii="Times New Roman" w:hAnsi="Times New Roman" w:cs="Times New Roman"/>
                <w:sz w:val="20"/>
                <w:szCs w:val="20"/>
              </w:rPr>
              <w:t xml:space="preserve"> </w:t>
            </w:r>
          </w:p>
          <w:p w14:paraId="0702D453" w14:textId="200A8F22"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0.011</w:t>
            </w:r>
            <w:r>
              <w:rPr>
                <w:rFonts w:ascii="Times New Roman" w:hAnsi="Times New Roman" w:cs="Times New Roman"/>
                <w:sz w:val="20"/>
                <w:szCs w:val="20"/>
              </w:rPr>
              <w:t xml:space="preserve">, </w:t>
            </w:r>
            <w:r w:rsidRPr="0077583B">
              <w:rPr>
                <w:rFonts w:ascii="Times New Roman" w:hAnsi="Times New Roman" w:cs="Times New Roman"/>
                <w:sz w:val="20"/>
                <w:szCs w:val="20"/>
              </w:rPr>
              <w:t>0.209)</w:t>
            </w:r>
          </w:p>
        </w:tc>
        <w:tc>
          <w:tcPr>
            <w:tcW w:w="1440" w:type="dxa"/>
          </w:tcPr>
          <w:p w14:paraId="34046910" w14:textId="6D75FFB2"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0F5C061C"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0.112**</w:t>
            </w:r>
            <w:r>
              <w:rPr>
                <w:rFonts w:ascii="Times New Roman" w:hAnsi="Times New Roman" w:cs="Times New Roman"/>
                <w:sz w:val="20"/>
                <w:szCs w:val="20"/>
              </w:rPr>
              <w:t xml:space="preserve"> </w:t>
            </w:r>
          </w:p>
          <w:p w14:paraId="283F5046" w14:textId="70168CD6"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0.009</w:t>
            </w:r>
            <w:r>
              <w:rPr>
                <w:rFonts w:ascii="Times New Roman" w:hAnsi="Times New Roman" w:cs="Times New Roman"/>
                <w:sz w:val="20"/>
                <w:szCs w:val="20"/>
              </w:rPr>
              <w:t xml:space="preserve">, </w:t>
            </w:r>
            <w:r w:rsidRPr="0077583B">
              <w:rPr>
                <w:rFonts w:ascii="Times New Roman" w:hAnsi="Times New Roman" w:cs="Times New Roman"/>
                <w:sz w:val="20"/>
                <w:szCs w:val="20"/>
              </w:rPr>
              <w:t>0.215)</w:t>
            </w:r>
          </w:p>
        </w:tc>
      </w:tr>
      <w:tr w:rsidR="00EF1B6A" w:rsidRPr="0077583B" w14:paraId="5DBA32E1" w14:textId="77777777" w:rsidTr="00EF1B6A">
        <w:trPr>
          <w:trHeight w:val="220"/>
        </w:trPr>
        <w:tc>
          <w:tcPr>
            <w:tcW w:w="1980" w:type="dxa"/>
          </w:tcPr>
          <w:p w14:paraId="6DB25CBB" w14:textId="7777777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Financial burden on PBS</w:t>
            </w:r>
          </w:p>
        </w:tc>
        <w:tc>
          <w:tcPr>
            <w:tcW w:w="1440" w:type="dxa"/>
          </w:tcPr>
          <w:p w14:paraId="6E9C73B5"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030FD7AD" w14:textId="0152C3D4"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11D1B123" w14:textId="2C344C35"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3485426A" w14:textId="5833B182"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525" w:type="dxa"/>
          </w:tcPr>
          <w:p w14:paraId="7751BDE9" w14:textId="4298ED70"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5" w:type="dxa"/>
            <w:shd w:val="clear" w:color="auto" w:fill="auto"/>
          </w:tcPr>
          <w:p w14:paraId="15EF98F2" w14:textId="38E1AD28"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45B4D7B0" w14:textId="2172FCDF"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45C35E84" w14:textId="3F52EC81"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2B39ECF3" w14:textId="77777777" w:rsidTr="00EF1B6A">
        <w:trPr>
          <w:trHeight w:val="101"/>
        </w:trPr>
        <w:tc>
          <w:tcPr>
            <w:tcW w:w="1980" w:type="dxa"/>
          </w:tcPr>
          <w:p w14:paraId="7503CDE7" w14:textId="77777777"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&lt;$A10 million</w:t>
            </w:r>
          </w:p>
          <w:p w14:paraId="2DFF15EC" w14:textId="24D94FF5"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  </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&gt;$A10 million)</w:t>
            </w:r>
          </w:p>
        </w:tc>
        <w:tc>
          <w:tcPr>
            <w:tcW w:w="1440" w:type="dxa"/>
          </w:tcPr>
          <w:p w14:paraId="1AA2F609"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0.035</w:t>
            </w:r>
          </w:p>
          <w:p w14:paraId="3DECD8D6" w14:textId="78C5796E" w:rsidR="00EF1B6A" w:rsidRPr="0077583B" w:rsidRDefault="00EF1B6A" w:rsidP="0039601B">
            <w:pPr>
              <w:adjustRightInd w:val="0"/>
              <w:snapToGrid w:val="0"/>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-0.065, 0.134)</w:t>
            </w:r>
          </w:p>
        </w:tc>
        <w:tc>
          <w:tcPr>
            <w:tcW w:w="1620" w:type="dxa"/>
          </w:tcPr>
          <w:p w14:paraId="360E728F"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0.030</w:t>
            </w:r>
            <w:r>
              <w:rPr>
                <w:rFonts w:ascii="Times New Roman" w:hAnsi="Times New Roman" w:cs="Times New Roman"/>
                <w:sz w:val="20"/>
                <w:szCs w:val="20"/>
              </w:rPr>
              <w:t xml:space="preserve"> </w:t>
            </w:r>
          </w:p>
          <w:p w14:paraId="4482824E" w14:textId="42D07525" w:rsidR="00EF1B6A" w:rsidRPr="0077583B" w:rsidRDefault="00EF1B6A" w:rsidP="0039601B">
            <w:pPr>
              <w:adjustRightInd w:val="0"/>
              <w:snapToGrid w:val="0"/>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-0.072</w:t>
            </w:r>
            <w:r>
              <w:rPr>
                <w:rFonts w:ascii="Times New Roman" w:hAnsi="Times New Roman" w:cs="Times New Roman"/>
                <w:sz w:val="20"/>
                <w:szCs w:val="20"/>
              </w:rPr>
              <w:t xml:space="preserve">, </w:t>
            </w:r>
            <w:r w:rsidRPr="0077583B">
              <w:rPr>
                <w:rFonts w:ascii="Times New Roman" w:hAnsi="Times New Roman" w:cs="Times New Roman"/>
                <w:sz w:val="20"/>
                <w:szCs w:val="20"/>
              </w:rPr>
              <w:t>0.131)</w:t>
            </w:r>
          </w:p>
        </w:tc>
        <w:tc>
          <w:tcPr>
            <w:tcW w:w="1440" w:type="dxa"/>
          </w:tcPr>
          <w:p w14:paraId="368505BD"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0.025</w:t>
            </w:r>
            <w:r>
              <w:rPr>
                <w:rFonts w:ascii="Times New Roman" w:hAnsi="Times New Roman" w:cs="Times New Roman"/>
                <w:sz w:val="20"/>
                <w:szCs w:val="20"/>
              </w:rPr>
              <w:t xml:space="preserve"> </w:t>
            </w:r>
          </w:p>
          <w:p w14:paraId="3ABABAB5" w14:textId="5449B8E3" w:rsidR="00EF1B6A" w:rsidRPr="0077583B" w:rsidRDefault="00EF1B6A" w:rsidP="0039601B">
            <w:pPr>
              <w:adjustRightInd w:val="0"/>
              <w:snapToGrid w:val="0"/>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-0.071</w:t>
            </w:r>
            <w:r>
              <w:rPr>
                <w:rFonts w:ascii="Times New Roman" w:hAnsi="Times New Roman" w:cs="Times New Roman"/>
                <w:sz w:val="20"/>
                <w:szCs w:val="20"/>
              </w:rPr>
              <w:t xml:space="preserve">, </w:t>
            </w:r>
            <w:r w:rsidRPr="0077583B">
              <w:rPr>
                <w:rFonts w:ascii="Times New Roman" w:hAnsi="Times New Roman" w:cs="Times New Roman"/>
                <w:sz w:val="20"/>
                <w:szCs w:val="20"/>
              </w:rPr>
              <w:t>0.121)</w:t>
            </w:r>
          </w:p>
        </w:tc>
        <w:tc>
          <w:tcPr>
            <w:tcW w:w="1440" w:type="dxa"/>
          </w:tcPr>
          <w:p w14:paraId="503571E9"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0.041</w:t>
            </w:r>
            <w:r>
              <w:rPr>
                <w:rFonts w:ascii="Times New Roman" w:hAnsi="Times New Roman" w:cs="Times New Roman"/>
                <w:sz w:val="20"/>
                <w:szCs w:val="20"/>
              </w:rPr>
              <w:t xml:space="preserve"> </w:t>
            </w:r>
          </w:p>
          <w:p w14:paraId="2702C714" w14:textId="52510591"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-0.060</w:t>
            </w:r>
            <w:r>
              <w:rPr>
                <w:rFonts w:ascii="Times New Roman" w:hAnsi="Times New Roman" w:cs="Times New Roman"/>
                <w:sz w:val="20"/>
                <w:szCs w:val="20"/>
              </w:rPr>
              <w:t xml:space="preserve">, </w:t>
            </w:r>
            <w:r w:rsidRPr="0077583B">
              <w:rPr>
                <w:rFonts w:ascii="Times New Roman" w:hAnsi="Times New Roman" w:cs="Times New Roman"/>
                <w:sz w:val="20"/>
                <w:szCs w:val="20"/>
              </w:rPr>
              <w:t>0.142)</w:t>
            </w:r>
          </w:p>
        </w:tc>
        <w:tc>
          <w:tcPr>
            <w:tcW w:w="1525" w:type="dxa"/>
          </w:tcPr>
          <w:p w14:paraId="4EF47F3A"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0.028</w:t>
            </w:r>
            <w:r>
              <w:rPr>
                <w:rFonts w:ascii="Times New Roman" w:hAnsi="Times New Roman" w:cs="Times New Roman"/>
                <w:sz w:val="20"/>
                <w:szCs w:val="20"/>
              </w:rPr>
              <w:t xml:space="preserve"> </w:t>
            </w:r>
          </w:p>
          <w:p w14:paraId="71446FED" w14:textId="49744268"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-0.071</w:t>
            </w:r>
            <w:r>
              <w:rPr>
                <w:rFonts w:ascii="Times New Roman" w:hAnsi="Times New Roman" w:cs="Times New Roman"/>
                <w:sz w:val="20"/>
                <w:szCs w:val="20"/>
              </w:rPr>
              <w:t xml:space="preserve">, </w:t>
            </w:r>
            <w:r w:rsidRPr="0077583B">
              <w:rPr>
                <w:rFonts w:ascii="Times New Roman" w:hAnsi="Times New Roman" w:cs="Times New Roman"/>
                <w:sz w:val="20"/>
                <w:szCs w:val="20"/>
              </w:rPr>
              <w:t>0.127)</w:t>
            </w:r>
          </w:p>
        </w:tc>
        <w:tc>
          <w:tcPr>
            <w:tcW w:w="1445" w:type="dxa"/>
            <w:shd w:val="clear" w:color="auto" w:fill="auto"/>
          </w:tcPr>
          <w:p w14:paraId="686150F9"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0.028</w:t>
            </w:r>
            <w:r>
              <w:rPr>
                <w:rFonts w:ascii="Times New Roman" w:hAnsi="Times New Roman" w:cs="Times New Roman"/>
                <w:sz w:val="20"/>
                <w:szCs w:val="20"/>
              </w:rPr>
              <w:t xml:space="preserve"> </w:t>
            </w:r>
          </w:p>
          <w:p w14:paraId="7343CAA2" w14:textId="698AC63D"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-0.078</w:t>
            </w:r>
            <w:r>
              <w:rPr>
                <w:rFonts w:ascii="Times New Roman" w:hAnsi="Times New Roman" w:cs="Times New Roman"/>
                <w:sz w:val="20"/>
                <w:szCs w:val="20"/>
              </w:rPr>
              <w:t xml:space="preserve">, </w:t>
            </w:r>
            <w:r w:rsidRPr="0077583B">
              <w:rPr>
                <w:rFonts w:ascii="Times New Roman" w:hAnsi="Times New Roman" w:cs="Times New Roman"/>
                <w:sz w:val="20"/>
                <w:szCs w:val="20"/>
              </w:rPr>
              <w:t>0.134)</w:t>
            </w:r>
          </w:p>
        </w:tc>
        <w:tc>
          <w:tcPr>
            <w:tcW w:w="1440" w:type="dxa"/>
          </w:tcPr>
          <w:p w14:paraId="2601625E"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0.040</w:t>
            </w:r>
            <w:r>
              <w:rPr>
                <w:rFonts w:ascii="Times New Roman" w:hAnsi="Times New Roman" w:cs="Times New Roman"/>
                <w:sz w:val="20"/>
                <w:szCs w:val="20"/>
              </w:rPr>
              <w:t xml:space="preserve"> </w:t>
            </w:r>
          </w:p>
          <w:p w14:paraId="71C06B10" w14:textId="33D25052"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-0.072</w:t>
            </w:r>
            <w:r>
              <w:rPr>
                <w:rFonts w:ascii="Times New Roman" w:hAnsi="Times New Roman" w:cs="Times New Roman"/>
                <w:sz w:val="20"/>
                <w:szCs w:val="20"/>
              </w:rPr>
              <w:t xml:space="preserve">, </w:t>
            </w:r>
            <w:r w:rsidRPr="0077583B">
              <w:rPr>
                <w:rFonts w:ascii="Times New Roman" w:hAnsi="Times New Roman" w:cs="Times New Roman"/>
                <w:sz w:val="20"/>
                <w:szCs w:val="20"/>
              </w:rPr>
              <w:t>0.152)</w:t>
            </w:r>
          </w:p>
        </w:tc>
        <w:tc>
          <w:tcPr>
            <w:tcW w:w="1615" w:type="dxa"/>
          </w:tcPr>
          <w:p w14:paraId="6DC5E201"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0.032</w:t>
            </w:r>
            <w:r>
              <w:rPr>
                <w:rFonts w:ascii="Times New Roman" w:hAnsi="Times New Roman" w:cs="Times New Roman"/>
                <w:sz w:val="20"/>
                <w:szCs w:val="20"/>
              </w:rPr>
              <w:t xml:space="preserve"> </w:t>
            </w:r>
          </w:p>
          <w:p w14:paraId="6D9753B7" w14:textId="51DAADFB"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-0.069</w:t>
            </w:r>
            <w:r>
              <w:rPr>
                <w:rFonts w:ascii="Times New Roman" w:hAnsi="Times New Roman" w:cs="Times New Roman"/>
                <w:sz w:val="20"/>
                <w:szCs w:val="20"/>
              </w:rPr>
              <w:t xml:space="preserve">, </w:t>
            </w:r>
            <w:r w:rsidRPr="0077583B">
              <w:rPr>
                <w:rFonts w:ascii="Times New Roman" w:hAnsi="Times New Roman" w:cs="Times New Roman"/>
                <w:sz w:val="20"/>
                <w:szCs w:val="20"/>
              </w:rPr>
              <w:t>0.132)</w:t>
            </w:r>
          </w:p>
        </w:tc>
      </w:tr>
      <w:tr w:rsidR="00EF1B6A" w:rsidRPr="0077583B" w14:paraId="76C447FA" w14:textId="77777777" w:rsidTr="00EF1B6A">
        <w:trPr>
          <w:trHeight w:val="326"/>
        </w:trPr>
        <w:tc>
          <w:tcPr>
            <w:tcW w:w="1980" w:type="dxa"/>
          </w:tcPr>
          <w:p w14:paraId="2A00F1CE" w14:textId="77777777"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Severity of disease</w:t>
            </w:r>
          </w:p>
        </w:tc>
        <w:tc>
          <w:tcPr>
            <w:tcW w:w="1440" w:type="dxa"/>
          </w:tcPr>
          <w:p w14:paraId="01493BB7"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718480B8" w14:textId="1975962D"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034AF741" w14:textId="5246DF11"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6DFC208C" w14:textId="43056EB1"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525" w:type="dxa"/>
          </w:tcPr>
          <w:p w14:paraId="7C7993F1" w14:textId="28FDF4FA" w:rsidR="00EF1B6A" w:rsidRPr="0077583B" w:rsidRDefault="00EF1B6A" w:rsidP="0039601B">
            <w:pPr>
              <w:pStyle w:val="a"/>
              <w:adjustRightInd w:val="0"/>
              <w:snapToGrid w:val="0"/>
              <w:jc w:val="left"/>
              <w:rPr>
                <w:kern w:val="0"/>
                <w:sz w:val="20"/>
                <w:szCs w:val="20"/>
              </w:rPr>
            </w:pPr>
          </w:p>
        </w:tc>
        <w:tc>
          <w:tcPr>
            <w:tcW w:w="1445" w:type="dxa"/>
            <w:shd w:val="clear" w:color="auto" w:fill="auto"/>
          </w:tcPr>
          <w:p w14:paraId="5F2D89D9" w14:textId="58C8B735"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p>
        </w:tc>
        <w:tc>
          <w:tcPr>
            <w:tcW w:w="1440" w:type="dxa"/>
          </w:tcPr>
          <w:p w14:paraId="474A45D8" w14:textId="5EBA559A"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07665334" w14:textId="40DD3E2D"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404F2706" w14:textId="77777777" w:rsidTr="00EF1B6A">
        <w:trPr>
          <w:trHeight w:val="220"/>
        </w:trPr>
        <w:tc>
          <w:tcPr>
            <w:tcW w:w="1980" w:type="dxa"/>
          </w:tcPr>
          <w:p w14:paraId="42830878" w14:textId="7B86BC75"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Severe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not severe)</w:t>
            </w:r>
          </w:p>
        </w:tc>
        <w:tc>
          <w:tcPr>
            <w:tcW w:w="1440" w:type="dxa"/>
          </w:tcPr>
          <w:p w14:paraId="436AC44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0.041</w:t>
            </w:r>
          </w:p>
          <w:p w14:paraId="76A6DDC5" w14:textId="3E6BAA23"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-0.059, 0.141)</w:t>
            </w:r>
          </w:p>
        </w:tc>
        <w:tc>
          <w:tcPr>
            <w:tcW w:w="1620" w:type="dxa"/>
          </w:tcPr>
          <w:p w14:paraId="7EA83F36"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0.032</w:t>
            </w:r>
          </w:p>
          <w:p w14:paraId="046AC5A1" w14:textId="45189519"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-0.063</w:t>
            </w:r>
            <w:r>
              <w:rPr>
                <w:rFonts w:ascii="Times New Roman" w:hAnsi="Times New Roman" w:cs="Times New Roman"/>
                <w:sz w:val="20"/>
                <w:szCs w:val="20"/>
              </w:rPr>
              <w:t xml:space="preserve">, </w:t>
            </w:r>
            <w:r w:rsidRPr="0077583B">
              <w:rPr>
                <w:rFonts w:ascii="Times New Roman" w:hAnsi="Times New Roman" w:cs="Times New Roman"/>
                <w:sz w:val="20"/>
                <w:szCs w:val="20"/>
              </w:rPr>
              <w:t>0.127)</w:t>
            </w:r>
          </w:p>
        </w:tc>
        <w:tc>
          <w:tcPr>
            <w:tcW w:w="1440" w:type="dxa"/>
          </w:tcPr>
          <w:p w14:paraId="6E4E130A"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0.069</w:t>
            </w:r>
            <w:r>
              <w:rPr>
                <w:rFonts w:ascii="Times New Roman" w:hAnsi="Times New Roman" w:cs="Times New Roman"/>
                <w:sz w:val="20"/>
                <w:szCs w:val="20"/>
              </w:rPr>
              <w:t xml:space="preserve"> </w:t>
            </w:r>
          </w:p>
          <w:p w14:paraId="37469117" w14:textId="7A73E91D"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-0.031</w:t>
            </w:r>
            <w:r>
              <w:rPr>
                <w:rFonts w:ascii="Times New Roman" w:hAnsi="Times New Roman" w:cs="Times New Roman"/>
                <w:sz w:val="20"/>
                <w:szCs w:val="20"/>
              </w:rPr>
              <w:t xml:space="preserve">, </w:t>
            </w:r>
            <w:r w:rsidRPr="0077583B">
              <w:rPr>
                <w:rFonts w:ascii="Times New Roman" w:hAnsi="Times New Roman" w:cs="Times New Roman"/>
                <w:sz w:val="20"/>
                <w:szCs w:val="20"/>
              </w:rPr>
              <w:t>0.168)</w:t>
            </w:r>
          </w:p>
        </w:tc>
        <w:tc>
          <w:tcPr>
            <w:tcW w:w="1440" w:type="dxa"/>
          </w:tcPr>
          <w:p w14:paraId="1C74D791"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0.039</w:t>
            </w:r>
          </w:p>
          <w:p w14:paraId="088C128C" w14:textId="146757FF" w:rsidR="00EF1B6A" w:rsidRPr="0077583B" w:rsidRDefault="00EF1B6A" w:rsidP="0039601B">
            <w:pPr>
              <w:autoSpaceDE w:val="0"/>
              <w:autoSpaceDN w:val="0"/>
              <w:adjustRightInd w:val="0"/>
              <w:snapToGrid w:val="0"/>
              <w:jc w:val="left"/>
              <w:rPr>
                <w:rFonts w:ascii="Times New Roman" w:eastAsia="SimSun" w:hAnsi="Times New Roman" w:cs="Times New Roman"/>
                <w:kern w:val="0"/>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-0.061</w:t>
            </w:r>
            <w:r>
              <w:rPr>
                <w:rFonts w:ascii="Times New Roman" w:hAnsi="Times New Roman" w:cs="Times New Roman"/>
                <w:sz w:val="20"/>
                <w:szCs w:val="20"/>
              </w:rPr>
              <w:t xml:space="preserve">, </w:t>
            </w:r>
            <w:r w:rsidRPr="0077583B">
              <w:rPr>
                <w:rFonts w:ascii="Times New Roman" w:hAnsi="Times New Roman" w:cs="Times New Roman"/>
                <w:sz w:val="20"/>
                <w:szCs w:val="20"/>
              </w:rPr>
              <w:t>0.140)</w:t>
            </w:r>
          </w:p>
        </w:tc>
        <w:tc>
          <w:tcPr>
            <w:tcW w:w="1525" w:type="dxa"/>
          </w:tcPr>
          <w:p w14:paraId="10A6A8AB" w14:textId="77777777" w:rsidR="00EF1B6A" w:rsidRDefault="00EF1B6A" w:rsidP="0039601B">
            <w:pPr>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0.048</w:t>
            </w:r>
            <w:r>
              <w:rPr>
                <w:rFonts w:ascii="Times New Roman" w:hAnsi="Times New Roman" w:cs="Times New Roman"/>
                <w:sz w:val="20"/>
                <w:szCs w:val="20"/>
              </w:rPr>
              <w:t xml:space="preserve"> </w:t>
            </w:r>
          </w:p>
          <w:p w14:paraId="0595F416" w14:textId="462E89BF" w:rsidR="00EF1B6A" w:rsidRPr="0077583B" w:rsidRDefault="00EF1B6A" w:rsidP="0039601B">
            <w:pPr>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-0.050</w:t>
            </w:r>
            <w:r>
              <w:rPr>
                <w:rFonts w:ascii="Times New Roman" w:hAnsi="Times New Roman" w:cs="Times New Roman"/>
                <w:sz w:val="20"/>
                <w:szCs w:val="20"/>
              </w:rPr>
              <w:t xml:space="preserve">, </w:t>
            </w:r>
            <w:r w:rsidRPr="0077583B">
              <w:rPr>
                <w:rFonts w:ascii="Times New Roman" w:hAnsi="Times New Roman" w:cs="Times New Roman"/>
                <w:sz w:val="20"/>
                <w:szCs w:val="20"/>
              </w:rPr>
              <w:t>0.147)</w:t>
            </w:r>
          </w:p>
        </w:tc>
        <w:tc>
          <w:tcPr>
            <w:tcW w:w="1445" w:type="dxa"/>
            <w:shd w:val="clear" w:color="auto" w:fill="auto"/>
          </w:tcPr>
          <w:p w14:paraId="2754AA5A"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0.040</w:t>
            </w:r>
            <w:r>
              <w:rPr>
                <w:rFonts w:ascii="Times New Roman" w:hAnsi="Times New Roman" w:cs="Times New Roman"/>
                <w:sz w:val="20"/>
                <w:szCs w:val="20"/>
              </w:rPr>
              <w:t xml:space="preserve"> </w:t>
            </w:r>
          </w:p>
          <w:p w14:paraId="75BFB7B4" w14:textId="5096C88A" w:rsidR="00EF1B6A" w:rsidRPr="0077583B" w:rsidRDefault="00EF1B6A" w:rsidP="0039601B">
            <w:pPr>
              <w:adjustRightInd w:val="0"/>
              <w:snapToGrid w:val="0"/>
              <w:rPr>
                <w:rFonts w:ascii="Times New Roma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-0.065</w:t>
            </w:r>
            <w:r>
              <w:rPr>
                <w:rFonts w:ascii="Times New Roman" w:hAnsi="Times New Roman" w:cs="Times New Roman"/>
                <w:sz w:val="20"/>
                <w:szCs w:val="20"/>
              </w:rPr>
              <w:t xml:space="preserve">, </w:t>
            </w:r>
            <w:r w:rsidRPr="0077583B">
              <w:rPr>
                <w:rFonts w:ascii="Times New Roman" w:hAnsi="Times New Roman" w:cs="Times New Roman"/>
                <w:sz w:val="20"/>
                <w:szCs w:val="20"/>
              </w:rPr>
              <w:t>0.145)</w:t>
            </w:r>
          </w:p>
        </w:tc>
        <w:tc>
          <w:tcPr>
            <w:tcW w:w="1440" w:type="dxa"/>
          </w:tcPr>
          <w:p w14:paraId="14B3AFFD"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0.041</w:t>
            </w:r>
          </w:p>
          <w:p w14:paraId="46DE6055" w14:textId="17F738D7"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-0.062</w:t>
            </w:r>
            <w:r>
              <w:rPr>
                <w:rFonts w:ascii="Times New Roman" w:hAnsi="Times New Roman" w:cs="Times New Roman"/>
                <w:sz w:val="20"/>
                <w:szCs w:val="20"/>
              </w:rPr>
              <w:t xml:space="preserve">, </w:t>
            </w:r>
            <w:r w:rsidRPr="0077583B">
              <w:rPr>
                <w:rFonts w:ascii="Times New Roman" w:hAnsi="Times New Roman" w:cs="Times New Roman"/>
                <w:sz w:val="20"/>
                <w:szCs w:val="20"/>
              </w:rPr>
              <w:t>0.144)</w:t>
            </w:r>
          </w:p>
        </w:tc>
        <w:tc>
          <w:tcPr>
            <w:tcW w:w="1615" w:type="dxa"/>
          </w:tcPr>
          <w:p w14:paraId="2F2BD9CC" w14:textId="44C3660A"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0.044</w:t>
            </w:r>
            <w:r>
              <w:rPr>
                <w:rFonts w:ascii="Times New Roman" w:hAnsi="Times New Roman" w:cs="Times New Roman"/>
                <w:sz w:val="20"/>
                <w:szCs w:val="20"/>
              </w:rPr>
              <w:t xml:space="preserve"> (</w:t>
            </w:r>
            <w:r w:rsidRPr="0077583B">
              <w:rPr>
                <w:rFonts w:ascii="Times New Roman" w:hAnsi="Times New Roman" w:cs="Times New Roman"/>
                <w:sz w:val="20"/>
                <w:szCs w:val="20"/>
              </w:rPr>
              <w:t>-0.059</w:t>
            </w:r>
            <w:r>
              <w:rPr>
                <w:rFonts w:ascii="Times New Roman" w:hAnsi="Times New Roman" w:cs="Times New Roman"/>
                <w:sz w:val="20"/>
                <w:szCs w:val="20"/>
              </w:rPr>
              <w:t xml:space="preserve">, </w:t>
            </w:r>
            <w:r w:rsidRPr="0077583B">
              <w:rPr>
                <w:rFonts w:ascii="Times New Roman" w:hAnsi="Times New Roman" w:cs="Times New Roman"/>
                <w:sz w:val="20"/>
                <w:szCs w:val="20"/>
              </w:rPr>
              <w:t>0.147)</w:t>
            </w:r>
          </w:p>
        </w:tc>
      </w:tr>
      <w:tr w:rsidR="00EF1B6A" w:rsidRPr="0077583B" w14:paraId="433CC86A" w14:textId="77777777" w:rsidTr="00EF1B6A">
        <w:trPr>
          <w:trHeight w:val="54"/>
        </w:trPr>
        <w:tc>
          <w:tcPr>
            <w:tcW w:w="1980" w:type="dxa"/>
          </w:tcPr>
          <w:p w14:paraId="3798E8B2" w14:textId="77777777"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Base case ICER </w:t>
            </w:r>
          </w:p>
        </w:tc>
        <w:tc>
          <w:tcPr>
            <w:tcW w:w="1440" w:type="dxa"/>
          </w:tcPr>
          <w:p w14:paraId="0023D480" w14:textId="77777777"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20" w:type="dxa"/>
          </w:tcPr>
          <w:p w14:paraId="799BF230" w14:textId="1B17152E"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6EA70469" w14:textId="2E643D3A"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18612ACE" w14:textId="1F244710"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525" w:type="dxa"/>
          </w:tcPr>
          <w:p w14:paraId="62B3E1A6" w14:textId="644CA993"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29E47BB7" w14:textId="7E62AD89"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4A8EA541" w14:textId="369E60EA"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5D6693B1" w14:textId="1FA5B1CB"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r>
      <w:tr w:rsidR="00EF1B6A" w:rsidRPr="0077583B" w14:paraId="7A34ADA0" w14:textId="77777777" w:rsidTr="00EF1B6A">
        <w:trPr>
          <w:trHeight w:val="107"/>
        </w:trPr>
        <w:tc>
          <w:tcPr>
            <w:tcW w:w="1980" w:type="dxa"/>
          </w:tcPr>
          <w:p w14:paraId="0DE15F8E" w14:textId="1B8F6072" w:rsidR="00EF1B6A" w:rsidRPr="0077583B" w:rsidRDefault="00EF1B6A" w:rsidP="0039601B">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≤$A 45000/QALY</w:t>
            </w:r>
            <w:r>
              <w:rPr>
                <w:rFonts w:ascii="Times New Roman" w:eastAsia="SimSun" w:hAnsi="Times New Roman" w:cs="Times New Roman" w:hint="eastAsia"/>
                <w:kern w:val="0"/>
                <w:sz w:val="20"/>
                <w:szCs w:val="20"/>
              </w:rPr>
              <w:t xml:space="preserv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&gt;$A 45000/QALY)</w:t>
            </w:r>
          </w:p>
        </w:tc>
        <w:tc>
          <w:tcPr>
            <w:tcW w:w="1440" w:type="dxa"/>
          </w:tcPr>
          <w:p w14:paraId="2CAE92C0" w14:textId="1A945BA5"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0.247***</w:t>
            </w:r>
            <w:r>
              <w:rPr>
                <w:rFonts w:ascii="Times New Roman" w:hAnsi="Times New Roman" w:cs="Times New Roman"/>
                <w:sz w:val="20"/>
                <w:szCs w:val="20"/>
              </w:rPr>
              <w:t xml:space="preserve"> (</w:t>
            </w:r>
            <w:r w:rsidRPr="0077583B">
              <w:rPr>
                <w:rFonts w:ascii="Times New Roman" w:hAnsi="Times New Roman" w:cs="Times New Roman"/>
                <w:sz w:val="20"/>
                <w:szCs w:val="20"/>
              </w:rPr>
              <w:t>0.113, 0.381)</w:t>
            </w:r>
          </w:p>
        </w:tc>
        <w:tc>
          <w:tcPr>
            <w:tcW w:w="1620" w:type="dxa"/>
          </w:tcPr>
          <w:p w14:paraId="0E5622D8"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0.254***</w:t>
            </w:r>
            <w:r>
              <w:rPr>
                <w:rFonts w:ascii="Times New Roman" w:hAnsi="Times New Roman" w:cs="Times New Roman"/>
                <w:sz w:val="20"/>
                <w:szCs w:val="20"/>
              </w:rPr>
              <w:t xml:space="preserve"> </w:t>
            </w:r>
          </w:p>
          <w:p w14:paraId="0C2132BF" w14:textId="6ABD3033" w:rsidR="00EF1B6A" w:rsidRPr="0077583B" w:rsidRDefault="00EF1B6A" w:rsidP="0039601B">
            <w:pPr>
              <w:adjustRightInd w:val="0"/>
              <w:snapToGrid w:val="0"/>
              <w:rPr>
                <w:rFonts w:ascii="Times New Roma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0.125</w:t>
            </w:r>
            <w:r>
              <w:rPr>
                <w:rFonts w:ascii="Times New Roman" w:hAnsi="Times New Roman" w:cs="Times New Roman"/>
                <w:sz w:val="20"/>
                <w:szCs w:val="20"/>
              </w:rPr>
              <w:t xml:space="preserve">, </w:t>
            </w:r>
            <w:r w:rsidRPr="0077583B">
              <w:rPr>
                <w:rFonts w:ascii="Times New Roman" w:hAnsi="Times New Roman" w:cs="Times New Roman"/>
                <w:sz w:val="20"/>
                <w:szCs w:val="20"/>
              </w:rPr>
              <w:t>0.382)</w:t>
            </w:r>
          </w:p>
        </w:tc>
        <w:tc>
          <w:tcPr>
            <w:tcW w:w="1440" w:type="dxa"/>
          </w:tcPr>
          <w:p w14:paraId="716B1B0D" w14:textId="489CEDEA" w:rsidR="00EF1B6A" w:rsidRPr="0077583B" w:rsidRDefault="00EF1B6A" w:rsidP="0039601B">
            <w:pPr>
              <w:adjustRightInd w:val="0"/>
              <w:snapToGrid w:val="0"/>
              <w:rPr>
                <w:rFonts w:ascii="Times New Roman" w:hAnsi="Times New Roman" w:cs="Times New Roman"/>
                <w:sz w:val="20"/>
                <w:szCs w:val="20"/>
                <w:lang w:val="en-AU"/>
              </w:rPr>
            </w:pPr>
            <w:r w:rsidRPr="0077583B">
              <w:rPr>
                <w:rFonts w:ascii="Times New Roman" w:hAnsi="Times New Roman" w:cs="Times New Roman"/>
                <w:sz w:val="20"/>
                <w:szCs w:val="20"/>
              </w:rPr>
              <w:t>0.256***</w:t>
            </w:r>
            <w:r>
              <w:rPr>
                <w:rFonts w:ascii="Times New Roman" w:hAnsi="Times New Roman" w:cs="Times New Roman"/>
                <w:sz w:val="20"/>
                <w:szCs w:val="20"/>
              </w:rPr>
              <w:t xml:space="preserve"> (</w:t>
            </w:r>
            <w:r w:rsidRPr="0077583B">
              <w:rPr>
                <w:rFonts w:ascii="Times New Roman" w:hAnsi="Times New Roman" w:cs="Times New Roman"/>
                <w:sz w:val="20"/>
                <w:szCs w:val="20"/>
              </w:rPr>
              <w:t>0.113</w:t>
            </w:r>
            <w:r>
              <w:rPr>
                <w:rFonts w:ascii="Times New Roman" w:hAnsi="Times New Roman" w:cs="Times New Roman"/>
                <w:sz w:val="20"/>
                <w:szCs w:val="20"/>
              </w:rPr>
              <w:t xml:space="preserve">, </w:t>
            </w:r>
            <w:r w:rsidRPr="0077583B">
              <w:rPr>
                <w:rFonts w:ascii="Times New Roman" w:hAnsi="Times New Roman" w:cs="Times New Roman"/>
                <w:sz w:val="20"/>
                <w:szCs w:val="20"/>
              </w:rPr>
              <w:t>0.398)</w:t>
            </w:r>
          </w:p>
        </w:tc>
        <w:tc>
          <w:tcPr>
            <w:tcW w:w="1440" w:type="dxa"/>
          </w:tcPr>
          <w:p w14:paraId="03736C08" w14:textId="4838BC3F" w:rsidR="00EF1B6A" w:rsidRPr="0077583B" w:rsidRDefault="00EF1B6A" w:rsidP="0039601B">
            <w:pPr>
              <w:rPr>
                <w:rFonts w:ascii="Times New Roman" w:hAnsi="Times New Roman" w:cs="Times New Roman"/>
                <w:sz w:val="20"/>
                <w:szCs w:val="20"/>
                <w:lang w:val="en-AU"/>
              </w:rPr>
            </w:pPr>
            <w:r w:rsidRPr="0077583B">
              <w:rPr>
                <w:rFonts w:ascii="Times New Roman" w:hAnsi="Times New Roman" w:cs="Times New Roman"/>
                <w:sz w:val="20"/>
                <w:szCs w:val="20"/>
              </w:rPr>
              <w:t>0.248***</w:t>
            </w:r>
            <w:r>
              <w:rPr>
                <w:rFonts w:ascii="Times New Roman" w:hAnsi="Times New Roman" w:cs="Times New Roman"/>
                <w:sz w:val="20"/>
                <w:szCs w:val="20"/>
              </w:rPr>
              <w:t xml:space="preserve"> </w:t>
            </w:r>
            <w:r>
              <w:rPr>
                <w:rFonts w:ascii="Times New Roman" w:hAnsi="Times New Roman" w:cs="Times New Roman" w:hint="eastAsia"/>
                <w:sz w:val="20"/>
                <w:szCs w:val="20"/>
              </w:rPr>
              <w:t>(</w:t>
            </w:r>
            <w:r w:rsidRPr="0077583B">
              <w:rPr>
                <w:rFonts w:ascii="Times New Roman" w:hAnsi="Times New Roman" w:cs="Times New Roman"/>
                <w:sz w:val="20"/>
                <w:szCs w:val="20"/>
              </w:rPr>
              <w:t>0.119</w:t>
            </w:r>
            <w:r>
              <w:rPr>
                <w:rFonts w:ascii="Times New Roman" w:hAnsi="Times New Roman" w:cs="Times New Roman"/>
                <w:sz w:val="20"/>
                <w:szCs w:val="20"/>
              </w:rPr>
              <w:t xml:space="preserve">, </w:t>
            </w:r>
            <w:r w:rsidRPr="0077583B">
              <w:rPr>
                <w:rFonts w:ascii="Times New Roman" w:hAnsi="Times New Roman" w:cs="Times New Roman"/>
                <w:sz w:val="20"/>
                <w:szCs w:val="20"/>
              </w:rPr>
              <w:t>0.378)</w:t>
            </w:r>
          </w:p>
          <w:p w14:paraId="68306548" w14:textId="7E041CC2" w:rsidR="00EF1B6A" w:rsidRPr="0077583B" w:rsidRDefault="00EF1B6A" w:rsidP="0039601B">
            <w:pPr>
              <w:adjustRightInd w:val="0"/>
              <w:snapToGrid w:val="0"/>
              <w:rPr>
                <w:rFonts w:ascii="Times New Roman" w:hAnsi="Times New Roman" w:cs="Times New Roman"/>
                <w:sz w:val="20"/>
                <w:szCs w:val="20"/>
                <w:lang w:val="en-AU"/>
              </w:rPr>
            </w:pPr>
          </w:p>
        </w:tc>
        <w:tc>
          <w:tcPr>
            <w:tcW w:w="1525" w:type="dxa"/>
          </w:tcPr>
          <w:p w14:paraId="7B88D23C" w14:textId="77777777" w:rsidR="00EF1B6A"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0.260***</w:t>
            </w:r>
          </w:p>
          <w:p w14:paraId="58EA680A" w14:textId="1DEE1FBA"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0.121</w:t>
            </w:r>
            <w:r>
              <w:rPr>
                <w:rFonts w:ascii="Times New Roman" w:hAnsi="Times New Roman" w:cs="Times New Roman"/>
                <w:sz w:val="20"/>
                <w:szCs w:val="20"/>
              </w:rPr>
              <w:t xml:space="preserve">, </w:t>
            </w:r>
            <w:r w:rsidRPr="0077583B">
              <w:rPr>
                <w:rFonts w:ascii="Times New Roman" w:hAnsi="Times New Roman" w:cs="Times New Roman"/>
                <w:sz w:val="20"/>
                <w:szCs w:val="20"/>
              </w:rPr>
              <w:t>0.399)</w:t>
            </w:r>
          </w:p>
        </w:tc>
        <w:tc>
          <w:tcPr>
            <w:tcW w:w="1445" w:type="dxa"/>
            <w:shd w:val="clear" w:color="auto" w:fill="auto"/>
          </w:tcPr>
          <w:p w14:paraId="09EB7347" w14:textId="6D071590"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0.252***</w:t>
            </w:r>
            <w:r>
              <w:rPr>
                <w:rFonts w:ascii="Times New Roman" w:hAnsi="Times New Roman" w:cs="Times New Roman"/>
                <w:sz w:val="20"/>
                <w:szCs w:val="20"/>
              </w:rPr>
              <w:t xml:space="preserve"> (</w:t>
            </w:r>
            <w:r w:rsidRPr="0077583B">
              <w:rPr>
                <w:rFonts w:ascii="Times New Roman" w:hAnsi="Times New Roman" w:cs="Times New Roman"/>
                <w:sz w:val="20"/>
                <w:szCs w:val="20"/>
              </w:rPr>
              <w:t>0.117</w:t>
            </w:r>
            <w:r>
              <w:rPr>
                <w:rFonts w:ascii="Times New Roman" w:hAnsi="Times New Roman" w:cs="Times New Roman"/>
                <w:sz w:val="20"/>
                <w:szCs w:val="20"/>
              </w:rPr>
              <w:t xml:space="preserve">, </w:t>
            </w:r>
            <w:r w:rsidRPr="0077583B">
              <w:rPr>
                <w:rFonts w:ascii="Times New Roman" w:hAnsi="Times New Roman" w:cs="Times New Roman"/>
                <w:sz w:val="20"/>
                <w:szCs w:val="20"/>
              </w:rPr>
              <w:t>0.388)</w:t>
            </w:r>
          </w:p>
        </w:tc>
        <w:tc>
          <w:tcPr>
            <w:tcW w:w="1440" w:type="dxa"/>
          </w:tcPr>
          <w:p w14:paraId="5AA921C9" w14:textId="1685740D" w:rsidR="00EF1B6A" w:rsidRPr="0077583B" w:rsidRDefault="00EF1B6A" w:rsidP="0039601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0.259***</w:t>
            </w:r>
            <w:r>
              <w:rPr>
                <w:rFonts w:ascii="Times New Roman" w:hAnsi="Times New Roman" w:cs="Times New Roman"/>
                <w:sz w:val="20"/>
                <w:szCs w:val="20"/>
              </w:rPr>
              <w:t xml:space="preserve"> (</w:t>
            </w:r>
            <w:r w:rsidRPr="0077583B">
              <w:rPr>
                <w:rFonts w:ascii="Times New Roman" w:hAnsi="Times New Roman" w:cs="Times New Roman"/>
                <w:sz w:val="20"/>
                <w:szCs w:val="20"/>
              </w:rPr>
              <w:t>0.126</w:t>
            </w:r>
            <w:r>
              <w:rPr>
                <w:rFonts w:ascii="Times New Roman" w:hAnsi="Times New Roman" w:cs="Times New Roman"/>
                <w:sz w:val="20"/>
                <w:szCs w:val="20"/>
              </w:rPr>
              <w:t xml:space="preserve">, </w:t>
            </w:r>
            <w:r w:rsidRPr="0077583B">
              <w:rPr>
                <w:rFonts w:ascii="Times New Roman" w:hAnsi="Times New Roman" w:cs="Times New Roman"/>
                <w:sz w:val="20"/>
                <w:szCs w:val="20"/>
              </w:rPr>
              <w:t>0.393)</w:t>
            </w:r>
          </w:p>
        </w:tc>
        <w:tc>
          <w:tcPr>
            <w:tcW w:w="1615" w:type="dxa"/>
          </w:tcPr>
          <w:p w14:paraId="04743EBB" w14:textId="77777777" w:rsidR="00EF1B6A" w:rsidRDefault="00EF1B6A" w:rsidP="0039601B">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0.242***</w:t>
            </w:r>
            <w:r>
              <w:rPr>
                <w:rFonts w:ascii="Times New Roman" w:hAnsi="Times New Roman" w:cs="Times New Roman"/>
                <w:sz w:val="20"/>
                <w:szCs w:val="20"/>
              </w:rPr>
              <w:t xml:space="preserve"> </w:t>
            </w:r>
          </w:p>
          <w:p w14:paraId="074B98E1" w14:textId="5EC16953" w:rsidR="00EF1B6A" w:rsidRPr="0077583B" w:rsidRDefault="00EF1B6A" w:rsidP="0039601B">
            <w:pPr>
              <w:adjustRightInd w:val="0"/>
              <w:snapToGrid w:val="0"/>
              <w:rPr>
                <w:rFonts w:ascii="Times New Roman" w:hAnsi="Times New Roman" w:cs="Times New Roman"/>
                <w:sz w:val="20"/>
                <w:szCs w:val="20"/>
                <w:lang w:val="en-AU"/>
              </w:rPr>
            </w:pPr>
            <w:r>
              <w:rPr>
                <w:rFonts w:ascii="Times New Roman" w:hAnsi="Times New Roman" w:cs="Times New Roman"/>
                <w:sz w:val="20"/>
                <w:szCs w:val="20"/>
              </w:rPr>
              <w:t>(</w:t>
            </w:r>
            <w:r w:rsidRPr="0077583B">
              <w:rPr>
                <w:rFonts w:ascii="Times New Roman" w:hAnsi="Times New Roman" w:cs="Times New Roman"/>
                <w:sz w:val="20"/>
                <w:szCs w:val="20"/>
              </w:rPr>
              <w:t>0.113</w:t>
            </w:r>
            <w:r>
              <w:rPr>
                <w:rFonts w:ascii="Times New Roman" w:hAnsi="Times New Roman" w:cs="Times New Roman"/>
                <w:sz w:val="20"/>
                <w:szCs w:val="20"/>
              </w:rPr>
              <w:t xml:space="preserve">, </w:t>
            </w:r>
            <w:r w:rsidRPr="0077583B">
              <w:rPr>
                <w:rFonts w:ascii="Times New Roman" w:hAnsi="Times New Roman" w:cs="Times New Roman"/>
                <w:sz w:val="20"/>
                <w:szCs w:val="20"/>
              </w:rPr>
              <w:t>0.370)</w:t>
            </w:r>
          </w:p>
        </w:tc>
      </w:tr>
      <w:tr w:rsidR="00EF1B6A" w:rsidRPr="0077583B" w14:paraId="3D67C2E0" w14:textId="77777777" w:rsidTr="00EF1B6A">
        <w:trPr>
          <w:trHeight w:val="107"/>
        </w:trPr>
        <w:tc>
          <w:tcPr>
            <w:tcW w:w="1980" w:type="dxa"/>
          </w:tcPr>
          <w:p w14:paraId="51F5D4AD" w14:textId="77777777" w:rsidR="00EF1B6A" w:rsidRPr="0077583B" w:rsidRDefault="00EF1B6A" w:rsidP="0039601B">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Uncertain clinical magnitude</w:t>
            </w:r>
          </w:p>
        </w:tc>
        <w:tc>
          <w:tcPr>
            <w:tcW w:w="1440" w:type="dxa"/>
          </w:tcPr>
          <w:p w14:paraId="5EECCCEF" w14:textId="3D5BFB15" w:rsidR="00EF1B6A" w:rsidRPr="0077583B" w:rsidRDefault="00EF1B6A" w:rsidP="0039601B">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3D7ECFBB" w14:textId="1700F356" w:rsidR="00EF1B6A" w:rsidRPr="0077583B" w:rsidRDefault="00EF1B6A" w:rsidP="0039601B">
            <w:pPr>
              <w:adjustRightInd w:val="0"/>
              <w:snapToGrid w:val="0"/>
              <w:rPr>
                <w:rFonts w:ascii="Times New Roman" w:hAnsi="Times New Roman" w:cs="Times New Roman"/>
                <w:sz w:val="20"/>
                <w:szCs w:val="20"/>
              </w:rPr>
            </w:pPr>
          </w:p>
        </w:tc>
        <w:tc>
          <w:tcPr>
            <w:tcW w:w="1440" w:type="dxa"/>
          </w:tcPr>
          <w:p w14:paraId="44F409C8" w14:textId="4FA52417" w:rsidR="00EF1B6A" w:rsidRPr="0077583B" w:rsidRDefault="00EF1B6A" w:rsidP="0039601B">
            <w:pPr>
              <w:adjustRightInd w:val="0"/>
              <w:snapToGrid w:val="0"/>
              <w:rPr>
                <w:rFonts w:ascii="Times New Roman" w:hAnsi="Times New Roman" w:cs="Times New Roman"/>
                <w:sz w:val="20"/>
                <w:szCs w:val="20"/>
              </w:rPr>
            </w:pPr>
          </w:p>
        </w:tc>
        <w:tc>
          <w:tcPr>
            <w:tcW w:w="1440" w:type="dxa"/>
          </w:tcPr>
          <w:p w14:paraId="6128171E" w14:textId="77777777" w:rsidR="00EF1B6A" w:rsidRPr="0077583B" w:rsidRDefault="00EF1B6A" w:rsidP="0039601B">
            <w:pPr>
              <w:adjustRightInd w:val="0"/>
              <w:snapToGrid w:val="0"/>
              <w:rPr>
                <w:rFonts w:ascii="Times New Roman" w:hAnsi="Times New Roman" w:cs="Times New Roman"/>
                <w:sz w:val="20"/>
                <w:szCs w:val="20"/>
              </w:rPr>
            </w:pPr>
          </w:p>
        </w:tc>
        <w:tc>
          <w:tcPr>
            <w:tcW w:w="1525" w:type="dxa"/>
          </w:tcPr>
          <w:p w14:paraId="5A0BD574" w14:textId="7B4559FD"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1308B123" w14:textId="30C0CC8B"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440" w:type="dxa"/>
          </w:tcPr>
          <w:p w14:paraId="09BF618A" w14:textId="71950CA6" w:rsidR="00EF1B6A" w:rsidRPr="0077583B" w:rsidRDefault="00EF1B6A" w:rsidP="0039601B">
            <w:pPr>
              <w:autoSpaceDE w:val="0"/>
              <w:autoSpaceDN w:val="0"/>
              <w:adjustRightInd w:val="0"/>
              <w:snapToGrid w:val="0"/>
              <w:jc w:val="left"/>
              <w:rPr>
                <w:rFonts w:ascii="Times New Roman" w:hAnsi="Times New Roman" w:cs="Times New Roman"/>
                <w:sz w:val="20"/>
                <w:szCs w:val="20"/>
              </w:rPr>
            </w:pPr>
          </w:p>
        </w:tc>
        <w:tc>
          <w:tcPr>
            <w:tcW w:w="1615" w:type="dxa"/>
          </w:tcPr>
          <w:p w14:paraId="0E0DAB0D" w14:textId="43424CCF" w:rsidR="00EF1B6A" w:rsidRPr="0077583B" w:rsidRDefault="00EF1B6A" w:rsidP="0039601B">
            <w:pPr>
              <w:adjustRightInd w:val="0"/>
              <w:snapToGrid w:val="0"/>
              <w:rPr>
                <w:rFonts w:ascii="Times New Roman" w:hAnsi="Times New Roman" w:cs="Times New Roman"/>
                <w:sz w:val="20"/>
                <w:szCs w:val="20"/>
              </w:rPr>
            </w:pPr>
          </w:p>
        </w:tc>
      </w:tr>
      <w:tr w:rsidR="00EF1B6A" w:rsidRPr="0077583B" w14:paraId="13DDC85A" w14:textId="77777777" w:rsidTr="00EF1B6A">
        <w:trPr>
          <w:trHeight w:val="107"/>
        </w:trPr>
        <w:tc>
          <w:tcPr>
            <w:tcW w:w="1980" w:type="dxa"/>
          </w:tcPr>
          <w:p w14:paraId="50ABEB35" w14:textId="0771D118" w:rsidR="00EF1B6A" w:rsidRPr="0077583B" w:rsidRDefault="00EF1B6A" w:rsidP="00C925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None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yes)</w:t>
            </w:r>
          </w:p>
        </w:tc>
        <w:tc>
          <w:tcPr>
            <w:tcW w:w="1440" w:type="dxa"/>
          </w:tcPr>
          <w:p w14:paraId="6E6B364E" w14:textId="77777777" w:rsidR="00EF1B6A" w:rsidRPr="0077583B" w:rsidRDefault="00EF1B6A" w:rsidP="00C925D0">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5DAC02AF" w14:textId="77777777" w:rsidR="00EF1B6A" w:rsidRDefault="00EF1B6A" w:rsidP="00C925D0">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0.151**</w:t>
            </w:r>
            <w:r>
              <w:rPr>
                <w:rFonts w:ascii="Times New Roman" w:hAnsi="Times New Roman" w:cs="Times New Roman"/>
                <w:sz w:val="20"/>
                <w:szCs w:val="20"/>
              </w:rPr>
              <w:t xml:space="preserve"> </w:t>
            </w:r>
          </w:p>
          <w:p w14:paraId="3CC9BDF9" w14:textId="3F3F0DEA" w:rsidR="00EF1B6A" w:rsidRPr="0077583B" w:rsidRDefault="00EF1B6A" w:rsidP="00C925D0">
            <w:pPr>
              <w:adjustRightInd w:val="0"/>
              <w:snapToGrid w:val="0"/>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0.033</w:t>
            </w:r>
            <w:r>
              <w:rPr>
                <w:rFonts w:ascii="Times New Roman" w:hAnsi="Times New Roman" w:cs="Times New Roman"/>
                <w:sz w:val="20"/>
                <w:szCs w:val="20"/>
              </w:rPr>
              <w:t xml:space="preserve">, </w:t>
            </w:r>
            <w:r w:rsidRPr="0077583B">
              <w:rPr>
                <w:rFonts w:ascii="Times New Roman" w:hAnsi="Times New Roman" w:cs="Times New Roman"/>
                <w:sz w:val="20"/>
                <w:szCs w:val="20"/>
              </w:rPr>
              <w:t>0.270)</w:t>
            </w:r>
          </w:p>
        </w:tc>
        <w:tc>
          <w:tcPr>
            <w:tcW w:w="1440" w:type="dxa"/>
          </w:tcPr>
          <w:p w14:paraId="2289BEFE"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1970DF55" w14:textId="77777777" w:rsidR="00EF1B6A" w:rsidRPr="0077583B" w:rsidRDefault="00EF1B6A" w:rsidP="00C925D0">
            <w:pPr>
              <w:adjustRightInd w:val="0"/>
              <w:snapToGrid w:val="0"/>
              <w:rPr>
                <w:rFonts w:ascii="Times New Roman" w:hAnsi="Times New Roman" w:cs="Times New Roman"/>
                <w:sz w:val="20"/>
                <w:szCs w:val="20"/>
              </w:rPr>
            </w:pPr>
          </w:p>
        </w:tc>
        <w:tc>
          <w:tcPr>
            <w:tcW w:w="1525" w:type="dxa"/>
          </w:tcPr>
          <w:p w14:paraId="1A34772E"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69CCD522"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53878EB8"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127B00E3" w14:textId="77777777" w:rsidR="00EF1B6A" w:rsidRPr="0077583B" w:rsidRDefault="00EF1B6A" w:rsidP="00C925D0">
            <w:pPr>
              <w:adjustRightInd w:val="0"/>
              <w:snapToGrid w:val="0"/>
              <w:rPr>
                <w:rFonts w:ascii="Times New Roman" w:hAnsi="Times New Roman" w:cs="Times New Roman"/>
                <w:sz w:val="20"/>
                <w:szCs w:val="20"/>
              </w:rPr>
            </w:pPr>
          </w:p>
        </w:tc>
      </w:tr>
      <w:tr w:rsidR="00EF1B6A" w:rsidRPr="0077583B" w14:paraId="54CE6C89" w14:textId="77777777" w:rsidTr="00EF1B6A">
        <w:trPr>
          <w:trHeight w:val="107"/>
        </w:trPr>
        <w:tc>
          <w:tcPr>
            <w:tcW w:w="1980" w:type="dxa"/>
          </w:tcPr>
          <w:p w14:paraId="3E5BEDE7" w14:textId="77777777" w:rsidR="00EF1B6A" w:rsidRPr="0077583B" w:rsidRDefault="00EF1B6A" w:rsidP="00C925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Clinical need</w:t>
            </w:r>
          </w:p>
        </w:tc>
        <w:tc>
          <w:tcPr>
            <w:tcW w:w="1440" w:type="dxa"/>
          </w:tcPr>
          <w:p w14:paraId="67C27C26" w14:textId="5C121928" w:rsidR="00EF1B6A" w:rsidRPr="0077583B" w:rsidRDefault="00EF1B6A" w:rsidP="00C925D0">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2B21B7B7" w14:textId="17211009"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4791AF43"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3AFD77A1" w14:textId="77777777" w:rsidR="00EF1B6A" w:rsidRPr="0077583B" w:rsidRDefault="00EF1B6A" w:rsidP="00C925D0">
            <w:pPr>
              <w:adjustRightInd w:val="0"/>
              <w:snapToGrid w:val="0"/>
              <w:rPr>
                <w:rFonts w:ascii="Times New Roman" w:hAnsi="Times New Roman" w:cs="Times New Roman"/>
                <w:sz w:val="20"/>
                <w:szCs w:val="20"/>
              </w:rPr>
            </w:pPr>
          </w:p>
        </w:tc>
        <w:tc>
          <w:tcPr>
            <w:tcW w:w="1525" w:type="dxa"/>
          </w:tcPr>
          <w:p w14:paraId="28E3309C"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2ECC9156"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38BB2978"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7F32A41A" w14:textId="77777777" w:rsidR="00EF1B6A" w:rsidRPr="0077583B" w:rsidRDefault="00EF1B6A" w:rsidP="00C925D0">
            <w:pPr>
              <w:adjustRightInd w:val="0"/>
              <w:snapToGrid w:val="0"/>
              <w:rPr>
                <w:rFonts w:ascii="Times New Roman" w:hAnsi="Times New Roman" w:cs="Times New Roman"/>
                <w:sz w:val="20"/>
                <w:szCs w:val="20"/>
              </w:rPr>
            </w:pPr>
          </w:p>
        </w:tc>
      </w:tr>
      <w:tr w:rsidR="00EF1B6A" w:rsidRPr="0077583B" w14:paraId="62FF036E" w14:textId="77777777" w:rsidTr="00EF1B6A">
        <w:trPr>
          <w:trHeight w:val="107"/>
        </w:trPr>
        <w:tc>
          <w:tcPr>
            <w:tcW w:w="1980" w:type="dxa"/>
          </w:tcPr>
          <w:p w14:paraId="0E269D9D" w14:textId="56A5392D" w:rsidR="00EF1B6A" w:rsidRPr="0077583B" w:rsidRDefault="00EF1B6A" w:rsidP="00C925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Unmet clinical need</w:t>
            </w:r>
            <w:r>
              <w:rPr>
                <w:rFonts w:ascii="Times New Roman" w:eastAsia="SimSun" w:hAnsi="Times New Roman" w:cs="Times New Roman" w:hint="eastAsia"/>
                <w:kern w:val="0"/>
                <w:sz w:val="20"/>
                <w:szCs w:val="20"/>
              </w:rPr>
              <w:t xml:space="preserv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none)</w:t>
            </w:r>
          </w:p>
        </w:tc>
        <w:tc>
          <w:tcPr>
            <w:tcW w:w="1440" w:type="dxa"/>
          </w:tcPr>
          <w:p w14:paraId="7A793B57" w14:textId="77777777" w:rsidR="00EF1B6A" w:rsidRPr="0077583B" w:rsidRDefault="00EF1B6A" w:rsidP="00C925D0">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4F76CCD9" w14:textId="77777777" w:rsidR="00EF1B6A" w:rsidRDefault="00EF1B6A" w:rsidP="00C925D0">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0.081*</w:t>
            </w:r>
            <w:r>
              <w:rPr>
                <w:rFonts w:ascii="Times New Roman" w:hAnsi="Times New Roman" w:cs="Times New Roman"/>
                <w:sz w:val="20"/>
                <w:szCs w:val="20"/>
              </w:rPr>
              <w:t xml:space="preserve"> </w:t>
            </w:r>
          </w:p>
          <w:p w14:paraId="7FA42FB8" w14:textId="00DBA877" w:rsidR="00EF1B6A" w:rsidRPr="0077583B" w:rsidRDefault="00EF1B6A" w:rsidP="00C925D0">
            <w:pPr>
              <w:adjustRightInd w:val="0"/>
              <w:snapToGrid w:val="0"/>
              <w:rPr>
                <w:rFonts w:ascii="Times New Roman" w:hAnsi="Times New Roman" w:cs="Times New Roman"/>
                <w:sz w:val="20"/>
                <w:szCs w:val="20"/>
                <w:lang w:val="en-US"/>
              </w:rPr>
            </w:pPr>
            <w:r>
              <w:rPr>
                <w:rFonts w:ascii="Times New Roman" w:hAnsi="Times New Roman" w:cs="Times New Roman"/>
                <w:sz w:val="20"/>
                <w:szCs w:val="20"/>
              </w:rPr>
              <w:t>(</w:t>
            </w:r>
            <w:r w:rsidRPr="0077583B">
              <w:rPr>
                <w:rFonts w:ascii="Times New Roman" w:hAnsi="Times New Roman" w:cs="Times New Roman"/>
                <w:sz w:val="20"/>
                <w:szCs w:val="20"/>
              </w:rPr>
              <w:t>-0.000</w:t>
            </w:r>
            <w:r>
              <w:rPr>
                <w:rFonts w:ascii="Times New Roman" w:hAnsi="Times New Roman" w:cs="Times New Roman"/>
                <w:sz w:val="20"/>
                <w:szCs w:val="20"/>
              </w:rPr>
              <w:t xml:space="preserve">, </w:t>
            </w:r>
            <w:r w:rsidRPr="0077583B">
              <w:rPr>
                <w:rFonts w:ascii="Times New Roman" w:hAnsi="Times New Roman" w:cs="Times New Roman"/>
                <w:sz w:val="20"/>
                <w:szCs w:val="20"/>
              </w:rPr>
              <w:t>0.162)</w:t>
            </w:r>
          </w:p>
        </w:tc>
        <w:tc>
          <w:tcPr>
            <w:tcW w:w="1440" w:type="dxa"/>
          </w:tcPr>
          <w:p w14:paraId="58C79EED"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7D28D850" w14:textId="77777777" w:rsidR="00EF1B6A" w:rsidRPr="0077583B" w:rsidRDefault="00EF1B6A" w:rsidP="00C925D0">
            <w:pPr>
              <w:adjustRightInd w:val="0"/>
              <w:snapToGrid w:val="0"/>
              <w:rPr>
                <w:rFonts w:ascii="Times New Roman" w:hAnsi="Times New Roman" w:cs="Times New Roman"/>
                <w:sz w:val="20"/>
                <w:szCs w:val="20"/>
              </w:rPr>
            </w:pPr>
          </w:p>
        </w:tc>
        <w:tc>
          <w:tcPr>
            <w:tcW w:w="1525" w:type="dxa"/>
          </w:tcPr>
          <w:p w14:paraId="22FF7CAF"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3E5F16B9"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12E37DC9"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3C5D5126" w14:textId="77777777" w:rsidR="00EF1B6A" w:rsidRPr="0077583B" w:rsidRDefault="00EF1B6A" w:rsidP="00C925D0">
            <w:pPr>
              <w:adjustRightInd w:val="0"/>
              <w:snapToGrid w:val="0"/>
              <w:rPr>
                <w:rFonts w:ascii="Times New Roman" w:hAnsi="Times New Roman" w:cs="Times New Roman"/>
                <w:sz w:val="20"/>
                <w:szCs w:val="20"/>
              </w:rPr>
            </w:pPr>
          </w:p>
        </w:tc>
      </w:tr>
      <w:tr w:rsidR="00EF1B6A" w:rsidRPr="0077583B" w14:paraId="40F755D5" w14:textId="77777777" w:rsidTr="00EF1B6A">
        <w:trPr>
          <w:trHeight w:val="107"/>
        </w:trPr>
        <w:tc>
          <w:tcPr>
            <w:tcW w:w="1980" w:type="dxa"/>
          </w:tcPr>
          <w:p w14:paraId="6C3390FD" w14:textId="681E7C36" w:rsidR="00EF1B6A" w:rsidRPr="0077583B" w:rsidRDefault="00EF1B6A" w:rsidP="00D263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Structural uncertainty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parameterisable, extrapolation)</w:t>
            </w:r>
          </w:p>
        </w:tc>
        <w:tc>
          <w:tcPr>
            <w:tcW w:w="1440" w:type="dxa"/>
          </w:tcPr>
          <w:p w14:paraId="114E27AF" w14:textId="7F804C6A" w:rsidR="00EF1B6A" w:rsidRPr="0077583B" w:rsidRDefault="00EF1B6A" w:rsidP="00D263D0">
            <w:pPr>
              <w:autoSpaceDE w:val="0"/>
              <w:autoSpaceDN w:val="0"/>
              <w:adjustRightInd w:val="0"/>
              <w:snapToGrid w:val="0"/>
              <w:jc w:val="left"/>
              <w:rPr>
                <w:rFonts w:ascii="Times New Roman" w:eastAsia="SimSun" w:hAnsi="Times New Roman" w:cs="Times New Roman"/>
                <w:sz w:val="20"/>
                <w:szCs w:val="20"/>
                <w:lang w:val="en-AU"/>
              </w:rPr>
            </w:pPr>
          </w:p>
        </w:tc>
        <w:tc>
          <w:tcPr>
            <w:tcW w:w="1620" w:type="dxa"/>
          </w:tcPr>
          <w:p w14:paraId="7E551C18" w14:textId="77217CD3" w:rsidR="00EF1B6A" w:rsidRPr="0077583B" w:rsidRDefault="00EF1B6A" w:rsidP="00D263D0">
            <w:pPr>
              <w:adjustRightInd w:val="0"/>
              <w:snapToGrid w:val="0"/>
              <w:rPr>
                <w:rFonts w:ascii="Times New Roman" w:hAnsi="Times New Roman" w:cs="Times New Roman"/>
                <w:sz w:val="20"/>
                <w:szCs w:val="20"/>
              </w:rPr>
            </w:pPr>
          </w:p>
        </w:tc>
        <w:tc>
          <w:tcPr>
            <w:tcW w:w="1440" w:type="dxa"/>
          </w:tcPr>
          <w:p w14:paraId="2223B56A" w14:textId="77777777" w:rsidR="00EF1B6A" w:rsidRPr="0077583B" w:rsidRDefault="00EF1B6A" w:rsidP="00D263D0">
            <w:pPr>
              <w:adjustRightInd w:val="0"/>
              <w:snapToGrid w:val="0"/>
              <w:rPr>
                <w:rFonts w:ascii="Times New Roman" w:hAnsi="Times New Roman" w:cs="Times New Roman"/>
                <w:sz w:val="20"/>
                <w:szCs w:val="20"/>
              </w:rPr>
            </w:pPr>
          </w:p>
        </w:tc>
        <w:tc>
          <w:tcPr>
            <w:tcW w:w="1440" w:type="dxa"/>
          </w:tcPr>
          <w:p w14:paraId="4EF35E2D" w14:textId="77777777" w:rsidR="00EF1B6A" w:rsidRPr="0077583B" w:rsidRDefault="00EF1B6A" w:rsidP="00D263D0">
            <w:pPr>
              <w:adjustRightInd w:val="0"/>
              <w:snapToGrid w:val="0"/>
              <w:rPr>
                <w:rFonts w:ascii="Times New Roman" w:hAnsi="Times New Roman" w:cs="Times New Roman"/>
                <w:sz w:val="20"/>
                <w:szCs w:val="20"/>
              </w:rPr>
            </w:pPr>
          </w:p>
        </w:tc>
        <w:tc>
          <w:tcPr>
            <w:tcW w:w="1525" w:type="dxa"/>
          </w:tcPr>
          <w:p w14:paraId="6970C6CD"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26879A3D"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440" w:type="dxa"/>
          </w:tcPr>
          <w:p w14:paraId="76CE79DA"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615" w:type="dxa"/>
          </w:tcPr>
          <w:p w14:paraId="6A25A351" w14:textId="77777777" w:rsidR="00EF1B6A" w:rsidRPr="0077583B" w:rsidRDefault="00EF1B6A" w:rsidP="00D263D0">
            <w:pPr>
              <w:adjustRightInd w:val="0"/>
              <w:snapToGrid w:val="0"/>
              <w:rPr>
                <w:rFonts w:ascii="Times New Roman" w:hAnsi="Times New Roman" w:cs="Times New Roman"/>
                <w:sz w:val="20"/>
                <w:szCs w:val="20"/>
              </w:rPr>
            </w:pPr>
          </w:p>
        </w:tc>
      </w:tr>
      <w:tr w:rsidR="00EF1B6A" w:rsidRPr="0077583B" w14:paraId="2FA7F111" w14:textId="77777777" w:rsidTr="00EF1B6A">
        <w:trPr>
          <w:trHeight w:val="64"/>
        </w:trPr>
        <w:tc>
          <w:tcPr>
            <w:tcW w:w="1980" w:type="dxa"/>
          </w:tcPr>
          <w:p w14:paraId="6BA4AC6F" w14:textId="74900E50" w:rsidR="00EF1B6A" w:rsidRPr="0077583B" w:rsidRDefault="00EF1B6A" w:rsidP="00C925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Medium</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high)</w:t>
            </w:r>
          </w:p>
        </w:tc>
        <w:tc>
          <w:tcPr>
            <w:tcW w:w="1440" w:type="dxa"/>
          </w:tcPr>
          <w:p w14:paraId="27781949"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20" w:type="dxa"/>
          </w:tcPr>
          <w:p w14:paraId="456EBBD8"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780CC7EE" w14:textId="2BC90E9F" w:rsidR="00EF1B6A" w:rsidRPr="0077583B" w:rsidRDefault="00EF1B6A" w:rsidP="00C925D0">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0.143***</w:t>
            </w:r>
            <w:r>
              <w:rPr>
                <w:rFonts w:ascii="Times New Roman" w:hAnsi="Times New Roman" w:cs="Times New Roman"/>
                <w:sz w:val="20"/>
                <w:szCs w:val="20"/>
              </w:rPr>
              <w:t xml:space="preserve"> (</w:t>
            </w:r>
            <w:r w:rsidRPr="0077583B">
              <w:rPr>
                <w:rFonts w:ascii="Times New Roman" w:hAnsi="Times New Roman" w:cs="Times New Roman"/>
                <w:sz w:val="20"/>
                <w:szCs w:val="20"/>
              </w:rPr>
              <w:t>0.038</w:t>
            </w:r>
            <w:r>
              <w:rPr>
                <w:rFonts w:ascii="Times New Roman" w:hAnsi="Times New Roman" w:cs="Times New Roman"/>
                <w:sz w:val="20"/>
                <w:szCs w:val="20"/>
              </w:rPr>
              <w:t xml:space="preserve">, </w:t>
            </w:r>
            <w:r w:rsidRPr="0077583B">
              <w:rPr>
                <w:rFonts w:ascii="Times New Roman" w:hAnsi="Times New Roman" w:cs="Times New Roman"/>
                <w:sz w:val="20"/>
                <w:szCs w:val="20"/>
              </w:rPr>
              <w:t>0.249)</w:t>
            </w:r>
          </w:p>
        </w:tc>
        <w:tc>
          <w:tcPr>
            <w:tcW w:w="1440" w:type="dxa"/>
          </w:tcPr>
          <w:p w14:paraId="1D5EF84A"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525" w:type="dxa"/>
          </w:tcPr>
          <w:p w14:paraId="5F67E80D"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303E2B44"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388856CF"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61770FD9"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r>
      <w:tr w:rsidR="00EF1B6A" w:rsidRPr="0077583B" w14:paraId="70F23D97" w14:textId="77777777" w:rsidTr="00EF1B6A">
        <w:trPr>
          <w:trHeight w:val="220"/>
        </w:trPr>
        <w:tc>
          <w:tcPr>
            <w:tcW w:w="1980" w:type="dxa"/>
          </w:tcPr>
          <w:p w14:paraId="58D7EEF8" w14:textId="55820614" w:rsidR="00EF1B6A" w:rsidRPr="0077583B" w:rsidRDefault="00EF1B6A" w:rsidP="00C925D0">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Low</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high)</w:t>
            </w:r>
          </w:p>
        </w:tc>
        <w:tc>
          <w:tcPr>
            <w:tcW w:w="1440" w:type="dxa"/>
          </w:tcPr>
          <w:p w14:paraId="6EF7791B" w14:textId="78008334"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20" w:type="dxa"/>
          </w:tcPr>
          <w:p w14:paraId="26EDF8EC"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67FDC2E8" w14:textId="12A0E600"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0D2B2CA7" w14:textId="77777777" w:rsidR="00EF1B6A" w:rsidRPr="0077583B" w:rsidRDefault="00EF1B6A" w:rsidP="00C925D0">
            <w:pPr>
              <w:adjustRightInd w:val="0"/>
              <w:snapToGrid w:val="0"/>
              <w:rPr>
                <w:rFonts w:ascii="Times New Roman" w:hAnsi="Times New Roman" w:cs="Times New Roman"/>
                <w:sz w:val="20"/>
                <w:szCs w:val="20"/>
                <w:lang w:val="en-AU"/>
              </w:rPr>
            </w:pPr>
          </w:p>
        </w:tc>
        <w:tc>
          <w:tcPr>
            <w:tcW w:w="1525" w:type="dxa"/>
          </w:tcPr>
          <w:p w14:paraId="4C5CCB7F"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1EF7B642"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4ABDFC1C"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757DAA11"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r>
      <w:tr w:rsidR="00EF1B6A" w:rsidRPr="0077583B" w14:paraId="5EAE2027" w14:textId="77777777" w:rsidTr="00EF1B6A">
        <w:trPr>
          <w:trHeight w:val="220"/>
        </w:trPr>
        <w:tc>
          <w:tcPr>
            <w:tcW w:w="1980" w:type="dxa"/>
          </w:tcPr>
          <w:p w14:paraId="1831CDF5" w14:textId="77777777" w:rsidR="00EF1B6A" w:rsidRPr="0077583B" w:rsidRDefault="00EF1B6A" w:rsidP="00C925D0">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Uncertainty around clinical effectiveness</w:t>
            </w:r>
          </w:p>
        </w:tc>
        <w:tc>
          <w:tcPr>
            <w:tcW w:w="1440" w:type="dxa"/>
          </w:tcPr>
          <w:p w14:paraId="49B6EC79"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20" w:type="dxa"/>
          </w:tcPr>
          <w:p w14:paraId="099AA7D7" w14:textId="77777777" w:rsidR="00EF1B6A" w:rsidRPr="0077583B" w:rsidRDefault="00EF1B6A" w:rsidP="00C925D0">
            <w:pPr>
              <w:adjustRightInd w:val="0"/>
              <w:snapToGrid w:val="0"/>
              <w:rPr>
                <w:rFonts w:ascii="Times New Roman" w:hAnsi="Times New Roman" w:cs="Times New Roman"/>
                <w:sz w:val="20"/>
                <w:szCs w:val="20"/>
              </w:rPr>
            </w:pPr>
          </w:p>
        </w:tc>
        <w:tc>
          <w:tcPr>
            <w:tcW w:w="1440" w:type="dxa"/>
          </w:tcPr>
          <w:p w14:paraId="0D259A55" w14:textId="26FF9099" w:rsidR="00EF1B6A" w:rsidRPr="0077583B" w:rsidRDefault="00EF1B6A" w:rsidP="00C925D0">
            <w:pPr>
              <w:adjustRightInd w:val="0"/>
              <w:snapToGrid w:val="0"/>
              <w:rPr>
                <w:rFonts w:ascii="Times New Roman" w:hAnsi="Times New Roman" w:cs="Times New Roman"/>
                <w:sz w:val="20"/>
                <w:szCs w:val="20"/>
              </w:rPr>
            </w:pPr>
            <w:r w:rsidRPr="0077583B">
              <w:rPr>
                <w:rFonts w:ascii="Times New Roman" w:hAnsi="Times New Roman" w:cs="Times New Roman"/>
                <w:sz w:val="20"/>
                <w:szCs w:val="20"/>
              </w:rPr>
              <w:t>0.309***</w:t>
            </w:r>
            <w:r>
              <w:rPr>
                <w:rFonts w:ascii="Times New Roman" w:hAnsi="Times New Roman" w:cs="Times New Roman"/>
                <w:sz w:val="20"/>
                <w:szCs w:val="20"/>
              </w:rPr>
              <w:t xml:space="preserve"> (</w:t>
            </w:r>
            <w:r w:rsidRPr="0077583B">
              <w:rPr>
                <w:rFonts w:ascii="Times New Roman" w:hAnsi="Times New Roman" w:cs="Times New Roman"/>
                <w:sz w:val="20"/>
                <w:szCs w:val="20"/>
              </w:rPr>
              <w:t>0.176</w:t>
            </w:r>
            <w:r>
              <w:rPr>
                <w:rFonts w:ascii="Times New Roman" w:hAnsi="Times New Roman" w:cs="Times New Roman"/>
                <w:sz w:val="20"/>
                <w:szCs w:val="20"/>
              </w:rPr>
              <w:t xml:space="preserve">, </w:t>
            </w:r>
            <w:r w:rsidRPr="0077583B">
              <w:rPr>
                <w:rFonts w:ascii="Times New Roman" w:hAnsi="Times New Roman" w:cs="Times New Roman"/>
                <w:sz w:val="20"/>
                <w:szCs w:val="20"/>
              </w:rPr>
              <w:t>0.443)</w:t>
            </w:r>
          </w:p>
        </w:tc>
        <w:tc>
          <w:tcPr>
            <w:tcW w:w="1440" w:type="dxa"/>
          </w:tcPr>
          <w:p w14:paraId="769E5D55"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525" w:type="dxa"/>
          </w:tcPr>
          <w:p w14:paraId="346F7765"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33443EBA"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440" w:type="dxa"/>
          </w:tcPr>
          <w:p w14:paraId="64434428"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c>
          <w:tcPr>
            <w:tcW w:w="1615" w:type="dxa"/>
          </w:tcPr>
          <w:p w14:paraId="039AA4BA" w14:textId="77777777" w:rsidR="00EF1B6A" w:rsidRPr="0077583B" w:rsidRDefault="00EF1B6A" w:rsidP="00C925D0">
            <w:pPr>
              <w:autoSpaceDE w:val="0"/>
              <w:autoSpaceDN w:val="0"/>
              <w:adjustRightInd w:val="0"/>
              <w:snapToGrid w:val="0"/>
              <w:jc w:val="left"/>
              <w:rPr>
                <w:rFonts w:ascii="Times New Roman" w:hAnsi="Times New Roman" w:cs="Times New Roman"/>
                <w:sz w:val="20"/>
                <w:szCs w:val="20"/>
              </w:rPr>
            </w:pPr>
          </w:p>
        </w:tc>
      </w:tr>
      <w:tr w:rsidR="00EF1B6A" w:rsidRPr="0077583B" w14:paraId="68380A79" w14:textId="77777777" w:rsidTr="00EF1B6A">
        <w:trPr>
          <w:trHeight w:val="220"/>
        </w:trPr>
        <w:tc>
          <w:tcPr>
            <w:tcW w:w="1980" w:type="dxa"/>
          </w:tcPr>
          <w:p w14:paraId="591454EE" w14:textId="3A5A72C9" w:rsidR="00EF1B6A" w:rsidRPr="0077583B" w:rsidRDefault="00EF1B6A" w:rsidP="00064228">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None </w:t>
            </w:r>
            <w:r>
              <w:rPr>
                <w:rFonts w:ascii="Times New Roman" w:eastAsia="SimSun" w:hAnsi="Times New Roman" w:cs="Times New Roman" w:hint="eastAsia"/>
                <w:kern w:val="0"/>
                <w:sz w:val="20"/>
                <w:szCs w:val="20"/>
              </w:rPr>
              <w:t>(</w:t>
            </w:r>
            <w:r w:rsidRPr="0077583B">
              <w:rPr>
                <w:rFonts w:ascii="Times New Roman" w:eastAsia="SimSun" w:hAnsi="Times New Roman" w:cs="Times New Roman"/>
                <w:kern w:val="0"/>
                <w:sz w:val="20"/>
                <w:szCs w:val="20"/>
              </w:rPr>
              <w:t>Ref. yes)</w:t>
            </w:r>
          </w:p>
        </w:tc>
        <w:tc>
          <w:tcPr>
            <w:tcW w:w="1440" w:type="dxa"/>
          </w:tcPr>
          <w:p w14:paraId="7C0B035A" w14:textId="46B6561B"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20" w:type="dxa"/>
          </w:tcPr>
          <w:p w14:paraId="4D8C8C2E"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23EA9D8D" w14:textId="051D373D"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3C4C3C64" w14:textId="77777777" w:rsidR="00EF1B6A" w:rsidRDefault="00EF1B6A" w:rsidP="00064228">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0.042</w:t>
            </w:r>
            <w:r>
              <w:rPr>
                <w:rFonts w:ascii="Times New Roman" w:hAnsi="Times New Roman" w:cs="Times New Roman"/>
                <w:sz w:val="20"/>
                <w:szCs w:val="20"/>
              </w:rPr>
              <w:t xml:space="preserve"> </w:t>
            </w:r>
          </w:p>
          <w:p w14:paraId="08558A36" w14:textId="7F9EDE6F" w:rsidR="00EF1B6A" w:rsidRPr="0077583B" w:rsidRDefault="00EF1B6A" w:rsidP="00064228">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-0.044</w:t>
            </w:r>
            <w:r>
              <w:rPr>
                <w:rFonts w:ascii="Times New Roman" w:hAnsi="Times New Roman" w:cs="Times New Roman"/>
                <w:sz w:val="20"/>
                <w:szCs w:val="20"/>
              </w:rPr>
              <w:t xml:space="preserve">, </w:t>
            </w:r>
            <w:r w:rsidRPr="0077583B">
              <w:rPr>
                <w:rFonts w:ascii="Times New Roman" w:hAnsi="Times New Roman" w:cs="Times New Roman"/>
                <w:sz w:val="20"/>
                <w:szCs w:val="20"/>
              </w:rPr>
              <w:t>0.127)</w:t>
            </w:r>
          </w:p>
        </w:tc>
        <w:tc>
          <w:tcPr>
            <w:tcW w:w="1525" w:type="dxa"/>
          </w:tcPr>
          <w:p w14:paraId="54A3F08A"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304FBD71"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0" w:type="dxa"/>
          </w:tcPr>
          <w:p w14:paraId="311A0666"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15" w:type="dxa"/>
          </w:tcPr>
          <w:p w14:paraId="043B615E" w14:textId="77777777" w:rsidR="00EF1B6A" w:rsidRDefault="00EF1B6A" w:rsidP="00064228">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0.050</w:t>
            </w:r>
          </w:p>
          <w:p w14:paraId="5BF1D9A9" w14:textId="78AD6AB8" w:rsidR="00EF1B6A" w:rsidRPr="0077583B" w:rsidRDefault="00EF1B6A" w:rsidP="00064228">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 xml:space="preserve"> (</w:t>
            </w:r>
            <w:r w:rsidRPr="0077583B">
              <w:rPr>
                <w:rFonts w:ascii="Times New Roman" w:hAnsi="Times New Roman" w:cs="Times New Roman"/>
                <w:sz w:val="20"/>
                <w:szCs w:val="20"/>
              </w:rPr>
              <w:t>-0.041</w:t>
            </w:r>
            <w:r>
              <w:rPr>
                <w:rFonts w:ascii="Times New Roman" w:hAnsi="Times New Roman" w:cs="Times New Roman"/>
                <w:sz w:val="20"/>
                <w:szCs w:val="20"/>
              </w:rPr>
              <w:t xml:space="preserve">, </w:t>
            </w:r>
            <w:r w:rsidRPr="0077583B">
              <w:rPr>
                <w:rFonts w:ascii="Times New Roman" w:hAnsi="Times New Roman" w:cs="Times New Roman"/>
                <w:sz w:val="20"/>
                <w:szCs w:val="20"/>
              </w:rPr>
              <w:t>0.142)</w:t>
            </w:r>
          </w:p>
        </w:tc>
      </w:tr>
      <w:tr w:rsidR="00EF1B6A" w:rsidRPr="0077583B" w14:paraId="14864AED" w14:textId="77777777" w:rsidTr="00EF1B6A">
        <w:trPr>
          <w:trHeight w:val="220"/>
        </w:trPr>
        <w:tc>
          <w:tcPr>
            <w:tcW w:w="1980" w:type="dxa"/>
          </w:tcPr>
          <w:p w14:paraId="48F6BB3E" w14:textId="77777777" w:rsidR="00EF1B6A" w:rsidRPr="0077583B" w:rsidRDefault="00EF1B6A" w:rsidP="00064228">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lastRenderedPageBreak/>
              <w:t>Uncertainty around utility estimation</w:t>
            </w:r>
          </w:p>
        </w:tc>
        <w:tc>
          <w:tcPr>
            <w:tcW w:w="1440" w:type="dxa"/>
          </w:tcPr>
          <w:p w14:paraId="3C7A19F5"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20" w:type="dxa"/>
          </w:tcPr>
          <w:p w14:paraId="33429D14"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1D90D046" w14:textId="10982C1A"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5792D642" w14:textId="5A848991"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525" w:type="dxa"/>
          </w:tcPr>
          <w:p w14:paraId="37329119"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29F52DDF"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0" w:type="dxa"/>
          </w:tcPr>
          <w:p w14:paraId="5CD0E844"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15" w:type="dxa"/>
          </w:tcPr>
          <w:p w14:paraId="556B681F" w14:textId="5E6AAE8C"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r>
      <w:tr w:rsidR="00EF1B6A" w:rsidRPr="0077583B" w14:paraId="078BD838" w14:textId="77777777" w:rsidTr="00EF1B6A">
        <w:trPr>
          <w:trHeight w:val="220"/>
        </w:trPr>
        <w:tc>
          <w:tcPr>
            <w:tcW w:w="1980" w:type="dxa"/>
          </w:tcPr>
          <w:p w14:paraId="7EF51B85" w14:textId="751D4A68" w:rsidR="00EF1B6A" w:rsidRPr="0077583B" w:rsidRDefault="00EF1B6A" w:rsidP="00064228">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tcPr>
          <w:p w14:paraId="1C2DAAB7" w14:textId="711F23FC"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20" w:type="dxa"/>
          </w:tcPr>
          <w:p w14:paraId="1EFAE974"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1ADAB8BF" w14:textId="191EDBAA"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745961A9" w14:textId="5930FFE6" w:rsidR="00EF1B6A" w:rsidRPr="0077583B" w:rsidRDefault="00EF1B6A" w:rsidP="00064228">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-0.015</w:t>
            </w:r>
            <w:r>
              <w:rPr>
                <w:rFonts w:ascii="Times New Roman" w:hAnsi="Times New Roman" w:cs="Times New Roman"/>
                <w:sz w:val="20"/>
                <w:szCs w:val="20"/>
              </w:rPr>
              <w:t xml:space="preserve"> (</w:t>
            </w:r>
            <w:r w:rsidRPr="0077583B">
              <w:rPr>
                <w:rFonts w:ascii="Times New Roman" w:hAnsi="Times New Roman" w:cs="Times New Roman"/>
                <w:sz w:val="20"/>
                <w:szCs w:val="20"/>
              </w:rPr>
              <w:t>-0.125</w:t>
            </w:r>
            <w:r>
              <w:rPr>
                <w:rFonts w:ascii="Times New Roman" w:hAnsi="Times New Roman" w:cs="Times New Roman"/>
                <w:sz w:val="20"/>
                <w:szCs w:val="20"/>
              </w:rPr>
              <w:t xml:space="preserve">, </w:t>
            </w:r>
            <w:r w:rsidRPr="0077583B">
              <w:rPr>
                <w:rFonts w:ascii="Times New Roman" w:hAnsi="Times New Roman" w:cs="Times New Roman"/>
                <w:sz w:val="20"/>
                <w:szCs w:val="20"/>
              </w:rPr>
              <w:t>0.095)</w:t>
            </w:r>
          </w:p>
        </w:tc>
        <w:tc>
          <w:tcPr>
            <w:tcW w:w="1525" w:type="dxa"/>
          </w:tcPr>
          <w:p w14:paraId="24047B9E"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5B07338A"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0" w:type="dxa"/>
          </w:tcPr>
          <w:p w14:paraId="482547B4"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15" w:type="dxa"/>
          </w:tcPr>
          <w:p w14:paraId="593CAB7E" w14:textId="001073BB"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r>
      <w:tr w:rsidR="00EF1B6A" w:rsidRPr="0077583B" w14:paraId="3459F042" w14:textId="77777777" w:rsidTr="00EF1B6A">
        <w:trPr>
          <w:trHeight w:val="220"/>
        </w:trPr>
        <w:tc>
          <w:tcPr>
            <w:tcW w:w="1980" w:type="dxa"/>
          </w:tcPr>
          <w:p w14:paraId="1AF28ED9" w14:textId="77777777" w:rsidR="00EF1B6A" w:rsidRPr="0077583B" w:rsidRDefault="00EF1B6A" w:rsidP="00064228">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Uncertainty around cost estimation</w:t>
            </w:r>
          </w:p>
        </w:tc>
        <w:tc>
          <w:tcPr>
            <w:tcW w:w="1440" w:type="dxa"/>
          </w:tcPr>
          <w:p w14:paraId="665EDEA4"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20" w:type="dxa"/>
          </w:tcPr>
          <w:p w14:paraId="6090222D"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147C0812"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754E4758" w14:textId="03F5A039"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525" w:type="dxa"/>
          </w:tcPr>
          <w:p w14:paraId="5713ECA2"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3269F1D2"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0" w:type="dxa"/>
          </w:tcPr>
          <w:p w14:paraId="29812604"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15" w:type="dxa"/>
          </w:tcPr>
          <w:p w14:paraId="5A9C2C3C" w14:textId="3CBCAAAA"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r>
      <w:tr w:rsidR="00EF1B6A" w:rsidRPr="0077583B" w14:paraId="28D05DA1" w14:textId="77777777" w:rsidTr="00EF1B6A">
        <w:trPr>
          <w:trHeight w:val="220"/>
        </w:trPr>
        <w:tc>
          <w:tcPr>
            <w:tcW w:w="1980" w:type="dxa"/>
          </w:tcPr>
          <w:p w14:paraId="7962F47B" w14:textId="24846437" w:rsidR="00EF1B6A" w:rsidRPr="0077583B" w:rsidRDefault="00EF1B6A" w:rsidP="00064228">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tcPr>
          <w:p w14:paraId="644A1116" w14:textId="52B46013"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20" w:type="dxa"/>
          </w:tcPr>
          <w:p w14:paraId="087E6352"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73B4EA99" w14:textId="77777777" w:rsidR="00EF1B6A" w:rsidRPr="0077583B" w:rsidRDefault="00EF1B6A" w:rsidP="00064228">
            <w:pPr>
              <w:adjustRightInd w:val="0"/>
              <w:snapToGrid w:val="0"/>
              <w:rPr>
                <w:rFonts w:ascii="Times New Roman" w:hAnsi="Times New Roman" w:cs="Times New Roman"/>
                <w:sz w:val="20"/>
                <w:szCs w:val="20"/>
              </w:rPr>
            </w:pPr>
          </w:p>
        </w:tc>
        <w:tc>
          <w:tcPr>
            <w:tcW w:w="1440" w:type="dxa"/>
          </w:tcPr>
          <w:p w14:paraId="78B6AD54" w14:textId="77777777" w:rsidR="00EF1B6A" w:rsidRDefault="00EF1B6A" w:rsidP="00064228">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0.043</w:t>
            </w:r>
            <w:r>
              <w:rPr>
                <w:rFonts w:ascii="Times New Roman" w:hAnsi="Times New Roman" w:cs="Times New Roman"/>
                <w:sz w:val="20"/>
                <w:szCs w:val="20"/>
              </w:rPr>
              <w:t xml:space="preserve"> </w:t>
            </w:r>
          </w:p>
          <w:p w14:paraId="487F2E72" w14:textId="79189550" w:rsidR="00EF1B6A" w:rsidRPr="0077583B" w:rsidRDefault="00EF1B6A" w:rsidP="00064228">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-0.071</w:t>
            </w:r>
            <w:r>
              <w:rPr>
                <w:rFonts w:ascii="Times New Roman" w:hAnsi="Times New Roman" w:cs="Times New Roman"/>
                <w:sz w:val="20"/>
                <w:szCs w:val="20"/>
              </w:rPr>
              <w:t xml:space="preserve">, </w:t>
            </w:r>
            <w:r w:rsidRPr="0077583B">
              <w:rPr>
                <w:rFonts w:ascii="Times New Roman" w:hAnsi="Times New Roman" w:cs="Times New Roman"/>
                <w:sz w:val="20"/>
                <w:szCs w:val="20"/>
              </w:rPr>
              <w:t>0.156)</w:t>
            </w:r>
          </w:p>
        </w:tc>
        <w:tc>
          <w:tcPr>
            <w:tcW w:w="1525" w:type="dxa"/>
          </w:tcPr>
          <w:p w14:paraId="522596B7"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0713D961"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440" w:type="dxa"/>
          </w:tcPr>
          <w:p w14:paraId="1AC27689" w14:textId="77777777" w:rsidR="00EF1B6A" w:rsidRPr="0077583B" w:rsidRDefault="00EF1B6A" w:rsidP="00064228">
            <w:pPr>
              <w:autoSpaceDE w:val="0"/>
              <w:autoSpaceDN w:val="0"/>
              <w:adjustRightInd w:val="0"/>
              <w:snapToGrid w:val="0"/>
              <w:jc w:val="left"/>
              <w:rPr>
                <w:rFonts w:ascii="Times New Roman" w:hAnsi="Times New Roman" w:cs="Times New Roman"/>
                <w:sz w:val="20"/>
                <w:szCs w:val="20"/>
              </w:rPr>
            </w:pPr>
          </w:p>
        </w:tc>
        <w:tc>
          <w:tcPr>
            <w:tcW w:w="1615" w:type="dxa"/>
          </w:tcPr>
          <w:p w14:paraId="38D78EEB" w14:textId="77777777" w:rsidR="00EF1B6A" w:rsidRDefault="00EF1B6A" w:rsidP="00064228">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-0.007</w:t>
            </w:r>
            <w:r>
              <w:rPr>
                <w:rFonts w:ascii="Times New Roman" w:hAnsi="Times New Roman" w:cs="Times New Roman"/>
                <w:sz w:val="20"/>
                <w:szCs w:val="20"/>
              </w:rPr>
              <w:t xml:space="preserve"> </w:t>
            </w:r>
          </w:p>
          <w:p w14:paraId="0540FA56" w14:textId="0D51D087" w:rsidR="00EF1B6A" w:rsidRPr="0077583B" w:rsidRDefault="00EF1B6A" w:rsidP="00064228">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-0.121</w:t>
            </w:r>
            <w:r>
              <w:rPr>
                <w:rFonts w:ascii="Times New Roman" w:hAnsi="Times New Roman" w:cs="Times New Roman"/>
                <w:sz w:val="20"/>
                <w:szCs w:val="20"/>
              </w:rPr>
              <w:t xml:space="preserve">, </w:t>
            </w:r>
            <w:r w:rsidRPr="0077583B">
              <w:rPr>
                <w:rFonts w:ascii="Times New Roman" w:hAnsi="Times New Roman" w:cs="Times New Roman"/>
                <w:sz w:val="20"/>
                <w:szCs w:val="20"/>
              </w:rPr>
              <w:t>0.107)</w:t>
            </w:r>
          </w:p>
        </w:tc>
      </w:tr>
      <w:tr w:rsidR="00EF1B6A" w:rsidRPr="0077583B" w14:paraId="41C0DB25" w14:textId="77777777" w:rsidTr="00EF1B6A">
        <w:trPr>
          <w:trHeight w:val="220"/>
        </w:trPr>
        <w:tc>
          <w:tcPr>
            <w:tcW w:w="1980" w:type="dxa"/>
          </w:tcPr>
          <w:p w14:paraId="5CA4BFA8" w14:textId="77777777" w:rsidR="00EF1B6A" w:rsidRPr="0077583B" w:rsidRDefault="00EF1B6A" w:rsidP="00E87B01">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New generalisability uncertainty)</w:t>
            </w:r>
          </w:p>
        </w:tc>
        <w:tc>
          <w:tcPr>
            <w:tcW w:w="1440" w:type="dxa"/>
          </w:tcPr>
          <w:p w14:paraId="37596586" w14:textId="77777777"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c>
          <w:tcPr>
            <w:tcW w:w="1620" w:type="dxa"/>
          </w:tcPr>
          <w:p w14:paraId="7B98A92E" w14:textId="77777777" w:rsidR="00EF1B6A" w:rsidRPr="0077583B" w:rsidRDefault="00EF1B6A" w:rsidP="00E87B01">
            <w:pPr>
              <w:adjustRightInd w:val="0"/>
              <w:snapToGrid w:val="0"/>
              <w:rPr>
                <w:rFonts w:ascii="Times New Roman" w:hAnsi="Times New Roman" w:cs="Times New Roman"/>
                <w:sz w:val="20"/>
                <w:szCs w:val="20"/>
              </w:rPr>
            </w:pPr>
          </w:p>
        </w:tc>
        <w:tc>
          <w:tcPr>
            <w:tcW w:w="1440" w:type="dxa"/>
          </w:tcPr>
          <w:p w14:paraId="2A9F524F" w14:textId="77777777" w:rsidR="00EF1B6A" w:rsidRPr="0077583B" w:rsidRDefault="00EF1B6A" w:rsidP="00E87B01">
            <w:pPr>
              <w:adjustRightInd w:val="0"/>
              <w:snapToGrid w:val="0"/>
              <w:rPr>
                <w:rFonts w:ascii="Times New Roman" w:hAnsi="Times New Roman" w:cs="Times New Roman"/>
                <w:sz w:val="20"/>
                <w:szCs w:val="20"/>
              </w:rPr>
            </w:pPr>
          </w:p>
        </w:tc>
        <w:tc>
          <w:tcPr>
            <w:tcW w:w="1440" w:type="dxa"/>
          </w:tcPr>
          <w:p w14:paraId="3D255945" w14:textId="4E39F1CA"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c>
          <w:tcPr>
            <w:tcW w:w="1525" w:type="dxa"/>
          </w:tcPr>
          <w:p w14:paraId="5CDE8B39" w14:textId="77777777"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608FFDC5" w14:textId="77777777"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c>
          <w:tcPr>
            <w:tcW w:w="1440" w:type="dxa"/>
          </w:tcPr>
          <w:p w14:paraId="27855788" w14:textId="77777777"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c>
          <w:tcPr>
            <w:tcW w:w="1615" w:type="dxa"/>
          </w:tcPr>
          <w:p w14:paraId="417BB44E" w14:textId="77777777" w:rsidR="00EF1B6A" w:rsidRPr="0077583B" w:rsidRDefault="00EF1B6A" w:rsidP="00E87B01">
            <w:pPr>
              <w:autoSpaceDE w:val="0"/>
              <w:autoSpaceDN w:val="0"/>
              <w:adjustRightInd w:val="0"/>
              <w:snapToGrid w:val="0"/>
              <w:jc w:val="left"/>
              <w:rPr>
                <w:rFonts w:ascii="Times New Roman" w:hAnsi="Times New Roman" w:cs="Times New Roman"/>
                <w:sz w:val="20"/>
                <w:szCs w:val="20"/>
              </w:rPr>
            </w:pPr>
          </w:p>
        </w:tc>
      </w:tr>
      <w:tr w:rsidR="00EF1B6A" w:rsidRPr="0077583B" w14:paraId="3A51CB0B" w14:textId="77777777" w:rsidTr="00EF1B6A">
        <w:trPr>
          <w:trHeight w:val="220"/>
        </w:trPr>
        <w:tc>
          <w:tcPr>
            <w:tcW w:w="1980" w:type="dxa"/>
          </w:tcPr>
          <w:p w14:paraId="1EA3E6DF" w14:textId="5BA00248" w:rsidR="00EF1B6A" w:rsidRPr="0077583B" w:rsidRDefault="00EF1B6A" w:rsidP="003C7288">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 xml:space="preserve">None </w:t>
            </w:r>
            <w:r>
              <w:rPr>
                <w:rFonts w:ascii="Times New Roman" w:eastAsia="SimSun" w:hAnsi="Times New Roman" w:cs="Times New Roman"/>
                <w:kern w:val="0"/>
                <w:sz w:val="20"/>
                <w:szCs w:val="20"/>
              </w:rPr>
              <w:t>(</w:t>
            </w:r>
            <w:r w:rsidRPr="0077583B">
              <w:rPr>
                <w:rFonts w:ascii="Times New Roman" w:eastAsia="SimSun" w:hAnsi="Times New Roman" w:cs="Times New Roman"/>
                <w:kern w:val="0"/>
                <w:sz w:val="20"/>
                <w:szCs w:val="20"/>
              </w:rPr>
              <w:t>Ref. yes)</w:t>
            </w:r>
          </w:p>
        </w:tc>
        <w:tc>
          <w:tcPr>
            <w:tcW w:w="1440" w:type="dxa"/>
          </w:tcPr>
          <w:p w14:paraId="10DCB6FB" w14:textId="6CD69789"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620" w:type="dxa"/>
          </w:tcPr>
          <w:p w14:paraId="7E6476F9"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6F352CB5"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66011E80" w14:textId="2DFE76F2"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525" w:type="dxa"/>
          </w:tcPr>
          <w:p w14:paraId="53FC135A"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56AA4F8F" w14:textId="77777777" w:rsidR="00EF1B6A" w:rsidRPr="0077583B" w:rsidRDefault="00EF1B6A" w:rsidP="0077583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0.099**</w:t>
            </w:r>
          </w:p>
          <w:p w14:paraId="1762402C" w14:textId="63D03627" w:rsidR="00EF1B6A" w:rsidRPr="0077583B" w:rsidRDefault="00EF1B6A" w:rsidP="0077583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0.001</w:t>
            </w:r>
            <w:r>
              <w:rPr>
                <w:rFonts w:ascii="Times New Roman" w:hAnsi="Times New Roman" w:cs="Times New Roman"/>
                <w:sz w:val="20"/>
                <w:szCs w:val="20"/>
              </w:rPr>
              <w:t xml:space="preserve">, </w:t>
            </w:r>
            <w:r w:rsidRPr="0077583B">
              <w:rPr>
                <w:rFonts w:ascii="Times New Roman" w:hAnsi="Times New Roman" w:cs="Times New Roman"/>
                <w:sz w:val="20"/>
                <w:szCs w:val="20"/>
              </w:rPr>
              <w:t>0.198)</w:t>
            </w:r>
          </w:p>
        </w:tc>
        <w:tc>
          <w:tcPr>
            <w:tcW w:w="1440" w:type="dxa"/>
          </w:tcPr>
          <w:p w14:paraId="76A67D02" w14:textId="77777777" w:rsidR="00EF1B6A" w:rsidRPr="0077583B" w:rsidRDefault="00EF1B6A" w:rsidP="003C7288">
            <w:pPr>
              <w:adjustRightInd w:val="0"/>
              <w:snapToGrid w:val="0"/>
              <w:jc w:val="center"/>
              <w:rPr>
                <w:rFonts w:ascii="Times New Roman" w:hAnsi="Times New Roman" w:cs="Times New Roman"/>
                <w:sz w:val="20"/>
                <w:szCs w:val="20"/>
              </w:rPr>
            </w:pPr>
          </w:p>
        </w:tc>
        <w:tc>
          <w:tcPr>
            <w:tcW w:w="1615" w:type="dxa"/>
          </w:tcPr>
          <w:p w14:paraId="6C169B54"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r>
      <w:tr w:rsidR="00EF1B6A" w:rsidRPr="0077583B" w14:paraId="30C66F49" w14:textId="77777777" w:rsidTr="00EF1B6A">
        <w:trPr>
          <w:trHeight w:val="220"/>
        </w:trPr>
        <w:tc>
          <w:tcPr>
            <w:tcW w:w="1980" w:type="dxa"/>
          </w:tcPr>
          <w:p w14:paraId="29B861A3" w14:textId="64670676" w:rsidR="00EF1B6A" w:rsidRPr="0077583B" w:rsidRDefault="00EF1B6A" w:rsidP="00A5325F">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Interaction term of statistical significance of clinical benefit and parameter uncertainty</w:t>
            </w:r>
          </w:p>
        </w:tc>
        <w:tc>
          <w:tcPr>
            <w:tcW w:w="1440" w:type="dxa"/>
          </w:tcPr>
          <w:p w14:paraId="21866EA0" w14:textId="77777777" w:rsidR="00EF1B6A" w:rsidRPr="0077583B" w:rsidRDefault="00EF1B6A" w:rsidP="003C7288">
            <w:pPr>
              <w:autoSpaceDE w:val="0"/>
              <w:autoSpaceDN w:val="0"/>
              <w:adjustRightInd w:val="0"/>
              <w:snapToGrid w:val="0"/>
              <w:jc w:val="left"/>
              <w:rPr>
                <w:rFonts w:ascii="Times New Roman" w:eastAsia="SimSun" w:hAnsi="Times New Roman" w:cs="Times New Roman"/>
                <w:kern w:val="0"/>
                <w:sz w:val="20"/>
                <w:szCs w:val="20"/>
              </w:rPr>
            </w:pPr>
          </w:p>
        </w:tc>
        <w:tc>
          <w:tcPr>
            <w:tcW w:w="1620" w:type="dxa"/>
          </w:tcPr>
          <w:p w14:paraId="3D4EC3BF"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11B84524"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654125E1"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525" w:type="dxa"/>
          </w:tcPr>
          <w:p w14:paraId="0F572499"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1D23BEBA"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440" w:type="dxa"/>
          </w:tcPr>
          <w:p w14:paraId="0636248D" w14:textId="77777777" w:rsidR="00EF1B6A" w:rsidRPr="0077583B" w:rsidRDefault="00EF1B6A" w:rsidP="003C7288">
            <w:pPr>
              <w:adjustRightInd w:val="0"/>
              <w:snapToGrid w:val="0"/>
              <w:jc w:val="center"/>
              <w:rPr>
                <w:rFonts w:ascii="Times New Roman" w:hAnsi="Times New Roman" w:cs="Times New Roman"/>
                <w:sz w:val="20"/>
                <w:szCs w:val="20"/>
              </w:rPr>
            </w:pPr>
          </w:p>
        </w:tc>
        <w:tc>
          <w:tcPr>
            <w:tcW w:w="1615" w:type="dxa"/>
          </w:tcPr>
          <w:p w14:paraId="6624E733"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r>
      <w:tr w:rsidR="00EF1B6A" w:rsidRPr="0077583B" w14:paraId="729F504C" w14:textId="77777777" w:rsidTr="00EF1B6A">
        <w:trPr>
          <w:trHeight w:val="220"/>
        </w:trPr>
        <w:tc>
          <w:tcPr>
            <w:tcW w:w="1980" w:type="dxa"/>
          </w:tcPr>
          <w:p w14:paraId="16608889" w14:textId="64EE6E65" w:rsidR="00EF1B6A" w:rsidRPr="0077583B" w:rsidRDefault="00EF1B6A" w:rsidP="003C7288">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clinical benefit was statistically significant and having no parameter uncertainty)</w:t>
            </w:r>
          </w:p>
        </w:tc>
        <w:tc>
          <w:tcPr>
            <w:tcW w:w="1440" w:type="dxa"/>
          </w:tcPr>
          <w:p w14:paraId="1062A1C0" w14:textId="77777777" w:rsidR="00EF1B6A" w:rsidRPr="0077583B" w:rsidRDefault="00EF1B6A" w:rsidP="003C7288">
            <w:pPr>
              <w:autoSpaceDE w:val="0"/>
              <w:autoSpaceDN w:val="0"/>
              <w:adjustRightInd w:val="0"/>
              <w:snapToGrid w:val="0"/>
              <w:jc w:val="left"/>
              <w:rPr>
                <w:rFonts w:ascii="Times New Roman" w:eastAsia="SimSun" w:hAnsi="Times New Roman" w:cs="Times New Roman"/>
                <w:kern w:val="0"/>
                <w:sz w:val="20"/>
                <w:szCs w:val="20"/>
              </w:rPr>
            </w:pPr>
          </w:p>
        </w:tc>
        <w:tc>
          <w:tcPr>
            <w:tcW w:w="1620" w:type="dxa"/>
          </w:tcPr>
          <w:p w14:paraId="32E3FC25"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6F4CF686" w14:textId="77777777" w:rsidR="00EF1B6A" w:rsidRPr="0077583B" w:rsidRDefault="00EF1B6A" w:rsidP="003C7288">
            <w:pPr>
              <w:adjustRightInd w:val="0"/>
              <w:snapToGrid w:val="0"/>
              <w:rPr>
                <w:rFonts w:ascii="Times New Roman" w:hAnsi="Times New Roman" w:cs="Times New Roman"/>
                <w:sz w:val="20"/>
                <w:szCs w:val="20"/>
              </w:rPr>
            </w:pPr>
          </w:p>
        </w:tc>
        <w:tc>
          <w:tcPr>
            <w:tcW w:w="1440" w:type="dxa"/>
          </w:tcPr>
          <w:p w14:paraId="769A5FC6"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525" w:type="dxa"/>
          </w:tcPr>
          <w:p w14:paraId="1B591AC1"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445" w:type="dxa"/>
            <w:shd w:val="clear" w:color="auto" w:fill="auto"/>
          </w:tcPr>
          <w:p w14:paraId="44642046"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c>
          <w:tcPr>
            <w:tcW w:w="1440" w:type="dxa"/>
          </w:tcPr>
          <w:p w14:paraId="55E90B7E" w14:textId="77777777" w:rsidR="00EF1B6A" w:rsidRDefault="00EF1B6A" w:rsidP="0077583B">
            <w:pPr>
              <w:adjustRightInd w:val="0"/>
              <w:snapToGrid w:val="0"/>
              <w:jc w:val="center"/>
              <w:rPr>
                <w:rFonts w:ascii="Times New Roman" w:hAnsi="Times New Roman" w:cs="Times New Roman"/>
                <w:sz w:val="20"/>
                <w:szCs w:val="20"/>
              </w:rPr>
            </w:pPr>
            <w:r w:rsidRPr="0077583B">
              <w:rPr>
                <w:rFonts w:ascii="Times New Roman" w:hAnsi="Times New Roman" w:cs="Times New Roman"/>
                <w:sz w:val="20"/>
                <w:szCs w:val="20"/>
              </w:rPr>
              <w:t>0.050</w:t>
            </w:r>
          </w:p>
          <w:p w14:paraId="69F4EA00" w14:textId="1A0072DB" w:rsidR="00EF1B6A" w:rsidRPr="0077583B" w:rsidRDefault="00EF1B6A" w:rsidP="0077583B">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-0.138</w:t>
            </w:r>
            <w:r>
              <w:rPr>
                <w:rFonts w:ascii="Times New Roman" w:hAnsi="Times New Roman" w:cs="Times New Roman"/>
                <w:sz w:val="20"/>
                <w:szCs w:val="20"/>
              </w:rPr>
              <w:t xml:space="preserve">, </w:t>
            </w:r>
            <w:r w:rsidRPr="0077583B">
              <w:rPr>
                <w:rFonts w:ascii="Times New Roman" w:hAnsi="Times New Roman" w:cs="Times New Roman"/>
                <w:sz w:val="20"/>
                <w:szCs w:val="20"/>
              </w:rPr>
              <w:t>0.238)</w:t>
            </w:r>
          </w:p>
        </w:tc>
        <w:tc>
          <w:tcPr>
            <w:tcW w:w="1615" w:type="dxa"/>
          </w:tcPr>
          <w:p w14:paraId="73C1F34A" w14:textId="77777777" w:rsidR="00EF1B6A" w:rsidRPr="0077583B" w:rsidRDefault="00EF1B6A" w:rsidP="003C7288">
            <w:pPr>
              <w:autoSpaceDE w:val="0"/>
              <w:autoSpaceDN w:val="0"/>
              <w:adjustRightInd w:val="0"/>
              <w:snapToGrid w:val="0"/>
              <w:jc w:val="left"/>
              <w:rPr>
                <w:rFonts w:ascii="Times New Roman" w:hAnsi="Times New Roman" w:cs="Times New Roman"/>
                <w:sz w:val="20"/>
                <w:szCs w:val="20"/>
              </w:rPr>
            </w:pPr>
          </w:p>
        </w:tc>
      </w:tr>
      <w:tr w:rsidR="00EF1B6A" w:rsidRPr="0077583B" w14:paraId="308B578A" w14:textId="77777777" w:rsidTr="00EF1B6A">
        <w:trPr>
          <w:trHeight w:val="220"/>
        </w:trPr>
        <w:tc>
          <w:tcPr>
            <w:tcW w:w="1980" w:type="dxa"/>
          </w:tcPr>
          <w:p w14:paraId="6EE743A1" w14:textId="77777777" w:rsidR="00EF1B6A" w:rsidRPr="0077583B" w:rsidRDefault="00EF1B6A" w:rsidP="00D263D0">
            <w:pPr>
              <w:autoSpaceDE w:val="0"/>
              <w:autoSpaceDN w:val="0"/>
              <w:adjustRightInd w:val="0"/>
              <w:snapToGrid w:val="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New measurement of utility</w:t>
            </w:r>
          </w:p>
        </w:tc>
        <w:tc>
          <w:tcPr>
            <w:tcW w:w="1440" w:type="dxa"/>
          </w:tcPr>
          <w:p w14:paraId="391A6123"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620" w:type="dxa"/>
          </w:tcPr>
          <w:p w14:paraId="440D5A0D" w14:textId="77777777" w:rsidR="00EF1B6A" w:rsidRPr="0077583B" w:rsidRDefault="00EF1B6A" w:rsidP="00D263D0">
            <w:pPr>
              <w:adjustRightInd w:val="0"/>
              <w:snapToGrid w:val="0"/>
              <w:rPr>
                <w:rFonts w:ascii="Times New Roman" w:hAnsi="Times New Roman" w:cs="Times New Roman"/>
                <w:sz w:val="20"/>
                <w:szCs w:val="20"/>
              </w:rPr>
            </w:pPr>
          </w:p>
        </w:tc>
        <w:tc>
          <w:tcPr>
            <w:tcW w:w="1440" w:type="dxa"/>
          </w:tcPr>
          <w:p w14:paraId="4F44727F" w14:textId="77777777" w:rsidR="00EF1B6A" w:rsidRPr="0077583B" w:rsidRDefault="00EF1B6A" w:rsidP="00D263D0">
            <w:pPr>
              <w:adjustRightInd w:val="0"/>
              <w:snapToGrid w:val="0"/>
              <w:rPr>
                <w:rFonts w:ascii="Times New Roman" w:hAnsi="Times New Roman" w:cs="Times New Roman"/>
                <w:sz w:val="20"/>
                <w:szCs w:val="20"/>
              </w:rPr>
            </w:pPr>
          </w:p>
        </w:tc>
        <w:tc>
          <w:tcPr>
            <w:tcW w:w="1440" w:type="dxa"/>
          </w:tcPr>
          <w:p w14:paraId="0FE960CF"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525" w:type="dxa"/>
          </w:tcPr>
          <w:p w14:paraId="0733A38B"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445" w:type="dxa"/>
          </w:tcPr>
          <w:p w14:paraId="6315C3C4" w14:textId="77777777" w:rsidR="00EF1B6A" w:rsidRPr="0077583B" w:rsidRDefault="00EF1B6A" w:rsidP="00D263D0">
            <w:pPr>
              <w:autoSpaceDE w:val="0"/>
              <w:autoSpaceDN w:val="0"/>
              <w:adjustRightInd w:val="0"/>
              <w:snapToGrid w:val="0"/>
              <w:jc w:val="left"/>
              <w:rPr>
                <w:rFonts w:ascii="Times New Roman" w:hAnsi="Times New Roman" w:cs="Times New Roman"/>
                <w:sz w:val="20"/>
                <w:szCs w:val="20"/>
              </w:rPr>
            </w:pPr>
          </w:p>
        </w:tc>
        <w:tc>
          <w:tcPr>
            <w:tcW w:w="1440" w:type="dxa"/>
          </w:tcPr>
          <w:p w14:paraId="1A46CC62" w14:textId="77777777" w:rsidR="00EF1B6A" w:rsidRPr="0077583B" w:rsidRDefault="00EF1B6A" w:rsidP="00D263D0">
            <w:pPr>
              <w:adjustRightInd w:val="0"/>
              <w:snapToGrid w:val="0"/>
              <w:jc w:val="center"/>
              <w:rPr>
                <w:rFonts w:ascii="Times New Roman" w:hAnsi="Times New Roman" w:cs="Times New Roman"/>
                <w:sz w:val="20"/>
                <w:szCs w:val="20"/>
              </w:rPr>
            </w:pPr>
          </w:p>
        </w:tc>
        <w:tc>
          <w:tcPr>
            <w:tcW w:w="1615" w:type="dxa"/>
          </w:tcPr>
          <w:p w14:paraId="2DCEC0E0" w14:textId="77777777" w:rsidR="00EF1B6A" w:rsidRDefault="00EF1B6A" w:rsidP="0077583B">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0.013</w:t>
            </w:r>
            <w:r>
              <w:rPr>
                <w:rFonts w:ascii="Times New Roman" w:hAnsi="Times New Roman" w:cs="Times New Roman"/>
                <w:sz w:val="20"/>
                <w:szCs w:val="20"/>
              </w:rPr>
              <w:t xml:space="preserve"> </w:t>
            </w:r>
          </w:p>
          <w:p w14:paraId="20C13E9A" w14:textId="097716D5" w:rsidR="00EF1B6A" w:rsidRPr="0077583B" w:rsidRDefault="00EF1B6A" w:rsidP="0077583B">
            <w:pPr>
              <w:autoSpaceDE w:val="0"/>
              <w:autoSpaceDN w:val="0"/>
              <w:adjustRightInd w:val="0"/>
              <w:snapToGrid w:val="0"/>
              <w:jc w:val="left"/>
              <w:rPr>
                <w:rFonts w:ascii="Times New Roman" w:hAnsi="Times New Roman" w:cs="Times New Roman"/>
                <w:sz w:val="20"/>
                <w:szCs w:val="20"/>
              </w:rPr>
            </w:pPr>
            <w:r>
              <w:rPr>
                <w:rFonts w:ascii="Times New Roman" w:hAnsi="Times New Roman" w:cs="Times New Roman"/>
                <w:sz w:val="20"/>
                <w:szCs w:val="20"/>
              </w:rPr>
              <w:t>(</w:t>
            </w:r>
            <w:r w:rsidRPr="0077583B">
              <w:rPr>
                <w:rFonts w:ascii="Times New Roman" w:hAnsi="Times New Roman" w:cs="Times New Roman"/>
                <w:sz w:val="20"/>
                <w:szCs w:val="20"/>
              </w:rPr>
              <w:t>-0.116</w:t>
            </w:r>
            <w:r>
              <w:rPr>
                <w:rFonts w:ascii="Times New Roman" w:hAnsi="Times New Roman" w:cs="Times New Roman"/>
                <w:sz w:val="20"/>
                <w:szCs w:val="20"/>
              </w:rPr>
              <w:t xml:space="preserve">, </w:t>
            </w:r>
            <w:r w:rsidRPr="0077583B">
              <w:rPr>
                <w:rFonts w:ascii="Times New Roman" w:hAnsi="Times New Roman" w:cs="Times New Roman"/>
                <w:sz w:val="20"/>
                <w:szCs w:val="20"/>
              </w:rPr>
              <w:t>0.143)</w:t>
            </w:r>
          </w:p>
        </w:tc>
      </w:tr>
      <w:tr w:rsidR="00EF1B6A" w:rsidRPr="0077583B" w14:paraId="7B74E9CA" w14:textId="77777777" w:rsidTr="00EF1B6A">
        <w:trPr>
          <w:trHeight w:val="220"/>
        </w:trPr>
        <w:tc>
          <w:tcPr>
            <w:tcW w:w="1980" w:type="dxa"/>
          </w:tcPr>
          <w:p w14:paraId="6CAA0872" w14:textId="2A0DFDFF" w:rsidR="00EF1B6A" w:rsidRPr="0077583B" w:rsidRDefault="00EF1B6A" w:rsidP="00C75D03">
            <w:pPr>
              <w:autoSpaceDE w:val="0"/>
              <w:autoSpaceDN w:val="0"/>
              <w:adjustRightInd w:val="0"/>
              <w:snapToGrid w:val="0"/>
              <w:ind w:firstLine="210"/>
              <w:rPr>
                <w:rFonts w:ascii="Times New Roman" w:eastAsia="SimSun" w:hAnsi="Times New Roman" w:cs="Times New Roman"/>
                <w:kern w:val="0"/>
                <w:sz w:val="20"/>
                <w:szCs w:val="20"/>
              </w:rPr>
            </w:pPr>
            <w:r w:rsidRPr="0077583B">
              <w:rPr>
                <w:rFonts w:ascii="Times New Roman" w:eastAsia="SimSun" w:hAnsi="Times New Roman" w:cs="Times New Roman"/>
                <w:kern w:val="0"/>
                <w:sz w:val="20"/>
                <w:szCs w:val="20"/>
              </w:rPr>
              <w:t>None</w:t>
            </w:r>
            <w:r>
              <w:rPr>
                <w:rFonts w:ascii="Times New Roman" w:eastAsia="SimSun" w:hAnsi="Times New Roman" w:cs="Times New Roman"/>
                <w:kern w:val="0"/>
                <w:sz w:val="20"/>
                <w:szCs w:val="20"/>
              </w:rPr>
              <w:t xml:space="preserve"> (</w:t>
            </w:r>
            <w:r w:rsidRPr="0077583B">
              <w:rPr>
                <w:rFonts w:ascii="Times New Roman" w:eastAsia="SimSun" w:hAnsi="Times New Roman" w:cs="Times New Roman"/>
                <w:kern w:val="0"/>
                <w:sz w:val="20"/>
                <w:szCs w:val="20"/>
              </w:rPr>
              <w:t>Ref. yes)</w:t>
            </w:r>
          </w:p>
        </w:tc>
        <w:tc>
          <w:tcPr>
            <w:tcW w:w="1440" w:type="dxa"/>
            <w:vAlign w:val="center"/>
          </w:tcPr>
          <w:p w14:paraId="5212E9E9"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p>
        </w:tc>
        <w:tc>
          <w:tcPr>
            <w:tcW w:w="1620" w:type="dxa"/>
          </w:tcPr>
          <w:p w14:paraId="3AA46A15" w14:textId="77777777" w:rsidR="00EF1B6A" w:rsidRPr="0077583B" w:rsidRDefault="00EF1B6A" w:rsidP="00C75D03">
            <w:pPr>
              <w:adjustRightInd w:val="0"/>
              <w:snapToGrid w:val="0"/>
              <w:rPr>
                <w:rFonts w:ascii="Times New Roman" w:hAnsi="Times New Roman" w:cs="Times New Roman"/>
                <w:sz w:val="20"/>
                <w:szCs w:val="20"/>
              </w:rPr>
            </w:pPr>
          </w:p>
        </w:tc>
        <w:tc>
          <w:tcPr>
            <w:tcW w:w="1440" w:type="dxa"/>
          </w:tcPr>
          <w:p w14:paraId="50868AAF" w14:textId="77777777" w:rsidR="00EF1B6A" w:rsidRPr="0077583B" w:rsidRDefault="00EF1B6A" w:rsidP="00C75D03">
            <w:pPr>
              <w:adjustRightInd w:val="0"/>
              <w:snapToGrid w:val="0"/>
              <w:rPr>
                <w:rFonts w:ascii="Times New Roman" w:hAnsi="Times New Roman" w:cs="Times New Roman"/>
                <w:sz w:val="20"/>
                <w:szCs w:val="20"/>
              </w:rPr>
            </w:pPr>
          </w:p>
        </w:tc>
        <w:tc>
          <w:tcPr>
            <w:tcW w:w="1440" w:type="dxa"/>
          </w:tcPr>
          <w:p w14:paraId="54833A5C"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p>
        </w:tc>
        <w:tc>
          <w:tcPr>
            <w:tcW w:w="1525" w:type="dxa"/>
          </w:tcPr>
          <w:p w14:paraId="4962ACA5"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p>
        </w:tc>
        <w:tc>
          <w:tcPr>
            <w:tcW w:w="1445" w:type="dxa"/>
          </w:tcPr>
          <w:p w14:paraId="69860BE2"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p>
        </w:tc>
        <w:tc>
          <w:tcPr>
            <w:tcW w:w="1440" w:type="dxa"/>
          </w:tcPr>
          <w:p w14:paraId="71A81696" w14:textId="77777777" w:rsidR="00EF1B6A" w:rsidRPr="0077583B" w:rsidRDefault="00EF1B6A" w:rsidP="00C75D03">
            <w:pPr>
              <w:adjustRightInd w:val="0"/>
              <w:snapToGrid w:val="0"/>
              <w:jc w:val="center"/>
              <w:rPr>
                <w:rFonts w:ascii="Times New Roman" w:hAnsi="Times New Roman" w:cs="Times New Roman"/>
                <w:sz w:val="20"/>
                <w:szCs w:val="20"/>
              </w:rPr>
            </w:pPr>
          </w:p>
        </w:tc>
        <w:tc>
          <w:tcPr>
            <w:tcW w:w="1615" w:type="dxa"/>
          </w:tcPr>
          <w:p w14:paraId="58777FF6" w14:textId="77777777" w:rsidR="00EF1B6A" w:rsidRPr="0077583B" w:rsidRDefault="00EF1B6A" w:rsidP="00C75D03">
            <w:pPr>
              <w:adjustRightInd w:val="0"/>
              <w:snapToGrid w:val="0"/>
              <w:jc w:val="center"/>
              <w:rPr>
                <w:rFonts w:ascii="Times New Roman" w:hAnsi="Times New Roman" w:cs="Times New Roman"/>
                <w:sz w:val="20"/>
                <w:szCs w:val="20"/>
              </w:rPr>
            </w:pPr>
          </w:p>
        </w:tc>
      </w:tr>
      <w:tr w:rsidR="00EF1B6A" w:rsidRPr="0077583B" w14:paraId="5EA400E0" w14:textId="77777777" w:rsidTr="00EF1B6A">
        <w:trPr>
          <w:trHeight w:val="56"/>
        </w:trPr>
        <w:tc>
          <w:tcPr>
            <w:tcW w:w="1980" w:type="dxa"/>
          </w:tcPr>
          <w:p w14:paraId="4F39DA06"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Samples</w:t>
            </w:r>
          </w:p>
        </w:tc>
        <w:tc>
          <w:tcPr>
            <w:tcW w:w="1440" w:type="dxa"/>
          </w:tcPr>
          <w:p w14:paraId="796E0AE4"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620" w:type="dxa"/>
          </w:tcPr>
          <w:p w14:paraId="0DA4D08E" w14:textId="77777777" w:rsidR="00EF1B6A" w:rsidRPr="0077583B" w:rsidRDefault="00EF1B6A" w:rsidP="00C75D03">
            <w:pPr>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440" w:type="dxa"/>
          </w:tcPr>
          <w:p w14:paraId="06E197A7" w14:textId="77777777" w:rsidR="00EF1B6A" w:rsidRPr="0077583B" w:rsidRDefault="00EF1B6A" w:rsidP="00C75D03">
            <w:pPr>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440" w:type="dxa"/>
          </w:tcPr>
          <w:p w14:paraId="1783A0C3"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525" w:type="dxa"/>
          </w:tcPr>
          <w:p w14:paraId="2FBB0A12"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445" w:type="dxa"/>
          </w:tcPr>
          <w:p w14:paraId="357E14FA"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193</w:t>
            </w:r>
          </w:p>
        </w:tc>
        <w:tc>
          <w:tcPr>
            <w:tcW w:w="1440" w:type="dxa"/>
          </w:tcPr>
          <w:p w14:paraId="76455B19" w14:textId="6BD16782" w:rsidR="00EF1B6A" w:rsidRPr="0077583B" w:rsidRDefault="00EF1B6A" w:rsidP="00C75D0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193</w:t>
            </w:r>
          </w:p>
        </w:tc>
        <w:tc>
          <w:tcPr>
            <w:tcW w:w="1615" w:type="dxa"/>
          </w:tcPr>
          <w:p w14:paraId="5DC4B6C1" w14:textId="77777777" w:rsidR="00EF1B6A" w:rsidRPr="0077583B" w:rsidRDefault="00EF1B6A" w:rsidP="00C75D03">
            <w:pPr>
              <w:autoSpaceDE w:val="0"/>
              <w:autoSpaceDN w:val="0"/>
              <w:adjustRightInd w:val="0"/>
              <w:snapToGrid w:val="0"/>
              <w:jc w:val="left"/>
              <w:rPr>
                <w:rFonts w:ascii="Times New Roman" w:hAnsi="Times New Roman" w:cs="Times New Roman"/>
                <w:sz w:val="20"/>
                <w:szCs w:val="20"/>
              </w:rPr>
            </w:pPr>
            <w:r w:rsidRPr="0077583B">
              <w:rPr>
                <w:rFonts w:ascii="Times New Roman" w:hAnsi="Times New Roman" w:cs="Times New Roman"/>
                <w:sz w:val="20"/>
                <w:szCs w:val="20"/>
              </w:rPr>
              <w:t>187</w:t>
            </w:r>
          </w:p>
        </w:tc>
      </w:tr>
    </w:tbl>
    <w:p w14:paraId="54C26764" w14:textId="0E1E3663" w:rsidR="00006F22" w:rsidRPr="003B75B2" w:rsidRDefault="00006F22" w:rsidP="00006F22">
      <w:pPr>
        <w:autoSpaceDE w:val="0"/>
        <w:autoSpaceDN w:val="0"/>
        <w:adjustRightInd w:val="0"/>
        <w:snapToGrid w:val="0"/>
        <w:jc w:val="left"/>
        <w:rPr>
          <w:rFonts w:ascii="Times New Roman" w:eastAsia="SimSun" w:hAnsi="Times New Roman" w:cs="Times New Roman"/>
          <w:sz w:val="18"/>
          <w:szCs w:val="18"/>
          <w:lang w:val="en-AU"/>
        </w:rPr>
      </w:pPr>
      <w:r w:rsidRPr="00014934">
        <w:rPr>
          <w:rFonts w:ascii="Times New Roman" w:eastAsia="SimSun" w:hAnsi="Times New Roman" w:cs="Times New Roman"/>
          <w:sz w:val="18"/>
          <w:szCs w:val="18"/>
          <w:lang w:val="en-AU"/>
        </w:rPr>
        <w:t>$</w:t>
      </w:r>
      <w:proofErr w:type="gramStart"/>
      <w:r w:rsidRPr="00014934">
        <w:rPr>
          <w:rFonts w:ascii="Times New Roman" w:eastAsia="SimSun" w:hAnsi="Times New Roman" w:cs="Times New Roman"/>
          <w:sz w:val="18"/>
          <w:szCs w:val="18"/>
          <w:lang w:val="en-AU"/>
        </w:rPr>
        <w:t>A</w:t>
      </w:r>
      <w:proofErr w:type="gramEnd"/>
      <w:r>
        <w:rPr>
          <w:rFonts w:ascii="Times New Roman" w:eastAsia="SimSun" w:hAnsi="Times New Roman" w:cs="Times New Roman"/>
          <w:sz w:val="18"/>
          <w:szCs w:val="18"/>
          <w:lang w:val="en-AU"/>
        </w:rPr>
        <w:t xml:space="preserve"> </w:t>
      </w:r>
      <w:r w:rsidRPr="00014934">
        <w:rPr>
          <w:rFonts w:ascii="Times New Roman" w:eastAsia="SimSun" w:hAnsi="Times New Roman" w:cs="Times New Roman"/>
          <w:sz w:val="18"/>
          <w:szCs w:val="18"/>
          <w:lang w:val="en-AU"/>
        </w:rPr>
        <w:t>Australian dollars</w:t>
      </w:r>
      <w:r>
        <w:rPr>
          <w:rFonts w:ascii="Times New Roman" w:eastAsia="SimSun" w:hAnsi="Times New Roman" w:cs="Times New Roman"/>
          <w:sz w:val="18"/>
          <w:szCs w:val="18"/>
          <w:lang w:val="en-AU"/>
        </w:rPr>
        <w:t>,</w:t>
      </w:r>
      <w:r w:rsidRPr="00014934">
        <w:rPr>
          <w:rFonts w:ascii="Times New Roman" w:eastAsia="SimSun" w:hAnsi="Times New Roman" w:cs="Times New Roman"/>
          <w:sz w:val="18"/>
          <w:szCs w:val="18"/>
          <w:lang w:val="en-AU"/>
        </w:rPr>
        <w:t xml:space="preserve"> </w:t>
      </w:r>
      <w:r>
        <w:rPr>
          <w:rFonts w:ascii="Times New Roman" w:eastAsia="SimSun" w:hAnsi="Times New Roman" w:cs="Times New Roman"/>
          <w:sz w:val="18"/>
          <w:szCs w:val="18"/>
          <w:lang w:val="en-AU"/>
        </w:rPr>
        <w:t xml:space="preserve">AME average marginal effect, </w:t>
      </w:r>
      <w:r w:rsidRPr="00014934">
        <w:rPr>
          <w:rFonts w:ascii="Times New Roman" w:eastAsia="SimSun" w:hAnsi="Times New Roman" w:cs="Times New Roman"/>
          <w:sz w:val="18"/>
          <w:szCs w:val="18"/>
          <w:lang w:val="en-AU"/>
        </w:rPr>
        <w:t>95% CI</w:t>
      </w:r>
      <w:r>
        <w:rPr>
          <w:rFonts w:ascii="Times New Roman" w:eastAsia="SimSun" w:hAnsi="Times New Roman" w:cs="Times New Roman"/>
          <w:sz w:val="18"/>
          <w:szCs w:val="18"/>
          <w:lang w:val="en-AU"/>
        </w:rPr>
        <w:t xml:space="preserve"> </w:t>
      </w:r>
      <w:r w:rsidRPr="00014934">
        <w:rPr>
          <w:rFonts w:ascii="Times New Roman" w:eastAsia="SimSun" w:hAnsi="Times New Roman" w:cs="Times New Roman"/>
          <w:sz w:val="18"/>
          <w:szCs w:val="18"/>
          <w:lang w:val="en-AU"/>
        </w:rPr>
        <w:t>95% confidence intervals in brackets</w:t>
      </w:r>
      <w:r>
        <w:rPr>
          <w:rFonts w:ascii="Times New Roman" w:eastAsia="SimSun" w:hAnsi="Times New Roman" w:cs="Times New Roman"/>
          <w:sz w:val="18"/>
          <w:szCs w:val="18"/>
          <w:lang w:val="en-AU"/>
        </w:rPr>
        <w:t>,</w:t>
      </w:r>
      <w:r w:rsidRPr="00014934">
        <w:rPr>
          <w:rFonts w:ascii="Times New Roman" w:eastAsia="SimSun" w:hAnsi="Times New Roman" w:cs="Times New Roman"/>
          <w:sz w:val="18"/>
          <w:szCs w:val="18"/>
          <w:lang w:val="en-AU"/>
        </w:rPr>
        <w:t xml:space="preserve"> QALY</w:t>
      </w:r>
      <w:r>
        <w:rPr>
          <w:rFonts w:ascii="Times New Roman" w:eastAsia="SimSun" w:hAnsi="Times New Roman" w:cs="Times New Roman"/>
          <w:sz w:val="18"/>
          <w:szCs w:val="18"/>
          <w:lang w:val="en-AU"/>
        </w:rPr>
        <w:t xml:space="preserve"> </w:t>
      </w:r>
      <w:r w:rsidRPr="00014934">
        <w:rPr>
          <w:rFonts w:ascii="Times New Roman" w:eastAsia="SimSun" w:hAnsi="Times New Roman" w:cs="Times New Roman"/>
          <w:sz w:val="18"/>
          <w:szCs w:val="18"/>
          <w:lang w:val="en-AU"/>
        </w:rPr>
        <w:t>quality-adjusted life year</w:t>
      </w:r>
      <w:r>
        <w:rPr>
          <w:rFonts w:ascii="Times New Roman" w:eastAsia="SimSun" w:hAnsi="Times New Roman" w:cs="Times New Roman"/>
          <w:sz w:val="18"/>
          <w:szCs w:val="18"/>
          <w:lang w:val="en-AU"/>
        </w:rPr>
        <w:t xml:space="preserve">, </w:t>
      </w:r>
      <w:r w:rsidRPr="00014934">
        <w:rPr>
          <w:rFonts w:ascii="Times New Roman" w:eastAsia="SimSun" w:hAnsi="Times New Roman" w:cs="Times New Roman"/>
          <w:sz w:val="18"/>
          <w:szCs w:val="18"/>
          <w:lang w:val="en-AU"/>
        </w:rPr>
        <w:t>ICER</w:t>
      </w:r>
      <w:r w:rsidRPr="003B75B2">
        <w:rPr>
          <w:rFonts w:ascii="Times New Roman" w:eastAsia="SimSun" w:hAnsi="Times New Roman" w:cs="Times New Roman" w:hint="eastAsia"/>
          <w:sz w:val="18"/>
          <w:szCs w:val="18"/>
          <w:lang w:val="en-AU"/>
        </w:rPr>
        <w:t xml:space="preserve"> </w:t>
      </w:r>
      <w:r w:rsidRPr="00014934">
        <w:rPr>
          <w:rFonts w:ascii="Times New Roman" w:eastAsia="SimSun" w:hAnsi="Times New Roman" w:cs="Times New Roman"/>
          <w:sz w:val="18"/>
          <w:szCs w:val="18"/>
          <w:lang w:val="en-AU"/>
        </w:rPr>
        <w:t>incremental cost-effectiveness ratio</w:t>
      </w:r>
      <w:r w:rsidRPr="003B75B2">
        <w:rPr>
          <w:rFonts w:ascii="Times New Roman" w:eastAsia="SimSun" w:hAnsi="Times New Roman" w:cs="Times New Roman"/>
          <w:sz w:val="18"/>
          <w:szCs w:val="18"/>
          <w:lang w:val="en-AU"/>
        </w:rPr>
        <w:t>, Ref. reference level.</w:t>
      </w:r>
      <w:r>
        <w:rPr>
          <w:rFonts w:ascii="Times New Roman" w:eastAsia="SimSun" w:hAnsi="Times New Roman" w:cs="Times New Roman" w:hint="eastAsia"/>
          <w:sz w:val="18"/>
          <w:szCs w:val="18"/>
          <w:lang w:val="en-AU"/>
        </w:rPr>
        <w:t xml:space="preserve"> </w:t>
      </w:r>
      <w:r w:rsidRPr="003B75B2">
        <w:rPr>
          <w:rFonts w:ascii="Times New Roman" w:eastAsia="SimSun" w:hAnsi="Times New Roman" w:cs="Times New Roman"/>
          <w:sz w:val="18"/>
          <w:szCs w:val="18"/>
          <w:lang w:val="en-AU"/>
        </w:rPr>
        <w:t>T</w:t>
      </w:r>
      <w:r w:rsidRPr="003B75B2">
        <w:rPr>
          <w:rFonts w:ascii="Times New Roman" w:eastAsia="SimSun" w:hAnsi="Times New Roman" w:cs="Times New Roman" w:hint="eastAsia"/>
          <w:sz w:val="18"/>
          <w:szCs w:val="18"/>
          <w:lang w:val="en-AU"/>
        </w:rPr>
        <w:t>he</w:t>
      </w:r>
      <w:r w:rsidRPr="003B75B2">
        <w:rPr>
          <w:rFonts w:ascii="Times New Roman" w:eastAsia="SimSun" w:hAnsi="Times New Roman" w:cs="Times New Roman"/>
          <w:sz w:val="18"/>
          <w:szCs w:val="18"/>
          <w:lang w:val="en-AU"/>
        </w:rPr>
        <w:t xml:space="preserve"> coefficient </w:t>
      </w:r>
      <w:r w:rsidRPr="003B75B2">
        <w:rPr>
          <w:rFonts w:ascii="Times New Roman" w:eastAsia="SimSun" w:hAnsi="Times New Roman" w:cs="Times New Roman" w:hint="eastAsia"/>
          <w:sz w:val="18"/>
          <w:szCs w:val="18"/>
          <w:lang w:val="en-AU"/>
        </w:rPr>
        <w:t>present</w:t>
      </w:r>
      <w:r w:rsidRPr="003B75B2">
        <w:rPr>
          <w:rFonts w:ascii="Times New Roman" w:eastAsia="SimSun" w:hAnsi="Times New Roman" w:cs="Times New Roman"/>
          <w:sz w:val="18"/>
          <w:szCs w:val="18"/>
          <w:lang w:val="en-AU"/>
        </w:rPr>
        <w:t xml:space="preserve">ed in the </w:t>
      </w:r>
      <w:r w:rsidRPr="003B75B2">
        <w:rPr>
          <w:rFonts w:ascii="Times New Roman" w:eastAsia="SimSun" w:hAnsi="Times New Roman" w:cs="Times New Roman" w:hint="eastAsia"/>
          <w:sz w:val="18"/>
          <w:szCs w:val="18"/>
          <w:lang w:val="en-AU"/>
        </w:rPr>
        <w:t>table</w:t>
      </w:r>
      <w:r w:rsidRPr="003B75B2">
        <w:rPr>
          <w:rFonts w:ascii="Times New Roman" w:eastAsia="SimSun" w:hAnsi="Times New Roman" w:cs="Times New Roman"/>
          <w:sz w:val="18"/>
          <w:szCs w:val="18"/>
          <w:lang w:val="en-AU"/>
        </w:rPr>
        <w:t xml:space="preserve"> is the average marginal effect. </w:t>
      </w:r>
      <w:r w:rsidR="001C0901">
        <w:rPr>
          <w:rFonts w:ascii="Times New Roman" w:eastAsia="SimSun" w:hAnsi="Times New Roman" w:cs="Times New Roman"/>
          <w:sz w:val="18"/>
          <w:szCs w:val="18"/>
          <w:lang w:val="en-AU"/>
        </w:rPr>
        <w:t>***</w:t>
      </w:r>
      <w:r w:rsidRPr="003B75B2">
        <w:rPr>
          <w:rFonts w:ascii="Times New Roman" w:eastAsia="SimSun" w:hAnsi="Times New Roman" w:cs="Times New Roman"/>
          <w:sz w:val="18"/>
          <w:szCs w:val="18"/>
          <w:lang w:val="en-AU"/>
        </w:rPr>
        <w:t xml:space="preserve"> p&lt;0.01, ** p&lt;0.05</w:t>
      </w:r>
      <w:r w:rsidRPr="003B75B2">
        <w:rPr>
          <w:rFonts w:ascii="Times New Roman" w:eastAsia="SimSun" w:hAnsi="Times New Roman" w:cs="Times New Roman" w:hint="eastAsia"/>
          <w:sz w:val="18"/>
          <w:szCs w:val="18"/>
          <w:lang w:val="en-AU"/>
        </w:rPr>
        <w:t>,</w:t>
      </w:r>
      <w:r w:rsidRPr="003B75B2">
        <w:rPr>
          <w:rFonts w:ascii="Times New Roman" w:eastAsia="SimSun" w:hAnsi="Times New Roman" w:cs="Times New Roman"/>
          <w:sz w:val="18"/>
          <w:szCs w:val="18"/>
          <w:lang w:val="en-AU"/>
        </w:rPr>
        <w:t xml:space="preserve"> * p&lt;0.1.</w:t>
      </w:r>
    </w:p>
    <w:p w14:paraId="44B631B8" w14:textId="77777777" w:rsidR="00FD6401" w:rsidRPr="00AD61C8" w:rsidRDefault="00FD6401" w:rsidP="00123299">
      <w:pPr>
        <w:rPr>
          <w:b/>
          <w:bCs/>
        </w:rPr>
        <w:sectPr w:rsidR="00FD6401" w:rsidRPr="00AD61C8" w:rsidSect="00E82899">
          <w:type w:val="continuous"/>
          <w:pgSz w:w="16838" w:h="11906" w:orient="landscape"/>
          <w:pgMar w:top="1800" w:right="1440" w:bottom="1800" w:left="1440" w:header="850" w:footer="994" w:gutter="0"/>
          <w:cols w:space="425"/>
          <w:docGrid w:type="linesAndChars" w:linePitch="312"/>
        </w:sectPr>
      </w:pPr>
    </w:p>
    <w:p w14:paraId="558CB1E9" w14:textId="46EDEB27" w:rsidR="008820CE" w:rsidRPr="008820CE" w:rsidRDefault="00B26ECE" w:rsidP="006C41A0">
      <w:pPr>
        <w:pStyle w:val="Heading1"/>
        <w:widowControl/>
        <w:adjustRightInd w:val="0"/>
        <w:snapToGrid w:val="0"/>
        <w:spacing w:before="0" w:after="0" w:line="360" w:lineRule="auto"/>
        <w:jc w:val="left"/>
        <w:rPr>
          <w:rFonts w:ascii="Times New Roman" w:eastAsiaTheme="majorEastAsia" w:hAnsi="Times New Roman" w:cs="Times New Roman"/>
          <w:kern w:val="0"/>
          <w:sz w:val="20"/>
          <w:szCs w:val="20"/>
          <w:lang w:val="en-AU" w:eastAsia="en-US"/>
        </w:rPr>
      </w:pPr>
      <w:r w:rsidRPr="00B26ECE">
        <w:rPr>
          <w:rFonts w:ascii="Times New Roman" w:eastAsiaTheme="majorEastAsia" w:hAnsi="Times New Roman" w:cs="Times New Roman"/>
          <w:kern w:val="0"/>
          <w:sz w:val="20"/>
          <w:szCs w:val="20"/>
          <w:lang w:val="en-AU" w:eastAsia="en-US"/>
        </w:rPr>
        <w:lastRenderedPageBreak/>
        <w:t xml:space="preserve">Appendix </w:t>
      </w:r>
      <w:r>
        <w:rPr>
          <w:rFonts w:ascii="Times New Roman" w:eastAsiaTheme="majorEastAsia" w:hAnsi="Times New Roman" w:cs="Times New Roman"/>
          <w:kern w:val="0"/>
          <w:sz w:val="20"/>
          <w:szCs w:val="20"/>
          <w:lang w:val="en-AU" w:eastAsia="en-US"/>
        </w:rPr>
        <w:t>8</w:t>
      </w:r>
      <w:r w:rsidRPr="00B26ECE">
        <w:rPr>
          <w:rFonts w:ascii="Times New Roman" w:eastAsiaTheme="majorEastAsia" w:hAnsi="Times New Roman" w:cs="Times New Roman"/>
          <w:kern w:val="0"/>
          <w:sz w:val="20"/>
          <w:szCs w:val="20"/>
          <w:lang w:val="en-AU" w:eastAsia="en-US"/>
        </w:rPr>
        <w:t xml:space="preserve">. </w:t>
      </w:r>
      <w:r w:rsidR="00596B85">
        <w:rPr>
          <w:rFonts w:ascii="Times New Roman" w:eastAsiaTheme="majorEastAsia" w:hAnsi="Times New Roman" w:cs="Times New Roman"/>
          <w:kern w:val="0"/>
          <w:sz w:val="20"/>
          <w:szCs w:val="20"/>
          <w:lang w:val="en-AU" w:eastAsia="en-US"/>
        </w:rPr>
        <w:t>The</w:t>
      </w:r>
      <w:r w:rsidR="008820CE" w:rsidRPr="008820CE">
        <w:rPr>
          <w:rFonts w:ascii="Times New Roman" w:eastAsiaTheme="majorEastAsia" w:hAnsi="Times New Roman" w:cs="Times New Roman"/>
          <w:kern w:val="0"/>
          <w:sz w:val="20"/>
          <w:szCs w:val="20"/>
          <w:lang w:val="en-AU" w:eastAsia="en-US"/>
        </w:rPr>
        <w:t xml:space="preserve"> </w:t>
      </w:r>
      <w:r w:rsidR="008820CE">
        <w:rPr>
          <w:rFonts w:ascii="Times New Roman" w:eastAsiaTheme="majorEastAsia" w:hAnsi="Times New Roman" w:cs="Times New Roman"/>
          <w:kern w:val="0"/>
          <w:sz w:val="20"/>
          <w:szCs w:val="20"/>
          <w:lang w:val="en-AU" w:eastAsia="en-US"/>
        </w:rPr>
        <w:t>CART</w:t>
      </w:r>
      <w:r w:rsidR="00596B85">
        <w:rPr>
          <w:rFonts w:ascii="Times New Roman" w:eastAsiaTheme="majorEastAsia" w:hAnsi="Times New Roman" w:cs="Times New Roman"/>
          <w:kern w:val="0"/>
          <w:sz w:val="20"/>
          <w:szCs w:val="20"/>
          <w:lang w:val="en-AU" w:eastAsia="en-US"/>
        </w:rPr>
        <w:t xml:space="preserve"> analysis</w:t>
      </w:r>
    </w:p>
    <w:p w14:paraId="643395DE" w14:textId="3ED45B71" w:rsidR="00C56997" w:rsidRDefault="00844837" w:rsidP="00C56997">
      <w:pPr>
        <w:adjustRightInd w:val="0"/>
        <w:snapToGrid w:val="0"/>
        <w:spacing w:before="160"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T</w:t>
      </w:r>
      <w:r>
        <w:rPr>
          <w:rFonts w:ascii="Times New Roman" w:hAnsi="Times New Roman" w:cs="Times New Roman" w:hint="eastAsia"/>
          <w:color w:val="000000"/>
          <w:sz w:val="20"/>
          <w:szCs w:val="20"/>
        </w:rPr>
        <w:t xml:space="preserve">he following steps were performed to </w:t>
      </w:r>
      <w:r>
        <w:rPr>
          <w:rFonts w:ascii="Times New Roman" w:hAnsi="Times New Roman" w:cs="Times New Roman"/>
          <w:color w:val="000000"/>
          <w:sz w:val="20"/>
          <w:szCs w:val="20"/>
        </w:rPr>
        <w:t>construct</w:t>
      </w:r>
      <w:r>
        <w:rPr>
          <w:rFonts w:ascii="Times New Roman" w:hAnsi="Times New Roman" w:cs="Times New Roman" w:hint="eastAsia"/>
          <w:color w:val="000000"/>
          <w:sz w:val="20"/>
          <w:szCs w:val="20"/>
        </w:rPr>
        <w:t xml:space="preserve"> a CART tree. First, s</w:t>
      </w:r>
      <w:r w:rsidRPr="00E33BB0">
        <w:rPr>
          <w:rFonts w:ascii="Times New Roman" w:hAnsi="Times New Roman" w:cs="Times New Roman"/>
          <w:color w:val="000000"/>
          <w:sz w:val="20"/>
          <w:szCs w:val="20"/>
        </w:rPr>
        <w:t xml:space="preserve">imple random sampling without replacement was used to split the </w:t>
      </w:r>
      <w:r w:rsidRPr="00E33BB0">
        <w:rPr>
          <w:rFonts w:ascii="Times New Roman" w:hAnsi="Times New Roman" w:cs="Times New Roman" w:hint="eastAsia"/>
          <w:color w:val="000000"/>
          <w:sz w:val="20"/>
          <w:szCs w:val="20"/>
        </w:rPr>
        <w:t xml:space="preserve">included medicine-indication pairs </w:t>
      </w:r>
      <w:r w:rsidRPr="00E33BB0">
        <w:rPr>
          <w:rFonts w:ascii="Times New Roman" w:hAnsi="Times New Roman" w:cs="Times New Roman"/>
          <w:color w:val="000000"/>
          <w:sz w:val="20"/>
          <w:szCs w:val="20"/>
        </w:rPr>
        <w:t>into equal</w:t>
      </w:r>
      <w:r>
        <w:rPr>
          <w:rFonts w:ascii="Times New Roman" w:hAnsi="Times New Roman" w:cs="Times New Roman"/>
          <w:color w:val="000000"/>
          <w:sz w:val="20"/>
          <w:szCs w:val="20"/>
        </w:rPr>
        <w:t>-</w:t>
      </w:r>
      <w:r w:rsidRPr="00E33BB0">
        <w:rPr>
          <w:rFonts w:ascii="Times New Roman" w:hAnsi="Times New Roman" w:cs="Times New Roman"/>
          <w:color w:val="000000"/>
          <w:sz w:val="20"/>
          <w:szCs w:val="20"/>
        </w:rPr>
        <w:t xml:space="preserve">sized </w:t>
      </w:r>
      <w:r w:rsidR="0077583B">
        <w:rPr>
          <w:rFonts w:ascii="Times New Roman" w:hAnsi="Times New Roman" w:cs="Times New Roman"/>
          <w:color w:val="000000"/>
          <w:sz w:val="20"/>
          <w:szCs w:val="20"/>
        </w:rPr>
        <w:t>(</w:t>
      </w:r>
      <w:r w:rsidRPr="00E33BB0">
        <w:rPr>
          <w:rFonts w:ascii="Times New Roman" w:hAnsi="Times New Roman" w:cs="Times New Roman" w:hint="eastAsia"/>
          <w:color w:val="000000"/>
          <w:sz w:val="20"/>
          <w:szCs w:val="20"/>
        </w:rPr>
        <w:t>i.e., 97 and 96 for training and test sample</w:t>
      </w:r>
      <w:r>
        <w:rPr>
          <w:rFonts w:ascii="Times New Roman" w:hAnsi="Times New Roman" w:cs="Times New Roman"/>
          <w:color w:val="000000"/>
          <w:sz w:val="20"/>
          <w:szCs w:val="20"/>
        </w:rPr>
        <w:t>s</w:t>
      </w:r>
      <w:r w:rsidRPr="00E33BB0">
        <w:rPr>
          <w:rFonts w:ascii="Times New Roman" w:hAnsi="Times New Roman" w:cs="Times New Roman" w:hint="eastAsia"/>
          <w:color w:val="000000"/>
          <w:sz w:val="20"/>
          <w:szCs w:val="20"/>
        </w:rPr>
        <w:t xml:space="preserve">, respectively). Construction of </w:t>
      </w:r>
      <w:r>
        <w:rPr>
          <w:rFonts w:ascii="Times New Roman" w:hAnsi="Times New Roman" w:cs="Times New Roman"/>
          <w:color w:val="000000"/>
          <w:sz w:val="20"/>
          <w:szCs w:val="20"/>
        </w:rPr>
        <w:t xml:space="preserve">the </w:t>
      </w:r>
      <w:r w:rsidRPr="00E33BB0">
        <w:rPr>
          <w:rFonts w:ascii="Times New Roman" w:hAnsi="Times New Roman" w:cs="Times New Roman" w:hint="eastAsia"/>
          <w:color w:val="000000"/>
          <w:sz w:val="20"/>
          <w:szCs w:val="20"/>
        </w:rPr>
        <w:t xml:space="preserve">CART tree was used first on </w:t>
      </w:r>
      <w:r>
        <w:rPr>
          <w:rFonts w:ascii="Times New Roman" w:hAnsi="Times New Roman" w:cs="Times New Roman"/>
          <w:color w:val="000000"/>
          <w:sz w:val="20"/>
          <w:szCs w:val="20"/>
        </w:rPr>
        <w:t xml:space="preserve">the </w:t>
      </w:r>
      <w:r w:rsidRPr="00E33BB0">
        <w:rPr>
          <w:rFonts w:ascii="Times New Roman" w:hAnsi="Times New Roman" w:cs="Times New Roman" w:hint="eastAsia"/>
          <w:color w:val="000000"/>
          <w:sz w:val="20"/>
          <w:szCs w:val="20"/>
        </w:rPr>
        <w:t>training sample</w:t>
      </w:r>
      <w:r w:rsidR="002630BC">
        <w:rPr>
          <w:rFonts w:ascii="Times New Roman" w:hAnsi="Times New Roman" w:cs="Times New Roman" w:hint="eastAsia"/>
          <w:color w:val="000000"/>
          <w:sz w:val="20"/>
          <w:szCs w:val="20"/>
        </w:rPr>
        <w:t xml:space="preserve"> </w:t>
      </w:r>
      <w:r w:rsidR="0077583B">
        <w:rPr>
          <w:rFonts w:ascii="Times New Roman" w:hAnsi="Times New Roman" w:cs="Times New Roman" w:hint="eastAsia"/>
          <w:color w:val="000000"/>
          <w:sz w:val="20"/>
          <w:szCs w:val="20"/>
        </w:rPr>
        <w:t>(</w:t>
      </w:r>
      <w:r w:rsidR="002630BC">
        <w:rPr>
          <w:rFonts w:ascii="Times New Roman" w:hAnsi="Times New Roman" w:cs="Times New Roman" w:hint="eastAsia"/>
          <w:color w:val="000000"/>
          <w:sz w:val="20"/>
          <w:szCs w:val="20"/>
        </w:rPr>
        <w:t>n=96)</w:t>
      </w:r>
      <w:r w:rsidRPr="00E33BB0">
        <w:rPr>
          <w:rFonts w:ascii="Times New Roman" w:hAnsi="Times New Roman" w:cs="Times New Roman" w:hint="eastAsia"/>
          <w:color w:val="000000"/>
          <w:sz w:val="20"/>
          <w:szCs w:val="20"/>
        </w:rPr>
        <w:t xml:space="preserve"> </w:t>
      </w:r>
      <w:r>
        <w:rPr>
          <w:rFonts w:ascii="Times New Roman" w:hAnsi="Times New Roman" w:cs="Times New Roman"/>
          <w:color w:val="000000"/>
          <w:sz w:val="20"/>
          <w:szCs w:val="20"/>
        </w:rPr>
        <w:t xml:space="preserve">and </w:t>
      </w:r>
      <w:r w:rsidRPr="00E33BB0">
        <w:rPr>
          <w:rFonts w:ascii="Times New Roman" w:hAnsi="Times New Roman" w:cs="Times New Roman" w:hint="eastAsia"/>
          <w:color w:val="000000"/>
          <w:sz w:val="20"/>
          <w:szCs w:val="20"/>
        </w:rPr>
        <w:t xml:space="preserve">then validated using </w:t>
      </w:r>
      <w:r>
        <w:rPr>
          <w:rFonts w:ascii="Times New Roman" w:hAnsi="Times New Roman" w:cs="Times New Roman" w:hint="eastAsia"/>
          <w:color w:val="000000"/>
          <w:sz w:val="20"/>
          <w:szCs w:val="20"/>
        </w:rPr>
        <w:t>the</w:t>
      </w:r>
      <w:r>
        <w:rPr>
          <w:rFonts w:ascii="Times New Roman" w:hAnsi="Times New Roman" w:cs="Times New Roman"/>
          <w:color w:val="000000"/>
          <w:sz w:val="20"/>
          <w:szCs w:val="20"/>
        </w:rPr>
        <w:t xml:space="preserve"> </w:t>
      </w:r>
      <w:r w:rsidRPr="00E33BB0">
        <w:rPr>
          <w:rFonts w:ascii="Times New Roman" w:hAnsi="Times New Roman" w:cs="Times New Roman" w:hint="eastAsia"/>
          <w:color w:val="000000"/>
          <w:sz w:val="20"/>
          <w:szCs w:val="20"/>
        </w:rPr>
        <w:t>test sample</w:t>
      </w:r>
      <w:r w:rsidR="002630BC">
        <w:rPr>
          <w:rFonts w:ascii="Times New Roman" w:hAnsi="Times New Roman" w:cs="Times New Roman" w:hint="eastAsia"/>
          <w:color w:val="000000"/>
          <w:sz w:val="20"/>
          <w:szCs w:val="20"/>
        </w:rPr>
        <w:t xml:space="preserve"> </w:t>
      </w:r>
      <w:r w:rsidR="0077583B">
        <w:rPr>
          <w:rFonts w:ascii="Times New Roman" w:hAnsi="Times New Roman" w:cs="Times New Roman" w:hint="eastAsia"/>
          <w:color w:val="000000"/>
          <w:sz w:val="20"/>
          <w:szCs w:val="20"/>
        </w:rPr>
        <w:t>(</w:t>
      </w:r>
      <w:r w:rsidR="002630BC">
        <w:rPr>
          <w:rFonts w:ascii="Times New Roman" w:hAnsi="Times New Roman" w:cs="Times New Roman" w:hint="eastAsia"/>
          <w:color w:val="000000"/>
          <w:sz w:val="20"/>
          <w:szCs w:val="20"/>
        </w:rPr>
        <w:t>n=97)</w:t>
      </w:r>
      <w:r w:rsidRPr="00E33BB0">
        <w:rPr>
          <w:rFonts w:ascii="Times New Roman" w:hAnsi="Times New Roman" w:cs="Times New Roman" w:hint="eastAsia"/>
          <w:color w:val="000000"/>
          <w:sz w:val="20"/>
          <w:szCs w:val="20"/>
        </w:rPr>
        <w:t xml:space="preserve"> to assess the tree</w:t>
      </w:r>
      <w:r>
        <w:rPr>
          <w:rFonts w:ascii="Times New Roman" w:hAnsi="Times New Roman" w:cs="Times New Roman"/>
          <w:color w:val="000000"/>
          <w:sz w:val="20"/>
          <w:szCs w:val="20"/>
        </w:rPr>
        <w:t>'s</w:t>
      </w:r>
      <w:r w:rsidRPr="00E33BB0">
        <w:rPr>
          <w:rFonts w:ascii="Times New Roman" w:hAnsi="Times New Roman" w:cs="Times New Roman" w:hint="eastAsia"/>
          <w:color w:val="000000"/>
          <w:sz w:val="20"/>
          <w:szCs w:val="20"/>
        </w:rPr>
        <w:t xml:space="preserve"> </w:t>
      </w:r>
      <w:r w:rsidRPr="00E33BB0">
        <w:rPr>
          <w:rFonts w:ascii="Times New Roman" w:hAnsi="Times New Roman" w:cs="Times New Roman"/>
          <w:color w:val="000000"/>
          <w:sz w:val="20"/>
          <w:szCs w:val="20"/>
        </w:rPr>
        <w:t>validity</w:t>
      </w:r>
      <w:r w:rsidRPr="00E33BB0">
        <w:rPr>
          <w:rFonts w:ascii="Times New Roman" w:hAnsi="Times New Roman" w:cs="Times New Roman" w:hint="eastAsia"/>
          <w:color w:val="000000"/>
          <w:sz w:val="20"/>
          <w:szCs w:val="20"/>
        </w:rPr>
        <w:t xml:space="preserve">. </w:t>
      </w:r>
      <w:r>
        <w:rPr>
          <w:rFonts w:ascii="Times New Roman" w:hAnsi="Times New Roman" w:cs="Times New Roman"/>
          <w:color w:val="000000"/>
          <w:sz w:val="20"/>
          <w:szCs w:val="20"/>
        </w:rPr>
        <w:t>S</w:t>
      </w:r>
      <w:r>
        <w:rPr>
          <w:rFonts w:ascii="Times New Roman" w:hAnsi="Times New Roman" w:cs="Times New Roman" w:hint="eastAsia"/>
          <w:color w:val="000000"/>
          <w:sz w:val="20"/>
          <w:szCs w:val="20"/>
        </w:rPr>
        <w:t xml:space="preserve">econd, we </w:t>
      </w:r>
      <w:r w:rsidR="002630BC">
        <w:rPr>
          <w:rFonts w:ascii="Times New Roman" w:hAnsi="Times New Roman" w:cs="Times New Roman" w:hint="eastAsia"/>
          <w:color w:val="000000"/>
          <w:sz w:val="20"/>
          <w:szCs w:val="20"/>
        </w:rPr>
        <w:t>included</w:t>
      </w:r>
      <w:r w:rsidRPr="00E33BB0">
        <w:rPr>
          <w:rFonts w:ascii="Times New Roman" w:hAnsi="Times New Roman" w:cs="Times New Roman" w:hint="eastAsia"/>
          <w:color w:val="000000"/>
          <w:sz w:val="20"/>
          <w:szCs w:val="20"/>
        </w:rPr>
        <w:t xml:space="preserve"> the sources of uncertainty</w:t>
      </w:r>
      <w:r w:rsidR="002630BC">
        <w:rPr>
          <w:rFonts w:ascii="Times New Roman" w:hAnsi="Times New Roman" w:cs="Times New Roman" w:hint="eastAsia"/>
          <w:color w:val="000000"/>
          <w:sz w:val="20"/>
          <w:szCs w:val="20"/>
        </w:rPr>
        <w:t xml:space="preserve"> in the model</w:t>
      </w:r>
      <w:r>
        <w:rPr>
          <w:rFonts w:ascii="Times New Roman" w:hAnsi="Times New Roman" w:cs="Times New Roman"/>
          <w:color w:val="000000"/>
          <w:sz w:val="20"/>
          <w:szCs w:val="20"/>
        </w:rPr>
        <w:t>, rather than four types of uncertainty</w:t>
      </w:r>
      <w:r>
        <w:rPr>
          <w:rFonts w:ascii="Times New Roman" w:hAnsi="Times New Roman" w:cs="Times New Roman" w:hint="eastAsia"/>
          <w:color w:val="000000"/>
          <w:sz w:val="20"/>
          <w:szCs w:val="20"/>
        </w:rPr>
        <w:t>. Third, the unpruned tree was built using the</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 xml:space="preserve">training sample. </w:t>
      </w:r>
      <w:r>
        <w:rPr>
          <w:rFonts w:ascii="Times New Roman" w:hAnsi="Times New Roman" w:cs="Times New Roman"/>
          <w:color w:val="000000"/>
          <w:sz w:val="20"/>
          <w:szCs w:val="20"/>
        </w:rPr>
        <w:t>A</w:t>
      </w:r>
      <w:r>
        <w:rPr>
          <w:rFonts w:ascii="Times New Roman" w:hAnsi="Times New Roman" w:cs="Times New Roman" w:hint="eastAsia"/>
          <w:color w:val="000000"/>
          <w:sz w:val="20"/>
          <w:szCs w:val="20"/>
        </w:rPr>
        <w:t xml:space="preserve"> default complexity parameter </w:t>
      </w:r>
      <w:r w:rsidR="0077583B">
        <w:rPr>
          <w:rFonts w:ascii="Times New Roman" w:hAnsi="Times New Roman" w:cs="Times New Roman" w:hint="eastAsia"/>
          <w:color w:val="000000"/>
          <w:sz w:val="20"/>
          <w:szCs w:val="20"/>
        </w:rPr>
        <w:t>(</w:t>
      </w:r>
      <w:r>
        <w:rPr>
          <w:rFonts w:ascii="Times New Roman" w:hAnsi="Times New Roman" w:cs="Times New Roman" w:hint="eastAsia"/>
          <w:color w:val="000000"/>
          <w:sz w:val="20"/>
          <w:szCs w:val="20"/>
        </w:rPr>
        <w:t>cp=0.</w:t>
      </w:r>
      <w:r w:rsidR="002630BC">
        <w:rPr>
          <w:rFonts w:ascii="Times New Roman" w:hAnsi="Times New Roman" w:cs="Times New Roman" w:hint="eastAsia"/>
          <w:color w:val="000000"/>
          <w:sz w:val="20"/>
          <w:szCs w:val="20"/>
        </w:rPr>
        <w:t>0</w:t>
      </w:r>
      <w:r>
        <w:rPr>
          <w:rFonts w:ascii="Times New Roman" w:hAnsi="Times New Roman" w:cs="Times New Roman" w:hint="eastAsia"/>
          <w:color w:val="000000"/>
          <w:sz w:val="20"/>
          <w:szCs w:val="20"/>
        </w:rPr>
        <w:t xml:space="preserve">01) was used to </w:t>
      </w:r>
      <w:r>
        <w:rPr>
          <w:rFonts w:ascii="Times New Roman" w:hAnsi="Times New Roman" w:cs="Times New Roman"/>
          <w:color w:val="000000"/>
          <w:sz w:val="20"/>
          <w:szCs w:val="20"/>
        </w:rPr>
        <w:t>determine</w:t>
      </w:r>
      <w:r>
        <w:rPr>
          <w:rFonts w:ascii="Times New Roman" w:hAnsi="Times New Roman" w:cs="Times New Roman" w:hint="eastAsia"/>
          <w:color w:val="000000"/>
          <w:sz w:val="20"/>
          <w:szCs w:val="20"/>
        </w:rPr>
        <w:t xml:space="preserve"> the </w:t>
      </w:r>
      <w:r w:rsidRPr="00E33BB0">
        <w:rPr>
          <w:rFonts w:ascii="Times New Roman" w:hAnsi="Times New Roman" w:cs="Times New Roman"/>
          <w:color w:val="000000"/>
          <w:sz w:val="20"/>
          <w:szCs w:val="20"/>
        </w:rPr>
        <w:t>maximum depth of the CART</w:t>
      </w:r>
      <w:r w:rsidRPr="00E33BB0">
        <w:rPr>
          <w:rFonts w:ascii="Times New Roman" w:hAnsi="Times New Roman" w:cs="Times New Roman" w:hint="eastAsia"/>
          <w:color w:val="000000"/>
          <w:sz w:val="20"/>
          <w:szCs w:val="20"/>
        </w:rPr>
        <w:t xml:space="preserve"> tree</w:t>
      </w:r>
      <w:r>
        <w:rPr>
          <w:rFonts w:ascii="Times New Roman" w:hAnsi="Times New Roman" w:cs="Times New Roman" w:hint="eastAsia"/>
          <w:color w:val="000000"/>
          <w:sz w:val="20"/>
          <w:szCs w:val="20"/>
        </w:rPr>
        <w:t xml:space="preserve"> before </w:t>
      </w:r>
      <w:r>
        <w:rPr>
          <w:rFonts w:ascii="Times New Roman" w:hAnsi="Times New Roman" w:cs="Times New Roman"/>
          <w:color w:val="000000"/>
          <w:sz w:val="20"/>
          <w:szCs w:val="20"/>
        </w:rPr>
        <w:t>pruning</w:t>
      </w:r>
      <w:r>
        <w:rPr>
          <w:rFonts w:ascii="Times New Roman" w:hAnsi="Times New Roman" w:cs="Times New Roman" w:hint="eastAsia"/>
          <w:color w:val="000000"/>
          <w:sz w:val="20"/>
          <w:szCs w:val="20"/>
        </w:rPr>
        <w:t xml:space="preserve">. </w:t>
      </w:r>
      <w:r>
        <w:rPr>
          <w:rFonts w:ascii="Times New Roman" w:hAnsi="Times New Roman" w:cs="Times New Roman"/>
          <w:color w:val="000000"/>
          <w:sz w:val="20"/>
          <w:szCs w:val="20"/>
        </w:rPr>
        <w:t>This tree</w:t>
      </w:r>
      <w:r>
        <w:rPr>
          <w:rFonts w:ascii="Times New Roman" w:hAnsi="Times New Roman" w:cs="Times New Roman" w:hint="eastAsia"/>
          <w:color w:val="000000"/>
          <w:sz w:val="20"/>
          <w:szCs w:val="20"/>
        </w:rPr>
        <w:t xml:space="preserve"> was </w:t>
      </w:r>
      <w:r w:rsidR="00132838">
        <w:rPr>
          <w:rFonts w:ascii="Times New Roman" w:hAnsi="Times New Roman" w:cs="Times New Roman"/>
          <w:color w:val="000000"/>
          <w:sz w:val="20"/>
          <w:szCs w:val="20"/>
        </w:rPr>
        <w:t>validated</w:t>
      </w:r>
      <w:r>
        <w:rPr>
          <w:rFonts w:ascii="Times New Roman" w:hAnsi="Times New Roman" w:cs="Times New Roman" w:hint="eastAsia"/>
          <w:color w:val="000000"/>
          <w:sz w:val="20"/>
          <w:szCs w:val="20"/>
        </w:rPr>
        <w:t xml:space="preserve"> using the</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test sample</w:t>
      </w:r>
      <w:r w:rsidR="009E52ED">
        <w:rPr>
          <w:rFonts w:ascii="Times New Roman" w:hAnsi="Times New Roman" w:cs="Times New Roman"/>
          <w:color w:val="000000"/>
          <w:sz w:val="20"/>
          <w:szCs w:val="20"/>
        </w:rPr>
        <w:t xml:space="preserve">. The accuracy of </w:t>
      </w:r>
      <w:r w:rsidR="00B07475">
        <w:rPr>
          <w:rFonts w:ascii="Times New Roman" w:hAnsi="Times New Roman" w:cs="Times New Roman"/>
          <w:color w:val="000000"/>
          <w:sz w:val="20"/>
          <w:szCs w:val="20"/>
        </w:rPr>
        <w:t xml:space="preserve">a </w:t>
      </w:r>
      <w:r w:rsidR="009E52ED">
        <w:rPr>
          <w:rFonts w:ascii="Times New Roman" w:hAnsi="Times New Roman" w:cs="Times New Roman"/>
          <w:color w:val="000000"/>
          <w:sz w:val="20"/>
          <w:szCs w:val="20"/>
        </w:rPr>
        <w:t xml:space="preserve">model before pruning was calculated using </w:t>
      </w:r>
      <w:r w:rsidR="00B07475">
        <w:rPr>
          <w:rFonts w:ascii="Times New Roman" w:hAnsi="Times New Roman" w:cs="Times New Roman"/>
          <w:color w:val="000000"/>
          <w:sz w:val="20"/>
          <w:szCs w:val="20"/>
        </w:rPr>
        <w:t xml:space="preserve">a </w:t>
      </w:r>
      <w:r w:rsidR="009E52ED">
        <w:rPr>
          <w:rFonts w:ascii="Times New Roman" w:hAnsi="Times New Roman" w:cs="Times New Roman"/>
          <w:color w:val="000000"/>
          <w:sz w:val="20"/>
          <w:szCs w:val="20"/>
        </w:rPr>
        <w:t xml:space="preserve">confusion matrix. </w:t>
      </w:r>
      <w:r w:rsidR="00B07475">
        <w:rPr>
          <w:rFonts w:ascii="Times New Roman" w:hAnsi="Times New Roman" w:cs="Times New Roman"/>
          <w:color w:val="000000"/>
          <w:sz w:val="20"/>
          <w:szCs w:val="20"/>
        </w:rPr>
        <w:t>A</w:t>
      </w:r>
      <w:r w:rsidR="009E52ED" w:rsidRPr="009E52ED">
        <w:rPr>
          <w:rFonts w:ascii="Times New Roman" w:hAnsi="Times New Roman" w:cs="Times New Roman"/>
          <w:color w:val="000000"/>
          <w:sz w:val="20"/>
          <w:szCs w:val="20"/>
        </w:rPr>
        <w:t xml:space="preserve">ccuracy is one of the main model assessment parameters that defines the proportion of correct classifications. </w:t>
      </w:r>
      <w:r w:rsidR="009E52ED">
        <w:rPr>
          <w:rFonts w:ascii="Times New Roman" w:hAnsi="Times New Roman" w:cs="Times New Roman"/>
          <w:color w:val="000000"/>
          <w:sz w:val="20"/>
          <w:szCs w:val="20"/>
        </w:rPr>
        <w:t xml:space="preserve">Fourth, </w:t>
      </w:r>
      <w:r w:rsidR="00B07475">
        <w:rPr>
          <w:rFonts w:ascii="Times New Roman" w:hAnsi="Times New Roman" w:cs="Times New Roman"/>
          <w:color w:val="000000"/>
          <w:sz w:val="20"/>
          <w:szCs w:val="20"/>
        </w:rPr>
        <w:t xml:space="preserve">the </w:t>
      </w:r>
      <w:r w:rsidRPr="002B1084">
        <w:rPr>
          <w:rFonts w:ascii="Times New Roman" w:hAnsi="Times New Roman" w:cs="Times New Roman"/>
          <w:color w:val="000000"/>
          <w:sz w:val="20"/>
          <w:szCs w:val="20"/>
        </w:rPr>
        <w:t xml:space="preserve">Gini Index method was used to </w:t>
      </w:r>
      <w:r>
        <w:rPr>
          <w:rFonts w:ascii="Times New Roman" w:hAnsi="Times New Roman" w:cs="Times New Roman" w:hint="eastAsia"/>
          <w:color w:val="000000"/>
          <w:sz w:val="20"/>
          <w:szCs w:val="20"/>
        </w:rPr>
        <w:t>prune</w:t>
      </w:r>
      <w:r w:rsidRPr="002B1084">
        <w:rPr>
          <w:rFonts w:ascii="Times New Roman" w:hAnsi="Times New Roman" w:cs="Times New Roman"/>
          <w:color w:val="000000"/>
          <w:sz w:val="20"/>
          <w:szCs w:val="20"/>
        </w:rPr>
        <w:t xml:space="preserve"> the </w:t>
      </w:r>
      <w:r>
        <w:rPr>
          <w:rFonts w:ascii="Times New Roman" w:hAnsi="Times New Roman" w:cs="Times New Roman" w:hint="eastAsia"/>
          <w:color w:val="000000"/>
          <w:sz w:val="20"/>
          <w:szCs w:val="20"/>
        </w:rPr>
        <w:t xml:space="preserve">tree built in the third step into a smaller </w:t>
      </w:r>
      <w:r w:rsidR="009E52ED">
        <w:rPr>
          <w:rFonts w:ascii="Times New Roman" w:hAnsi="Times New Roman" w:cs="Times New Roman"/>
          <w:color w:val="000000"/>
          <w:sz w:val="20"/>
          <w:szCs w:val="20"/>
        </w:rPr>
        <w:t>one,</w:t>
      </w:r>
      <w:r>
        <w:rPr>
          <w:rFonts w:ascii="Times New Roman" w:hAnsi="Times New Roman" w:cs="Times New Roman" w:hint="eastAsia"/>
          <w:color w:val="000000"/>
          <w:sz w:val="20"/>
          <w:szCs w:val="20"/>
        </w:rPr>
        <w:t xml:space="preserve"> if </w:t>
      </w:r>
      <w:r>
        <w:rPr>
          <w:rFonts w:ascii="Times New Roman" w:hAnsi="Times New Roman" w:cs="Times New Roman"/>
          <w:color w:val="000000"/>
          <w:sz w:val="20"/>
          <w:szCs w:val="20"/>
        </w:rPr>
        <w:t>necessary</w:t>
      </w:r>
      <w:r w:rsidR="009E52ED">
        <w:rPr>
          <w:rFonts w:ascii="Times New Roman" w:hAnsi="Times New Roman" w:cs="Times New Roman"/>
          <w:color w:val="000000"/>
          <w:sz w:val="20"/>
          <w:szCs w:val="20"/>
        </w:rPr>
        <w:t xml:space="preserve">, the accuracy of the pruned model was calculated and compared to the unpruned model. If the accuracy of </w:t>
      </w:r>
      <w:r w:rsidR="00B07475">
        <w:rPr>
          <w:rFonts w:ascii="Times New Roman" w:hAnsi="Times New Roman" w:cs="Times New Roman"/>
          <w:color w:val="000000"/>
          <w:sz w:val="20"/>
          <w:szCs w:val="20"/>
        </w:rPr>
        <w:t xml:space="preserve">the </w:t>
      </w:r>
      <w:r w:rsidR="009E52ED">
        <w:rPr>
          <w:rFonts w:ascii="Times New Roman" w:hAnsi="Times New Roman" w:cs="Times New Roman"/>
          <w:color w:val="000000"/>
          <w:sz w:val="20"/>
          <w:szCs w:val="20"/>
        </w:rPr>
        <w:t xml:space="preserve">pruned model was less than </w:t>
      </w:r>
      <w:r w:rsidR="00B07475">
        <w:rPr>
          <w:rFonts w:ascii="Times New Roman" w:hAnsi="Times New Roman" w:cs="Times New Roman"/>
          <w:color w:val="000000"/>
          <w:sz w:val="20"/>
          <w:szCs w:val="20"/>
        </w:rPr>
        <w:t xml:space="preserve">the </w:t>
      </w:r>
      <w:r w:rsidR="009E52ED">
        <w:rPr>
          <w:rFonts w:ascii="Times New Roman" w:hAnsi="Times New Roman" w:cs="Times New Roman"/>
          <w:color w:val="000000"/>
          <w:sz w:val="20"/>
          <w:szCs w:val="20"/>
        </w:rPr>
        <w:t xml:space="preserve">unpruned model, it indicated that pruning </w:t>
      </w:r>
      <w:r w:rsidR="00B07475">
        <w:rPr>
          <w:rFonts w:ascii="Times New Roman" w:hAnsi="Times New Roman" w:cs="Times New Roman"/>
          <w:color w:val="000000"/>
          <w:sz w:val="20"/>
          <w:szCs w:val="20"/>
        </w:rPr>
        <w:t xml:space="preserve">the </w:t>
      </w:r>
      <w:r w:rsidR="009E52ED">
        <w:rPr>
          <w:rFonts w:ascii="Times New Roman" w:hAnsi="Times New Roman" w:cs="Times New Roman"/>
          <w:color w:val="000000"/>
          <w:sz w:val="20"/>
          <w:szCs w:val="20"/>
        </w:rPr>
        <w:t>tree was unnecessary. Finally,</w:t>
      </w:r>
      <w:r w:rsidR="005313BD">
        <w:rPr>
          <w:rFonts w:ascii="Times New Roman" w:hAnsi="Times New Roman" w:cs="Times New Roman"/>
          <w:color w:val="000000"/>
          <w:sz w:val="20"/>
          <w:szCs w:val="20"/>
        </w:rPr>
        <w:t xml:space="preserve"> in order to avoid </w:t>
      </w:r>
      <w:proofErr w:type="gramStart"/>
      <w:r w:rsidR="005313BD">
        <w:rPr>
          <w:rFonts w:ascii="Times New Roman" w:hAnsi="Times New Roman" w:cs="Times New Roman"/>
          <w:color w:val="000000"/>
          <w:sz w:val="20"/>
          <w:szCs w:val="20"/>
        </w:rPr>
        <w:t>overfitting</w:t>
      </w:r>
      <w:proofErr w:type="gramEnd"/>
      <w:r w:rsidR="005313BD">
        <w:rPr>
          <w:rFonts w:ascii="Times New Roman" w:hAnsi="Times New Roman" w:cs="Times New Roman"/>
          <w:color w:val="000000"/>
          <w:sz w:val="20"/>
          <w:szCs w:val="20"/>
        </w:rPr>
        <w:t xml:space="preserve"> the unpruned model, the selected sources of uncertainty were picked to construct different models.</w:t>
      </w:r>
      <w:r w:rsidR="009E52ED">
        <w:rPr>
          <w:rFonts w:ascii="Times New Roman" w:hAnsi="Times New Roman" w:cs="Times New Roman"/>
          <w:color w:val="000000"/>
          <w:sz w:val="20"/>
          <w:szCs w:val="20"/>
        </w:rPr>
        <w:t xml:space="preserve"> </w:t>
      </w:r>
      <w:r w:rsidR="005313BD">
        <w:rPr>
          <w:rFonts w:ascii="Times New Roman" w:hAnsi="Times New Roman" w:cs="Times New Roman"/>
          <w:color w:val="000000"/>
          <w:sz w:val="20"/>
          <w:szCs w:val="20"/>
        </w:rPr>
        <w:t>A</w:t>
      </w:r>
      <w:r w:rsidR="00C56997">
        <w:rPr>
          <w:rFonts w:ascii="Times New Roman" w:hAnsi="Times New Roman" w:cs="Times New Roman"/>
          <w:color w:val="000000"/>
          <w:sz w:val="20"/>
          <w:szCs w:val="20"/>
        </w:rPr>
        <w:t xml:space="preserve"> 5-fold cross</w:t>
      </w:r>
      <w:r w:rsidR="00B07475">
        <w:rPr>
          <w:rFonts w:ascii="Times New Roman" w:hAnsi="Times New Roman" w:cs="Times New Roman"/>
          <w:color w:val="000000"/>
          <w:sz w:val="20"/>
          <w:szCs w:val="20"/>
        </w:rPr>
        <w:t>-</w:t>
      </w:r>
      <w:r w:rsidR="00C56997">
        <w:rPr>
          <w:rFonts w:ascii="Times New Roman" w:hAnsi="Times New Roman" w:cs="Times New Roman"/>
          <w:color w:val="000000"/>
          <w:sz w:val="20"/>
          <w:szCs w:val="20"/>
        </w:rPr>
        <w:t xml:space="preserve">validation procedure was used </w:t>
      </w:r>
      <w:r w:rsidR="005313BD">
        <w:rPr>
          <w:rFonts w:ascii="Times New Roman" w:hAnsi="Times New Roman" w:cs="Times New Roman"/>
          <w:color w:val="000000"/>
          <w:sz w:val="20"/>
          <w:szCs w:val="20"/>
        </w:rPr>
        <w:t>for evaluating these models</w:t>
      </w:r>
      <w:r w:rsidR="00C56997">
        <w:rPr>
          <w:rFonts w:ascii="Times New Roman" w:hAnsi="Times New Roman" w:cs="Times New Roman"/>
          <w:color w:val="000000"/>
          <w:sz w:val="20"/>
          <w:szCs w:val="20"/>
        </w:rPr>
        <w:t>.</w:t>
      </w:r>
      <w:r w:rsidR="00C56997" w:rsidRPr="005313BD">
        <w:rPr>
          <w:rFonts w:ascii="Times New Roman" w:hAnsi="Times New Roman" w:cs="Times New Roman"/>
          <w:color w:val="000000"/>
          <w:sz w:val="20"/>
          <w:szCs w:val="20"/>
        </w:rPr>
        <w:t xml:space="preserve"> </w:t>
      </w:r>
      <w:r w:rsidR="005313BD" w:rsidRPr="005313BD">
        <w:rPr>
          <w:rFonts w:ascii="Times New Roman" w:hAnsi="Times New Roman" w:cs="Times New Roman"/>
          <w:color w:val="000000"/>
          <w:sz w:val="20"/>
          <w:szCs w:val="20"/>
        </w:rPr>
        <w:t>The</w:t>
      </w:r>
      <w:r w:rsidR="005313BD">
        <w:rPr>
          <w:rFonts w:ascii="Times New Roman" w:hAnsi="Times New Roman" w:cs="Times New Roman"/>
          <w:color w:val="000000"/>
          <w:sz w:val="20"/>
          <w:szCs w:val="20"/>
        </w:rPr>
        <w:t xml:space="preserve"> model with the</w:t>
      </w:r>
      <w:r w:rsidR="005313BD" w:rsidRPr="005313BD">
        <w:rPr>
          <w:rFonts w:ascii="Times New Roman" w:hAnsi="Times New Roman" w:cs="Times New Roman"/>
          <w:color w:val="000000"/>
          <w:sz w:val="20"/>
          <w:szCs w:val="20"/>
        </w:rPr>
        <w:t xml:space="preserve"> </w:t>
      </w:r>
      <w:r w:rsidR="005313BD">
        <w:rPr>
          <w:rFonts w:ascii="Times New Roman" w:hAnsi="Times New Roman" w:cs="Times New Roman"/>
          <w:color w:val="000000"/>
          <w:sz w:val="20"/>
          <w:szCs w:val="20"/>
        </w:rPr>
        <w:t xml:space="preserve">minimum </w:t>
      </w:r>
      <w:r w:rsidR="005313BD" w:rsidRPr="005313BD">
        <w:rPr>
          <w:rFonts w:ascii="Times New Roman" w:hAnsi="Times New Roman" w:cs="Times New Roman"/>
          <w:color w:val="000000"/>
          <w:sz w:val="20"/>
          <w:szCs w:val="20"/>
        </w:rPr>
        <w:t xml:space="preserve">average error </w:t>
      </w:r>
      <w:r w:rsidR="005313BD">
        <w:rPr>
          <w:rFonts w:ascii="Times New Roman" w:hAnsi="Times New Roman" w:cs="Times New Roman"/>
          <w:color w:val="000000"/>
          <w:sz w:val="20"/>
          <w:szCs w:val="20"/>
        </w:rPr>
        <w:t>was selected as desirable.</w:t>
      </w:r>
    </w:p>
    <w:p w14:paraId="1782F775" w14:textId="77777777" w:rsidR="005313BD" w:rsidRDefault="005313BD" w:rsidP="006C41A0">
      <w:pPr>
        <w:adjustRightInd w:val="0"/>
        <w:snapToGrid w:val="0"/>
        <w:spacing w:line="360" w:lineRule="auto"/>
        <w:rPr>
          <w:rFonts w:ascii="Times New Roman" w:hAnsi="Times New Roman" w:cs="Times New Roman"/>
          <w:lang w:val="en-AU" w:eastAsia="en-US"/>
        </w:rPr>
      </w:pPr>
    </w:p>
    <w:p w14:paraId="3A9C833B" w14:textId="632CDDDF" w:rsidR="008820CE" w:rsidRDefault="005313BD" w:rsidP="006C41A0">
      <w:pPr>
        <w:adjustRightInd w:val="0"/>
        <w:snapToGrid w:val="0"/>
        <w:spacing w:line="360" w:lineRule="auto"/>
        <w:rPr>
          <w:rFonts w:ascii="Times New Roman" w:hAnsi="Times New Roman" w:cs="Times New Roman"/>
          <w:lang w:val="en-AU" w:eastAsia="en-US"/>
        </w:rPr>
      </w:pPr>
      <w:r>
        <w:rPr>
          <w:rFonts w:ascii="Times New Roman" w:hAnsi="Times New Roman" w:cs="Times New Roman"/>
          <w:lang w:val="en-AU" w:eastAsia="en-US"/>
        </w:rPr>
        <w:t xml:space="preserve">The final model </w:t>
      </w:r>
      <w:r w:rsidR="00B07475">
        <w:rPr>
          <w:rFonts w:ascii="Times New Roman" w:hAnsi="Times New Roman" w:cs="Times New Roman"/>
          <w:lang w:val="en-AU" w:eastAsia="en-US"/>
        </w:rPr>
        <w:t>i</w:t>
      </w:r>
      <w:r>
        <w:rPr>
          <w:rFonts w:ascii="Times New Roman" w:hAnsi="Times New Roman" w:cs="Times New Roman"/>
          <w:lang w:val="en-AU" w:eastAsia="en-US"/>
        </w:rPr>
        <w:t xml:space="preserve">s </w:t>
      </w:r>
      <w:r w:rsidR="008820CE" w:rsidRPr="008820CE">
        <w:rPr>
          <w:rFonts w:ascii="Times New Roman" w:hAnsi="Times New Roman" w:cs="Times New Roman"/>
          <w:lang w:val="en-AU" w:eastAsia="en-US"/>
        </w:rPr>
        <w:t xml:space="preserve">depicted in Figure </w:t>
      </w:r>
      <w:r w:rsidR="00B26ECE">
        <w:rPr>
          <w:rFonts w:ascii="Times New Roman" w:hAnsi="Times New Roman" w:cs="Times New Roman"/>
          <w:lang w:val="en-AU" w:eastAsia="en-US"/>
        </w:rPr>
        <w:t>8-1</w:t>
      </w:r>
      <w:r w:rsidR="000873F5">
        <w:rPr>
          <w:rFonts w:ascii="Times New Roman" w:hAnsi="Times New Roman" w:cs="Times New Roman"/>
          <w:lang w:val="en-AU" w:eastAsia="en-US"/>
        </w:rPr>
        <w:t>.</w:t>
      </w:r>
      <w:r w:rsidR="008820CE" w:rsidRPr="008820CE">
        <w:rPr>
          <w:rFonts w:ascii="Times New Roman" w:hAnsi="Times New Roman" w:cs="Times New Roman"/>
          <w:lang w:val="en-AU" w:eastAsia="en-US"/>
        </w:rPr>
        <w:t xml:space="preserve"> </w:t>
      </w:r>
      <w:bookmarkStart w:id="62" w:name="_Hlk171838456"/>
      <w:r w:rsidR="000873F5">
        <w:rPr>
          <w:rFonts w:ascii="Times New Roman" w:hAnsi="Times New Roman" w:cs="Times New Roman"/>
          <w:lang w:val="en-AU" w:eastAsia="en-US"/>
        </w:rPr>
        <w:t>T</w:t>
      </w:r>
      <w:r w:rsidR="008820CE" w:rsidRPr="008820CE">
        <w:rPr>
          <w:rFonts w:ascii="Times New Roman" w:hAnsi="Times New Roman" w:cs="Times New Roman"/>
          <w:lang w:val="en-AU" w:eastAsia="en-US"/>
        </w:rPr>
        <w:t xml:space="preserve">he variable with the greatest discriminative power was </w:t>
      </w:r>
      <w:r w:rsidR="009B09AE" w:rsidRPr="008820CE">
        <w:rPr>
          <w:rFonts w:ascii="Times New Roman" w:hAnsi="Times New Roman" w:cs="Times New Roman"/>
          <w:lang w:val="en-AU" w:eastAsia="en-US"/>
        </w:rPr>
        <w:t>the uncertainty</w:t>
      </w:r>
      <w:r w:rsidR="00C33017" w:rsidRPr="00C33017">
        <w:rPr>
          <w:rFonts w:ascii="Times New Roman" w:hAnsi="Times New Roman" w:cs="Times New Roman"/>
          <w:lang w:val="en-AU" w:eastAsia="en-US"/>
        </w:rPr>
        <w:t xml:space="preserve"> caused by inconsistency between the treatment proposed and the clinical place in therapy, or the restriction listed on the PBS schedule </w:t>
      </w:r>
      <w:bookmarkStart w:id="63" w:name="_Hlk171790179"/>
      <w:r w:rsidR="002A6662">
        <w:rPr>
          <w:rFonts w:ascii="Times New Roman" w:hAnsi="Times New Roman" w:cs="Times New Roman"/>
          <w:lang w:val="en-AU"/>
        </w:rPr>
        <w:t>(</w:t>
      </w:r>
      <w:r w:rsidR="009B09AE">
        <w:rPr>
          <w:rFonts w:ascii="Times New Roman" w:hAnsi="Times New Roman" w:cs="Times New Roman" w:hint="eastAsia"/>
          <w:lang w:val="en-AU"/>
        </w:rPr>
        <w:t xml:space="preserve">i.e., </w:t>
      </w:r>
      <w:r w:rsidR="008820CE" w:rsidRPr="008820CE">
        <w:rPr>
          <w:rFonts w:ascii="Times New Roman" w:hAnsi="Times New Roman" w:cs="Times New Roman"/>
          <w:lang w:val="en-AU" w:eastAsia="en-US"/>
        </w:rPr>
        <w:t xml:space="preserve">one source of unparameterisable methodological </w:t>
      </w:r>
      <w:r w:rsidR="009B09AE" w:rsidRPr="008820CE">
        <w:rPr>
          <w:rFonts w:ascii="Times New Roman" w:hAnsi="Times New Roman" w:cs="Times New Roman"/>
          <w:lang w:val="en-AU" w:eastAsia="en-US"/>
        </w:rPr>
        <w:t>uncertainty</w:t>
      </w:r>
      <w:r w:rsidR="009B09AE">
        <w:rPr>
          <w:rFonts w:ascii="Times New Roman" w:hAnsi="Times New Roman" w:cs="Times New Roman"/>
          <w:lang w:val="en-AU"/>
        </w:rPr>
        <w:t>)</w:t>
      </w:r>
      <w:r w:rsidR="008820CE" w:rsidRPr="008820CE">
        <w:rPr>
          <w:rFonts w:ascii="Times New Roman" w:hAnsi="Times New Roman" w:cs="Times New Roman"/>
          <w:lang w:val="en-AU" w:eastAsia="en-US"/>
        </w:rPr>
        <w:t xml:space="preserve">. The second variable </w:t>
      </w:r>
      <w:r w:rsidR="008820CE">
        <w:rPr>
          <w:rFonts w:ascii="Times New Roman" w:hAnsi="Times New Roman" w:cs="Times New Roman"/>
          <w:lang w:val="en-AU" w:eastAsia="en-US"/>
        </w:rPr>
        <w:t>was</w:t>
      </w:r>
      <w:r>
        <w:rPr>
          <w:rFonts w:ascii="Times New Roman" w:hAnsi="Times New Roman" w:cs="Times New Roman"/>
          <w:lang w:val="en-AU" w:eastAsia="en-US"/>
        </w:rPr>
        <w:t xml:space="preserve"> uncertainty around </w:t>
      </w:r>
      <w:r w:rsidR="00B07475">
        <w:rPr>
          <w:rFonts w:ascii="Times New Roman" w:hAnsi="Times New Roman" w:cs="Times New Roman"/>
          <w:lang w:val="en-AU" w:eastAsia="en-US"/>
        </w:rPr>
        <w:t xml:space="preserve">the </w:t>
      </w:r>
      <w:r w:rsidR="00020551">
        <w:rPr>
          <w:rFonts w:ascii="Times New Roman" w:hAnsi="Times New Roman" w:cs="Times New Roman"/>
          <w:lang w:val="en-AU" w:eastAsia="en-US"/>
        </w:rPr>
        <w:t>u</w:t>
      </w:r>
      <w:r w:rsidR="00020551" w:rsidRPr="00020551">
        <w:rPr>
          <w:rFonts w:ascii="Times New Roman" w:hAnsi="Times New Roman" w:cs="Times New Roman"/>
          <w:lang w:val="en-AU" w:eastAsia="en-US"/>
        </w:rPr>
        <w:t>njustified relationship between time and transition probabilities or treatment effect</w:t>
      </w:r>
      <w:r w:rsidR="00020551">
        <w:rPr>
          <w:rFonts w:ascii="Times New Roman" w:hAnsi="Times New Roman" w:cs="Times New Roman"/>
          <w:lang w:val="en-AU" w:eastAsia="en-US"/>
        </w:rPr>
        <w:t xml:space="preserve">, the third one was </w:t>
      </w:r>
      <w:r w:rsidR="00020551" w:rsidRPr="008820CE">
        <w:rPr>
          <w:rFonts w:ascii="Times New Roman" w:hAnsi="Times New Roman" w:cs="Times New Roman"/>
          <w:lang w:val="en-AU" w:eastAsia="en-US"/>
        </w:rPr>
        <w:t xml:space="preserve">generalisability </w:t>
      </w:r>
      <w:r w:rsidR="0010446F" w:rsidRPr="008820CE">
        <w:rPr>
          <w:rFonts w:ascii="Times New Roman" w:hAnsi="Times New Roman" w:cs="Times New Roman"/>
          <w:lang w:val="en-AU" w:eastAsia="en-US"/>
        </w:rPr>
        <w:t>uncertainty,</w:t>
      </w:r>
      <w:r w:rsidR="00020551">
        <w:rPr>
          <w:rFonts w:ascii="Times New Roman" w:hAnsi="Times New Roman" w:cs="Times New Roman"/>
          <w:lang w:val="en-AU" w:eastAsia="en-US"/>
        </w:rPr>
        <w:t xml:space="preserve"> and the last one was </w:t>
      </w:r>
      <w:r w:rsidR="008820CE">
        <w:rPr>
          <w:rFonts w:ascii="Times New Roman" w:hAnsi="Times New Roman" w:cs="Times New Roman"/>
          <w:lang w:val="en-AU" w:eastAsia="en-US"/>
        </w:rPr>
        <w:t xml:space="preserve">uncertainty around </w:t>
      </w:r>
      <w:r w:rsidR="00B07475">
        <w:rPr>
          <w:rFonts w:ascii="Times New Roman" w:hAnsi="Times New Roman" w:cs="Times New Roman"/>
          <w:lang w:val="en-AU" w:eastAsia="en-US"/>
        </w:rPr>
        <w:t xml:space="preserve">the </w:t>
      </w:r>
      <w:r w:rsidR="008820CE">
        <w:rPr>
          <w:rFonts w:ascii="Times New Roman" w:hAnsi="Times New Roman" w:cs="Times New Roman"/>
          <w:lang w:val="en-AU" w:eastAsia="en-US"/>
        </w:rPr>
        <w:t>parametric model</w:t>
      </w:r>
      <w:r w:rsidR="00E17FC3">
        <w:rPr>
          <w:rFonts w:ascii="Times New Roman" w:hAnsi="Times New Roman" w:cs="Times New Roman"/>
          <w:lang w:val="en-AU" w:eastAsia="en-US"/>
        </w:rPr>
        <w:t xml:space="preserve">. The second and the last one were sources of </w:t>
      </w:r>
      <w:r w:rsidR="008820CE" w:rsidRPr="008820CE">
        <w:rPr>
          <w:rFonts w:ascii="Times New Roman" w:hAnsi="Times New Roman" w:cs="Times New Roman"/>
          <w:lang w:val="en-AU" w:eastAsia="en-US"/>
        </w:rPr>
        <w:t>parameteri</w:t>
      </w:r>
      <w:r w:rsidR="008820CE">
        <w:rPr>
          <w:rFonts w:ascii="Times New Roman" w:hAnsi="Times New Roman" w:cs="Times New Roman"/>
          <w:lang w:val="en-AU" w:eastAsia="en-US"/>
        </w:rPr>
        <w:t>s</w:t>
      </w:r>
      <w:r w:rsidR="008820CE" w:rsidRPr="008820CE">
        <w:rPr>
          <w:rFonts w:ascii="Times New Roman" w:hAnsi="Times New Roman" w:cs="Times New Roman"/>
          <w:lang w:val="en-AU" w:eastAsia="en-US"/>
        </w:rPr>
        <w:t>able structural uncertainty.</w:t>
      </w:r>
    </w:p>
    <w:bookmarkEnd w:id="62"/>
    <w:bookmarkEnd w:id="63"/>
    <w:p w14:paraId="72C6FC91" w14:textId="743D2F9D" w:rsidR="008820CE" w:rsidRDefault="002630BC" w:rsidP="00C15362">
      <w:pPr>
        <w:adjustRightInd w:val="0"/>
        <w:snapToGrid w:val="0"/>
        <w:spacing w:line="360" w:lineRule="auto"/>
        <w:jc w:val="center"/>
        <w:rPr>
          <w:rFonts w:ascii="Times New Roman" w:hAnsi="Times New Roman" w:cs="Times New Roman"/>
          <w:lang w:val="en-AU" w:eastAsia="en-US"/>
        </w:rPr>
      </w:pPr>
      <w:r w:rsidRPr="002630BC">
        <w:rPr>
          <w:rFonts w:ascii="Times New Roman" w:hAnsi="Times New Roman" w:cs="Times New Roman"/>
          <w:noProof/>
          <w:lang w:val="en-IN" w:eastAsia="en-IN"/>
        </w:rPr>
        <w:lastRenderedPageBreak/>
        <w:drawing>
          <wp:inline distT="0" distB="0" distL="0" distR="0" wp14:anchorId="6A10DCB8" wp14:editId="74717226">
            <wp:extent cx="5274310" cy="3829050"/>
            <wp:effectExtent l="0" t="0" r="2540" b="0"/>
            <wp:docPr id="20543390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829050"/>
                    </a:xfrm>
                    <a:prstGeom prst="rect">
                      <a:avLst/>
                    </a:prstGeom>
                    <a:noFill/>
                    <a:ln>
                      <a:noFill/>
                    </a:ln>
                  </pic:spPr>
                </pic:pic>
              </a:graphicData>
            </a:graphic>
          </wp:inline>
        </w:drawing>
      </w:r>
    </w:p>
    <w:p w14:paraId="094242A5" w14:textId="7E917F47" w:rsidR="008820CE" w:rsidRPr="00656661" w:rsidRDefault="008820CE" w:rsidP="00C15362">
      <w:pPr>
        <w:pStyle w:val="p"/>
        <w:adjustRightInd w:val="0"/>
        <w:snapToGrid w:val="0"/>
        <w:spacing w:before="0" w:beforeAutospacing="0" w:after="0" w:afterAutospacing="0" w:line="360" w:lineRule="auto"/>
        <w:rPr>
          <w:rFonts w:eastAsiaTheme="minorEastAsia"/>
          <w:color w:val="333333"/>
          <w:sz w:val="18"/>
          <w:szCs w:val="18"/>
        </w:rPr>
      </w:pPr>
      <w:r w:rsidRPr="00656661">
        <w:rPr>
          <w:rFonts w:eastAsiaTheme="minorEastAsia"/>
          <w:color w:val="333333"/>
          <w:sz w:val="18"/>
          <w:szCs w:val="18"/>
        </w:rPr>
        <w:t>F</w:t>
      </w:r>
      <w:r w:rsidRPr="00656661">
        <w:rPr>
          <w:rFonts w:eastAsiaTheme="minorEastAsia" w:hint="eastAsia"/>
          <w:color w:val="333333"/>
          <w:sz w:val="18"/>
          <w:szCs w:val="18"/>
        </w:rPr>
        <w:t xml:space="preserve">ig </w:t>
      </w:r>
      <w:r w:rsidR="00195CB9">
        <w:rPr>
          <w:rFonts w:eastAsiaTheme="minorEastAsia"/>
          <w:color w:val="333333"/>
          <w:sz w:val="18"/>
          <w:szCs w:val="18"/>
        </w:rPr>
        <w:t>8-1</w:t>
      </w:r>
      <w:r w:rsidR="00195CB9" w:rsidRPr="00656661">
        <w:rPr>
          <w:rFonts w:eastAsiaTheme="minorEastAsia" w:hint="eastAsia"/>
          <w:color w:val="333333"/>
          <w:sz w:val="18"/>
          <w:szCs w:val="18"/>
        </w:rPr>
        <w:t xml:space="preserve"> </w:t>
      </w:r>
      <w:r w:rsidRPr="00656661">
        <w:rPr>
          <w:rFonts w:eastAsiaTheme="minorEastAsia"/>
          <w:color w:val="333333"/>
          <w:sz w:val="18"/>
          <w:szCs w:val="18"/>
        </w:rPr>
        <w:t>CART model</w:t>
      </w:r>
      <w:r w:rsidRPr="00656661">
        <w:rPr>
          <w:rFonts w:eastAsiaTheme="minorEastAsia" w:hint="eastAsia"/>
          <w:color w:val="333333"/>
          <w:sz w:val="18"/>
          <w:szCs w:val="18"/>
        </w:rPr>
        <w:t xml:space="preserve"> for uncertainty classification for PBAC </w:t>
      </w:r>
      <w:r w:rsidRPr="00656661">
        <w:rPr>
          <w:rFonts w:eastAsiaTheme="minorEastAsia"/>
          <w:color w:val="333333"/>
          <w:sz w:val="18"/>
          <w:szCs w:val="18"/>
        </w:rPr>
        <w:t>recommendations</w:t>
      </w:r>
    </w:p>
    <w:p w14:paraId="4E037A86" w14:textId="396B3663" w:rsidR="008820CE" w:rsidRPr="00A701AD" w:rsidRDefault="008820CE" w:rsidP="00C15362">
      <w:pPr>
        <w:pStyle w:val="p"/>
        <w:adjustRightInd w:val="0"/>
        <w:snapToGrid w:val="0"/>
        <w:spacing w:before="0" w:beforeAutospacing="0" w:after="0" w:afterAutospacing="0" w:line="360" w:lineRule="auto"/>
        <w:rPr>
          <w:rFonts w:eastAsiaTheme="minorEastAsia"/>
          <w:color w:val="333333"/>
          <w:sz w:val="18"/>
          <w:szCs w:val="18"/>
        </w:rPr>
      </w:pPr>
      <w:r w:rsidRPr="00656661">
        <w:rPr>
          <w:rFonts w:eastAsiaTheme="minorEastAsia"/>
          <w:color w:val="333333"/>
          <w:sz w:val="18"/>
          <w:szCs w:val="18"/>
        </w:rPr>
        <w:t xml:space="preserve">Recursive partition decision tree using recommendations “recommended-rejected or deferral” as dependent variables. </w:t>
      </w:r>
      <w:r w:rsidR="00396290">
        <w:rPr>
          <w:rFonts w:eastAsiaTheme="minorEastAsia"/>
          <w:color w:val="333333"/>
          <w:sz w:val="18"/>
          <w:szCs w:val="18"/>
        </w:rPr>
        <w:t xml:space="preserve">The boxes indicate </w:t>
      </w:r>
      <w:r w:rsidR="00396290" w:rsidRPr="00A701AD">
        <w:rPr>
          <w:rFonts w:eastAsiaTheme="minorEastAsia"/>
          <w:color w:val="333333"/>
          <w:sz w:val="18"/>
          <w:szCs w:val="18"/>
        </w:rPr>
        <w:t xml:space="preserve">the predicted class, where </w:t>
      </w:r>
      <w:r w:rsidR="00A701AD">
        <w:rPr>
          <w:rFonts w:eastAsiaTheme="minorEastAsia"/>
          <w:color w:val="333333"/>
          <w:sz w:val="18"/>
          <w:szCs w:val="18"/>
        </w:rPr>
        <w:t>navy blue</w:t>
      </w:r>
      <w:r w:rsidRPr="00656661">
        <w:rPr>
          <w:rFonts w:eastAsiaTheme="minorEastAsia"/>
          <w:color w:val="333333"/>
          <w:sz w:val="18"/>
          <w:szCs w:val="18"/>
        </w:rPr>
        <w:t xml:space="preserve"> boxes indicate the medicine-indication pairs recommended by the PBAC and</w:t>
      </w:r>
      <w:r w:rsidR="00A701AD">
        <w:rPr>
          <w:rFonts w:eastAsiaTheme="minorEastAsia"/>
          <w:color w:val="333333"/>
          <w:sz w:val="18"/>
          <w:szCs w:val="18"/>
        </w:rPr>
        <w:t xml:space="preserve"> light</w:t>
      </w:r>
      <w:r w:rsidRPr="00656661">
        <w:rPr>
          <w:rFonts w:eastAsiaTheme="minorEastAsia"/>
          <w:color w:val="333333"/>
          <w:sz w:val="18"/>
          <w:szCs w:val="18"/>
        </w:rPr>
        <w:t xml:space="preserve"> </w:t>
      </w:r>
      <w:r w:rsidR="00844837">
        <w:rPr>
          <w:rFonts w:eastAsiaTheme="minorEastAsia"/>
          <w:color w:val="333333"/>
          <w:sz w:val="18"/>
          <w:szCs w:val="18"/>
        </w:rPr>
        <w:t xml:space="preserve">blue </w:t>
      </w:r>
      <w:r w:rsidRPr="00656661">
        <w:rPr>
          <w:rFonts w:eastAsiaTheme="minorEastAsia"/>
          <w:color w:val="333333"/>
          <w:sz w:val="18"/>
          <w:szCs w:val="18"/>
        </w:rPr>
        <w:t xml:space="preserve">boxes represent negative recommendations. The decimal </w:t>
      </w:r>
      <w:r w:rsidR="00396290">
        <w:rPr>
          <w:rFonts w:eastAsiaTheme="minorEastAsia"/>
          <w:color w:val="333333"/>
          <w:sz w:val="18"/>
          <w:szCs w:val="18"/>
        </w:rPr>
        <w:t>within</w:t>
      </w:r>
      <w:r w:rsidR="00396290" w:rsidRPr="00656661">
        <w:rPr>
          <w:rFonts w:eastAsiaTheme="minorEastAsia"/>
          <w:color w:val="333333"/>
          <w:sz w:val="18"/>
          <w:szCs w:val="18"/>
        </w:rPr>
        <w:t xml:space="preserve"> </w:t>
      </w:r>
      <w:r w:rsidRPr="00656661">
        <w:rPr>
          <w:rFonts w:eastAsiaTheme="minorEastAsia"/>
          <w:color w:val="333333"/>
          <w:sz w:val="18"/>
          <w:szCs w:val="18"/>
        </w:rPr>
        <w:t xml:space="preserve">each box shows the predicted probability of a </w:t>
      </w:r>
      <w:r w:rsidRPr="007F5AB4">
        <w:rPr>
          <w:rFonts w:eastAsiaTheme="minorEastAsia" w:hint="eastAsia"/>
          <w:color w:val="333333"/>
          <w:sz w:val="18"/>
          <w:szCs w:val="18"/>
        </w:rPr>
        <w:t xml:space="preserve">PBAC positive </w:t>
      </w:r>
      <w:r w:rsidRPr="007F5AB4">
        <w:rPr>
          <w:rFonts w:eastAsiaTheme="minorEastAsia"/>
          <w:color w:val="333333"/>
          <w:sz w:val="18"/>
          <w:szCs w:val="18"/>
        </w:rPr>
        <w:t>recommendation, and the percentage indicates the proportion of medicine-indication pairs in that node.</w:t>
      </w:r>
      <w:r w:rsidR="00C07E80">
        <w:rPr>
          <w:rFonts w:eastAsiaTheme="minorEastAsia"/>
          <w:color w:val="333333"/>
          <w:sz w:val="18"/>
          <w:szCs w:val="18"/>
        </w:rPr>
        <w:t xml:space="preserve"> Take the right branch of the tree as an example to interpret the result, </w:t>
      </w:r>
      <w:r w:rsidR="006641D5">
        <w:rPr>
          <w:rFonts w:eastAsiaTheme="minorEastAsia"/>
          <w:color w:val="333333"/>
          <w:sz w:val="18"/>
          <w:szCs w:val="18"/>
        </w:rPr>
        <w:t xml:space="preserve">the submission without the uncertainty around </w:t>
      </w:r>
      <w:r w:rsidR="006641D5" w:rsidRPr="006641D5">
        <w:rPr>
          <w:rFonts w:eastAsiaTheme="minorEastAsia"/>
          <w:color w:val="333333"/>
          <w:sz w:val="18"/>
          <w:szCs w:val="18"/>
        </w:rPr>
        <w:t>proposed clinical management algorithms and proposed PBS listing</w:t>
      </w:r>
      <w:r w:rsidR="006641D5">
        <w:rPr>
          <w:rFonts w:eastAsiaTheme="minorEastAsia"/>
          <w:color w:val="333333"/>
          <w:sz w:val="18"/>
          <w:szCs w:val="18"/>
        </w:rPr>
        <w:t xml:space="preserve">, </w:t>
      </w:r>
      <w:r w:rsidR="00B07475">
        <w:rPr>
          <w:rFonts w:eastAsiaTheme="minorEastAsia"/>
          <w:color w:val="333333"/>
          <w:sz w:val="18"/>
          <w:szCs w:val="18"/>
        </w:rPr>
        <w:t xml:space="preserve">the </w:t>
      </w:r>
      <w:r w:rsidR="006641D5" w:rsidRPr="006641D5">
        <w:rPr>
          <w:rFonts w:eastAsiaTheme="minorEastAsia"/>
          <w:color w:val="333333"/>
          <w:sz w:val="18"/>
          <w:szCs w:val="18"/>
        </w:rPr>
        <w:t>relationship between time and transition probabilities or treatment effect</w:t>
      </w:r>
      <w:r w:rsidR="006641D5">
        <w:rPr>
          <w:rFonts w:eastAsiaTheme="minorEastAsia"/>
          <w:color w:val="333333"/>
          <w:sz w:val="18"/>
          <w:szCs w:val="18"/>
        </w:rPr>
        <w:t xml:space="preserve">, </w:t>
      </w:r>
      <w:r w:rsidR="006641D5" w:rsidRPr="006641D5">
        <w:rPr>
          <w:rFonts w:eastAsiaTheme="minorEastAsia"/>
          <w:color w:val="333333"/>
          <w:sz w:val="18"/>
          <w:szCs w:val="18"/>
        </w:rPr>
        <w:t>generalisability and parametric model</w:t>
      </w:r>
      <w:r w:rsidR="006641D5">
        <w:rPr>
          <w:rFonts w:eastAsiaTheme="minorEastAsia"/>
          <w:color w:val="333333"/>
          <w:sz w:val="18"/>
          <w:szCs w:val="18"/>
        </w:rPr>
        <w:t xml:space="preserve">, this medicine had 0.83 of possibility to be recommended. </w:t>
      </w:r>
    </w:p>
    <w:p w14:paraId="547DF4B7" w14:textId="22A1F764" w:rsidR="00111EC6" w:rsidRPr="008F448B" w:rsidRDefault="00111EC6" w:rsidP="00C15362">
      <w:pPr>
        <w:pStyle w:val="Heading1"/>
        <w:widowControl/>
        <w:adjustRightInd w:val="0"/>
        <w:snapToGrid w:val="0"/>
        <w:spacing w:before="240" w:after="0" w:line="360" w:lineRule="auto"/>
        <w:jc w:val="left"/>
        <w:rPr>
          <w:rFonts w:ascii="Times New Roman" w:eastAsiaTheme="majorEastAsia" w:hAnsi="Times New Roman" w:cs="Times New Roman"/>
          <w:b w:val="0"/>
          <w:bCs w:val="0"/>
          <w:kern w:val="0"/>
          <w:sz w:val="20"/>
          <w:szCs w:val="20"/>
          <w:lang w:val="en-AU" w:eastAsia="en-US"/>
        </w:rPr>
      </w:pPr>
      <w:r w:rsidRPr="008F448B">
        <w:rPr>
          <w:rFonts w:ascii="Times New Roman" w:eastAsiaTheme="majorEastAsia" w:hAnsi="Times New Roman" w:cs="Times New Roman"/>
          <w:bCs w:val="0"/>
          <w:kern w:val="0"/>
          <w:sz w:val="20"/>
          <w:szCs w:val="20"/>
          <w:lang w:val="en-AU" w:eastAsia="en-US"/>
        </w:rPr>
        <w:t>Reference</w:t>
      </w:r>
      <w:r w:rsidR="0088052B" w:rsidRPr="008F448B">
        <w:rPr>
          <w:rFonts w:ascii="Times New Roman" w:eastAsiaTheme="majorEastAsia" w:hAnsi="Times New Roman" w:cs="Times New Roman"/>
          <w:bCs w:val="0"/>
          <w:kern w:val="0"/>
          <w:sz w:val="20"/>
          <w:szCs w:val="20"/>
          <w:lang w:val="en-AU" w:eastAsia="en-US"/>
        </w:rPr>
        <w:t>s</w:t>
      </w:r>
    </w:p>
    <w:p w14:paraId="118A0457" w14:textId="77777777" w:rsidR="00687A2B" w:rsidRPr="00687A2B" w:rsidRDefault="00111EC6" w:rsidP="00687A2B">
      <w:pPr>
        <w:pStyle w:val="EndNoteBibliography"/>
        <w:rPr>
          <w:noProof/>
        </w:rPr>
      </w:pPr>
      <w:r w:rsidRPr="008F448B">
        <w:rPr>
          <w:szCs w:val="20"/>
        </w:rPr>
        <w:fldChar w:fldCharType="begin"/>
      </w:r>
      <w:r w:rsidRPr="008F448B">
        <w:rPr>
          <w:szCs w:val="20"/>
        </w:rPr>
        <w:instrText xml:space="preserve"> ADDIN EN.REFLIST </w:instrText>
      </w:r>
      <w:r w:rsidRPr="008F448B">
        <w:rPr>
          <w:szCs w:val="20"/>
        </w:rPr>
        <w:fldChar w:fldCharType="separate"/>
      </w:r>
      <w:r w:rsidR="00687A2B" w:rsidRPr="00687A2B">
        <w:rPr>
          <w:noProof/>
        </w:rPr>
        <w:t>1.</w:t>
      </w:r>
      <w:r w:rsidR="00687A2B" w:rsidRPr="00687A2B">
        <w:rPr>
          <w:noProof/>
        </w:rPr>
        <w:tab/>
        <w:t>Masucci L, Beca J, Sabharwal M, Hoch JS. Methodological Issues in Economic Evaluations Submitted to the Pan-Canadian Oncology Drug Review (pCODR). Pharmacoecon Open. 2017;1(4):255-63. 10.1007/s41669-017-0018-3.</w:t>
      </w:r>
    </w:p>
    <w:p w14:paraId="0F22B6D7" w14:textId="77777777" w:rsidR="00687A2B" w:rsidRPr="00687A2B" w:rsidRDefault="00687A2B" w:rsidP="00687A2B">
      <w:pPr>
        <w:pStyle w:val="EndNoteBibliography"/>
        <w:rPr>
          <w:noProof/>
        </w:rPr>
      </w:pPr>
      <w:r w:rsidRPr="00687A2B">
        <w:rPr>
          <w:noProof/>
        </w:rPr>
        <w:t>2.</w:t>
      </w:r>
      <w:r w:rsidRPr="00687A2B">
        <w:rPr>
          <w:noProof/>
        </w:rPr>
        <w:tab/>
        <w:t>Harris AH, Hill SR, Chin G, Li JJ, Walkom E. The role of value for money in public insurance coverage decisions for drugs in Australia: a retrospective analysis 1994-2004. Medical decision making : an international journal of the Society for Medical Decision Making. 2008;28(5):713-22. 10.1177/0272989x08315247.</w:t>
      </w:r>
    </w:p>
    <w:p w14:paraId="720989E5" w14:textId="77777777" w:rsidR="00687A2B" w:rsidRPr="00687A2B" w:rsidRDefault="00687A2B" w:rsidP="00687A2B">
      <w:pPr>
        <w:pStyle w:val="EndNoteBibliography"/>
        <w:rPr>
          <w:noProof/>
        </w:rPr>
      </w:pPr>
      <w:r w:rsidRPr="00687A2B">
        <w:rPr>
          <w:noProof/>
        </w:rPr>
        <w:t>3.</w:t>
      </w:r>
      <w:r w:rsidRPr="00687A2B">
        <w:rPr>
          <w:noProof/>
        </w:rPr>
        <w:tab/>
        <w:t>Harris A, Li JJ, Yong K. What Can We Expect from Value-Based Funding of Medicines? A Retrospective Study. PharmacoEconomics. 2016;34(4):393-402. 10.1007/s40273-015-0354-z.</w:t>
      </w:r>
    </w:p>
    <w:p w14:paraId="7B19F7FF" w14:textId="77777777" w:rsidR="00687A2B" w:rsidRPr="00687A2B" w:rsidRDefault="00687A2B" w:rsidP="00687A2B">
      <w:pPr>
        <w:pStyle w:val="EndNoteBibliography"/>
        <w:rPr>
          <w:noProof/>
        </w:rPr>
      </w:pPr>
      <w:r w:rsidRPr="00687A2B">
        <w:rPr>
          <w:noProof/>
        </w:rPr>
        <w:t>4.</w:t>
      </w:r>
      <w:r w:rsidRPr="00687A2B">
        <w:rPr>
          <w:noProof/>
        </w:rPr>
        <w:tab/>
        <w:t>Briggs AH. Handling uncertainty in cost-effectiveness models. PharmacoEconomics. 2000;17(5):479-500. 10.2165/00019053-200017050-00006.</w:t>
      </w:r>
    </w:p>
    <w:p w14:paraId="3DF6BC09" w14:textId="77777777" w:rsidR="00687A2B" w:rsidRPr="00687A2B" w:rsidRDefault="00687A2B" w:rsidP="00687A2B">
      <w:pPr>
        <w:pStyle w:val="EndNoteBibliography"/>
        <w:rPr>
          <w:noProof/>
        </w:rPr>
      </w:pPr>
      <w:r w:rsidRPr="00687A2B">
        <w:rPr>
          <w:noProof/>
        </w:rPr>
        <w:t>5.</w:t>
      </w:r>
      <w:r w:rsidRPr="00687A2B">
        <w:rPr>
          <w:noProof/>
        </w:rPr>
        <w:tab/>
        <w:t xml:space="preserve">Bilcke J, Beutels P, Brisson M, Jit M. Accounting for methodological, structural, and parameter uncertainty in decision-analytic models: a practical guide. Medical decision making : an international </w:t>
      </w:r>
      <w:r w:rsidRPr="00687A2B">
        <w:rPr>
          <w:noProof/>
        </w:rPr>
        <w:lastRenderedPageBreak/>
        <w:t>journal of the Society for Medical Decision Making. 2011;31(4):675-92. 10.1177/0272989x11409240.</w:t>
      </w:r>
    </w:p>
    <w:p w14:paraId="480A85E3" w14:textId="77777777" w:rsidR="00687A2B" w:rsidRPr="00687A2B" w:rsidRDefault="00687A2B" w:rsidP="00687A2B">
      <w:pPr>
        <w:pStyle w:val="EndNoteBibliography"/>
        <w:rPr>
          <w:noProof/>
        </w:rPr>
      </w:pPr>
      <w:r w:rsidRPr="00687A2B">
        <w:rPr>
          <w:noProof/>
        </w:rPr>
        <w:t>6.</w:t>
      </w:r>
      <w:r w:rsidRPr="00687A2B">
        <w:rPr>
          <w:noProof/>
        </w:rPr>
        <w:tab/>
        <w:t xml:space="preserve">Briggs AH, Gray AM. Handling uncertainty when performing economic evaluation of healthcare interventions. Health technology assessment (Winchester, England). 1999;3(2):1-134. </w:t>
      </w:r>
    </w:p>
    <w:p w14:paraId="7D5BCDF7" w14:textId="77777777" w:rsidR="00687A2B" w:rsidRPr="00687A2B" w:rsidRDefault="00687A2B" w:rsidP="00687A2B">
      <w:pPr>
        <w:pStyle w:val="EndNoteBibliography"/>
        <w:rPr>
          <w:noProof/>
        </w:rPr>
      </w:pPr>
      <w:r w:rsidRPr="00687A2B">
        <w:rPr>
          <w:noProof/>
        </w:rPr>
        <w:t>7.</w:t>
      </w:r>
      <w:r w:rsidRPr="00687A2B">
        <w:rPr>
          <w:noProof/>
        </w:rPr>
        <w:tab/>
        <w:t>Drummond MD, M.F., McGuire A. Economic evaluation in health care: merging theory with practice. . Oxford: Oxford University Press; 2001.</w:t>
      </w:r>
    </w:p>
    <w:p w14:paraId="3FEFF129" w14:textId="77777777" w:rsidR="00687A2B" w:rsidRPr="00687A2B" w:rsidRDefault="00687A2B" w:rsidP="00687A2B">
      <w:pPr>
        <w:pStyle w:val="EndNoteBibliography"/>
        <w:rPr>
          <w:noProof/>
        </w:rPr>
      </w:pPr>
      <w:r w:rsidRPr="00687A2B">
        <w:rPr>
          <w:noProof/>
        </w:rPr>
        <w:t>8.</w:t>
      </w:r>
      <w:r w:rsidRPr="00687A2B">
        <w:rPr>
          <w:noProof/>
        </w:rPr>
        <w:tab/>
        <w:t>Bojke L, Claxton K, Palmer S, Sculpher M. Defining and characterising structural uncertainty in decision analytic models: The University of York; 2006.</w:t>
      </w:r>
    </w:p>
    <w:p w14:paraId="0566C2A6" w14:textId="5EBF69A0" w:rsidR="00687A2B" w:rsidRPr="00687A2B" w:rsidRDefault="00687A2B" w:rsidP="00687A2B">
      <w:pPr>
        <w:pStyle w:val="EndNoteBibliography"/>
        <w:rPr>
          <w:noProof/>
        </w:rPr>
      </w:pPr>
      <w:r w:rsidRPr="00687A2B">
        <w:rPr>
          <w:noProof/>
        </w:rPr>
        <w:t>9.</w:t>
      </w:r>
      <w:r w:rsidRPr="00687A2B">
        <w:rPr>
          <w:noProof/>
        </w:rPr>
        <w:tab/>
        <w:t xml:space="preserve">Canadian Agency for Drugs and Technologies in Health. Guidelines for the Economic Evaluation of Health Technologies: Canada-4th Edition. 2017. </w:t>
      </w:r>
      <w:hyperlink r:id="rId15" w:history="1">
        <w:r w:rsidRPr="00687A2B">
          <w:rPr>
            <w:rStyle w:val="Hyperlink"/>
            <w:noProof/>
          </w:rPr>
          <w:t>https://www.cadth.ca/sites/default/files/pdf/guidelines_for_the_economic_evaluation_of_health_technologies_canada_4th_ed.pdf</w:t>
        </w:r>
      </w:hyperlink>
      <w:r w:rsidRPr="00687A2B">
        <w:rPr>
          <w:noProof/>
        </w:rPr>
        <w:t>. Accessed 10 Feb 2022.</w:t>
      </w:r>
    </w:p>
    <w:p w14:paraId="23D50B89" w14:textId="2E2C06A1" w:rsidR="00687A2B" w:rsidRPr="00687A2B" w:rsidRDefault="00687A2B" w:rsidP="00687A2B">
      <w:pPr>
        <w:pStyle w:val="EndNoteBibliography"/>
        <w:rPr>
          <w:noProof/>
        </w:rPr>
      </w:pPr>
      <w:r w:rsidRPr="00687A2B">
        <w:rPr>
          <w:noProof/>
        </w:rPr>
        <w:t>10.</w:t>
      </w:r>
      <w:r w:rsidRPr="00687A2B">
        <w:rPr>
          <w:noProof/>
        </w:rPr>
        <w:tab/>
        <w:t xml:space="preserve">Norwegian Medicines Agency. Guidelines for the submission of documentation for single technology assessment (STA) of pharmaceuticals. 2017. </w:t>
      </w:r>
      <w:hyperlink r:id="rId16" w:history="1">
        <w:r w:rsidRPr="00687A2B">
          <w:rPr>
            <w:rStyle w:val="Hyperlink"/>
            <w:noProof/>
          </w:rPr>
          <w:t>https://legemiddelverket.no/Documents/English/Public%20funding%20and%20pricing/Documentation%20for%20STA/Guidelines%20151018.pdf</w:t>
        </w:r>
      </w:hyperlink>
      <w:r w:rsidRPr="00687A2B">
        <w:rPr>
          <w:noProof/>
        </w:rPr>
        <w:t>. Accessed 10 Feb 2022.</w:t>
      </w:r>
    </w:p>
    <w:p w14:paraId="09D0C56F" w14:textId="64EEA959" w:rsidR="00687A2B" w:rsidRPr="00687A2B" w:rsidRDefault="00687A2B" w:rsidP="00687A2B">
      <w:pPr>
        <w:pStyle w:val="EndNoteBibliography"/>
        <w:rPr>
          <w:noProof/>
        </w:rPr>
      </w:pPr>
      <w:r w:rsidRPr="00687A2B">
        <w:rPr>
          <w:noProof/>
        </w:rPr>
        <w:t>11.</w:t>
      </w:r>
      <w:r w:rsidRPr="00687A2B">
        <w:rPr>
          <w:noProof/>
        </w:rPr>
        <w:tab/>
        <w:t xml:space="preserve">National Institute for Health and Care Excellence. NICE health technology evaluations: the manual. 2022. </w:t>
      </w:r>
      <w:hyperlink r:id="rId17" w:history="1">
        <w:r w:rsidRPr="00687A2B">
          <w:rPr>
            <w:rStyle w:val="Hyperlink"/>
            <w:noProof/>
          </w:rPr>
          <w:t>https://www.nice.org.uk/process/pmg36/resources/nice-health-technology-evaluations-the-manual-pdf-72286779244741</w:t>
        </w:r>
      </w:hyperlink>
      <w:r w:rsidRPr="00687A2B">
        <w:rPr>
          <w:noProof/>
        </w:rPr>
        <w:t>. Accessed 1 Dec 2022.</w:t>
      </w:r>
    </w:p>
    <w:p w14:paraId="2FFF8A2E" w14:textId="4DA95B0C" w:rsidR="00687A2B" w:rsidRPr="00687A2B" w:rsidRDefault="00687A2B" w:rsidP="00687A2B">
      <w:pPr>
        <w:pStyle w:val="EndNoteBibliography"/>
        <w:rPr>
          <w:noProof/>
        </w:rPr>
      </w:pPr>
      <w:r w:rsidRPr="00687A2B">
        <w:rPr>
          <w:noProof/>
        </w:rPr>
        <w:t>12.</w:t>
      </w:r>
      <w:r w:rsidRPr="00687A2B">
        <w:rPr>
          <w:noProof/>
        </w:rPr>
        <w:tab/>
        <w:t xml:space="preserve">Canadian Agency for Drugs and Technologies in Health. Guidelines for the Economic Evaluation of Health Technologies: Canada. 2017. </w:t>
      </w:r>
      <w:hyperlink r:id="rId18" w:history="1">
        <w:r w:rsidRPr="00687A2B">
          <w:rPr>
            <w:rStyle w:val="Hyperlink"/>
            <w:noProof/>
          </w:rPr>
          <w:t>https://www.cadth.ca/sites/default/files/pdf/economic_guidelines_worked_example.pdf</w:t>
        </w:r>
      </w:hyperlink>
      <w:r w:rsidRPr="00687A2B">
        <w:rPr>
          <w:noProof/>
        </w:rPr>
        <w:t>. Accessed 10 Feb 2022.</w:t>
      </w:r>
    </w:p>
    <w:p w14:paraId="34D73254" w14:textId="13E68B8C" w:rsidR="00687A2B" w:rsidRPr="00687A2B" w:rsidRDefault="00687A2B" w:rsidP="00687A2B">
      <w:pPr>
        <w:pStyle w:val="EndNoteBibliography"/>
        <w:rPr>
          <w:noProof/>
        </w:rPr>
      </w:pPr>
      <w:r w:rsidRPr="00687A2B">
        <w:rPr>
          <w:noProof/>
        </w:rPr>
        <w:t>13.</w:t>
      </w:r>
      <w:r w:rsidRPr="00687A2B">
        <w:rPr>
          <w:noProof/>
        </w:rPr>
        <w:tab/>
        <w:t xml:space="preserve">Pharmaceutical Benefits Advisory Committee. Dupilumab: Injection 300 mg in 2 mL single dose pre-filled syringe; Dupixent®. 2018. </w:t>
      </w:r>
      <w:hyperlink r:id="rId19" w:history="1">
        <w:r w:rsidRPr="00687A2B">
          <w:rPr>
            <w:rStyle w:val="Hyperlink"/>
            <w:noProof/>
          </w:rPr>
          <w:t>https://www.pbs.gov.au/info/industry/listing/elements/pbac-meetings/psd/2018-07/Dupilumab-psd-july-2018</w:t>
        </w:r>
      </w:hyperlink>
      <w:r w:rsidRPr="00687A2B">
        <w:rPr>
          <w:noProof/>
        </w:rPr>
        <w:t>. Accessed 30 Aug 2020.</w:t>
      </w:r>
    </w:p>
    <w:p w14:paraId="1DFC7C77" w14:textId="58C15567" w:rsidR="00687A2B" w:rsidRPr="00687A2B" w:rsidRDefault="00687A2B" w:rsidP="00687A2B">
      <w:pPr>
        <w:pStyle w:val="EndNoteBibliography"/>
        <w:rPr>
          <w:noProof/>
        </w:rPr>
      </w:pPr>
      <w:r w:rsidRPr="00687A2B">
        <w:rPr>
          <w:noProof/>
        </w:rPr>
        <w:t>14.</w:t>
      </w:r>
      <w:r w:rsidRPr="00687A2B">
        <w:rPr>
          <w:noProof/>
        </w:rPr>
        <w:tab/>
        <w:t xml:space="preserve">Pharmaceutical Benefits Advisory Committee. Pembrolizumab (NSCLC): Powder for injection 50 mg; Keytruda®. 2016. </w:t>
      </w:r>
      <w:hyperlink r:id="rId20" w:history="1">
        <w:r w:rsidRPr="00687A2B">
          <w:rPr>
            <w:rStyle w:val="Hyperlink"/>
            <w:noProof/>
          </w:rPr>
          <w:t>https://www.pbs.gov.au/info/industry/listing/elements/pbac-meetings/psd/2016-11/pembrolizumab-nsclc-keytruda-psd-november-2016</w:t>
        </w:r>
      </w:hyperlink>
      <w:r w:rsidRPr="00687A2B">
        <w:rPr>
          <w:noProof/>
        </w:rPr>
        <w:t>. Accessed 30 Aug 2020.</w:t>
      </w:r>
    </w:p>
    <w:p w14:paraId="4C2366A6" w14:textId="635EA26C" w:rsidR="00687A2B" w:rsidRPr="00687A2B" w:rsidRDefault="00687A2B" w:rsidP="00687A2B">
      <w:pPr>
        <w:pStyle w:val="EndNoteBibliography"/>
        <w:rPr>
          <w:noProof/>
        </w:rPr>
      </w:pPr>
      <w:r w:rsidRPr="00687A2B">
        <w:rPr>
          <w:noProof/>
        </w:rPr>
        <w:t>15.</w:t>
      </w:r>
      <w:r w:rsidRPr="00687A2B">
        <w:rPr>
          <w:noProof/>
        </w:rPr>
        <w:tab/>
        <w:t xml:space="preserve">Pharmaceutical Benefits Advisory Committee. Abiraterone Acetate, tablet, 250 mg, Zytiga®, Janssen-Cilag Pty Ltd. 2014. </w:t>
      </w:r>
      <w:hyperlink r:id="rId21" w:history="1">
        <w:r w:rsidRPr="00687A2B">
          <w:rPr>
            <w:rStyle w:val="Hyperlink"/>
            <w:noProof/>
          </w:rPr>
          <w:t>https://www.pbs.gov.au/info/industry/listing/elements/pbac-meetings/psd/2014-07/abiraterone-psd-07-2014</w:t>
        </w:r>
      </w:hyperlink>
      <w:r w:rsidRPr="00687A2B">
        <w:rPr>
          <w:noProof/>
        </w:rPr>
        <w:t>. Accessed 30 Aug 2020.</w:t>
      </w:r>
    </w:p>
    <w:p w14:paraId="3275D90C" w14:textId="2C17A0E7" w:rsidR="00687A2B" w:rsidRPr="00687A2B" w:rsidRDefault="00687A2B" w:rsidP="00687A2B">
      <w:pPr>
        <w:pStyle w:val="EndNoteBibliography"/>
        <w:rPr>
          <w:noProof/>
        </w:rPr>
      </w:pPr>
      <w:r w:rsidRPr="00687A2B">
        <w:rPr>
          <w:noProof/>
        </w:rPr>
        <w:t>16.</w:t>
      </w:r>
      <w:r w:rsidRPr="00687A2B">
        <w:rPr>
          <w:noProof/>
        </w:rPr>
        <w:tab/>
        <w:t xml:space="preserve">Pharmaceutical Benefits Advisory Committee. Guidelines for preparing submissions to the Pharmaceutical Benefits Advisory Committee. 2016. </w:t>
      </w:r>
      <w:hyperlink r:id="rId22" w:history="1">
        <w:r w:rsidRPr="00687A2B">
          <w:rPr>
            <w:rStyle w:val="Hyperlink"/>
            <w:noProof/>
          </w:rPr>
          <w:t>https://pbac.pbs.gov.au/content/information/files/pbac-guidelines-version-5.pdf</w:t>
        </w:r>
      </w:hyperlink>
      <w:r w:rsidRPr="00687A2B">
        <w:rPr>
          <w:noProof/>
        </w:rPr>
        <w:t>. Accessed 30 May 2020.</w:t>
      </w:r>
    </w:p>
    <w:p w14:paraId="69D37B14" w14:textId="7888E968" w:rsidR="00687A2B" w:rsidRPr="00687A2B" w:rsidRDefault="00687A2B" w:rsidP="00687A2B">
      <w:pPr>
        <w:pStyle w:val="EndNoteBibliography"/>
        <w:rPr>
          <w:noProof/>
        </w:rPr>
      </w:pPr>
      <w:r w:rsidRPr="00687A2B">
        <w:rPr>
          <w:noProof/>
        </w:rPr>
        <w:t>17.</w:t>
      </w:r>
      <w:r w:rsidRPr="00687A2B">
        <w:rPr>
          <w:noProof/>
        </w:rPr>
        <w:tab/>
        <w:t xml:space="preserve">Pharmaceutical Benefits Advisory Committee. Buprenorphine: Injection 8 mg in 0.16 mL pre-filled syringe, Injection 16 mg in 0.32 mL pre-filled syringe, Injection 24 mg in 0.48 mL pre-filled syringe, Injection 32 mg in 0.64 mL pre-filled syringe, Injection 64 mg in 0.18 mL pre-filled syringe, Injection 96 mg in 0.27 mL pre-filled syringe, Injection 128 mg in 0.36 mL pre-filled syringe; Buvidal®. 2018. </w:t>
      </w:r>
      <w:hyperlink r:id="rId23" w:history="1">
        <w:r w:rsidRPr="00687A2B">
          <w:rPr>
            <w:rStyle w:val="Hyperlink"/>
            <w:noProof/>
          </w:rPr>
          <w:t>https://www.pbs.gov.au/info/industry/listing/elements/pbac-meetings/psd/2018-11/Buprenorphine-psd-november-2018</w:t>
        </w:r>
      </w:hyperlink>
      <w:r w:rsidRPr="00687A2B">
        <w:rPr>
          <w:noProof/>
        </w:rPr>
        <w:t>. Accessed 30 Aug 2020.</w:t>
      </w:r>
    </w:p>
    <w:p w14:paraId="1DD6F76C" w14:textId="671FCD60" w:rsidR="00687A2B" w:rsidRPr="00687A2B" w:rsidRDefault="00687A2B" w:rsidP="00687A2B">
      <w:pPr>
        <w:pStyle w:val="EndNoteBibliography"/>
        <w:rPr>
          <w:noProof/>
        </w:rPr>
      </w:pPr>
      <w:r w:rsidRPr="00687A2B">
        <w:rPr>
          <w:noProof/>
        </w:rPr>
        <w:t>18.</w:t>
      </w:r>
      <w:r w:rsidRPr="00687A2B">
        <w:rPr>
          <w:noProof/>
        </w:rPr>
        <w:tab/>
        <w:t xml:space="preserve">Pharmaceutical Benefits Advisory Committee. Fulvestrant: Injection 250 mg in 5 mL pre-filled syringe; Faslodex®. 2020. </w:t>
      </w:r>
      <w:hyperlink r:id="rId24" w:history="1">
        <w:r w:rsidRPr="00687A2B">
          <w:rPr>
            <w:rStyle w:val="Hyperlink"/>
            <w:noProof/>
          </w:rPr>
          <w:t>https://www.pbs.gov.au/info/industry/listing/elements/pbac-meetings/psd/2020-07/fulvestrant-injection-250-mg-in-5-ml-pre-filled-syringe</w:t>
        </w:r>
      </w:hyperlink>
      <w:r w:rsidRPr="00687A2B">
        <w:rPr>
          <w:noProof/>
        </w:rPr>
        <w:t>. Accessed 15 Apr 2021.</w:t>
      </w:r>
    </w:p>
    <w:p w14:paraId="4F471853" w14:textId="77777777" w:rsidR="00687A2B" w:rsidRPr="00687A2B" w:rsidRDefault="00687A2B" w:rsidP="00687A2B">
      <w:pPr>
        <w:pStyle w:val="EndNoteBibliography"/>
        <w:rPr>
          <w:noProof/>
        </w:rPr>
      </w:pPr>
      <w:r w:rsidRPr="00687A2B">
        <w:rPr>
          <w:noProof/>
        </w:rPr>
        <w:t>19.</w:t>
      </w:r>
      <w:r w:rsidRPr="00687A2B">
        <w:rPr>
          <w:noProof/>
        </w:rPr>
        <w:tab/>
        <w:t xml:space="preserve">Devlin N, Scuffham P. Health today versus health tomorrow: does Australia really care less about its </w:t>
      </w:r>
      <w:r w:rsidRPr="00687A2B">
        <w:rPr>
          <w:noProof/>
        </w:rPr>
        <w:lastRenderedPageBreak/>
        <w:t>future health than other countries do? Australian health review : a publication of the Australian Hospital Association. 2020;44(3):337-9. 10.1071/ah20057.</w:t>
      </w:r>
    </w:p>
    <w:p w14:paraId="4B706BA5" w14:textId="37BC006E" w:rsidR="00687A2B" w:rsidRPr="00687A2B" w:rsidRDefault="00687A2B" w:rsidP="00687A2B">
      <w:pPr>
        <w:pStyle w:val="EndNoteBibliography"/>
        <w:rPr>
          <w:noProof/>
        </w:rPr>
      </w:pPr>
      <w:r w:rsidRPr="00687A2B">
        <w:rPr>
          <w:noProof/>
        </w:rPr>
        <w:t>20.</w:t>
      </w:r>
      <w:r w:rsidRPr="00687A2B">
        <w:rPr>
          <w:noProof/>
        </w:rPr>
        <w:tab/>
        <w:t xml:space="preserve">Pharmaceutical Benefits Advisory Committee. Glatiramer: Injection containing glatiramer acetate 20 mg in 1 mL single dose pre-filled syringe; Injection containing glatiramer acetate 40 mg in 1 mL single dose pre-filled syringe; Glatira®. 2021. </w:t>
      </w:r>
      <w:hyperlink r:id="rId25" w:history="1">
        <w:r w:rsidRPr="00687A2B">
          <w:rPr>
            <w:rStyle w:val="Hyperlink"/>
            <w:noProof/>
          </w:rPr>
          <w:t>https://www.pbs.gov.au/info/industry/listing/elements/pbac-meetings/psd/2021-03/glatiramer-injection-containing-glatiramer-acetate-20-mg</w:t>
        </w:r>
      </w:hyperlink>
      <w:r w:rsidRPr="00687A2B">
        <w:rPr>
          <w:noProof/>
        </w:rPr>
        <w:t>. Accessed 30 Mar 2022.</w:t>
      </w:r>
    </w:p>
    <w:p w14:paraId="0E977230" w14:textId="145877D8" w:rsidR="00687A2B" w:rsidRPr="00687A2B" w:rsidRDefault="00687A2B" w:rsidP="00687A2B">
      <w:pPr>
        <w:pStyle w:val="EndNoteBibliography"/>
        <w:rPr>
          <w:noProof/>
        </w:rPr>
      </w:pPr>
      <w:r w:rsidRPr="00687A2B">
        <w:rPr>
          <w:noProof/>
        </w:rPr>
        <w:t>21.</w:t>
      </w:r>
      <w:r w:rsidRPr="00687A2B">
        <w:rPr>
          <w:noProof/>
        </w:rPr>
        <w:tab/>
        <w:t xml:space="preserve">Pharmaceutical Benefits Advisory Committee. Blinatumomab: powder for IV infusion, 38.5 µg, Blincyto®. 2015. </w:t>
      </w:r>
      <w:hyperlink r:id="rId26" w:history="1">
        <w:r w:rsidRPr="00687A2B">
          <w:rPr>
            <w:rStyle w:val="Hyperlink"/>
            <w:noProof/>
          </w:rPr>
          <w:t>https://www.pbs.gov.au/info/industry/listing/elements/pbac-meetings/psd/2015-11/blinatumomab-blincyto-psd-november-2015</w:t>
        </w:r>
      </w:hyperlink>
      <w:r w:rsidRPr="00687A2B">
        <w:rPr>
          <w:noProof/>
        </w:rPr>
        <w:t>. Accessed 30 Aug 2020.</w:t>
      </w:r>
    </w:p>
    <w:p w14:paraId="07FA86F6" w14:textId="4F0C11DE" w:rsidR="00687A2B" w:rsidRPr="00687A2B" w:rsidRDefault="00687A2B" w:rsidP="00687A2B">
      <w:pPr>
        <w:pStyle w:val="EndNoteBibliography"/>
        <w:rPr>
          <w:noProof/>
        </w:rPr>
      </w:pPr>
      <w:r w:rsidRPr="00687A2B">
        <w:rPr>
          <w:noProof/>
        </w:rPr>
        <w:t>22.</w:t>
      </w:r>
      <w:r w:rsidRPr="00687A2B">
        <w:rPr>
          <w:noProof/>
        </w:rPr>
        <w:tab/>
        <w:t xml:space="preserve">Pharmaceutical Benefits Advisory Committee. Ciclosporin: Eye drops 0.1%, single dose units 0.4 mL, 30; Ikervis®. 2021. </w:t>
      </w:r>
      <w:hyperlink r:id="rId27" w:history="1">
        <w:r w:rsidRPr="00687A2B">
          <w:rPr>
            <w:rStyle w:val="Hyperlink"/>
            <w:noProof/>
          </w:rPr>
          <w:t>https://www.pbs.gov.au/info/industry/listing/elements/pbac-meetings/psd/2021-03/ciclosporin-eye-drops-0-1-single-dose-units-0-4-ml-30</w:t>
        </w:r>
      </w:hyperlink>
      <w:r w:rsidRPr="00687A2B">
        <w:rPr>
          <w:noProof/>
        </w:rPr>
        <w:t>. Accessed 30 Mar 2022.</w:t>
      </w:r>
    </w:p>
    <w:p w14:paraId="4A355336" w14:textId="08DAC2E8" w:rsidR="00687A2B" w:rsidRPr="00687A2B" w:rsidRDefault="00687A2B" w:rsidP="00687A2B">
      <w:pPr>
        <w:pStyle w:val="EndNoteBibliography"/>
        <w:rPr>
          <w:noProof/>
        </w:rPr>
      </w:pPr>
      <w:r w:rsidRPr="00687A2B">
        <w:rPr>
          <w:noProof/>
        </w:rPr>
        <w:t>23.</w:t>
      </w:r>
      <w:r w:rsidRPr="00687A2B">
        <w:rPr>
          <w:noProof/>
        </w:rPr>
        <w:tab/>
        <w:t xml:space="preserve">Pharmaceutical Benefits Advisory Committee. Asfotase alfa: Injection 18 mg in 0.45 mL, vial, Injection 28 mg in 0.7 mL, vial, Injection 40 mg in 1 mL, vial, Injection 80 mg in 0.8 mL, vial; Strensiq®. 2017. </w:t>
      </w:r>
      <w:hyperlink r:id="rId28" w:history="1">
        <w:r w:rsidRPr="00687A2B">
          <w:rPr>
            <w:rStyle w:val="Hyperlink"/>
            <w:noProof/>
          </w:rPr>
          <w:t>https://www.pbs.gov.au/info/industry/listing/elements/pbac-meetings/psd/2017-07/asfotase-alfa-rch-psd-july-2017</w:t>
        </w:r>
      </w:hyperlink>
      <w:r w:rsidRPr="00687A2B">
        <w:rPr>
          <w:noProof/>
        </w:rPr>
        <w:t>. Accessed 30 Aug 2020.</w:t>
      </w:r>
    </w:p>
    <w:p w14:paraId="5AAE6682" w14:textId="4040CD14" w:rsidR="00687A2B" w:rsidRPr="00687A2B" w:rsidRDefault="00687A2B" w:rsidP="00687A2B">
      <w:pPr>
        <w:pStyle w:val="EndNoteBibliography"/>
        <w:rPr>
          <w:noProof/>
        </w:rPr>
      </w:pPr>
      <w:r w:rsidRPr="00687A2B">
        <w:rPr>
          <w:noProof/>
        </w:rPr>
        <w:t>24.</w:t>
      </w:r>
      <w:r w:rsidRPr="00687A2B">
        <w:rPr>
          <w:noProof/>
        </w:rPr>
        <w:tab/>
        <w:t xml:space="preserve">Pharmaceutical Benefits Advisory Committee. Olaparib: Tablet 100 mg, Tablet 150 mg ; Lynparza®. 2019. </w:t>
      </w:r>
      <w:hyperlink r:id="rId29" w:history="1">
        <w:r w:rsidRPr="00687A2B">
          <w:rPr>
            <w:rStyle w:val="Hyperlink"/>
            <w:noProof/>
          </w:rPr>
          <w:t>https://www.pbs.gov.au/info/industry/listing/elements/pbac-meetings/psd/2019-11/olaparib-tablet-100-mg-tablet-150-mg-lynparza</w:t>
        </w:r>
      </w:hyperlink>
      <w:r w:rsidRPr="00687A2B">
        <w:rPr>
          <w:noProof/>
        </w:rPr>
        <w:t>. Accessed 30 Aug 2020.</w:t>
      </w:r>
    </w:p>
    <w:p w14:paraId="7C3A2498" w14:textId="77777777" w:rsidR="00687A2B" w:rsidRPr="00687A2B" w:rsidRDefault="00687A2B" w:rsidP="00687A2B">
      <w:pPr>
        <w:pStyle w:val="EndNoteBibliography"/>
        <w:rPr>
          <w:noProof/>
        </w:rPr>
      </w:pPr>
      <w:r w:rsidRPr="00687A2B">
        <w:rPr>
          <w:noProof/>
        </w:rPr>
        <w:t>25.</w:t>
      </w:r>
      <w:r w:rsidRPr="00687A2B">
        <w:rPr>
          <w:noProof/>
        </w:rPr>
        <w:tab/>
        <w:t>Haji Ali Afzali H, Bojke L, Karnon J. Model Structuring for Economic Evaluations of New Health Technologies. PharmacoEconomics. 2018;36(11):1309-19. 10.1007/s40273-018-0693-7.</w:t>
      </w:r>
    </w:p>
    <w:p w14:paraId="2D436EF0" w14:textId="3B6A75C8" w:rsidR="00687A2B" w:rsidRPr="00687A2B" w:rsidRDefault="00687A2B" w:rsidP="00687A2B">
      <w:pPr>
        <w:pStyle w:val="EndNoteBibliography"/>
        <w:rPr>
          <w:noProof/>
        </w:rPr>
      </w:pPr>
      <w:r w:rsidRPr="00687A2B">
        <w:rPr>
          <w:noProof/>
        </w:rPr>
        <w:t>26.</w:t>
      </w:r>
      <w:r w:rsidRPr="00687A2B">
        <w:rPr>
          <w:noProof/>
        </w:rPr>
        <w:tab/>
        <w:t xml:space="preserve">Pharmaceutical Benefits Advisory Committee. Anakinra; 100 mg/0.67 mL, 28 X 0.67 mL syringes; Kineret®. 2014. </w:t>
      </w:r>
      <w:hyperlink r:id="rId30" w:history="1">
        <w:r w:rsidRPr="00687A2B">
          <w:rPr>
            <w:rStyle w:val="Hyperlink"/>
            <w:noProof/>
          </w:rPr>
          <w:t>https://www.pbs.gov.au/info/industry/listing/elements/pbac-meetings/psd/2014-11/anakinra-psd-11-2014</w:t>
        </w:r>
      </w:hyperlink>
      <w:r w:rsidRPr="00687A2B">
        <w:rPr>
          <w:noProof/>
        </w:rPr>
        <w:t>. Accessed 30 Aug 2020.</w:t>
      </w:r>
    </w:p>
    <w:p w14:paraId="712CEFC4" w14:textId="779C41B5" w:rsidR="00687A2B" w:rsidRPr="00687A2B" w:rsidRDefault="00687A2B" w:rsidP="00687A2B">
      <w:pPr>
        <w:pStyle w:val="EndNoteBibliography"/>
        <w:rPr>
          <w:noProof/>
        </w:rPr>
      </w:pPr>
      <w:r w:rsidRPr="00687A2B">
        <w:rPr>
          <w:noProof/>
        </w:rPr>
        <w:t>27.</w:t>
      </w:r>
      <w:r w:rsidRPr="00687A2B">
        <w:rPr>
          <w:noProof/>
        </w:rPr>
        <w:tab/>
        <w:t xml:space="preserve">Pharmaceutical Benefits Advisory Committee. Adalimumab: 40 mg/0.8 mL injection, 2 x 0.8 mL cartridges 40 mg/0.8 mL injection, 2 x 0.8 mL syringes 40 mg/0.8 mL injection, 6 x 0.8 mL cartridges 40 mg/0.8 mL injection, 6 x 0.8 mL syringes, Humira®. 2016. </w:t>
      </w:r>
      <w:hyperlink r:id="rId31" w:history="1">
        <w:r w:rsidRPr="00687A2B">
          <w:rPr>
            <w:rStyle w:val="Hyperlink"/>
            <w:noProof/>
          </w:rPr>
          <w:t>https://www.pbs.gov.au/info/industry/listing/elements/pbac-meetings/psd/2016-03/adalimumab-humira-hs-psd-03-2016</w:t>
        </w:r>
      </w:hyperlink>
      <w:r w:rsidRPr="00687A2B">
        <w:rPr>
          <w:noProof/>
        </w:rPr>
        <w:t>. Accessed 30 Aug 2020.</w:t>
      </w:r>
    </w:p>
    <w:p w14:paraId="692E51BD" w14:textId="753E03C2" w:rsidR="00687A2B" w:rsidRPr="00687A2B" w:rsidRDefault="00687A2B" w:rsidP="00687A2B">
      <w:pPr>
        <w:pStyle w:val="EndNoteBibliography"/>
        <w:rPr>
          <w:noProof/>
        </w:rPr>
      </w:pPr>
      <w:r w:rsidRPr="00687A2B">
        <w:rPr>
          <w:noProof/>
        </w:rPr>
        <w:t>28.</w:t>
      </w:r>
      <w:r w:rsidRPr="00687A2B">
        <w:rPr>
          <w:noProof/>
        </w:rPr>
        <w:tab/>
        <w:t xml:space="preserve">Pharmaceutical Benefits Advisory Committee. Pertuzumab: Solution for I.V. infusion 420 mg in 14 ml; Perjeta®. 2018. </w:t>
      </w:r>
      <w:hyperlink r:id="rId32" w:history="1">
        <w:r w:rsidRPr="00687A2B">
          <w:rPr>
            <w:rStyle w:val="Hyperlink"/>
            <w:noProof/>
          </w:rPr>
          <w:t>https://www.pbs.gov.au/info/industry/listing/elements/pbac-meetings/psd/2018-07/Pertuzumab-psd-july-2018</w:t>
        </w:r>
      </w:hyperlink>
      <w:r w:rsidRPr="00687A2B">
        <w:rPr>
          <w:noProof/>
        </w:rPr>
        <w:t>. Accessed 30 Aug 2020.</w:t>
      </w:r>
    </w:p>
    <w:p w14:paraId="22CEF412" w14:textId="20DEDEBB" w:rsidR="00687A2B" w:rsidRPr="00687A2B" w:rsidRDefault="00687A2B" w:rsidP="00687A2B">
      <w:pPr>
        <w:pStyle w:val="EndNoteBibliography"/>
        <w:rPr>
          <w:noProof/>
        </w:rPr>
      </w:pPr>
      <w:r w:rsidRPr="00687A2B">
        <w:rPr>
          <w:noProof/>
        </w:rPr>
        <w:t>29.</w:t>
      </w:r>
      <w:r w:rsidRPr="00687A2B">
        <w:rPr>
          <w:noProof/>
        </w:rPr>
        <w:tab/>
        <w:t xml:space="preserve">Pharmaceutical Benefits Advisory Committee. Lenalidomide: capsules, 5 mg, 10 mg, 15 mg, 25 mg, Revlimid®. 2015. </w:t>
      </w:r>
      <w:hyperlink r:id="rId33" w:history="1">
        <w:r w:rsidRPr="00687A2B">
          <w:rPr>
            <w:rStyle w:val="Hyperlink"/>
            <w:noProof/>
          </w:rPr>
          <w:t>https://www.pbs.gov.au/info/industry/listing/elements/pbac-meetings/psd/2015-11/lenalidomide-revlimid-psd-11-2015</w:t>
        </w:r>
      </w:hyperlink>
      <w:r w:rsidRPr="00687A2B">
        <w:rPr>
          <w:noProof/>
        </w:rPr>
        <w:t>. Accessed 30 Aug 2020.</w:t>
      </w:r>
    </w:p>
    <w:p w14:paraId="2BFB617F" w14:textId="77777777" w:rsidR="00687A2B" w:rsidRPr="00687A2B" w:rsidRDefault="00687A2B" w:rsidP="00687A2B">
      <w:pPr>
        <w:pStyle w:val="EndNoteBibliography"/>
        <w:rPr>
          <w:noProof/>
        </w:rPr>
      </w:pPr>
      <w:r w:rsidRPr="00687A2B">
        <w:rPr>
          <w:noProof/>
        </w:rPr>
        <w:t>30.</w:t>
      </w:r>
      <w:r w:rsidRPr="00687A2B">
        <w:rPr>
          <w:noProof/>
        </w:rPr>
        <w:tab/>
        <w:t>Briggs AH, Weinstein MC, Fenwick EA, Karnon J, Sculpher MJ, Paltiel AD. Model parameter estimation and uncertainty: a report of the ISPOR-SMDM Modeling Good Research Practices Task Force--6. Value in health : the journal of the International Society for Pharmacoeconomics and Outcomes Research. 2012;15(6):835-42. 10.1016/j.jval.2012.04.014.</w:t>
      </w:r>
    </w:p>
    <w:p w14:paraId="3D04BCE2" w14:textId="77777777" w:rsidR="00687A2B" w:rsidRPr="00687A2B" w:rsidRDefault="00687A2B" w:rsidP="00687A2B">
      <w:pPr>
        <w:pStyle w:val="EndNoteBibliography"/>
        <w:rPr>
          <w:noProof/>
        </w:rPr>
      </w:pPr>
      <w:r w:rsidRPr="00687A2B">
        <w:rPr>
          <w:noProof/>
        </w:rPr>
        <w:t>31.</w:t>
      </w:r>
      <w:r w:rsidRPr="00687A2B">
        <w:rPr>
          <w:noProof/>
        </w:rPr>
        <w:tab/>
        <w:t>Fenwick E, Steuten L, Knies S, Ghabri S, Basu A, Murray JF, et al. Value of Information Analysis for Research Decisions-An Introduction: Report 1 of the ISPOR Value of Information Analysis Emerging Good Practices Task Force. Value in health : the journal of the International Society for Pharmacoeconomics and Outcomes Research. 2020;23(2):139-50. 10.1016/j.jval.2020.01.001.</w:t>
      </w:r>
    </w:p>
    <w:p w14:paraId="2809F91D" w14:textId="77777777" w:rsidR="00687A2B" w:rsidRPr="00687A2B" w:rsidRDefault="00687A2B" w:rsidP="00687A2B">
      <w:pPr>
        <w:pStyle w:val="EndNoteBibliography"/>
        <w:rPr>
          <w:noProof/>
        </w:rPr>
      </w:pPr>
      <w:r w:rsidRPr="00687A2B">
        <w:rPr>
          <w:noProof/>
        </w:rPr>
        <w:t>32.</w:t>
      </w:r>
      <w:r w:rsidRPr="00687A2B">
        <w:rPr>
          <w:noProof/>
        </w:rPr>
        <w:tab/>
        <w:t xml:space="preserve">Rothery C, Strong M, Koffijberg HE, Basu A, Ghabri S, Knies S, et al. Value of Information </w:t>
      </w:r>
      <w:r w:rsidRPr="00687A2B">
        <w:rPr>
          <w:noProof/>
        </w:rPr>
        <w:lastRenderedPageBreak/>
        <w:t>Analytical Methods: Report 2 of the ISPOR Value of Information Analysis Emerging Good Practices Task Force. Value in health : the journal of the International Society for Pharmacoeconomics and Outcomes Research. 2020;23(3):277-86. 10.1016/j.jval.2020.01.004.</w:t>
      </w:r>
    </w:p>
    <w:p w14:paraId="2F530378" w14:textId="274F26C6" w:rsidR="00687A2B" w:rsidRPr="00687A2B" w:rsidRDefault="00687A2B" w:rsidP="00687A2B">
      <w:pPr>
        <w:pStyle w:val="EndNoteBibliography"/>
        <w:rPr>
          <w:noProof/>
        </w:rPr>
      </w:pPr>
      <w:r w:rsidRPr="00687A2B">
        <w:rPr>
          <w:noProof/>
        </w:rPr>
        <w:t>33.</w:t>
      </w:r>
      <w:r w:rsidRPr="00687A2B">
        <w:rPr>
          <w:noProof/>
        </w:rPr>
        <w:tab/>
        <w:t xml:space="preserve">Pharmaceutical Benefits Advisory Committee. Botulinum toxin type A purified neurotoxin complex: Lyophilised powder for injection, 100 units; Botox®. 2018. </w:t>
      </w:r>
      <w:hyperlink r:id="rId34" w:history="1">
        <w:r w:rsidRPr="00687A2B">
          <w:rPr>
            <w:rStyle w:val="Hyperlink"/>
            <w:noProof/>
          </w:rPr>
          <w:t>https://www.pbs.gov.au/info/industry/listing/elements/pbac-meetings/psd/2018-03/Botulinum-toxin-type-A-purified-neurotoxin-complex-psd-march-2018</w:t>
        </w:r>
      </w:hyperlink>
      <w:r w:rsidRPr="00687A2B">
        <w:rPr>
          <w:noProof/>
        </w:rPr>
        <w:t>. Accessed 30 Aug 2020.</w:t>
      </w:r>
    </w:p>
    <w:p w14:paraId="7A02E310" w14:textId="130E0015" w:rsidR="00687A2B" w:rsidRPr="00687A2B" w:rsidRDefault="00687A2B" w:rsidP="00687A2B">
      <w:pPr>
        <w:pStyle w:val="EndNoteBibliography"/>
        <w:rPr>
          <w:noProof/>
        </w:rPr>
      </w:pPr>
      <w:r w:rsidRPr="00687A2B">
        <w:rPr>
          <w:noProof/>
        </w:rPr>
        <w:t>34.</w:t>
      </w:r>
      <w:r w:rsidRPr="00687A2B">
        <w:rPr>
          <w:noProof/>
        </w:rPr>
        <w:tab/>
        <w:t xml:space="preserve">Pharmaceutical Benefits Advisory Committee. Pembrolizumab: Solution concentrate for I.V. infusion 100 mg in 4 mL; Keytruda®. 2021. </w:t>
      </w:r>
      <w:hyperlink r:id="rId35" w:history="1">
        <w:r w:rsidRPr="00687A2B">
          <w:rPr>
            <w:rStyle w:val="Hyperlink"/>
            <w:noProof/>
          </w:rPr>
          <w:t>https://www.pbs.gov.au/info/industry/listing/elements/pbac-meetings/psd/2021-03/pembrolizumab-solution-concentrate-for-iv-infusion-100-mg</w:t>
        </w:r>
      </w:hyperlink>
      <w:r w:rsidRPr="00687A2B">
        <w:rPr>
          <w:noProof/>
        </w:rPr>
        <w:t>. Accessed 30 Mar 2022.</w:t>
      </w:r>
    </w:p>
    <w:p w14:paraId="54BC1C13" w14:textId="77777777" w:rsidR="00687A2B" w:rsidRPr="00687A2B" w:rsidRDefault="00687A2B" w:rsidP="00687A2B">
      <w:pPr>
        <w:pStyle w:val="EndNoteBibliography"/>
        <w:rPr>
          <w:noProof/>
        </w:rPr>
      </w:pPr>
      <w:r w:rsidRPr="00687A2B">
        <w:rPr>
          <w:noProof/>
        </w:rPr>
        <w:t>35.</w:t>
      </w:r>
      <w:r w:rsidRPr="00687A2B">
        <w:rPr>
          <w:noProof/>
        </w:rPr>
        <w:tab/>
        <w:t>Guyatt GH, Haynes RB, Jaeschke RZ, Cook DJ, Green L, Naylor CD, et al. Users' Guides to the Medical Literature: XXV. Evidence-based medicine: principles for applying the Users' Guides to patient care. Evidence-Based Medicine Working Group. Jama. 2000;284(10):1290-6. 10.1001/jama.284.10.1290.</w:t>
      </w:r>
    </w:p>
    <w:p w14:paraId="598C2756" w14:textId="77777777" w:rsidR="00687A2B" w:rsidRPr="00687A2B" w:rsidRDefault="00687A2B" w:rsidP="00687A2B">
      <w:pPr>
        <w:pStyle w:val="EndNoteBibliography"/>
        <w:rPr>
          <w:noProof/>
        </w:rPr>
      </w:pPr>
      <w:r w:rsidRPr="00687A2B">
        <w:rPr>
          <w:noProof/>
        </w:rPr>
        <w:t>36.</w:t>
      </w:r>
      <w:r w:rsidRPr="00687A2B">
        <w:rPr>
          <w:noProof/>
        </w:rPr>
        <w:tab/>
        <w:t>Jansen JP, Fleurence R, Devine B, Itzler R, Barrett A, Hawkins N, et al. Interpreting indirect treatment comparisons and network meta-analysis for health-care decision making: report of the ISPOR Task Force on Indirect Treatment Comparisons Good Research Practices: part 1. Value in health : the journal of the International Society for Pharmacoeconomics and Outcomes Research. 2011;14(4):417-28. 10.1016/j.jval.2011.04.002.</w:t>
      </w:r>
    </w:p>
    <w:p w14:paraId="252DAA59" w14:textId="7D6342C2" w:rsidR="00687A2B" w:rsidRPr="00687A2B" w:rsidRDefault="00687A2B" w:rsidP="00687A2B">
      <w:pPr>
        <w:pStyle w:val="EndNoteBibliography"/>
        <w:rPr>
          <w:noProof/>
        </w:rPr>
      </w:pPr>
      <w:r w:rsidRPr="00687A2B">
        <w:rPr>
          <w:noProof/>
        </w:rPr>
        <w:t>37.</w:t>
      </w:r>
      <w:r w:rsidRPr="00687A2B">
        <w:rPr>
          <w:noProof/>
        </w:rPr>
        <w:tab/>
        <w:t xml:space="preserve">Pharmaceutical Benefits Advisory Committee. Cabozantinib: Tablet 20 mg, Tablet 40 mg, Tablet 60 mg; Cabometyx®. 2019. </w:t>
      </w:r>
      <w:hyperlink r:id="rId36" w:history="1">
        <w:r w:rsidRPr="00687A2B">
          <w:rPr>
            <w:rStyle w:val="Hyperlink"/>
            <w:noProof/>
          </w:rPr>
          <w:t>https://www.pbs.gov.au/info/industry/listing/elements/pbac-meetings/psd/2019-07/cabozantinib-tablet-20-mg-tablet-40-mg-tablet-60-mg</w:t>
        </w:r>
      </w:hyperlink>
      <w:r w:rsidRPr="00687A2B">
        <w:rPr>
          <w:noProof/>
        </w:rPr>
        <w:t>. Accessed 30 Aug 2020.</w:t>
      </w:r>
    </w:p>
    <w:p w14:paraId="17E4E435" w14:textId="3B0EADC1" w:rsidR="00687A2B" w:rsidRPr="00687A2B" w:rsidRDefault="00687A2B" w:rsidP="00687A2B">
      <w:pPr>
        <w:pStyle w:val="EndNoteBibliography"/>
        <w:rPr>
          <w:noProof/>
        </w:rPr>
      </w:pPr>
      <w:r w:rsidRPr="00687A2B">
        <w:rPr>
          <w:noProof/>
        </w:rPr>
        <w:t>38.</w:t>
      </w:r>
      <w:r w:rsidRPr="00687A2B">
        <w:rPr>
          <w:noProof/>
        </w:rPr>
        <w:tab/>
        <w:t xml:space="preserve">Pharmaceutical Benefits Advisory Committee. Avelumab: Solution concentrate for I.V. infusion 200 mg in 10 mL; Bavencio®. 2018. </w:t>
      </w:r>
      <w:hyperlink r:id="rId37" w:history="1">
        <w:r w:rsidRPr="00687A2B">
          <w:rPr>
            <w:rStyle w:val="Hyperlink"/>
            <w:noProof/>
          </w:rPr>
          <w:t>https://www.pbs.gov.au/info/industry/listing/elements/pbac-meetings/psd/2018-07/Avelumab-psd-july-2018</w:t>
        </w:r>
      </w:hyperlink>
      <w:r w:rsidRPr="00687A2B">
        <w:rPr>
          <w:noProof/>
        </w:rPr>
        <w:t>. Accessed 30 Aug 2020.</w:t>
      </w:r>
    </w:p>
    <w:p w14:paraId="2A78FBA3" w14:textId="519A83AB" w:rsidR="00687A2B" w:rsidRPr="00687A2B" w:rsidRDefault="00687A2B" w:rsidP="00687A2B">
      <w:pPr>
        <w:pStyle w:val="EndNoteBibliography"/>
        <w:rPr>
          <w:noProof/>
        </w:rPr>
      </w:pPr>
      <w:r w:rsidRPr="00687A2B">
        <w:rPr>
          <w:noProof/>
        </w:rPr>
        <w:t>39.</w:t>
      </w:r>
      <w:r w:rsidRPr="00687A2B">
        <w:rPr>
          <w:noProof/>
        </w:rPr>
        <w:tab/>
        <w:t xml:space="preserve">Pharmaceutical Benefits Advisory Committee. Cemiplimab: Solution for I.V. infusion 350 mg in 7 mL; Libtayo®. 2020. </w:t>
      </w:r>
      <w:hyperlink r:id="rId38" w:history="1">
        <w:r w:rsidRPr="00687A2B">
          <w:rPr>
            <w:rStyle w:val="Hyperlink"/>
            <w:noProof/>
          </w:rPr>
          <w:t>https://www.pbs.gov.au/info/industry/listing/elements/pbac-meetings/psd/2020-11/cemiplimab-solution-for-i-v-infusion-350-mg-in-7-ml-libta</w:t>
        </w:r>
      </w:hyperlink>
      <w:r w:rsidRPr="00687A2B">
        <w:rPr>
          <w:noProof/>
        </w:rPr>
        <w:t>. Accessed 15 Apr 2021.</w:t>
      </w:r>
    </w:p>
    <w:p w14:paraId="38555F95" w14:textId="3BA3EBF3" w:rsidR="00687A2B" w:rsidRPr="00687A2B" w:rsidRDefault="00687A2B" w:rsidP="00687A2B">
      <w:pPr>
        <w:pStyle w:val="EndNoteBibliography"/>
        <w:rPr>
          <w:noProof/>
        </w:rPr>
      </w:pPr>
      <w:r w:rsidRPr="00687A2B">
        <w:rPr>
          <w:noProof/>
        </w:rPr>
        <w:t>40.</w:t>
      </w:r>
      <w:r w:rsidRPr="00687A2B">
        <w:rPr>
          <w:noProof/>
        </w:rPr>
        <w:tab/>
        <w:t xml:space="preserve">Pharmaceutical Benefits Advisory Committee. Irinotecan (nanoliposomal): Injection concentrate for I.V. infusion 43 mg (as sucrosofate) in 10 mL; Onivyde®. 2016. </w:t>
      </w:r>
      <w:hyperlink r:id="rId39" w:history="1">
        <w:r w:rsidRPr="00687A2B">
          <w:rPr>
            <w:rStyle w:val="Hyperlink"/>
            <w:noProof/>
          </w:rPr>
          <w:t>https://www.pbs.gov.au/info/industry/listing/elements/pbac-meetings/psd/2016-11/irinotecan-nanoliposomal-psd-november-2016</w:t>
        </w:r>
      </w:hyperlink>
      <w:r w:rsidRPr="00687A2B">
        <w:rPr>
          <w:noProof/>
        </w:rPr>
        <w:t>. Accessed 30 Aug 2020.</w:t>
      </w:r>
    </w:p>
    <w:p w14:paraId="538FD4DE" w14:textId="637F46BD" w:rsidR="00687A2B" w:rsidRPr="00687A2B" w:rsidRDefault="00687A2B" w:rsidP="00687A2B">
      <w:pPr>
        <w:pStyle w:val="EndNoteBibliography"/>
        <w:rPr>
          <w:noProof/>
        </w:rPr>
      </w:pPr>
      <w:r w:rsidRPr="00687A2B">
        <w:rPr>
          <w:noProof/>
        </w:rPr>
        <w:t>41.</w:t>
      </w:r>
      <w:r w:rsidRPr="00687A2B">
        <w:rPr>
          <w:noProof/>
        </w:rPr>
        <w:tab/>
        <w:t xml:space="preserve">Pharmaceutical Benefits Advisory Committee. Risdiplam: Powder for oral solution 0.75 mg per 1 mL, 80 mL; Evrysdi®. 2021. </w:t>
      </w:r>
      <w:hyperlink r:id="rId40" w:history="1">
        <w:r w:rsidRPr="00687A2B">
          <w:rPr>
            <w:rStyle w:val="Hyperlink"/>
            <w:noProof/>
          </w:rPr>
          <w:t>https://www.pbs.gov.au/info/industry/listing/elements/pbac-meetings/psd/2021-03/risdiplam-powder-for-oral-solution-0-75-mg-per-1-ml-80-ml</w:t>
        </w:r>
      </w:hyperlink>
      <w:r w:rsidRPr="00687A2B">
        <w:rPr>
          <w:noProof/>
        </w:rPr>
        <w:t>. Accessed 30 Mar 2022.</w:t>
      </w:r>
    </w:p>
    <w:p w14:paraId="7DBFBB74" w14:textId="591A1FBE" w:rsidR="00687A2B" w:rsidRPr="00687A2B" w:rsidRDefault="00687A2B" w:rsidP="00687A2B">
      <w:pPr>
        <w:pStyle w:val="EndNoteBibliography"/>
        <w:rPr>
          <w:noProof/>
        </w:rPr>
      </w:pPr>
      <w:r w:rsidRPr="00687A2B">
        <w:rPr>
          <w:noProof/>
        </w:rPr>
        <w:t>42.</w:t>
      </w:r>
      <w:r w:rsidRPr="00687A2B">
        <w:rPr>
          <w:noProof/>
        </w:rPr>
        <w:tab/>
        <w:t xml:space="preserve">Pharmaceutical Benefits Advisory Committee. Ravulizumab: Solution concentrate for I.V. infusion 300 mg in 30 mL; Ultomiris®. 2020. </w:t>
      </w:r>
      <w:hyperlink r:id="rId41" w:history="1">
        <w:r w:rsidRPr="00687A2B">
          <w:rPr>
            <w:rStyle w:val="Hyperlink"/>
            <w:noProof/>
          </w:rPr>
          <w:t>https://www.pbs.gov.au/info/industry/listing/elements/pbac-meetings/psd/2020-07/ravulizumab-solution-concentrate-for-iv-infusion-300-mg</w:t>
        </w:r>
      </w:hyperlink>
      <w:r w:rsidRPr="00687A2B">
        <w:rPr>
          <w:noProof/>
        </w:rPr>
        <w:t>. Accessed 15 Apr 2021.</w:t>
      </w:r>
    </w:p>
    <w:p w14:paraId="7CAB5D1C" w14:textId="091EF3D3" w:rsidR="00687A2B" w:rsidRPr="00687A2B" w:rsidRDefault="00687A2B" w:rsidP="00687A2B">
      <w:pPr>
        <w:pStyle w:val="EndNoteBibliography"/>
        <w:rPr>
          <w:noProof/>
        </w:rPr>
      </w:pPr>
      <w:r w:rsidRPr="00687A2B">
        <w:rPr>
          <w:noProof/>
        </w:rPr>
        <w:t>43.</w:t>
      </w:r>
      <w:r w:rsidRPr="00687A2B">
        <w:rPr>
          <w:noProof/>
        </w:rPr>
        <w:tab/>
        <w:t xml:space="preserve">Pharmaceutical Benefits Advisory Committee. dTpa Vaccine: 0.5 mL injection, Boostrix®. 2016. </w:t>
      </w:r>
      <w:hyperlink r:id="rId42" w:history="1">
        <w:r w:rsidRPr="00687A2B">
          <w:rPr>
            <w:rStyle w:val="Hyperlink"/>
            <w:noProof/>
          </w:rPr>
          <w:t>https://www.pbs.gov.au/info/industry/listing/elements/pbac-meetings/psd/2016-07/dtpa-vaccine-psd-july-2016</w:t>
        </w:r>
      </w:hyperlink>
      <w:r w:rsidRPr="00687A2B">
        <w:rPr>
          <w:noProof/>
        </w:rPr>
        <w:t>. Accessed 11 Dec 2021.</w:t>
      </w:r>
    </w:p>
    <w:p w14:paraId="311DA8C7" w14:textId="19F2572B" w:rsidR="00687A2B" w:rsidRPr="00687A2B" w:rsidRDefault="00687A2B" w:rsidP="00687A2B">
      <w:pPr>
        <w:pStyle w:val="EndNoteBibliography"/>
        <w:rPr>
          <w:noProof/>
        </w:rPr>
      </w:pPr>
      <w:r w:rsidRPr="00687A2B">
        <w:rPr>
          <w:noProof/>
        </w:rPr>
        <w:lastRenderedPageBreak/>
        <w:t>44.</w:t>
      </w:r>
      <w:r w:rsidRPr="00687A2B">
        <w:rPr>
          <w:noProof/>
        </w:rPr>
        <w:tab/>
        <w:t xml:space="preserve">Pharmaceutical Benefits Advisory Committee. Palbociclib: Capsule 75 mg, Capsule 100 mg, Capsule 125 mg; Ibrance®. 2017. </w:t>
      </w:r>
      <w:hyperlink r:id="rId43" w:history="1">
        <w:r w:rsidRPr="00687A2B">
          <w:rPr>
            <w:rStyle w:val="Hyperlink"/>
            <w:noProof/>
          </w:rPr>
          <w:t>https://www.pbs.gov.au/info/industry/listing/elements/pbac-meetings/psd/2017-03/palbociclib-psd-march-2017</w:t>
        </w:r>
      </w:hyperlink>
      <w:r w:rsidRPr="00687A2B">
        <w:rPr>
          <w:noProof/>
        </w:rPr>
        <w:t>. Accessed 30 Aug 2020.</w:t>
      </w:r>
    </w:p>
    <w:p w14:paraId="519E2CD2" w14:textId="11F82767" w:rsidR="00687A2B" w:rsidRPr="00687A2B" w:rsidRDefault="00687A2B" w:rsidP="00687A2B">
      <w:pPr>
        <w:pStyle w:val="EndNoteBibliography"/>
        <w:rPr>
          <w:noProof/>
        </w:rPr>
      </w:pPr>
      <w:r w:rsidRPr="00687A2B">
        <w:rPr>
          <w:noProof/>
        </w:rPr>
        <w:t>45.</w:t>
      </w:r>
      <w:r w:rsidRPr="00687A2B">
        <w:rPr>
          <w:noProof/>
        </w:rPr>
        <w:tab/>
        <w:t xml:space="preserve">Pharmaceutical Benefits Advisory Committee. ESKETAMINE,Nasal spray solution 28 mg,Spravato®,Janssen-Cilag Pty Ltd. 2021. </w:t>
      </w:r>
      <w:hyperlink r:id="rId44" w:history="1">
        <w:r w:rsidRPr="00687A2B">
          <w:rPr>
            <w:rStyle w:val="Hyperlink"/>
            <w:noProof/>
          </w:rPr>
          <w:t>https://www.pbs.gov.au/info/industry/listing/elements/pbac-meetings/psd/2021-07/esketamine-nasal-spray-solution-28-mg-spravato</w:t>
        </w:r>
      </w:hyperlink>
      <w:r w:rsidRPr="00687A2B">
        <w:rPr>
          <w:noProof/>
        </w:rPr>
        <w:t>. Accessed 15 Jan 2024.</w:t>
      </w:r>
    </w:p>
    <w:p w14:paraId="31EDCB14" w14:textId="77777777" w:rsidR="00B07475" w:rsidRPr="00B07475" w:rsidRDefault="00687A2B" w:rsidP="00B07475">
      <w:pPr>
        <w:pStyle w:val="EndNoteBibliography"/>
        <w:rPr>
          <w:noProof/>
        </w:rPr>
      </w:pPr>
      <w:r w:rsidRPr="00687A2B">
        <w:rPr>
          <w:noProof/>
        </w:rPr>
        <w:t>46.</w:t>
      </w:r>
      <w:r w:rsidRPr="00687A2B">
        <w:rPr>
          <w:noProof/>
        </w:rPr>
        <w:tab/>
        <w:t>Pharma</w:t>
      </w:r>
      <w:r w:rsidRPr="00B07475">
        <w:rPr>
          <w:noProof/>
        </w:rPr>
        <w:t xml:space="preserve">ceutical Benefits Advisory Committee. Pembrolizumab: Solution concentrate for I.V. infusion 100 mg in 4 mL; Keytruda®. 2020. </w:t>
      </w:r>
      <w:hyperlink r:id="rId45" w:history="1">
        <w:r w:rsidRPr="00B07475">
          <w:rPr>
            <w:rStyle w:val="Hyperlink"/>
            <w:noProof/>
          </w:rPr>
          <w:t>https://www.pbs.gov.au/info/industry/listing/elements/pbac-meetings/psd/2020-11/pembrolizumab-solution-concentrate-for-i-v-infusion-100-mg</w:t>
        </w:r>
      </w:hyperlink>
      <w:r w:rsidRPr="00B07475">
        <w:rPr>
          <w:noProof/>
        </w:rPr>
        <w:t xml:space="preserve">. </w:t>
      </w:r>
      <w:r w:rsidR="00B07475" w:rsidRPr="00B07475">
        <w:rPr>
          <w:noProof/>
        </w:rPr>
        <w:t>Accessed 15 Jan 2024</w:t>
      </w:r>
    </w:p>
    <w:p w14:paraId="67328DA2" w14:textId="6036D43E" w:rsidR="00687A2B" w:rsidRPr="00B07475" w:rsidRDefault="00687A2B" w:rsidP="00687A2B">
      <w:pPr>
        <w:pStyle w:val="EndNoteBibliography"/>
        <w:rPr>
          <w:noProof/>
        </w:rPr>
      </w:pPr>
      <w:r w:rsidRPr="00B07475">
        <w:rPr>
          <w:noProof/>
        </w:rPr>
        <w:t>47.</w:t>
      </w:r>
      <w:r w:rsidRPr="00B07475">
        <w:rPr>
          <w:noProof/>
        </w:rPr>
        <w:tab/>
        <w:t xml:space="preserve">Pharmaceutical Benefits Advisory Committee. Zanubrutinib (WM): Capsule 80 mg; Brukinsa®. 2021. </w:t>
      </w:r>
      <w:hyperlink r:id="rId46" w:history="1">
        <w:r w:rsidRPr="00B07475">
          <w:rPr>
            <w:rStyle w:val="Hyperlink"/>
            <w:noProof/>
          </w:rPr>
          <w:t>https://www.pbs.gov.au/pbs/industry/listing/elements/pbac-meetings/psd/2021-07/zanubrutinib-wm-capsule-80-mg-brukinsa</w:t>
        </w:r>
      </w:hyperlink>
      <w:r w:rsidRPr="00B07475">
        <w:rPr>
          <w:noProof/>
        </w:rPr>
        <w:t>. Accessed 16 Apr 2022.</w:t>
      </w:r>
    </w:p>
    <w:p w14:paraId="6FF2ABA5" w14:textId="2AE05126" w:rsidR="00687A2B" w:rsidRPr="00B07475" w:rsidRDefault="00687A2B" w:rsidP="00687A2B">
      <w:pPr>
        <w:pStyle w:val="EndNoteBibliography"/>
        <w:rPr>
          <w:noProof/>
        </w:rPr>
      </w:pPr>
      <w:r w:rsidRPr="00B07475">
        <w:rPr>
          <w:noProof/>
        </w:rPr>
        <w:t>48.</w:t>
      </w:r>
      <w:r w:rsidRPr="00B07475">
        <w:rPr>
          <w:noProof/>
        </w:rPr>
        <w:tab/>
        <w:t xml:space="preserve">Pharmaceutical Benefits Advisory Committee. Vedolizumab, injection, 1 x 300 mg vial, Entyvio®, Takeda Pharmaceuticals Australia Pty Ltd. 2014. </w:t>
      </w:r>
      <w:hyperlink r:id="rId47" w:history="1">
        <w:r w:rsidRPr="00B07475">
          <w:rPr>
            <w:rStyle w:val="Hyperlink"/>
            <w:noProof/>
          </w:rPr>
          <w:t>https://www.pbs.gov.au/pbs/industry/listing/elements/pbac-meetings/psd/2014-07/vedolizumab-psd-07-2014</w:t>
        </w:r>
      </w:hyperlink>
      <w:r w:rsidRPr="00B07475">
        <w:rPr>
          <w:noProof/>
        </w:rPr>
        <w:t>. Accessed 20 Apr 2022.</w:t>
      </w:r>
    </w:p>
    <w:p w14:paraId="098373BA" w14:textId="5BA47ABF" w:rsidR="00687A2B" w:rsidRPr="00B07475" w:rsidRDefault="00687A2B" w:rsidP="00687A2B">
      <w:pPr>
        <w:pStyle w:val="EndNoteBibliography"/>
        <w:rPr>
          <w:noProof/>
        </w:rPr>
      </w:pPr>
      <w:r w:rsidRPr="00B07475">
        <w:rPr>
          <w:noProof/>
        </w:rPr>
        <w:t>49.</w:t>
      </w:r>
      <w:r w:rsidRPr="00B07475">
        <w:rPr>
          <w:noProof/>
        </w:rPr>
        <w:tab/>
        <w:t xml:space="preserve">Pharmaceutical Benefits Advisory Committee. Onasemnogene abeparvovec: Solution for injection, customised based on patient weight; Zolgensma®. 2020. </w:t>
      </w:r>
      <w:hyperlink r:id="rId48" w:history="1">
        <w:r w:rsidRPr="00B07475">
          <w:rPr>
            <w:rStyle w:val="Hyperlink"/>
            <w:noProof/>
          </w:rPr>
          <w:t>https://www.pbs.gov.au/pbs/industry/listing/elements/pbac-meetings/psd/2020-11/onasemnogene-abeparvovec-solution-for-injection-customised</w:t>
        </w:r>
      </w:hyperlink>
      <w:r w:rsidRPr="00B07475">
        <w:rPr>
          <w:noProof/>
        </w:rPr>
        <w:t>. Accessed 20 Apr 2022.</w:t>
      </w:r>
    </w:p>
    <w:p w14:paraId="00C1AEF3" w14:textId="3596F2F1" w:rsidR="00687A2B" w:rsidRPr="00687A2B" w:rsidRDefault="00687A2B" w:rsidP="00687A2B">
      <w:pPr>
        <w:pStyle w:val="EndNoteBibliography"/>
        <w:rPr>
          <w:noProof/>
        </w:rPr>
      </w:pPr>
      <w:r w:rsidRPr="00B07475">
        <w:rPr>
          <w:noProof/>
        </w:rPr>
        <w:t>50.</w:t>
      </w:r>
      <w:r w:rsidRPr="00B07475">
        <w:rPr>
          <w:noProof/>
        </w:rPr>
        <w:tab/>
        <w:t xml:space="preserve">Pharmaceutical Benefits Advisory Committee. Nivolumab(GOJC): Injection concentrate for I.V. infusion 40 mg in 4 mL, Injection concentrate for I.V. infusion 100 mg in 10 mL; Opdivo®. 2021. </w:t>
      </w:r>
      <w:hyperlink r:id="rId49" w:history="1">
        <w:r w:rsidRPr="00B07475">
          <w:rPr>
            <w:rStyle w:val="Hyperlink"/>
            <w:noProof/>
          </w:rPr>
          <w:t>https://www.pbs.gov.au/info/industry/listing/elements/pbac-meetings/psd/2021-11/nivolumab-injection-concentrate-for-i-v-infusion-40-mg-in</w:t>
        </w:r>
      </w:hyperlink>
      <w:r w:rsidRPr="00B07475">
        <w:rPr>
          <w:noProof/>
        </w:rPr>
        <w:t xml:space="preserve">. </w:t>
      </w:r>
      <w:r w:rsidR="00B07475" w:rsidRPr="00B07475">
        <w:rPr>
          <w:noProof/>
        </w:rPr>
        <w:t>Accessed 20 Apr 2022</w:t>
      </w:r>
      <w:r w:rsidRPr="00687A2B">
        <w:rPr>
          <w:noProof/>
        </w:rPr>
        <w:t xml:space="preserve"> </w:t>
      </w:r>
    </w:p>
    <w:p w14:paraId="60D02827" w14:textId="3DEBA00A" w:rsidR="00687A2B" w:rsidRPr="00687A2B" w:rsidRDefault="00687A2B" w:rsidP="00687A2B">
      <w:pPr>
        <w:pStyle w:val="EndNoteBibliography"/>
        <w:rPr>
          <w:noProof/>
        </w:rPr>
      </w:pPr>
      <w:r w:rsidRPr="00687A2B">
        <w:rPr>
          <w:noProof/>
        </w:rPr>
        <w:t>51.</w:t>
      </w:r>
      <w:r w:rsidRPr="00687A2B">
        <w:rPr>
          <w:noProof/>
        </w:rPr>
        <w:tab/>
        <w:t xml:space="preserve">Pharmaceutical Benefits Advisory Committee. Niraparib: Capsule 100 mg; Zejula®. 2021. </w:t>
      </w:r>
      <w:hyperlink r:id="rId50" w:history="1">
        <w:r w:rsidRPr="00687A2B">
          <w:rPr>
            <w:rStyle w:val="Hyperlink"/>
            <w:noProof/>
          </w:rPr>
          <w:t>https://www.pbs.gov.au/info/industry/listing/elements/pbac-meetings/psd/2021-07/niraparib-capsule-100-mg-zejula</w:t>
        </w:r>
      </w:hyperlink>
      <w:r w:rsidRPr="00687A2B">
        <w:rPr>
          <w:noProof/>
        </w:rPr>
        <w:t>. Accessed 13 Jan 2022.</w:t>
      </w:r>
    </w:p>
    <w:p w14:paraId="2DE7C420" w14:textId="261666B5" w:rsidR="00687A2B" w:rsidRPr="00687A2B" w:rsidRDefault="00687A2B" w:rsidP="00687A2B">
      <w:pPr>
        <w:pStyle w:val="EndNoteBibliography"/>
        <w:rPr>
          <w:noProof/>
        </w:rPr>
      </w:pPr>
      <w:r w:rsidRPr="00687A2B">
        <w:rPr>
          <w:noProof/>
        </w:rPr>
        <w:t>52.</w:t>
      </w:r>
      <w:r w:rsidRPr="00687A2B">
        <w:rPr>
          <w:noProof/>
        </w:rPr>
        <w:tab/>
        <w:t xml:space="preserve">Pharmaceutical Benefits Advisory Committee. Venetoclax: Tablet 10 mg, Tablet 50 mg, Tablet 100 mg; Venclexta®. 2017. </w:t>
      </w:r>
      <w:hyperlink r:id="rId51" w:history="1">
        <w:r w:rsidRPr="00687A2B">
          <w:rPr>
            <w:rStyle w:val="Hyperlink"/>
            <w:noProof/>
          </w:rPr>
          <w:t>https://www.pbs.gov.au/pbs/industry/listing/elements/pbac-meetings/psd/2017-03/venetoclax-psd-march-2017</w:t>
        </w:r>
      </w:hyperlink>
      <w:r w:rsidRPr="00687A2B">
        <w:rPr>
          <w:noProof/>
        </w:rPr>
        <w:t>. Accessed 20 Apr 2022.</w:t>
      </w:r>
    </w:p>
    <w:p w14:paraId="487C8DF7" w14:textId="5DC38E73" w:rsidR="00687A2B" w:rsidRPr="00687A2B" w:rsidRDefault="00687A2B" w:rsidP="00687A2B">
      <w:pPr>
        <w:pStyle w:val="EndNoteBibliography"/>
        <w:rPr>
          <w:noProof/>
        </w:rPr>
      </w:pPr>
      <w:r w:rsidRPr="00687A2B">
        <w:rPr>
          <w:noProof/>
        </w:rPr>
        <w:t>53.</w:t>
      </w:r>
      <w:r w:rsidRPr="00687A2B">
        <w:rPr>
          <w:noProof/>
        </w:rPr>
        <w:tab/>
        <w:t xml:space="preserve">Pharmaceutical Benefits Advisory Committee. Daratumumab : Solution concentrate for I.V infusion 100 mg in 5 mL, Solution concentrate for I.V infusion 400 mg in 20 mL; Darzalex®. 2017. </w:t>
      </w:r>
      <w:hyperlink r:id="rId52" w:history="1">
        <w:r w:rsidRPr="00687A2B">
          <w:rPr>
            <w:rStyle w:val="Hyperlink"/>
            <w:noProof/>
          </w:rPr>
          <w:t>https://www.pbs.gov.au/pbs/industry/listing/elements/pbac-meetings/psd/2017-11/daratumumab-psd-november-2017</w:t>
        </w:r>
      </w:hyperlink>
      <w:r w:rsidRPr="00687A2B">
        <w:rPr>
          <w:noProof/>
        </w:rPr>
        <w:t>. Accessed 20 Apr 2022.</w:t>
      </w:r>
    </w:p>
    <w:p w14:paraId="0D72B9D7" w14:textId="258210B3" w:rsidR="00687A2B" w:rsidRPr="00687A2B" w:rsidRDefault="00687A2B" w:rsidP="00687A2B">
      <w:pPr>
        <w:pStyle w:val="EndNoteBibliography"/>
        <w:rPr>
          <w:noProof/>
        </w:rPr>
      </w:pPr>
      <w:r w:rsidRPr="00687A2B">
        <w:rPr>
          <w:noProof/>
        </w:rPr>
        <w:t>54.</w:t>
      </w:r>
      <w:r w:rsidRPr="00687A2B">
        <w:rPr>
          <w:noProof/>
        </w:rPr>
        <w:tab/>
        <w:t xml:space="preserve">Pharmaceutical Benefits Advisory Committee. Tenofovir with emtricitabine: tenofovir disoproxil fumarate 300 mg + emtricitabine 200 mg tablet, 30, Truvada®. 2016. </w:t>
      </w:r>
      <w:hyperlink r:id="rId53" w:history="1">
        <w:r w:rsidRPr="00687A2B">
          <w:rPr>
            <w:rStyle w:val="Hyperlink"/>
            <w:noProof/>
          </w:rPr>
          <w:t>https://www.pbs.gov.au/pbs/industry/listing/elements/pbac-meetings/psd/2016-07/tenofovir-disoproxil-fumarate-emtricitabine-psd-july-2016</w:t>
        </w:r>
      </w:hyperlink>
      <w:r w:rsidRPr="00687A2B">
        <w:rPr>
          <w:noProof/>
        </w:rPr>
        <w:t>. Accessed 20 Apr 2022.</w:t>
      </w:r>
    </w:p>
    <w:p w14:paraId="6828437B" w14:textId="5E0C9EF1" w:rsidR="00687A2B" w:rsidRPr="00687A2B" w:rsidRDefault="00687A2B" w:rsidP="00687A2B">
      <w:pPr>
        <w:pStyle w:val="EndNoteBibliography"/>
        <w:rPr>
          <w:noProof/>
        </w:rPr>
      </w:pPr>
      <w:r w:rsidRPr="00687A2B">
        <w:rPr>
          <w:noProof/>
        </w:rPr>
        <w:t>55.</w:t>
      </w:r>
      <w:r w:rsidRPr="00687A2B">
        <w:rPr>
          <w:noProof/>
        </w:rPr>
        <w:tab/>
        <w:t xml:space="preserve">Pharmaceutical Benefits Advisory Committee. Venetoclax: Tablet 100 mg; Venclexta®. 2021. </w:t>
      </w:r>
      <w:hyperlink r:id="rId54" w:history="1">
        <w:r w:rsidRPr="00687A2B">
          <w:rPr>
            <w:rStyle w:val="Hyperlink"/>
            <w:noProof/>
          </w:rPr>
          <w:t>https://www.pbs.gov.au/info/industry/listing/elements/pbac-meetings/psd/2021-03/venetoclax-tablet-100-mg-venclexta</w:t>
        </w:r>
      </w:hyperlink>
      <w:r w:rsidRPr="00687A2B">
        <w:rPr>
          <w:noProof/>
        </w:rPr>
        <w:t>. Accessed 20 Apr 2022.</w:t>
      </w:r>
    </w:p>
    <w:p w14:paraId="0C4C3B10" w14:textId="77777777" w:rsidR="00687A2B" w:rsidRPr="00687A2B" w:rsidRDefault="00687A2B" w:rsidP="00687A2B">
      <w:pPr>
        <w:pStyle w:val="EndNoteBibliography"/>
        <w:rPr>
          <w:noProof/>
        </w:rPr>
      </w:pPr>
      <w:r w:rsidRPr="00687A2B">
        <w:rPr>
          <w:noProof/>
        </w:rPr>
        <w:t>56.</w:t>
      </w:r>
      <w:r w:rsidRPr="00687A2B">
        <w:rPr>
          <w:noProof/>
        </w:rPr>
        <w:tab/>
        <w:t xml:space="preserve">Ades L, Guerci A, Raffoux E, Sanz M, Chevallier P, Lapusan S, et al. Very long-term outcome of </w:t>
      </w:r>
      <w:r w:rsidRPr="00687A2B">
        <w:rPr>
          <w:noProof/>
        </w:rPr>
        <w:lastRenderedPageBreak/>
        <w:t xml:space="preserve">acute promyelocytic leukemia after treatment with all-trans retinoic acid and chemotherapy: the European APL Group experience. Blood.115(9):1690-6. </w:t>
      </w:r>
    </w:p>
    <w:p w14:paraId="10F7CBC5" w14:textId="77777777" w:rsidR="00687A2B" w:rsidRPr="00687A2B" w:rsidRDefault="00687A2B" w:rsidP="00687A2B">
      <w:pPr>
        <w:pStyle w:val="EndNoteBibliography"/>
        <w:rPr>
          <w:noProof/>
        </w:rPr>
      </w:pPr>
      <w:r w:rsidRPr="00687A2B">
        <w:rPr>
          <w:noProof/>
        </w:rPr>
        <w:t>57.</w:t>
      </w:r>
      <w:r w:rsidRPr="00687A2B">
        <w:rPr>
          <w:noProof/>
        </w:rPr>
        <w:tab/>
        <w:t>Dintsios CM, Worm F, Ruof J, Herpers M. Different interpretation of additional evidence for HTA by the commissioned HTA body and the commissioning decision maker in Germany: whenever IQWiG and Federal Joint Committee disagree. Health Econ Rev. 2019;9(1):35. 10.1186/s13561-019-0254-6.</w:t>
      </w:r>
    </w:p>
    <w:p w14:paraId="2ED9E576" w14:textId="77777777" w:rsidR="00687A2B" w:rsidRPr="00687A2B" w:rsidRDefault="00687A2B" w:rsidP="00687A2B">
      <w:pPr>
        <w:pStyle w:val="EndNoteBibliography"/>
        <w:rPr>
          <w:noProof/>
        </w:rPr>
      </w:pPr>
      <w:r w:rsidRPr="00687A2B">
        <w:rPr>
          <w:noProof/>
        </w:rPr>
        <w:t>58.</w:t>
      </w:r>
      <w:r w:rsidRPr="00687A2B">
        <w:rPr>
          <w:noProof/>
        </w:rPr>
        <w:tab/>
        <w:t>Nicod E. Why do health technology assessment coverage recommendations for the same drugs differ across settings? Applying a mixed methods framework to systematically compare orphan drug decisions in four European countries. The European journal of health economics : HEPAC : health economics in prevention and care. 2017;18(6):715-30. 10.1007/s10198-016-0823-0.</w:t>
      </w:r>
    </w:p>
    <w:p w14:paraId="49AC4E82" w14:textId="77777777" w:rsidR="00687A2B" w:rsidRPr="00687A2B" w:rsidRDefault="00687A2B" w:rsidP="00687A2B">
      <w:pPr>
        <w:pStyle w:val="EndNoteBibliography"/>
        <w:rPr>
          <w:noProof/>
        </w:rPr>
      </w:pPr>
      <w:r w:rsidRPr="00687A2B">
        <w:rPr>
          <w:noProof/>
        </w:rPr>
        <w:t>59.</w:t>
      </w:r>
      <w:r w:rsidRPr="00687A2B">
        <w:rPr>
          <w:noProof/>
        </w:rPr>
        <w:tab/>
        <w:t xml:space="preserve">Nicod E, Kanavos P. Inter-country variability in coverage decisions for orphan drugs: criteria driving HTA recommendations in six countries. Value in Health. 2013;16(3):A3. </w:t>
      </w:r>
    </w:p>
    <w:p w14:paraId="6DCEA6DF" w14:textId="77777777" w:rsidR="00687A2B" w:rsidRPr="00687A2B" w:rsidRDefault="00687A2B" w:rsidP="00687A2B">
      <w:pPr>
        <w:pStyle w:val="EndNoteBibliography"/>
        <w:rPr>
          <w:noProof/>
        </w:rPr>
      </w:pPr>
      <w:r w:rsidRPr="00687A2B">
        <w:rPr>
          <w:noProof/>
        </w:rPr>
        <w:t>60.</w:t>
      </w:r>
      <w:r w:rsidRPr="00687A2B">
        <w:rPr>
          <w:noProof/>
        </w:rPr>
        <w:tab/>
        <w:t>Yuasa A, Yonemoto N, Demiya S, Foellscher C, Ikeda S. Investigation of Factors Considered by Health Technology Assessment Agencies in Eight Countries. Pharmacoecon Open. 2020;5(1):57-69. 10.1007/s41669-020-00235-6.</w:t>
      </w:r>
    </w:p>
    <w:p w14:paraId="295B2553" w14:textId="77777777" w:rsidR="00687A2B" w:rsidRPr="00687A2B" w:rsidRDefault="00687A2B" w:rsidP="00687A2B">
      <w:pPr>
        <w:pStyle w:val="EndNoteBibliography"/>
        <w:rPr>
          <w:noProof/>
        </w:rPr>
      </w:pPr>
      <w:r w:rsidRPr="00687A2B">
        <w:rPr>
          <w:noProof/>
        </w:rPr>
        <w:t>61.</w:t>
      </w:r>
      <w:r w:rsidRPr="00687A2B">
        <w:rPr>
          <w:noProof/>
        </w:rPr>
        <w:tab/>
        <w:t>Mauskopf J, Chirila C, Masaquel C, Boye KS, Bowman L, Birt J, et al. Relationship between financial impact and coverage of drugs in Australia. International journal of technology assessment in health care. 2013;29(1):92-100. 10.1017/s0266462312000724.</w:t>
      </w:r>
    </w:p>
    <w:p w14:paraId="0F17169C" w14:textId="77777777" w:rsidR="00687A2B" w:rsidRPr="00687A2B" w:rsidRDefault="00687A2B" w:rsidP="00687A2B">
      <w:pPr>
        <w:pStyle w:val="EndNoteBibliography"/>
        <w:rPr>
          <w:noProof/>
        </w:rPr>
      </w:pPr>
      <w:r w:rsidRPr="00687A2B">
        <w:rPr>
          <w:noProof/>
        </w:rPr>
        <w:t>62.</w:t>
      </w:r>
      <w:r w:rsidRPr="00687A2B">
        <w:rPr>
          <w:noProof/>
        </w:rPr>
        <w:tab/>
        <w:t>Kasper D, Fauci A, Hauser S, Longo D, Jameson J, Loscalzo J. Harrison's principles of internal medicine, 19e. New York: Mcgraw-hill New York; 2015.</w:t>
      </w:r>
    </w:p>
    <w:p w14:paraId="69AAB32C" w14:textId="77777777" w:rsidR="00687A2B" w:rsidRPr="00687A2B" w:rsidRDefault="00687A2B" w:rsidP="00687A2B">
      <w:pPr>
        <w:pStyle w:val="EndNoteBibliography"/>
        <w:rPr>
          <w:noProof/>
        </w:rPr>
      </w:pPr>
      <w:r w:rsidRPr="00687A2B">
        <w:rPr>
          <w:noProof/>
        </w:rPr>
        <w:t>63.</w:t>
      </w:r>
      <w:r w:rsidRPr="00687A2B">
        <w:rPr>
          <w:noProof/>
        </w:rPr>
        <w:tab/>
        <w:t>Ghijben P, Gu Y, Lancsar E, Zavarsek S. Revealed and Stated Preferences of Decision Makers for Priority Setting in Health Technology Assessment: A Systematic Review. PharmacoEconomics. 2018;36(3):323-40. 10.1007/s40273-017-0586-1.</w:t>
      </w:r>
    </w:p>
    <w:p w14:paraId="3FF9DEDA" w14:textId="0CD03D93" w:rsidR="00687A2B" w:rsidRPr="00687A2B" w:rsidRDefault="00687A2B" w:rsidP="00687A2B">
      <w:pPr>
        <w:pStyle w:val="EndNoteBibliography"/>
        <w:rPr>
          <w:noProof/>
        </w:rPr>
      </w:pPr>
      <w:r w:rsidRPr="00687A2B">
        <w:rPr>
          <w:noProof/>
        </w:rPr>
        <w:t>64.</w:t>
      </w:r>
      <w:r w:rsidRPr="00687A2B">
        <w:rPr>
          <w:noProof/>
        </w:rPr>
        <w:tab/>
        <w:t xml:space="preserve">Robert E. Chapter 12. Significance and Measures of Association. 2009; Available from: </w:t>
      </w:r>
      <w:hyperlink r:id="rId55" w:history="1">
        <w:r w:rsidRPr="00687A2B">
          <w:rPr>
            <w:rStyle w:val="Hyperlink"/>
            <w:noProof/>
          </w:rPr>
          <w:t>https://polisci.usca.edu/apls301/Text/Chapter%2012.%20Significance%20and%20Measures%20of%20Association.htm</w:t>
        </w:r>
      </w:hyperlink>
    </w:p>
    <w:p w14:paraId="37E8E985" w14:textId="77777777" w:rsidR="00687A2B" w:rsidRPr="00687A2B" w:rsidRDefault="00687A2B" w:rsidP="00687A2B">
      <w:pPr>
        <w:pStyle w:val="EndNoteBibliography"/>
        <w:rPr>
          <w:noProof/>
        </w:rPr>
      </w:pPr>
      <w:r w:rsidRPr="00687A2B">
        <w:rPr>
          <w:noProof/>
        </w:rPr>
        <w:t>65.</w:t>
      </w:r>
      <w:r w:rsidRPr="00687A2B">
        <w:rPr>
          <w:noProof/>
        </w:rPr>
        <w:tab/>
        <w:t>Bloem LT, Vreman RA, Peeters NWL, Hoekman J, van der Elst ME, Leufkens HGM, et al. Associations Between Uncertainties Identified by the European Medicines Agency and National Decision-making on Reimbursement by HTA Agencies. Clinical and translational science. 2021. 10.1111/cts.13027.</w:t>
      </w:r>
    </w:p>
    <w:p w14:paraId="62EA6051" w14:textId="1037634B" w:rsidR="00111EC6" w:rsidRPr="008F448B" w:rsidRDefault="00111EC6" w:rsidP="006C41A0">
      <w:pPr>
        <w:widowControl/>
        <w:adjustRightInd w:val="0"/>
        <w:snapToGrid w:val="0"/>
        <w:spacing w:line="360" w:lineRule="auto"/>
        <w:rPr>
          <w:rFonts w:ascii="Times New Roman" w:hAnsi="Times New Roman" w:cs="Times New Roman"/>
        </w:rPr>
      </w:pPr>
      <w:r w:rsidRPr="008F448B">
        <w:rPr>
          <w:rFonts w:ascii="Times New Roman" w:hAnsi="Times New Roman" w:cs="Times New Roman"/>
          <w:sz w:val="20"/>
          <w:szCs w:val="20"/>
        </w:rPr>
        <w:fldChar w:fldCharType="end"/>
      </w:r>
    </w:p>
    <w:p w14:paraId="3197BAA4" w14:textId="77777777" w:rsidR="00EE3B2A" w:rsidRPr="008F448B" w:rsidRDefault="00EE3B2A" w:rsidP="00C15362">
      <w:pPr>
        <w:adjustRightInd w:val="0"/>
        <w:snapToGrid w:val="0"/>
        <w:spacing w:line="360" w:lineRule="auto"/>
        <w:rPr>
          <w:rFonts w:ascii="Times New Roman" w:hAnsi="Times New Roman" w:cs="Times New Roman"/>
        </w:rPr>
      </w:pPr>
    </w:p>
    <w:p w14:paraId="596B0733" w14:textId="358278B5" w:rsidR="0054780A" w:rsidRPr="008F448B" w:rsidRDefault="0054780A" w:rsidP="00C15362">
      <w:pPr>
        <w:adjustRightInd w:val="0"/>
        <w:snapToGrid w:val="0"/>
        <w:spacing w:line="360" w:lineRule="auto"/>
        <w:rPr>
          <w:rFonts w:ascii="Times New Roman" w:hAnsi="Times New Roman" w:cs="Times New Roman"/>
        </w:rPr>
      </w:pPr>
    </w:p>
    <w:sectPr w:rsidR="0054780A" w:rsidRPr="008F448B" w:rsidSect="00E82899">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53088" w14:textId="77777777" w:rsidR="00CB33F3" w:rsidRDefault="00CB33F3">
      <w:r>
        <w:separator/>
      </w:r>
    </w:p>
  </w:endnote>
  <w:endnote w:type="continuationSeparator" w:id="0">
    <w:p w14:paraId="03E57EA5" w14:textId="77777777" w:rsidR="00CB33F3" w:rsidRDefault="00CB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5215405"/>
      <w:docPartObj>
        <w:docPartGallery w:val="Page Numbers (Bottom of Page)"/>
        <w:docPartUnique/>
      </w:docPartObj>
    </w:sdtPr>
    <w:sdtEndPr>
      <w:rPr>
        <w:noProof/>
      </w:rPr>
    </w:sdtEndPr>
    <w:sdtContent>
      <w:p w14:paraId="6A308C32" w14:textId="53990F4C" w:rsidR="00875115" w:rsidRDefault="008751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0DCD15" w14:textId="77777777" w:rsidR="00875115" w:rsidRDefault="00875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183F6" w14:textId="77777777" w:rsidR="00CB33F3" w:rsidRDefault="00CB33F3">
      <w:r>
        <w:separator/>
      </w:r>
    </w:p>
  </w:footnote>
  <w:footnote w:type="continuationSeparator" w:id="0">
    <w:p w14:paraId="04A213B3" w14:textId="77777777" w:rsidR="00CB33F3" w:rsidRDefault="00CB33F3">
      <w:r>
        <w:continuationSeparator/>
      </w:r>
    </w:p>
  </w:footnote>
  <w:footnote w:id="1">
    <w:p w14:paraId="4BC8100E" w14:textId="77777777" w:rsidR="009A1297" w:rsidRPr="00CD5378" w:rsidRDefault="009A1297" w:rsidP="009A1297">
      <w:pPr>
        <w:pStyle w:val="FootnoteText"/>
        <w:adjustRightInd w:val="0"/>
        <w:snapToGrid w:val="0"/>
        <w:spacing w:line="240" w:lineRule="exact"/>
        <w:rPr>
          <w:rStyle w:val="FootnoteReference"/>
          <w:rFonts w:ascii="Times New Roman" w:hAnsi="Times New Roman"/>
        </w:rPr>
      </w:pPr>
      <w:r w:rsidRPr="00CD5378">
        <w:rPr>
          <w:rStyle w:val="FootnoteReference"/>
          <w:rFonts w:ascii="Times New Roman" w:hAnsi="Times New Roman"/>
        </w:rPr>
        <w:footnoteRef/>
      </w:r>
      <w:r w:rsidRPr="00CD5378">
        <w:rPr>
          <w:rStyle w:val="FootnoteReference"/>
          <w:rFonts w:ascii="Times New Roman" w:hAnsi="Times New Roman"/>
        </w:rPr>
        <w:t xml:space="preserve"> MS Base is an international, online registry and platform for collaborative outcomes research in multiple sclerosis.</w:t>
      </w:r>
    </w:p>
    <w:p w14:paraId="551CBB82" w14:textId="77777777" w:rsidR="009A1297" w:rsidRDefault="009A1297" w:rsidP="009A1297">
      <w:pPr>
        <w:pStyle w:val="FootnoteText"/>
      </w:pPr>
    </w:p>
  </w:footnote>
  <w:footnote w:id="2">
    <w:p w14:paraId="4076BF74" w14:textId="77777777" w:rsidR="005703C0" w:rsidRPr="00CD5378" w:rsidRDefault="005703C0" w:rsidP="005703C0">
      <w:pPr>
        <w:pStyle w:val="FootnoteText"/>
        <w:adjustRightInd w:val="0"/>
        <w:snapToGrid w:val="0"/>
        <w:spacing w:line="240" w:lineRule="exact"/>
        <w:rPr>
          <w:rFonts w:ascii="Times New Roman" w:hAnsi="Times New Roman"/>
        </w:rPr>
      </w:pPr>
      <w:r w:rsidRPr="00CD5378">
        <w:rPr>
          <w:rStyle w:val="FootnoteReference"/>
          <w:rFonts w:ascii="Times New Roman" w:hAnsi="Times New Roman"/>
        </w:rPr>
        <w:footnoteRef/>
      </w:r>
      <w:r w:rsidRPr="00CD5378">
        <w:rPr>
          <w:rStyle w:val="FootnoteReference"/>
          <w:rFonts w:ascii="Times New Roman" w:hAnsi="Times New Roman"/>
        </w:rPr>
        <w:t xml:space="preserve"> (FACIT)-fatigue scale (Version 4) is a tool to measure the patients’ level of fatigue or tiredness and its impact on their usual daily activities.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83B"/>
    <w:multiLevelType w:val="hybridMultilevel"/>
    <w:tmpl w:val="F8EC3238"/>
    <w:lvl w:ilvl="0" w:tplc="D8E66D38">
      <w:start w:val="1"/>
      <w:numFmt w:val="decimal"/>
      <w:lvlText w:val="%1."/>
      <w:lvlJc w:val="left"/>
      <w:pPr>
        <w:ind w:left="360" w:hanging="360"/>
      </w:pPr>
      <w:rPr>
        <w:rFonts w:ascii="Times New Roman" w:eastAsia="DengXian" w:hAnsi="Times New Roman" w:cs="Times New Roman" w:hint="default"/>
        <w:b w:val="0"/>
        <w:bCs/>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BD3BA7"/>
    <w:multiLevelType w:val="hybridMultilevel"/>
    <w:tmpl w:val="F3F8313C"/>
    <w:lvl w:ilvl="0" w:tplc="0C09000F">
      <w:start w:val="1"/>
      <w:numFmt w:val="decimal"/>
      <w:lvlText w:val="%1."/>
      <w:lvlJc w:val="left"/>
      <w:pPr>
        <w:ind w:left="540" w:hanging="360"/>
      </w:pPr>
      <w:rPr>
        <w:rFonts w:hint="default"/>
      </w:rPr>
    </w:lvl>
    <w:lvl w:ilvl="1" w:tplc="1C1E250A">
      <w:start w:val="1"/>
      <w:numFmt w:val="bullet"/>
      <w:lvlText w:val="o"/>
      <w:lvlJc w:val="left"/>
      <w:pPr>
        <w:ind w:left="1260" w:hanging="360"/>
      </w:pPr>
      <w:rPr>
        <w:rFonts w:ascii="Courier New" w:hAnsi="Courier New" w:hint="default"/>
      </w:rPr>
    </w:lvl>
    <w:lvl w:ilvl="2" w:tplc="384C19F4">
      <w:start w:val="1"/>
      <w:numFmt w:val="bullet"/>
      <w:lvlText w:val=""/>
      <w:lvlJc w:val="left"/>
      <w:pPr>
        <w:ind w:left="1980" w:hanging="360"/>
      </w:pPr>
      <w:rPr>
        <w:rFonts w:ascii="Wingdings" w:hAnsi="Wingdings" w:hint="default"/>
      </w:rPr>
    </w:lvl>
    <w:lvl w:ilvl="3" w:tplc="F260E300">
      <w:start w:val="1"/>
      <w:numFmt w:val="bullet"/>
      <w:lvlText w:val=""/>
      <w:lvlJc w:val="left"/>
      <w:pPr>
        <w:ind w:left="2700" w:hanging="360"/>
      </w:pPr>
      <w:rPr>
        <w:rFonts w:ascii="Symbol" w:hAnsi="Symbol" w:hint="default"/>
      </w:rPr>
    </w:lvl>
    <w:lvl w:ilvl="4" w:tplc="2952BA10">
      <w:start w:val="1"/>
      <w:numFmt w:val="bullet"/>
      <w:lvlText w:val="o"/>
      <w:lvlJc w:val="left"/>
      <w:pPr>
        <w:ind w:left="3420" w:hanging="360"/>
      </w:pPr>
      <w:rPr>
        <w:rFonts w:ascii="Courier New" w:hAnsi="Courier New" w:hint="default"/>
      </w:rPr>
    </w:lvl>
    <w:lvl w:ilvl="5" w:tplc="972271F0">
      <w:start w:val="1"/>
      <w:numFmt w:val="bullet"/>
      <w:lvlText w:val=""/>
      <w:lvlJc w:val="left"/>
      <w:pPr>
        <w:ind w:left="4140" w:hanging="360"/>
      </w:pPr>
      <w:rPr>
        <w:rFonts w:ascii="Wingdings" w:hAnsi="Wingdings" w:hint="default"/>
      </w:rPr>
    </w:lvl>
    <w:lvl w:ilvl="6" w:tplc="A5DE9E3E">
      <w:start w:val="1"/>
      <w:numFmt w:val="bullet"/>
      <w:lvlText w:val=""/>
      <w:lvlJc w:val="left"/>
      <w:pPr>
        <w:ind w:left="4860" w:hanging="360"/>
      </w:pPr>
      <w:rPr>
        <w:rFonts w:ascii="Symbol" w:hAnsi="Symbol" w:hint="default"/>
      </w:rPr>
    </w:lvl>
    <w:lvl w:ilvl="7" w:tplc="51C0BCDE">
      <w:start w:val="1"/>
      <w:numFmt w:val="bullet"/>
      <w:lvlText w:val="o"/>
      <w:lvlJc w:val="left"/>
      <w:pPr>
        <w:ind w:left="5580" w:hanging="360"/>
      </w:pPr>
      <w:rPr>
        <w:rFonts w:ascii="Courier New" w:hAnsi="Courier New" w:hint="default"/>
      </w:rPr>
    </w:lvl>
    <w:lvl w:ilvl="8" w:tplc="39D4D05E">
      <w:start w:val="1"/>
      <w:numFmt w:val="bullet"/>
      <w:lvlText w:val=""/>
      <w:lvlJc w:val="left"/>
      <w:pPr>
        <w:ind w:left="6300" w:hanging="360"/>
      </w:pPr>
      <w:rPr>
        <w:rFonts w:ascii="Wingdings" w:hAnsi="Wingdings" w:hint="default"/>
      </w:rPr>
    </w:lvl>
  </w:abstractNum>
  <w:abstractNum w:abstractNumId="2" w15:restartNumberingAfterBreak="0">
    <w:nsid w:val="11AC1AE6"/>
    <w:multiLevelType w:val="hybridMultilevel"/>
    <w:tmpl w:val="8332AF1E"/>
    <w:lvl w:ilvl="0" w:tplc="B09AAE9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3B1622"/>
    <w:multiLevelType w:val="multilevel"/>
    <w:tmpl w:val="762864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4E586E"/>
    <w:multiLevelType w:val="multilevel"/>
    <w:tmpl w:val="2C4E586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F946F38"/>
    <w:multiLevelType w:val="multilevel"/>
    <w:tmpl w:val="023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E243D"/>
    <w:multiLevelType w:val="hybridMultilevel"/>
    <w:tmpl w:val="932A4814"/>
    <w:lvl w:ilvl="0" w:tplc="625CCF4E">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CADD7B"/>
    <w:multiLevelType w:val="singleLevel"/>
    <w:tmpl w:val="9DB00242"/>
    <w:lvl w:ilvl="0">
      <w:start w:val="1"/>
      <w:numFmt w:val="decimal"/>
      <w:lvlText w:val="%1."/>
      <w:lvlJc w:val="left"/>
      <w:pPr>
        <w:ind w:left="360" w:hanging="360"/>
      </w:pPr>
      <w:rPr>
        <w:rFonts w:ascii="Times New Roman" w:eastAsiaTheme="minorEastAsia" w:hAnsi="Times New Roman" w:cs="Times New Roman"/>
      </w:rPr>
    </w:lvl>
  </w:abstractNum>
  <w:abstractNum w:abstractNumId="8" w15:restartNumberingAfterBreak="0">
    <w:nsid w:val="3FE15439"/>
    <w:multiLevelType w:val="multilevel"/>
    <w:tmpl w:val="B4E0A0E6"/>
    <w:lvl w:ilvl="0">
      <w:start w:val="1"/>
      <w:numFmt w:val="decimal"/>
      <w:lvlText w:val="%1."/>
      <w:lvlJc w:val="left"/>
      <w:pPr>
        <w:ind w:left="360" w:hanging="360"/>
      </w:pPr>
      <w:rPr>
        <w:b/>
        <w:bCs/>
        <w:sz w:val="20"/>
        <w:szCs w:val="20"/>
      </w:rPr>
    </w:lvl>
    <w:lvl w:ilvl="1">
      <w:start w:val="3"/>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3FF4F33"/>
    <w:multiLevelType w:val="hybridMultilevel"/>
    <w:tmpl w:val="4CF237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442297"/>
    <w:multiLevelType w:val="multilevel"/>
    <w:tmpl w:val="44442297"/>
    <w:lvl w:ilvl="0">
      <w:start w:val="1"/>
      <w:numFmt w:val="bullet"/>
      <w:pStyle w:val="Bullet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F117851"/>
    <w:multiLevelType w:val="multilevel"/>
    <w:tmpl w:val="2A4894D8"/>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000922"/>
    <w:multiLevelType w:val="multilevel"/>
    <w:tmpl w:val="04D6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00AB7"/>
    <w:multiLevelType w:val="hybridMultilevel"/>
    <w:tmpl w:val="B0E25792"/>
    <w:lvl w:ilvl="0" w:tplc="50C06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142F6E"/>
    <w:multiLevelType w:val="multilevel"/>
    <w:tmpl w:val="63142F6E"/>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657D2C2D"/>
    <w:multiLevelType w:val="multilevel"/>
    <w:tmpl w:val="F9D0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64560"/>
    <w:multiLevelType w:val="hybridMultilevel"/>
    <w:tmpl w:val="75801F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FC451F"/>
    <w:multiLevelType w:val="hybridMultilevel"/>
    <w:tmpl w:val="7A6C1BF4"/>
    <w:lvl w:ilvl="0" w:tplc="2DF8F57E">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4D033C"/>
    <w:multiLevelType w:val="multilevel"/>
    <w:tmpl w:val="784D033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4B6621"/>
    <w:multiLevelType w:val="hybridMultilevel"/>
    <w:tmpl w:val="49245948"/>
    <w:lvl w:ilvl="0" w:tplc="4D70574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50316637">
    <w:abstractNumId w:val="1"/>
  </w:num>
  <w:num w:numId="2" w16cid:durableId="6834738">
    <w:abstractNumId w:val="10"/>
  </w:num>
  <w:num w:numId="3" w16cid:durableId="498933679">
    <w:abstractNumId w:val="18"/>
  </w:num>
  <w:num w:numId="4" w16cid:durableId="308019462">
    <w:abstractNumId w:val="4"/>
  </w:num>
  <w:num w:numId="5" w16cid:durableId="719866509">
    <w:abstractNumId w:val="14"/>
  </w:num>
  <w:num w:numId="6" w16cid:durableId="214240609">
    <w:abstractNumId w:val="7"/>
  </w:num>
  <w:num w:numId="7" w16cid:durableId="1865749766">
    <w:abstractNumId w:val="12"/>
  </w:num>
  <w:num w:numId="8" w16cid:durableId="1637685706">
    <w:abstractNumId w:val="5"/>
  </w:num>
  <w:num w:numId="9" w16cid:durableId="1515072387">
    <w:abstractNumId w:val="8"/>
  </w:num>
  <w:num w:numId="10" w16cid:durableId="423571685">
    <w:abstractNumId w:val="0"/>
  </w:num>
  <w:num w:numId="11" w16cid:durableId="912935785">
    <w:abstractNumId w:val="15"/>
  </w:num>
  <w:num w:numId="12" w16cid:durableId="1669400872">
    <w:abstractNumId w:val="3"/>
  </w:num>
  <w:num w:numId="13" w16cid:durableId="447117713">
    <w:abstractNumId w:val="11"/>
  </w:num>
  <w:num w:numId="14" w16cid:durableId="896937677">
    <w:abstractNumId w:val="6"/>
  </w:num>
  <w:num w:numId="15" w16cid:durableId="279605182">
    <w:abstractNumId w:val="2"/>
  </w:num>
  <w:num w:numId="16" w16cid:durableId="380640102">
    <w:abstractNumId w:val="17"/>
  </w:num>
  <w:num w:numId="17" w16cid:durableId="1637027142">
    <w:abstractNumId w:val="13"/>
  </w:num>
  <w:num w:numId="18" w16cid:durableId="1793087562">
    <w:abstractNumId w:val="19"/>
  </w:num>
  <w:num w:numId="19" w16cid:durableId="5182058">
    <w:abstractNumId w:val="16"/>
  </w:num>
  <w:num w:numId="20" w16cid:durableId="11968929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hideSpellingErrors/>
  <w:hideGrammaticalErrors/>
  <w:proofState w:spelling="clean" w:grammar="clean"/>
  <w:defaultTabStop w:val="144"/>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2tDCztLQwMLYwMDJS0lEKTi0uzszPAykwNKsFAATh2yYtAAAA"/>
    <w:docVar w:name="commondata" w:val="eyJoZGlkIjoiYzIzNjhjZjkxMjg2OGJjOTQ0NThhNzBhOGI4YTVmYWYifQ=="/>
    <w:docVar w:name="EN.InstantFormat" w:val="&lt;ENInstantFormat&gt;&lt;Enabled&gt;1&lt;/Enabled&gt;&lt;ScanUnformatted&gt;1&lt;/ScanUnformatted&gt;&lt;ScanChanges&gt;1&lt;/ScanChanges&gt;&lt;Suspended&gt;0&lt;/Suspended&gt;&lt;/ENInstantFormat&gt;"/>
    <w:docVar w:name="EN.Layout" w:val="&lt;ENLayout&gt;&lt;Style&gt;PharmacoEconomic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ttwaa2gstv57epr5z5zxv325varaa5e9rp&quot;&gt;HTA-Converted&lt;record-ids&gt;&lt;item&gt;15174&lt;/item&gt;&lt;item&gt;15175&lt;/item&gt;&lt;item&gt;15200&lt;/item&gt;&lt;item&gt;15222&lt;/item&gt;&lt;item&gt;15241&lt;/item&gt;&lt;item&gt;15252&lt;/item&gt;&lt;item&gt;15366&lt;/item&gt;&lt;item&gt;15855&lt;/item&gt;&lt;item&gt;15857&lt;/item&gt;&lt;item&gt;17138&lt;/item&gt;&lt;item&gt;17164&lt;/item&gt;&lt;item&gt;17275&lt;/item&gt;&lt;item&gt;17417&lt;/item&gt;&lt;item&gt;17832&lt;/item&gt;&lt;item&gt;17836&lt;/item&gt;&lt;item&gt;18227&lt;/item&gt;&lt;item&gt;18230&lt;/item&gt;&lt;item&gt;18455&lt;/item&gt;&lt;item&gt;18459&lt;/item&gt;&lt;item&gt;18460&lt;/item&gt;&lt;item&gt;18462&lt;/item&gt;&lt;item&gt;18545&lt;/item&gt;&lt;item&gt;18546&lt;/item&gt;&lt;item&gt;18683&lt;/item&gt;&lt;item&gt;18691&lt;/item&gt;&lt;item&gt;18730&lt;/item&gt;&lt;item&gt;18739&lt;/item&gt;&lt;item&gt;18741&lt;/item&gt;&lt;item&gt;18742&lt;/item&gt;&lt;item&gt;19250&lt;/item&gt;&lt;item&gt;19270&lt;/item&gt;&lt;item&gt;19274&lt;/item&gt;&lt;item&gt;19275&lt;/item&gt;&lt;item&gt;19276&lt;/item&gt;&lt;item&gt;19277&lt;/item&gt;&lt;item&gt;19278&lt;/item&gt;&lt;item&gt;19279&lt;/item&gt;&lt;item&gt;19280&lt;/item&gt;&lt;item&gt;19281&lt;/item&gt;&lt;item&gt;19282&lt;/item&gt;&lt;item&gt;19283&lt;/item&gt;&lt;item&gt;19286&lt;/item&gt;&lt;item&gt;19287&lt;/item&gt;&lt;item&gt;19288&lt;/item&gt;&lt;item&gt;19289&lt;/item&gt;&lt;item&gt;19290&lt;/item&gt;&lt;item&gt;19291&lt;/item&gt;&lt;item&gt;19292&lt;/item&gt;&lt;item&gt;19294&lt;/item&gt;&lt;item&gt;19295&lt;/item&gt;&lt;item&gt;19305&lt;/item&gt;&lt;item&gt;19306&lt;/item&gt;&lt;item&gt;19307&lt;/item&gt;&lt;item&gt;19308&lt;/item&gt;&lt;item&gt;19315&lt;/item&gt;&lt;item&gt;19327&lt;/item&gt;&lt;item&gt;19328&lt;/item&gt;&lt;item&gt;19329&lt;/item&gt;&lt;item&gt;19330&lt;/item&gt;&lt;item&gt;19331&lt;/item&gt;&lt;item&gt;19332&lt;/item&gt;&lt;item&gt;19333&lt;/item&gt;&lt;item&gt;19553&lt;/item&gt;&lt;/record-ids&gt;&lt;/item&gt;&lt;/Libraries&gt;"/>
  </w:docVars>
  <w:rsids>
    <w:rsidRoot w:val="00335CFA"/>
    <w:rsid w:val="0000027C"/>
    <w:rsid w:val="00000874"/>
    <w:rsid w:val="00000CFB"/>
    <w:rsid w:val="000019C3"/>
    <w:rsid w:val="00001B69"/>
    <w:rsid w:val="000022E7"/>
    <w:rsid w:val="0000243D"/>
    <w:rsid w:val="000034FF"/>
    <w:rsid w:val="0000429E"/>
    <w:rsid w:val="00004649"/>
    <w:rsid w:val="00005660"/>
    <w:rsid w:val="00006F22"/>
    <w:rsid w:val="0000742B"/>
    <w:rsid w:val="000077DA"/>
    <w:rsid w:val="000100B7"/>
    <w:rsid w:val="00010E3F"/>
    <w:rsid w:val="000113A1"/>
    <w:rsid w:val="000115B4"/>
    <w:rsid w:val="00012E01"/>
    <w:rsid w:val="00012E8A"/>
    <w:rsid w:val="00013B38"/>
    <w:rsid w:val="00014801"/>
    <w:rsid w:val="00014934"/>
    <w:rsid w:val="000149C3"/>
    <w:rsid w:val="00016A5A"/>
    <w:rsid w:val="00016B20"/>
    <w:rsid w:val="00016E17"/>
    <w:rsid w:val="000173EF"/>
    <w:rsid w:val="00020551"/>
    <w:rsid w:val="00020783"/>
    <w:rsid w:val="0002162E"/>
    <w:rsid w:val="00021D29"/>
    <w:rsid w:val="000226BC"/>
    <w:rsid w:val="000232F0"/>
    <w:rsid w:val="00023781"/>
    <w:rsid w:val="00023F24"/>
    <w:rsid w:val="0002409F"/>
    <w:rsid w:val="0002460B"/>
    <w:rsid w:val="00024E34"/>
    <w:rsid w:val="00025765"/>
    <w:rsid w:val="00027691"/>
    <w:rsid w:val="000300BC"/>
    <w:rsid w:val="0003028E"/>
    <w:rsid w:val="000309A6"/>
    <w:rsid w:val="00030DEB"/>
    <w:rsid w:val="0003181E"/>
    <w:rsid w:val="0003210D"/>
    <w:rsid w:val="00032795"/>
    <w:rsid w:val="00032B6E"/>
    <w:rsid w:val="00032D99"/>
    <w:rsid w:val="0003384F"/>
    <w:rsid w:val="00033B2D"/>
    <w:rsid w:val="000341AE"/>
    <w:rsid w:val="00034DBD"/>
    <w:rsid w:val="0003509D"/>
    <w:rsid w:val="0003658E"/>
    <w:rsid w:val="00036E21"/>
    <w:rsid w:val="00037E3F"/>
    <w:rsid w:val="0004139D"/>
    <w:rsid w:val="00041871"/>
    <w:rsid w:val="00042721"/>
    <w:rsid w:val="00042CA2"/>
    <w:rsid w:val="0004305E"/>
    <w:rsid w:val="0004366E"/>
    <w:rsid w:val="0004382B"/>
    <w:rsid w:val="00044539"/>
    <w:rsid w:val="000500AA"/>
    <w:rsid w:val="00050AC9"/>
    <w:rsid w:val="000519B4"/>
    <w:rsid w:val="00053DF2"/>
    <w:rsid w:val="00054147"/>
    <w:rsid w:val="00054207"/>
    <w:rsid w:val="00054706"/>
    <w:rsid w:val="00054C0D"/>
    <w:rsid w:val="00054E67"/>
    <w:rsid w:val="00055689"/>
    <w:rsid w:val="00056898"/>
    <w:rsid w:val="000576AA"/>
    <w:rsid w:val="000578E2"/>
    <w:rsid w:val="00057E4C"/>
    <w:rsid w:val="00060AC9"/>
    <w:rsid w:val="00060F4D"/>
    <w:rsid w:val="0006122B"/>
    <w:rsid w:val="000615C7"/>
    <w:rsid w:val="00062318"/>
    <w:rsid w:val="000626CB"/>
    <w:rsid w:val="000635D9"/>
    <w:rsid w:val="00064228"/>
    <w:rsid w:val="0006595B"/>
    <w:rsid w:val="000662CD"/>
    <w:rsid w:val="000663DE"/>
    <w:rsid w:val="0006738E"/>
    <w:rsid w:val="0006776A"/>
    <w:rsid w:val="00070E03"/>
    <w:rsid w:val="00071165"/>
    <w:rsid w:val="00071195"/>
    <w:rsid w:val="00071AE5"/>
    <w:rsid w:val="000731DC"/>
    <w:rsid w:val="0007327D"/>
    <w:rsid w:val="00073848"/>
    <w:rsid w:val="00073D7B"/>
    <w:rsid w:val="000745D1"/>
    <w:rsid w:val="0007557E"/>
    <w:rsid w:val="00076200"/>
    <w:rsid w:val="000763B1"/>
    <w:rsid w:val="00076C23"/>
    <w:rsid w:val="000804B3"/>
    <w:rsid w:val="000804F4"/>
    <w:rsid w:val="000808AF"/>
    <w:rsid w:val="000811C8"/>
    <w:rsid w:val="00081452"/>
    <w:rsid w:val="00083267"/>
    <w:rsid w:val="00084A73"/>
    <w:rsid w:val="00085AA0"/>
    <w:rsid w:val="00086B6E"/>
    <w:rsid w:val="00086B7A"/>
    <w:rsid w:val="00086CBD"/>
    <w:rsid w:val="000870C3"/>
    <w:rsid w:val="000873F5"/>
    <w:rsid w:val="00090C6D"/>
    <w:rsid w:val="000911D9"/>
    <w:rsid w:val="00091D0D"/>
    <w:rsid w:val="00092066"/>
    <w:rsid w:val="000930E6"/>
    <w:rsid w:val="00093B93"/>
    <w:rsid w:val="0009472D"/>
    <w:rsid w:val="000949C7"/>
    <w:rsid w:val="00094A99"/>
    <w:rsid w:val="00094C80"/>
    <w:rsid w:val="00094E71"/>
    <w:rsid w:val="000950CB"/>
    <w:rsid w:val="00095235"/>
    <w:rsid w:val="00096365"/>
    <w:rsid w:val="00096972"/>
    <w:rsid w:val="00097381"/>
    <w:rsid w:val="000976D8"/>
    <w:rsid w:val="000A0956"/>
    <w:rsid w:val="000A0B61"/>
    <w:rsid w:val="000A0E88"/>
    <w:rsid w:val="000A33C7"/>
    <w:rsid w:val="000A352B"/>
    <w:rsid w:val="000A427F"/>
    <w:rsid w:val="000A437D"/>
    <w:rsid w:val="000A464F"/>
    <w:rsid w:val="000A50A5"/>
    <w:rsid w:val="000A5196"/>
    <w:rsid w:val="000A67AE"/>
    <w:rsid w:val="000A6B79"/>
    <w:rsid w:val="000A6EA6"/>
    <w:rsid w:val="000A7408"/>
    <w:rsid w:val="000A7AD5"/>
    <w:rsid w:val="000B02CF"/>
    <w:rsid w:val="000B0E5D"/>
    <w:rsid w:val="000B2460"/>
    <w:rsid w:val="000B2BD1"/>
    <w:rsid w:val="000B2E36"/>
    <w:rsid w:val="000B2FBA"/>
    <w:rsid w:val="000B3F6E"/>
    <w:rsid w:val="000B459D"/>
    <w:rsid w:val="000B4AB9"/>
    <w:rsid w:val="000B549E"/>
    <w:rsid w:val="000B54EA"/>
    <w:rsid w:val="000B6743"/>
    <w:rsid w:val="000B67FB"/>
    <w:rsid w:val="000C014F"/>
    <w:rsid w:val="000C0C87"/>
    <w:rsid w:val="000C1F79"/>
    <w:rsid w:val="000C309D"/>
    <w:rsid w:val="000C3B04"/>
    <w:rsid w:val="000C4277"/>
    <w:rsid w:val="000C46FC"/>
    <w:rsid w:val="000C4B35"/>
    <w:rsid w:val="000C5E12"/>
    <w:rsid w:val="000C6460"/>
    <w:rsid w:val="000C646C"/>
    <w:rsid w:val="000C66DD"/>
    <w:rsid w:val="000C6EFC"/>
    <w:rsid w:val="000C7460"/>
    <w:rsid w:val="000D0C8F"/>
    <w:rsid w:val="000D0CB2"/>
    <w:rsid w:val="000D0F00"/>
    <w:rsid w:val="000D1B8F"/>
    <w:rsid w:val="000D202C"/>
    <w:rsid w:val="000D346B"/>
    <w:rsid w:val="000D363F"/>
    <w:rsid w:val="000D4512"/>
    <w:rsid w:val="000D45F8"/>
    <w:rsid w:val="000D4B59"/>
    <w:rsid w:val="000D4CAB"/>
    <w:rsid w:val="000D5514"/>
    <w:rsid w:val="000D6224"/>
    <w:rsid w:val="000D6681"/>
    <w:rsid w:val="000D6CA0"/>
    <w:rsid w:val="000D6FD7"/>
    <w:rsid w:val="000D719C"/>
    <w:rsid w:val="000D71EB"/>
    <w:rsid w:val="000D7922"/>
    <w:rsid w:val="000E037C"/>
    <w:rsid w:val="000E0909"/>
    <w:rsid w:val="000E1183"/>
    <w:rsid w:val="000E17A7"/>
    <w:rsid w:val="000E221C"/>
    <w:rsid w:val="000E2335"/>
    <w:rsid w:val="000E2D06"/>
    <w:rsid w:val="000E39D7"/>
    <w:rsid w:val="000E3D38"/>
    <w:rsid w:val="000E3DBE"/>
    <w:rsid w:val="000E41E0"/>
    <w:rsid w:val="000E4489"/>
    <w:rsid w:val="000E4A85"/>
    <w:rsid w:val="000E54B9"/>
    <w:rsid w:val="000E68D0"/>
    <w:rsid w:val="000E719B"/>
    <w:rsid w:val="000E73C3"/>
    <w:rsid w:val="000F00AB"/>
    <w:rsid w:val="000F0DED"/>
    <w:rsid w:val="000F10D4"/>
    <w:rsid w:val="000F16EF"/>
    <w:rsid w:val="000F1759"/>
    <w:rsid w:val="000F1D8C"/>
    <w:rsid w:val="000F20C4"/>
    <w:rsid w:val="000F26C7"/>
    <w:rsid w:val="000F27AE"/>
    <w:rsid w:val="000F29C3"/>
    <w:rsid w:val="000F2BD1"/>
    <w:rsid w:val="000F2DAD"/>
    <w:rsid w:val="000F477A"/>
    <w:rsid w:val="000F480E"/>
    <w:rsid w:val="000F4CCC"/>
    <w:rsid w:val="000F580F"/>
    <w:rsid w:val="000F5E7C"/>
    <w:rsid w:val="000F71F8"/>
    <w:rsid w:val="000F7F25"/>
    <w:rsid w:val="00100244"/>
    <w:rsid w:val="00100634"/>
    <w:rsid w:val="00100CD4"/>
    <w:rsid w:val="001020FD"/>
    <w:rsid w:val="0010323F"/>
    <w:rsid w:val="001036C3"/>
    <w:rsid w:val="00103978"/>
    <w:rsid w:val="0010446F"/>
    <w:rsid w:val="001048D6"/>
    <w:rsid w:val="00104F3D"/>
    <w:rsid w:val="0010548F"/>
    <w:rsid w:val="001061A2"/>
    <w:rsid w:val="00106419"/>
    <w:rsid w:val="0010667C"/>
    <w:rsid w:val="00106919"/>
    <w:rsid w:val="00107640"/>
    <w:rsid w:val="00107AAE"/>
    <w:rsid w:val="001100F5"/>
    <w:rsid w:val="00111472"/>
    <w:rsid w:val="0011185D"/>
    <w:rsid w:val="00111C8F"/>
    <w:rsid w:val="00111EC6"/>
    <w:rsid w:val="00112169"/>
    <w:rsid w:val="00112827"/>
    <w:rsid w:val="00112D7F"/>
    <w:rsid w:val="00112ECD"/>
    <w:rsid w:val="001130C1"/>
    <w:rsid w:val="00113D31"/>
    <w:rsid w:val="00113EF5"/>
    <w:rsid w:val="00114018"/>
    <w:rsid w:val="00115211"/>
    <w:rsid w:val="00115ABD"/>
    <w:rsid w:val="001160F9"/>
    <w:rsid w:val="00116696"/>
    <w:rsid w:val="0012047A"/>
    <w:rsid w:val="00121A4E"/>
    <w:rsid w:val="00122143"/>
    <w:rsid w:val="001230E1"/>
    <w:rsid w:val="00123299"/>
    <w:rsid w:val="00123D91"/>
    <w:rsid w:val="00124566"/>
    <w:rsid w:val="00124B1C"/>
    <w:rsid w:val="00124B3D"/>
    <w:rsid w:val="0012595C"/>
    <w:rsid w:val="00125ECA"/>
    <w:rsid w:val="00126209"/>
    <w:rsid w:val="00126B68"/>
    <w:rsid w:val="00127574"/>
    <w:rsid w:val="00127596"/>
    <w:rsid w:val="001317E1"/>
    <w:rsid w:val="001321DC"/>
    <w:rsid w:val="001323F9"/>
    <w:rsid w:val="00132838"/>
    <w:rsid w:val="00132A3C"/>
    <w:rsid w:val="00132ACB"/>
    <w:rsid w:val="00132C81"/>
    <w:rsid w:val="00132D48"/>
    <w:rsid w:val="00132DD5"/>
    <w:rsid w:val="0013325C"/>
    <w:rsid w:val="001339DE"/>
    <w:rsid w:val="001344B7"/>
    <w:rsid w:val="001345C1"/>
    <w:rsid w:val="001359BB"/>
    <w:rsid w:val="00136D82"/>
    <w:rsid w:val="00140AC9"/>
    <w:rsid w:val="00143CD9"/>
    <w:rsid w:val="00143F3B"/>
    <w:rsid w:val="0014404E"/>
    <w:rsid w:val="0014482D"/>
    <w:rsid w:val="0014552E"/>
    <w:rsid w:val="00145A27"/>
    <w:rsid w:val="00145DB1"/>
    <w:rsid w:val="001462E1"/>
    <w:rsid w:val="00146869"/>
    <w:rsid w:val="00146CF5"/>
    <w:rsid w:val="00147202"/>
    <w:rsid w:val="00150152"/>
    <w:rsid w:val="00150C45"/>
    <w:rsid w:val="001519DD"/>
    <w:rsid w:val="0015282B"/>
    <w:rsid w:val="001543CB"/>
    <w:rsid w:val="001558DE"/>
    <w:rsid w:val="001565A2"/>
    <w:rsid w:val="00156B06"/>
    <w:rsid w:val="00156E40"/>
    <w:rsid w:val="00157BFC"/>
    <w:rsid w:val="00161E41"/>
    <w:rsid w:val="00162CF4"/>
    <w:rsid w:val="00163A8C"/>
    <w:rsid w:val="001640F2"/>
    <w:rsid w:val="00165067"/>
    <w:rsid w:val="00165B27"/>
    <w:rsid w:val="001665EF"/>
    <w:rsid w:val="00166ED7"/>
    <w:rsid w:val="0016750B"/>
    <w:rsid w:val="001700C0"/>
    <w:rsid w:val="00171D63"/>
    <w:rsid w:val="001724C2"/>
    <w:rsid w:val="00173061"/>
    <w:rsid w:val="001739F9"/>
    <w:rsid w:val="00174068"/>
    <w:rsid w:val="0017422F"/>
    <w:rsid w:val="0017573C"/>
    <w:rsid w:val="00175E9C"/>
    <w:rsid w:val="001766B7"/>
    <w:rsid w:val="00180DCC"/>
    <w:rsid w:val="0018126C"/>
    <w:rsid w:val="00181E37"/>
    <w:rsid w:val="001835A9"/>
    <w:rsid w:val="00184626"/>
    <w:rsid w:val="001847E6"/>
    <w:rsid w:val="001856FB"/>
    <w:rsid w:val="001870E1"/>
    <w:rsid w:val="00187975"/>
    <w:rsid w:val="00190221"/>
    <w:rsid w:val="00190357"/>
    <w:rsid w:val="0019150C"/>
    <w:rsid w:val="00191B8D"/>
    <w:rsid w:val="00191C13"/>
    <w:rsid w:val="001927CE"/>
    <w:rsid w:val="001932D3"/>
    <w:rsid w:val="0019396D"/>
    <w:rsid w:val="001940EC"/>
    <w:rsid w:val="0019465D"/>
    <w:rsid w:val="00194E42"/>
    <w:rsid w:val="00194EF5"/>
    <w:rsid w:val="00195CB9"/>
    <w:rsid w:val="00196129"/>
    <w:rsid w:val="00196B00"/>
    <w:rsid w:val="00196CD0"/>
    <w:rsid w:val="00197B37"/>
    <w:rsid w:val="001A079E"/>
    <w:rsid w:val="001A1FFE"/>
    <w:rsid w:val="001A254D"/>
    <w:rsid w:val="001A3073"/>
    <w:rsid w:val="001A3D35"/>
    <w:rsid w:val="001A447C"/>
    <w:rsid w:val="001A458B"/>
    <w:rsid w:val="001A52D0"/>
    <w:rsid w:val="001A58FB"/>
    <w:rsid w:val="001A60CE"/>
    <w:rsid w:val="001A67E1"/>
    <w:rsid w:val="001B1972"/>
    <w:rsid w:val="001B28DB"/>
    <w:rsid w:val="001B35B7"/>
    <w:rsid w:val="001B3B64"/>
    <w:rsid w:val="001B3C63"/>
    <w:rsid w:val="001B4910"/>
    <w:rsid w:val="001B54BB"/>
    <w:rsid w:val="001B5601"/>
    <w:rsid w:val="001B56AB"/>
    <w:rsid w:val="001B5769"/>
    <w:rsid w:val="001B5A67"/>
    <w:rsid w:val="001B6478"/>
    <w:rsid w:val="001B6832"/>
    <w:rsid w:val="001B6959"/>
    <w:rsid w:val="001B6BF2"/>
    <w:rsid w:val="001B7361"/>
    <w:rsid w:val="001C0901"/>
    <w:rsid w:val="001C170D"/>
    <w:rsid w:val="001C29A0"/>
    <w:rsid w:val="001C29C1"/>
    <w:rsid w:val="001C4127"/>
    <w:rsid w:val="001C4681"/>
    <w:rsid w:val="001C5872"/>
    <w:rsid w:val="001D0075"/>
    <w:rsid w:val="001D048C"/>
    <w:rsid w:val="001D0A43"/>
    <w:rsid w:val="001D0C53"/>
    <w:rsid w:val="001D0EDE"/>
    <w:rsid w:val="001D1712"/>
    <w:rsid w:val="001D1C7C"/>
    <w:rsid w:val="001D21CF"/>
    <w:rsid w:val="001D2B25"/>
    <w:rsid w:val="001D32AF"/>
    <w:rsid w:val="001D3E23"/>
    <w:rsid w:val="001D5D53"/>
    <w:rsid w:val="001D7A8F"/>
    <w:rsid w:val="001E02B8"/>
    <w:rsid w:val="001E0934"/>
    <w:rsid w:val="001E1291"/>
    <w:rsid w:val="001E1296"/>
    <w:rsid w:val="001E171C"/>
    <w:rsid w:val="001E17FD"/>
    <w:rsid w:val="001E229E"/>
    <w:rsid w:val="001E2737"/>
    <w:rsid w:val="001E2A97"/>
    <w:rsid w:val="001E323A"/>
    <w:rsid w:val="001E3A10"/>
    <w:rsid w:val="001E3CB1"/>
    <w:rsid w:val="001E420C"/>
    <w:rsid w:val="001E4CFF"/>
    <w:rsid w:val="001E50F3"/>
    <w:rsid w:val="001E5C07"/>
    <w:rsid w:val="001E6EC4"/>
    <w:rsid w:val="001E70D2"/>
    <w:rsid w:val="001E7C9B"/>
    <w:rsid w:val="001F0E5B"/>
    <w:rsid w:val="001F30EB"/>
    <w:rsid w:val="001F315B"/>
    <w:rsid w:val="001F33A3"/>
    <w:rsid w:val="001F3D92"/>
    <w:rsid w:val="001F3F23"/>
    <w:rsid w:val="001F4A5F"/>
    <w:rsid w:val="001F5217"/>
    <w:rsid w:val="001F5232"/>
    <w:rsid w:val="001F52B3"/>
    <w:rsid w:val="001F5B28"/>
    <w:rsid w:val="001F6DB0"/>
    <w:rsid w:val="00202183"/>
    <w:rsid w:val="002023D7"/>
    <w:rsid w:val="0020320C"/>
    <w:rsid w:val="002032B7"/>
    <w:rsid w:val="00204F27"/>
    <w:rsid w:val="00204F2F"/>
    <w:rsid w:val="00205B72"/>
    <w:rsid w:val="00205C46"/>
    <w:rsid w:val="002103D5"/>
    <w:rsid w:val="0021094E"/>
    <w:rsid w:val="0021097E"/>
    <w:rsid w:val="00211171"/>
    <w:rsid w:val="00212CAF"/>
    <w:rsid w:val="002139F4"/>
    <w:rsid w:val="002147B4"/>
    <w:rsid w:val="00215703"/>
    <w:rsid w:val="00215AE3"/>
    <w:rsid w:val="0021655D"/>
    <w:rsid w:val="002167A3"/>
    <w:rsid w:val="00216D0A"/>
    <w:rsid w:val="00217EAE"/>
    <w:rsid w:val="0022040D"/>
    <w:rsid w:val="00220C83"/>
    <w:rsid w:val="00221608"/>
    <w:rsid w:val="00221824"/>
    <w:rsid w:val="00223FB2"/>
    <w:rsid w:val="0022503F"/>
    <w:rsid w:val="0022587A"/>
    <w:rsid w:val="00227C19"/>
    <w:rsid w:val="00230474"/>
    <w:rsid w:val="00230578"/>
    <w:rsid w:val="002327F8"/>
    <w:rsid w:val="0023319F"/>
    <w:rsid w:val="002332C4"/>
    <w:rsid w:val="00233B95"/>
    <w:rsid w:val="00235040"/>
    <w:rsid w:val="002360C4"/>
    <w:rsid w:val="00236499"/>
    <w:rsid w:val="00236B28"/>
    <w:rsid w:val="00237274"/>
    <w:rsid w:val="0024154C"/>
    <w:rsid w:val="002418E7"/>
    <w:rsid w:val="002425BC"/>
    <w:rsid w:val="0024382A"/>
    <w:rsid w:val="00243A11"/>
    <w:rsid w:val="002445B0"/>
    <w:rsid w:val="00244B43"/>
    <w:rsid w:val="002450CE"/>
    <w:rsid w:val="00245E2B"/>
    <w:rsid w:val="00246192"/>
    <w:rsid w:val="00247511"/>
    <w:rsid w:val="0024760A"/>
    <w:rsid w:val="00247B88"/>
    <w:rsid w:val="00247E49"/>
    <w:rsid w:val="00247E75"/>
    <w:rsid w:val="002500FC"/>
    <w:rsid w:val="002502E8"/>
    <w:rsid w:val="00250B4F"/>
    <w:rsid w:val="002517D8"/>
    <w:rsid w:val="00251A48"/>
    <w:rsid w:val="00251FF1"/>
    <w:rsid w:val="00253945"/>
    <w:rsid w:val="002547FA"/>
    <w:rsid w:val="002554FC"/>
    <w:rsid w:val="00255637"/>
    <w:rsid w:val="002564F8"/>
    <w:rsid w:val="00257481"/>
    <w:rsid w:val="002576B2"/>
    <w:rsid w:val="00257F14"/>
    <w:rsid w:val="00260F37"/>
    <w:rsid w:val="002623F0"/>
    <w:rsid w:val="00262653"/>
    <w:rsid w:val="002626EF"/>
    <w:rsid w:val="002630BC"/>
    <w:rsid w:val="002635AE"/>
    <w:rsid w:val="00263DE1"/>
    <w:rsid w:val="00264031"/>
    <w:rsid w:val="00264755"/>
    <w:rsid w:val="00265995"/>
    <w:rsid w:val="00265DF2"/>
    <w:rsid w:val="00266456"/>
    <w:rsid w:val="00266EE0"/>
    <w:rsid w:val="002679FA"/>
    <w:rsid w:val="002703B4"/>
    <w:rsid w:val="002718AC"/>
    <w:rsid w:val="00271D73"/>
    <w:rsid w:val="00271F19"/>
    <w:rsid w:val="0027228B"/>
    <w:rsid w:val="00274407"/>
    <w:rsid w:val="002750DD"/>
    <w:rsid w:val="002753EF"/>
    <w:rsid w:val="00275F09"/>
    <w:rsid w:val="00276455"/>
    <w:rsid w:val="0027679C"/>
    <w:rsid w:val="002768BC"/>
    <w:rsid w:val="00277EA6"/>
    <w:rsid w:val="002801E1"/>
    <w:rsid w:val="00280C28"/>
    <w:rsid w:val="00280D9D"/>
    <w:rsid w:val="00281A76"/>
    <w:rsid w:val="00281DA3"/>
    <w:rsid w:val="002829D6"/>
    <w:rsid w:val="00284064"/>
    <w:rsid w:val="00284237"/>
    <w:rsid w:val="0028436A"/>
    <w:rsid w:val="00284EEA"/>
    <w:rsid w:val="00285269"/>
    <w:rsid w:val="00285C41"/>
    <w:rsid w:val="00285D96"/>
    <w:rsid w:val="00285F8A"/>
    <w:rsid w:val="0028616A"/>
    <w:rsid w:val="002862F8"/>
    <w:rsid w:val="00290123"/>
    <w:rsid w:val="00292076"/>
    <w:rsid w:val="002920BB"/>
    <w:rsid w:val="00293476"/>
    <w:rsid w:val="00293A3A"/>
    <w:rsid w:val="0029436C"/>
    <w:rsid w:val="00295857"/>
    <w:rsid w:val="00295D6E"/>
    <w:rsid w:val="00296109"/>
    <w:rsid w:val="0029628D"/>
    <w:rsid w:val="002977D6"/>
    <w:rsid w:val="002A1E51"/>
    <w:rsid w:val="002A2BB7"/>
    <w:rsid w:val="002A3378"/>
    <w:rsid w:val="002A42F4"/>
    <w:rsid w:val="002A44EA"/>
    <w:rsid w:val="002A5342"/>
    <w:rsid w:val="002A65DF"/>
    <w:rsid w:val="002A6662"/>
    <w:rsid w:val="002A68EC"/>
    <w:rsid w:val="002A6A39"/>
    <w:rsid w:val="002B00E4"/>
    <w:rsid w:val="002B04B2"/>
    <w:rsid w:val="002B092E"/>
    <w:rsid w:val="002B0AE5"/>
    <w:rsid w:val="002B33A2"/>
    <w:rsid w:val="002B3766"/>
    <w:rsid w:val="002B39B9"/>
    <w:rsid w:val="002B3CF5"/>
    <w:rsid w:val="002B4431"/>
    <w:rsid w:val="002B504B"/>
    <w:rsid w:val="002B694A"/>
    <w:rsid w:val="002B7315"/>
    <w:rsid w:val="002B76E3"/>
    <w:rsid w:val="002B77EF"/>
    <w:rsid w:val="002C068C"/>
    <w:rsid w:val="002C08A5"/>
    <w:rsid w:val="002C1A88"/>
    <w:rsid w:val="002C31A9"/>
    <w:rsid w:val="002C6654"/>
    <w:rsid w:val="002C6685"/>
    <w:rsid w:val="002C671A"/>
    <w:rsid w:val="002C7407"/>
    <w:rsid w:val="002C755E"/>
    <w:rsid w:val="002D004B"/>
    <w:rsid w:val="002D2DA7"/>
    <w:rsid w:val="002D31BA"/>
    <w:rsid w:val="002D36A2"/>
    <w:rsid w:val="002D3E1D"/>
    <w:rsid w:val="002D4620"/>
    <w:rsid w:val="002D4682"/>
    <w:rsid w:val="002D4C1F"/>
    <w:rsid w:val="002D5B19"/>
    <w:rsid w:val="002D61F4"/>
    <w:rsid w:val="002D64BF"/>
    <w:rsid w:val="002D6930"/>
    <w:rsid w:val="002D7AB2"/>
    <w:rsid w:val="002E02A8"/>
    <w:rsid w:val="002E1828"/>
    <w:rsid w:val="002E1EA7"/>
    <w:rsid w:val="002E3881"/>
    <w:rsid w:val="002E3C7E"/>
    <w:rsid w:val="002E44BF"/>
    <w:rsid w:val="002E4FB0"/>
    <w:rsid w:val="002E5211"/>
    <w:rsid w:val="002E596E"/>
    <w:rsid w:val="002E5AB3"/>
    <w:rsid w:val="002E6453"/>
    <w:rsid w:val="002E64F8"/>
    <w:rsid w:val="002E6C69"/>
    <w:rsid w:val="002E7711"/>
    <w:rsid w:val="002E77D3"/>
    <w:rsid w:val="002E7AF5"/>
    <w:rsid w:val="002F06D7"/>
    <w:rsid w:val="002F1B14"/>
    <w:rsid w:val="002F1D3E"/>
    <w:rsid w:val="002F23A9"/>
    <w:rsid w:val="002F3057"/>
    <w:rsid w:val="002F3162"/>
    <w:rsid w:val="002F31DD"/>
    <w:rsid w:val="002F3BE5"/>
    <w:rsid w:val="002F3D51"/>
    <w:rsid w:val="002F4609"/>
    <w:rsid w:val="002F4DFC"/>
    <w:rsid w:val="002F529B"/>
    <w:rsid w:val="002F59BB"/>
    <w:rsid w:val="002F5E90"/>
    <w:rsid w:val="002F6ED0"/>
    <w:rsid w:val="002F77E5"/>
    <w:rsid w:val="00300193"/>
    <w:rsid w:val="00300778"/>
    <w:rsid w:val="00300867"/>
    <w:rsid w:val="00301BBC"/>
    <w:rsid w:val="00302622"/>
    <w:rsid w:val="00302857"/>
    <w:rsid w:val="00303423"/>
    <w:rsid w:val="003034D0"/>
    <w:rsid w:val="003039D5"/>
    <w:rsid w:val="0030412B"/>
    <w:rsid w:val="003042CE"/>
    <w:rsid w:val="00304958"/>
    <w:rsid w:val="00310631"/>
    <w:rsid w:val="00310D6D"/>
    <w:rsid w:val="00312202"/>
    <w:rsid w:val="00312AA6"/>
    <w:rsid w:val="00312D58"/>
    <w:rsid w:val="00312EA1"/>
    <w:rsid w:val="00313B83"/>
    <w:rsid w:val="00313C72"/>
    <w:rsid w:val="0031451A"/>
    <w:rsid w:val="003153D2"/>
    <w:rsid w:val="0031668D"/>
    <w:rsid w:val="00317411"/>
    <w:rsid w:val="003203DB"/>
    <w:rsid w:val="00320EA0"/>
    <w:rsid w:val="00321054"/>
    <w:rsid w:val="00322C58"/>
    <w:rsid w:val="0032317F"/>
    <w:rsid w:val="003235DA"/>
    <w:rsid w:val="003248D2"/>
    <w:rsid w:val="00324B44"/>
    <w:rsid w:val="00324CB2"/>
    <w:rsid w:val="00324FC4"/>
    <w:rsid w:val="0032591B"/>
    <w:rsid w:val="00326588"/>
    <w:rsid w:val="00327278"/>
    <w:rsid w:val="00327E24"/>
    <w:rsid w:val="00330625"/>
    <w:rsid w:val="00330AC9"/>
    <w:rsid w:val="00330AD0"/>
    <w:rsid w:val="00332389"/>
    <w:rsid w:val="00334ABF"/>
    <w:rsid w:val="00335CFA"/>
    <w:rsid w:val="00335FA7"/>
    <w:rsid w:val="00336176"/>
    <w:rsid w:val="00336934"/>
    <w:rsid w:val="00336B9C"/>
    <w:rsid w:val="0034049A"/>
    <w:rsid w:val="003415FC"/>
    <w:rsid w:val="0034178D"/>
    <w:rsid w:val="003419EA"/>
    <w:rsid w:val="00343EEA"/>
    <w:rsid w:val="0034414D"/>
    <w:rsid w:val="00344382"/>
    <w:rsid w:val="00344D4A"/>
    <w:rsid w:val="0034525A"/>
    <w:rsid w:val="003453D5"/>
    <w:rsid w:val="00345524"/>
    <w:rsid w:val="00345FB0"/>
    <w:rsid w:val="003461CD"/>
    <w:rsid w:val="00347A97"/>
    <w:rsid w:val="00347F92"/>
    <w:rsid w:val="00352A31"/>
    <w:rsid w:val="003534DE"/>
    <w:rsid w:val="00353F6A"/>
    <w:rsid w:val="00354000"/>
    <w:rsid w:val="00355679"/>
    <w:rsid w:val="00355D7E"/>
    <w:rsid w:val="00356AB6"/>
    <w:rsid w:val="003572BF"/>
    <w:rsid w:val="003574E8"/>
    <w:rsid w:val="00360705"/>
    <w:rsid w:val="00360768"/>
    <w:rsid w:val="0036078A"/>
    <w:rsid w:val="00362A5B"/>
    <w:rsid w:val="00366A79"/>
    <w:rsid w:val="00367443"/>
    <w:rsid w:val="003674B0"/>
    <w:rsid w:val="00370269"/>
    <w:rsid w:val="0037144E"/>
    <w:rsid w:val="003728A4"/>
    <w:rsid w:val="0037336C"/>
    <w:rsid w:val="003735A5"/>
    <w:rsid w:val="00374611"/>
    <w:rsid w:val="003748CC"/>
    <w:rsid w:val="00374A17"/>
    <w:rsid w:val="003758C9"/>
    <w:rsid w:val="00376E75"/>
    <w:rsid w:val="003771EC"/>
    <w:rsid w:val="0037779D"/>
    <w:rsid w:val="00377B4F"/>
    <w:rsid w:val="0038126B"/>
    <w:rsid w:val="00382319"/>
    <w:rsid w:val="00382FD4"/>
    <w:rsid w:val="00383054"/>
    <w:rsid w:val="00383290"/>
    <w:rsid w:val="003835F8"/>
    <w:rsid w:val="00383D85"/>
    <w:rsid w:val="0038454B"/>
    <w:rsid w:val="003860B1"/>
    <w:rsid w:val="00386100"/>
    <w:rsid w:val="003864C2"/>
    <w:rsid w:val="003869B6"/>
    <w:rsid w:val="00386E36"/>
    <w:rsid w:val="003879EA"/>
    <w:rsid w:val="00387EB4"/>
    <w:rsid w:val="0039440C"/>
    <w:rsid w:val="0039601B"/>
    <w:rsid w:val="00396290"/>
    <w:rsid w:val="00397942"/>
    <w:rsid w:val="00397FF6"/>
    <w:rsid w:val="003A1413"/>
    <w:rsid w:val="003A17C7"/>
    <w:rsid w:val="003A1E55"/>
    <w:rsid w:val="003A393C"/>
    <w:rsid w:val="003A3C87"/>
    <w:rsid w:val="003A3EB2"/>
    <w:rsid w:val="003A3FCC"/>
    <w:rsid w:val="003A52E0"/>
    <w:rsid w:val="003A5437"/>
    <w:rsid w:val="003A5F17"/>
    <w:rsid w:val="003A6357"/>
    <w:rsid w:val="003A725C"/>
    <w:rsid w:val="003A744A"/>
    <w:rsid w:val="003B1D10"/>
    <w:rsid w:val="003B1DAB"/>
    <w:rsid w:val="003B2231"/>
    <w:rsid w:val="003B2A77"/>
    <w:rsid w:val="003B2D1B"/>
    <w:rsid w:val="003B398C"/>
    <w:rsid w:val="003B3C36"/>
    <w:rsid w:val="003B3E5F"/>
    <w:rsid w:val="003B3FC7"/>
    <w:rsid w:val="003B4B53"/>
    <w:rsid w:val="003B4FF0"/>
    <w:rsid w:val="003B564B"/>
    <w:rsid w:val="003B6074"/>
    <w:rsid w:val="003B6123"/>
    <w:rsid w:val="003B61C5"/>
    <w:rsid w:val="003B666D"/>
    <w:rsid w:val="003B75B2"/>
    <w:rsid w:val="003B7E52"/>
    <w:rsid w:val="003C025A"/>
    <w:rsid w:val="003C05B0"/>
    <w:rsid w:val="003C0718"/>
    <w:rsid w:val="003C19CC"/>
    <w:rsid w:val="003C25B8"/>
    <w:rsid w:val="003C3144"/>
    <w:rsid w:val="003C33BA"/>
    <w:rsid w:val="003C4A18"/>
    <w:rsid w:val="003C5860"/>
    <w:rsid w:val="003C641E"/>
    <w:rsid w:val="003C6725"/>
    <w:rsid w:val="003C6C52"/>
    <w:rsid w:val="003C7288"/>
    <w:rsid w:val="003C7FEC"/>
    <w:rsid w:val="003D28BE"/>
    <w:rsid w:val="003D37E6"/>
    <w:rsid w:val="003D4BEB"/>
    <w:rsid w:val="003D4FB2"/>
    <w:rsid w:val="003D64AD"/>
    <w:rsid w:val="003D7484"/>
    <w:rsid w:val="003E1134"/>
    <w:rsid w:val="003E14E8"/>
    <w:rsid w:val="003E361A"/>
    <w:rsid w:val="003E3D6F"/>
    <w:rsid w:val="003E3E62"/>
    <w:rsid w:val="003E3ECD"/>
    <w:rsid w:val="003E5583"/>
    <w:rsid w:val="003E5685"/>
    <w:rsid w:val="003E64C0"/>
    <w:rsid w:val="003F1018"/>
    <w:rsid w:val="003F16F0"/>
    <w:rsid w:val="003F2951"/>
    <w:rsid w:val="003F4B44"/>
    <w:rsid w:val="003F57E6"/>
    <w:rsid w:val="003F5C0C"/>
    <w:rsid w:val="003F70BF"/>
    <w:rsid w:val="003F7133"/>
    <w:rsid w:val="003F7B29"/>
    <w:rsid w:val="003F7BC1"/>
    <w:rsid w:val="00400281"/>
    <w:rsid w:val="00401013"/>
    <w:rsid w:val="00402492"/>
    <w:rsid w:val="004024BD"/>
    <w:rsid w:val="00402F9B"/>
    <w:rsid w:val="00404EBF"/>
    <w:rsid w:val="004059D8"/>
    <w:rsid w:val="00406AAB"/>
    <w:rsid w:val="00407A24"/>
    <w:rsid w:val="00407CA8"/>
    <w:rsid w:val="00410621"/>
    <w:rsid w:val="00410B10"/>
    <w:rsid w:val="0041149F"/>
    <w:rsid w:val="00411524"/>
    <w:rsid w:val="00411623"/>
    <w:rsid w:val="00411D49"/>
    <w:rsid w:val="004127E1"/>
    <w:rsid w:val="00413368"/>
    <w:rsid w:val="00413E91"/>
    <w:rsid w:val="004142B0"/>
    <w:rsid w:val="00415705"/>
    <w:rsid w:val="0041581D"/>
    <w:rsid w:val="004166B9"/>
    <w:rsid w:val="00416E99"/>
    <w:rsid w:val="00420578"/>
    <w:rsid w:val="0042166B"/>
    <w:rsid w:val="00421C97"/>
    <w:rsid w:val="0042221B"/>
    <w:rsid w:val="00422599"/>
    <w:rsid w:val="00422620"/>
    <w:rsid w:val="00422757"/>
    <w:rsid w:val="00422B5C"/>
    <w:rsid w:val="00423551"/>
    <w:rsid w:val="00423580"/>
    <w:rsid w:val="00423AA4"/>
    <w:rsid w:val="004245D3"/>
    <w:rsid w:val="004246DB"/>
    <w:rsid w:val="004249DF"/>
    <w:rsid w:val="00424D4D"/>
    <w:rsid w:val="0042609D"/>
    <w:rsid w:val="0043026E"/>
    <w:rsid w:val="00430347"/>
    <w:rsid w:val="004307BA"/>
    <w:rsid w:val="00430C9B"/>
    <w:rsid w:val="0043233A"/>
    <w:rsid w:val="004328C0"/>
    <w:rsid w:val="004335C5"/>
    <w:rsid w:val="004336CB"/>
    <w:rsid w:val="00433EE2"/>
    <w:rsid w:val="0043479B"/>
    <w:rsid w:val="00437543"/>
    <w:rsid w:val="00441480"/>
    <w:rsid w:val="00441912"/>
    <w:rsid w:val="00441FD8"/>
    <w:rsid w:val="00442C97"/>
    <w:rsid w:val="00443C9F"/>
    <w:rsid w:val="00443D3C"/>
    <w:rsid w:val="00444023"/>
    <w:rsid w:val="0044478D"/>
    <w:rsid w:val="00444926"/>
    <w:rsid w:val="00445D59"/>
    <w:rsid w:val="00445DE3"/>
    <w:rsid w:val="00446157"/>
    <w:rsid w:val="00450845"/>
    <w:rsid w:val="00451C57"/>
    <w:rsid w:val="00452D90"/>
    <w:rsid w:val="004536CB"/>
    <w:rsid w:val="00453E7F"/>
    <w:rsid w:val="00454179"/>
    <w:rsid w:val="00454209"/>
    <w:rsid w:val="0045530F"/>
    <w:rsid w:val="004556A7"/>
    <w:rsid w:val="00455E0E"/>
    <w:rsid w:val="00455F23"/>
    <w:rsid w:val="004567AF"/>
    <w:rsid w:val="0045695F"/>
    <w:rsid w:val="00456B20"/>
    <w:rsid w:val="004577F5"/>
    <w:rsid w:val="0046069F"/>
    <w:rsid w:val="0046091E"/>
    <w:rsid w:val="00462647"/>
    <w:rsid w:val="00462F2D"/>
    <w:rsid w:val="00463174"/>
    <w:rsid w:val="0046322D"/>
    <w:rsid w:val="00463394"/>
    <w:rsid w:val="004644A7"/>
    <w:rsid w:val="00464FBB"/>
    <w:rsid w:val="00466526"/>
    <w:rsid w:val="0046665D"/>
    <w:rsid w:val="004677FA"/>
    <w:rsid w:val="00467D9F"/>
    <w:rsid w:val="00470652"/>
    <w:rsid w:val="0047198D"/>
    <w:rsid w:val="00472AD2"/>
    <w:rsid w:val="00473D25"/>
    <w:rsid w:val="0047427C"/>
    <w:rsid w:val="004748B1"/>
    <w:rsid w:val="00475044"/>
    <w:rsid w:val="004755EB"/>
    <w:rsid w:val="00476107"/>
    <w:rsid w:val="00477A00"/>
    <w:rsid w:val="00477C85"/>
    <w:rsid w:val="004800DE"/>
    <w:rsid w:val="0048011C"/>
    <w:rsid w:val="004803C8"/>
    <w:rsid w:val="004806CF"/>
    <w:rsid w:val="00480F27"/>
    <w:rsid w:val="00481E1F"/>
    <w:rsid w:val="00482E33"/>
    <w:rsid w:val="004833CD"/>
    <w:rsid w:val="00483629"/>
    <w:rsid w:val="00483E74"/>
    <w:rsid w:val="0048618C"/>
    <w:rsid w:val="00486CAA"/>
    <w:rsid w:val="00486F0E"/>
    <w:rsid w:val="00487DDB"/>
    <w:rsid w:val="00490EB8"/>
    <w:rsid w:val="00491A07"/>
    <w:rsid w:val="004936B4"/>
    <w:rsid w:val="00493B23"/>
    <w:rsid w:val="004940C5"/>
    <w:rsid w:val="004962FC"/>
    <w:rsid w:val="004A06F9"/>
    <w:rsid w:val="004A2320"/>
    <w:rsid w:val="004A242E"/>
    <w:rsid w:val="004A3102"/>
    <w:rsid w:val="004A3506"/>
    <w:rsid w:val="004A4400"/>
    <w:rsid w:val="004A4EC0"/>
    <w:rsid w:val="004A6608"/>
    <w:rsid w:val="004A6B30"/>
    <w:rsid w:val="004A7045"/>
    <w:rsid w:val="004B0425"/>
    <w:rsid w:val="004B085E"/>
    <w:rsid w:val="004B1422"/>
    <w:rsid w:val="004B266C"/>
    <w:rsid w:val="004B372E"/>
    <w:rsid w:val="004B43CE"/>
    <w:rsid w:val="004B482C"/>
    <w:rsid w:val="004B50D4"/>
    <w:rsid w:val="004C01FB"/>
    <w:rsid w:val="004C0716"/>
    <w:rsid w:val="004C0E9C"/>
    <w:rsid w:val="004C1783"/>
    <w:rsid w:val="004C186B"/>
    <w:rsid w:val="004C1A8A"/>
    <w:rsid w:val="004C1F29"/>
    <w:rsid w:val="004C205B"/>
    <w:rsid w:val="004C2CB0"/>
    <w:rsid w:val="004C2D76"/>
    <w:rsid w:val="004C2E44"/>
    <w:rsid w:val="004C2E64"/>
    <w:rsid w:val="004C3707"/>
    <w:rsid w:val="004C38BC"/>
    <w:rsid w:val="004C7C8E"/>
    <w:rsid w:val="004D0524"/>
    <w:rsid w:val="004D14EF"/>
    <w:rsid w:val="004D1F87"/>
    <w:rsid w:val="004D285B"/>
    <w:rsid w:val="004D2C51"/>
    <w:rsid w:val="004D453F"/>
    <w:rsid w:val="004D4703"/>
    <w:rsid w:val="004D4FAF"/>
    <w:rsid w:val="004D5B7D"/>
    <w:rsid w:val="004D6340"/>
    <w:rsid w:val="004D67CA"/>
    <w:rsid w:val="004D6997"/>
    <w:rsid w:val="004D73A4"/>
    <w:rsid w:val="004E0AAD"/>
    <w:rsid w:val="004E1CF2"/>
    <w:rsid w:val="004E287C"/>
    <w:rsid w:val="004E38C7"/>
    <w:rsid w:val="004E40D7"/>
    <w:rsid w:val="004E5587"/>
    <w:rsid w:val="004E613C"/>
    <w:rsid w:val="004E63E2"/>
    <w:rsid w:val="004E6B5F"/>
    <w:rsid w:val="004E79B2"/>
    <w:rsid w:val="004F10AF"/>
    <w:rsid w:val="004F15F6"/>
    <w:rsid w:val="004F2D44"/>
    <w:rsid w:val="004F39E3"/>
    <w:rsid w:val="004F3F0F"/>
    <w:rsid w:val="004F60DE"/>
    <w:rsid w:val="004F688A"/>
    <w:rsid w:val="005005E5"/>
    <w:rsid w:val="00500BEF"/>
    <w:rsid w:val="00500FAE"/>
    <w:rsid w:val="00501A79"/>
    <w:rsid w:val="0050205F"/>
    <w:rsid w:val="00502B23"/>
    <w:rsid w:val="0050334A"/>
    <w:rsid w:val="00503716"/>
    <w:rsid w:val="00503741"/>
    <w:rsid w:val="005040AF"/>
    <w:rsid w:val="005043FE"/>
    <w:rsid w:val="00504B3A"/>
    <w:rsid w:val="0050521C"/>
    <w:rsid w:val="00505845"/>
    <w:rsid w:val="00506A85"/>
    <w:rsid w:val="00507299"/>
    <w:rsid w:val="00507548"/>
    <w:rsid w:val="00507579"/>
    <w:rsid w:val="005104BB"/>
    <w:rsid w:val="00510949"/>
    <w:rsid w:val="005109E8"/>
    <w:rsid w:val="00510D6D"/>
    <w:rsid w:val="0051200B"/>
    <w:rsid w:val="00512131"/>
    <w:rsid w:val="00512D56"/>
    <w:rsid w:val="00513777"/>
    <w:rsid w:val="00513A8C"/>
    <w:rsid w:val="00513DBB"/>
    <w:rsid w:val="005148ED"/>
    <w:rsid w:val="00514A5A"/>
    <w:rsid w:val="00515183"/>
    <w:rsid w:val="00515D52"/>
    <w:rsid w:val="00521ADC"/>
    <w:rsid w:val="00521C83"/>
    <w:rsid w:val="00522104"/>
    <w:rsid w:val="00522402"/>
    <w:rsid w:val="00523B3D"/>
    <w:rsid w:val="00523C6E"/>
    <w:rsid w:val="00523F33"/>
    <w:rsid w:val="005242A1"/>
    <w:rsid w:val="005246ED"/>
    <w:rsid w:val="00524718"/>
    <w:rsid w:val="00524EA7"/>
    <w:rsid w:val="00525350"/>
    <w:rsid w:val="00525D36"/>
    <w:rsid w:val="005264E1"/>
    <w:rsid w:val="00526A8A"/>
    <w:rsid w:val="00526B06"/>
    <w:rsid w:val="00527400"/>
    <w:rsid w:val="00527618"/>
    <w:rsid w:val="005313BD"/>
    <w:rsid w:val="00531622"/>
    <w:rsid w:val="005326DB"/>
    <w:rsid w:val="005328C5"/>
    <w:rsid w:val="00533B35"/>
    <w:rsid w:val="00533D3D"/>
    <w:rsid w:val="00535D6B"/>
    <w:rsid w:val="0053761A"/>
    <w:rsid w:val="00537BD6"/>
    <w:rsid w:val="0054051C"/>
    <w:rsid w:val="00540585"/>
    <w:rsid w:val="005417D6"/>
    <w:rsid w:val="005421E3"/>
    <w:rsid w:val="00542732"/>
    <w:rsid w:val="00542833"/>
    <w:rsid w:val="0054347C"/>
    <w:rsid w:val="00543E29"/>
    <w:rsid w:val="0054497C"/>
    <w:rsid w:val="00544A0F"/>
    <w:rsid w:val="0054607E"/>
    <w:rsid w:val="005463D2"/>
    <w:rsid w:val="00546787"/>
    <w:rsid w:val="00546915"/>
    <w:rsid w:val="00547358"/>
    <w:rsid w:val="0054780A"/>
    <w:rsid w:val="0054797A"/>
    <w:rsid w:val="00547ED9"/>
    <w:rsid w:val="00550D76"/>
    <w:rsid w:val="005513EE"/>
    <w:rsid w:val="0055176F"/>
    <w:rsid w:val="00551873"/>
    <w:rsid w:val="00551B96"/>
    <w:rsid w:val="0055224E"/>
    <w:rsid w:val="00552A0F"/>
    <w:rsid w:val="0055394E"/>
    <w:rsid w:val="0055404F"/>
    <w:rsid w:val="005545D8"/>
    <w:rsid w:val="005567DC"/>
    <w:rsid w:val="00557E21"/>
    <w:rsid w:val="00560420"/>
    <w:rsid w:val="0056345C"/>
    <w:rsid w:val="0056395F"/>
    <w:rsid w:val="005646D2"/>
    <w:rsid w:val="00565346"/>
    <w:rsid w:val="0056560F"/>
    <w:rsid w:val="0056588B"/>
    <w:rsid w:val="005668EA"/>
    <w:rsid w:val="005673D8"/>
    <w:rsid w:val="005679F8"/>
    <w:rsid w:val="00567FFB"/>
    <w:rsid w:val="005703C0"/>
    <w:rsid w:val="005706FD"/>
    <w:rsid w:val="005708DA"/>
    <w:rsid w:val="00571ACF"/>
    <w:rsid w:val="00572B86"/>
    <w:rsid w:val="00572B9B"/>
    <w:rsid w:val="00573142"/>
    <w:rsid w:val="00574097"/>
    <w:rsid w:val="00574180"/>
    <w:rsid w:val="00574265"/>
    <w:rsid w:val="00574A47"/>
    <w:rsid w:val="00576DB4"/>
    <w:rsid w:val="00577F1F"/>
    <w:rsid w:val="005809C8"/>
    <w:rsid w:val="00581D1D"/>
    <w:rsid w:val="00581F7E"/>
    <w:rsid w:val="005822E8"/>
    <w:rsid w:val="005826B6"/>
    <w:rsid w:val="0058396A"/>
    <w:rsid w:val="00583A33"/>
    <w:rsid w:val="00584E49"/>
    <w:rsid w:val="00585AA2"/>
    <w:rsid w:val="00585D5A"/>
    <w:rsid w:val="00586B3D"/>
    <w:rsid w:val="00586CCD"/>
    <w:rsid w:val="005902A8"/>
    <w:rsid w:val="00592401"/>
    <w:rsid w:val="005950C6"/>
    <w:rsid w:val="00595490"/>
    <w:rsid w:val="005959B0"/>
    <w:rsid w:val="00596429"/>
    <w:rsid w:val="00596510"/>
    <w:rsid w:val="0059657A"/>
    <w:rsid w:val="00596A4C"/>
    <w:rsid w:val="00596B85"/>
    <w:rsid w:val="005970CE"/>
    <w:rsid w:val="005A0409"/>
    <w:rsid w:val="005A0A74"/>
    <w:rsid w:val="005A1207"/>
    <w:rsid w:val="005A1A7C"/>
    <w:rsid w:val="005A20E3"/>
    <w:rsid w:val="005A20E4"/>
    <w:rsid w:val="005A211D"/>
    <w:rsid w:val="005A31CE"/>
    <w:rsid w:val="005A3754"/>
    <w:rsid w:val="005A3AC6"/>
    <w:rsid w:val="005A55E2"/>
    <w:rsid w:val="005A5D9E"/>
    <w:rsid w:val="005A63FB"/>
    <w:rsid w:val="005A794A"/>
    <w:rsid w:val="005A79F1"/>
    <w:rsid w:val="005B0D17"/>
    <w:rsid w:val="005B1CDD"/>
    <w:rsid w:val="005B1E6D"/>
    <w:rsid w:val="005B22E1"/>
    <w:rsid w:val="005B3C50"/>
    <w:rsid w:val="005B41A5"/>
    <w:rsid w:val="005B41AE"/>
    <w:rsid w:val="005B5D48"/>
    <w:rsid w:val="005B7340"/>
    <w:rsid w:val="005C015D"/>
    <w:rsid w:val="005C0988"/>
    <w:rsid w:val="005C0A14"/>
    <w:rsid w:val="005C15C8"/>
    <w:rsid w:val="005C1890"/>
    <w:rsid w:val="005C1AF6"/>
    <w:rsid w:val="005C1D50"/>
    <w:rsid w:val="005C20ED"/>
    <w:rsid w:val="005C35FC"/>
    <w:rsid w:val="005C3CCB"/>
    <w:rsid w:val="005C3D4E"/>
    <w:rsid w:val="005C3DBE"/>
    <w:rsid w:val="005C4759"/>
    <w:rsid w:val="005C48B5"/>
    <w:rsid w:val="005C6E47"/>
    <w:rsid w:val="005C6F7B"/>
    <w:rsid w:val="005D0130"/>
    <w:rsid w:val="005D01E3"/>
    <w:rsid w:val="005D27FB"/>
    <w:rsid w:val="005D43FD"/>
    <w:rsid w:val="005D4562"/>
    <w:rsid w:val="005D5F44"/>
    <w:rsid w:val="005D76A0"/>
    <w:rsid w:val="005D7AA2"/>
    <w:rsid w:val="005D7BD0"/>
    <w:rsid w:val="005E01BA"/>
    <w:rsid w:val="005E1993"/>
    <w:rsid w:val="005E3E22"/>
    <w:rsid w:val="005E3E7D"/>
    <w:rsid w:val="005E418B"/>
    <w:rsid w:val="005E4A08"/>
    <w:rsid w:val="005E5DCE"/>
    <w:rsid w:val="005E6833"/>
    <w:rsid w:val="005E76CE"/>
    <w:rsid w:val="005E7777"/>
    <w:rsid w:val="005E7833"/>
    <w:rsid w:val="005E79BE"/>
    <w:rsid w:val="005F0174"/>
    <w:rsid w:val="005F05DA"/>
    <w:rsid w:val="005F0778"/>
    <w:rsid w:val="005F17FB"/>
    <w:rsid w:val="005F225C"/>
    <w:rsid w:val="005F4208"/>
    <w:rsid w:val="005F488F"/>
    <w:rsid w:val="005F5240"/>
    <w:rsid w:val="005F5F70"/>
    <w:rsid w:val="005F65AE"/>
    <w:rsid w:val="005F6803"/>
    <w:rsid w:val="005F69B6"/>
    <w:rsid w:val="005F6EBA"/>
    <w:rsid w:val="005F7846"/>
    <w:rsid w:val="005F7EA7"/>
    <w:rsid w:val="0060057E"/>
    <w:rsid w:val="0060103C"/>
    <w:rsid w:val="00601187"/>
    <w:rsid w:val="006014F5"/>
    <w:rsid w:val="0060167A"/>
    <w:rsid w:val="00603627"/>
    <w:rsid w:val="006041FD"/>
    <w:rsid w:val="006044E8"/>
    <w:rsid w:val="00604A01"/>
    <w:rsid w:val="00604A60"/>
    <w:rsid w:val="00604DEC"/>
    <w:rsid w:val="006055A4"/>
    <w:rsid w:val="006057C8"/>
    <w:rsid w:val="006063CE"/>
    <w:rsid w:val="00606C99"/>
    <w:rsid w:val="006073F4"/>
    <w:rsid w:val="00610146"/>
    <w:rsid w:val="00610305"/>
    <w:rsid w:val="006118C9"/>
    <w:rsid w:val="0061243B"/>
    <w:rsid w:val="00612653"/>
    <w:rsid w:val="006137AB"/>
    <w:rsid w:val="006143D5"/>
    <w:rsid w:val="00616657"/>
    <w:rsid w:val="00616855"/>
    <w:rsid w:val="006172C6"/>
    <w:rsid w:val="00620239"/>
    <w:rsid w:val="006215F8"/>
    <w:rsid w:val="006228AC"/>
    <w:rsid w:val="00622D37"/>
    <w:rsid w:val="00623070"/>
    <w:rsid w:val="00623679"/>
    <w:rsid w:val="006238D2"/>
    <w:rsid w:val="00624966"/>
    <w:rsid w:val="00624F2B"/>
    <w:rsid w:val="00627957"/>
    <w:rsid w:val="00627D98"/>
    <w:rsid w:val="006314A4"/>
    <w:rsid w:val="006325DF"/>
    <w:rsid w:val="006329AF"/>
    <w:rsid w:val="00636026"/>
    <w:rsid w:val="00636769"/>
    <w:rsid w:val="00636806"/>
    <w:rsid w:val="00636814"/>
    <w:rsid w:val="00640B25"/>
    <w:rsid w:val="00640CBC"/>
    <w:rsid w:val="00640FAA"/>
    <w:rsid w:val="00645FED"/>
    <w:rsid w:val="00646610"/>
    <w:rsid w:val="006467A1"/>
    <w:rsid w:val="006469E6"/>
    <w:rsid w:val="006471B2"/>
    <w:rsid w:val="006477D1"/>
    <w:rsid w:val="00650738"/>
    <w:rsid w:val="00652158"/>
    <w:rsid w:val="006525D3"/>
    <w:rsid w:val="00652E8A"/>
    <w:rsid w:val="006539BB"/>
    <w:rsid w:val="006542ED"/>
    <w:rsid w:val="00654F6B"/>
    <w:rsid w:val="0065507D"/>
    <w:rsid w:val="00655862"/>
    <w:rsid w:val="006562BB"/>
    <w:rsid w:val="00656665"/>
    <w:rsid w:val="006568A4"/>
    <w:rsid w:val="0065714D"/>
    <w:rsid w:val="00657EF1"/>
    <w:rsid w:val="006605A8"/>
    <w:rsid w:val="00660A35"/>
    <w:rsid w:val="00660C2D"/>
    <w:rsid w:val="006612EE"/>
    <w:rsid w:val="006626C7"/>
    <w:rsid w:val="00662A26"/>
    <w:rsid w:val="006631B8"/>
    <w:rsid w:val="006632BB"/>
    <w:rsid w:val="006641D5"/>
    <w:rsid w:val="00664CCD"/>
    <w:rsid w:val="006652D4"/>
    <w:rsid w:val="0066546F"/>
    <w:rsid w:val="006658D3"/>
    <w:rsid w:val="00667FAC"/>
    <w:rsid w:val="006700E1"/>
    <w:rsid w:val="0067025C"/>
    <w:rsid w:val="00670B95"/>
    <w:rsid w:val="0067163F"/>
    <w:rsid w:val="00671A5B"/>
    <w:rsid w:val="00671AB1"/>
    <w:rsid w:val="0067232B"/>
    <w:rsid w:val="006729BC"/>
    <w:rsid w:val="0067319D"/>
    <w:rsid w:val="006759E8"/>
    <w:rsid w:val="00675F53"/>
    <w:rsid w:val="00676D6A"/>
    <w:rsid w:val="006800B5"/>
    <w:rsid w:val="006812A0"/>
    <w:rsid w:val="0068131A"/>
    <w:rsid w:val="00681C63"/>
    <w:rsid w:val="00681CDE"/>
    <w:rsid w:val="00683121"/>
    <w:rsid w:val="00684F61"/>
    <w:rsid w:val="00685544"/>
    <w:rsid w:val="00686280"/>
    <w:rsid w:val="00686406"/>
    <w:rsid w:val="006864A9"/>
    <w:rsid w:val="00686949"/>
    <w:rsid w:val="00686BD1"/>
    <w:rsid w:val="00686E97"/>
    <w:rsid w:val="0068771E"/>
    <w:rsid w:val="00687A2B"/>
    <w:rsid w:val="0069310A"/>
    <w:rsid w:val="006936CA"/>
    <w:rsid w:val="00693CE5"/>
    <w:rsid w:val="0069540D"/>
    <w:rsid w:val="00697531"/>
    <w:rsid w:val="0069769B"/>
    <w:rsid w:val="006A072B"/>
    <w:rsid w:val="006A1D98"/>
    <w:rsid w:val="006A253B"/>
    <w:rsid w:val="006A2B6B"/>
    <w:rsid w:val="006A3453"/>
    <w:rsid w:val="006A3666"/>
    <w:rsid w:val="006A3F31"/>
    <w:rsid w:val="006A4107"/>
    <w:rsid w:val="006A481F"/>
    <w:rsid w:val="006A4982"/>
    <w:rsid w:val="006A4C6A"/>
    <w:rsid w:val="006A4FA5"/>
    <w:rsid w:val="006A5751"/>
    <w:rsid w:val="006A626B"/>
    <w:rsid w:val="006A648B"/>
    <w:rsid w:val="006B0071"/>
    <w:rsid w:val="006B0585"/>
    <w:rsid w:val="006B08BD"/>
    <w:rsid w:val="006B0B7C"/>
    <w:rsid w:val="006B1300"/>
    <w:rsid w:val="006B208C"/>
    <w:rsid w:val="006B2999"/>
    <w:rsid w:val="006B3A21"/>
    <w:rsid w:val="006B4812"/>
    <w:rsid w:val="006B5733"/>
    <w:rsid w:val="006B58B7"/>
    <w:rsid w:val="006B5FA0"/>
    <w:rsid w:val="006B61F9"/>
    <w:rsid w:val="006B670D"/>
    <w:rsid w:val="006B67D2"/>
    <w:rsid w:val="006B7319"/>
    <w:rsid w:val="006C0109"/>
    <w:rsid w:val="006C01EE"/>
    <w:rsid w:val="006C0DB9"/>
    <w:rsid w:val="006C1198"/>
    <w:rsid w:val="006C1C0C"/>
    <w:rsid w:val="006C262A"/>
    <w:rsid w:val="006C2D9E"/>
    <w:rsid w:val="006C41A0"/>
    <w:rsid w:val="006C41AC"/>
    <w:rsid w:val="006C5BF5"/>
    <w:rsid w:val="006C5C72"/>
    <w:rsid w:val="006C7748"/>
    <w:rsid w:val="006C7DBE"/>
    <w:rsid w:val="006D0EF1"/>
    <w:rsid w:val="006D1024"/>
    <w:rsid w:val="006D2024"/>
    <w:rsid w:val="006D2427"/>
    <w:rsid w:val="006D2A91"/>
    <w:rsid w:val="006D412F"/>
    <w:rsid w:val="006D452E"/>
    <w:rsid w:val="006D48F1"/>
    <w:rsid w:val="006D4A18"/>
    <w:rsid w:val="006D532A"/>
    <w:rsid w:val="006D5F8E"/>
    <w:rsid w:val="006D6029"/>
    <w:rsid w:val="006D7BCC"/>
    <w:rsid w:val="006E0DE4"/>
    <w:rsid w:val="006E1871"/>
    <w:rsid w:val="006E18BD"/>
    <w:rsid w:val="006E2A44"/>
    <w:rsid w:val="006E375D"/>
    <w:rsid w:val="006E37EF"/>
    <w:rsid w:val="006E451E"/>
    <w:rsid w:val="006E45A0"/>
    <w:rsid w:val="006E4BD2"/>
    <w:rsid w:val="006E57D9"/>
    <w:rsid w:val="006E5A30"/>
    <w:rsid w:val="006E5F99"/>
    <w:rsid w:val="006E7B4E"/>
    <w:rsid w:val="006F08CF"/>
    <w:rsid w:val="006F11B4"/>
    <w:rsid w:val="006F123F"/>
    <w:rsid w:val="006F16C8"/>
    <w:rsid w:val="006F2C2A"/>
    <w:rsid w:val="006F3690"/>
    <w:rsid w:val="006F4470"/>
    <w:rsid w:val="006F489C"/>
    <w:rsid w:val="006F4B62"/>
    <w:rsid w:val="006F4E84"/>
    <w:rsid w:val="006F718B"/>
    <w:rsid w:val="00701740"/>
    <w:rsid w:val="00701934"/>
    <w:rsid w:val="00703035"/>
    <w:rsid w:val="007032F9"/>
    <w:rsid w:val="007042FE"/>
    <w:rsid w:val="007044D0"/>
    <w:rsid w:val="00705B41"/>
    <w:rsid w:val="00706447"/>
    <w:rsid w:val="00710EE4"/>
    <w:rsid w:val="00711031"/>
    <w:rsid w:val="0071123D"/>
    <w:rsid w:val="00711731"/>
    <w:rsid w:val="00712BC8"/>
    <w:rsid w:val="0071398E"/>
    <w:rsid w:val="00713B89"/>
    <w:rsid w:val="00715534"/>
    <w:rsid w:val="00715DC6"/>
    <w:rsid w:val="00720C2B"/>
    <w:rsid w:val="00721DAC"/>
    <w:rsid w:val="0072307A"/>
    <w:rsid w:val="0072596B"/>
    <w:rsid w:val="00725CD9"/>
    <w:rsid w:val="00725F65"/>
    <w:rsid w:val="0072671F"/>
    <w:rsid w:val="00726DA7"/>
    <w:rsid w:val="00726E3E"/>
    <w:rsid w:val="00727E4A"/>
    <w:rsid w:val="007304DD"/>
    <w:rsid w:val="0073086B"/>
    <w:rsid w:val="00730F17"/>
    <w:rsid w:val="007314C0"/>
    <w:rsid w:val="00731853"/>
    <w:rsid w:val="00731DCA"/>
    <w:rsid w:val="00732422"/>
    <w:rsid w:val="00733247"/>
    <w:rsid w:val="00733F9A"/>
    <w:rsid w:val="0073408E"/>
    <w:rsid w:val="007344CC"/>
    <w:rsid w:val="007348DE"/>
    <w:rsid w:val="00734BF8"/>
    <w:rsid w:val="007350A6"/>
    <w:rsid w:val="007355E9"/>
    <w:rsid w:val="00735647"/>
    <w:rsid w:val="00736F35"/>
    <w:rsid w:val="007371B3"/>
    <w:rsid w:val="007371F1"/>
    <w:rsid w:val="00737F00"/>
    <w:rsid w:val="00741222"/>
    <w:rsid w:val="007414A2"/>
    <w:rsid w:val="00741A96"/>
    <w:rsid w:val="007423B2"/>
    <w:rsid w:val="00742A36"/>
    <w:rsid w:val="00742C9E"/>
    <w:rsid w:val="00742F5F"/>
    <w:rsid w:val="00743016"/>
    <w:rsid w:val="00743D7E"/>
    <w:rsid w:val="007440B7"/>
    <w:rsid w:val="007443DF"/>
    <w:rsid w:val="00744B39"/>
    <w:rsid w:val="00745400"/>
    <w:rsid w:val="00745811"/>
    <w:rsid w:val="00745AAA"/>
    <w:rsid w:val="00745CBE"/>
    <w:rsid w:val="00746718"/>
    <w:rsid w:val="00746CEE"/>
    <w:rsid w:val="00747FA2"/>
    <w:rsid w:val="007506AF"/>
    <w:rsid w:val="00750843"/>
    <w:rsid w:val="00751884"/>
    <w:rsid w:val="00752B5B"/>
    <w:rsid w:val="00752EE7"/>
    <w:rsid w:val="00754BDA"/>
    <w:rsid w:val="00755B56"/>
    <w:rsid w:val="0075632F"/>
    <w:rsid w:val="00756798"/>
    <w:rsid w:val="00757218"/>
    <w:rsid w:val="00757581"/>
    <w:rsid w:val="00757EE8"/>
    <w:rsid w:val="00760094"/>
    <w:rsid w:val="007602E7"/>
    <w:rsid w:val="00760574"/>
    <w:rsid w:val="00762D16"/>
    <w:rsid w:val="00762DAD"/>
    <w:rsid w:val="0076354E"/>
    <w:rsid w:val="00764AF0"/>
    <w:rsid w:val="00765183"/>
    <w:rsid w:val="0076598D"/>
    <w:rsid w:val="00766442"/>
    <w:rsid w:val="00766552"/>
    <w:rsid w:val="007668F8"/>
    <w:rsid w:val="0077048B"/>
    <w:rsid w:val="00770496"/>
    <w:rsid w:val="00770CB4"/>
    <w:rsid w:val="00770F4D"/>
    <w:rsid w:val="00770F9F"/>
    <w:rsid w:val="00771D7D"/>
    <w:rsid w:val="00772514"/>
    <w:rsid w:val="00773055"/>
    <w:rsid w:val="007739C9"/>
    <w:rsid w:val="00773CE0"/>
    <w:rsid w:val="00773EF3"/>
    <w:rsid w:val="0077409F"/>
    <w:rsid w:val="0077488A"/>
    <w:rsid w:val="0077538E"/>
    <w:rsid w:val="0077583B"/>
    <w:rsid w:val="00775A60"/>
    <w:rsid w:val="00775E19"/>
    <w:rsid w:val="00776AB3"/>
    <w:rsid w:val="00776EAB"/>
    <w:rsid w:val="00777FCD"/>
    <w:rsid w:val="00780300"/>
    <w:rsid w:val="00780398"/>
    <w:rsid w:val="00780EEA"/>
    <w:rsid w:val="007813B8"/>
    <w:rsid w:val="007815FD"/>
    <w:rsid w:val="00782FEB"/>
    <w:rsid w:val="0078323F"/>
    <w:rsid w:val="007840AE"/>
    <w:rsid w:val="007850E8"/>
    <w:rsid w:val="0078529E"/>
    <w:rsid w:val="00785968"/>
    <w:rsid w:val="00785A3E"/>
    <w:rsid w:val="007860D6"/>
    <w:rsid w:val="0078662D"/>
    <w:rsid w:val="0079037A"/>
    <w:rsid w:val="00791629"/>
    <w:rsid w:val="0079166C"/>
    <w:rsid w:val="00791C03"/>
    <w:rsid w:val="00791C55"/>
    <w:rsid w:val="0079243A"/>
    <w:rsid w:val="00793922"/>
    <w:rsid w:val="00793C41"/>
    <w:rsid w:val="00793D13"/>
    <w:rsid w:val="007945DB"/>
    <w:rsid w:val="0079480E"/>
    <w:rsid w:val="0079572F"/>
    <w:rsid w:val="00796389"/>
    <w:rsid w:val="00797CC7"/>
    <w:rsid w:val="007A05AE"/>
    <w:rsid w:val="007A137B"/>
    <w:rsid w:val="007A1AE6"/>
    <w:rsid w:val="007A2392"/>
    <w:rsid w:val="007A2693"/>
    <w:rsid w:val="007A2899"/>
    <w:rsid w:val="007A3919"/>
    <w:rsid w:val="007A3C92"/>
    <w:rsid w:val="007A3DCD"/>
    <w:rsid w:val="007A3FEC"/>
    <w:rsid w:val="007A45B7"/>
    <w:rsid w:val="007A6624"/>
    <w:rsid w:val="007A6BCC"/>
    <w:rsid w:val="007A7109"/>
    <w:rsid w:val="007A72F5"/>
    <w:rsid w:val="007B0B5C"/>
    <w:rsid w:val="007B0ED3"/>
    <w:rsid w:val="007B1B07"/>
    <w:rsid w:val="007B27E8"/>
    <w:rsid w:val="007B29D6"/>
    <w:rsid w:val="007B3470"/>
    <w:rsid w:val="007B4308"/>
    <w:rsid w:val="007B5205"/>
    <w:rsid w:val="007B5737"/>
    <w:rsid w:val="007B57AF"/>
    <w:rsid w:val="007B6178"/>
    <w:rsid w:val="007B6713"/>
    <w:rsid w:val="007B6F84"/>
    <w:rsid w:val="007B7060"/>
    <w:rsid w:val="007B70E5"/>
    <w:rsid w:val="007B7390"/>
    <w:rsid w:val="007B7480"/>
    <w:rsid w:val="007B76FD"/>
    <w:rsid w:val="007C230E"/>
    <w:rsid w:val="007C2521"/>
    <w:rsid w:val="007C3182"/>
    <w:rsid w:val="007C3ABE"/>
    <w:rsid w:val="007C41B2"/>
    <w:rsid w:val="007C5632"/>
    <w:rsid w:val="007C5A27"/>
    <w:rsid w:val="007C6186"/>
    <w:rsid w:val="007C68E6"/>
    <w:rsid w:val="007C7735"/>
    <w:rsid w:val="007C7C56"/>
    <w:rsid w:val="007D0FF6"/>
    <w:rsid w:val="007D22FE"/>
    <w:rsid w:val="007D234D"/>
    <w:rsid w:val="007D2D88"/>
    <w:rsid w:val="007D371F"/>
    <w:rsid w:val="007D38AB"/>
    <w:rsid w:val="007D4A60"/>
    <w:rsid w:val="007D52F6"/>
    <w:rsid w:val="007D64E0"/>
    <w:rsid w:val="007D7B2A"/>
    <w:rsid w:val="007D7DE4"/>
    <w:rsid w:val="007E0D7F"/>
    <w:rsid w:val="007E0E70"/>
    <w:rsid w:val="007E1CB3"/>
    <w:rsid w:val="007E24B6"/>
    <w:rsid w:val="007E3F82"/>
    <w:rsid w:val="007E4381"/>
    <w:rsid w:val="007E6503"/>
    <w:rsid w:val="007E6CDD"/>
    <w:rsid w:val="007E7767"/>
    <w:rsid w:val="007E7A23"/>
    <w:rsid w:val="007E7C1B"/>
    <w:rsid w:val="007F0267"/>
    <w:rsid w:val="007F032D"/>
    <w:rsid w:val="007F12A4"/>
    <w:rsid w:val="007F1EA4"/>
    <w:rsid w:val="007F1F91"/>
    <w:rsid w:val="007F2D26"/>
    <w:rsid w:val="007F2FFA"/>
    <w:rsid w:val="007F589E"/>
    <w:rsid w:val="007F5AB4"/>
    <w:rsid w:val="007F600F"/>
    <w:rsid w:val="007F621B"/>
    <w:rsid w:val="007F6F53"/>
    <w:rsid w:val="007F6F9A"/>
    <w:rsid w:val="0080211B"/>
    <w:rsid w:val="008028F5"/>
    <w:rsid w:val="0080304E"/>
    <w:rsid w:val="008035C2"/>
    <w:rsid w:val="00803869"/>
    <w:rsid w:val="00803F0A"/>
    <w:rsid w:val="00804649"/>
    <w:rsid w:val="00805688"/>
    <w:rsid w:val="00805FC7"/>
    <w:rsid w:val="00806C5F"/>
    <w:rsid w:val="00806F72"/>
    <w:rsid w:val="008106CB"/>
    <w:rsid w:val="00810712"/>
    <w:rsid w:val="00812463"/>
    <w:rsid w:val="008124AA"/>
    <w:rsid w:val="00812CAA"/>
    <w:rsid w:val="008131D8"/>
    <w:rsid w:val="008132DC"/>
    <w:rsid w:val="00813C35"/>
    <w:rsid w:val="00814661"/>
    <w:rsid w:val="00814FF0"/>
    <w:rsid w:val="00815070"/>
    <w:rsid w:val="008154B1"/>
    <w:rsid w:val="008168F8"/>
    <w:rsid w:val="00817090"/>
    <w:rsid w:val="00820E04"/>
    <w:rsid w:val="00820FB2"/>
    <w:rsid w:val="008221E6"/>
    <w:rsid w:val="00822C15"/>
    <w:rsid w:val="00822DE5"/>
    <w:rsid w:val="00823C35"/>
    <w:rsid w:val="00824E2A"/>
    <w:rsid w:val="00826FC8"/>
    <w:rsid w:val="008270CC"/>
    <w:rsid w:val="0082756C"/>
    <w:rsid w:val="00830CB4"/>
    <w:rsid w:val="008323A0"/>
    <w:rsid w:val="00832D8C"/>
    <w:rsid w:val="008334B5"/>
    <w:rsid w:val="00833E02"/>
    <w:rsid w:val="008349B7"/>
    <w:rsid w:val="00834F15"/>
    <w:rsid w:val="008363AC"/>
    <w:rsid w:val="008366AE"/>
    <w:rsid w:val="00840709"/>
    <w:rsid w:val="00840757"/>
    <w:rsid w:val="00843321"/>
    <w:rsid w:val="00844837"/>
    <w:rsid w:val="00844B9F"/>
    <w:rsid w:val="00844EC8"/>
    <w:rsid w:val="008456B0"/>
    <w:rsid w:val="00846466"/>
    <w:rsid w:val="00846569"/>
    <w:rsid w:val="00846737"/>
    <w:rsid w:val="00851A78"/>
    <w:rsid w:val="00853F3B"/>
    <w:rsid w:val="0085532F"/>
    <w:rsid w:val="0085763C"/>
    <w:rsid w:val="00860228"/>
    <w:rsid w:val="00860BBD"/>
    <w:rsid w:val="00860D40"/>
    <w:rsid w:val="00861014"/>
    <w:rsid w:val="00861A27"/>
    <w:rsid w:val="00861D67"/>
    <w:rsid w:val="00862177"/>
    <w:rsid w:val="00862597"/>
    <w:rsid w:val="00863325"/>
    <w:rsid w:val="008638A7"/>
    <w:rsid w:val="00863F15"/>
    <w:rsid w:val="00864581"/>
    <w:rsid w:val="00864D71"/>
    <w:rsid w:val="0086502B"/>
    <w:rsid w:val="008658A8"/>
    <w:rsid w:val="0086608C"/>
    <w:rsid w:val="00866B25"/>
    <w:rsid w:val="00867605"/>
    <w:rsid w:val="00870308"/>
    <w:rsid w:val="0087058B"/>
    <w:rsid w:val="00870F42"/>
    <w:rsid w:val="00871C5C"/>
    <w:rsid w:val="00872E37"/>
    <w:rsid w:val="00872F59"/>
    <w:rsid w:val="008732A2"/>
    <w:rsid w:val="008749C0"/>
    <w:rsid w:val="00875115"/>
    <w:rsid w:val="0087517E"/>
    <w:rsid w:val="00877809"/>
    <w:rsid w:val="00877ADB"/>
    <w:rsid w:val="00880406"/>
    <w:rsid w:val="0088052B"/>
    <w:rsid w:val="008809EC"/>
    <w:rsid w:val="00881E41"/>
    <w:rsid w:val="008820CE"/>
    <w:rsid w:val="00882FDF"/>
    <w:rsid w:val="008841F8"/>
    <w:rsid w:val="00884538"/>
    <w:rsid w:val="00885747"/>
    <w:rsid w:val="00885DE3"/>
    <w:rsid w:val="00885E03"/>
    <w:rsid w:val="00885F51"/>
    <w:rsid w:val="008860D3"/>
    <w:rsid w:val="00886439"/>
    <w:rsid w:val="008878CC"/>
    <w:rsid w:val="00887DD1"/>
    <w:rsid w:val="0089012A"/>
    <w:rsid w:val="00890204"/>
    <w:rsid w:val="00890252"/>
    <w:rsid w:val="00890554"/>
    <w:rsid w:val="00890566"/>
    <w:rsid w:val="0089078B"/>
    <w:rsid w:val="00890DCF"/>
    <w:rsid w:val="00890F0D"/>
    <w:rsid w:val="00891FEF"/>
    <w:rsid w:val="00892D6D"/>
    <w:rsid w:val="008932E7"/>
    <w:rsid w:val="00893795"/>
    <w:rsid w:val="008940BC"/>
    <w:rsid w:val="00894586"/>
    <w:rsid w:val="00895BAB"/>
    <w:rsid w:val="00897401"/>
    <w:rsid w:val="00897D4C"/>
    <w:rsid w:val="008A0821"/>
    <w:rsid w:val="008A1BFA"/>
    <w:rsid w:val="008A1F79"/>
    <w:rsid w:val="008A20EB"/>
    <w:rsid w:val="008A2ADE"/>
    <w:rsid w:val="008A2DB5"/>
    <w:rsid w:val="008A3C93"/>
    <w:rsid w:val="008A4278"/>
    <w:rsid w:val="008A474B"/>
    <w:rsid w:val="008A4D2E"/>
    <w:rsid w:val="008A4E98"/>
    <w:rsid w:val="008A5875"/>
    <w:rsid w:val="008A7449"/>
    <w:rsid w:val="008A7FDE"/>
    <w:rsid w:val="008B0698"/>
    <w:rsid w:val="008B0BBA"/>
    <w:rsid w:val="008B15DC"/>
    <w:rsid w:val="008B1D01"/>
    <w:rsid w:val="008B2436"/>
    <w:rsid w:val="008B30A1"/>
    <w:rsid w:val="008B3344"/>
    <w:rsid w:val="008B363E"/>
    <w:rsid w:val="008B4562"/>
    <w:rsid w:val="008B4DDC"/>
    <w:rsid w:val="008B51A1"/>
    <w:rsid w:val="008B53A3"/>
    <w:rsid w:val="008B543D"/>
    <w:rsid w:val="008B5634"/>
    <w:rsid w:val="008B56C5"/>
    <w:rsid w:val="008B5895"/>
    <w:rsid w:val="008B5AEB"/>
    <w:rsid w:val="008B6E90"/>
    <w:rsid w:val="008C0BD3"/>
    <w:rsid w:val="008C1DE3"/>
    <w:rsid w:val="008C2051"/>
    <w:rsid w:val="008C4A20"/>
    <w:rsid w:val="008C6355"/>
    <w:rsid w:val="008C636B"/>
    <w:rsid w:val="008C6673"/>
    <w:rsid w:val="008C69F2"/>
    <w:rsid w:val="008C76FA"/>
    <w:rsid w:val="008D14D0"/>
    <w:rsid w:val="008D314E"/>
    <w:rsid w:val="008D3220"/>
    <w:rsid w:val="008D5692"/>
    <w:rsid w:val="008D638B"/>
    <w:rsid w:val="008D7B88"/>
    <w:rsid w:val="008E0420"/>
    <w:rsid w:val="008E064D"/>
    <w:rsid w:val="008E12B2"/>
    <w:rsid w:val="008E1FBA"/>
    <w:rsid w:val="008E29C0"/>
    <w:rsid w:val="008E2DEA"/>
    <w:rsid w:val="008E30B1"/>
    <w:rsid w:val="008E3D75"/>
    <w:rsid w:val="008E3FF3"/>
    <w:rsid w:val="008E5349"/>
    <w:rsid w:val="008F013C"/>
    <w:rsid w:val="008F0A84"/>
    <w:rsid w:val="008F1779"/>
    <w:rsid w:val="008F2F30"/>
    <w:rsid w:val="008F3208"/>
    <w:rsid w:val="008F3385"/>
    <w:rsid w:val="008F3A9B"/>
    <w:rsid w:val="008F448B"/>
    <w:rsid w:val="008F4A23"/>
    <w:rsid w:val="008F4BDF"/>
    <w:rsid w:val="008F54CD"/>
    <w:rsid w:val="008F714E"/>
    <w:rsid w:val="008F71F7"/>
    <w:rsid w:val="008F7740"/>
    <w:rsid w:val="00900495"/>
    <w:rsid w:val="009005FA"/>
    <w:rsid w:val="00900FDB"/>
    <w:rsid w:val="009011DF"/>
    <w:rsid w:val="0090255C"/>
    <w:rsid w:val="009047D1"/>
    <w:rsid w:val="0090597A"/>
    <w:rsid w:val="00905ABF"/>
    <w:rsid w:val="00906080"/>
    <w:rsid w:val="00906EAF"/>
    <w:rsid w:val="00907BF4"/>
    <w:rsid w:val="009103AC"/>
    <w:rsid w:val="00910C2B"/>
    <w:rsid w:val="00910F00"/>
    <w:rsid w:val="009113E1"/>
    <w:rsid w:val="00912BF6"/>
    <w:rsid w:val="00913036"/>
    <w:rsid w:val="00914234"/>
    <w:rsid w:val="00914C4A"/>
    <w:rsid w:val="00914D6D"/>
    <w:rsid w:val="00915658"/>
    <w:rsid w:val="00916C90"/>
    <w:rsid w:val="00917766"/>
    <w:rsid w:val="00917998"/>
    <w:rsid w:val="00917FCD"/>
    <w:rsid w:val="00920A7B"/>
    <w:rsid w:val="00921F65"/>
    <w:rsid w:val="00921FAD"/>
    <w:rsid w:val="0092283D"/>
    <w:rsid w:val="00922B92"/>
    <w:rsid w:val="00923046"/>
    <w:rsid w:val="009235D2"/>
    <w:rsid w:val="009243E2"/>
    <w:rsid w:val="00924FBE"/>
    <w:rsid w:val="0092570B"/>
    <w:rsid w:val="00925CD5"/>
    <w:rsid w:val="00925D75"/>
    <w:rsid w:val="009263A9"/>
    <w:rsid w:val="00926D36"/>
    <w:rsid w:val="00930257"/>
    <w:rsid w:val="00931584"/>
    <w:rsid w:val="009315E1"/>
    <w:rsid w:val="00931FD8"/>
    <w:rsid w:val="0093221D"/>
    <w:rsid w:val="009329C9"/>
    <w:rsid w:val="009330E4"/>
    <w:rsid w:val="0093320E"/>
    <w:rsid w:val="0093360F"/>
    <w:rsid w:val="00933852"/>
    <w:rsid w:val="00934CA7"/>
    <w:rsid w:val="0093511A"/>
    <w:rsid w:val="0093569F"/>
    <w:rsid w:val="00936415"/>
    <w:rsid w:val="00937F08"/>
    <w:rsid w:val="0094060D"/>
    <w:rsid w:val="00940EAE"/>
    <w:rsid w:val="00942325"/>
    <w:rsid w:val="00942509"/>
    <w:rsid w:val="00942B27"/>
    <w:rsid w:val="0094381A"/>
    <w:rsid w:val="009458F9"/>
    <w:rsid w:val="009459BE"/>
    <w:rsid w:val="00945A72"/>
    <w:rsid w:val="00945E3B"/>
    <w:rsid w:val="00945E97"/>
    <w:rsid w:val="00946775"/>
    <w:rsid w:val="00946BCE"/>
    <w:rsid w:val="00947A92"/>
    <w:rsid w:val="00947DA9"/>
    <w:rsid w:val="00950976"/>
    <w:rsid w:val="009517B4"/>
    <w:rsid w:val="00951BDF"/>
    <w:rsid w:val="00951FD7"/>
    <w:rsid w:val="00952024"/>
    <w:rsid w:val="00952156"/>
    <w:rsid w:val="009523A3"/>
    <w:rsid w:val="00952407"/>
    <w:rsid w:val="00952E10"/>
    <w:rsid w:val="009538D9"/>
    <w:rsid w:val="00953C70"/>
    <w:rsid w:val="00953DA3"/>
    <w:rsid w:val="00954B68"/>
    <w:rsid w:val="00954C61"/>
    <w:rsid w:val="00955634"/>
    <w:rsid w:val="009561E5"/>
    <w:rsid w:val="00957688"/>
    <w:rsid w:val="0095778C"/>
    <w:rsid w:val="00960F94"/>
    <w:rsid w:val="00961478"/>
    <w:rsid w:val="0096198E"/>
    <w:rsid w:val="00961C0F"/>
    <w:rsid w:val="00962087"/>
    <w:rsid w:val="009633E2"/>
    <w:rsid w:val="009636D6"/>
    <w:rsid w:val="00963836"/>
    <w:rsid w:val="00963A1C"/>
    <w:rsid w:val="0096431A"/>
    <w:rsid w:val="00966A5B"/>
    <w:rsid w:val="00966B6F"/>
    <w:rsid w:val="00966D9A"/>
    <w:rsid w:val="00967F20"/>
    <w:rsid w:val="00970A17"/>
    <w:rsid w:val="00972B2B"/>
    <w:rsid w:val="00972DFB"/>
    <w:rsid w:val="0097470D"/>
    <w:rsid w:val="00974AF3"/>
    <w:rsid w:val="00975C7B"/>
    <w:rsid w:val="0097680E"/>
    <w:rsid w:val="009768E1"/>
    <w:rsid w:val="009770EF"/>
    <w:rsid w:val="0097730D"/>
    <w:rsid w:val="0098035F"/>
    <w:rsid w:val="00980772"/>
    <w:rsid w:val="00980B16"/>
    <w:rsid w:val="0098132D"/>
    <w:rsid w:val="00981512"/>
    <w:rsid w:val="009816B7"/>
    <w:rsid w:val="00981AFA"/>
    <w:rsid w:val="00981FC2"/>
    <w:rsid w:val="00982203"/>
    <w:rsid w:val="009826DC"/>
    <w:rsid w:val="009835BF"/>
    <w:rsid w:val="00983A46"/>
    <w:rsid w:val="00983EC7"/>
    <w:rsid w:val="009857FB"/>
    <w:rsid w:val="009891C7"/>
    <w:rsid w:val="0099015D"/>
    <w:rsid w:val="009902A0"/>
    <w:rsid w:val="00990BDC"/>
    <w:rsid w:val="00990D51"/>
    <w:rsid w:val="009916C1"/>
    <w:rsid w:val="00994767"/>
    <w:rsid w:val="009958FC"/>
    <w:rsid w:val="009961DB"/>
    <w:rsid w:val="00996C6B"/>
    <w:rsid w:val="00996F8E"/>
    <w:rsid w:val="0099749B"/>
    <w:rsid w:val="0099753A"/>
    <w:rsid w:val="00997846"/>
    <w:rsid w:val="00997A44"/>
    <w:rsid w:val="009A04A5"/>
    <w:rsid w:val="009A04FC"/>
    <w:rsid w:val="009A07BB"/>
    <w:rsid w:val="009A1277"/>
    <w:rsid w:val="009A1297"/>
    <w:rsid w:val="009A2360"/>
    <w:rsid w:val="009A26BC"/>
    <w:rsid w:val="009A3741"/>
    <w:rsid w:val="009A392E"/>
    <w:rsid w:val="009A3AC0"/>
    <w:rsid w:val="009A44D2"/>
    <w:rsid w:val="009A465C"/>
    <w:rsid w:val="009A5401"/>
    <w:rsid w:val="009A6304"/>
    <w:rsid w:val="009A6C33"/>
    <w:rsid w:val="009A6ECE"/>
    <w:rsid w:val="009B0375"/>
    <w:rsid w:val="009B04D1"/>
    <w:rsid w:val="009B09AE"/>
    <w:rsid w:val="009B19CB"/>
    <w:rsid w:val="009B2174"/>
    <w:rsid w:val="009B280F"/>
    <w:rsid w:val="009B40FF"/>
    <w:rsid w:val="009B4584"/>
    <w:rsid w:val="009B5625"/>
    <w:rsid w:val="009B62BF"/>
    <w:rsid w:val="009B63F0"/>
    <w:rsid w:val="009B750D"/>
    <w:rsid w:val="009B7E5C"/>
    <w:rsid w:val="009C08E4"/>
    <w:rsid w:val="009C0A4C"/>
    <w:rsid w:val="009C1B27"/>
    <w:rsid w:val="009C1F8C"/>
    <w:rsid w:val="009C27A4"/>
    <w:rsid w:val="009C398B"/>
    <w:rsid w:val="009C4F2D"/>
    <w:rsid w:val="009C58A0"/>
    <w:rsid w:val="009C5F24"/>
    <w:rsid w:val="009C6CA8"/>
    <w:rsid w:val="009C7512"/>
    <w:rsid w:val="009D006D"/>
    <w:rsid w:val="009D080D"/>
    <w:rsid w:val="009D1372"/>
    <w:rsid w:val="009D1970"/>
    <w:rsid w:val="009D225E"/>
    <w:rsid w:val="009D28D7"/>
    <w:rsid w:val="009D305E"/>
    <w:rsid w:val="009D3DE8"/>
    <w:rsid w:val="009D4856"/>
    <w:rsid w:val="009D491B"/>
    <w:rsid w:val="009D5A6E"/>
    <w:rsid w:val="009D755D"/>
    <w:rsid w:val="009E02BE"/>
    <w:rsid w:val="009E13AF"/>
    <w:rsid w:val="009E158E"/>
    <w:rsid w:val="009E296D"/>
    <w:rsid w:val="009E3229"/>
    <w:rsid w:val="009E39AB"/>
    <w:rsid w:val="009E419B"/>
    <w:rsid w:val="009E41A8"/>
    <w:rsid w:val="009E41AD"/>
    <w:rsid w:val="009E4AD3"/>
    <w:rsid w:val="009E52ED"/>
    <w:rsid w:val="009E543A"/>
    <w:rsid w:val="009F00AA"/>
    <w:rsid w:val="009F0335"/>
    <w:rsid w:val="009F147D"/>
    <w:rsid w:val="009F1640"/>
    <w:rsid w:val="009F1AD7"/>
    <w:rsid w:val="009F1C13"/>
    <w:rsid w:val="009F2A5E"/>
    <w:rsid w:val="009F395E"/>
    <w:rsid w:val="009F3D2C"/>
    <w:rsid w:val="009F3DB8"/>
    <w:rsid w:val="009F4957"/>
    <w:rsid w:val="009F6991"/>
    <w:rsid w:val="009F6C51"/>
    <w:rsid w:val="009F7265"/>
    <w:rsid w:val="00A00BC6"/>
    <w:rsid w:val="00A00F03"/>
    <w:rsid w:val="00A018BD"/>
    <w:rsid w:val="00A04DCC"/>
    <w:rsid w:val="00A0597D"/>
    <w:rsid w:val="00A05D4E"/>
    <w:rsid w:val="00A064CA"/>
    <w:rsid w:val="00A06B51"/>
    <w:rsid w:val="00A07B4D"/>
    <w:rsid w:val="00A116B1"/>
    <w:rsid w:val="00A11C49"/>
    <w:rsid w:val="00A122E3"/>
    <w:rsid w:val="00A12530"/>
    <w:rsid w:val="00A13485"/>
    <w:rsid w:val="00A139BD"/>
    <w:rsid w:val="00A14826"/>
    <w:rsid w:val="00A14B60"/>
    <w:rsid w:val="00A1505C"/>
    <w:rsid w:val="00A15210"/>
    <w:rsid w:val="00A15662"/>
    <w:rsid w:val="00A16B08"/>
    <w:rsid w:val="00A200E1"/>
    <w:rsid w:val="00A20A49"/>
    <w:rsid w:val="00A22609"/>
    <w:rsid w:val="00A22808"/>
    <w:rsid w:val="00A228BB"/>
    <w:rsid w:val="00A22DE8"/>
    <w:rsid w:val="00A22EF2"/>
    <w:rsid w:val="00A23290"/>
    <w:rsid w:val="00A241B5"/>
    <w:rsid w:val="00A2458F"/>
    <w:rsid w:val="00A24C30"/>
    <w:rsid w:val="00A259B9"/>
    <w:rsid w:val="00A261C6"/>
    <w:rsid w:val="00A26F78"/>
    <w:rsid w:val="00A26F8A"/>
    <w:rsid w:val="00A30C78"/>
    <w:rsid w:val="00A30E8B"/>
    <w:rsid w:val="00A30E9D"/>
    <w:rsid w:val="00A317C2"/>
    <w:rsid w:val="00A31EFC"/>
    <w:rsid w:val="00A32160"/>
    <w:rsid w:val="00A32451"/>
    <w:rsid w:val="00A33191"/>
    <w:rsid w:val="00A33BD5"/>
    <w:rsid w:val="00A33D69"/>
    <w:rsid w:val="00A34C07"/>
    <w:rsid w:val="00A35336"/>
    <w:rsid w:val="00A35B5A"/>
    <w:rsid w:val="00A36732"/>
    <w:rsid w:val="00A36FDC"/>
    <w:rsid w:val="00A376D0"/>
    <w:rsid w:val="00A37721"/>
    <w:rsid w:val="00A40745"/>
    <w:rsid w:val="00A407EE"/>
    <w:rsid w:val="00A41B2A"/>
    <w:rsid w:val="00A4208E"/>
    <w:rsid w:val="00A4287C"/>
    <w:rsid w:val="00A44689"/>
    <w:rsid w:val="00A44F1A"/>
    <w:rsid w:val="00A45446"/>
    <w:rsid w:val="00A46CC1"/>
    <w:rsid w:val="00A471F7"/>
    <w:rsid w:val="00A47D8F"/>
    <w:rsid w:val="00A5098C"/>
    <w:rsid w:val="00A51CCB"/>
    <w:rsid w:val="00A528D1"/>
    <w:rsid w:val="00A5325F"/>
    <w:rsid w:val="00A534E9"/>
    <w:rsid w:val="00A535E3"/>
    <w:rsid w:val="00A53D77"/>
    <w:rsid w:val="00A53E06"/>
    <w:rsid w:val="00A543D9"/>
    <w:rsid w:val="00A5468C"/>
    <w:rsid w:val="00A549EA"/>
    <w:rsid w:val="00A55940"/>
    <w:rsid w:val="00A563B5"/>
    <w:rsid w:val="00A579DC"/>
    <w:rsid w:val="00A601FF"/>
    <w:rsid w:val="00A606BD"/>
    <w:rsid w:val="00A614D3"/>
    <w:rsid w:val="00A61567"/>
    <w:rsid w:val="00A61E5C"/>
    <w:rsid w:val="00A62F9D"/>
    <w:rsid w:val="00A63480"/>
    <w:rsid w:val="00A639F3"/>
    <w:rsid w:val="00A64097"/>
    <w:rsid w:val="00A64584"/>
    <w:rsid w:val="00A66994"/>
    <w:rsid w:val="00A670E2"/>
    <w:rsid w:val="00A701AD"/>
    <w:rsid w:val="00A712D9"/>
    <w:rsid w:val="00A71BDF"/>
    <w:rsid w:val="00A72B0D"/>
    <w:rsid w:val="00A73EEB"/>
    <w:rsid w:val="00A74327"/>
    <w:rsid w:val="00A74A16"/>
    <w:rsid w:val="00A7521B"/>
    <w:rsid w:val="00A75325"/>
    <w:rsid w:val="00A77CA2"/>
    <w:rsid w:val="00A82E2E"/>
    <w:rsid w:val="00A84F01"/>
    <w:rsid w:val="00A85281"/>
    <w:rsid w:val="00A85C65"/>
    <w:rsid w:val="00A864BB"/>
    <w:rsid w:val="00A8650A"/>
    <w:rsid w:val="00A86B74"/>
    <w:rsid w:val="00A871A3"/>
    <w:rsid w:val="00A87233"/>
    <w:rsid w:val="00A873AB"/>
    <w:rsid w:val="00A87594"/>
    <w:rsid w:val="00A8766A"/>
    <w:rsid w:val="00A87742"/>
    <w:rsid w:val="00A87AE2"/>
    <w:rsid w:val="00A90319"/>
    <w:rsid w:val="00A907EC"/>
    <w:rsid w:val="00A91940"/>
    <w:rsid w:val="00A939AB"/>
    <w:rsid w:val="00A945E2"/>
    <w:rsid w:val="00A9548D"/>
    <w:rsid w:val="00A9585E"/>
    <w:rsid w:val="00A95F88"/>
    <w:rsid w:val="00A9612A"/>
    <w:rsid w:val="00A96591"/>
    <w:rsid w:val="00AA034A"/>
    <w:rsid w:val="00AA0688"/>
    <w:rsid w:val="00AA0A9A"/>
    <w:rsid w:val="00AA2786"/>
    <w:rsid w:val="00AA2804"/>
    <w:rsid w:val="00AA31B1"/>
    <w:rsid w:val="00AA46C7"/>
    <w:rsid w:val="00AA47D2"/>
    <w:rsid w:val="00AA55A2"/>
    <w:rsid w:val="00AA5B6A"/>
    <w:rsid w:val="00AA5F6C"/>
    <w:rsid w:val="00AA6BA8"/>
    <w:rsid w:val="00AA6FC8"/>
    <w:rsid w:val="00AA7842"/>
    <w:rsid w:val="00AB0766"/>
    <w:rsid w:val="00AB0E1D"/>
    <w:rsid w:val="00AB13A2"/>
    <w:rsid w:val="00AB22CB"/>
    <w:rsid w:val="00AB2396"/>
    <w:rsid w:val="00AB2758"/>
    <w:rsid w:val="00AB35E0"/>
    <w:rsid w:val="00AB42A6"/>
    <w:rsid w:val="00AB42EA"/>
    <w:rsid w:val="00AB4677"/>
    <w:rsid w:val="00AB6F30"/>
    <w:rsid w:val="00AB7426"/>
    <w:rsid w:val="00AB7429"/>
    <w:rsid w:val="00AB7A69"/>
    <w:rsid w:val="00AB7EB7"/>
    <w:rsid w:val="00AC16CF"/>
    <w:rsid w:val="00AC1AD5"/>
    <w:rsid w:val="00AC1C15"/>
    <w:rsid w:val="00AC2A99"/>
    <w:rsid w:val="00AC34E2"/>
    <w:rsid w:val="00AC3C57"/>
    <w:rsid w:val="00AC492A"/>
    <w:rsid w:val="00AC6902"/>
    <w:rsid w:val="00AC7020"/>
    <w:rsid w:val="00AC7D49"/>
    <w:rsid w:val="00AC7FFD"/>
    <w:rsid w:val="00AD00C6"/>
    <w:rsid w:val="00AD0763"/>
    <w:rsid w:val="00AD17CD"/>
    <w:rsid w:val="00AD1C90"/>
    <w:rsid w:val="00AD1FFA"/>
    <w:rsid w:val="00AD223F"/>
    <w:rsid w:val="00AD2FDA"/>
    <w:rsid w:val="00AD351A"/>
    <w:rsid w:val="00AD3A60"/>
    <w:rsid w:val="00AD4116"/>
    <w:rsid w:val="00AD4D5A"/>
    <w:rsid w:val="00AD520E"/>
    <w:rsid w:val="00AD5B00"/>
    <w:rsid w:val="00AD5B93"/>
    <w:rsid w:val="00AD61C8"/>
    <w:rsid w:val="00AD7A22"/>
    <w:rsid w:val="00AE01FF"/>
    <w:rsid w:val="00AE1706"/>
    <w:rsid w:val="00AE18E4"/>
    <w:rsid w:val="00AE1AEB"/>
    <w:rsid w:val="00AE29DF"/>
    <w:rsid w:val="00AE2AB3"/>
    <w:rsid w:val="00AE2E8C"/>
    <w:rsid w:val="00AE3B13"/>
    <w:rsid w:val="00AE4D44"/>
    <w:rsid w:val="00AE4FC6"/>
    <w:rsid w:val="00AE6691"/>
    <w:rsid w:val="00AE6F59"/>
    <w:rsid w:val="00AE75E7"/>
    <w:rsid w:val="00AE7D61"/>
    <w:rsid w:val="00AF014D"/>
    <w:rsid w:val="00AF1972"/>
    <w:rsid w:val="00AF2329"/>
    <w:rsid w:val="00AF23D9"/>
    <w:rsid w:val="00AF2466"/>
    <w:rsid w:val="00AF37D5"/>
    <w:rsid w:val="00AF4ECE"/>
    <w:rsid w:val="00AF5078"/>
    <w:rsid w:val="00AF524E"/>
    <w:rsid w:val="00AF54FB"/>
    <w:rsid w:val="00AF5DA8"/>
    <w:rsid w:val="00AF649D"/>
    <w:rsid w:val="00AF6AD2"/>
    <w:rsid w:val="00AF7777"/>
    <w:rsid w:val="00AF7D00"/>
    <w:rsid w:val="00B00057"/>
    <w:rsid w:val="00B00CE3"/>
    <w:rsid w:val="00B039F7"/>
    <w:rsid w:val="00B041C8"/>
    <w:rsid w:val="00B056CE"/>
    <w:rsid w:val="00B058BD"/>
    <w:rsid w:val="00B07475"/>
    <w:rsid w:val="00B07537"/>
    <w:rsid w:val="00B07933"/>
    <w:rsid w:val="00B10338"/>
    <w:rsid w:val="00B10DEB"/>
    <w:rsid w:val="00B10FBE"/>
    <w:rsid w:val="00B114C8"/>
    <w:rsid w:val="00B11502"/>
    <w:rsid w:val="00B120B4"/>
    <w:rsid w:val="00B12C9B"/>
    <w:rsid w:val="00B130D7"/>
    <w:rsid w:val="00B133F2"/>
    <w:rsid w:val="00B13B90"/>
    <w:rsid w:val="00B14A19"/>
    <w:rsid w:val="00B14C1F"/>
    <w:rsid w:val="00B15A89"/>
    <w:rsid w:val="00B168C5"/>
    <w:rsid w:val="00B17DB5"/>
    <w:rsid w:val="00B22295"/>
    <w:rsid w:val="00B222B1"/>
    <w:rsid w:val="00B2369C"/>
    <w:rsid w:val="00B24760"/>
    <w:rsid w:val="00B251F6"/>
    <w:rsid w:val="00B2624B"/>
    <w:rsid w:val="00B26ECE"/>
    <w:rsid w:val="00B270C5"/>
    <w:rsid w:val="00B272B1"/>
    <w:rsid w:val="00B27C02"/>
    <w:rsid w:val="00B31211"/>
    <w:rsid w:val="00B31CEA"/>
    <w:rsid w:val="00B32892"/>
    <w:rsid w:val="00B33EEA"/>
    <w:rsid w:val="00B34348"/>
    <w:rsid w:val="00B34791"/>
    <w:rsid w:val="00B34BAA"/>
    <w:rsid w:val="00B36090"/>
    <w:rsid w:val="00B375B5"/>
    <w:rsid w:val="00B376AF"/>
    <w:rsid w:val="00B378DE"/>
    <w:rsid w:val="00B4029F"/>
    <w:rsid w:val="00B40558"/>
    <w:rsid w:val="00B4091A"/>
    <w:rsid w:val="00B40E09"/>
    <w:rsid w:val="00B4278B"/>
    <w:rsid w:val="00B42962"/>
    <w:rsid w:val="00B42C47"/>
    <w:rsid w:val="00B438A8"/>
    <w:rsid w:val="00B442B6"/>
    <w:rsid w:val="00B44419"/>
    <w:rsid w:val="00B4477D"/>
    <w:rsid w:val="00B449D9"/>
    <w:rsid w:val="00B44C9C"/>
    <w:rsid w:val="00B45722"/>
    <w:rsid w:val="00B45DBD"/>
    <w:rsid w:val="00B46429"/>
    <w:rsid w:val="00B46B52"/>
    <w:rsid w:val="00B47C6B"/>
    <w:rsid w:val="00B505B5"/>
    <w:rsid w:val="00B51348"/>
    <w:rsid w:val="00B51ED4"/>
    <w:rsid w:val="00B52283"/>
    <w:rsid w:val="00B525BE"/>
    <w:rsid w:val="00B53274"/>
    <w:rsid w:val="00B53B6F"/>
    <w:rsid w:val="00B54313"/>
    <w:rsid w:val="00B54C16"/>
    <w:rsid w:val="00B5507E"/>
    <w:rsid w:val="00B567A6"/>
    <w:rsid w:val="00B571E1"/>
    <w:rsid w:val="00B611A8"/>
    <w:rsid w:val="00B61D30"/>
    <w:rsid w:val="00B62C1E"/>
    <w:rsid w:val="00B635B7"/>
    <w:rsid w:val="00B64181"/>
    <w:rsid w:val="00B659E5"/>
    <w:rsid w:val="00B66CEF"/>
    <w:rsid w:val="00B67654"/>
    <w:rsid w:val="00B67699"/>
    <w:rsid w:val="00B678E7"/>
    <w:rsid w:val="00B67D62"/>
    <w:rsid w:val="00B703CF"/>
    <w:rsid w:val="00B70976"/>
    <w:rsid w:val="00B70C59"/>
    <w:rsid w:val="00B70C69"/>
    <w:rsid w:val="00B713DB"/>
    <w:rsid w:val="00B7230F"/>
    <w:rsid w:val="00B73649"/>
    <w:rsid w:val="00B74091"/>
    <w:rsid w:val="00B74735"/>
    <w:rsid w:val="00B74C85"/>
    <w:rsid w:val="00B75CE8"/>
    <w:rsid w:val="00B75D1D"/>
    <w:rsid w:val="00B75FC9"/>
    <w:rsid w:val="00B7605B"/>
    <w:rsid w:val="00B763C4"/>
    <w:rsid w:val="00B77E08"/>
    <w:rsid w:val="00B80605"/>
    <w:rsid w:val="00B81150"/>
    <w:rsid w:val="00B819BE"/>
    <w:rsid w:val="00B81A50"/>
    <w:rsid w:val="00B81B73"/>
    <w:rsid w:val="00B821E7"/>
    <w:rsid w:val="00B82521"/>
    <w:rsid w:val="00B83311"/>
    <w:rsid w:val="00B83E37"/>
    <w:rsid w:val="00B84D78"/>
    <w:rsid w:val="00B858D1"/>
    <w:rsid w:val="00B85C10"/>
    <w:rsid w:val="00B86766"/>
    <w:rsid w:val="00B9065B"/>
    <w:rsid w:val="00B90B85"/>
    <w:rsid w:val="00B9149A"/>
    <w:rsid w:val="00B928C3"/>
    <w:rsid w:val="00B93665"/>
    <w:rsid w:val="00B936DF"/>
    <w:rsid w:val="00B94275"/>
    <w:rsid w:val="00B94BBC"/>
    <w:rsid w:val="00B950ED"/>
    <w:rsid w:val="00B956C6"/>
    <w:rsid w:val="00B96417"/>
    <w:rsid w:val="00B96D7C"/>
    <w:rsid w:val="00B971B7"/>
    <w:rsid w:val="00B97758"/>
    <w:rsid w:val="00B97B0B"/>
    <w:rsid w:val="00BA0813"/>
    <w:rsid w:val="00BA08C5"/>
    <w:rsid w:val="00BA09FC"/>
    <w:rsid w:val="00BA1A8D"/>
    <w:rsid w:val="00BA250A"/>
    <w:rsid w:val="00BA2819"/>
    <w:rsid w:val="00BA2C82"/>
    <w:rsid w:val="00BA2CFF"/>
    <w:rsid w:val="00BA36D6"/>
    <w:rsid w:val="00BA4383"/>
    <w:rsid w:val="00BA4B87"/>
    <w:rsid w:val="00BA53F6"/>
    <w:rsid w:val="00BA5877"/>
    <w:rsid w:val="00BA6E3D"/>
    <w:rsid w:val="00BA7BD3"/>
    <w:rsid w:val="00BB0E9D"/>
    <w:rsid w:val="00BB1B3B"/>
    <w:rsid w:val="00BB208C"/>
    <w:rsid w:val="00BB2B61"/>
    <w:rsid w:val="00BB3D91"/>
    <w:rsid w:val="00BB3F79"/>
    <w:rsid w:val="00BB6BF5"/>
    <w:rsid w:val="00BB7CD2"/>
    <w:rsid w:val="00BC0114"/>
    <w:rsid w:val="00BC1381"/>
    <w:rsid w:val="00BC1E95"/>
    <w:rsid w:val="00BC2004"/>
    <w:rsid w:val="00BC249E"/>
    <w:rsid w:val="00BC29B2"/>
    <w:rsid w:val="00BC4425"/>
    <w:rsid w:val="00BC4745"/>
    <w:rsid w:val="00BC4B57"/>
    <w:rsid w:val="00BC5A0F"/>
    <w:rsid w:val="00BC6AAA"/>
    <w:rsid w:val="00BC6F33"/>
    <w:rsid w:val="00BC729B"/>
    <w:rsid w:val="00BC7A9A"/>
    <w:rsid w:val="00BD2891"/>
    <w:rsid w:val="00BD2980"/>
    <w:rsid w:val="00BD341B"/>
    <w:rsid w:val="00BD4F38"/>
    <w:rsid w:val="00BD55E8"/>
    <w:rsid w:val="00BD5B21"/>
    <w:rsid w:val="00BD71A9"/>
    <w:rsid w:val="00BD7494"/>
    <w:rsid w:val="00BD778E"/>
    <w:rsid w:val="00BD7A4B"/>
    <w:rsid w:val="00BE05B0"/>
    <w:rsid w:val="00BE5EBD"/>
    <w:rsid w:val="00BE639F"/>
    <w:rsid w:val="00BE796A"/>
    <w:rsid w:val="00BF05B0"/>
    <w:rsid w:val="00BF1C0F"/>
    <w:rsid w:val="00BF2A29"/>
    <w:rsid w:val="00BF338F"/>
    <w:rsid w:val="00BF35DD"/>
    <w:rsid w:val="00BF45BE"/>
    <w:rsid w:val="00BF5CF7"/>
    <w:rsid w:val="00BF6671"/>
    <w:rsid w:val="00C002C5"/>
    <w:rsid w:val="00C0070F"/>
    <w:rsid w:val="00C01845"/>
    <w:rsid w:val="00C01D06"/>
    <w:rsid w:val="00C02663"/>
    <w:rsid w:val="00C029AE"/>
    <w:rsid w:val="00C02C0D"/>
    <w:rsid w:val="00C031F7"/>
    <w:rsid w:val="00C034B7"/>
    <w:rsid w:val="00C03AB2"/>
    <w:rsid w:val="00C04CE1"/>
    <w:rsid w:val="00C04EA9"/>
    <w:rsid w:val="00C0665D"/>
    <w:rsid w:val="00C06C27"/>
    <w:rsid w:val="00C06CB1"/>
    <w:rsid w:val="00C06E7A"/>
    <w:rsid w:val="00C076CE"/>
    <w:rsid w:val="00C07DD2"/>
    <w:rsid w:val="00C07E80"/>
    <w:rsid w:val="00C103D1"/>
    <w:rsid w:val="00C10C35"/>
    <w:rsid w:val="00C10E37"/>
    <w:rsid w:val="00C11121"/>
    <w:rsid w:val="00C12332"/>
    <w:rsid w:val="00C127E3"/>
    <w:rsid w:val="00C1468A"/>
    <w:rsid w:val="00C15362"/>
    <w:rsid w:val="00C1587C"/>
    <w:rsid w:val="00C15FD1"/>
    <w:rsid w:val="00C1671A"/>
    <w:rsid w:val="00C174F3"/>
    <w:rsid w:val="00C206AD"/>
    <w:rsid w:val="00C20F48"/>
    <w:rsid w:val="00C21575"/>
    <w:rsid w:val="00C2324C"/>
    <w:rsid w:val="00C23869"/>
    <w:rsid w:val="00C23DCD"/>
    <w:rsid w:val="00C251DB"/>
    <w:rsid w:val="00C254D0"/>
    <w:rsid w:val="00C26114"/>
    <w:rsid w:val="00C26650"/>
    <w:rsid w:val="00C301F7"/>
    <w:rsid w:val="00C3074F"/>
    <w:rsid w:val="00C3107B"/>
    <w:rsid w:val="00C33017"/>
    <w:rsid w:val="00C334DC"/>
    <w:rsid w:val="00C3360E"/>
    <w:rsid w:val="00C3377D"/>
    <w:rsid w:val="00C33C06"/>
    <w:rsid w:val="00C33FCC"/>
    <w:rsid w:val="00C3450F"/>
    <w:rsid w:val="00C3452F"/>
    <w:rsid w:val="00C34D8E"/>
    <w:rsid w:val="00C3584E"/>
    <w:rsid w:val="00C362CB"/>
    <w:rsid w:val="00C367D6"/>
    <w:rsid w:val="00C36FCF"/>
    <w:rsid w:val="00C37CE6"/>
    <w:rsid w:val="00C4006C"/>
    <w:rsid w:val="00C41F4B"/>
    <w:rsid w:val="00C42401"/>
    <w:rsid w:val="00C43548"/>
    <w:rsid w:val="00C43581"/>
    <w:rsid w:val="00C4380F"/>
    <w:rsid w:val="00C449E9"/>
    <w:rsid w:val="00C4548F"/>
    <w:rsid w:val="00C45F3C"/>
    <w:rsid w:val="00C46785"/>
    <w:rsid w:val="00C46D9D"/>
    <w:rsid w:val="00C501B0"/>
    <w:rsid w:val="00C50DE6"/>
    <w:rsid w:val="00C51253"/>
    <w:rsid w:val="00C51826"/>
    <w:rsid w:val="00C536D8"/>
    <w:rsid w:val="00C53D52"/>
    <w:rsid w:val="00C53DC0"/>
    <w:rsid w:val="00C5530B"/>
    <w:rsid w:val="00C55511"/>
    <w:rsid w:val="00C55965"/>
    <w:rsid w:val="00C563FA"/>
    <w:rsid w:val="00C56997"/>
    <w:rsid w:val="00C573EC"/>
    <w:rsid w:val="00C57802"/>
    <w:rsid w:val="00C57DA6"/>
    <w:rsid w:val="00C61309"/>
    <w:rsid w:val="00C62D7A"/>
    <w:rsid w:val="00C62E40"/>
    <w:rsid w:val="00C62F2C"/>
    <w:rsid w:val="00C63CE1"/>
    <w:rsid w:val="00C64275"/>
    <w:rsid w:val="00C649D9"/>
    <w:rsid w:val="00C6597A"/>
    <w:rsid w:val="00C65F66"/>
    <w:rsid w:val="00C66306"/>
    <w:rsid w:val="00C703B8"/>
    <w:rsid w:val="00C703FA"/>
    <w:rsid w:val="00C732EF"/>
    <w:rsid w:val="00C75276"/>
    <w:rsid w:val="00C75D03"/>
    <w:rsid w:val="00C75D96"/>
    <w:rsid w:val="00C76E45"/>
    <w:rsid w:val="00C773AE"/>
    <w:rsid w:val="00C77BC7"/>
    <w:rsid w:val="00C80DB9"/>
    <w:rsid w:val="00C823A7"/>
    <w:rsid w:val="00C823B8"/>
    <w:rsid w:val="00C826E1"/>
    <w:rsid w:val="00C838F7"/>
    <w:rsid w:val="00C84F9D"/>
    <w:rsid w:val="00C8517E"/>
    <w:rsid w:val="00C85D2C"/>
    <w:rsid w:val="00C866FA"/>
    <w:rsid w:val="00C87225"/>
    <w:rsid w:val="00C872D7"/>
    <w:rsid w:val="00C874F5"/>
    <w:rsid w:val="00C901FD"/>
    <w:rsid w:val="00C9092E"/>
    <w:rsid w:val="00C90BA0"/>
    <w:rsid w:val="00C90D70"/>
    <w:rsid w:val="00C90DEF"/>
    <w:rsid w:val="00C90F71"/>
    <w:rsid w:val="00C917E8"/>
    <w:rsid w:val="00C925D0"/>
    <w:rsid w:val="00C92887"/>
    <w:rsid w:val="00C92E65"/>
    <w:rsid w:val="00C935FD"/>
    <w:rsid w:val="00C93C8E"/>
    <w:rsid w:val="00C93DAD"/>
    <w:rsid w:val="00C95BB7"/>
    <w:rsid w:val="00C95DFB"/>
    <w:rsid w:val="00C965FD"/>
    <w:rsid w:val="00C966E0"/>
    <w:rsid w:val="00C97843"/>
    <w:rsid w:val="00C97C3F"/>
    <w:rsid w:val="00CA06C5"/>
    <w:rsid w:val="00CA08D1"/>
    <w:rsid w:val="00CA130D"/>
    <w:rsid w:val="00CA2910"/>
    <w:rsid w:val="00CA44BC"/>
    <w:rsid w:val="00CA4808"/>
    <w:rsid w:val="00CA4D28"/>
    <w:rsid w:val="00CA4DD4"/>
    <w:rsid w:val="00CA5FEA"/>
    <w:rsid w:val="00CA73BD"/>
    <w:rsid w:val="00CB0C08"/>
    <w:rsid w:val="00CB1215"/>
    <w:rsid w:val="00CB12EC"/>
    <w:rsid w:val="00CB33F3"/>
    <w:rsid w:val="00CB4FCF"/>
    <w:rsid w:val="00CB5CFB"/>
    <w:rsid w:val="00CB6A16"/>
    <w:rsid w:val="00CB6D89"/>
    <w:rsid w:val="00CB71FF"/>
    <w:rsid w:val="00CB7958"/>
    <w:rsid w:val="00CB7DB2"/>
    <w:rsid w:val="00CC1110"/>
    <w:rsid w:val="00CC2224"/>
    <w:rsid w:val="00CC2243"/>
    <w:rsid w:val="00CC2BA7"/>
    <w:rsid w:val="00CC3E8A"/>
    <w:rsid w:val="00CC4E49"/>
    <w:rsid w:val="00CC52AF"/>
    <w:rsid w:val="00CC613F"/>
    <w:rsid w:val="00CC6232"/>
    <w:rsid w:val="00CD0574"/>
    <w:rsid w:val="00CD0FC5"/>
    <w:rsid w:val="00CD167E"/>
    <w:rsid w:val="00CD17C3"/>
    <w:rsid w:val="00CD19F3"/>
    <w:rsid w:val="00CD3212"/>
    <w:rsid w:val="00CD3989"/>
    <w:rsid w:val="00CD39CA"/>
    <w:rsid w:val="00CD40CC"/>
    <w:rsid w:val="00CD4A45"/>
    <w:rsid w:val="00CD5378"/>
    <w:rsid w:val="00CD5A80"/>
    <w:rsid w:val="00CD5BCD"/>
    <w:rsid w:val="00CD666F"/>
    <w:rsid w:val="00CD6A01"/>
    <w:rsid w:val="00CE0503"/>
    <w:rsid w:val="00CE0DD1"/>
    <w:rsid w:val="00CE1F57"/>
    <w:rsid w:val="00CE206B"/>
    <w:rsid w:val="00CE233C"/>
    <w:rsid w:val="00CE2795"/>
    <w:rsid w:val="00CE327D"/>
    <w:rsid w:val="00CE3D19"/>
    <w:rsid w:val="00CE4964"/>
    <w:rsid w:val="00CE4E65"/>
    <w:rsid w:val="00CE68C2"/>
    <w:rsid w:val="00CE76DE"/>
    <w:rsid w:val="00CF009D"/>
    <w:rsid w:val="00CF038A"/>
    <w:rsid w:val="00CF11B9"/>
    <w:rsid w:val="00CF287F"/>
    <w:rsid w:val="00CF3218"/>
    <w:rsid w:val="00CF3358"/>
    <w:rsid w:val="00CF34FD"/>
    <w:rsid w:val="00CF40D4"/>
    <w:rsid w:val="00CF4B47"/>
    <w:rsid w:val="00CF5230"/>
    <w:rsid w:val="00CF60B6"/>
    <w:rsid w:val="00CF610C"/>
    <w:rsid w:val="00CF6787"/>
    <w:rsid w:val="00CF6F66"/>
    <w:rsid w:val="00CF6FC4"/>
    <w:rsid w:val="00D00721"/>
    <w:rsid w:val="00D0311E"/>
    <w:rsid w:val="00D042BB"/>
    <w:rsid w:val="00D04E17"/>
    <w:rsid w:val="00D0576B"/>
    <w:rsid w:val="00D05B70"/>
    <w:rsid w:val="00D061BB"/>
    <w:rsid w:val="00D06955"/>
    <w:rsid w:val="00D06E9B"/>
    <w:rsid w:val="00D06EE6"/>
    <w:rsid w:val="00D07207"/>
    <w:rsid w:val="00D07CF1"/>
    <w:rsid w:val="00D07DFE"/>
    <w:rsid w:val="00D07F6E"/>
    <w:rsid w:val="00D10293"/>
    <w:rsid w:val="00D10564"/>
    <w:rsid w:val="00D115BC"/>
    <w:rsid w:val="00D11BAC"/>
    <w:rsid w:val="00D1209C"/>
    <w:rsid w:val="00D120B2"/>
    <w:rsid w:val="00D14F9E"/>
    <w:rsid w:val="00D1688D"/>
    <w:rsid w:val="00D17326"/>
    <w:rsid w:val="00D1758D"/>
    <w:rsid w:val="00D17F19"/>
    <w:rsid w:val="00D2101F"/>
    <w:rsid w:val="00D219EB"/>
    <w:rsid w:val="00D220E6"/>
    <w:rsid w:val="00D22593"/>
    <w:rsid w:val="00D225DE"/>
    <w:rsid w:val="00D22FBB"/>
    <w:rsid w:val="00D23098"/>
    <w:rsid w:val="00D239A3"/>
    <w:rsid w:val="00D242CC"/>
    <w:rsid w:val="00D2437C"/>
    <w:rsid w:val="00D252B0"/>
    <w:rsid w:val="00D263D0"/>
    <w:rsid w:val="00D307B8"/>
    <w:rsid w:val="00D31762"/>
    <w:rsid w:val="00D32CA8"/>
    <w:rsid w:val="00D33B82"/>
    <w:rsid w:val="00D344C6"/>
    <w:rsid w:val="00D35A8E"/>
    <w:rsid w:val="00D362CC"/>
    <w:rsid w:val="00D37B30"/>
    <w:rsid w:val="00D37C53"/>
    <w:rsid w:val="00D403C0"/>
    <w:rsid w:val="00D4046F"/>
    <w:rsid w:val="00D40828"/>
    <w:rsid w:val="00D42762"/>
    <w:rsid w:val="00D43844"/>
    <w:rsid w:val="00D44DA5"/>
    <w:rsid w:val="00D44EAD"/>
    <w:rsid w:val="00D44FE0"/>
    <w:rsid w:val="00D45D59"/>
    <w:rsid w:val="00D46EAF"/>
    <w:rsid w:val="00D471D1"/>
    <w:rsid w:val="00D47B12"/>
    <w:rsid w:val="00D47C42"/>
    <w:rsid w:val="00D515BE"/>
    <w:rsid w:val="00D517D4"/>
    <w:rsid w:val="00D5195A"/>
    <w:rsid w:val="00D52C82"/>
    <w:rsid w:val="00D535BC"/>
    <w:rsid w:val="00D53D08"/>
    <w:rsid w:val="00D5411A"/>
    <w:rsid w:val="00D552BD"/>
    <w:rsid w:val="00D55BDF"/>
    <w:rsid w:val="00D55C22"/>
    <w:rsid w:val="00D56A42"/>
    <w:rsid w:val="00D56CF5"/>
    <w:rsid w:val="00D60A6B"/>
    <w:rsid w:val="00D610B7"/>
    <w:rsid w:val="00D621CD"/>
    <w:rsid w:val="00D62F55"/>
    <w:rsid w:val="00D63B52"/>
    <w:rsid w:val="00D6504A"/>
    <w:rsid w:val="00D65509"/>
    <w:rsid w:val="00D65B79"/>
    <w:rsid w:val="00D67185"/>
    <w:rsid w:val="00D6785A"/>
    <w:rsid w:val="00D678F2"/>
    <w:rsid w:val="00D71365"/>
    <w:rsid w:val="00D71B50"/>
    <w:rsid w:val="00D72295"/>
    <w:rsid w:val="00D7244B"/>
    <w:rsid w:val="00D72754"/>
    <w:rsid w:val="00D72CFF"/>
    <w:rsid w:val="00D731A4"/>
    <w:rsid w:val="00D73B87"/>
    <w:rsid w:val="00D746FC"/>
    <w:rsid w:val="00D74A3E"/>
    <w:rsid w:val="00D74C15"/>
    <w:rsid w:val="00D75844"/>
    <w:rsid w:val="00D76079"/>
    <w:rsid w:val="00D76B07"/>
    <w:rsid w:val="00D76BD1"/>
    <w:rsid w:val="00D76EA3"/>
    <w:rsid w:val="00D77B98"/>
    <w:rsid w:val="00D77C0D"/>
    <w:rsid w:val="00D81510"/>
    <w:rsid w:val="00D81C1E"/>
    <w:rsid w:val="00D82337"/>
    <w:rsid w:val="00D838C5"/>
    <w:rsid w:val="00D83EF5"/>
    <w:rsid w:val="00D846C3"/>
    <w:rsid w:val="00D8546E"/>
    <w:rsid w:val="00D854DF"/>
    <w:rsid w:val="00D8550E"/>
    <w:rsid w:val="00D855D9"/>
    <w:rsid w:val="00D85E0D"/>
    <w:rsid w:val="00D86CB3"/>
    <w:rsid w:val="00D87CF6"/>
    <w:rsid w:val="00D904A1"/>
    <w:rsid w:val="00D90923"/>
    <w:rsid w:val="00D91960"/>
    <w:rsid w:val="00D921B2"/>
    <w:rsid w:val="00D92494"/>
    <w:rsid w:val="00D929F0"/>
    <w:rsid w:val="00D92DDB"/>
    <w:rsid w:val="00D92F97"/>
    <w:rsid w:val="00D94159"/>
    <w:rsid w:val="00D94CD1"/>
    <w:rsid w:val="00D96474"/>
    <w:rsid w:val="00D97646"/>
    <w:rsid w:val="00D97AC7"/>
    <w:rsid w:val="00DA08EE"/>
    <w:rsid w:val="00DA129C"/>
    <w:rsid w:val="00DA1C66"/>
    <w:rsid w:val="00DA2AFA"/>
    <w:rsid w:val="00DA4F4C"/>
    <w:rsid w:val="00DA638C"/>
    <w:rsid w:val="00DA70CA"/>
    <w:rsid w:val="00DA7552"/>
    <w:rsid w:val="00DB03DA"/>
    <w:rsid w:val="00DB05DF"/>
    <w:rsid w:val="00DB0B9E"/>
    <w:rsid w:val="00DB0DDC"/>
    <w:rsid w:val="00DB2134"/>
    <w:rsid w:val="00DB2771"/>
    <w:rsid w:val="00DB3971"/>
    <w:rsid w:val="00DB4426"/>
    <w:rsid w:val="00DB450D"/>
    <w:rsid w:val="00DB4637"/>
    <w:rsid w:val="00DB5D8B"/>
    <w:rsid w:val="00DB785C"/>
    <w:rsid w:val="00DC019D"/>
    <w:rsid w:val="00DC15B8"/>
    <w:rsid w:val="00DC4650"/>
    <w:rsid w:val="00DC65BF"/>
    <w:rsid w:val="00DC6B3D"/>
    <w:rsid w:val="00DC7274"/>
    <w:rsid w:val="00DD235A"/>
    <w:rsid w:val="00DD42C8"/>
    <w:rsid w:val="00DD437C"/>
    <w:rsid w:val="00DD44DD"/>
    <w:rsid w:val="00DD5721"/>
    <w:rsid w:val="00DD5D74"/>
    <w:rsid w:val="00DD63EC"/>
    <w:rsid w:val="00DE0121"/>
    <w:rsid w:val="00DE0EAF"/>
    <w:rsid w:val="00DE0F62"/>
    <w:rsid w:val="00DE1311"/>
    <w:rsid w:val="00DE15D8"/>
    <w:rsid w:val="00DE1E98"/>
    <w:rsid w:val="00DE2988"/>
    <w:rsid w:val="00DE29CF"/>
    <w:rsid w:val="00DE3BFB"/>
    <w:rsid w:val="00DE40B0"/>
    <w:rsid w:val="00DE52AF"/>
    <w:rsid w:val="00DE53AD"/>
    <w:rsid w:val="00DE5918"/>
    <w:rsid w:val="00DE6FD3"/>
    <w:rsid w:val="00DF0170"/>
    <w:rsid w:val="00DF1CA1"/>
    <w:rsid w:val="00DF1F52"/>
    <w:rsid w:val="00DF2EF0"/>
    <w:rsid w:val="00DF47F0"/>
    <w:rsid w:val="00DF5D7A"/>
    <w:rsid w:val="00DF5FA3"/>
    <w:rsid w:val="00DF65B0"/>
    <w:rsid w:val="00DF77E9"/>
    <w:rsid w:val="00DF7A0C"/>
    <w:rsid w:val="00DF7B31"/>
    <w:rsid w:val="00DF7D78"/>
    <w:rsid w:val="00E0065F"/>
    <w:rsid w:val="00E00DAA"/>
    <w:rsid w:val="00E01A41"/>
    <w:rsid w:val="00E03CE4"/>
    <w:rsid w:val="00E04826"/>
    <w:rsid w:val="00E053CD"/>
    <w:rsid w:val="00E05866"/>
    <w:rsid w:val="00E05DFD"/>
    <w:rsid w:val="00E0624E"/>
    <w:rsid w:val="00E062BE"/>
    <w:rsid w:val="00E06E2C"/>
    <w:rsid w:val="00E07176"/>
    <w:rsid w:val="00E076C4"/>
    <w:rsid w:val="00E100F5"/>
    <w:rsid w:val="00E10CC6"/>
    <w:rsid w:val="00E13474"/>
    <w:rsid w:val="00E13B76"/>
    <w:rsid w:val="00E13F77"/>
    <w:rsid w:val="00E15A1D"/>
    <w:rsid w:val="00E160A2"/>
    <w:rsid w:val="00E1761A"/>
    <w:rsid w:val="00E17FC3"/>
    <w:rsid w:val="00E201EA"/>
    <w:rsid w:val="00E20C4C"/>
    <w:rsid w:val="00E20C80"/>
    <w:rsid w:val="00E210B0"/>
    <w:rsid w:val="00E21779"/>
    <w:rsid w:val="00E22108"/>
    <w:rsid w:val="00E221C4"/>
    <w:rsid w:val="00E225E2"/>
    <w:rsid w:val="00E234A0"/>
    <w:rsid w:val="00E24B4E"/>
    <w:rsid w:val="00E24CC9"/>
    <w:rsid w:val="00E25181"/>
    <w:rsid w:val="00E25382"/>
    <w:rsid w:val="00E25DE1"/>
    <w:rsid w:val="00E26034"/>
    <w:rsid w:val="00E271C8"/>
    <w:rsid w:val="00E2729C"/>
    <w:rsid w:val="00E27B25"/>
    <w:rsid w:val="00E27C24"/>
    <w:rsid w:val="00E301EC"/>
    <w:rsid w:val="00E30241"/>
    <w:rsid w:val="00E30598"/>
    <w:rsid w:val="00E318B8"/>
    <w:rsid w:val="00E3202B"/>
    <w:rsid w:val="00E32759"/>
    <w:rsid w:val="00E32AA2"/>
    <w:rsid w:val="00E34490"/>
    <w:rsid w:val="00E3498B"/>
    <w:rsid w:val="00E34D4F"/>
    <w:rsid w:val="00E353C4"/>
    <w:rsid w:val="00E36A05"/>
    <w:rsid w:val="00E36D79"/>
    <w:rsid w:val="00E36DCC"/>
    <w:rsid w:val="00E372F6"/>
    <w:rsid w:val="00E3785B"/>
    <w:rsid w:val="00E37FAB"/>
    <w:rsid w:val="00E409F2"/>
    <w:rsid w:val="00E40A6F"/>
    <w:rsid w:val="00E412B5"/>
    <w:rsid w:val="00E4164C"/>
    <w:rsid w:val="00E41E4D"/>
    <w:rsid w:val="00E42CD7"/>
    <w:rsid w:val="00E43031"/>
    <w:rsid w:val="00E438D4"/>
    <w:rsid w:val="00E44B8C"/>
    <w:rsid w:val="00E4526B"/>
    <w:rsid w:val="00E45561"/>
    <w:rsid w:val="00E45991"/>
    <w:rsid w:val="00E46435"/>
    <w:rsid w:val="00E469BE"/>
    <w:rsid w:val="00E47AF0"/>
    <w:rsid w:val="00E50201"/>
    <w:rsid w:val="00E50421"/>
    <w:rsid w:val="00E506BE"/>
    <w:rsid w:val="00E507A3"/>
    <w:rsid w:val="00E51050"/>
    <w:rsid w:val="00E51761"/>
    <w:rsid w:val="00E51FFC"/>
    <w:rsid w:val="00E5319A"/>
    <w:rsid w:val="00E54D2C"/>
    <w:rsid w:val="00E551E0"/>
    <w:rsid w:val="00E55A0D"/>
    <w:rsid w:val="00E55AB8"/>
    <w:rsid w:val="00E565CF"/>
    <w:rsid w:val="00E56A1D"/>
    <w:rsid w:val="00E57129"/>
    <w:rsid w:val="00E578E7"/>
    <w:rsid w:val="00E57984"/>
    <w:rsid w:val="00E57B71"/>
    <w:rsid w:val="00E606B3"/>
    <w:rsid w:val="00E60753"/>
    <w:rsid w:val="00E615BC"/>
    <w:rsid w:val="00E61B35"/>
    <w:rsid w:val="00E61CCB"/>
    <w:rsid w:val="00E620A2"/>
    <w:rsid w:val="00E623CB"/>
    <w:rsid w:val="00E624C8"/>
    <w:rsid w:val="00E62676"/>
    <w:rsid w:val="00E627A0"/>
    <w:rsid w:val="00E63053"/>
    <w:rsid w:val="00E6323F"/>
    <w:rsid w:val="00E632BF"/>
    <w:rsid w:val="00E6344C"/>
    <w:rsid w:val="00E63AC3"/>
    <w:rsid w:val="00E63DB3"/>
    <w:rsid w:val="00E6485A"/>
    <w:rsid w:val="00E65321"/>
    <w:rsid w:val="00E65BCC"/>
    <w:rsid w:val="00E668B2"/>
    <w:rsid w:val="00E67739"/>
    <w:rsid w:val="00E6784C"/>
    <w:rsid w:val="00E67E70"/>
    <w:rsid w:val="00E70066"/>
    <w:rsid w:val="00E7018E"/>
    <w:rsid w:val="00E723DF"/>
    <w:rsid w:val="00E723E1"/>
    <w:rsid w:val="00E72F82"/>
    <w:rsid w:val="00E7313F"/>
    <w:rsid w:val="00E73247"/>
    <w:rsid w:val="00E734B6"/>
    <w:rsid w:val="00E749C3"/>
    <w:rsid w:val="00E758FE"/>
    <w:rsid w:val="00E75DB0"/>
    <w:rsid w:val="00E76435"/>
    <w:rsid w:val="00E7654A"/>
    <w:rsid w:val="00E77BD5"/>
    <w:rsid w:val="00E77C7F"/>
    <w:rsid w:val="00E805D2"/>
    <w:rsid w:val="00E8204C"/>
    <w:rsid w:val="00E82899"/>
    <w:rsid w:val="00E83EAA"/>
    <w:rsid w:val="00E84794"/>
    <w:rsid w:val="00E852B4"/>
    <w:rsid w:val="00E8553B"/>
    <w:rsid w:val="00E863C3"/>
    <w:rsid w:val="00E87250"/>
    <w:rsid w:val="00E87901"/>
    <w:rsid w:val="00E87B01"/>
    <w:rsid w:val="00E9053F"/>
    <w:rsid w:val="00E90764"/>
    <w:rsid w:val="00E90958"/>
    <w:rsid w:val="00E91945"/>
    <w:rsid w:val="00E92ECC"/>
    <w:rsid w:val="00E94230"/>
    <w:rsid w:val="00E95883"/>
    <w:rsid w:val="00E9679C"/>
    <w:rsid w:val="00E9682B"/>
    <w:rsid w:val="00EA0259"/>
    <w:rsid w:val="00EA074A"/>
    <w:rsid w:val="00EA3262"/>
    <w:rsid w:val="00EA3FF8"/>
    <w:rsid w:val="00EA4A37"/>
    <w:rsid w:val="00EA550C"/>
    <w:rsid w:val="00EA6D63"/>
    <w:rsid w:val="00EA6FA9"/>
    <w:rsid w:val="00EB14FB"/>
    <w:rsid w:val="00EB1EE6"/>
    <w:rsid w:val="00EB3099"/>
    <w:rsid w:val="00EB431A"/>
    <w:rsid w:val="00EB43B5"/>
    <w:rsid w:val="00EB4968"/>
    <w:rsid w:val="00EB5880"/>
    <w:rsid w:val="00EB6E86"/>
    <w:rsid w:val="00EB7E55"/>
    <w:rsid w:val="00EC1A87"/>
    <w:rsid w:val="00EC1FD4"/>
    <w:rsid w:val="00EC5BAE"/>
    <w:rsid w:val="00EC5F20"/>
    <w:rsid w:val="00EC6042"/>
    <w:rsid w:val="00EC6249"/>
    <w:rsid w:val="00EC679E"/>
    <w:rsid w:val="00EC6A94"/>
    <w:rsid w:val="00EC6CA2"/>
    <w:rsid w:val="00EC7DC8"/>
    <w:rsid w:val="00ED0404"/>
    <w:rsid w:val="00ED090F"/>
    <w:rsid w:val="00ED0D01"/>
    <w:rsid w:val="00ED1166"/>
    <w:rsid w:val="00ED1F67"/>
    <w:rsid w:val="00ED333B"/>
    <w:rsid w:val="00ED3817"/>
    <w:rsid w:val="00ED40EA"/>
    <w:rsid w:val="00ED4165"/>
    <w:rsid w:val="00ED4440"/>
    <w:rsid w:val="00ED4543"/>
    <w:rsid w:val="00ED4D21"/>
    <w:rsid w:val="00ED63BD"/>
    <w:rsid w:val="00ED79E2"/>
    <w:rsid w:val="00ED7DAD"/>
    <w:rsid w:val="00EE0035"/>
    <w:rsid w:val="00EE08FD"/>
    <w:rsid w:val="00EE0DC0"/>
    <w:rsid w:val="00EE12D9"/>
    <w:rsid w:val="00EE1938"/>
    <w:rsid w:val="00EE1B0C"/>
    <w:rsid w:val="00EE1E38"/>
    <w:rsid w:val="00EE3A92"/>
    <w:rsid w:val="00EE3B2A"/>
    <w:rsid w:val="00EE3F30"/>
    <w:rsid w:val="00EE4B64"/>
    <w:rsid w:val="00EE5DDE"/>
    <w:rsid w:val="00EE6543"/>
    <w:rsid w:val="00EE7FF5"/>
    <w:rsid w:val="00EF0C32"/>
    <w:rsid w:val="00EF1A3F"/>
    <w:rsid w:val="00EF1B6A"/>
    <w:rsid w:val="00EF23D7"/>
    <w:rsid w:val="00EF33AA"/>
    <w:rsid w:val="00EF486B"/>
    <w:rsid w:val="00EF4CE3"/>
    <w:rsid w:val="00EF6724"/>
    <w:rsid w:val="00EF74D6"/>
    <w:rsid w:val="00EF7EB8"/>
    <w:rsid w:val="00F00307"/>
    <w:rsid w:val="00F009CC"/>
    <w:rsid w:val="00F0196C"/>
    <w:rsid w:val="00F0211C"/>
    <w:rsid w:val="00F022C9"/>
    <w:rsid w:val="00F023B4"/>
    <w:rsid w:val="00F02FFE"/>
    <w:rsid w:val="00F03521"/>
    <w:rsid w:val="00F0382C"/>
    <w:rsid w:val="00F03866"/>
    <w:rsid w:val="00F04134"/>
    <w:rsid w:val="00F05A9F"/>
    <w:rsid w:val="00F064A5"/>
    <w:rsid w:val="00F064F3"/>
    <w:rsid w:val="00F06A4B"/>
    <w:rsid w:val="00F10130"/>
    <w:rsid w:val="00F11D79"/>
    <w:rsid w:val="00F12AF9"/>
    <w:rsid w:val="00F1330A"/>
    <w:rsid w:val="00F137B9"/>
    <w:rsid w:val="00F13809"/>
    <w:rsid w:val="00F13928"/>
    <w:rsid w:val="00F1440F"/>
    <w:rsid w:val="00F14AE0"/>
    <w:rsid w:val="00F14B99"/>
    <w:rsid w:val="00F167CD"/>
    <w:rsid w:val="00F16EE1"/>
    <w:rsid w:val="00F17C99"/>
    <w:rsid w:val="00F203A7"/>
    <w:rsid w:val="00F20B82"/>
    <w:rsid w:val="00F20E92"/>
    <w:rsid w:val="00F20EE0"/>
    <w:rsid w:val="00F20F10"/>
    <w:rsid w:val="00F2102F"/>
    <w:rsid w:val="00F21374"/>
    <w:rsid w:val="00F21618"/>
    <w:rsid w:val="00F2271F"/>
    <w:rsid w:val="00F22C83"/>
    <w:rsid w:val="00F22E7A"/>
    <w:rsid w:val="00F234DD"/>
    <w:rsid w:val="00F24764"/>
    <w:rsid w:val="00F247A6"/>
    <w:rsid w:val="00F257A4"/>
    <w:rsid w:val="00F26298"/>
    <w:rsid w:val="00F26BD6"/>
    <w:rsid w:val="00F303AA"/>
    <w:rsid w:val="00F304AD"/>
    <w:rsid w:val="00F30D6A"/>
    <w:rsid w:val="00F30DC6"/>
    <w:rsid w:val="00F31B07"/>
    <w:rsid w:val="00F321FD"/>
    <w:rsid w:val="00F324F1"/>
    <w:rsid w:val="00F32547"/>
    <w:rsid w:val="00F32F30"/>
    <w:rsid w:val="00F34342"/>
    <w:rsid w:val="00F35F9D"/>
    <w:rsid w:val="00F366F2"/>
    <w:rsid w:val="00F36BD3"/>
    <w:rsid w:val="00F36E0B"/>
    <w:rsid w:val="00F37BA2"/>
    <w:rsid w:val="00F40352"/>
    <w:rsid w:val="00F404CC"/>
    <w:rsid w:val="00F40BFB"/>
    <w:rsid w:val="00F40C4A"/>
    <w:rsid w:val="00F414A2"/>
    <w:rsid w:val="00F41ACC"/>
    <w:rsid w:val="00F41DCF"/>
    <w:rsid w:val="00F429AB"/>
    <w:rsid w:val="00F42EA8"/>
    <w:rsid w:val="00F43CF1"/>
    <w:rsid w:val="00F443DD"/>
    <w:rsid w:val="00F44C86"/>
    <w:rsid w:val="00F451C7"/>
    <w:rsid w:val="00F45BCD"/>
    <w:rsid w:val="00F464F6"/>
    <w:rsid w:val="00F469F3"/>
    <w:rsid w:val="00F47E10"/>
    <w:rsid w:val="00F5027F"/>
    <w:rsid w:val="00F508B9"/>
    <w:rsid w:val="00F513E5"/>
    <w:rsid w:val="00F5221D"/>
    <w:rsid w:val="00F550A8"/>
    <w:rsid w:val="00F55670"/>
    <w:rsid w:val="00F567DF"/>
    <w:rsid w:val="00F56CB5"/>
    <w:rsid w:val="00F601FA"/>
    <w:rsid w:val="00F62643"/>
    <w:rsid w:val="00F62E28"/>
    <w:rsid w:val="00F63055"/>
    <w:rsid w:val="00F635FC"/>
    <w:rsid w:val="00F636B2"/>
    <w:rsid w:val="00F646A1"/>
    <w:rsid w:val="00F64C0D"/>
    <w:rsid w:val="00F659CC"/>
    <w:rsid w:val="00F66B03"/>
    <w:rsid w:val="00F67D88"/>
    <w:rsid w:val="00F703EE"/>
    <w:rsid w:val="00F71183"/>
    <w:rsid w:val="00F72C42"/>
    <w:rsid w:val="00F7403A"/>
    <w:rsid w:val="00F741A3"/>
    <w:rsid w:val="00F763B6"/>
    <w:rsid w:val="00F76484"/>
    <w:rsid w:val="00F76D76"/>
    <w:rsid w:val="00F7754C"/>
    <w:rsid w:val="00F775D1"/>
    <w:rsid w:val="00F777FB"/>
    <w:rsid w:val="00F77EC7"/>
    <w:rsid w:val="00F816CA"/>
    <w:rsid w:val="00F82772"/>
    <w:rsid w:val="00F829DA"/>
    <w:rsid w:val="00F83DEF"/>
    <w:rsid w:val="00F84F9B"/>
    <w:rsid w:val="00F856E2"/>
    <w:rsid w:val="00F87DEF"/>
    <w:rsid w:val="00F90FA8"/>
    <w:rsid w:val="00F9150E"/>
    <w:rsid w:val="00F91A4F"/>
    <w:rsid w:val="00F91D99"/>
    <w:rsid w:val="00F924DB"/>
    <w:rsid w:val="00F93057"/>
    <w:rsid w:val="00F93F74"/>
    <w:rsid w:val="00FA0756"/>
    <w:rsid w:val="00FA0C6D"/>
    <w:rsid w:val="00FA13B9"/>
    <w:rsid w:val="00FA16EE"/>
    <w:rsid w:val="00FA1FEC"/>
    <w:rsid w:val="00FA2341"/>
    <w:rsid w:val="00FA29A4"/>
    <w:rsid w:val="00FA300F"/>
    <w:rsid w:val="00FA3132"/>
    <w:rsid w:val="00FA56D0"/>
    <w:rsid w:val="00FA5995"/>
    <w:rsid w:val="00FA639B"/>
    <w:rsid w:val="00FA66E2"/>
    <w:rsid w:val="00FA7097"/>
    <w:rsid w:val="00FA72C9"/>
    <w:rsid w:val="00FA7CA4"/>
    <w:rsid w:val="00FB124D"/>
    <w:rsid w:val="00FB17AE"/>
    <w:rsid w:val="00FB1842"/>
    <w:rsid w:val="00FB18C0"/>
    <w:rsid w:val="00FB30EA"/>
    <w:rsid w:val="00FB3369"/>
    <w:rsid w:val="00FB4635"/>
    <w:rsid w:val="00FB4A40"/>
    <w:rsid w:val="00FB5CA8"/>
    <w:rsid w:val="00FB62C7"/>
    <w:rsid w:val="00FB6E79"/>
    <w:rsid w:val="00FB7184"/>
    <w:rsid w:val="00FB76AE"/>
    <w:rsid w:val="00FB7B7F"/>
    <w:rsid w:val="00FC1F5D"/>
    <w:rsid w:val="00FC3741"/>
    <w:rsid w:val="00FC39AA"/>
    <w:rsid w:val="00FC4333"/>
    <w:rsid w:val="00FC5279"/>
    <w:rsid w:val="00FC540A"/>
    <w:rsid w:val="00FC5BDC"/>
    <w:rsid w:val="00FC67E3"/>
    <w:rsid w:val="00FC692D"/>
    <w:rsid w:val="00FC6DEB"/>
    <w:rsid w:val="00FC787E"/>
    <w:rsid w:val="00FC7AD3"/>
    <w:rsid w:val="00FC7E16"/>
    <w:rsid w:val="00FD01FA"/>
    <w:rsid w:val="00FD1174"/>
    <w:rsid w:val="00FD12C8"/>
    <w:rsid w:val="00FD17B1"/>
    <w:rsid w:val="00FD1D19"/>
    <w:rsid w:val="00FD264C"/>
    <w:rsid w:val="00FD2C81"/>
    <w:rsid w:val="00FD3575"/>
    <w:rsid w:val="00FD36A7"/>
    <w:rsid w:val="00FD3D1A"/>
    <w:rsid w:val="00FD4635"/>
    <w:rsid w:val="00FD49B7"/>
    <w:rsid w:val="00FD545D"/>
    <w:rsid w:val="00FD5619"/>
    <w:rsid w:val="00FD572B"/>
    <w:rsid w:val="00FD5A2C"/>
    <w:rsid w:val="00FD6401"/>
    <w:rsid w:val="00FD6824"/>
    <w:rsid w:val="00FD76C0"/>
    <w:rsid w:val="00FE173C"/>
    <w:rsid w:val="00FE2A04"/>
    <w:rsid w:val="00FE2C92"/>
    <w:rsid w:val="00FE2CD0"/>
    <w:rsid w:val="00FE4F89"/>
    <w:rsid w:val="00FE4FB1"/>
    <w:rsid w:val="00FE5E63"/>
    <w:rsid w:val="00FE64B4"/>
    <w:rsid w:val="00FE69E6"/>
    <w:rsid w:val="00FE7567"/>
    <w:rsid w:val="00FE781B"/>
    <w:rsid w:val="00FE7991"/>
    <w:rsid w:val="00FF0101"/>
    <w:rsid w:val="00FF0217"/>
    <w:rsid w:val="00FF0505"/>
    <w:rsid w:val="00FF0DEF"/>
    <w:rsid w:val="00FF2833"/>
    <w:rsid w:val="00FF334B"/>
    <w:rsid w:val="00FF3624"/>
    <w:rsid w:val="00FF3E3F"/>
    <w:rsid w:val="00FF5E7B"/>
    <w:rsid w:val="00FF678E"/>
    <w:rsid w:val="00FF7B65"/>
    <w:rsid w:val="00FF7E46"/>
    <w:rsid w:val="0126A2F2"/>
    <w:rsid w:val="01412AF2"/>
    <w:rsid w:val="018781F6"/>
    <w:rsid w:val="01BB3FE2"/>
    <w:rsid w:val="0326CEED"/>
    <w:rsid w:val="03C76252"/>
    <w:rsid w:val="03F2ABF5"/>
    <w:rsid w:val="04DBC7AB"/>
    <w:rsid w:val="04F2E0A4"/>
    <w:rsid w:val="04FB0A98"/>
    <w:rsid w:val="069A1852"/>
    <w:rsid w:val="06A220C9"/>
    <w:rsid w:val="07287862"/>
    <w:rsid w:val="08786C92"/>
    <w:rsid w:val="08E5E3A7"/>
    <w:rsid w:val="094410EE"/>
    <w:rsid w:val="09790F19"/>
    <w:rsid w:val="09E1AFCB"/>
    <w:rsid w:val="0A78A064"/>
    <w:rsid w:val="0A8F0C21"/>
    <w:rsid w:val="0B31E0D2"/>
    <w:rsid w:val="0B4B092F"/>
    <w:rsid w:val="0BCAAB23"/>
    <w:rsid w:val="0C55E51B"/>
    <w:rsid w:val="0D7F0255"/>
    <w:rsid w:val="0D87C3C1"/>
    <w:rsid w:val="0DD3A3A9"/>
    <w:rsid w:val="0F167C98"/>
    <w:rsid w:val="0F55252B"/>
    <w:rsid w:val="105C0508"/>
    <w:rsid w:val="10AD8240"/>
    <w:rsid w:val="10F5A285"/>
    <w:rsid w:val="124E1D5A"/>
    <w:rsid w:val="128657FE"/>
    <w:rsid w:val="12C83A3B"/>
    <w:rsid w:val="12FEC2F7"/>
    <w:rsid w:val="1335CF7A"/>
    <w:rsid w:val="145DE307"/>
    <w:rsid w:val="149F5571"/>
    <w:rsid w:val="14F356D3"/>
    <w:rsid w:val="150C06E8"/>
    <w:rsid w:val="15E39F04"/>
    <w:rsid w:val="163D68E8"/>
    <w:rsid w:val="16580135"/>
    <w:rsid w:val="166D703C"/>
    <w:rsid w:val="16E8A72C"/>
    <w:rsid w:val="16EAD275"/>
    <w:rsid w:val="170CBC3E"/>
    <w:rsid w:val="1725E49B"/>
    <w:rsid w:val="1768566C"/>
    <w:rsid w:val="186F0473"/>
    <w:rsid w:val="18EC95C9"/>
    <w:rsid w:val="19BE395B"/>
    <w:rsid w:val="19D80F68"/>
    <w:rsid w:val="1A0AD4D4"/>
    <w:rsid w:val="1A24417F"/>
    <w:rsid w:val="1A2B7658"/>
    <w:rsid w:val="1A76C2EA"/>
    <w:rsid w:val="1A86CED1"/>
    <w:rsid w:val="1AA43A68"/>
    <w:rsid w:val="1AB5B638"/>
    <w:rsid w:val="1ACF6757"/>
    <w:rsid w:val="1B2CD25E"/>
    <w:rsid w:val="1BCE78F9"/>
    <w:rsid w:val="1C447201"/>
    <w:rsid w:val="1CE15492"/>
    <w:rsid w:val="1D95261F"/>
    <w:rsid w:val="1E411B49"/>
    <w:rsid w:val="1EB12268"/>
    <w:rsid w:val="1EB37E54"/>
    <w:rsid w:val="1F178AC6"/>
    <w:rsid w:val="1F9C06A5"/>
    <w:rsid w:val="1FA5DF4E"/>
    <w:rsid w:val="1FB0CFE6"/>
    <w:rsid w:val="1FB0F307"/>
    <w:rsid w:val="1FD07F84"/>
    <w:rsid w:val="1FEACA92"/>
    <w:rsid w:val="20BB8C0A"/>
    <w:rsid w:val="20BFC924"/>
    <w:rsid w:val="210AD0CC"/>
    <w:rsid w:val="210F36A0"/>
    <w:rsid w:val="217D0B3F"/>
    <w:rsid w:val="21C1EA9A"/>
    <w:rsid w:val="220961CA"/>
    <w:rsid w:val="2249504D"/>
    <w:rsid w:val="22583494"/>
    <w:rsid w:val="2286B2A7"/>
    <w:rsid w:val="233386E3"/>
    <w:rsid w:val="23C56C3D"/>
    <w:rsid w:val="2431B8A3"/>
    <w:rsid w:val="256CAA39"/>
    <w:rsid w:val="25A03804"/>
    <w:rsid w:val="25B9C291"/>
    <w:rsid w:val="25DAF3AB"/>
    <w:rsid w:val="268B818C"/>
    <w:rsid w:val="276551D9"/>
    <w:rsid w:val="27BC04EC"/>
    <w:rsid w:val="28210B48"/>
    <w:rsid w:val="28C69DEF"/>
    <w:rsid w:val="29395116"/>
    <w:rsid w:val="29912F7A"/>
    <w:rsid w:val="29B2735C"/>
    <w:rsid w:val="2A9CF29B"/>
    <w:rsid w:val="2B262DCB"/>
    <w:rsid w:val="2B814B64"/>
    <w:rsid w:val="2BA8A725"/>
    <w:rsid w:val="2C7E42D2"/>
    <w:rsid w:val="2CFAC310"/>
    <w:rsid w:val="2DDC6368"/>
    <w:rsid w:val="2E46EDE0"/>
    <w:rsid w:val="2F9F06C9"/>
    <w:rsid w:val="300227B7"/>
    <w:rsid w:val="3099CEF6"/>
    <w:rsid w:val="30BBD21E"/>
    <w:rsid w:val="30F0AC53"/>
    <w:rsid w:val="312D36E4"/>
    <w:rsid w:val="31731C85"/>
    <w:rsid w:val="31ACC795"/>
    <w:rsid w:val="32AFF206"/>
    <w:rsid w:val="344BC267"/>
    <w:rsid w:val="34F52603"/>
    <w:rsid w:val="34FD622A"/>
    <w:rsid w:val="355BE3A7"/>
    <w:rsid w:val="356A0ED1"/>
    <w:rsid w:val="3575847E"/>
    <w:rsid w:val="358151E0"/>
    <w:rsid w:val="35D88205"/>
    <w:rsid w:val="3640837E"/>
    <w:rsid w:val="3674FD47"/>
    <w:rsid w:val="36AA33F1"/>
    <w:rsid w:val="37203B8B"/>
    <w:rsid w:val="37CCDE4F"/>
    <w:rsid w:val="37DA163C"/>
    <w:rsid w:val="3975E69D"/>
    <w:rsid w:val="3A1E5552"/>
    <w:rsid w:val="3A77DBA8"/>
    <w:rsid w:val="3AB27861"/>
    <w:rsid w:val="3ABFFBED"/>
    <w:rsid w:val="3B11B6FE"/>
    <w:rsid w:val="3B2BF780"/>
    <w:rsid w:val="3B43ED14"/>
    <w:rsid w:val="3B74FE39"/>
    <w:rsid w:val="3C779082"/>
    <w:rsid w:val="3C859E09"/>
    <w:rsid w:val="3CE70F8B"/>
    <w:rsid w:val="3D2FDA86"/>
    <w:rsid w:val="3D73F057"/>
    <w:rsid w:val="3D7520B6"/>
    <w:rsid w:val="3E938EDE"/>
    <w:rsid w:val="3F0B2A2C"/>
    <w:rsid w:val="3FE61023"/>
    <w:rsid w:val="40269DD3"/>
    <w:rsid w:val="4037D8AA"/>
    <w:rsid w:val="4048879C"/>
    <w:rsid w:val="4049AF03"/>
    <w:rsid w:val="409950FA"/>
    <w:rsid w:val="4155328E"/>
    <w:rsid w:val="4283A3FF"/>
    <w:rsid w:val="42A9ED83"/>
    <w:rsid w:val="4351656E"/>
    <w:rsid w:val="435E3E95"/>
    <w:rsid w:val="441F8990"/>
    <w:rsid w:val="444A38FF"/>
    <w:rsid w:val="44BDFC3F"/>
    <w:rsid w:val="453C80C7"/>
    <w:rsid w:val="45808217"/>
    <w:rsid w:val="467CB6FA"/>
    <w:rsid w:val="474D2E98"/>
    <w:rsid w:val="475D15D7"/>
    <w:rsid w:val="48E5E748"/>
    <w:rsid w:val="491FD0CD"/>
    <w:rsid w:val="49D64185"/>
    <w:rsid w:val="4A25E070"/>
    <w:rsid w:val="4A403340"/>
    <w:rsid w:val="4AE7CDEE"/>
    <w:rsid w:val="4BD3F982"/>
    <w:rsid w:val="4BFAC754"/>
    <w:rsid w:val="4C0AA5BF"/>
    <w:rsid w:val="4C9797B8"/>
    <w:rsid w:val="4D0DE247"/>
    <w:rsid w:val="4D8B5AAB"/>
    <w:rsid w:val="4D9D65BA"/>
    <w:rsid w:val="4DB76E1C"/>
    <w:rsid w:val="4DDFE78E"/>
    <w:rsid w:val="4F13A463"/>
    <w:rsid w:val="4F26F5F9"/>
    <w:rsid w:val="4F3A1620"/>
    <w:rsid w:val="4F533E7D"/>
    <w:rsid w:val="4F623FE7"/>
    <w:rsid w:val="500F2AAB"/>
    <w:rsid w:val="50A1093B"/>
    <w:rsid w:val="50E9F17F"/>
    <w:rsid w:val="51686BC8"/>
    <w:rsid w:val="5297A346"/>
    <w:rsid w:val="52F16B4C"/>
    <w:rsid w:val="5374625F"/>
    <w:rsid w:val="53809176"/>
    <w:rsid w:val="5402738A"/>
    <w:rsid w:val="5457BE61"/>
    <w:rsid w:val="5490F9E8"/>
    <w:rsid w:val="54C2F00E"/>
    <w:rsid w:val="555EDCA2"/>
    <w:rsid w:val="55EACD56"/>
    <w:rsid w:val="5847D382"/>
    <w:rsid w:val="588A6F53"/>
    <w:rsid w:val="58E242CB"/>
    <w:rsid w:val="593B9675"/>
    <w:rsid w:val="59E3A3E3"/>
    <w:rsid w:val="5A21A96B"/>
    <w:rsid w:val="5A2615B4"/>
    <w:rsid w:val="5A62087E"/>
    <w:rsid w:val="5AC6FFE5"/>
    <w:rsid w:val="5BF422C1"/>
    <w:rsid w:val="5C26EA3A"/>
    <w:rsid w:val="5C62D046"/>
    <w:rsid w:val="5E99B7F9"/>
    <w:rsid w:val="5EA34FA2"/>
    <w:rsid w:val="5EAA585E"/>
    <w:rsid w:val="5EF986D7"/>
    <w:rsid w:val="5FE9610D"/>
    <w:rsid w:val="60384DF3"/>
    <w:rsid w:val="608830AD"/>
    <w:rsid w:val="60955738"/>
    <w:rsid w:val="60A62243"/>
    <w:rsid w:val="6159853F"/>
    <w:rsid w:val="61CF7E47"/>
    <w:rsid w:val="61E84BB7"/>
    <w:rsid w:val="62D9FF50"/>
    <w:rsid w:val="64062333"/>
    <w:rsid w:val="64C290D0"/>
    <w:rsid w:val="6593A749"/>
    <w:rsid w:val="65BF8E20"/>
    <w:rsid w:val="66FD757F"/>
    <w:rsid w:val="67765B8D"/>
    <w:rsid w:val="67A582ED"/>
    <w:rsid w:val="67AD7073"/>
    <w:rsid w:val="67DF3352"/>
    <w:rsid w:val="686B7FEE"/>
    <w:rsid w:val="69BFA46C"/>
    <w:rsid w:val="6A46DDF8"/>
    <w:rsid w:val="6A66A74A"/>
    <w:rsid w:val="6B07394D"/>
    <w:rsid w:val="6C0277AB"/>
    <w:rsid w:val="6C21BB4E"/>
    <w:rsid w:val="6CE51B72"/>
    <w:rsid w:val="6DE24866"/>
    <w:rsid w:val="6ECE14AE"/>
    <w:rsid w:val="6F0EED40"/>
    <w:rsid w:val="6F15EBD4"/>
    <w:rsid w:val="6FDF8473"/>
    <w:rsid w:val="703102E0"/>
    <w:rsid w:val="7048151D"/>
    <w:rsid w:val="70826DFC"/>
    <w:rsid w:val="708426FA"/>
    <w:rsid w:val="7119BA22"/>
    <w:rsid w:val="71473B2F"/>
    <w:rsid w:val="72185EF0"/>
    <w:rsid w:val="72E30B90"/>
    <w:rsid w:val="731C81F3"/>
    <w:rsid w:val="737B4C7E"/>
    <w:rsid w:val="747EDBF1"/>
    <w:rsid w:val="7493D56E"/>
    <w:rsid w:val="74BDB65A"/>
    <w:rsid w:val="74F5E536"/>
    <w:rsid w:val="7512D9BC"/>
    <w:rsid w:val="7519E278"/>
    <w:rsid w:val="761714EA"/>
    <w:rsid w:val="7627C3DC"/>
    <w:rsid w:val="76668B3C"/>
    <w:rsid w:val="766752B6"/>
    <w:rsid w:val="7861E0B3"/>
    <w:rsid w:val="7916E089"/>
    <w:rsid w:val="79FCCDF1"/>
    <w:rsid w:val="7A25C0AF"/>
    <w:rsid w:val="7A295042"/>
    <w:rsid w:val="7A421239"/>
    <w:rsid w:val="7AEE1D75"/>
    <w:rsid w:val="7B797020"/>
    <w:rsid w:val="7C1B16BB"/>
    <w:rsid w:val="7CA1B028"/>
    <w:rsid w:val="7EACA781"/>
    <w:rsid w:val="7EFCC165"/>
    <w:rsid w:val="7F6F7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85A37"/>
  <w15:docId w15:val="{40842A6A-F96A-4A14-9F48-3CFEFC7CF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GB"/>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unhideWhenUsed/>
    <w:qFormat/>
    <w:pPr>
      <w:keepNext/>
      <w:keepLines/>
      <w:spacing w:before="280" w:after="290" w:line="376" w:lineRule="auto"/>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FootnoteText">
    <w:name w:val="footnote text"/>
    <w:basedOn w:val="Normal"/>
    <w:link w:val="FootnoteTextChar"/>
    <w:uiPriority w:val="99"/>
    <w:unhideWhenUsed/>
    <w:qFormat/>
    <w:pPr>
      <w:widowControl/>
      <w:jc w:val="left"/>
    </w:pPr>
    <w:rPr>
      <w:rFonts w:cs="Times New Roman"/>
      <w:kern w:val="0"/>
      <w:sz w:val="20"/>
      <w:szCs w:val="20"/>
      <w:lang w:val="en-US" w:eastAsia="en-US"/>
    </w:rPr>
  </w:style>
  <w:style w:type="paragraph" w:styleId="CommentSubject">
    <w:name w:val="annotation subject"/>
    <w:basedOn w:val="CommentText"/>
    <w:next w:val="CommentText"/>
    <w:link w:val="CommentSubjectChar"/>
    <w:uiPriority w:val="99"/>
    <w:semiHidden/>
    <w:unhideWhenUsed/>
    <w:pPr>
      <w:jc w:val="left"/>
    </w:pPr>
    <w:rPr>
      <w:b/>
      <w:bCs/>
      <w:sz w:val="21"/>
      <w:szCs w:val="24"/>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qFormat/>
    <w:rPr>
      <w:color w:val="0563C1" w:themeColor="hyperlink"/>
      <w:u w:val="single"/>
    </w:rPr>
  </w:style>
  <w:style w:type="character" w:styleId="CommentReference">
    <w:name w:val="annotation reference"/>
    <w:basedOn w:val="DefaultParagraphFont"/>
    <w:uiPriority w:val="99"/>
    <w:qForma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b/>
      <w:bCs/>
      <w:kern w:val="44"/>
      <w:sz w:val="44"/>
      <w:szCs w:val="44"/>
      <w:lang w:val="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sz w:val="32"/>
      <w:szCs w:val="32"/>
      <w:lang w:val="en-GB"/>
    </w:rPr>
  </w:style>
  <w:style w:type="character" w:customStyle="1" w:styleId="Heading3Char">
    <w:name w:val="Heading 3 Char"/>
    <w:basedOn w:val="DefaultParagraphFont"/>
    <w:link w:val="Heading3"/>
    <w:uiPriority w:val="9"/>
    <w:qFormat/>
    <w:rPr>
      <w:b/>
      <w:bCs/>
      <w:sz w:val="32"/>
      <w:szCs w:val="32"/>
      <w:lang w:val="en-GB"/>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sz w:val="28"/>
      <w:szCs w:val="28"/>
      <w:lang w:val="en-GB"/>
    </w:rPr>
  </w:style>
  <w:style w:type="character" w:customStyle="1" w:styleId="CommentTextChar">
    <w:name w:val="Comment Text Char"/>
    <w:basedOn w:val="DefaultParagraphFont"/>
    <w:link w:val="CommentText"/>
    <w:qFormat/>
    <w:rPr>
      <w:sz w:val="20"/>
      <w:szCs w:val="20"/>
      <w:lang w:val="en-GB"/>
    </w:rPr>
  </w:style>
  <w:style w:type="character" w:customStyle="1" w:styleId="FootnoteTextChar">
    <w:name w:val="Footnote Text Char"/>
    <w:basedOn w:val="DefaultParagraphFont"/>
    <w:link w:val="FootnoteText"/>
    <w:uiPriority w:val="99"/>
    <w:qFormat/>
    <w:rPr>
      <w:rFonts w:cs="Times New Roman"/>
      <w:kern w:val="0"/>
      <w:sz w:val="20"/>
      <w:szCs w:val="20"/>
      <w:lang w:eastAsia="en-US"/>
    </w:rPr>
  </w:style>
  <w:style w:type="paragraph" w:customStyle="1" w:styleId="EndNoteBibliography">
    <w:name w:val="EndNote Bibliography"/>
    <w:basedOn w:val="Normal"/>
    <w:link w:val="EndNoteBibliographyChar"/>
    <w:qFormat/>
    <w:rPr>
      <w:rFonts w:ascii="Times New Roman" w:eastAsia="DengXian" w:hAnsi="Times New Roman" w:cs="Times New Roman"/>
      <w:sz w:val="20"/>
    </w:rPr>
  </w:style>
  <w:style w:type="character" w:customStyle="1" w:styleId="EndNoteBibliographyChar">
    <w:name w:val="EndNote Bibliography Char"/>
    <w:basedOn w:val="DefaultParagraphFont"/>
    <w:link w:val="EndNoteBibliography"/>
    <w:qFormat/>
    <w:rPr>
      <w:rFonts w:ascii="Times New Roman" w:eastAsia="DengXian" w:hAnsi="Times New Roman" w:cs="Times New Roman"/>
      <w:kern w:val="2"/>
      <w:szCs w:val="24"/>
      <w:lang w:val="en-GB"/>
    </w:rPr>
  </w:style>
  <w:style w:type="paragraph" w:styleId="ListParagraph">
    <w:name w:val="List Paragraph"/>
    <w:basedOn w:val="Normal"/>
    <w:link w:val="ListParagraphChar"/>
    <w:uiPriority w:val="34"/>
    <w:qFormat/>
    <w:pPr>
      <w:ind w:firstLineChars="200" w:firstLine="420"/>
    </w:pPr>
  </w:style>
  <w:style w:type="character" w:customStyle="1" w:styleId="ListParagraphChar">
    <w:name w:val="List Paragraph Char"/>
    <w:basedOn w:val="DefaultParagraphFont"/>
    <w:link w:val="ListParagraph"/>
    <w:uiPriority w:val="72"/>
    <w:qFormat/>
    <w:locked/>
    <w:rPr>
      <w:szCs w:val="24"/>
      <w:lang w:val="en-GB"/>
    </w:rPr>
  </w:style>
  <w:style w:type="paragraph" w:customStyle="1" w:styleId="1">
    <w:name w:val="正文1"/>
    <w:qFormat/>
    <w:pPr>
      <w:spacing w:after="160" w:line="259" w:lineRule="auto"/>
      <w:jc w:val="both"/>
    </w:pPr>
    <w:rPr>
      <w:rFonts w:ascii="Times New Roman" w:eastAsia="SimSun" w:hAnsi="Times New Roman" w:cs="Times New Roman"/>
      <w:kern w:val="2"/>
      <w:sz w:val="21"/>
      <w:szCs w:val="21"/>
      <w:lang w:val="en-US"/>
    </w:rPr>
  </w:style>
  <w:style w:type="character" w:customStyle="1" w:styleId="TableTextChar">
    <w:name w:val="Table Text Char"/>
    <w:basedOn w:val="DefaultParagraphFont"/>
    <w:link w:val="TableText"/>
    <w:qFormat/>
    <w:locked/>
    <w:rPr>
      <w:rFonts w:ascii="Arial Narrow" w:eastAsiaTheme="majorEastAsia" w:hAnsi="Arial Narrow" w:cstheme="majorBidi"/>
      <w:bCs/>
      <w:szCs w:val="24"/>
    </w:rPr>
  </w:style>
  <w:style w:type="paragraph" w:customStyle="1" w:styleId="TableText">
    <w:name w:val="Table Text"/>
    <w:link w:val="TableTextChar"/>
    <w:qFormat/>
    <w:pPr>
      <w:keepNext/>
    </w:pPr>
    <w:rPr>
      <w:rFonts w:ascii="Arial Narrow" w:eastAsiaTheme="majorEastAsia" w:hAnsi="Arial Narrow" w:cstheme="majorBidi"/>
      <w:bCs/>
      <w:kern w:val="2"/>
      <w:sz w:val="21"/>
      <w:szCs w:val="24"/>
      <w:lang w:val="en-US"/>
    </w:rPr>
  </w:style>
  <w:style w:type="paragraph" w:customStyle="1" w:styleId="Char1CharCharChar">
    <w:name w:val="Char1 Char Char Char"/>
    <w:basedOn w:val="Normal"/>
    <w:uiPriority w:val="9"/>
    <w:qFormat/>
    <w:pPr>
      <w:widowControl/>
      <w:spacing w:after="160" w:line="240" w:lineRule="exact"/>
      <w:jc w:val="left"/>
    </w:pPr>
    <w:rPr>
      <w:rFonts w:ascii="Verdana" w:eastAsia="MS Mincho" w:hAnsi="Verdana" w:cs="Verdana"/>
      <w:kern w:val="0"/>
      <w:sz w:val="20"/>
      <w:szCs w:val="20"/>
      <w:lang w:val="en-US" w:eastAsia="en-US"/>
    </w:rPr>
  </w:style>
  <w:style w:type="paragraph" w:customStyle="1" w:styleId="Bulletpoints">
    <w:name w:val="Bullet points"/>
    <w:basedOn w:val="ListParagraph"/>
    <w:qFormat/>
    <w:pPr>
      <w:numPr>
        <w:numId w:val="2"/>
      </w:numPr>
      <w:tabs>
        <w:tab w:val="left" w:pos="360"/>
      </w:tabs>
      <w:ind w:left="0" w:firstLineChars="0" w:firstLine="0"/>
    </w:pPr>
    <w:rPr>
      <w:rFonts w:ascii="Calibri" w:eastAsia="SimSun" w:hAnsi="Calibri" w:cs="Arial"/>
      <w:snapToGrid w:val="0"/>
      <w:kern w:val="0"/>
      <w:sz w:val="24"/>
      <w:lang w:val="en-AU" w:eastAsia="en-US"/>
    </w:rPr>
  </w:style>
  <w:style w:type="paragraph" w:customStyle="1" w:styleId="ExecSumBodyText">
    <w:name w:val="Exec Sum Body Text"/>
    <w:basedOn w:val="Normal"/>
    <w:link w:val="ExecSumBodyTextChar"/>
    <w:qFormat/>
    <w:pPr>
      <w:widowControl/>
      <w:spacing w:after="120"/>
      <w:ind w:left="720" w:hanging="720"/>
    </w:pPr>
    <w:rPr>
      <w:rFonts w:eastAsia="SimSun" w:cs="Arial"/>
      <w:snapToGrid w:val="0"/>
      <w:kern w:val="0"/>
      <w:sz w:val="24"/>
      <w:lang w:val="en-AU" w:eastAsia="en-AU"/>
    </w:rPr>
  </w:style>
  <w:style w:type="character" w:customStyle="1" w:styleId="ExecSumBodyTextChar">
    <w:name w:val="Exec Sum Body Text Char"/>
    <w:basedOn w:val="DefaultParagraphFont"/>
    <w:link w:val="ExecSumBodyText"/>
    <w:qFormat/>
    <w:rPr>
      <w:rFonts w:eastAsia="SimSun" w:cs="Arial"/>
      <w:snapToGrid w:val="0"/>
      <w:kern w:val="0"/>
      <w:sz w:val="24"/>
      <w:szCs w:val="24"/>
      <w:lang w:val="en-AU" w:eastAsia="en-AU"/>
    </w:rPr>
  </w:style>
  <w:style w:type="paragraph" w:customStyle="1" w:styleId="EndNoteBibliographyTitle">
    <w:name w:val="EndNote Bibliography Title"/>
    <w:basedOn w:val="Normal"/>
    <w:link w:val="EndNoteBibliographyTitleChar"/>
    <w:pPr>
      <w:jc w:val="center"/>
    </w:pPr>
    <w:rPr>
      <w:rFonts w:ascii="Times New Roman" w:eastAsia="DengXian" w:hAnsi="Times New Roman" w:cs="Times New Roman"/>
      <w:sz w:val="20"/>
    </w:rPr>
  </w:style>
  <w:style w:type="character" w:customStyle="1" w:styleId="EndNoteBibliographyTitleChar">
    <w:name w:val="EndNote Bibliography Title Char"/>
    <w:basedOn w:val="DefaultParagraphFont"/>
    <w:link w:val="EndNoteBibliographyTitle"/>
    <w:rPr>
      <w:rFonts w:ascii="Times New Roman" w:eastAsia="DengXian" w:hAnsi="Times New Roman" w:cs="Times New Roman"/>
      <w:kern w:val="2"/>
      <w:szCs w:val="24"/>
      <w:lang w:val="en-GB"/>
    </w:rPr>
  </w:style>
  <w:style w:type="character" w:customStyle="1" w:styleId="cf01">
    <w:name w:val="cf01"/>
    <w:basedOn w:val="DefaultParagraphFont"/>
    <w:rPr>
      <w:rFonts w:ascii="Segoe UI" w:hAnsi="Segoe UI" w:cs="Segoe UI" w:hint="default"/>
      <w:sz w:val="18"/>
      <w:szCs w:val="18"/>
    </w:rPr>
  </w:style>
  <w:style w:type="paragraph" w:customStyle="1" w:styleId="PBACHeading1">
    <w:name w:val="PBAC Heading 1"/>
    <w:qFormat/>
    <w:pPr>
      <w:numPr>
        <w:numId w:val="3"/>
      </w:numPr>
    </w:pPr>
    <w:rPr>
      <w:rFonts w:ascii="Arial" w:eastAsia="Times New Roman" w:hAnsi="Arial" w:cs="Arial"/>
      <w:b/>
      <w:snapToGrid w:val="0"/>
      <w:sz w:val="22"/>
      <w:szCs w:val="22"/>
      <w:lang w:eastAsia="en-US"/>
    </w:rPr>
  </w:style>
  <w:style w:type="character" w:customStyle="1" w:styleId="CommentSubjectChar">
    <w:name w:val="Comment Subject Char"/>
    <w:basedOn w:val="CommentTextChar"/>
    <w:link w:val="CommentSubject"/>
    <w:uiPriority w:val="99"/>
    <w:semiHidden/>
    <w:rPr>
      <w:b/>
      <w:bCs/>
      <w:sz w:val="20"/>
      <w:szCs w:val="24"/>
      <w:lang w:val="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5Char">
    <w:name w:val="Heading 5 Char"/>
    <w:basedOn w:val="DefaultParagraphFont"/>
    <w:link w:val="Heading5"/>
    <w:uiPriority w:val="9"/>
    <w:rPr>
      <w:b/>
      <w:bCs/>
      <w:sz w:val="28"/>
      <w:szCs w:val="28"/>
      <w:lang w:val="en-GB"/>
    </w:rPr>
  </w:style>
  <w:style w:type="character" w:customStyle="1" w:styleId="UnresolvedMention2">
    <w:name w:val="Unresolved Mention2"/>
    <w:basedOn w:val="DefaultParagraphFont"/>
    <w:uiPriority w:val="99"/>
    <w:semiHidden/>
    <w:unhideWhenUsed/>
    <w:rsid w:val="00BF05B0"/>
    <w:rPr>
      <w:color w:val="605E5C"/>
      <w:shd w:val="clear" w:color="auto" w:fill="E1DFDD"/>
    </w:rPr>
  </w:style>
  <w:style w:type="paragraph" w:styleId="Header">
    <w:name w:val="header"/>
    <w:basedOn w:val="Normal"/>
    <w:link w:val="HeaderChar"/>
    <w:uiPriority w:val="99"/>
    <w:unhideWhenUsed/>
    <w:rsid w:val="000B6743"/>
    <w:pPr>
      <w:tabs>
        <w:tab w:val="center" w:pos="4513"/>
        <w:tab w:val="right" w:pos="9026"/>
      </w:tabs>
    </w:pPr>
  </w:style>
  <w:style w:type="character" w:customStyle="1" w:styleId="HeaderChar">
    <w:name w:val="Header Char"/>
    <w:basedOn w:val="DefaultParagraphFont"/>
    <w:link w:val="Header"/>
    <w:uiPriority w:val="99"/>
    <w:rsid w:val="000B6743"/>
    <w:rPr>
      <w:kern w:val="2"/>
      <w:sz w:val="21"/>
      <w:szCs w:val="24"/>
      <w:lang w:val="en-GB"/>
    </w:rPr>
  </w:style>
  <w:style w:type="paragraph" w:styleId="Footer">
    <w:name w:val="footer"/>
    <w:basedOn w:val="Normal"/>
    <w:link w:val="FooterChar"/>
    <w:uiPriority w:val="99"/>
    <w:unhideWhenUsed/>
    <w:rsid w:val="000B6743"/>
    <w:pPr>
      <w:tabs>
        <w:tab w:val="center" w:pos="4513"/>
        <w:tab w:val="right" w:pos="9026"/>
      </w:tabs>
    </w:pPr>
  </w:style>
  <w:style w:type="character" w:customStyle="1" w:styleId="FooterChar">
    <w:name w:val="Footer Char"/>
    <w:basedOn w:val="DefaultParagraphFont"/>
    <w:link w:val="Footer"/>
    <w:uiPriority w:val="99"/>
    <w:rsid w:val="000B6743"/>
    <w:rPr>
      <w:kern w:val="2"/>
      <w:sz w:val="21"/>
      <w:szCs w:val="24"/>
      <w:lang w:val="en-GB"/>
    </w:rPr>
  </w:style>
  <w:style w:type="paragraph" w:customStyle="1" w:styleId="xmsonormal">
    <w:name w:val="x_msonormal"/>
    <w:basedOn w:val="Normal"/>
    <w:rsid w:val="00CD5BCD"/>
    <w:pPr>
      <w:widowControl/>
      <w:spacing w:before="100" w:beforeAutospacing="1" w:after="100" w:afterAutospacing="1"/>
      <w:jc w:val="left"/>
    </w:pPr>
    <w:rPr>
      <w:rFonts w:ascii="Times New Roman" w:eastAsia="Times New Roman" w:hAnsi="Times New Roman" w:cs="Times New Roman"/>
      <w:kern w:val="0"/>
      <w:sz w:val="24"/>
      <w:lang w:val="en-AU"/>
    </w:rPr>
  </w:style>
  <w:style w:type="character" w:customStyle="1" w:styleId="xcontentpasted0">
    <w:name w:val="x_contentpasted0"/>
    <w:basedOn w:val="DefaultParagraphFont"/>
    <w:rsid w:val="00CD5BCD"/>
  </w:style>
  <w:style w:type="paragraph" w:customStyle="1" w:styleId="xelementtoproof">
    <w:name w:val="x_elementtoproof"/>
    <w:basedOn w:val="Normal"/>
    <w:rsid w:val="00CD5BCD"/>
    <w:pPr>
      <w:widowControl/>
      <w:spacing w:before="100" w:beforeAutospacing="1" w:after="100" w:afterAutospacing="1"/>
      <w:jc w:val="left"/>
    </w:pPr>
    <w:rPr>
      <w:rFonts w:ascii="Times New Roman" w:eastAsia="Times New Roman" w:hAnsi="Times New Roman" w:cs="Times New Roman"/>
      <w:kern w:val="0"/>
      <w:sz w:val="24"/>
      <w:lang w:val="en-AU"/>
    </w:rPr>
  </w:style>
  <w:style w:type="character" w:styleId="Emphasis">
    <w:name w:val="Emphasis"/>
    <w:basedOn w:val="DefaultParagraphFont"/>
    <w:uiPriority w:val="20"/>
    <w:qFormat/>
    <w:rsid w:val="000E0909"/>
    <w:rPr>
      <w:i/>
      <w:iCs/>
    </w:rPr>
  </w:style>
  <w:style w:type="paragraph" w:customStyle="1" w:styleId="a">
    <w:name w:val="正文"/>
    <w:rsid w:val="005C1890"/>
    <w:pPr>
      <w:jc w:val="both"/>
    </w:pPr>
    <w:rPr>
      <w:rFonts w:ascii="Times New Roman" w:eastAsia="SimSun" w:hAnsi="Times New Roman" w:cs="Times New Roman"/>
      <w:kern w:val="2"/>
      <w:sz w:val="21"/>
      <w:szCs w:val="21"/>
    </w:rPr>
  </w:style>
  <w:style w:type="paragraph" w:styleId="Revision">
    <w:name w:val="Revision"/>
    <w:hidden/>
    <w:uiPriority w:val="99"/>
    <w:semiHidden/>
    <w:rsid w:val="00736F35"/>
    <w:rPr>
      <w:kern w:val="2"/>
      <w:sz w:val="21"/>
      <w:szCs w:val="24"/>
      <w:lang w:val="en-GB"/>
    </w:rPr>
  </w:style>
  <w:style w:type="table" w:customStyle="1" w:styleId="a0">
    <w:name w:val="普通表格"/>
    <w:semiHidden/>
    <w:rsid w:val="00220C83"/>
    <w:rPr>
      <w:rFonts w:ascii="Times New Roman" w:eastAsia="Times New Roman" w:hAnsi="Times New Roman" w:cs="Times New Roman"/>
    </w:rPr>
    <w:tblPr>
      <w:tblCellMar>
        <w:top w:w="0" w:type="dxa"/>
        <w:left w:w="108" w:type="dxa"/>
        <w:bottom w:w="0" w:type="dxa"/>
        <w:right w:w="108" w:type="dxa"/>
      </w:tblCellMar>
    </w:tblPr>
  </w:style>
  <w:style w:type="paragraph" w:customStyle="1" w:styleId="2">
    <w:name w:val="正文2"/>
    <w:qFormat/>
    <w:rsid w:val="00833E02"/>
    <w:pPr>
      <w:jc w:val="both"/>
    </w:pPr>
    <w:rPr>
      <w:rFonts w:ascii="Times New Roman" w:eastAsia="SimSun" w:hAnsi="Times New Roman" w:cs="Times New Roman"/>
      <w:kern w:val="2"/>
      <w:sz w:val="21"/>
      <w:szCs w:val="21"/>
      <w:lang w:val="en-US"/>
    </w:rPr>
  </w:style>
  <w:style w:type="table" w:customStyle="1" w:styleId="10">
    <w:name w:val="普通表格1"/>
    <w:semiHidden/>
    <w:qFormat/>
    <w:rsid w:val="00833E02"/>
    <w:rPr>
      <w:rFonts w:ascii="Times New Roman" w:eastAsia="Times New Roman" w:hAnsi="Times New Roman" w:cs="Times New Roman"/>
    </w:rPr>
    <w:tblPr>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54B68"/>
    <w:rPr>
      <w:color w:val="954F72" w:themeColor="followedHyperlink"/>
      <w:u w:val="single"/>
    </w:rPr>
  </w:style>
  <w:style w:type="paragraph" w:customStyle="1" w:styleId="p">
    <w:name w:val="p"/>
    <w:basedOn w:val="Normal"/>
    <w:rsid w:val="008820CE"/>
    <w:pPr>
      <w:widowControl/>
      <w:spacing w:before="100" w:beforeAutospacing="1" w:after="100" w:afterAutospacing="1"/>
      <w:jc w:val="left"/>
    </w:pPr>
    <w:rPr>
      <w:rFonts w:ascii="Times New Roman" w:eastAsia="Times New Roman" w:hAnsi="Times New Roman" w:cs="Times New Roman"/>
      <w:kern w:val="0"/>
      <w:sz w:val="24"/>
      <w:lang w:val="en-AU"/>
    </w:rPr>
  </w:style>
  <w:style w:type="character" w:customStyle="1" w:styleId="normaltextrun">
    <w:name w:val="normaltextrun"/>
    <w:basedOn w:val="DefaultParagraphFont"/>
    <w:rsid w:val="003039D5"/>
  </w:style>
  <w:style w:type="character" w:customStyle="1" w:styleId="eop">
    <w:name w:val="eop"/>
    <w:basedOn w:val="DefaultParagraphFont"/>
    <w:rsid w:val="003039D5"/>
  </w:style>
  <w:style w:type="paragraph" w:customStyle="1" w:styleId="paragraph">
    <w:name w:val="paragraph"/>
    <w:basedOn w:val="Normal"/>
    <w:rsid w:val="003039D5"/>
    <w:pPr>
      <w:widowControl/>
      <w:spacing w:before="100" w:beforeAutospacing="1" w:after="100" w:afterAutospacing="1"/>
      <w:jc w:val="left"/>
    </w:pPr>
    <w:rPr>
      <w:rFonts w:ascii="Times New Roman" w:eastAsia="Times New Roman" w:hAnsi="Times New Roman" w:cs="Times New Roman"/>
      <w:kern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60100">
      <w:bodyDiv w:val="1"/>
      <w:marLeft w:val="0"/>
      <w:marRight w:val="0"/>
      <w:marTop w:val="0"/>
      <w:marBottom w:val="0"/>
      <w:divBdr>
        <w:top w:val="none" w:sz="0" w:space="0" w:color="auto"/>
        <w:left w:val="none" w:sz="0" w:space="0" w:color="auto"/>
        <w:bottom w:val="none" w:sz="0" w:space="0" w:color="auto"/>
        <w:right w:val="none" w:sz="0" w:space="0" w:color="auto"/>
      </w:divBdr>
    </w:div>
    <w:div w:id="44447391">
      <w:bodyDiv w:val="1"/>
      <w:marLeft w:val="0"/>
      <w:marRight w:val="0"/>
      <w:marTop w:val="0"/>
      <w:marBottom w:val="0"/>
      <w:divBdr>
        <w:top w:val="none" w:sz="0" w:space="0" w:color="auto"/>
        <w:left w:val="none" w:sz="0" w:space="0" w:color="auto"/>
        <w:bottom w:val="none" w:sz="0" w:space="0" w:color="auto"/>
        <w:right w:val="none" w:sz="0" w:space="0" w:color="auto"/>
      </w:divBdr>
    </w:div>
    <w:div w:id="54086248">
      <w:bodyDiv w:val="1"/>
      <w:marLeft w:val="0"/>
      <w:marRight w:val="0"/>
      <w:marTop w:val="0"/>
      <w:marBottom w:val="0"/>
      <w:divBdr>
        <w:top w:val="none" w:sz="0" w:space="0" w:color="auto"/>
        <w:left w:val="none" w:sz="0" w:space="0" w:color="auto"/>
        <w:bottom w:val="none" w:sz="0" w:space="0" w:color="auto"/>
        <w:right w:val="none" w:sz="0" w:space="0" w:color="auto"/>
      </w:divBdr>
    </w:div>
    <w:div w:id="76369453">
      <w:bodyDiv w:val="1"/>
      <w:marLeft w:val="0"/>
      <w:marRight w:val="0"/>
      <w:marTop w:val="0"/>
      <w:marBottom w:val="0"/>
      <w:divBdr>
        <w:top w:val="none" w:sz="0" w:space="0" w:color="auto"/>
        <w:left w:val="none" w:sz="0" w:space="0" w:color="auto"/>
        <w:bottom w:val="none" w:sz="0" w:space="0" w:color="auto"/>
        <w:right w:val="none" w:sz="0" w:space="0" w:color="auto"/>
      </w:divBdr>
    </w:div>
    <w:div w:id="109083233">
      <w:bodyDiv w:val="1"/>
      <w:marLeft w:val="0"/>
      <w:marRight w:val="0"/>
      <w:marTop w:val="0"/>
      <w:marBottom w:val="0"/>
      <w:divBdr>
        <w:top w:val="none" w:sz="0" w:space="0" w:color="auto"/>
        <w:left w:val="none" w:sz="0" w:space="0" w:color="auto"/>
        <w:bottom w:val="none" w:sz="0" w:space="0" w:color="auto"/>
        <w:right w:val="none" w:sz="0" w:space="0" w:color="auto"/>
      </w:divBdr>
      <w:divsChild>
        <w:div w:id="2103606972">
          <w:marLeft w:val="0"/>
          <w:marRight w:val="0"/>
          <w:marTop w:val="0"/>
          <w:marBottom w:val="0"/>
          <w:divBdr>
            <w:top w:val="none" w:sz="0" w:space="0" w:color="auto"/>
            <w:left w:val="none" w:sz="0" w:space="0" w:color="auto"/>
            <w:bottom w:val="none" w:sz="0" w:space="0" w:color="auto"/>
            <w:right w:val="none" w:sz="0" w:space="0" w:color="auto"/>
          </w:divBdr>
        </w:div>
        <w:div w:id="475490049">
          <w:marLeft w:val="0"/>
          <w:marRight w:val="0"/>
          <w:marTop w:val="0"/>
          <w:marBottom w:val="0"/>
          <w:divBdr>
            <w:top w:val="none" w:sz="0" w:space="0" w:color="auto"/>
            <w:left w:val="none" w:sz="0" w:space="0" w:color="auto"/>
            <w:bottom w:val="none" w:sz="0" w:space="0" w:color="auto"/>
            <w:right w:val="none" w:sz="0" w:space="0" w:color="auto"/>
          </w:divBdr>
        </w:div>
        <w:div w:id="1219823136">
          <w:marLeft w:val="0"/>
          <w:marRight w:val="0"/>
          <w:marTop w:val="0"/>
          <w:marBottom w:val="0"/>
          <w:divBdr>
            <w:top w:val="none" w:sz="0" w:space="0" w:color="auto"/>
            <w:left w:val="none" w:sz="0" w:space="0" w:color="auto"/>
            <w:bottom w:val="none" w:sz="0" w:space="0" w:color="auto"/>
            <w:right w:val="none" w:sz="0" w:space="0" w:color="auto"/>
          </w:divBdr>
        </w:div>
        <w:div w:id="2021153790">
          <w:marLeft w:val="0"/>
          <w:marRight w:val="0"/>
          <w:marTop w:val="0"/>
          <w:marBottom w:val="0"/>
          <w:divBdr>
            <w:top w:val="none" w:sz="0" w:space="0" w:color="auto"/>
            <w:left w:val="none" w:sz="0" w:space="0" w:color="auto"/>
            <w:bottom w:val="none" w:sz="0" w:space="0" w:color="auto"/>
            <w:right w:val="none" w:sz="0" w:space="0" w:color="auto"/>
          </w:divBdr>
        </w:div>
        <w:div w:id="1209998977">
          <w:marLeft w:val="0"/>
          <w:marRight w:val="0"/>
          <w:marTop w:val="0"/>
          <w:marBottom w:val="0"/>
          <w:divBdr>
            <w:top w:val="none" w:sz="0" w:space="0" w:color="auto"/>
            <w:left w:val="none" w:sz="0" w:space="0" w:color="auto"/>
            <w:bottom w:val="none" w:sz="0" w:space="0" w:color="auto"/>
            <w:right w:val="none" w:sz="0" w:space="0" w:color="auto"/>
          </w:divBdr>
        </w:div>
        <w:div w:id="1415131599">
          <w:marLeft w:val="0"/>
          <w:marRight w:val="0"/>
          <w:marTop w:val="0"/>
          <w:marBottom w:val="0"/>
          <w:divBdr>
            <w:top w:val="none" w:sz="0" w:space="0" w:color="auto"/>
            <w:left w:val="none" w:sz="0" w:space="0" w:color="auto"/>
            <w:bottom w:val="none" w:sz="0" w:space="0" w:color="auto"/>
            <w:right w:val="none" w:sz="0" w:space="0" w:color="auto"/>
          </w:divBdr>
        </w:div>
      </w:divsChild>
    </w:div>
    <w:div w:id="112752625">
      <w:bodyDiv w:val="1"/>
      <w:marLeft w:val="0"/>
      <w:marRight w:val="0"/>
      <w:marTop w:val="0"/>
      <w:marBottom w:val="0"/>
      <w:divBdr>
        <w:top w:val="none" w:sz="0" w:space="0" w:color="auto"/>
        <w:left w:val="none" w:sz="0" w:space="0" w:color="auto"/>
        <w:bottom w:val="none" w:sz="0" w:space="0" w:color="auto"/>
        <w:right w:val="none" w:sz="0" w:space="0" w:color="auto"/>
      </w:divBdr>
    </w:div>
    <w:div w:id="190459519">
      <w:bodyDiv w:val="1"/>
      <w:marLeft w:val="0"/>
      <w:marRight w:val="0"/>
      <w:marTop w:val="0"/>
      <w:marBottom w:val="0"/>
      <w:divBdr>
        <w:top w:val="none" w:sz="0" w:space="0" w:color="auto"/>
        <w:left w:val="none" w:sz="0" w:space="0" w:color="auto"/>
        <w:bottom w:val="none" w:sz="0" w:space="0" w:color="auto"/>
        <w:right w:val="none" w:sz="0" w:space="0" w:color="auto"/>
      </w:divBdr>
    </w:div>
    <w:div w:id="193035614">
      <w:bodyDiv w:val="1"/>
      <w:marLeft w:val="0"/>
      <w:marRight w:val="0"/>
      <w:marTop w:val="0"/>
      <w:marBottom w:val="0"/>
      <w:divBdr>
        <w:top w:val="none" w:sz="0" w:space="0" w:color="auto"/>
        <w:left w:val="none" w:sz="0" w:space="0" w:color="auto"/>
        <w:bottom w:val="none" w:sz="0" w:space="0" w:color="auto"/>
        <w:right w:val="none" w:sz="0" w:space="0" w:color="auto"/>
      </w:divBdr>
      <w:divsChild>
        <w:div w:id="862278724">
          <w:marLeft w:val="0"/>
          <w:marRight w:val="0"/>
          <w:marTop w:val="0"/>
          <w:marBottom w:val="0"/>
          <w:divBdr>
            <w:top w:val="none" w:sz="0" w:space="0" w:color="auto"/>
            <w:left w:val="none" w:sz="0" w:space="0" w:color="auto"/>
            <w:bottom w:val="none" w:sz="0" w:space="0" w:color="auto"/>
            <w:right w:val="none" w:sz="0" w:space="0" w:color="auto"/>
          </w:divBdr>
        </w:div>
        <w:div w:id="1717193664">
          <w:marLeft w:val="0"/>
          <w:marRight w:val="0"/>
          <w:marTop w:val="0"/>
          <w:marBottom w:val="0"/>
          <w:divBdr>
            <w:top w:val="none" w:sz="0" w:space="0" w:color="auto"/>
            <w:left w:val="none" w:sz="0" w:space="0" w:color="auto"/>
            <w:bottom w:val="none" w:sz="0" w:space="0" w:color="auto"/>
            <w:right w:val="none" w:sz="0" w:space="0" w:color="auto"/>
          </w:divBdr>
        </w:div>
        <w:div w:id="626930098">
          <w:marLeft w:val="0"/>
          <w:marRight w:val="0"/>
          <w:marTop w:val="0"/>
          <w:marBottom w:val="0"/>
          <w:divBdr>
            <w:top w:val="none" w:sz="0" w:space="0" w:color="auto"/>
            <w:left w:val="none" w:sz="0" w:space="0" w:color="auto"/>
            <w:bottom w:val="none" w:sz="0" w:space="0" w:color="auto"/>
            <w:right w:val="none" w:sz="0" w:space="0" w:color="auto"/>
          </w:divBdr>
        </w:div>
        <w:div w:id="506679853">
          <w:marLeft w:val="0"/>
          <w:marRight w:val="0"/>
          <w:marTop w:val="0"/>
          <w:marBottom w:val="0"/>
          <w:divBdr>
            <w:top w:val="none" w:sz="0" w:space="0" w:color="auto"/>
            <w:left w:val="none" w:sz="0" w:space="0" w:color="auto"/>
            <w:bottom w:val="none" w:sz="0" w:space="0" w:color="auto"/>
            <w:right w:val="none" w:sz="0" w:space="0" w:color="auto"/>
          </w:divBdr>
        </w:div>
      </w:divsChild>
    </w:div>
    <w:div w:id="202448866">
      <w:bodyDiv w:val="1"/>
      <w:marLeft w:val="0"/>
      <w:marRight w:val="0"/>
      <w:marTop w:val="0"/>
      <w:marBottom w:val="0"/>
      <w:divBdr>
        <w:top w:val="none" w:sz="0" w:space="0" w:color="auto"/>
        <w:left w:val="none" w:sz="0" w:space="0" w:color="auto"/>
        <w:bottom w:val="none" w:sz="0" w:space="0" w:color="auto"/>
        <w:right w:val="none" w:sz="0" w:space="0" w:color="auto"/>
      </w:divBdr>
    </w:div>
    <w:div w:id="250817303">
      <w:bodyDiv w:val="1"/>
      <w:marLeft w:val="0"/>
      <w:marRight w:val="0"/>
      <w:marTop w:val="0"/>
      <w:marBottom w:val="0"/>
      <w:divBdr>
        <w:top w:val="none" w:sz="0" w:space="0" w:color="auto"/>
        <w:left w:val="none" w:sz="0" w:space="0" w:color="auto"/>
        <w:bottom w:val="none" w:sz="0" w:space="0" w:color="auto"/>
        <w:right w:val="none" w:sz="0" w:space="0" w:color="auto"/>
      </w:divBdr>
    </w:div>
    <w:div w:id="277807582">
      <w:bodyDiv w:val="1"/>
      <w:marLeft w:val="0"/>
      <w:marRight w:val="0"/>
      <w:marTop w:val="0"/>
      <w:marBottom w:val="0"/>
      <w:divBdr>
        <w:top w:val="none" w:sz="0" w:space="0" w:color="auto"/>
        <w:left w:val="none" w:sz="0" w:space="0" w:color="auto"/>
        <w:bottom w:val="none" w:sz="0" w:space="0" w:color="auto"/>
        <w:right w:val="none" w:sz="0" w:space="0" w:color="auto"/>
      </w:divBdr>
    </w:div>
    <w:div w:id="286474715">
      <w:bodyDiv w:val="1"/>
      <w:marLeft w:val="0"/>
      <w:marRight w:val="0"/>
      <w:marTop w:val="0"/>
      <w:marBottom w:val="0"/>
      <w:divBdr>
        <w:top w:val="none" w:sz="0" w:space="0" w:color="auto"/>
        <w:left w:val="none" w:sz="0" w:space="0" w:color="auto"/>
        <w:bottom w:val="none" w:sz="0" w:space="0" w:color="auto"/>
        <w:right w:val="none" w:sz="0" w:space="0" w:color="auto"/>
      </w:divBdr>
    </w:div>
    <w:div w:id="305017377">
      <w:bodyDiv w:val="1"/>
      <w:marLeft w:val="0"/>
      <w:marRight w:val="0"/>
      <w:marTop w:val="0"/>
      <w:marBottom w:val="0"/>
      <w:divBdr>
        <w:top w:val="none" w:sz="0" w:space="0" w:color="auto"/>
        <w:left w:val="none" w:sz="0" w:space="0" w:color="auto"/>
        <w:bottom w:val="none" w:sz="0" w:space="0" w:color="auto"/>
        <w:right w:val="none" w:sz="0" w:space="0" w:color="auto"/>
      </w:divBdr>
      <w:divsChild>
        <w:div w:id="999890325">
          <w:marLeft w:val="0"/>
          <w:marRight w:val="0"/>
          <w:marTop w:val="0"/>
          <w:marBottom w:val="0"/>
          <w:divBdr>
            <w:top w:val="none" w:sz="0" w:space="0" w:color="auto"/>
            <w:left w:val="none" w:sz="0" w:space="0" w:color="auto"/>
            <w:bottom w:val="none" w:sz="0" w:space="0" w:color="auto"/>
            <w:right w:val="none" w:sz="0" w:space="0" w:color="auto"/>
          </w:divBdr>
          <w:divsChild>
            <w:div w:id="2106144620">
              <w:marLeft w:val="0"/>
              <w:marRight w:val="0"/>
              <w:marTop w:val="0"/>
              <w:marBottom w:val="0"/>
              <w:divBdr>
                <w:top w:val="none" w:sz="0" w:space="0" w:color="auto"/>
                <w:left w:val="none" w:sz="0" w:space="0" w:color="auto"/>
                <w:bottom w:val="none" w:sz="0" w:space="0" w:color="auto"/>
                <w:right w:val="none" w:sz="0" w:space="0" w:color="auto"/>
              </w:divBdr>
            </w:div>
          </w:divsChild>
        </w:div>
        <w:div w:id="584268991">
          <w:marLeft w:val="0"/>
          <w:marRight w:val="0"/>
          <w:marTop w:val="0"/>
          <w:marBottom w:val="0"/>
          <w:divBdr>
            <w:top w:val="none" w:sz="0" w:space="0" w:color="auto"/>
            <w:left w:val="none" w:sz="0" w:space="0" w:color="auto"/>
            <w:bottom w:val="none" w:sz="0" w:space="0" w:color="auto"/>
            <w:right w:val="none" w:sz="0" w:space="0" w:color="auto"/>
          </w:divBdr>
          <w:divsChild>
            <w:div w:id="1613320400">
              <w:marLeft w:val="0"/>
              <w:marRight w:val="0"/>
              <w:marTop w:val="0"/>
              <w:marBottom w:val="0"/>
              <w:divBdr>
                <w:top w:val="none" w:sz="0" w:space="0" w:color="auto"/>
                <w:left w:val="none" w:sz="0" w:space="0" w:color="auto"/>
                <w:bottom w:val="none" w:sz="0" w:space="0" w:color="auto"/>
                <w:right w:val="none" w:sz="0" w:space="0" w:color="auto"/>
              </w:divBdr>
            </w:div>
            <w:div w:id="1652249543">
              <w:marLeft w:val="0"/>
              <w:marRight w:val="0"/>
              <w:marTop w:val="0"/>
              <w:marBottom w:val="0"/>
              <w:divBdr>
                <w:top w:val="none" w:sz="0" w:space="0" w:color="auto"/>
                <w:left w:val="none" w:sz="0" w:space="0" w:color="auto"/>
                <w:bottom w:val="none" w:sz="0" w:space="0" w:color="auto"/>
                <w:right w:val="none" w:sz="0" w:space="0" w:color="auto"/>
              </w:divBdr>
            </w:div>
          </w:divsChild>
        </w:div>
        <w:div w:id="1631131895">
          <w:marLeft w:val="0"/>
          <w:marRight w:val="0"/>
          <w:marTop w:val="0"/>
          <w:marBottom w:val="0"/>
          <w:divBdr>
            <w:top w:val="none" w:sz="0" w:space="0" w:color="auto"/>
            <w:left w:val="none" w:sz="0" w:space="0" w:color="auto"/>
            <w:bottom w:val="none" w:sz="0" w:space="0" w:color="auto"/>
            <w:right w:val="none" w:sz="0" w:space="0" w:color="auto"/>
          </w:divBdr>
          <w:divsChild>
            <w:div w:id="20955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8785">
      <w:bodyDiv w:val="1"/>
      <w:marLeft w:val="0"/>
      <w:marRight w:val="0"/>
      <w:marTop w:val="0"/>
      <w:marBottom w:val="0"/>
      <w:divBdr>
        <w:top w:val="none" w:sz="0" w:space="0" w:color="auto"/>
        <w:left w:val="none" w:sz="0" w:space="0" w:color="auto"/>
        <w:bottom w:val="none" w:sz="0" w:space="0" w:color="auto"/>
        <w:right w:val="none" w:sz="0" w:space="0" w:color="auto"/>
      </w:divBdr>
    </w:div>
    <w:div w:id="464666039">
      <w:bodyDiv w:val="1"/>
      <w:marLeft w:val="0"/>
      <w:marRight w:val="0"/>
      <w:marTop w:val="0"/>
      <w:marBottom w:val="0"/>
      <w:divBdr>
        <w:top w:val="none" w:sz="0" w:space="0" w:color="auto"/>
        <w:left w:val="none" w:sz="0" w:space="0" w:color="auto"/>
        <w:bottom w:val="none" w:sz="0" w:space="0" w:color="auto"/>
        <w:right w:val="none" w:sz="0" w:space="0" w:color="auto"/>
      </w:divBdr>
    </w:div>
    <w:div w:id="468519057">
      <w:bodyDiv w:val="1"/>
      <w:marLeft w:val="0"/>
      <w:marRight w:val="0"/>
      <w:marTop w:val="0"/>
      <w:marBottom w:val="0"/>
      <w:divBdr>
        <w:top w:val="none" w:sz="0" w:space="0" w:color="auto"/>
        <w:left w:val="none" w:sz="0" w:space="0" w:color="auto"/>
        <w:bottom w:val="none" w:sz="0" w:space="0" w:color="auto"/>
        <w:right w:val="none" w:sz="0" w:space="0" w:color="auto"/>
      </w:divBdr>
    </w:div>
    <w:div w:id="507596579">
      <w:bodyDiv w:val="1"/>
      <w:marLeft w:val="0"/>
      <w:marRight w:val="0"/>
      <w:marTop w:val="0"/>
      <w:marBottom w:val="0"/>
      <w:divBdr>
        <w:top w:val="none" w:sz="0" w:space="0" w:color="auto"/>
        <w:left w:val="none" w:sz="0" w:space="0" w:color="auto"/>
        <w:bottom w:val="none" w:sz="0" w:space="0" w:color="auto"/>
        <w:right w:val="none" w:sz="0" w:space="0" w:color="auto"/>
      </w:divBdr>
    </w:div>
    <w:div w:id="585654440">
      <w:bodyDiv w:val="1"/>
      <w:marLeft w:val="0"/>
      <w:marRight w:val="0"/>
      <w:marTop w:val="0"/>
      <w:marBottom w:val="0"/>
      <w:divBdr>
        <w:top w:val="none" w:sz="0" w:space="0" w:color="auto"/>
        <w:left w:val="none" w:sz="0" w:space="0" w:color="auto"/>
        <w:bottom w:val="none" w:sz="0" w:space="0" w:color="auto"/>
        <w:right w:val="none" w:sz="0" w:space="0" w:color="auto"/>
      </w:divBdr>
    </w:div>
    <w:div w:id="622276412">
      <w:bodyDiv w:val="1"/>
      <w:marLeft w:val="0"/>
      <w:marRight w:val="0"/>
      <w:marTop w:val="0"/>
      <w:marBottom w:val="0"/>
      <w:divBdr>
        <w:top w:val="none" w:sz="0" w:space="0" w:color="auto"/>
        <w:left w:val="none" w:sz="0" w:space="0" w:color="auto"/>
        <w:bottom w:val="none" w:sz="0" w:space="0" w:color="auto"/>
        <w:right w:val="none" w:sz="0" w:space="0" w:color="auto"/>
      </w:divBdr>
    </w:div>
    <w:div w:id="638656859">
      <w:bodyDiv w:val="1"/>
      <w:marLeft w:val="0"/>
      <w:marRight w:val="0"/>
      <w:marTop w:val="0"/>
      <w:marBottom w:val="0"/>
      <w:divBdr>
        <w:top w:val="none" w:sz="0" w:space="0" w:color="auto"/>
        <w:left w:val="none" w:sz="0" w:space="0" w:color="auto"/>
        <w:bottom w:val="none" w:sz="0" w:space="0" w:color="auto"/>
        <w:right w:val="none" w:sz="0" w:space="0" w:color="auto"/>
      </w:divBdr>
    </w:div>
    <w:div w:id="656496416">
      <w:bodyDiv w:val="1"/>
      <w:marLeft w:val="0"/>
      <w:marRight w:val="0"/>
      <w:marTop w:val="0"/>
      <w:marBottom w:val="0"/>
      <w:divBdr>
        <w:top w:val="none" w:sz="0" w:space="0" w:color="auto"/>
        <w:left w:val="none" w:sz="0" w:space="0" w:color="auto"/>
        <w:bottom w:val="none" w:sz="0" w:space="0" w:color="auto"/>
        <w:right w:val="none" w:sz="0" w:space="0" w:color="auto"/>
      </w:divBdr>
    </w:div>
    <w:div w:id="674766897">
      <w:bodyDiv w:val="1"/>
      <w:marLeft w:val="0"/>
      <w:marRight w:val="0"/>
      <w:marTop w:val="0"/>
      <w:marBottom w:val="0"/>
      <w:divBdr>
        <w:top w:val="none" w:sz="0" w:space="0" w:color="auto"/>
        <w:left w:val="none" w:sz="0" w:space="0" w:color="auto"/>
        <w:bottom w:val="none" w:sz="0" w:space="0" w:color="auto"/>
        <w:right w:val="none" w:sz="0" w:space="0" w:color="auto"/>
      </w:divBdr>
    </w:div>
    <w:div w:id="778374588">
      <w:bodyDiv w:val="1"/>
      <w:marLeft w:val="0"/>
      <w:marRight w:val="0"/>
      <w:marTop w:val="0"/>
      <w:marBottom w:val="0"/>
      <w:divBdr>
        <w:top w:val="none" w:sz="0" w:space="0" w:color="auto"/>
        <w:left w:val="none" w:sz="0" w:space="0" w:color="auto"/>
        <w:bottom w:val="none" w:sz="0" w:space="0" w:color="auto"/>
        <w:right w:val="none" w:sz="0" w:space="0" w:color="auto"/>
      </w:divBdr>
    </w:div>
    <w:div w:id="782305002">
      <w:bodyDiv w:val="1"/>
      <w:marLeft w:val="0"/>
      <w:marRight w:val="0"/>
      <w:marTop w:val="0"/>
      <w:marBottom w:val="0"/>
      <w:divBdr>
        <w:top w:val="none" w:sz="0" w:space="0" w:color="auto"/>
        <w:left w:val="none" w:sz="0" w:space="0" w:color="auto"/>
        <w:bottom w:val="none" w:sz="0" w:space="0" w:color="auto"/>
        <w:right w:val="none" w:sz="0" w:space="0" w:color="auto"/>
      </w:divBdr>
    </w:div>
    <w:div w:id="794254418">
      <w:bodyDiv w:val="1"/>
      <w:marLeft w:val="0"/>
      <w:marRight w:val="0"/>
      <w:marTop w:val="0"/>
      <w:marBottom w:val="0"/>
      <w:divBdr>
        <w:top w:val="none" w:sz="0" w:space="0" w:color="auto"/>
        <w:left w:val="none" w:sz="0" w:space="0" w:color="auto"/>
        <w:bottom w:val="none" w:sz="0" w:space="0" w:color="auto"/>
        <w:right w:val="none" w:sz="0" w:space="0" w:color="auto"/>
      </w:divBdr>
    </w:div>
    <w:div w:id="836765945">
      <w:bodyDiv w:val="1"/>
      <w:marLeft w:val="0"/>
      <w:marRight w:val="0"/>
      <w:marTop w:val="0"/>
      <w:marBottom w:val="0"/>
      <w:divBdr>
        <w:top w:val="none" w:sz="0" w:space="0" w:color="auto"/>
        <w:left w:val="none" w:sz="0" w:space="0" w:color="auto"/>
        <w:bottom w:val="none" w:sz="0" w:space="0" w:color="auto"/>
        <w:right w:val="none" w:sz="0" w:space="0" w:color="auto"/>
      </w:divBdr>
    </w:div>
    <w:div w:id="866337289">
      <w:bodyDiv w:val="1"/>
      <w:marLeft w:val="0"/>
      <w:marRight w:val="0"/>
      <w:marTop w:val="0"/>
      <w:marBottom w:val="0"/>
      <w:divBdr>
        <w:top w:val="none" w:sz="0" w:space="0" w:color="auto"/>
        <w:left w:val="none" w:sz="0" w:space="0" w:color="auto"/>
        <w:bottom w:val="none" w:sz="0" w:space="0" w:color="auto"/>
        <w:right w:val="none" w:sz="0" w:space="0" w:color="auto"/>
      </w:divBdr>
    </w:div>
    <w:div w:id="879128923">
      <w:bodyDiv w:val="1"/>
      <w:marLeft w:val="0"/>
      <w:marRight w:val="0"/>
      <w:marTop w:val="0"/>
      <w:marBottom w:val="0"/>
      <w:divBdr>
        <w:top w:val="none" w:sz="0" w:space="0" w:color="auto"/>
        <w:left w:val="none" w:sz="0" w:space="0" w:color="auto"/>
        <w:bottom w:val="none" w:sz="0" w:space="0" w:color="auto"/>
        <w:right w:val="none" w:sz="0" w:space="0" w:color="auto"/>
      </w:divBdr>
    </w:div>
    <w:div w:id="910237472">
      <w:bodyDiv w:val="1"/>
      <w:marLeft w:val="0"/>
      <w:marRight w:val="0"/>
      <w:marTop w:val="0"/>
      <w:marBottom w:val="0"/>
      <w:divBdr>
        <w:top w:val="none" w:sz="0" w:space="0" w:color="auto"/>
        <w:left w:val="none" w:sz="0" w:space="0" w:color="auto"/>
        <w:bottom w:val="none" w:sz="0" w:space="0" w:color="auto"/>
        <w:right w:val="none" w:sz="0" w:space="0" w:color="auto"/>
      </w:divBdr>
    </w:div>
    <w:div w:id="933129707">
      <w:bodyDiv w:val="1"/>
      <w:marLeft w:val="0"/>
      <w:marRight w:val="0"/>
      <w:marTop w:val="0"/>
      <w:marBottom w:val="0"/>
      <w:divBdr>
        <w:top w:val="none" w:sz="0" w:space="0" w:color="auto"/>
        <w:left w:val="none" w:sz="0" w:space="0" w:color="auto"/>
        <w:bottom w:val="none" w:sz="0" w:space="0" w:color="auto"/>
        <w:right w:val="none" w:sz="0" w:space="0" w:color="auto"/>
      </w:divBdr>
    </w:div>
    <w:div w:id="938677352">
      <w:bodyDiv w:val="1"/>
      <w:marLeft w:val="0"/>
      <w:marRight w:val="0"/>
      <w:marTop w:val="0"/>
      <w:marBottom w:val="0"/>
      <w:divBdr>
        <w:top w:val="none" w:sz="0" w:space="0" w:color="auto"/>
        <w:left w:val="none" w:sz="0" w:space="0" w:color="auto"/>
        <w:bottom w:val="none" w:sz="0" w:space="0" w:color="auto"/>
        <w:right w:val="none" w:sz="0" w:space="0" w:color="auto"/>
      </w:divBdr>
    </w:div>
    <w:div w:id="967129644">
      <w:bodyDiv w:val="1"/>
      <w:marLeft w:val="0"/>
      <w:marRight w:val="0"/>
      <w:marTop w:val="0"/>
      <w:marBottom w:val="0"/>
      <w:divBdr>
        <w:top w:val="none" w:sz="0" w:space="0" w:color="auto"/>
        <w:left w:val="none" w:sz="0" w:space="0" w:color="auto"/>
        <w:bottom w:val="none" w:sz="0" w:space="0" w:color="auto"/>
        <w:right w:val="none" w:sz="0" w:space="0" w:color="auto"/>
      </w:divBdr>
    </w:div>
    <w:div w:id="1014695668">
      <w:bodyDiv w:val="1"/>
      <w:marLeft w:val="0"/>
      <w:marRight w:val="0"/>
      <w:marTop w:val="0"/>
      <w:marBottom w:val="0"/>
      <w:divBdr>
        <w:top w:val="none" w:sz="0" w:space="0" w:color="auto"/>
        <w:left w:val="none" w:sz="0" w:space="0" w:color="auto"/>
        <w:bottom w:val="none" w:sz="0" w:space="0" w:color="auto"/>
        <w:right w:val="none" w:sz="0" w:space="0" w:color="auto"/>
      </w:divBdr>
    </w:div>
    <w:div w:id="1068189745">
      <w:bodyDiv w:val="1"/>
      <w:marLeft w:val="0"/>
      <w:marRight w:val="0"/>
      <w:marTop w:val="0"/>
      <w:marBottom w:val="0"/>
      <w:divBdr>
        <w:top w:val="none" w:sz="0" w:space="0" w:color="auto"/>
        <w:left w:val="none" w:sz="0" w:space="0" w:color="auto"/>
        <w:bottom w:val="none" w:sz="0" w:space="0" w:color="auto"/>
        <w:right w:val="none" w:sz="0" w:space="0" w:color="auto"/>
      </w:divBdr>
    </w:div>
    <w:div w:id="1073116794">
      <w:bodyDiv w:val="1"/>
      <w:marLeft w:val="0"/>
      <w:marRight w:val="0"/>
      <w:marTop w:val="0"/>
      <w:marBottom w:val="0"/>
      <w:divBdr>
        <w:top w:val="none" w:sz="0" w:space="0" w:color="auto"/>
        <w:left w:val="none" w:sz="0" w:space="0" w:color="auto"/>
        <w:bottom w:val="none" w:sz="0" w:space="0" w:color="auto"/>
        <w:right w:val="none" w:sz="0" w:space="0" w:color="auto"/>
      </w:divBdr>
    </w:div>
    <w:div w:id="1147630978">
      <w:bodyDiv w:val="1"/>
      <w:marLeft w:val="0"/>
      <w:marRight w:val="0"/>
      <w:marTop w:val="0"/>
      <w:marBottom w:val="0"/>
      <w:divBdr>
        <w:top w:val="none" w:sz="0" w:space="0" w:color="auto"/>
        <w:left w:val="none" w:sz="0" w:space="0" w:color="auto"/>
        <w:bottom w:val="none" w:sz="0" w:space="0" w:color="auto"/>
        <w:right w:val="none" w:sz="0" w:space="0" w:color="auto"/>
      </w:divBdr>
    </w:div>
    <w:div w:id="1171796451">
      <w:bodyDiv w:val="1"/>
      <w:marLeft w:val="0"/>
      <w:marRight w:val="0"/>
      <w:marTop w:val="0"/>
      <w:marBottom w:val="0"/>
      <w:divBdr>
        <w:top w:val="none" w:sz="0" w:space="0" w:color="auto"/>
        <w:left w:val="none" w:sz="0" w:space="0" w:color="auto"/>
        <w:bottom w:val="none" w:sz="0" w:space="0" w:color="auto"/>
        <w:right w:val="none" w:sz="0" w:space="0" w:color="auto"/>
      </w:divBdr>
    </w:div>
    <w:div w:id="1173763344">
      <w:bodyDiv w:val="1"/>
      <w:marLeft w:val="0"/>
      <w:marRight w:val="0"/>
      <w:marTop w:val="0"/>
      <w:marBottom w:val="0"/>
      <w:divBdr>
        <w:top w:val="none" w:sz="0" w:space="0" w:color="auto"/>
        <w:left w:val="none" w:sz="0" w:space="0" w:color="auto"/>
        <w:bottom w:val="none" w:sz="0" w:space="0" w:color="auto"/>
        <w:right w:val="none" w:sz="0" w:space="0" w:color="auto"/>
      </w:divBdr>
    </w:div>
    <w:div w:id="1197500325">
      <w:bodyDiv w:val="1"/>
      <w:marLeft w:val="0"/>
      <w:marRight w:val="0"/>
      <w:marTop w:val="0"/>
      <w:marBottom w:val="0"/>
      <w:divBdr>
        <w:top w:val="none" w:sz="0" w:space="0" w:color="auto"/>
        <w:left w:val="none" w:sz="0" w:space="0" w:color="auto"/>
        <w:bottom w:val="none" w:sz="0" w:space="0" w:color="auto"/>
        <w:right w:val="none" w:sz="0" w:space="0" w:color="auto"/>
      </w:divBdr>
    </w:div>
    <w:div w:id="1221555126">
      <w:bodyDiv w:val="1"/>
      <w:marLeft w:val="0"/>
      <w:marRight w:val="0"/>
      <w:marTop w:val="0"/>
      <w:marBottom w:val="0"/>
      <w:divBdr>
        <w:top w:val="none" w:sz="0" w:space="0" w:color="auto"/>
        <w:left w:val="none" w:sz="0" w:space="0" w:color="auto"/>
        <w:bottom w:val="none" w:sz="0" w:space="0" w:color="auto"/>
        <w:right w:val="none" w:sz="0" w:space="0" w:color="auto"/>
      </w:divBdr>
    </w:div>
    <w:div w:id="1257715847">
      <w:bodyDiv w:val="1"/>
      <w:marLeft w:val="0"/>
      <w:marRight w:val="0"/>
      <w:marTop w:val="0"/>
      <w:marBottom w:val="0"/>
      <w:divBdr>
        <w:top w:val="none" w:sz="0" w:space="0" w:color="auto"/>
        <w:left w:val="none" w:sz="0" w:space="0" w:color="auto"/>
        <w:bottom w:val="none" w:sz="0" w:space="0" w:color="auto"/>
        <w:right w:val="none" w:sz="0" w:space="0" w:color="auto"/>
      </w:divBdr>
    </w:div>
    <w:div w:id="1281300276">
      <w:bodyDiv w:val="1"/>
      <w:marLeft w:val="0"/>
      <w:marRight w:val="0"/>
      <w:marTop w:val="0"/>
      <w:marBottom w:val="0"/>
      <w:divBdr>
        <w:top w:val="none" w:sz="0" w:space="0" w:color="auto"/>
        <w:left w:val="none" w:sz="0" w:space="0" w:color="auto"/>
        <w:bottom w:val="none" w:sz="0" w:space="0" w:color="auto"/>
        <w:right w:val="none" w:sz="0" w:space="0" w:color="auto"/>
      </w:divBdr>
      <w:divsChild>
        <w:div w:id="111636010">
          <w:marLeft w:val="0"/>
          <w:marRight w:val="0"/>
          <w:marTop w:val="0"/>
          <w:marBottom w:val="0"/>
          <w:divBdr>
            <w:top w:val="single" w:sz="2" w:space="0" w:color="E3E3E3"/>
            <w:left w:val="single" w:sz="2" w:space="0" w:color="E3E3E3"/>
            <w:bottom w:val="single" w:sz="2" w:space="0" w:color="E3E3E3"/>
            <w:right w:val="single" w:sz="2" w:space="0" w:color="E3E3E3"/>
          </w:divBdr>
          <w:divsChild>
            <w:div w:id="1810433618">
              <w:marLeft w:val="0"/>
              <w:marRight w:val="0"/>
              <w:marTop w:val="0"/>
              <w:marBottom w:val="0"/>
              <w:divBdr>
                <w:top w:val="single" w:sz="2" w:space="0" w:color="E3E3E3"/>
                <w:left w:val="single" w:sz="2" w:space="0" w:color="E3E3E3"/>
                <w:bottom w:val="single" w:sz="2" w:space="0" w:color="E3E3E3"/>
                <w:right w:val="single" w:sz="2" w:space="0" w:color="E3E3E3"/>
              </w:divBdr>
              <w:divsChild>
                <w:div w:id="900287426">
                  <w:marLeft w:val="0"/>
                  <w:marRight w:val="0"/>
                  <w:marTop w:val="0"/>
                  <w:marBottom w:val="0"/>
                  <w:divBdr>
                    <w:top w:val="single" w:sz="2" w:space="0" w:color="E3E3E3"/>
                    <w:left w:val="single" w:sz="2" w:space="0" w:color="E3E3E3"/>
                    <w:bottom w:val="single" w:sz="2" w:space="0" w:color="E3E3E3"/>
                    <w:right w:val="single" w:sz="2" w:space="0" w:color="E3E3E3"/>
                  </w:divBdr>
                  <w:divsChild>
                    <w:div w:id="1310088860">
                      <w:marLeft w:val="0"/>
                      <w:marRight w:val="0"/>
                      <w:marTop w:val="0"/>
                      <w:marBottom w:val="0"/>
                      <w:divBdr>
                        <w:top w:val="single" w:sz="2" w:space="0" w:color="E3E3E3"/>
                        <w:left w:val="single" w:sz="2" w:space="0" w:color="E3E3E3"/>
                        <w:bottom w:val="single" w:sz="2" w:space="0" w:color="E3E3E3"/>
                        <w:right w:val="single" w:sz="2" w:space="0" w:color="E3E3E3"/>
                      </w:divBdr>
                      <w:divsChild>
                        <w:div w:id="2086761248">
                          <w:marLeft w:val="0"/>
                          <w:marRight w:val="0"/>
                          <w:marTop w:val="0"/>
                          <w:marBottom w:val="0"/>
                          <w:divBdr>
                            <w:top w:val="single" w:sz="2" w:space="0" w:color="E3E3E3"/>
                            <w:left w:val="single" w:sz="2" w:space="0" w:color="E3E3E3"/>
                            <w:bottom w:val="single" w:sz="2" w:space="0" w:color="E3E3E3"/>
                            <w:right w:val="single" w:sz="2" w:space="0" w:color="E3E3E3"/>
                          </w:divBdr>
                          <w:divsChild>
                            <w:div w:id="2060546346">
                              <w:marLeft w:val="0"/>
                              <w:marRight w:val="0"/>
                              <w:marTop w:val="100"/>
                              <w:marBottom w:val="100"/>
                              <w:divBdr>
                                <w:top w:val="single" w:sz="2" w:space="0" w:color="E3E3E3"/>
                                <w:left w:val="single" w:sz="2" w:space="0" w:color="E3E3E3"/>
                                <w:bottom w:val="single" w:sz="2" w:space="0" w:color="E3E3E3"/>
                                <w:right w:val="single" w:sz="2" w:space="0" w:color="E3E3E3"/>
                              </w:divBdr>
                              <w:divsChild>
                                <w:div w:id="1973244226">
                                  <w:marLeft w:val="0"/>
                                  <w:marRight w:val="0"/>
                                  <w:marTop w:val="0"/>
                                  <w:marBottom w:val="0"/>
                                  <w:divBdr>
                                    <w:top w:val="single" w:sz="2" w:space="0" w:color="E3E3E3"/>
                                    <w:left w:val="single" w:sz="2" w:space="0" w:color="E3E3E3"/>
                                    <w:bottom w:val="single" w:sz="2" w:space="0" w:color="E3E3E3"/>
                                    <w:right w:val="single" w:sz="2" w:space="0" w:color="E3E3E3"/>
                                  </w:divBdr>
                                  <w:divsChild>
                                    <w:div w:id="741876318">
                                      <w:marLeft w:val="0"/>
                                      <w:marRight w:val="0"/>
                                      <w:marTop w:val="0"/>
                                      <w:marBottom w:val="0"/>
                                      <w:divBdr>
                                        <w:top w:val="single" w:sz="2" w:space="0" w:color="E3E3E3"/>
                                        <w:left w:val="single" w:sz="2" w:space="0" w:color="E3E3E3"/>
                                        <w:bottom w:val="single" w:sz="2" w:space="0" w:color="E3E3E3"/>
                                        <w:right w:val="single" w:sz="2" w:space="0" w:color="E3E3E3"/>
                                      </w:divBdr>
                                      <w:divsChild>
                                        <w:div w:id="2016417468">
                                          <w:marLeft w:val="0"/>
                                          <w:marRight w:val="0"/>
                                          <w:marTop w:val="0"/>
                                          <w:marBottom w:val="0"/>
                                          <w:divBdr>
                                            <w:top w:val="single" w:sz="2" w:space="0" w:color="E3E3E3"/>
                                            <w:left w:val="single" w:sz="2" w:space="0" w:color="E3E3E3"/>
                                            <w:bottom w:val="single" w:sz="2" w:space="0" w:color="E3E3E3"/>
                                            <w:right w:val="single" w:sz="2" w:space="0" w:color="E3E3E3"/>
                                          </w:divBdr>
                                          <w:divsChild>
                                            <w:div w:id="1390766694">
                                              <w:marLeft w:val="0"/>
                                              <w:marRight w:val="0"/>
                                              <w:marTop w:val="0"/>
                                              <w:marBottom w:val="0"/>
                                              <w:divBdr>
                                                <w:top w:val="single" w:sz="2" w:space="0" w:color="E3E3E3"/>
                                                <w:left w:val="single" w:sz="2" w:space="0" w:color="E3E3E3"/>
                                                <w:bottom w:val="single" w:sz="2" w:space="0" w:color="E3E3E3"/>
                                                <w:right w:val="single" w:sz="2" w:space="0" w:color="E3E3E3"/>
                                              </w:divBdr>
                                              <w:divsChild>
                                                <w:div w:id="777679565">
                                                  <w:marLeft w:val="0"/>
                                                  <w:marRight w:val="0"/>
                                                  <w:marTop w:val="0"/>
                                                  <w:marBottom w:val="0"/>
                                                  <w:divBdr>
                                                    <w:top w:val="single" w:sz="2" w:space="0" w:color="E3E3E3"/>
                                                    <w:left w:val="single" w:sz="2" w:space="0" w:color="E3E3E3"/>
                                                    <w:bottom w:val="single" w:sz="2" w:space="0" w:color="E3E3E3"/>
                                                    <w:right w:val="single" w:sz="2" w:space="0" w:color="E3E3E3"/>
                                                  </w:divBdr>
                                                  <w:divsChild>
                                                    <w:div w:id="1137262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57558466">
          <w:marLeft w:val="0"/>
          <w:marRight w:val="0"/>
          <w:marTop w:val="0"/>
          <w:marBottom w:val="0"/>
          <w:divBdr>
            <w:top w:val="none" w:sz="0" w:space="0" w:color="auto"/>
            <w:left w:val="none" w:sz="0" w:space="0" w:color="auto"/>
            <w:bottom w:val="none" w:sz="0" w:space="0" w:color="auto"/>
            <w:right w:val="none" w:sz="0" w:space="0" w:color="auto"/>
          </w:divBdr>
        </w:div>
      </w:divsChild>
    </w:div>
    <w:div w:id="1304117060">
      <w:bodyDiv w:val="1"/>
      <w:marLeft w:val="0"/>
      <w:marRight w:val="0"/>
      <w:marTop w:val="0"/>
      <w:marBottom w:val="0"/>
      <w:divBdr>
        <w:top w:val="none" w:sz="0" w:space="0" w:color="auto"/>
        <w:left w:val="none" w:sz="0" w:space="0" w:color="auto"/>
        <w:bottom w:val="none" w:sz="0" w:space="0" w:color="auto"/>
        <w:right w:val="none" w:sz="0" w:space="0" w:color="auto"/>
      </w:divBdr>
    </w:div>
    <w:div w:id="1308049741">
      <w:bodyDiv w:val="1"/>
      <w:marLeft w:val="0"/>
      <w:marRight w:val="0"/>
      <w:marTop w:val="0"/>
      <w:marBottom w:val="0"/>
      <w:divBdr>
        <w:top w:val="none" w:sz="0" w:space="0" w:color="auto"/>
        <w:left w:val="none" w:sz="0" w:space="0" w:color="auto"/>
        <w:bottom w:val="none" w:sz="0" w:space="0" w:color="auto"/>
        <w:right w:val="none" w:sz="0" w:space="0" w:color="auto"/>
      </w:divBdr>
    </w:div>
    <w:div w:id="1316373680">
      <w:bodyDiv w:val="1"/>
      <w:marLeft w:val="0"/>
      <w:marRight w:val="0"/>
      <w:marTop w:val="0"/>
      <w:marBottom w:val="0"/>
      <w:divBdr>
        <w:top w:val="none" w:sz="0" w:space="0" w:color="auto"/>
        <w:left w:val="none" w:sz="0" w:space="0" w:color="auto"/>
        <w:bottom w:val="none" w:sz="0" w:space="0" w:color="auto"/>
        <w:right w:val="none" w:sz="0" w:space="0" w:color="auto"/>
      </w:divBdr>
    </w:div>
    <w:div w:id="1347053216">
      <w:bodyDiv w:val="1"/>
      <w:marLeft w:val="0"/>
      <w:marRight w:val="0"/>
      <w:marTop w:val="0"/>
      <w:marBottom w:val="0"/>
      <w:divBdr>
        <w:top w:val="none" w:sz="0" w:space="0" w:color="auto"/>
        <w:left w:val="none" w:sz="0" w:space="0" w:color="auto"/>
        <w:bottom w:val="none" w:sz="0" w:space="0" w:color="auto"/>
        <w:right w:val="none" w:sz="0" w:space="0" w:color="auto"/>
      </w:divBdr>
    </w:div>
    <w:div w:id="1354530253">
      <w:bodyDiv w:val="1"/>
      <w:marLeft w:val="0"/>
      <w:marRight w:val="0"/>
      <w:marTop w:val="0"/>
      <w:marBottom w:val="0"/>
      <w:divBdr>
        <w:top w:val="none" w:sz="0" w:space="0" w:color="auto"/>
        <w:left w:val="none" w:sz="0" w:space="0" w:color="auto"/>
        <w:bottom w:val="none" w:sz="0" w:space="0" w:color="auto"/>
        <w:right w:val="none" w:sz="0" w:space="0" w:color="auto"/>
      </w:divBdr>
    </w:div>
    <w:div w:id="1355574730">
      <w:bodyDiv w:val="1"/>
      <w:marLeft w:val="0"/>
      <w:marRight w:val="0"/>
      <w:marTop w:val="0"/>
      <w:marBottom w:val="0"/>
      <w:divBdr>
        <w:top w:val="none" w:sz="0" w:space="0" w:color="auto"/>
        <w:left w:val="none" w:sz="0" w:space="0" w:color="auto"/>
        <w:bottom w:val="none" w:sz="0" w:space="0" w:color="auto"/>
        <w:right w:val="none" w:sz="0" w:space="0" w:color="auto"/>
      </w:divBdr>
    </w:div>
    <w:div w:id="1530222745">
      <w:bodyDiv w:val="1"/>
      <w:marLeft w:val="0"/>
      <w:marRight w:val="0"/>
      <w:marTop w:val="0"/>
      <w:marBottom w:val="0"/>
      <w:divBdr>
        <w:top w:val="none" w:sz="0" w:space="0" w:color="auto"/>
        <w:left w:val="none" w:sz="0" w:space="0" w:color="auto"/>
        <w:bottom w:val="none" w:sz="0" w:space="0" w:color="auto"/>
        <w:right w:val="none" w:sz="0" w:space="0" w:color="auto"/>
      </w:divBdr>
    </w:div>
    <w:div w:id="1536501933">
      <w:bodyDiv w:val="1"/>
      <w:marLeft w:val="0"/>
      <w:marRight w:val="0"/>
      <w:marTop w:val="0"/>
      <w:marBottom w:val="0"/>
      <w:divBdr>
        <w:top w:val="none" w:sz="0" w:space="0" w:color="auto"/>
        <w:left w:val="none" w:sz="0" w:space="0" w:color="auto"/>
        <w:bottom w:val="none" w:sz="0" w:space="0" w:color="auto"/>
        <w:right w:val="none" w:sz="0" w:space="0" w:color="auto"/>
      </w:divBdr>
    </w:div>
    <w:div w:id="1551646782">
      <w:bodyDiv w:val="1"/>
      <w:marLeft w:val="0"/>
      <w:marRight w:val="0"/>
      <w:marTop w:val="0"/>
      <w:marBottom w:val="0"/>
      <w:divBdr>
        <w:top w:val="none" w:sz="0" w:space="0" w:color="auto"/>
        <w:left w:val="none" w:sz="0" w:space="0" w:color="auto"/>
        <w:bottom w:val="none" w:sz="0" w:space="0" w:color="auto"/>
        <w:right w:val="none" w:sz="0" w:space="0" w:color="auto"/>
      </w:divBdr>
    </w:div>
    <w:div w:id="1607272460">
      <w:bodyDiv w:val="1"/>
      <w:marLeft w:val="0"/>
      <w:marRight w:val="0"/>
      <w:marTop w:val="0"/>
      <w:marBottom w:val="0"/>
      <w:divBdr>
        <w:top w:val="none" w:sz="0" w:space="0" w:color="auto"/>
        <w:left w:val="none" w:sz="0" w:space="0" w:color="auto"/>
        <w:bottom w:val="none" w:sz="0" w:space="0" w:color="auto"/>
        <w:right w:val="none" w:sz="0" w:space="0" w:color="auto"/>
      </w:divBdr>
    </w:div>
    <w:div w:id="1625187067">
      <w:bodyDiv w:val="1"/>
      <w:marLeft w:val="0"/>
      <w:marRight w:val="0"/>
      <w:marTop w:val="0"/>
      <w:marBottom w:val="0"/>
      <w:divBdr>
        <w:top w:val="none" w:sz="0" w:space="0" w:color="auto"/>
        <w:left w:val="none" w:sz="0" w:space="0" w:color="auto"/>
        <w:bottom w:val="none" w:sz="0" w:space="0" w:color="auto"/>
        <w:right w:val="none" w:sz="0" w:space="0" w:color="auto"/>
      </w:divBdr>
    </w:div>
    <w:div w:id="1732456683">
      <w:bodyDiv w:val="1"/>
      <w:marLeft w:val="0"/>
      <w:marRight w:val="0"/>
      <w:marTop w:val="0"/>
      <w:marBottom w:val="0"/>
      <w:divBdr>
        <w:top w:val="none" w:sz="0" w:space="0" w:color="auto"/>
        <w:left w:val="none" w:sz="0" w:space="0" w:color="auto"/>
        <w:bottom w:val="none" w:sz="0" w:space="0" w:color="auto"/>
        <w:right w:val="none" w:sz="0" w:space="0" w:color="auto"/>
      </w:divBdr>
    </w:div>
    <w:div w:id="1733234358">
      <w:bodyDiv w:val="1"/>
      <w:marLeft w:val="0"/>
      <w:marRight w:val="0"/>
      <w:marTop w:val="0"/>
      <w:marBottom w:val="0"/>
      <w:divBdr>
        <w:top w:val="none" w:sz="0" w:space="0" w:color="auto"/>
        <w:left w:val="none" w:sz="0" w:space="0" w:color="auto"/>
        <w:bottom w:val="none" w:sz="0" w:space="0" w:color="auto"/>
        <w:right w:val="none" w:sz="0" w:space="0" w:color="auto"/>
      </w:divBdr>
    </w:div>
    <w:div w:id="1741057534">
      <w:bodyDiv w:val="1"/>
      <w:marLeft w:val="0"/>
      <w:marRight w:val="0"/>
      <w:marTop w:val="0"/>
      <w:marBottom w:val="0"/>
      <w:divBdr>
        <w:top w:val="none" w:sz="0" w:space="0" w:color="auto"/>
        <w:left w:val="none" w:sz="0" w:space="0" w:color="auto"/>
        <w:bottom w:val="none" w:sz="0" w:space="0" w:color="auto"/>
        <w:right w:val="none" w:sz="0" w:space="0" w:color="auto"/>
      </w:divBdr>
      <w:divsChild>
        <w:div w:id="1309701281">
          <w:marLeft w:val="0"/>
          <w:marRight w:val="0"/>
          <w:marTop w:val="0"/>
          <w:marBottom w:val="0"/>
          <w:divBdr>
            <w:top w:val="none" w:sz="0" w:space="0" w:color="auto"/>
            <w:left w:val="none" w:sz="0" w:space="0" w:color="auto"/>
            <w:bottom w:val="none" w:sz="0" w:space="0" w:color="auto"/>
            <w:right w:val="none" w:sz="0" w:space="0" w:color="auto"/>
          </w:divBdr>
          <w:divsChild>
            <w:div w:id="17634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0014">
      <w:bodyDiv w:val="1"/>
      <w:marLeft w:val="0"/>
      <w:marRight w:val="0"/>
      <w:marTop w:val="0"/>
      <w:marBottom w:val="0"/>
      <w:divBdr>
        <w:top w:val="none" w:sz="0" w:space="0" w:color="auto"/>
        <w:left w:val="none" w:sz="0" w:space="0" w:color="auto"/>
        <w:bottom w:val="none" w:sz="0" w:space="0" w:color="auto"/>
        <w:right w:val="none" w:sz="0" w:space="0" w:color="auto"/>
      </w:divBdr>
    </w:div>
    <w:div w:id="1836843582">
      <w:bodyDiv w:val="1"/>
      <w:marLeft w:val="0"/>
      <w:marRight w:val="0"/>
      <w:marTop w:val="0"/>
      <w:marBottom w:val="0"/>
      <w:divBdr>
        <w:top w:val="none" w:sz="0" w:space="0" w:color="auto"/>
        <w:left w:val="none" w:sz="0" w:space="0" w:color="auto"/>
        <w:bottom w:val="none" w:sz="0" w:space="0" w:color="auto"/>
        <w:right w:val="none" w:sz="0" w:space="0" w:color="auto"/>
      </w:divBdr>
    </w:div>
    <w:div w:id="1870216410">
      <w:bodyDiv w:val="1"/>
      <w:marLeft w:val="0"/>
      <w:marRight w:val="0"/>
      <w:marTop w:val="0"/>
      <w:marBottom w:val="0"/>
      <w:divBdr>
        <w:top w:val="none" w:sz="0" w:space="0" w:color="auto"/>
        <w:left w:val="none" w:sz="0" w:space="0" w:color="auto"/>
        <w:bottom w:val="none" w:sz="0" w:space="0" w:color="auto"/>
        <w:right w:val="none" w:sz="0" w:space="0" w:color="auto"/>
      </w:divBdr>
    </w:div>
    <w:div w:id="1896041176">
      <w:bodyDiv w:val="1"/>
      <w:marLeft w:val="0"/>
      <w:marRight w:val="0"/>
      <w:marTop w:val="0"/>
      <w:marBottom w:val="0"/>
      <w:divBdr>
        <w:top w:val="none" w:sz="0" w:space="0" w:color="auto"/>
        <w:left w:val="none" w:sz="0" w:space="0" w:color="auto"/>
        <w:bottom w:val="none" w:sz="0" w:space="0" w:color="auto"/>
        <w:right w:val="none" w:sz="0" w:space="0" w:color="auto"/>
      </w:divBdr>
    </w:div>
    <w:div w:id="1923681170">
      <w:bodyDiv w:val="1"/>
      <w:marLeft w:val="0"/>
      <w:marRight w:val="0"/>
      <w:marTop w:val="0"/>
      <w:marBottom w:val="0"/>
      <w:divBdr>
        <w:top w:val="none" w:sz="0" w:space="0" w:color="auto"/>
        <w:left w:val="none" w:sz="0" w:space="0" w:color="auto"/>
        <w:bottom w:val="none" w:sz="0" w:space="0" w:color="auto"/>
        <w:right w:val="none" w:sz="0" w:space="0" w:color="auto"/>
      </w:divBdr>
    </w:div>
    <w:div w:id="1934629248">
      <w:bodyDiv w:val="1"/>
      <w:marLeft w:val="0"/>
      <w:marRight w:val="0"/>
      <w:marTop w:val="0"/>
      <w:marBottom w:val="0"/>
      <w:divBdr>
        <w:top w:val="none" w:sz="0" w:space="0" w:color="auto"/>
        <w:left w:val="none" w:sz="0" w:space="0" w:color="auto"/>
        <w:bottom w:val="none" w:sz="0" w:space="0" w:color="auto"/>
        <w:right w:val="none" w:sz="0" w:space="0" w:color="auto"/>
      </w:divBdr>
    </w:div>
    <w:div w:id="1955095363">
      <w:bodyDiv w:val="1"/>
      <w:marLeft w:val="0"/>
      <w:marRight w:val="0"/>
      <w:marTop w:val="0"/>
      <w:marBottom w:val="0"/>
      <w:divBdr>
        <w:top w:val="none" w:sz="0" w:space="0" w:color="auto"/>
        <w:left w:val="none" w:sz="0" w:space="0" w:color="auto"/>
        <w:bottom w:val="none" w:sz="0" w:space="0" w:color="auto"/>
        <w:right w:val="none" w:sz="0" w:space="0" w:color="auto"/>
      </w:divBdr>
    </w:div>
    <w:div w:id="2011324364">
      <w:bodyDiv w:val="1"/>
      <w:marLeft w:val="0"/>
      <w:marRight w:val="0"/>
      <w:marTop w:val="0"/>
      <w:marBottom w:val="0"/>
      <w:divBdr>
        <w:top w:val="none" w:sz="0" w:space="0" w:color="auto"/>
        <w:left w:val="none" w:sz="0" w:space="0" w:color="auto"/>
        <w:bottom w:val="none" w:sz="0" w:space="0" w:color="auto"/>
        <w:right w:val="none" w:sz="0" w:space="0" w:color="auto"/>
      </w:divBdr>
      <w:divsChild>
        <w:div w:id="1960800248">
          <w:marLeft w:val="0"/>
          <w:marRight w:val="0"/>
          <w:marTop w:val="0"/>
          <w:marBottom w:val="0"/>
          <w:divBdr>
            <w:top w:val="none" w:sz="0" w:space="0" w:color="auto"/>
            <w:left w:val="none" w:sz="0" w:space="0" w:color="auto"/>
            <w:bottom w:val="none" w:sz="0" w:space="0" w:color="auto"/>
            <w:right w:val="none" w:sz="0" w:space="0" w:color="auto"/>
          </w:divBdr>
          <w:divsChild>
            <w:div w:id="16462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7929">
      <w:bodyDiv w:val="1"/>
      <w:marLeft w:val="0"/>
      <w:marRight w:val="0"/>
      <w:marTop w:val="0"/>
      <w:marBottom w:val="0"/>
      <w:divBdr>
        <w:top w:val="none" w:sz="0" w:space="0" w:color="auto"/>
        <w:left w:val="none" w:sz="0" w:space="0" w:color="auto"/>
        <w:bottom w:val="none" w:sz="0" w:space="0" w:color="auto"/>
        <w:right w:val="none" w:sz="0" w:space="0" w:color="auto"/>
      </w:divBdr>
    </w:div>
    <w:div w:id="2020811848">
      <w:bodyDiv w:val="1"/>
      <w:marLeft w:val="0"/>
      <w:marRight w:val="0"/>
      <w:marTop w:val="0"/>
      <w:marBottom w:val="0"/>
      <w:divBdr>
        <w:top w:val="none" w:sz="0" w:space="0" w:color="auto"/>
        <w:left w:val="none" w:sz="0" w:space="0" w:color="auto"/>
        <w:bottom w:val="none" w:sz="0" w:space="0" w:color="auto"/>
        <w:right w:val="none" w:sz="0" w:space="0" w:color="auto"/>
      </w:divBdr>
    </w:div>
    <w:div w:id="2138599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Ordinal_association" TargetMode="External"/><Relationship Id="rId18" Type="http://schemas.openxmlformats.org/officeDocument/2006/relationships/hyperlink" Target="https://www.cadth.ca/sites/default/files/pdf/economic_guidelines_worked_example.pdf" TargetMode="External"/><Relationship Id="rId26" Type="http://schemas.openxmlformats.org/officeDocument/2006/relationships/hyperlink" Target="https://www.pbs.gov.au/info/industry/listing/elements/pbac-meetings/psd/2015-11/blinatumomab-blincyto-psd-november-2015" TargetMode="External"/><Relationship Id="rId39" Type="http://schemas.openxmlformats.org/officeDocument/2006/relationships/hyperlink" Target="https://www.pbs.gov.au/info/industry/listing/elements/pbac-meetings/psd/2016-11/irinotecan-nanoliposomal-psd-november-2016" TargetMode="External"/><Relationship Id="rId21" Type="http://schemas.openxmlformats.org/officeDocument/2006/relationships/hyperlink" Target="https://www.pbs.gov.au/info/industry/listing/elements/pbac-meetings/psd/2014-07/abiraterone-psd-07-2014" TargetMode="External"/><Relationship Id="rId34" Type="http://schemas.openxmlformats.org/officeDocument/2006/relationships/hyperlink" Target="https://www.pbs.gov.au/info/industry/listing/elements/pbac-meetings/psd/2018-03/Botulinum-toxin-type-A-purified-neurotoxin-complex-psd-march-2018" TargetMode="External"/><Relationship Id="rId42" Type="http://schemas.openxmlformats.org/officeDocument/2006/relationships/hyperlink" Target="https://www.pbs.gov.au/info/industry/listing/elements/pbac-meetings/psd/2016-07/dtpa-vaccine-psd-july-2016" TargetMode="External"/><Relationship Id="rId47" Type="http://schemas.openxmlformats.org/officeDocument/2006/relationships/hyperlink" Target="https://www.pbs.gov.au/pbs/industry/listing/elements/pbac-meetings/psd/2014-07/vedolizumab-psd-07-2014" TargetMode="External"/><Relationship Id="rId50" Type="http://schemas.openxmlformats.org/officeDocument/2006/relationships/hyperlink" Target="https://www.pbs.gov.au/info/industry/listing/elements/pbac-meetings/psd/2021-07/niraparib-capsule-100-mg-zejula" TargetMode="External"/><Relationship Id="rId55" Type="http://schemas.openxmlformats.org/officeDocument/2006/relationships/hyperlink" Target="https://polisci.usca.edu/apls301/Text/Chapter%2012.%20Significance%20and%20Measures%20of%20Association.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egemiddelverket.no/Documents/English/Public%20funding%20and%20pricing/Documentation%20for%20STA/Guidelines%20151018.pdf" TargetMode="External"/><Relationship Id="rId29" Type="http://schemas.openxmlformats.org/officeDocument/2006/relationships/hyperlink" Target="https://www.pbs.gov.au/info/industry/listing/elements/pbac-meetings/psd/2019-11/olaparib-tablet-100-mg-tablet-150-mg-lynparza" TargetMode="External"/><Relationship Id="rId11" Type="http://schemas.openxmlformats.org/officeDocument/2006/relationships/footer" Target="footer1.xml"/><Relationship Id="rId24" Type="http://schemas.openxmlformats.org/officeDocument/2006/relationships/hyperlink" Target="https://www.pbs.gov.au/info/industry/listing/elements/pbac-meetings/psd/2020-07/fulvestrant-injection-250-mg-in-5-ml-pre-filled-syringe" TargetMode="External"/><Relationship Id="rId32" Type="http://schemas.openxmlformats.org/officeDocument/2006/relationships/hyperlink" Target="https://www.pbs.gov.au/info/industry/listing/elements/pbac-meetings/psd/2018-07/Pertuzumab-psd-july-2018" TargetMode="External"/><Relationship Id="rId37" Type="http://schemas.openxmlformats.org/officeDocument/2006/relationships/hyperlink" Target="https://www.pbs.gov.au/info/industry/listing/elements/pbac-meetings/psd/2018-07/Avelumab-psd-july-2018" TargetMode="External"/><Relationship Id="rId40" Type="http://schemas.openxmlformats.org/officeDocument/2006/relationships/hyperlink" Target="https://www.pbs.gov.au/info/industry/listing/elements/pbac-meetings/psd/2021-03/risdiplam-powder-for-oral-solution-0-75-mg-per-1-ml-80-ml" TargetMode="External"/><Relationship Id="rId45" Type="http://schemas.openxmlformats.org/officeDocument/2006/relationships/hyperlink" Target="https://www.pbs.gov.au/info/industry/listing/elements/pbac-meetings/psd/2020-11/pembrolizumab-solution-concentrate-for-i-v-infusion-100-mg" TargetMode="External"/><Relationship Id="rId53" Type="http://schemas.openxmlformats.org/officeDocument/2006/relationships/hyperlink" Target="https://www.pbs.gov.au/pbs/industry/listing/elements/pbac-meetings/psd/2016-07/tenofovir-disoproxil-fumarate-emtricitabine-psd-july-2016" TargetMode="External"/><Relationship Id="rId5" Type="http://schemas.openxmlformats.org/officeDocument/2006/relationships/numbering" Target="numbering.xml"/><Relationship Id="rId19" Type="http://schemas.openxmlformats.org/officeDocument/2006/relationships/hyperlink" Target="https://www.pbs.gov.au/info/industry/listing/elements/pbac-meetings/psd/2018-07/Dupilumab-psd-july-2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s://pbac.pbs.gov.au/content/information/files/pbac-guidelines-version-5.pdf" TargetMode="External"/><Relationship Id="rId27" Type="http://schemas.openxmlformats.org/officeDocument/2006/relationships/hyperlink" Target="https://www.pbs.gov.au/info/industry/listing/elements/pbac-meetings/psd/2021-03/ciclosporin-eye-drops-0-1-single-dose-units-0-4-ml-30" TargetMode="External"/><Relationship Id="rId30" Type="http://schemas.openxmlformats.org/officeDocument/2006/relationships/hyperlink" Target="https://www.pbs.gov.au/info/industry/listing/elements/pbac-meetings/psd/2014-11/anakinra-psd-11-2014" TargetMode="External"/><Relationship Id="rId35" Type="http://schemas.openxmlformats.org/officeDocument/2006/relationships/hyperlink" Target="https://www.pbs.gov.au/info/industry/listing/elements/pbac-meetings/psd/2021-03/pembrolizumab-solution-concentrate-for-iv-infusion-100-mg" TargetMode="External"/><Relationship Id="rId43" Type="http://schemas.openxmlformats.org/officeDocument/2006/relationships/hyperlink" Target="https://www.pbs.gov.au/info/industry/listing/elements/pbac-meetings/psd/2017-03/palbociclib-psd-march-2017" TargetMode="External"/><Relationship Id="rId48" Type="http://schemas.openxmlformats.org/officeDocument/2006/relationships/hyperlink" Target="https://www.pbs.gov.au/pbs/industry/listing/elements/pbac-meetings/psd/2020-11/onasemnogene-abeparvovec-solution-for-injection-customised"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pbs.gov.au/pbs/industry/listing/elements/pbac-meetings/psd/2017-03/venetoclax-psd-march-2017" TargetMode="External"/><Relationship Id="rId3" Type="http://schemas.openxmlformats.org/officeDocument/2006/relationships/customXml" Target="../customXml/item3.xml"/><Relationship Id="rId12" Type="http://schemas.openxmlformats.org/officeDocument/2006/relationships/hyperlink" Target="javascript:;" TargetMode="External"/><Relationship Id="rId17" Type="http://schemas.openxmlformats.org/officeDocument/2006/relationships/hyperlink" Target="https://www.nice.org.uk/process/pmg36/resources/nice-health-technology-evaluations-the-manual-pdf-72286779244741" TargetMode="External"/><Relationship Id="rId25" Type="http://schemas.openxmlformats.org/officeDocument/2006/relationships/hyperlink" Target="https://www.pbs.gov.au/info/industry/listing/elements/pbac-meetings/psd/2021-03/glatiramer-injection-containing-glatiramer-acetate-20-mg" TargetMode="External"/><Relationship Id="rId33" Type="http://schemas.openxmlformats.org/officeDocument/2006/relationships/hyperlink" Target="https://www.pbs.gov.au/info/industry/listing/elements/pbac-meetings/psd/2015-11/lenalidomide-revlimid-psd-11-2015" TargetMode="External"/><Relationship Id="rId38" Type="http://schemas.openxmlformats.org/officeDocument/2006/relationships/hyperlink" Target="https://www.pbs.gov.au/info/industry/listing/elements/pbac-meetings/psd/2020-11/cemiplimab-solution-for-i-v-infusion-350-mg-in-7-ml-libta" TargetMode="External"/><Relationship Id="rId46" Type="http://schemas.openxmlformats.org/officeDocument/2006/relationships/hyperlink" Target="https://www.pbs.gov.au/pbs/industry/listing/elements/pbac-meetings/psd/2021-07/zanubrutinib-wm-capsule-80-mg-brukinsa" TargetMode="External"/><Relationship Id="rId20" Type="http://schemas.openxmlformats.org/officeDocument/2006/relationships/hyperlink" Target="https://www.pbs.gov.au/info/industry/listing/elements/pbac-meetings/psd/2016-11/pembrolizumab-nsclc-keytruda-psd-november-2016" TargetMode="External"/><Relationship Id="rId41" Type="http://schemas.openxmlformats.org/officeDocument/2006/relationships/hyperlink" Target="https://www.pbs.gov.au/info/industry/listing/elements/pbac-meetings/psd/2020-07/ravulizumab-solution-concentrate-for-iv-infusion-300-mg" TargetMode="External"/><Relationship Id="rId54" Type="http://schemas.openxmlformats.org/officeDocument/2006/relationships/hyperlink" Target="https://www.pbs.gov.au/info/industry/listing/elements/pbac-meetings/psd/2021-03/venetoclax-tablet-100-mg-venclext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adth.ca/sites/default/files/pdf/guidelines_for_the_economic_evaluation_of_health_technologies_canada_4th_ed.pdf" TargetMode="External"/><Relationship Id="rId23" Type="http://schemas.openxmlformats.org/officeDocument/2006/relationships/hyperlink" Target="https://www.pbs.gov.au/info/industry/listing/elements/pbac-meetings/psd/2018-11/Buprenorphine-psd-november-2018" TargetMode="External"/><Relationship Id="rId28" Type="http://schemas.openxmlformats.org/officeDocument/2006/relationships/hyperlink" Target="https://www.pbs.gov.au/info/industry/listing/elements/pbac-meetings/psd/2017-07/asfotase-alfa-rch-psd-july-2017" TargetMode="External"/><Relationship Id="rId36" Type="http://schemas.openxmlformats.org/officeDocument/2006/relationships/hyperlink" Target="https://www.pbs.gov.au/info/industry/listing/elements/pbac-meetings/psd/2019-07/cabozantinib-tablet-20-mg-tablet-40-mg-tablet-60-mg" TargetMode="External"/><Relationship Id="rId49" Type="http://schemas.openxmlformats.org/officeDocument/2006/relationships/hyperlink" Target="https://www.pbs.gov.au/info/industry/listing/elements/pbac-meetings/psd/2021-11/nivolumab-injection-concentrate-for-i-v-infusion-40-mg-in"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pbs.gov.au/info/industry/listing/elements/pbac-meetings/psd/2016-03/adalimumab-humira-hs-psd-03-2016" TargetMode="External"/><Relationship Id="rId44" Type="http://schemas.openxmlformats.org/officeDocument/2006/relationships/hyperlink" Target="https://www.pbs.gov.au/info/industry/listing/elements/pbac-meetings/psd/2021-07/esketamine-nasal-spray-solution-28-mg-spravato" TargetMode="External"/><Relationship Id="rId52" Type="http://schemas.openxmlformats.org/officeDocument/2006/relationships/hyperlink" Target="https://www.pbs.gov.au/pbs/industry/listing/elements/pbac-meetings/psd/2017-11/daratumumab-psd-novembe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29DCE99849C542B5F84417CB4007EA" ma:contentTypeVersion="4" ma:contentTypeDescription="Create a new document." ma:contentTypeScope="" ma:versionID="01d4ceef499f5cafad0303a165584ad3">
  <xsd:schema xmlns:xsd="http://www.w3.org/2001/XMLSchema" xmlns:xs="http://www.w3.org/2001/XMLSchema" xmlns:p="http://schemas.microsoft.com/office/2006/metadata/properties" xmlns:ns2="10874195-6e39-4c70-8ac3-4ee5d59afd7d" targetNamespace="http://schemas.microsoft.com/office/2006/metadata/properties" ma:root="true" ma:fieldsID="e5b356989e4df78d6340e770e2fca17b" ns2:_="">
    <xsd:import namespace="10874195-6e39-4c70-8ac3-4ee5d59afd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74195-6e39-4c70-8ac3-4ee5d59af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87D78-AA9D-4199-8B47-BDB09BC25980}">
  <ds:schemaRefs>
    <ds:schemaRef ds:uri="http://schemas.microsoft.com/sharepoint/v3/contenttype/forms"/>
  </ds:schemaRefs>
</ds:datastoreItem>
</file>

<file path=customXml/itemProps2.xml><?xml version="1.0" encoding="utf-8"?>
<ds:datastoreItem xmlns:ds="http://schemas.openxmlformats.org/officeDocument/2006/customXml" ds:itemID="{B1781977-D222-4D3D-828E-258B3283CD13}">
  <ds:schemaRefs>
    <ds:schemaRef ds:uri="http://schemas.openxmlformats.org/officeDocument/2006/bibliography"/>
  </ds:schemaRefs>
</ds:datastoreItem>
</file>

<file path=customXml/itemProps3.xml><?xml version="1.0" encoding="utf-8"?>
<ds:datastoreItem xmlns:ds="http://schemas.openxmlformats.org/officeDocument/2006/customXml" ds:itemID="{64FE0F0C-D4D0-4739-BEDB-23067FAC74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8E3111-E449-49DD-A9EE-973C39B1A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74195-6e39-4c70-8ac3-4ee5d59af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39</Pages>
  <Words>22530</Words>
  <Characters>128423</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qunfei</dc:creator>
  <cp:lastModifiedBy>Qunfei Chen (HDR)</cp:lastModifiedBy>
  <cp:revision>2946</cp:revision>
  <cp:lastPrinted>2024-06-15T08:13:00Z</cp:lastPrinted>
  <dcterms:created xsi:type="dcterms:W3CDTF">2022-08-11T05:18:00Z</dcterms:created>
  <dcterms:modified xsi:type="dcterms:W3CDTF">2024-10-23T04:59:00Z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a991370d7c8c5afed3aa5e0421575b27093f1bd24c3f6552c99f332b3ac764c8</vt:lpwstr>
  </property>
  <property fmtid="{D5CDD505-2E9C-101B-9397-08002B2CF9AE}" pid="3" name="KSOProductBuildVer">
    <vt:lpwstr>2052-11.1.0.12358</vt:lpwstr>
  </property>
  <property fmtid="{D5CDD505-2E9C-101B-9397-08002B2CF9AE}" pid="4" name="ICV">
    <vt:lpwstr>0C7F6FE474F146B591B3C6B3980D2CE5</vt:lpwstr>
  </property>
  <property fmtid="{D5CDD505-2E9C-101B-9397-08002B2CF9AE}" pid="5" name="ContentTypeId">
    <vt:lpwstr>0x0101006529DCE99849C542B5F84417CB4007EA</vt:lpwstr>
  </property>
</Properties>
</file>