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0212C88" w14:textId="34C20998" w:rsidR="00081BE3" w:rsidRPr="006C422D" w:rsidRDefault="00570735" w:rsidP="00081BE3">
      <w:pPr>
        <w:rPr>
          <w:rFonts w:asciiTheme="majorHAnsi" w:eastAsiaTheme="majorEastAsia" w:hAnsiTheme="majorHAnsi" w:cstheme="majorBidi"/>
          <w:color w:val="2F5496" w:themeColor="accent1" w:themeShade="BF"/>
          <w:sz w:val="40"/>
          <w:szCs w:val="40"/>
        </w:rPr>
      </w:pPr>
      <w:bookmarkStart w:id="0" w:name="_Toc146394837"/>
      <w:bookmarkStart w:id="1" w:name="_Toc146976095"/>
      <w:bookmarkStart w:id="2" w:name="_GoBack"/>
      <w:r w:rsidRPr="00570735">
        <w:rPr>
          <w:rFonts w:asciiTheme="majorHAnsi" w:eastAsiaTheme="majorEastAsia" w:hAnsiTheme="majorHAnsi" w:cstheme="majorBidi"/>
          <w:color w:val="2F5496" w:themeColor="accent1" w:themeShade="BF"/>
          <w:sz w:val="40"/>
          <w:szCs w:val="40"/>
        </w:rPr>
        <w:t>External validation of the MicroSimulation Core Obesity Model (MS-COM) to predict cardiovascular outcomes, mortality, and Type 2 Diabetes Mellitus incidence and assess cost-effectiveness</w:t>
      </w:r>
      <w:r w:rsidR="00081BE3" w:rsidRPr="006C422D">
        <w:rPr>
          <w:rFonts w:asciiTheme="majorHAnsi" w:eastAsiaTheme="majorEastAsia" w:hAnsiTheme="majorHAnsi" w:cstheme="majorBidi"/>
          <w:color w:val="2F5496" w:themeColor="accent1" w:themeShade="BF"/>
          <w:sz w:val="40"/>
          <w:szCs w:val="40"/>
        </w:rPr>
        <w:t xml:space="preserve"> </w:t>
      </w:r>
    </w:p>
    <w:p w14:paraId="23652128" w14:textId="77777777" w:rsidR="00C34D2F" w:rsidRDefault="00C34D2F" w:rsidP="00C34D2F"/>
    <w:p w14:paraId="25DDFE37" w14:textId="25C3473A" w:rsidR="007326C2" w:rsidRDefault="007326C2" w:rsidP="007326C2">
      <w:r w:rsidRPr="00645572">
        <w:t>Christopher G Fawsitt</w:t>
      </w:r>
      <w:r>
        <w:rPr>
          <w:vertAlign w:val="superscript"/>
        </w:rPr>
        <w:t>1</w:t>
      </w:r>
      <w:r w:rsidRPr="00645572">
        <w:t>, Howard Thom</w:t>
      </w:r>
      <w:r w:rsidRPr="00F1362F">
        <w:rPr>
          <w:vertAlign w:val="superscript"/>
        </w:rPr>
        <w:t>1,</w:t>
      </w:r>
      <w:r>
        <w:rPr>
          <w:vertAlign w:val="superscript"/>
        </w:rPr>
        <w:t xml:space="preserve">2 </w:t>
      </w:r>
      <w:r>
        <w:t>David Aceituno</w:t>
      </w:r>
      <w:r w:rsidRPr="00DB513B">
        <w:rPr>
          <w:vertAlign w:val="superscript"/>
        </w:rPr>
        <w:t>1,</w:t>
      </w:r>
      <w:r>
        <w:rPr>
          <w:vertAlign w:val="superscript"/>
        </w:rPr>
        <w:t>3,4</w:t>
      </w:r>
      <w:r>
        <w:t xml:space="preserve">, </w:t>
      </w:r>
      <w:r w:rsidRPr="008E62D3">
        <w:t>Alexander Jarde</w:t>
      </w:r>
      <w:r w:rsidRPr="0067124B">
        <w:rPr>
          <w:vertAlign w:val="superscript"/>
        </w:rPr>
        <w:t>1</w:t>
      </w:r>
      <w:r>
        <w:t>, Sara Larsen</w:t>
      </w:r>
      <w:r>
        <w:rPr>
          <w:vertAlign w:val="superscript"/>
        </w:rPr>
        <w:t>5</w:t>
      </w:r>
      <w:r>
        <w:t xml:space="preserve">, </w:t>
      </w:r>
      <w:r w:rsidRPr="00BB4D25">
        <w:t>Christopher Lübker</w:t>
      </w:r>
      <w:r>
        <w:rPr>
          <w:vertAlign w:val="superscript"/>
        </w:rPr>
        <w:t>5</w:t>
      </w:r>
      <w:r>
        <w:t>,  Edward Kayongo</w:t>
      </w:r>
      <w:r w:rsidRPr="006B5335">
        <w:rPr>
          <w:vertAlign w:val="superscript"/>
        </w:rPr>
        <w:t>1</w:t>
      </w:r>
      <w:r>
        <w:t>, Edna Keeney</w:t>
      </w:r>
      <w:r w:rsidRPr="006B5335">
        <w:rPr>
          <w:vertAlign w:val="superscript"/>
        </w:rPr>
        <w:t>1</w:t>
      </w:r>
      <w:r>
        <w:t>, Volker Foos</w:t>
      </w:r>
      <w:r>
        <w:rPr>
          <w:vertAlign w:val="superscript"/>
        </w:rPr>
        <w:t>6</w:t>
      </w:r>
    </w:p>
    <w:p w14:paraId="506E40AC" w14:textId="77777777" w:rsidR="007326C2" w:rsidRDefault="007326C2" w:rsidP="007326C2">
      <w:r>
        <w:rPr>
          <w:vertAlign w:val="superscript"/>
        </w:rPr>
        <w:t>1</w:t>
      </w:r>
      <w:r w:rsidRPr="00645572">
        <w:t xml:space="preserve"> Clifton Insight, Bristol, UK</w:t>
      </w:r>
    </w:p>
    <w:p w14:paraId="30B3E545" w14:textId="77777777" w:rsidR="007326C2" w:rsidRDefault="007326C2" w:rsidP="007326C2">
      <w:r>
        <w:rPr>
          <w:vertAlign w:val="superscript"/>
        </w:rPr>
        <w:t>2</w:t>
      </w:r>
      <w:r w:rsidRPr="00645572">
        <w:t xml:space="preserve"> Population Health Sciences, Bristol Medical School, University of Bristol, UK</w:t>
      </w:r>
    </w:p>
    <w:p w14:paraId="006F594B" w14:textId="77777777" w:rsidR="007326C2" w:rsidRDefault="007326C2" w:rsidP="007326C2">
      <w:r>
        <w:rPr>
          <w:vertAlign w:val="superscript"/>
        </w:rPr>
        <w:t>3</w:t>
      </w:r>
      <w:r w:rsidRPr="00645572">
        <w:t xml:space="preserve"> </w:t>
      </w:r>
      <w:r>
        <w:t>King’s College, London, united Kingdom</w:t>
      </w:r>
    </w:p>
    <w:p w14:paraId="4AC141D3" w14:textId="77777777" w:rsidR="007326C2" w:rsidRPr="000E4216" w:rsidRDefault="007326C2" w:rsidP="007326C2">
      <w:pPr>
        <w:rPr>
          <w:lang w:val="en-IE"/>
        </w:rPr>
      </w:pPr>
      <w:r w:rsidRPr="000E4216">
        <w:rPr>
          <w:vertAlign w:val="superscript"/>
          <w:lang w:val="en-IE"/>
        </w:rPr>
        <w:t>4</w:t>
      </w:r>
      <w:r w:rsidRPr="000E4216">
        <w:rPr>
          <w:lang w:val="en-IE"/>
        </w:rPr>
        <w:t xml:space="preserve"> Pontificia Universidad Católica de Chile, Chile</w:t>
      </w:r>
    </w:p>
    <w:p w14:paraId="7307229A" w14:textId="77777777" w:rsidR="007326C2" w:rsidRPr="005F63C5" w:rsidRDefault="007326C2" w:rsidP="007326C2">
      <w:pPr>
        <w:rPr>
          <w:lang w:val="da-DK"/>
        </w:rPr>
      </w:pPr>
      <w:r>
        <w:rPr>
          <w:vertAlign w:val="superscript"/>
          <w:lang w:val="da-DK"/>
        </w:rPr>
        <w:t>5</w:t>
      </w:r>
      <w:r w:rsidRPr="005F63C5">
        <w:rPr>
          <w:lang w:val="da-DK"/>
        </w:rPr>
        <w:t xml:space="preserve"> Novo Nordisk A/S, Søborg, Denmark</w:t>
      </w:r>
    </w:p>
    <w:p w14:paraId="2C6256ED" w14:textId="73C76946" w:rsidR="00C34D2F" w:rsidRDefault="007326C2" w:rsidP="007326C2">
      <w:r>
        <w:rPr>
          <w:vertAlign w:val="superscript"/>
        </w:rPr>
        <w:t>5</w:t>
      </w:r>
      <w:r w:rsidRPr="00645572">
        <w:t xml:space="preserve"> </w:t>
      </w:r>
      <w:r w:rsidRPr="00480F06">
        <w:t>HEOR, Cardiff, UK</w:t>
      </w:r>
    </w:p>
    <w:p w14:paraId="53AD95B7" w14:textId="77777777" w:rsidR="00C34D2F" w:rsidRDefault="00C34D2F" w:rsidP="00C34D2F">
      <w:pPr>
        <w:rPr>
          <w:b/>
          <w:bCs/>
        </w:rPr>
      </w:pPr>
    </w:p>
    <w:p w14:paraId="45558298" w14:textId="77777777" w:rsidR="00C34D2F" w:rsidRPr="002B1CB7" w:rsidRDefault="00C34D2F" w:rsidP="00C34D2F">
      <w:r w:rsidRPr="00977187">
        <w:rPr>
          <w:b/>
          <w:bCs/>
        </w:rPr>
        <w:t>Corresponding autho</w:t>
      </w:r>
      <w:r>
        <w:t xml:space="preserve">r: </w:t>
      </w:r>
      <w:r w:rsidRPr="002B1CB7">
        <w:t>Chris Lubker, Novo Nordisk A/S, Søborg, Denmark</w:t>
      </w:r>
    </w:p>
    <w:p w14:paraId="7E06D453" w14:textId="2F7A40B3" w:rsidR="0055486A" w:rsidRPr="00BC7FC4" w:rsidRDefault="00C34D2F" w:rsidP="00C34D2F">
      <w:pPr>
        <w:rPr>
          <w:rFonts w:ascii="Calibri" w:hAnsi="Calibri" w:cs="Calibri"/>
        </w:rPr>
      </w:pPr>
      <w:r w:rsidRPr="002B1CB7">
        <w:t xml:space="preserve">Email: </w:t>
      </w:r>
      <w:r w:rsidRPr="00D56E73">
        <w:rPr>
          <w:rStyle w:val="Hyperlink"/>
        </w:rPr>
        <w:t>CJLU@novonordisk.com</w:t>
      </w:r>
    </w:p>
    <w:p w14:paraId="670C6FC8" w14:textId="77777777" w:rsidR="0055486A" w:rsidRPr="00BC7FC4" w:rsidRDefault="0055486A" w:rsidP="0055486A">
      <w:pPr>
        <w:rPr>
          <w:rFonts w:ascii="Calibri" w:hAnsi="Calibri" w:cs="Calibri"/>
        </w:rPr>
      </w:pPr>
    </w:p>
    <w:p w14:paraId="632940C4" w14:textId="66AB772F" w:rsidR="0055486A" w:rsidRDefault="0055486A" w:rsidP="0055486A">
      <w:pPr>
        <w:rPr>
          <w:rFonts w:ascii="Calibri" w:hAnsi="Calibri" w:cs="Calibri"/>
        </w:rPr>
      </w:pPr>
      <w:r w:rsidRPr="00BC7FC4">
        <w:rPr>
          <w:rFonts w:ascii="Calibri" w:hAnsi="Calibri" w:cs="Calibri"/>
        </w:rPr>
        <w:t xml:space="preserve">Online resource 1 Summary of </w:t>
      </w:r>
      <w:r>
        <w:rPr>
          <w:rFonts w:ascii="Calibri" w:hAnsi="Calibri" w:cs="Calibri"/>
        </w:rPr>
        <w:t xml:space="preserve">evidence reviews to inform </w:t>
      </w:r>
      <w:r w:rsidR="00926E47">
        <w:rPr>
          <w:rFonts w:ascii="Calibri" w:hAnsi="Calibri" w:cs="Calibri"/>
        </w:rPr>
        <w:t xml:space="preserve">external independent </w:t>
      </w:r>
      <w:r>
        <w:rPr>
          <w:rFonts w:ascii="Calibri" w:hAnsi="Calibri" w:cs="Calibri"/>
        </w:rPr>
        <w:t>validation of the MicroSimulation Core Obesity Model (MS-COM)</w:t>
      </w:r>
    </w:p>
    <w:p w14:paraId="3CEDB610" w14:textId="128F871D" w:rsidR="0055486A" w:rsidRDefault="0055486A">
      <w:pPr>
        <w:rPr>
          <w:rFonts w:ascii="Calibri" w:hAnsi="Calibri" w:cs="Calibri"/>
        </w:rPr>
      </w:pPr>
      <w:r>
        <w:rPr>
          <w:rFonts w:ascii="Calibri" w:hAnsi="Calibri" w:cs="Calibri"/>
        </w:rPr>
        <w:br w:type="page"/>
      </w:r>
    </w:p>
    <w:p w14:paraId="5CE52B1C" w14:textId="0732A310" w:rsidR="002D7B76" w:rsidRPr="002D7B76" w:rsidRDefault="002D6669" w:rsidP="00DA321A">
      <w:pPr>
        <w:pStyle w:val="Heading1"/>
      </w:pPr>
      <w:r>
        <w:lastRenderedPageBreak/>
        <w:t>Background</w:t>
      </w:r>
      <w:bookmarkEnd w:id="0"/>
      <w:bookmarkEnd w:id="1"/>
    </w:p>
    <w:p w14:paraId="5C41B4CD" w14:textId="2D22BE86" w:rsidR="00E14F7E" w:rsidRDefault="00547E34" w:rsidP="00E14F7E">
      <w:r>
        <w:t xml:space="preserve">Novo Nordisk, working with Health Economics and Outcomes Research (HEOR), developed a </w:t>
      </w:r>
      <w:r w:rsidR="00AD6BFD">
        <w:t xml:space="preserve">Microsimulation Core Obesity Model </w:t>
      </w:r>
      <w:r w:rsidR="00E15EF5">
        <w:t>(</w:t>
      </w:r>
      <w:r w:rsidR="00AD6BFD">
        <w:t>MS-COM</w:t>
      </w:r>
      <w:r w:rsidR="00E15EF5">
        <w:t>) to assess the cost-effectiveness of semaglutide</w:t>
      </w:r>
      <w:r w:rsidR="008317A5">
        <w:t xml:space="preserve"> 2.4 mg</w:t>
      </w:r>
      <w:r w:rsidR="00E15EF5">
        <w:t xml:space="preserve"> in obesity. This model is an </w:t>
      </w:r>
      <w:r w:rsidR="008317A5">
        <w:t>addition to the existing</w:t>
      </w:r>
      <w:r w:rsidR="00E15EF5">
        <w:t xml:space="preserve"> </w:t>
      </w:r>
      <w:r w:rsidR="00E14F7E">
        <w:t>Core Obesity Model (COM)</w:t>
      </w:r>
      <w:r w:rsidR="00E15EF5">
        <w:t xml:space="preserve">, which </w:t>
      </w:r>
      <w:r w:rsidR="008317A5">
        <w:t xml:space="preserve">is </w:t>
      </w:r>
      <w:r w:rsidR="00E15EF5">
        <w:t>a cohort Markov model</w:t>
      </w:r>
      <w:r w:rsidR="00E14F7E">
        <w:t>.</w:t>
      </w:r>
      <w:r w:rsidR="00FA0754" w:rsidRPr="00FA0754">
        <w:rPr>
          <w:noProof/>
          <w:vertAlign w:val="superscript"/>
        </w:rPr>
        <w:t>1</w:t>
      </w:r>
      <w:r w:rsidR="00E15EF5">
        <w:t xml:space="preserve"> </w:t>
      </w:r>
      <w:r w:rsidR="00E669A5">
        <w:t xml:space="preserve">A microsimulation approach was adopted to address the challenge of representing </w:t>
      </w:r>
      <w:r w:rsidR="00AD49BF">
        <w:t>interrelation of risk factors and nonlinearity of outcomes in obesity.</w:t>
      </w:r>
      <w:r w:rsidR="00FA0754" w:rsidRPr="00FA0754">
        <w:rPr>
          <w:noProof/>
          <w:vertAlign w:val="superscript"/>
        </w:rPr>
        <w:t>2 3</w:t>
      </w:r>
      <w:r w:rsidR="00AD49BF">
        <w:t xml:space="preserve"> </w:t>
      </w:r>
      <w:r w:rsidR="00E41DFD">
        <w:t>I</w:t>
      </w:r>
      <w:r w:rsidR="00AD49BF">
        <w:t xml:space="preserve">nputs were largely adapted from the COM model, </w:t>
      </w:r>
      <w:r w:rsidR="00E41DFD">
        <w:t>utilising Qdiabetes risk equations and UKPDS.</w:t>
      </w:r>
      <w:r w:rsidR="00E41DFD" w:rsidRPr="00E41DFD">
        <w:t xml:space="preserve"> </w:t>
      </w:r>
      <w:r w:rsidR="00FA0754" w:rsidRPr="00FA0754">
        <w:rPr>
          <w:noProof/>
          <w:vertAlign w:val="superscript"/>
        </w:rPr>
        <w:t>4 5</w:t>
      </w:r>
      <w:r w:rsidR="00E41DFD">
        <w:t xml:space="preserve"> This evidence was supplemented with results from the pivotal STEP</w:t>
      </w:r>
      <w:r w:rsidR="00691F55">
        <w:t xml:space="preserve"> 1</w:t>
      </w:r>
      <w:r w:rsidR="00E41DFD">
        <w:t xml:space="preserve"> study of semaglutide </w:t>
      </w:r>
      <w:r w:rsidR="00691F55">
        <w:t xml:space="preserve">2.4 mg </w:t>
      </w:r>
      <w:r w:rsidR="00E41DFD">
        <w:t>for obesity, and the Qrisk</w:t>
      </w:r>
      <w:r w:rsidR="00FA0754">
        <w:t>3</w:t>
      </w:r>
      <w:r w:rsidR="00E41DFD">
        <w:t xml:space="preserve"> and Framingham risk equations. </w:t>
      </w:r>
      <w:r w:rsidR="00FA0754" w:rsidRPr="00FA0754">
        <w:rPr>
          <w:noProof/>
          <w:vertAlign w:val="superscript"/>
        </w:rPr>
        <w:t>6-8</w:t>
      </w:r>
      <w:r w:rsidR="00FA0754">
        <w:t xml:space="preserve"> The latter were recommended improvements to COM by published commentaries.</w:t>
      </w:r>
      <w:r w:rsidR="00FA0754" w:rsidRPr="00FA0754">
        <w:rPr>
          <w:noProof/>
          <w:vertAlign w:val="superscript"/>
        </w:rPr>
        <w:t>9</w:t>
      </w:r>
    </w:p>
    <w:p w14:paraId="48153056" w14:textId="77C30127" w:rsidR="002E4472" w:rsidRDefault="002E4472" w:rsidP="002E4472">
      <w:r>
        <w:t xml:space="preserve">The model itself is illustrated in </w:t>
      </w:r>
      <w:r w:rsidR="009A3E81">
        <w:t xml:space="preserve">Figure </w:t>
      </w:r>
      <w:r w:rsidR="009A3E81">
        <w:rPr>
          <w:noProof/>
        </w:rPr>
        <w:t>1</w:t>
      </w:r>
      <w:r>
        <w:t xml:space="preserve">. The time horizon was set to 80 years to allow evaluation in younger populations. Cycle length was variable, with the first eight cycles being quarterly and the latter cycles being annual. The intervention </w:t>
      </w:r>
      <w:r w:rsidR="00CD3F17">
        <w:t>w</w:t>
      </w:r>
      <w:r>
        <w:t>as semaglutide 2.4mg while control was diet and exercise.</w:t>
      </w:r>
    </w:p>
    <w:p w14:paraId="632FD98A" w14:textId="56D316A5" w:rsidR="009A3E81" w:rsidRDefault="009A3E81" w:rsidP="009A3E81">
      <w:pPr>
        <w:pStyle w:val="Caption"/>
        <w:keepNext/>
      </w:pPr>
      <w:bookmarkStart w:id="3" w:name="_Ref147402104"/>
      <w:r>
        <w:t xml:space="preserve">Figure </w:t>
      </w:r>
      <w:r w:rsidR="001C0358">
        <w:rPr>
          <w:noProof/>
        </w:rPr>
        <w:t>1</w:t>
      </w:r>
      <w:bookmarkEnd w:id="3"/>
      <w:r>
        <w:t xml:space="preserve"> Diagram of Microsimulation</w:t>
      </w:r>
      <w:r w:rsidR="00A35F14">
        <w:t xml:space="preserve"> Core Obesity</w:t>
      </w:r>
      <w:r>
        <w:t xml:space="preserve"> (MS</w:t>
      </w:r>
      <w:r w:rsidR="00A35F14">
        <w:t>-CO</w:t>
      </w:r>
      <w:r>
        <w:t>M) obesity model, provided by Novo Nordisk and HEOR</w:t>
      </w:r>
    </w:p>
    <w:p w14:paraId="3DB96AFC" w14:textId="77777777" w:rsidR="009A3E81" w:rsidRDefault="009A3E81" w:rsidP="009A3E81">
      <w:r>
        <w:rPr>
          <w:noProof/>
          <w:lang w:val="en-IN" w:eastAsia="en-IN"/>
        </w:rPr>
        <w:drawing>
          <wp:inline distT="0" distB="0" distL="0" distR="0" wp14:anchorId="0D4A15F3" wp14:editId="6E38BAEE">
            <wp:extent cx="5726430" cy="3196590"/>
            <wp:effectExtent l="0" t="0" r="7620" b="3810"/>
            <wp:docPr id="1480631926" name="Picture 1480631926"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0631926" name="Picture 1" descr="A screenshot of a computer&#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26430" cy="3196590"/>
                    </a:xfrm>
                    <a:prstGeom prst="rect">
                      <a:avLst/>
                    </a:prstGeom>
                    <a:noFill/>
                    <a:ln>
                      <a:noFill/>
                    </a:ln>
                  </pic:spPr>
                </pic:pic>
              </a:graphicData>
            </a:graphic>
          </wp:inline>
        </w:drawing>
      </w:r>
    </w:p>
    <w:p w14:paraId="2E0DD1A1" w14:textId="77777777" w:rsidR="009A3E81" w:rsidRDefault="009A3E81" w:rsidP="002E4472"/>
    <w:p w14:paraId="400F005D" w14:textId="470B6199" w:rsidR="000C3CE0" w:rsidRDefault="00A06912" w:rsidP="00730899">
      <w:r w:rsidRPr="00F80077">
        <w:t>A lack of validation and transparency for cost-effectiveness models can be significant barrier to their acceptance by health technology assessment (HTA) payers and othe</w:t>
      </w:r>
      <w:r>
        <w:t>r</w:t>
      </w:r>
      <w:r w:rsidRPr="00F80077">
        <w:t xml:space="preserve"> decision makers</w:t>
      </w:r>
      <w:r>
        <w:t>.</w:t>
      </w:r>
      <w:r w:rsidR="0072027D" w:rsidRPr="0072027D">
        <w:rPr>
          <w:noProof/>
          <w:vertAlign w:val="superscript"/>
        </w:rPr>
        <w:t>10</w:t>
      </w:r>
      <w:r>
        <w:t xml:space="preserve"> </w:t>
      </w:r>
      <w:r w:rsidR="00F30578">
        <w:t>It is therefore recommended that validation be conducted of the MSM obesity model.</w:t>
      </w:r>
      <w:r w:rsidR="007C507F">
        <w:t xml:space="preserve"> </w:t>
      </w:r>
      <w:r w:rsidR="00C44A10">
        <w:t xml:space="preserve">External validation requires the comparison of model estimates with reports from dependent (i.e., used to inform the model) and independent external data. A systematic literature review (SLR) of previous obesity models </w:t>
      </w:r>
      <w:r w:rsidR="009B44C7">
        <w:t xml:space="preserve">(Schwander 2018) </w:t>
      </w:r>
      <w:r w:rsidR="00C44A10">
        <w:t xml:space="preserve">found that only </w:t>
      </w:r>
      <w:r w:rsidR="00C44A10" w:rsidRPr="0043718E">
        <w:t xml:space="preserve">10 of 72 (14%) of identified obesity models had been validated using </w:t>
      </w:r>
      <w:r w:rsidR="00C44A10">
        <w:t xml:space="preserve">such </w:t>
      </w:r>
      <w:r w:rsidR="00C44A10" w:rsidRPr="0043718E">
        <w:t>external data.</w:t>
      </w:r>
      <w:r w:rsidR="0072027D" w:rsidRPr="0072027D">
        <w:rPr>
          <w:noProof/>
          <w:vertAlign w:val="superscript"/>
        </w:rPr>
        <w:t>11</w:t>
      </w:r>
      <w:r w:rsidR="00C44A10">
        <w:t xml:space="preserve"> </w:t>
      </w:r>
      <w:r w:rsidR="000C3CE0">
        <w:t>Despite the general lack of validation of obesity models, a detailed external validation was conducted and published on the COM.</w:t>
      </w:r>
      <w:r w:rsidR="0072027D" w:rsidRPr="0072027D">
        <w:rPr>
          <w:noProof/>
          <w:vertAlign w:val="superscript"/>
        </w:rPr>
        <w:t>12</w:t>
      </w:r>
      <w:r w:rsidR="000C3CE0">
        <w:t xml:space="preserve"> </w:t>
      </w:r>
    </w:p>
    <w:p w14:paraId="307DCDD1" w14:textId="2B00985A" w:rsidR="00D9030C" w:rsidRDefault="000C3CE0" w:rsidP="0035376D">
      <w:r>
        <w:t>The evidence</w:t>
      </w:r>
      <w:r w:rsidR="00730899">
        <w:t xml:space="preserve"> for validation was provided by a 2017 validation of </w:t>
      </w:r>
      <w:r w:rsidR="00D9030C">
        <w:t xml:space="preserve">the </w:t>
      </w:r>
      <w:r w:rsidR="00730899">
        <w:t xml:space="preserve">ECHO-T2DM model and </w:t>
      </w:r>
      <w:r w:rsidR="003356ED">
        <w:t>the previously noted SLR</w:t>
      </w:r>
      <w:r w:rsidR="00730899">
        <w:t xml:space="preserve"> of obesity models from 2018.</w:t>
      </w:r>
      <w:r w:rsidR="0072027D" w:rsidRPr="0072027D">
        <w:rPr>
          <w:noProof/>
          <w:vertAlign w:val="superscript"/>
        </w:rPr>
        <w:t>11 13</w:t>
      </w:r>
      <w:r w:rsidR="00730899">
        <w:t xml:space="preserve"> </w:t>
      </w:r>
      <w:r>
        <w:t xml:space="preserve">Targeted literature reviews were then used to supplement the studies identified in the ECHO-T2DM validation and systematic review. </w:t>
      </w:r>
    </w:p>
    <w:p w14:paraId="03276741" w14:textId="2F61FFCB" w:rsidR="0035376D" w:rsidRDefault="000C3CE0" w:rsidP="0035376D">
      <w:r>
        <w:lastRenderedPageBreak/>
        <w:t>The face validity of COM was evaluated by clinical expert feedback and presentations at conferences, while verification was performed by double-programming. However, a commentary argued that the face validity and verification should also have been published.</w:t>
      </w:r>
      <w:r w:rsidR="00FA0754" w:rsidRPr="00FA0754">
        <w:rPr>
          <w:noProof/>
          <w:vertAlign w:val="superscript"/>
        </w:rPr>
        <w:t>9</w:t>
      </w:r>
      <w:r>
        <w:t xml:space="preserve"> Cross validation was not performed as programmers had access to only one model. </w:t>
      </w:r>
      <w:r w:rsidR="0035376D">
        <w:t>The external validation considered 193 validation endpoints (162 CV and mortality outcomes, 10 T2DM incidence outcomes, and 21 OSA outcomes). Predicted outcomes by the model were compared against reported outcomes from the study, using visual assessment and statistical measures of concordance. The validation found only limited disagreement with reported studies, with the exception of an underestimation of CV disease and mortality, and T2DM.</w:t>
      </w:r>
      <w:r w:rsidR="0072027D" w:rsidRPr="0072027D">
        <w:rPr>
          <w:noProof/>
          <w:vertAlign w:val="superscript"/>
        </w:rPr>
        <w:t>12</w:t>
      </w:r>
    </w:p>
    <w:p w14:paraId="21B6A508" w14:textId="5A1A469B" w:rsidR="00730899" w:rsidRDefault="00856ED2" w:rsidP="00730899">
      <w:r>
        <w:t xml:space="preserve">Novo Nordisk requested Clifton Insight to </w:t>
      </w:r>
      <w:r w:rsidR="00A35F14">
        <w:t xml:space="preserve">conduct </w:t>
      </w:r>
      <w:r>
        <w:t>a full external independent and dependent validation of the MS</w:t>
      </w:r>
      <w:r w:rsidR="00A35F14">
        <w:t>-CO</w:t>
      </w:r>
      <w:r>
        <w:t>M model. They requested that methods follow those of the validation of COM.</w:t>
      </w:r>
      <w:r w:rsidR="0072027D" w:rsidRPr="0072027D">
        <w:rPr>
          <w:noProof/>
          <w:vertAlign w:val="superscript"/>
        </w:rPr>
        <w:t>12</w:t>
      </w:r>
      <w:r>
        <w:t xml:space="preserve"> </w:t>
      </w:r>
      <w:r w:rsidR="000C3CE0">
        <w:t xml:space="preserve">It should be noted that </w:t>
      </w:r>
      <w:r w:rsidR="0035376D">
        <w:t xml:space="preserve">two studies used </w:t>
      </w:r>
      <w:r>
        <w:t>to inform the review a</w:t>
      </w:r>
      <w:r w:rsidR="000C3CE0">
        <w:t>re now over</w:t>
      </w:r>
      <w:r w:rsidR="00730899">
        <w:t xml:space="preserve"> 5 years old</w:t>
      </w:r>
      <w:r>
        <w:t>.</w:t>
      </w:r>
      <w:r w:rsidR="0072027D" w:rsidRPr="0072027D">
        <w:rPr>
          <w:noProof/>
          <w:vertAlign w:val="superscript"/>
        </w:rPr>
        <w:t>11 13</w:t>
      </w:r>
      <w:r>
        <w:t xml:space="preserve"> </w:t>
      </w:r>
      <w:r w:rsidR="00730899">
        <w:t xml:space="preserve"> </w:t>
      </w:r>
      <w:r>
        <w:t>Also</w:t>
      </w:r>
      <w:r w:rsidR="00730899">
        <w:t>, the latest study identified was published in 2016, with the oldest being published in 1996.</w:t>
      </w:r>
      <w:r w:rsidR="0072027D" w:rsidRPr="0072027D">
        <w:rPr>
          <w:noProof/>
          <w:vertAlign w:val="superscript"/>
        </w:rPr>
        <w:t>14 15</w:t>
      </w:r>
      <w:r w:rsidR="00730899">
        <w:t xml:space="preserve"> </w:t>
      </w:r>
      <w:r>
        <w:t>It included</w:t>
      </w:r>
      <w:r w:rsidR="00730899">
        <w:t xml:space="preserve"> studies also had few obesity patients and one included patients with restricted lipid profiles.</w:t>
      </w:r>
      <w:r w:rsidR="0072027D" w:rsidRPr="0072027D">
        <w:rPr>
          <w:noProof/>
          <w:vertAlign w:val="superscript"/>
        </w:rPr>
        <w:t>16</w:t>
      </w:r>
      <w:r w:rsidR="00730899">
        <w:t xml:space="preserve"> The age and limitations of previously identified studies strongly suggests that an update </w:t>
      </w:r>
      <w:r>
        <w:t>search would be required to repeat the validation on the new obesity MS</w:t>
      </w:r>
      <w:r w:rsidR="004B6C4E">
        <w:t>-CO</w:t>
      </w:r>
      <w:r>
        <w:t>M.</w:t>
      </w:r>
      <w:r w:rsidR="00A34F67">
        <w:t xml:space="preserve"> Without such an update, it would likely prove challenging to publish the MSM validation in a peer reviewed journal.</w:t>
      </w:r>
      <w:r>
        <w:t xml:space="preserve"> </w:t>
      </w:r>
    </w:p>
    <w:p w14:paraId="05241039" w14:textId="77777777" w:rsidR="00A82D26" w:rsidRDefault="00A82D26" w:rsidP="007C507F">
      <w:pPr>
        <w:pStyle w:val="ListBullet"/>
        <w:numPr>
          <w:ilvl w:val="0"/>
          <w:numId w:val="0"/>
        </w:numPr>
        <w:rPr>
          <w:lang w:val="en-GB"/>
        </w:rPr>
      </w:pPr>
    </w:p>
    <w:p w14:paraId="2C1023D0" w14:textId="7BDDD3B5" w:rsidR="002D6669" w:rsidRPr="001B338A" w:rsidRDefault="002D6669" w:rsidP="00DA321A">
      <w:pPr>
        <w:pStyle w:val="Heading1"/>
      </w:pPr>
      <w:bookmarkStart w:id="4" w:name="_Toc146394838"/>
      <w:bookmarkStart w:id="5" w:name="_Toc146976099"/>
      <w:r>
        <w:t>Objectives</w:t>
      </w:r>
      <w:bookmarkEnd w:id="4"/>
      <w:bookmarkEnd w:id="5"/>
    </w:p>
    <w:p w14:paraId="029FD3F0" w14:textId="0F060774" w:rsidR="00C737AE" w:rsidRDefault="000C5F3C" w:rsidP="00207B09">
      <w:pPr>
        <w:pStyle w:val="ListBullet"/>
        <w:numPr>
          <w:ilvl w:val="0"/>
          <w:numId w:val="0"/>
        </w:numPr>
        <w:rPr>
          <w:lang w:val="en-GB"/>
        </w:rPr>
      </w:pPr>
      <w:r>
        <w:rPr>
          <w:lang w:val="en-GB"/>
        </w:rPr>
        <w:t xml:space="preserve">The overall objective of the evidence reviews </w:t>
      </w:r>
      <w:r w:rsidR="004B6C4E">
        <w:rPr>
          <w:lang w:val="en-GB"/>
        </w:rPr>
        <w:t xml:space="preserve">was </w:t>
      </w:r>
      <w:r>
        <w:rPr>
          <w:lang w:val="en-GB"/>
        </w:rPr>
        <w:t>to i</w:t>
      </w:r>
      <w:r w:rsidR="00C737AE">
        <w:rPr>
          <w:lang w:val="en-GB"/>
        </w:rPr>
        <w:t>dentify published studies</w:t>
      </w:r>
      <w:r w:rsidR="001E49ED">
        <w:rPr>
          <w:lang w:val="en-GB"/>
        </w:rPr>
        <w:t xml:space="preserve"> in populations with</w:t>
      </w:r>
      <w:r w:rsidR="00207B09">
        <w:rPr>
          <w:lang w:val="en-GB"/>
        </w:rPr>
        <w:t xml:space="preserve"> </w:t>
      </w:r>
      <w:r w:rsidR="00C737AE">
        <w:rPr>
          <w:lang w:val="en-GB"/>
        </w:rPr>
        <w:t>obes</w:t>
      </w:r>
      <w:r w:rsidR="001E49ED">
        <w:rPr>
          <w:lang w:val="en-GB"/>
        </w:rPr>
        <w:t>ity</w:t>
      </w:r>
      <w:r w:rsidR="00C737AE">
        <w:rPr>
          <w:lang w:val="en-GB"/>
        </w:rPr>
        <w:t xml:space="preserve"> or relevant patient populations against which predictions of the model </w:t>
      </w:r>
      <w:r w:rsidR="00383C26">
        <w:rPr>
          <w:lang w:val="en-GB"/>
        </w:rPr>
        <w:t xml:space="preserve">could </w:t>
      </w:r>
      <w:r w:rsidR="00C737AE">
        <w:rPr>
          <w:lang w:val="en-GB"/>
        </w:rPr>
        <w:t>be compared.</w:t>
      </w:r>
    </w:p>
    <w:p w14:paraId="5A4B82A7" w14:textId="7558B3DF" w:rsidR="000C5F3C" w:rsidRDefault="000C5F3C" w:rsidP="000C5F3C">
      <w:pPr>
        <w:pStyle w:val="ListBullet"/>
        <w:numPr>
          <w:ilvl w:val="0"/>
          <w:numId w:val="0"/>
        </w:numPr>
        <w:ind w:left="360" w:hanging="360"/>
        <w:rPr>
          <w:lang w:val="en-GB"/>
        </w:rPr>
      </w:pPr>
      <w:r>
        <w:rPr>
          <w:lang w:val="en-GB"/>
        </w:rPr>
        <w:t xml:space="preserve">Specific objectives </w:t>
      </w:r>
      <w:r w:rsidR="00383C26">
        <w:rPr>
          <w:lang w:val="en-GB"/>
        </w:rPr>
        <w:t>we</w:t>
      </w:r>
      <w:r>
        <w:rPr>
          <w:lang w:val="en-GB"/>
        </w:rPr>
        <w:t>re to:</w:t>
      </w:r>
    </w:p>
    <w:p w14:paraId="247A3463" w14:textId="7ABA490D" w:rsidR="000C5F3C" w:rsidRPr="000C5F3C" w:rsidRDefault="000C5F3C" w:rsidP="00513A44">
      <w:pPr>
        <w:pStyle w:val="ListParagraph"/>
        <w:numPr>
          <w:ilvl w:val="0"/>
          <w:numId w:val="14"/>
        </w:numPr>
      </w:pPr>
      <w:r>
        <w:t>Update the 2018 Schwander SLR</w:t>
      </w:r>
      <w:r w:rsidR="00513A44">
        <w:t>.</w:t>
      </w:r>
      <w:r w:rsidR="00513A44" w:rsidRPr="00513A44">
        <w:rPr>
          <w:noProof/>
          <w:vertAlign w:val="superscript"/>
        </w:rPr>
        <w:t>11</w:t>
      </w:r>
    </w:p>
    <w:p w14:paraId="330F2724" w14:textId="704785E3" w:rsidR="000C5F3C" w:rsidRPr="000C5F3C" w:rsidRDefault="000C5F3C" w:rsidP="000C5F3C">
      <w:pPr>
        <w:pStyle w:val="ListBullet"/>
        <w:numPr>
          <w:ilvl w:val="0"/>
          <w:numId w:val="14"/>
        </w:numPr>
        <w:rPr>
          <w:lang w:val="en-GB"/>
        </w:rPr>
      </w:pPr>
      <w:r>
        <w:t>Conduct a TLR for more recent T2DM model validations than the 2017 validation.</w:t>
      </w:r>
      <w:r w:rsidR="0072027D" w:rsidRPr="0072027D">
        <w:rPr>
          <w:noProof/>
          <w:vertAlign w:val="superscript"/>
        </w:rPr>
        <w:t>13</w:t>
      </w:r>
    </w:p>
    <w:p w14:paraId="6CE06D2B" w14:textId="320099EA" w:rsidR="000C5F3C" w:rsidRDefault="000C5F3C" w:rsidP="000C5F3C">
      <w:pPr>
        <w:pStyle w:val="ListBullet"/>
        <w:numPr>
          <w:ilvl w:val="0"/>
          <w:numId w:val="14"/>
        </w:numPr>
        <w:rPr>
          <w:lang w:val="en-GB"/>
        </w:rPr>
      </w:pPr>
      <w:r>
        <w:t>Conduct TLRs of Medline and Google to identify more recent and relevant evidence sources than used in the earlier validation, which had been limited to studies published before 2016.</w:t>
      </w:r>
      <w:r w:rsidR="0072027D" w:rsidRPr="0072027D">
        <w:rPr>
          <w:noProof/>
          <w:vertAlign w:val="superscript"/>
        </w:rPr>
        <w:t>12</w:t>
      </w:r>
    </w:p>
    <w:p w14:paraId="0E4ED8A9" w14:textId="0DB20275" w:rsidR="00207B09" w:rsidRDefault="00207B09" w:rsidP="00207B09">
      <w:r>
        <w:t xml:space="preserve">Studies </w:t>
      </w:r>
      <w:r w:rsidR="00383C26">
        <w:t>were</w:t>
      </w:r>
      <w:r>
        <w:t xml:space="preserve"> selected for the validation if they </w:t>
      </w:r>
      <w:r w:rsidR="00383C26">
        <w:t>we</w:t>
      </w:r>
      <w:r>
        <w:t>re in primary prevention of CVD or if less than 15% of patients ha</w:t>
      </w:r>
      <w:r w:rsidR="00383C26">
        <w:t>d</w:t>
      </w:r>
      <w:r>
        <w:t xml:space="preserve"> CVD, aligning with the target population of the model and the earlier validation.</w:t>
      </w:r>
      <w:r w:rsidRPr="00207B09">
        <w:rPr>
          <w:noProof/>
          <w:vertAlign w:val="superscript"/>
        </w:rPr>
        <w:t>12</w:t>
      </w:r>
      <w:r>
        <w:t xml:space="preserve"> Studies </w:t>
      </w:r>
      <w:r w:rsidR="00383C26">
        <w:t xml:space="preserve">were </w:t>
      </w:r>
      <w:r>
        <w:t xml:space="preserve">also only included if sufficient baseline characteristics </w:t>
      </w:r>
      <w:r w:rsidR="00383C26">
        <w:t>we</w:t>
      </w:r>
      <w:r>
        <w:t>re reported so as to match with model predictions, and if they report</w:t>
      </w:r>
      <w:r w:rsidR="00383C26">
        <w:t>ed</w:t>
      </w:r>
      <w:r>
        <w:t xml:space="preserve"> long-term risk factor trends. Endpoints of included studies </w:t>
      </w:r>
      <w:r w:rsidR="00383C26">
        <w:t>also</w:t>
      </w:r>
      <w:r>
        <w:t xml:space="preserve"> need</w:t>
      </w:r>
      <w:r w:rsidR="00383C26">
        <w:t>ed</w:t>
      </w:r>
      <w:r>
        <w:t xml:space="preserve"> to be identical or </w:t>
      </w:r>
      <w:r w:rsidR="00383C26">
        <w:t xml:space="preserve">reasonably close </w:t>
      </w:r>
      <w:r>
        <w:t xml:space="preserve">to those in the model. </w:t>
      </w:r>
    </w:p>
    <w:p w14:paraId="3BFE2C5F" w14:textId="77777777" w:rsidR="00D824FD" w:rsidRDefault="00D824FD" w:rsidP="00D824FD">
      <w:pPr>
        <w:pStyle w:val="ListBullet"/>
        <w:numPr>
          <w:ilvl w:val="0"/>
          <w:numId w:val="0"/>
        </w:numPr>
        <w:rPr>
          <w:lang w:val="en-GB"/>
        </w:rPr>
      </w:pPr>
    </w:p>
    <w:p w14:paraId="73224A75" w14:textId="0352D579" w:rsidR="002D6669" w:rsidRDefault="002D6669" w:rsidP="00DA321A">
      <w:pPr>
        <w:pStyle w:val="Heading1"/>
      </w:pPr>
      <w:bookmarkStart w:id="6" w:name="_Toc146394839"/>
      <w:bookmarkStart w:id="7" w:name="_Toc146976100"/>
      <w:r>
        <w:t>Methods</w:t>
      </w:r>
      <w:bookmarkEnd w:id="6"/>
      <w:bookmarkEnd w:id="7"/>
    </w:p>
    <w:p w14:paraId="5F702CDF" w14:textId="341EF980" w:rsidR="000C5F3C" w:rsidRDefault="000C5F3C" w:rsidP="00DA321A">
      <w:pPr>
        <w:pStyle w:val="Heading2"/>
      </w:pPr>
      <w:r>
        <w:t>Update of 2018 Schwander SLR</w:t>
      </w:r>
      <w:r w:rsidR="00855FCC">
        <w:t xml:space="preserve"> (published since 2015)</w:t>
      </w:r>
    </w:p>
    <w:p w14:paraId="432D2A79" w14:textId="78D398C7" w:rsidR="00513A44" w:rsidRPr="000C5F3C" w:rsidRDefault="009B44C7" w:rsidP="00513A44">
      <w:r w:rsidRPr="005B5BFC">
        <w:t xml:space="preserve">A systematic literature review (SLR) </w:t>
      </w:r>
      <w:r w:rsidR="00383C26">
        <w:t>was</w:t>
      </w:r>
      <w:r w:rsidRPr="005B5BFC">
        <w:t xml:space="preserve"> conducted following current methodological guidelines</w:t>
      </w:r>
      <w:r w:rsidR="0072027D" w:rsidRPr="0072027D">
        <w:rPr>
          <w:noProof/>
          <w:vertAlign w:val="superscript"/>
        </w:rPr>
        <w:t>17</w:t>
      </w:r>
      <w:r w:rsidRPr="005B5BFC">
        <w:t xml:space="preserve"> outlined in this protocol. The </w:t>
      </w:r>
      <w:r w:rsidR="00383C26">
        <w:t>study followed</w:t>
      </w:r>
      <w:r w:rsidRPr="005B5BFC">
        <w:t xml:space="preserve"> the Preferred Reporting Items for Systematic review and Meta-Analysis Protocols extension (PRISMA-P) 2015 statement.</w:t>
      </w:r>
      <w:r w:rsidR="0072027D" w:rsidRPr="0072027D">
        <w:rPr>
          <w:noProof/>
          <w:vertAlign w:val="superscript"/>
        </w:rPr>
        <w:t>18</w:t>
      </w:r>
      <w:r w:rsidR="00513A44">
        <w:t xml:space="preserve"> The SLR </w:t>
      </w:r>
      <w:r w:rsidR="005E393A">
        <w:t xml:space="preserve">also </w:t>
      </w:r>
      <w:r w:rsidR="00513A44">
        <w:t>follow</w:t>
      </w:r>
      <w:r w:rsidR="005E393A">
        <w:t>ed</w:t>
      </w:r>
      <w:r w:rsidR="00513A44">
        <w:t xml:space="preserve"> </w:t>
      </w:r>
      <w:r w:rsidR="005E393A">
        <w:t xml:space="preserve">(as closely as possible) </w:t>
      </w:r>
      <w:r w:rsidR="00513A44">
        <w:t>the PICOS and search terms used in Schwander 2018.</w:t>
      </w:r>
      <w:r w:rsidR="00513A44" w:rsidRPr="0072027D">
        <w:rPr>
          <w:noProof/>
          <w:vertAlign w:val="superscript"/>
        </w:rPr>
        <w:t>11</w:t>
      </w:r>
    </w:p>
    <w:p w14:paraId="193ADDCB" w14:textId="48F11CEF" w:rsidR="009B44C7" w:rsidRDefault="00915380" w:rsidP="00915380">
      <w:r>
        <w:lastRenderedPageBreak/>
        <w:t xml:space="preserve">Schwander 2018 </w:t>
      </w:r>
      <w:r w:rsidR="00D9030C">
        <w:t xml:space="preserve">aimed to determine and describe the methodological variations in the event simulation approaches and the related external validations of published health economic decision models in the context of obesity. They </w:t>
      </w:r>
      <w:r>
        <w:t>stated their eligibility criteria as “original research articles on decision models for full health economic assessment in the context of obesity.” They applied definitions from Drummond et al.</w:t>
      </w:r>
      <w:r w:rsidR="0072027D" w:rsidRPr="0072027D">
        <w:rPr>
          <w:noProof/>
          <w:vertAlign w:val="superscript"/>
        </w:rPr>
        <w:t>19</w:t>
      </w:r>
      <w:r>
        <w:t xml:space="preserve"> </w:t>
      </w:r>
      <w:r w:rsidR="0072027D">
        <w:t xml:space="preserve">to define </w:t>
      </w:r>
      <w:r>
        <w:t>health economic assessments, from the International Society for Pharmacoeconomics and Outcomes Research (ISPOR) Task Force</w:t>
      </w:r>
      <w:r w:rsidR="0072027D" w:rsidRPr="0072027D">
        <w:rPr>
          <w:noProof/>
          <w:vertAlign w:val="superscript"/>
        </w:rPr>
        <w:t>20</w:t>
      </w:r>
      <w:r>
        <w:t xml:space="preserve"> </w:t>
      </w:r>
      <w:r w:rsidR="0072027D">
        <w:t xml:space="preserve">to define </w:t>
      </w:r>
      <w:r>
        <w:t>health economic decision models, and the WHO criteria</w:t>
      </w:r>
      <w:r w:rsidR="0087241B">
        <w:t xml:space="preserve"> for </w:t>
      </w:r>
      <w:r>
        <w:t>obesity</w:t>
      </w:r>
      <w:r w:rsidR="0087241B" w:rsidRPr="0087241B">
        <w:rPr>
          <w:noProof/>
          <w:vertAlign w:val="superscript"/>
        </w:rPr>
        <w:t>21</w:t>
      </w:r>
      <w:r>
        <w:t xml:space="preserve"> in order to define eligible studies. </w:t>
      </w:r>
      <w:bookmarkStart w:id="8" w:name="_Hlk151548175"/>
      <w:r>
        <w:t xml:space="preserve">For our </w:t>
      </w:r>
      <w:r w:rsidR="00D9030C">
        <w:t xml:space="preserve">updated </w:t>
      </w:r>
      <w:r>
        <w:t>SLR</w:t>
      </w:r>
      <w:r w:rsidR="0072027D">
        <w:t>,</w:t>
      </w:r>
      <w:r>
        <w:t xml:space="preserve"> s</w:t>
      </w:r>
      <w:r w:rsidR="009B44C7" w:rsidRPr="005B5BFC">
        <w:t xml:space="preserve">tudies </w:t>
      </w:r>
      <w:r w:rsidR="00831AC7">
        <w:t>were</w:t>
      </w:r>
      <w:r w:rsidR="00831AC7" w:rsidRPr="005B5BFC">
        <w:t xml:space="preserve"> </w:t>
      </w:r>
      <w:r>
        <w:t xml:space="preserve">therefore </w:t>
      </w:r>
      <w:r w:rsidR="009B44C7" w:rsidRPr="005B5BFC">
        <w:t xml:space="preserve">selected according to the PICOS criteria outlined in Table </w:t>
      </w:r>
      <w:r w:rsidR="009B44C7" w:rsidRPr="005B5BFC">
        <w:rPr>
          <w:noProof/>
        </w:rPr>
        <w:t>1</w:t>
      </w:r>
      <w:r w:rsidR="009B44C7" w:rsidRPr="005B5BFC">
        <w:t xml:space="preserve"> and detailed below.</w:t>
      </w:r>
    </w:p>
    <w:p w14:paraId="66C81D16" w14:textId="77777777" w:rsidR="00131C60" w:rsidRDefault="00131C60" w:rsidP="00915380"/>
    <w:p w14:paraId="50F5D749" w14:textId="020F171E" w:rsidR="00131C60" w:rsidRDefault="00131C60" w:rsidP="00131C60">
      <w:pPr>
        <w:pStyle w:val="Heading3"/>
      </w:pPr>
      <w:r>
        <w:t>Eligibility criteria</w:t>
      </w:r>
    </w:p>
    <w:bookmarkEnd w:id="8"/>
    <w:p w14:paraId="025B6AC6" w14:textId="77777777" w:rsidR="009B44C7" w:rsidRPr="005B5BFC" w:rsidRDefault="009B44C7" w:rsidP="000D7646">
      <w:pPr>
        <w:pStyle w:val="Heading4"/>
      </w:pPr>
      <w:r w:rsidRPr="005B5BFC">
        <w:t>Population</w:t>
      </w:r>
    </w:p>
    <w:p w14:paraId="7E4AF429" w14:textId="79089296" w:rsidR="004107A1" w:rsidRDefault="004107A1" w:rsidP="00A3092F">
      <w:r>
        <w:t xml:space="preserve">The population of interest </w:t>
      </w:r>
      <w:r w:rsidR="00831AC7">
        <w:t xml:space="preserve">was </w:t>
      </w:r>
      <w:r>
        <w:t>a</w:t>
      </w:r>
      <w:r w:rsidRPr="004107A1">
        <w:t>dults suffering from obesity according to the WHO criteria. For adults, WHO defines obesity as a BMI greater than or equal to 30</w:t>
      </w:r>
      <w:r>
        <w:t>.</w:t>
      </w:r>
      <w:r w:rsidRPr="004107A1">
        <w:rPr>
          <w:noProof/>
          <w:vertAlign w:val="superscript"/>
        </w:rPr>
        <w:t>21</w:t>
      </w:r>
    </w:p>
    <w:p w14:paraId="1CE65099" w14:textId="3D97A969" w:rsidR="00915380" w:rsidRDefault="009B44C7" w:rsidP="000D7646">
      <w:pPr>
        <w:pStyle w:val="Heading4"/>
      </w:pPr>
      <w:r w:rsidRPr="005B5BFC">
        <w:t>Interventions/comparators</w:t>
      </w:r>
    </w:p>
    <w:p w14:paraId="3EC787C4" w14:textId="3A42336A" w:rsidR="004107A1" w:rsidRDefault="004107A1" w:rsidP="00A3092F">
      <w:r w:rsidRPr="004107A1">
        <w:t xml:space="preserve">All </w:t>
      </w:r>
      <w:r>
        <w:t xml:space="preserve">analyses comparing </w:t>
      </w:r>
      <w:r w:rsidRPr="004107A1">
        <w:t xml:space="preserve">interventions targeted at obesity or obesity-related events </w:t>
      </w:r>
      <w:r w:rsidR="002C4F66">
        <w:t>including coronary heart disease (CHD), type 2 diabetes (T2D), stroke, cancer, osteoarthritis, hyperlipidemia, hypertension, peripheral artery disease</w:t>
      </w:r>
      <w:r>
        <w:t xml:space="preserve">. </w:t>
      </w:r>
    </w:p>
    <w:p w14:paraId="4A80BBD0" w14:textId="1D902AD2" w:rsidR="009B44C7" w:rsidRDefault="009B44C7" w:rsidP="000D7646">
      <w:pPr>
        <w:pStyle w:val="Heading4"/>
      </w:pPr>
      <w:r w:rsidRPr="005B5BFC">
        <w:t>Outcomes</w:t>
      </w:r>
    </w:p>
    <w:p w14:paraId="1A8743A3" w14:textId="4671B157" w:rsidR="0072027D" w:rsidRDefault="004107A1" w:rsidP="004107A1">
      <w:r>
        <w:t xml:space="preserve">The outcomes of interest </w:t>
      </w:r>
      <w:r w:rsidR="00161724">
        <w:t xml:space="preserve">were </w:t>
      </w:r>
      <w:r>
        <w:t xml:space="preserve">methods for event simulation e.g. risk equations and application of relative risk </w:t>
      </w:r>
      <w:r w:rsidR="0057645A">
        <w:t xml:space="preserve">(RR) </w:t>
      </w:r>
      <w:r>
        <w:t xml:space="preserve">on the base risk. Methods for model validation </w:t>
      </w:r>
      <w:r w:rsidR="00161724">
        <w:t>wer</w:t>
      </w:r>
      <w:r>
        <w:t>e also of interest.</w:t>
      </w:r>
    </w:p>
    <w:p w14:paraId="0FC932CD" w14:textId="1A892619" w:rsidR="009B44C7" w:rsidRPr="005B5BFC" w:rsidRDefault="009B44C7" w:rsidP="000D7646">
      <w:pPr>
        <w:pStyle w:val="Heading4"/>
      </w:pPr>
      <w:r w:rsidRPr="005B5BFC">
        <w:t>Study design</w:t>
      </w:r>
    </w:p>
    <w:p w14:paraId="7C8AC976" w14:textId="330D437C" w:rsidR="004107A1" w:rsidRDefault="004107A1" w:rsidP="004107A1">
      <w:r>
        <w:t xml:space="preserve">Only decision analytic models as defined by the ISPOR task force </w:t>
      </w:r>
      <w:r w:rsidR="00161724">
        <w:t xml:space="preserve">were </w:t>
      </w:r>
      <w:r>
        <w:t>included. This definition assumes that models account for events over time and across populations​, are based on data drawn from primary and/or secondary sources​, and aim to estimate effects of an intervention on health consequences and costs​ in order to aid decision making.</w:t>
      </w:r>
      <w:r w:rsidRPr="004107A1">
        <w:rPr>
          <w:noProof/>
          <w:vertAlign w:val="superscript"/>
        </w:rPr>
        <w:t>20</w:t>
      </w:r>
      <w:r>
        <w:t>​</w:t>
      </w:r>
    </w:p>
    <w:p w14:paraId="2AE3441F" w14:textId="103CADD6" w:rsidR="009B44C7" w:rsidRPr="005B5BFC" w:rsidRDefault="009B44C7" w:rsidP="000D7646">
      <w:pPr>
        <w:pStyle w:val="Heading4"/>
      </w:pPr>
      <w:r w:rsidRPr="005B5BFC">
        <w:t>Publication type</w:t>
      </w:r>
    </w:p>
    <w:p w14:paraId="6BB91AAC" w14:textId="55B19563" w:rsidR="009B44C7" w:rsidRPr="005B5BFC" w:rsidRDefault="009B44C7" w:rsidP="009B44C7">
      <w:r w:rsidRPr="005B5BFC">
        <w:t xml:space="preserve">Only original research in the form of published research, conference abstracts or registered trials </w:t>
      </w:r>
      <w:r w:rsidR="00D425DE">
        <w:t>were</w:t>
      </w:r>
      <w:r w:rsidRPr="005B5BFC">
        <w:t xml:space="preserve"> included. Therefore,</w:t>
      </w:r>
      <w:r>
        <w:t xml:space="preserve"> </w:t>
      </w:r>
      <w:r w:rsidRPr="005B5BFC">
        <w:t>reviews, letter to the editor</w:t>
      </w:r>
      <w:r w:rsidR="00D425DE">
        <w:t>,</w:t>
      </w:r>
      <w:r w:rsidRPr="005B5BFC">
        <w:t xml:space="preserve"> and editorials w</w:t>
      </w:r>
      <w:r w:rsidR="00D425DE">
        <w:t>ere</w:t>
      </w:r>
      <w:r w:rsidRPr="005B5BFC">
        <w:t xml:space="preserve"> excluded. </w:t>
      </w:r>
    </w:p>
    <w:p w14:paraId="37412847" w14:textId="77777777" w:rsidR="009B44C7" w:rsidRPr="005B5BFC" w:rsidRDefault="009B44C7" w:rsidP="000D7646">
      <w:pPr>
        <w:pStyle w:val="Heading4"/>
      </w:pPr>
      <w:r w:rsidRPr="005B5BFC">
        <w:t>Language</w:t>
      </w:r>
    </w:p>
    <w:p w14:paraId="59B305EE" w14:textId="18BCDBBF" w:rsidR="009B44C7" w:rsidRPr="005B5BFC" w:rsidRDefault="009B44C7" w:rsidP="009B44C7">
      <w:r w:rsidRPr="005B5BFC">
        <w:t xml:space="preserve">We </w:t>
      </w:r>
      <w:r w:rsidR="00D425DE">
        <w:t>did</w:t>
      </w:r>
      <w:r w:rsidRPr="005B5BFC">
        <w:t xml:space="preserve"> not exclude studies by language. </w:t>
      </w:r>
      <w:r w:rsidRPr="005B5BFC">
        <w:br w:type="page"/>
      </w:r>
    </w:p>
    <w:p w14:paraId="43F76902" w14:textId="699B1B22" w:rsidR="009B44C7" w:rsidRPr="005B5BFC" w:rsidRDefault="009B44C7" w:rsidP="009B44C7">
      <w:pPr>
        <w:pStyle w:val="Caption"/>
        <w:keepNext/>
        <w:rPr>
          <w:color w:val="auto"/>
        </w:rPr>
      </w:pPr>
      <w:bookmarkStart w:id="9" w:name="_Ref136526295"/>
      <w:r w:rsidRPr="00B028DB">
        <w:lastRenderedPageBreak/>
        <w:t xml:space="preserve">Table </w:t>
      </w:r>
      <w:r w:rsidR="00795081">
        <w:rPr>
          <w:noProof/>
        </w:rPr>
        <w:t>1</w:t>
      </w:r>
      <w:bookmarkEnd w:id="9"/>
      <w:r w:rsidRPr="00B028DB">
        <w:t xml:space="preserve"> </w:t>
      </w:r>
      <w:r w:rsidR="008F1C9F" w:rsidRPr="00B028DB">
        <w:t>PICOS for update of Schwander 2018</w:t>
      </w:r>
    </w:p>
    <w:tbl>
      <w:tblPr>
        <w:tblStyle w:val="TableGrid"/>
        <w:tblW w:w="0" w:type="auto"/>
        <w:tblLook w:val="04A0" w:firstRow="1" w:lastRow="0" w:firstColumn="1" w:lastColumn="0" w:noHBand="0" w:noVBand="1"/>
      </w:tblPr>
      <w:tblGrid>
        <w:gridCol w:w="2536"/>
        <w:gridCol w:w="6474"/>
      </w:tblGrid>
      <w:tr w:rsidR="00A3092F" w:rsidRPr="005B5BFC" w14:paraId="3FF81619" w14:textId="77777777" w:rsidTr="00A3092F">
        <w:trPr>
          <w:trHeight w:val="973"/>
        </w:trPr>
        <w:tc>
          <w:tcPr>
            <w:tcW w:w="2536" w:type="dxa"/>
          </w:tcPr>
          <w:p w14:paraId="545F35AF" w14:textId="77777777" w:rsidR="00A3092F" w:rsidRPr="005B5BFC" w:rsidRDefault="00A3092F" w:rsidP="00A3092F">
            <w:pPr>
              <w:rPr>
                <w:b/>
                <w:bCs/>
                <w:lang w:val="en-US"/>
              </w:rPr>
            </w:pPr>
            <w:r w:rsidRPr="005B5BFC">
              <w:rPr>
                <w:b/>
                <w:bCs/>
                <w:lang w:val="en-US"/>
              </w:rPr>
              <w:t>Population</w:t>
            </w:r>
          </w:p>
        </w:tc>
        <w:tc>
          <w:tcPr>
            <w:tcW w:w="6474" w:type="dxa"/>
          </w:tcPr>
          <w:p w14:paraId="5BB31482" w14:textId="142EAAF0" w:rsidR="00A3092F" w:rsidRPr="00A3092F" w:rsidRDefault="00A3092F" w:rsidP="00A3092F">
            <w:r w:rsidRPr="00A3092F">
              <w:rPr>
                <w:rStyle w:val="normaltextrun"/>
                <w:color w:val="000000"/>
                <w:position w:val="1"/>
              </w:rPr>
              <w:t>Adults suffering from obesity according to the WHO criteria. For adults, WHO defines obesity as a BMI greater than or equal to 30</w:t>
            </w:r>
            <w:r w:rsidRPr="00A3092F">
              <w:rPr>
                <w:rStyle w:val="eop"/>
                <w:rFonts w:ascii="Calibri" w:hAnsi="Calibri" w:cs="Calibri"/>
                <w:b/>
                <w:bCs/>
                <w:color w:val="000000"/>
                <w:lang w:val="en-US"/>
              </w:rPr>
              <w:t>​</w:t>
            </w:r>
            <w:r>
              <w:rPr>
                <w:rStyle w:val="eop"/>
                <w:rFonts w:ascii="Calibri" w:hAnsi="Calibri" w:cs="Calibri"/>
                <w:b/>
                <w:bCs/>
                <w:color w:val="000000"/>
                <w:lang w:val="en-US"/>
              </w:rPr>
              <w:t>.</w:t>
            </w:r>
          </w:p>
        </w:tc>
      </w:tr>
      <w:tr w:rsidR="00A3092F" w:rsidRPr="005B5BFC" w14:paraId="112AB500" w14:textId="77777777" w:rsidTr="00A3092F">
        <w:trPr>
          <w:trHeight w:val="971"/>
        </w:trPr>
        <w:tc>
          <w:tcPr>
            <w:tcW w:w="2536" w:type="dxa"/>
          </w:tcPr>
          <w:p w14:paraId="2B748D55" w14:textId="77777777" w:rsidR="00A3092F" w:rsidRDefault="00A3092F" w:rsidP="00A3092F">
            <w:pPr>
              <w:rPr>
                <w:b/>
                <w:bCs/>
                <w:lang w:val="en-US"/>
              </w:rPr>
            </w:pPr>
            <w:r>
              <w:rPr>
                <w:b/>
                <w:bCs/>
                <w:lang w:val="en-US"/>
              </w:rPr>
              <w:t>Interventions/</w:t>
            </w:r>
          </w:p>
          <w:p w14:paraId="315EBDF6" w14:textId="77777777" w:rsidR="00A3092F" w:rsidRPr="005B5BFC" w:rsidRDefault="00A3092F" w:rsidP="00A3092F">
            <w:pPr>
              <w:rPr>
                <w:b/>
                <w:bCs/>
                <w:lang w:val="en-US"/>
              </w:rPr>
            </w:pPr>
            <w:r>
              <w:rPr>
                <w:b/>
                <w:bCs/>
                <w:lang w:val="en-US"/>
              </w:rPr>
              <w:t>Comparators</w:t>
            </w:r>
          </w:p>
        </w:tc>
        <w:tc>
          <w:tcPr>
            <w:tcW w:w="6474" w:type="dxa"/>
          </w:tcPr>
          <w:p w14:paraId="1F3CEC9C" w14:textId="6F3022A7" w:rsidR="00A3092F" w:rsidRPr="00A3092F" w:rsidRDefault="00A3092F" w:rsidP="002C4F66">
            <w:pPr>
              <w:divId w:val="1721173818"/>
              <w:rPr>
                <w:lang w:val="en-US"/>
              </w:rPr>
            </w:pPr>
            <w:r w:rsidRPr="00A3092F">
              <w:rPr>
                <w:rStyle w:val="normaltextrun"/>
                <w:color w:val="000000"/>
                <w:position w:val="1"/>
              </w:rPr>
              <w:t>All interventions targeted at obesity or obesity-related events </w:t>
            </w:r>
            <w:r w:rsidR="002C4F66">
              <w:t>including CHD, T2D, stroke, cancer, osteoarthritis, hyperlipidemia, hypertension, peripheral artery disease</w:t>
            </w:r>
            <w:r w:rsidR="002C4F66" w:rsidRPr="00A3092F">
              <w:rPr>
                <w:rStyle w:val="advancedproofingissue"/>
                <w:rFonts w:ascii="Calibri" w:hAnsi="Calibri" w:cs="Calibri"/>
                <w:color w:val="000000"/>
                <w:position w:val="1"/>
                <w:lang w:val="en-US"/>
              </w:rPr>
              <w:t xml:space="preserve"> </w:t>
            </w:r>
            <w:r w:rsidRPr="00A3092F">
              <w:rPr>
                <w:rStyle w:val="eop"/>
                <w:rFonts w:ascii="Calibri" w:hAnsi="Calibri" w:cs="Calibri"/>
                <w:color w:val="000000"/>
                <w:lang w:val="en-US"/>
              </w:rPr>
              <w:t>​</w:t>
            </w:r>
          </w:p>
        </w:tc>
      </w:tr>
      <w:tr w:rsidR="00A3092F" w:rsidRPr="005B5BFC" w14:paraId="6E0F1AD4" w14:textId="77777777" w:rsidTr="00A3092F">
        <w:trPr>
          <w:trHeight w:val="702"/>
        </w:trPr>
        <w:tc>
          <w:tcPr>
            <w:tcW w:w="2536" w:type="dxa"/>
          </w:tcPr>
          <w:p w14:paraId="2E6E7EAB" w14:textId="77777777" w:rsidR="00A3092F" w:rsidRPr="005B5BFC" w:rsidRDefault="00A3092F" w:rsidP="00A3092F">
            <w:pPr>
              <w:rPr>
                <w:b/>
                <w:bCs/>
                <w:lang w:val="en-US"/>
              </w:rPr>
            </w:pPr>
            <w:r w:rsidRPr="005B5BFC">
              <w:rPr>
                <w:b/>
                <w:bCs/>
                <w:lang w:val="en-US"/>
              </w:rPr>
              <w:t xml:space="preserve">Outcomes </w:t>
            </w:r>
          </w:p>
        </w:tc>
        <w:tc>
          <w:tcPr>
            <w:tcW w:w="6474" w:type="dxa"/>
          </w:tcPr>
          <w:p w14:paraId="54957DD2" w14:textId="77777777" w:rsidR="00A3092F" w:rsidRPr="00A3092F" w:rsidRDefault="00A3092F" w:rsidP="00A3092F">
            <w:pPr>
              <w:divId w:val="2011176409"/>
              <w:rPr>
                <w:rFonts w:ascii="Segoe UI" w:hAnsi="Segoe UI" w:cs="Segoe UI"/>
                <w:lang w:val="en-US"/>
              </w:rPr>
            </w:pPr>
            <w:r w:rsidRPr="00A3092F">
              <w:rPr>
                <w:rStyle w:val="normaltextrun"/>
                <w:color w:val="000000"/>
                <w:position w:val="1"/>
              </w:rPr>
              <w:t>Event simulation approaches</w:t>
            </w:r>
            <w:r w:rsidRPr="00A3092F">
              <w:rPr>
                <w:rStyle w:val="eop"/>
                <w:rFonts w:ascii="Calibri" w:hAnsi="Calibri" w:cs="Calibri"/>
                <w:color w:val="000000"/>
                <w:lang w:val="en-US"/>
              </w:rPr>
              <w:t>​</w:t>
            </w:r>
          </w:p>
          <w:p w14:paraId="41FA8669" w14:textId="0608C672" w:rsidR="00A3092F" w:rsidRPr="00A3092F" w:rsidRDefault="00A3092F" w:rsidP="00A3092F">
            <w:pPr>
              <w:rPr>
                <w:lang w:val="en-US"/>
              </w:rPr>
            </w:pPr>
            <w:r w:rsidRPr="00A3092F">
              <w:rPr>
                <w:rStyle w:val="normaltextrun"/>
                <w:color w:val="000000"/>
                <w:position w:val="1"/>
              </w:rPr>
              <w:t>Investigation of predictiveness and validity of models</w:t>
            </w:r>
            <w:r w:rsidRPr="00A3092F">
              <w:rPr>
                <w:rStyle w:val="eop"/>
                <w:rFonts w:ascii="Calibri" w:hAnsi="Calibri" w:cs="Calibri"/>
                <w:color w:val="000000"/>
              </w:rPr>
              <w:t>​</w:t>
            </w:r>
          </w:p>
        </w:tc>
      </w:tr>
      <w:tr w:rsidR="00A3092F" w:rsidRPr="005B5BFC" w14:paraId="63180D3C" w14:textId="77777777" w:rsidTr="00A3092F">
        <w:trPr>
          <w:trHeight w:val="1090"/>
        </w:trPr>
        <w:tc>
          <w:tcPr>
            <w:tcW w:w="2536" w:type="dxa"/>
          </w:tcPr>
          <w:p w14:paraId="54853C16" w14:textId="77777777" w:rsidR="00A3092F" w:rsidRPr="005B5BFC" w:rsidRDefault="00A3092F" w:rsidP="00A3092F">
            <w:pPr>
              <w:rPr>
                <w:b/>
                <w:bCs/>
                <w:lang w:val="en-US"/>
              </w:rPr>
            </w:pPr>
            <w:r w:rsidRPr="005B5BFC">
              <w:rPr>
                <w:b/>
                <w:bCs/>
                <w:lang w:val="en-US"/>
              </w:rPr>
              <w:t>Study design</w:t>
            </w:r>
          </w:p>
        </w:tc>
        <w:tc>
          <w:tcPr>
            <w:tcW w:w="6474" w:type="dxa"/>
          </w:tcPr>
          <w:p w14:paraId="19B1BF22" w14:textId="77777777" w:rsidR="00A3092F" w:rsidRPr="00A3092F" w:rsidRDefault="00A3092F" w:rsidP="00A3092F">
            <w:pPr>
              <w:pStyle w:val="ListParagraph"/>
              <w:numPr>
                <w:ilvl w:val="0"/>
                <w:numId w:val="24"/>
              </w:numPr>
              <w:divId w:val="1311129303"/>
              <w:rPr>
                <w:rFonts w:ascii="Arial" w:hAnsi="Arial" w:cs="Arial"/>
                <w:lang w:val="en-US"/>
              </w:rPr>
            </w:pPr>
            <w:r w:rsidRPr="00A3092F">
              <w:rPr>
                <w:rStyle w:val="normaltextrun"/>
                <w:color w:val="000000"/>
                <w:position w:val="1"/>
              </w:rPr>
              <w:t>Decision analytic models accounting for events over time and across populations</w:t>
            </w:r>
            <w:r w:rsidRPr="00A3092F">
              <w:rPr>
                <w:rStyle w:val="eop"/>
                <w:rFonts w:ascii="Calibri" w:hAnsi="Calibri" w:cs="Calibri"/>
                <w:color w:val="000000"/>
                <w:lang w:val="en-US"/>
              </w:rPr>
              <w:t>​</w:t>
            </w:r>
          </w:p>
          <w:p w14:paraId="52FE4C46" w14:textId="77777777" w:rsidR="00A3092F" w:rsidRPr="00A3092F" w:rsidRDefault="00A3092F" w:rsidP="00A3092F">
            <w:pPr>
              <w:pStyle w:val="ListParagraph"/>
              <w:numPr>
                <w:ilvl w:val="0"/>
                <w:numId w:val="24"/>
              </w:numPr>
              <w:divId w:val="1311129303"/>
              <w:rPr>
                <w:rFonts w:ascii="Arial" w:hAnsi="Arial" w:cs="Arial"/>
                <w:lang w:val="en-US"/>
              </w:rPr>
            </w:pPr>
            <w:r w:rsidRPr="00A3092F">
              <w:rPr>
                <w:rStyle w:val="normaltextrun"/>
                <w:color w:val="000000"/>
                <w:position w:val="1"/>
              </w:rPr>
              <w:t>Based on data drawn from primary and/or secondary sources</w:t>
            </w:r>
            <w:r w:rsidRPr="00A3092F">
              <w:rPr>
                <w:rStyle w:val="eop"/>
                <w:rFonts w:ascii="Calibri" w:hAnsi="Calibri" w:cs="Calibri"/>
                <w:color w:val="000000"/>
                <w:lang w:val="en-US"/>
              </w:rPr>
              <w:t>​</w:t>
            </w:r>
          </w:p>
          <w:p w14:paraId="00C0F9DE" w14:textId="77777777" w:rsidR="00A3092F" w:rsidRPr="00A3092F" w:rsidRDefault="00A3092F" w:rsidP="00A3092F">
            <w:pPr>
              <w:pStyle w:val="ListParagraph"/>
              <w:numPr>
                <w:ilvl w:val="0"/>
                <w:numId w:val="24"/>
              </w:numPr>
              <w:divId w:val="1311129303"/>
              <w:rPr>
                <w:rFonts w:ascii="Arial" w:hAnsi="Arial" w:cs="Arial"/>
                <w:lang w:val="en-US"/>
              </w:rPr>
            </w:pPr>
            <w:r w:rsidRPr="00A3092F">
              <w:rPr>
                <w:rStyle w:val="normaltextrun"/>
                <w:color w:val="000000"/>
                <w:position w:val="1"/>
              </w:rPr>
              <w:t>Purpose to estimate effects of an intervention on health consequences and costs</w:t>
            </w:r>
            <w:r w:rsidRPr="00A3092F">
              <w:rPr>
                <w:rStyle w:val="eop"/>
                <w:rFonts w:ascii="Calibri" w:hAnsi="Calibri" w:cs="Calibri"/>
                <w:color w:val="000000"/>
                <w:lang w:val="en-US"/>
              </w:rPr>
              <w:t>​</w:t>
            </w:r>
          </w:p>
          <w:p w14:paraId="063E645D" w14:textId="77777777" w:rsidR="00A3092F" w:rsidRPr="00A3092F" w:rsidRDefault="00A3092F" w:rsidP="00A3092F">
            <w:pPr>
              <w:pStyle w:val="ListParagraph"/>
              <w:numPr>
                <w:ilvl w:val="0"/>
                <w:numId w:val="24"/>
              </w:numPr>
              <w:divId w:val="1311129303"/>
              <w:rPr>
                <w:rFonts w:ascii="Arial" w:hAnsi="Arial" w:cs="Arial"/>
                <w:lang w:val="en-US"/>
              </w:rPr>
            </w:pPr>
            <w:r w:rsidRPr="00A3092F">
              <w:rPr>
                <w:rStyle w:val="normaltextrun"/>
                <w:color w:val="000000"/>
                <w:position w:val="1"/>
              </w:rPr>
              <w:t>Aim to aid decision making</w:t>
            </w:r>
            <w:r w:rsidRPr="00A3092F">
              <w:rPr>
                <w:rStyle w:val="eop"/>
                <w:rFonts w:ascii="Calibri" w:hAnsi="Calibri" w:cs="Calibri"/>
                <w:color w:val="000000"/>
                <w:lang w:val="en-US"/>
              </w:rPr>
              <w:t>​</w:t>
            </w:r>
          </w:p>
          <w:p w14:paraId="2C249A67" w14:textId="229CE56E" w:rsidR="00A3092F" w:rsidRPr="00A3092F" w:rsidRDefault="00A3092F" w:rsidP="00A3092F">
            <w:r w:rsidRPr="00A3092F">
              <w:rPr>
                <w:rStyle w:val="normaltextrun"/>
                <w:color w:val="000000"/>
                <w:position w:val="1"/>
              </w:rPr>
              <w:t>(ISPOR Task Force definition)</w:t>
            </w:r>
            <w:r w:rsidRPr="00A3092F">
              <w:rPr>
                <w:rStyle w:val="eop"/>
                <w:rFonts w:ascii="Calibri" w:hAnsi="Calibri" w:cs="Calibri"/>
                <w:color w:val="000000"/>
              </w:rPr>
              <w:t>​</w:t>
            </w:r>
          </w:p>
        </w:tc>
      </w:tr>
      <w:tr w:rsidR="00A3092F" w:rsidRPr="005B5BFC" w14:paraId="78B7D80A" w14:textId="77777777" w:rsidTr="00A3092F">
        <w:trPr>
          <w:trHeight w:val="626"/>
        </w:trPr>
        <w:tc>
          <w:tcPr>
            <w:tcW w:w="2536" w:type="dxa"/>
          </w:tcPr>
          <w:p w14:paraId="2CC0A159" w14:textId="77777777" w:rsidR="00A3092F" w:rsidRPr="005B5BFC" w:rsidRDefault="00A3092F" w:rsidP="00A3092F">
            <w:pPr>
              <w:rPr>
                <w:b/>
                <w:bCs/>
                <w:lang w:val="en-US"/>
              </w:rPr>
            </w:pPr>
            <w:r w:rsidRPr="005B5BFC">
              <w:rPr>
                <w:b/>
                <w:bCs/>
                <w:lang w:val="en-US"/>
              </w:rPr>
              <w:t>Publication type</w:t>
            </w:r>
          </w:p>
        </w:tc>
        <w:tc>
          <w:tcPr>
            <w:tcW w:w="6474" w:type="dxa"/>
          </w:tcPr>
          <w:p w14:paraId="781A8149" w14:textId="77777777" w:rsidR="00A3092F" w:rsidRPr="00A3092F" w:rsidRDefault="00A3092F" w:rsidP="00A3092F">
            <w:pPr>
              <w:divId w:val="1741519339"/>
              <w:rPr>
                <w:rFonts w:ascii="Segoe UI" w:hAnsi="Segoe UI" w:cs="Segoe UI"/>
              </w:rPr>
            </w:pPr>
            <w:r w:rsidRPr="00A3092F">
              <w:rPr>
                <w:rStyle w:val="normaltextrun"/>
                <w:color w:val="000000"/>
                <w:position w:val="1"/>
              </w:rPr>
              <w:t>Original research​ in the form of journal publication, conference abstract or trial registration</w:t>
            </w:r>
            <w:r w:rsidRPr="00A3092F">
              <w:rPr>
                <w:rStyle w:val="eop"/>
                <w:rFonts w:ascii="Calibri" w:hAnsi="Calibri" w:cs="Calibri"/>
                <w:color w:val="000000"/>
              </w:rPr>
              <w:t>​</w:t>
            </w:r>
          </w:p>
          <w:p w14:paraId="4BC1B179" w14:textId="2BDEC3A5" w:rsidR="00A3092F" w:rsidRPr="00A3092F" w:rsidRDefault="00A3092F" w:rsidP="00A3092F">
            <w:pPr>
              <w:rPr>
                <w:lang w:val="en-US"/>
              </w:rPr>
            </w:pPr>
            <w:r w:rsidRPr="00A3092F">
              <w:rPr>
                <w:rStyle w:val="normaltextrun"/>
                <w:color w:val="000000"/>
                <w:position w:val="1"/>
              </w:rPr>
              <w:t> </w:t>
            </w:r>
            <w:r w:rsidRPr="00A3092F">
              <w:rPr>
                <w:rStyle w:val="eop"/>
                <w:rFonts w:ascii="Calibri" w:hAnsi="Calibri" w:cs="Calibri"/>
                <w:color w:val="000000"/>
              </w:rPr>
              <w:t>​</w:t>
            </w:r>
          </w:p>
        </w:tc>
      </w:tr>
      <w:tr w:rsidR="00A3092F" w:rsidRPr="005B5BFC" w14:paraId="0C6BDF11" w14:textId="77777777" w:rsidTr="00A3092F">
        <w:trPr>
          <w:trHeight w:val="530"/>
        </w:trPr>
        <w:tc>
          <w:tcPr>
            <w:tcW w:w="2536" w:type="dxa"/>
          </w:tcPr>
          <w:p w14:paraId="3FE7FA9C" w14:textId="77777777" w:rsidR="00A3092F" w:rsidRPr="005B5BFC" w:rsidRDefault="00A3092F" w:rsidP="00A3092F">
            <w:pPr>
              <w:rPr>
                <w:b/>
                <w:bCs/>
                <w:lang w:val="en-US"/>
              </w:rPr>
            </w:pPr>
            <w:r w:rsidRPr="005B5BFC">
              <w:rPr>
                <w:b/>
                <w:bCs/>
                <w:lang w:val="en-US"/>
              </w:rPr>
              <w:t>Language</w:t>
            </w:r>
          </w:p>
        </w:tc>
        <w:tc>
          <w:tcPr>
            <w:tcW w:w="6474" w:type="dxa"/>
          </w:tcPr>
          <w:p w14:paraId="1C046563" w14:textId="77777777" w:rsidR="00A3092F" w:rsidRPr="00A3092F" w:rsidRDefault="00A3092F" w:rsidP="00A3092F">
            <w:pPr>
              <w:divId w:val="1582712575"/>
              <w:rPr>
                <w:rFonts w:ascii="Segoe UI" w:hAnsi="Segoe UI" w:cs="Segoe UI"/>
              </w:rPr>
            </w:pPr>
            <w:r w:rsidRPr="00A3092F">
              <w:rPr>
                <w:rStyle w:val="normaltextrun"/>
                <w:color w:val="000000"/>
                <w:position w:val="1"/>
              </w:rPr>
              <w:t>No language restriction</w:t>
            </w:r>
            <w:r w:rsidRPr="00A3092F">
              <w:rPr>
                <w:rStyle w:val="eop"/>
                <w:rFonts w:ascii="Calibri" w:hAnsi="Calibri" w:cs="Calibri"/>
                <w:color w:val="000000"/>
              </w:rPr>
              <w:t>​</w:t>
            </w:r>
          </w:p>
          <w:p w14:paraId="4BC66FDA" w14:textId="6FB255A3" w:rsidR="00A3092F" w:rsidRPr="00A3092F" w:rsidRDefault="00A3092F" w:rsidP="00A3092F">
            <w:pPr>
              <w:rPr>
                <w:lang w:val="en-US"/>
              </w:rPr>
            </w:pPr>
            <w:r w:rsidRPr="00A3092F">
              <w:rPr>
                <w:rStyle w:val="normaltextrun"/>
                <w:color w:val="000000"/>
                <w:position w:val="1"/>
              </w:rPr>
              <w:t> </w:t>
            </w:r>
            <w:r w:rsidRPr="00A3092F">
              <w:rPr>
                <w:rStyle w:val="eop"/>
                <w:rFonts w:ascii="Calibri" w:hAnsi="Calibri" w:cs="Calibri"/>
                <w:color w:val="000000"/>
              </w:rPr>
              <w:t>​</w:t>
            </w:r>
          </w:p>
        </w:tc>
      </w:tr>
    </w:tbl>
    <w:p w14:paraId="5F07C5AA" w14:textId="467922D5" w:rsidR="000C5F3C" w:rsidRPr="002E6645" w:rsidRDefault="002E6645" w:rsidP="000C5F3C">
      <w:pPr>
        <w:rPr>
          <w:sz w:val="18"/>
          <w:szCs w:val="18"/>
        </w:rPr>
      </w:pPr>
      <w:r>
        <w:rPr>
          <w:sz w:val="18"/>
          <w:szCs w:val="18"/>
        </w:rPr>
        <w:t xml:space="preserve">CHD=coronary heart disease; </w:t>
      </w:r>
      <w:r w:rsidR="002A2EA7" w:rsidRPr="002E6645">
        <w:rPr>
          <w:sz w:val="18"/>
          <w:szCs w:val="18"/>
        </w:rPr>
        <w:t>T2D=type 2 diabetes</w:t>
      </w:r>
    </w:p>
    <w:p w14:paraId="33331B2A" w14:textId="77777777" w:rsidR="002A2EA7" w:rsidRPr="000C5F3C" w:rsidRDefault="002A2EA7" w:rsidP="000C5F3C"/>
    <w:p w14:paraId="250CFEEA" w14:textId="27D9E1B5" w:rsidR="00207B09" w:rsidRDefault="00207B09" w:rsidP="00131C60">
      <w:pPr>
        <w:pStyle w:val="Heading3"/>
      </w:pPr>
      <w:r>
        <w:t>Search strategy for SLR</w:t>
      </w:r>
    </w:p>
    <w:p w14:paraId="700532DA" w14:textId="5C16F8A7" w:rsidR="00207B09" w:rsidRDefault="00207B09" w:rsidP="00207B09">
      <w:pPr>
        <w:pStyle w:val="BodyText"/>
      </w:pPr>
      <w:r w:rsidRPr="007974D5">
        <w:t xml:space="preserve">A comprehensive search strategy </w:t>
      </w:r>
      <w:r w:rsidR="00E96D7B">
        <w:t>was</w:t>
      </w:r>
      <w:r w:rsidRPr="007974D5">
        <w:t xml:space="preserve"> used to identify relevant literature. This include</w:t>
      </w:r>
      <w:r w:rsidR="00E96D7B">
        <w:t>d</w:t>
      </w:r>
      <w:r w:rsidRPr="007974D5">
        <w:t xml:space="preserve"> searching electronic databases, clinical trial registry, conference proceedings as well as hand searches on the reference lists of included studies and relevant systematic reviews. </w:t>
      </w:r>
    </w:p>
    <w:p w14:paraId="42FD01E6" w14:textId="4268F907" w:rsidR="00207B09" w:rsidRDefault="00207B09" w:rsidP="00207B09">
      <w:pPr>
        <w:pStyle w:val="BodyText"/>
      </w:pPr>
      <w:r>
        <w:t>Studies reporting decision analytic models w</w:t>
      </w:r>
      <w:r w:rsidR="00E96D7B">
        <w:t>ere</w:t>
      </w:r>
      <w:r>
        <w:t xml:space="preserve"> searched in the following databases: MEDLINE, </w:t>
      </w:r>
      <w:r w:rsidR="004831BE">
        <w:t xml:space="preserve">and </w:t>
      </w:r>
      <w:r>
        <w:t>EMBASE</w:t>
      </w:r>
      <w:r w:rsidR="00FA7EEA">
        <w:t>,</w:t>
      </w:r>
      <w:r>
        <w:t xml:space="preserve"> and National Health Service (NHS) Economic Evaluation Database (NHS EED). The search strategies are presented in</w:t>
      </w:r>
      <w:r w:rsidR="005C01CD">
        <w:t xml:space="preserve"> </w:t>
      </w:r>
      <w:r w:rsidR="00B24612">
        <w:t>Appendix A</w:t>
      </w:r>
      <w:r w:rsidR="00BC0264">
        <w:t>.</w:t>
      </w:r>
      <w:r>
        <w:t xml:space="preserve"> </w:t>
      </w:r>
    </w:p>
    <w:p w14:paraId="12C46B98" w14:textId="77777777" w:rsidR="00207B09" w:rsidRDefault="00207B09">
      <w:pPr>
        <w:rPr>
          <w:rFonts w:asciiTheme="majorHAnsi" w:eastAsiaTheme="majorEastAsia" w:hAnsiTheme="majorHAnsi" w:cstheme="majorBidi"/>
          <w:color w:val="1F3763" w:themeColor="accent1" w:themeShade="7F"/>
          <w:sz w:val="24"/>
          <w:szCs w:val="24"/>
        </w:rPr>
      </w:pPr>
    </w:p>
    <w:p w14:paraId="3C2C883C" w14:textId="0F4CE8C6" w:rsidR="00555E5E" w:rsidRDefault="00555E5E" w:rsidP="00644BC3">
      <w:pPr>
        <w:pStyle w:val="Heading3"/>
      </w:pPr>
      <w:r>
        <w:t>Study records</w:t>
      </w:r>
    </w:p>
    <w:p w14:paraId="6BF1BF4B" w14:textId="34AD274A" w:rsidR="00555E5E" w:rsidRDefault="00604B1B" w:rsidP="00644BC3">
      <w:pPr>
        <w:pStyle w:val="Heading4"/>
      </w:pPr>
      <w:r>
        <w:t>Data management</w:t>
      </w:r>
    </w:p>
    <w:p w14:paraId="5965C27D" w14:textId="1FDACF59" w:rsidR="00644BC3" w:rsidRDefault="008570F9" w:rsidP="00644BC3">
      <w:r w:rsidRPr="005B5BFC">
        <w:t xml:space="preserve">We </w:t>
      </w:r>
      <w:r w:rsidR="008E6E3C">
        <w:t>searched</w:t>
      </w:r>
      <w:r w:rsidRPr="005B5BFC">
        <w:t xml:space="preserve"> MEDLINE and EMBASE through the Ovid</w:t>
      </w:r>
      <w:r w:rsidRPr="005B5BFC">
        <w:rPr>
          <w:rFonts w:cstheme="minorHAnsi"/>
        </w:rPr>
        <w:t>®</w:t>
      </w:r>
      <w:r w:rsidRPr="005B5BFC">
        <w:t xml:space="preserve"> platform, and </w:t>
      </w:r>
      <w:r>
        <w:t>NHS EED</w:t>
      </w:r>
      <w:r w:rsidRPr="005B5BFC">
        <w:t xml:space="preserve">. Records obtained </w:t>
      </w:r>
      <w:r w:rsidR="00017711">
        <w:t>were</w:t>
      </w:r>
      <w:r w:rsidRPr="005B5BFC">
        <w:t xml:space="preserve"> managed in an Endnote library and research information system (RIS) files </w:t>
      </w:r>
      <w:r w:rsidR="00017711">
        <w:t>were</w:t>
      </w:r>
      <w:r w:rsidRPr="005B5BFC">
        <w:t xml:space="preserve"> stor</w:t>
      </w:r>
      <w:r w:rsidR="00017711">
        <w:t>ed</w:t>
      </w:r>
      <w:r w:rsidRPr="005B5BFC">
        <w:t>.</w:t>
      </w:r>
      <w:r>
        <w:t xml:space="preserve"> </w:t>
      </w:r>
    </w:p>
    <w:p w14:paraId="269181F8" w14:textId="5CC7B26F" w:rsidR="00604B1B" w:rsidRDefault="00604B1B" w:rsidP="00644BC3">
      <w:pPr>
        <w:pStyle w:val="Heading4"/>
      </w:pPr>
      <w:r>
        <w:t>Selection process</w:t>
      </w:r>
    </w:p>
    <w:p w14:paraId="241EFAD4" w14:textId="7ADFCFD4" w:rsidR="007B683C" w:rsidRPr="005B5BFC" w:rsidRDefault="007B683C" w:rsidP="007B683C">
      <w:r w:rsidRPr="005B5BFC">
        <w:t xml:space="preserve">Search results </w:t>
      </w:r>
      <w:r w:rsidR="009D1290">
        <w:t>were</w:t>
      </w:r>
      <w:r w:rsidRPr="005B5BFC">
        <w:t xml:space="preserve"> uploaded into Rayyan</w:t>
      </w:r>
      <w:r w:rsidR="00697D23" w:rsidRPr="00697D23">
        <w:rPr>
          <w:noProof/>
          <w:vertAlign w:val="superscript"/>
        </w:rPr>
        <w:t>22</w:t>
      </w:r>
      <w:r w:rsidRPr="005B5BFC">
        <w:t>, a tool to increase the efficiency of systematic reviews, and screened by two reviewers independently. We use</w:t>
      </w:r>
      <w:r w:rsidR="009D1290">
        <w:t>d</w:t>
      </w:r>
      <w:r w:rsidRPr="005B5BFC">
        <w:t xml:space="preserve"> a two-stage process to select studies for inclusion. First, records that do not meet the eligibility criteria based on title and abstract </w:t>
      </w:r>
      <w:r w:rsidR="009D1290">
        <w:t xml:space="preserve">were </w:t>
      </w:r>
      <w:r w:rsidRPr="005B5BFC">
        <w:t xml:space="preserve">excluded. Second, full texts </w:t>
      </w:r>
      <w:r w:rsidR="009D1290">
        <w:t>were</w:t>
      </w:r>
      <w:r w:rsidRPr="005B5BFC">
        <w:t xml:space="preserve"> retrieved for all records selected in stage 1 and checked against the eligibility criteria. The lead reviewer </w:t>
      </w:r>
      <w:r w:rsidR="008E4BE3">
        <w:t>held</w:t>
      </w:r>
      <w:r w:rsidRPr="005B5BFC">
        <w:t xml:space="preserve"> regular meetings with reviewers to assure consistency in eligibility criteria and reconcile differences in the event of a conflict. </w:t>
      </w:r>
    </w:p>
    <w:p w14:paraId="71109487" w14:textId="4719B30D" w:rsidR="007B683C" w:rsidRDefault="007B683C" w:rsidP="007B683C">
      <w:r w:rsidRPr="005B5BFC">
        <w:lastRenderedPageBreak/>
        <w:t xml:space="preserve">Reasons for exclusion </w:t>
      </w:r>
      <w:r w:rsidR="008E4BE3">
        <w:t>were</w:t>
      </w:r>
      <w:r w:rsidRPr="005B5BFC">
        <w:t xml:space="preserve"> recorded at both the title/abstract screening stage and the full text screening stage. A list of excluded studies with reasons for exclusion </w:t>
      </w:r>
      <w:r w:rsidR="008E4BE3">
        <w:t>were</w:t>
      </w:r>
      <w:r w:rsidRPr="005B5BFC">
        <w:t xml:space="preserve"> provided as recommended by systematic review methodological guidelines</w:t>
      </w:r>
      <w:r w:rsidR="00697D23" w:rsidRPr="00697D23">
        <w:rPr>
          <w:noProof/>
          <w:vertAlign w:val="superscript"/>
        </w:rPr>
        <w:t>17</w:t>
      </w:r>
      <w:r w:rsidRPr="005B5BFC">
        <w:t xml:space="preserve"> and quality checklists.</w:t>
      </w:r>
      <w:r w:rsidR="00697D23" w:rsidRPr="00697D23">
        <w:rPr>
          <w:noProof/>
          <w:vertAlign w:val="superscript"/>
        </w:rPr>
        <w:t>23 24</w:t>
      </w:r>
    </w:p>
    <w:p w14:paraId="4C8D2D58" w14:textId="77777777" w:rsidR="00644BC3" w:rsidRDefault="00F61F41" w:rsidP="00644BC3">
      <w:pPr>
        <w:pStyle w:val="Heading4"/>
      </w:pPr>
      <w:r>
        <w:t>Data collection process</w:t>
      </w:r>
    </w:p>
    <w:p w14:paraId="3B94F384" w14:textId="6167FE7B" w:rsidR="00644BC3" w:rsidRDefault="00E8184B">
      <w:pPr>
        <w:rPr>
          <w:rFonts w:asciiTheme="majorHAnsi" w:eastAsiaTheme="majorEastAsia" w:hAnsiTheme="majorHAnsi" w:cstheme="majorBidi"/>
          <w:color w:val="1F3763" w:themeColor="accent1" w:themeShade="7F"/>
          <w:sz w:val="24"/>
          <w:szCs w:val="24"/>
        </w:rPr>
      </w:pPr>
      <w:r w:rsidRPr="005B5BFC">
        <w:t>We develop</w:t>
      </w:r>
      <w:r w:rsidR="008E4BE3">
        <w:t>ed</w:t>
      </w:r>
      <w:r w:rsidRPr="005B5BFC">
        <w:t xml:space="preserve"> standardized </w:t>
      </w:r>
      <w:r>
        <w:t xml:space="preserve">data </w:t>
      </w:r>
      <w:r w:rsidRPr="005B5BFC">
        <w:t xml:space="preserve">extraction sheets (DES) in Microsoft Excel. These </w:t>
      </w:r>
      <w:r w:rsidR="008E4BE3">
        <w:t>were</w:t>
      </w:r>
      <w:r w:rsidRPr="005B5BFC">
        <w:t xml:space="preserve"> tested on a few selected papers and adapted where necessary. Data extraction </w:t>
      </w:r>
      <w:r w:rsidR="008E4BE3" w:rsidRPr="005B5BFC">
        <w:t>w</w:t>
      </w:r>
      <w:r w:rsidR="008E4BE3">
        <w:t>as</w:t>
      </w:r>
      <w:r w:rsidR="008E4BE3" w:rsidRPr="005B5BFC">
        <w:t xml:space="preserve"> </w:t>
      </w:r>
      <w:r w:rsidRPr="005B5BFC">
        <w:t xml:space="preserve">performed by </w:t>
      </w:r>
      <w:r>
        <w:t xml:space="preserve">one </w:t>
      </w:r>
      <w:r w:rsidRPr="005B5BFC">
        <w:t>reviewer</w:t>
      </w:r>
      <w:r>
        <w:t xml:space="preserve"> and at least 10% of the studies</w:t>
      </w:r>
      <w:r w:rsidR="008E4BE3">
        <w:t xml:space="preserve"> were</w:t>
      </w:r>
      <w:r>
        <w:t xml:space="preserve"> extracted,</w:t>
      </w:r>
      <w:r w:rsidRPr="005B5BFC">
        <w:t xml:space="preserve"> independently</w:t>
      </w:r>
      <w:r>
        <w:t>, by a second reviewer</w:t>
      </w:r>
      <w:r w:rsidRPr="005B5BFC">
        <w:t xml:space="preserve">. Data extractions </w:t>
      </w:r>
      <w:r w:rsidR="008E4BE3" w:rsidRPr="005B5BFC">
        <w:t>w</w:t>
      </w:r>
      <w:r w:rsidR="008E4BE3">
        <w:t>ere</w:t>
      </w:r>
      <w:r w:rsidR="008E4BE3" w:rsidRPr="005B5BFC">
        <w:t xml:space="preserve"> </w:t>
      </w:r>
      <w:r w:rsidRPr="005B5BFC">
        <w:t xml:space="preserve">checked by the lead reviewer and any discrepancies </w:t>
      </w:r>
      <w:r w:rsidR="008E4BE3" w:rsidRPr="005B5BFC">
        <w:t>w</w:t>
      </w:r>
      <w:r w:rsidR="008E4BE3">
        <w:t>ere resolved by</w:t>
      </w:r>
      <w:r w:rsidRPr="005B5BFC">
        <w:t xml:space="preserve"> </w:t>
      </w:r>
      <w:r w:rsidR="008E4BE3" w:rsidRPr="005B5BFC">
        <w:t>discuss</w:t>
      </w:r>
      <w:r w:rsidR="008E4BE3">
        <w:t>ion</w:t>
      </w:r>
      <w:r w:rsidRPr="005B5BFC">
        <w:t>.</w:t>
      </w:r>
    </w:p>
    <w:p w14:paraId="4688D6C3" w14:textId="5F1173D1" w:rsidR="00F61F41" w:rsidRDefault="0027341B" w:rsidP="00644BC3">
      <w:pPr>
        <w:pStyle w:val="Heading4"/>
      </w:pPr>
      <w:r>
        <w:t>Risk of bias assessment</w:t>
      </w:r>
    </w:p>
    <w:p w14:paraId="081D8C64" w14:textId="2A63C953" w:rsidR="002635B6" w:rsidRDefault="002635B6" w:rsidP="00644BC3">
      <w:r w:rsidRPr="002635B6">
        <w:t>Risk of bias w</w:t>
      </w:r>
      <w:r w:rsidR="008E4BE3">
        <w:t>as</w:t>
      </w:r>
      <w:r w:rsidRPr="002635B6">
        <w:t xml:space="preserve"> not assessed as studies </w:t>
      </w:r>
      <w:r w:rsidR="008E4BE3">
        <w:t>we</w:t>
      </w:r>
      <w:r w:rsidR="008E4BE3" w:rsidRPr="002635B6">
        <w:t xml:space="preserve">re </w:t>
      </w:r>
      <w:r w:rsidRPr="002635B6">
        <w:t xml:space="preserve">expected to </w:t>
      </w:r>
      <w:r w:rsidR="0076750F">
        <w:t xml:space="preserve">comprise </w:t>
      </w:r>
      <w:r w:rsidRPr="002635B6">
        <w:t xml:space="preserve">a mixture of designs and extracted endpoints </w:t>
      </w:r>
      <w:r w:rsidR="0076750F">
        <w:t>we</w:t>
      </w:r>
      <w:r w:rsidRPr="002635B6">
        <w:t>re unlikely to be primary endpoints of the studies.</w:t>
      </w:r>
    </w:p>
    <w:p w14:paraId="2805F19C" w14:textId="5FE9B10F" w:rsidR="008624DB" w:rsidRDefault="008624DB" w:rsidP="00644BC3">
      <w:pPr>
        <w:pStyle w:val="Heading4"/>
      </w:pPr>
      <w:r w:rsidRPr="008624DB">
        <w:t>Data items</w:t>
      </w:r>
    </w:p>
    <w:p w14:paraId="48575426" w14:textId="512F32E4" w:rsidR="003858A7" w:rsidRDefault="003858A7" w:rsidP="003858A7">
      <w:r>
        <w:t>In line with Schwander 2018, d</w:t>
      </w:r>
      <w:r w:rsidRPr="005B5BFC">
        <w:t>ata to extract include</w:t>
      </w:r>
      <w:r w:rsidR="0076750F">
        <w:t>d</w:t>
      </w:r>
      <w:r w:rsidRPr="005B5BFC">
        <w:t>:</w:t>
      </w:r>
    </w:p>
    <w:p w14:paraId="50E2998D" w14:textId="271DF17F" w:rsidR="00F677C3" w:rsidRDefault="00F3125C" w:rsidP="0088296F">
      <w:pPr>
        <w:pStyle w:val="ListBullet"/>
        <w:tabs>
          <w:tab w:val="clear" w:pos="360"/>
          <w:tab w:val="num" w:pos="720"/>
        </w:tabs>
        <w:ind w:left="720"/>
      </w:pPr>
      <w:r>
        <w:t>O</w:t>
      </w:r>
      <w:r w:rsidR="00127676">
        <w:t>besity-associated events simulated</w:t>
      </w:r>
      <w:r w:rsidR="00DD1A97">
        <w:t>, including</w:t>
      </w:r>
      <w:r w:rsidR="00A8323C">
        <w:t xml:space="preserve"> </w:t>
      </w:r>
      <w:r w:rsidR="00C65D65">
        <w:t xml:space="preserve">CHD, T2D, stroke, cancer, </w:t>
      </w:r>
      <w:r w:rsidR="00AA0795">
        <w:t>o</w:t>
      </w:r>
      <w:r w:rsidR="00C65D65">
        <w:t xml:space="preserve">steoarthritis, hyperlipidemia, </w:t>
      </w:r>
      <w:r w:rsidR="00DD1A97">
        <w:t>hypertension, peripheral artery disease</w:t>
      </w:r>
    </w:p>
    <w:p w14:paraId="211D0AA5" w14:textId="3FE81E08" w:rsidR="0040579A" w:rsidRDefault="00DE122A" w:rsidP="0088296F">
      <w:pPr>
        <w:pStyle w:val="ListBullet"/>
        <w:tabs>
          <w:tab w:val="clear" w:pos="360"/>
          <w:tab w:val="num" w:pos="720"/>
        </w:tabs>
        <w:ind w:left="720"/>
      </w:pPr>
      <w:r>
        <w:t xml:space="preserve">Approach used to simulate incidence associated with </w:t>
      </w:r>
      <w:r w:rsidR="00127676">
        <w:t xml:space="preserve">CHD/T2D/stroke </w:t>
      </w:r>
      <w:r w:rsidR="00F637B9">
        <w:t xml:space="preserve">(i.e., </w:t>
      </w:r>
      <w:r w:rsidR="002867C5">
        <w:t xml:space="preserve">incidence estimation approaches </w:t>
      </w:r>
      <w:r w:rsidR="00951DA1">
        <w:t>(</w:t>
      </w:r>
      <w:r w:rsidR="002867C5">
        <w:t>such as potential impact fraction, BMI, age and gender</w:t>
      </w:r>
      <w:r w:rsidR="00951DA1">
        <w:t xml:space="preserve">) </w:t>
      </w:r>
    </w:p>
    <w:p w14:paraId="156CD61B" w14:textId="02DB8F05" w:rsidR="00127676" w:rsidRDefault="0040579A" w:rsidP="0088296F">
      <w:pPr>
        <w:pStyle w:val="ListBullet"/>
        <w:tabs>
          <w:tab w:val="clear" w:pos="360"/>
          <w:tab w:val="num" w:pos="720"/>
        </w:tabs>
        <w:ind w:left="720"/>
      </w:pPr>
      <w:r>
        <w:t xml:space="preserve">Approach used to simulate intervention effects associated with CHD/T2D/stroke </w:t>
      </w:r>
      <w:r w:rsidR="00951DA1">
        <w:t xml:space="preserve">(such as </w:t>
      </w:r>
      <w:r w:rsidR="00570E22" w:rsidRPr="00570E22">
        <w:t>BMI or BMI group-specific RR</w:t>
      </w:r>
      <w:r w:rsidR="00570E22">
        <w:t xml:space="preserve">) </w:t>
      </w:r>
    </w:p>
    <w:p w14:paraId="68D2834C" w14:textId="32EDC2BB" w:rsidR="000B3DE9" w:rsidRDefault="000B3DE9" w:rsidP="0088296F">
      <w:pPr>
        <w:pStyle w:val="ListBullet"/>
        <w:tabs>
          <w:tab w:val="clear" w:pos="360"/>
          <w:tab w:val="num" w:pos="720"/>
        </w:tabs>
        <w:ind w:left="720"/>
      </w:pPr>
      <w:r>
        <w:t>Approach used to simulate even</w:t>
      </w:r>
      <w:r w:rsidR="001D5C68">
        <w:t>t-specific mortality</w:t>
      </w:r>
      <w:r w:rsidR="00346938">
        <w:t xml:space="preserve"> associated with CHD/T2D/stroke</w:t>
      </w:r>
    </w:p>
    <w:p w14:paraId="4D26F59C" w14:textId="42C66EFA" w:rsidR="00DE5CC2" w:rsidRDefault="00DE5CC2" w:rsidP="0088296F">
      <w:pPr>
        <w:pStyle w:val="ListBullet"/>
        <w:tabs>
          <w:tab w:val="clear" w:pos="360"/>
          <w:tab w:val="num" w:pos="720"/>
        </w:tabs>
        <w:ind w:left="720"/>
      </w:pPr>
      <w:r>
        <w:t>External validation approach</w:t>
      </w:r>
      <w:r w:rsidR="00D03D62">
        <w:t xml:space="preserve">, along with </w:t>
      </w:r>
      <w:r w:rsidR="00EA2D1B">
        <w:t>quantitative</w:t>
      </w:r>
      <w:r w:rsidR="00D03D62">
        <w:t xml:space="preserve"> measures used (e.g., </w:t>
      </w:r>
      <w:r w:rsidR="00EA2D1B">
        <w:t>measures on fit)</w:t>
      </w:r>
      <w:r w:rsidR="000228A1">
        <w:t>,</w:t>
      </w:r>
      <w:r>
        <w:t xml:space="preserve"> and associated results</w:t>
      </w:r>
      <w:r w:rsidR="00764E60">
        <w:t xml:space="preserve"> for each reported endpoint</w:t>
      </w:r>
      <w:r w:rsidR="00D03D62">
        <w:t xml:space="preserve"> </w:t>
      </w:r>
    </w:p>
    <w:p w14:paraId="51C4D42D" w14:textId="77777777" w:rsidR="00356D52" w:rsidRDefault="00356D52" w:rsidP="00356D52">
      <w:pPr>
        <w:pStyle w:val="ListBullet"/>
        <w:numPr>
          <w:ilvl w:val="0"/>
          <w:numId w:val="0"/>
        </w:numPr>
        <w:ind w:left="360" w:hanging="360"/>
      </w:pPr>
    </w:p>
    <w:p w14:paraId="79017138" w14:textId="08B7CF30" w:rsidR="00914352" w:rsidRDefault="00914352" w:rsidP="00914352">
      <w:pPr>
        <w:pStyle w:val="Heading2"/>
      </w:pPr>
      <w:r>
        <w:t>Targeted literature reviews</w:t>
      </w:r>
    </w:p>
    <w:p w14:paraId="56779B0E" w14:textId="761CAAE9" w:rsidR="00A3092F" w:rsidRDefault="00513A44" w:rsidP="008F1C9F">
      <w:pPr>
        <w:pStyle w:val="Heading3"/>
      </w:pPr>
      <w:r w:rsidRPr="00513A44">
        <w:t>TLR</w:t>
      </w:r>
      <w:r w:rsidR="00866391">
        <w:t xml:space="preserve"> 1: </w:t>
      </w:r>
      <w:r w:rsidR="002A6806">
        <w:t>R</w:t>
      </w:r>
      <w:r w:rsidRPr="00513A44">
        <w:t xml:space="preserve">ecent </w:t>
      </w:r>
      <w:r w:rsidR="00FE55B1">
        <w:t>T2D</w:t>
      </w:r>
      <w:r w:rsidRPr="00513A44">
        <w:t xml:space="preserve"> model validations</w:t>
      </w:r>
      <w:r w:rsidR="00AE3F8C">
        <w:t xml:space="preserve"> </w:t>
      </w:r>
      <w:r w:rsidR="002A6806">
        <w:t>(published since 2017)</w:t>
      </w:r>
      <w:r w:rsidRPr="00513A44">
        <w:t xml:space="preserve"> </w:t>
      </w:r>
    </w:p>
    <w:p w14:paraId="4732765C" w14:textId="69919407" w:rsidR="00513A44" w:rsidRDefault="00D9030C" w:rsidP="00186227">
      <w:r>
        <w:t xml:space="preserve">A targeted review </w:t>
      </w:r>
      <w:r w:rsidR="00E115D8">
        <w:t>was</w:t>
      </w:r>
      <w:r>
        <w:t xml:space="preserve"> conducted to identify </w:t>
      </w:r>
      <w:r w:rsidR="000D7DB4">
        <w:t>more recent</w:t>
      </w:r>
      <w:r>
        <w:t xml:space="preserve"> </w:t>
      </w:r>
      <w:r w:rsidR="0071049F">
        <w:t>T2D</w:t>
      </w:r>
      <w:r>
        <w:t xml:space="preserve"> model validations</w:t>
      </w:r>
      <w:r w:rsidR="000D7DB4">
        <w:t xml:space="preserve"> than Willis 2017 (ECHO-T2DM)</w:t>
      </w:r>
      <w:r w:rsidR="0071049F">
        <w:t xml:space="preserve">, </w:t>
      </w:r>
      <w:r>
        <w:t xml:space="preserve">which </w:t>
      </w:r>
      <w:r w:rsidR="00E115D8">
        <w:t>were</w:t>
      </w:r>
      <w:r>
        <w:t xml:space="preserve"> published since 2017.</w:t>
      </w:r>
      <w:r w:rsidRPr="00D9030C">
        <w:t xml:space="preserve"> For our </w:t>
      </w:r>
      <w:r>
        <w:t>TLR</w:t>
      </w:r>
      <w:r w:rsidRPr="00D9030C">
        <w:t>, studies w</w:t>
      </w:r>
      <w:r w:rsidR="00E115D8">
        <w:t>ere</w:t>
      </w:r>
      <w:r w:rsidRPr="00D9030C">
        <w:t xml:space="preserve"> therefore selected according to the PICOS criteria outlined in </w:t>
      </w:r>
      <w:r w:rsidR="003175CB">
        <w:t xml:space="preserve">Table </w:t>
      </w:r>
      <w:r w:rsidR="003175CB">
        <w:rPr>
          <w:noProof/>
        </w:rPr>
        <w:t>2</w:t>
      </w:r>
      <w:r w:rsidRPr="00D9030C">
        <w:t xml:space="preserve"> and detailed below.</w:t>
      </w:r>
    </w:p>
    <w:p w14:paraId="4EA4C608" w14:textId="77777777" w:rsidR="00F15671" w:rsidRPr="005B5BFC" w:rsidRDefault="00F15671" w:rsidP="00BF7630">
      <w:pPr>
        <w:pStyle w:val="Heading4"/>
      </w:pPr>
      <w:r w:rsidRPr="005B5BFC">
        <w:t>Population</w:t>
      </w:r>
    </w:p>
    <w:p w14:paraId="0CE7E733" w14:textId="0893CA69" w:rsidR="00F15671" w:rsidRDefault="00F15671" w:rsidP="00F15671">
      <w:r>
        <w:t xml:space="preserve">The population of interest </w:t>
      </w:r>
      <w:r w:rsidR="00E115D8">
        <w:t xml:space="preserve">was </w:t>
      </w:r>
      <w:r>
        <w:t>p</w:t>
      </w:r>
      <w:r w:rsidRPr="00F15671">
        <w:t xml:space="preserve">atients suffering from </w:t>
      </w:r>
      <w:r w:rsidR="0071049F">
        <w:t>T2D</w:t>
      </w:r>
      <w:r>
        <w:t xml:space="preserve">. </w:t>
      </w:r>
    </w:p>
    <w:p w14:paraId="24B601C4" w14:textId="2632FB85" w:rsidR="00F15671" w:rsidRDefault="00F15671" w:rsidP="00BF7630">
      <w:pPr>
        <w:pStyle w:val="Heading4"/>
      </w:pPr>
      <w:r w:rsidRPr="005B5BFC">
        <w:t>Interventions/comparators</w:t>
      </w:r>
    </w:p>
    <w:p w14:paraId="756E92BE" w14:textId="3933088D" w:rsidR="00F15671" w:rsidRDefault="00F15671" w:rsidP="00F15671">
      <w:r w:rsidRPr="004107A1">
        <w:t xml:space="preserve">All </w:t>
      </w:r>
      <w:r>
        <w:t xml:space="preserve">analyses comparing </w:t>
      </w:r>
      <w:r w:rsidRPr="004107A1">
        <w:t xml:space="preserve">interventions targeted at </w:t>
      </w:r>
      <w:r w:rsidR="0071049F">
        <w:t>T2D</w:t>
      </w:r>
      <w:r>
        <w:t xml:space="preserve"> </w:t>
      </w:r>
      <w:r w:rsidR="00E115D8">
        <w:t>were</w:t>
      </w:r>
      <w:r>
        <w:t xml:space="preserve"> included. </w:t>
      </w:r>
    </w:p>
    <w:p w14:paraId="2E007B5C" w14:textId="77777777" w:rsidR="00F15671" w:rsidRDefault="00F15671" w:rsidP="00BF7630">
      <w:pPr>
        <w:pStyle w:val="Heading4"/>
      </w:pPr>
      <w:r w:rsidRPr="005B5BFC">
        <w:t>Outcomes</w:t>
      </w:r>
    </w:p>
    <w:p w14:paraId="23A1F6F0" w14:textId="75DBCA68" w:rsidR="008F1C9F" w:rsidRDefault="00F15671" w:rsidP="008F1C9F">
      <w:r>
        <w:t xml:space="preserve">The outcome of interest </w:t>
      </w:r>
      <w:r w:rsidR="00E115D8">
        <w:t>wa</w:t>
      </w:r>
      <w:r w:rsidR="008F1C9F">
        <w:t>s</w:t>
      </w:r>
      <w:r>
        <w:t xml:space="preserve"> </w:t>
      </w:r>
      <w:r w:rsidR="008F1C9F">
        <w:t>i</w:t>
      </w:r>
      <w:r w:rsidR="008F1C9F" w:rsidRPr="008F1C9F">
        <w:t>nvestigation</w:t>
      </w:r>
      <w:r w:rsidR="008F1C9F">
        <w:t>s</w:t>
      </w:r>
      <w:r w:rsidR="008F1C9F" w:rsidRPr="008F1C9F">
        <w:t xml:space="preserve"> of </w:t>
      </w:r>
      <w:r w:rsidR="008F1C9F">
        <w:t xml:space="preserve">the </w:t>
      </w:r>
      <w:r w:rsidR="008F1C9F" w:rsidRPr="008F1C9F">
        <w:t>predictiveness and validity of models</w:t>
      </w:r>
      <w:r w:rsidR="008F1C9F">
        <w:t>.</w:t>
      </w:r>
    </w:p>
    <w:p w14:paraId="2487B8A3" w14:textId="684B1643" w:rsidR="00F15671" w:rsidRPr="005B5BFC" w:rsidRDefault="008F1C9F" w:rsidP="00BF7630">
      <w:pPr>
        <w:pStyle w:val="Heading4"/>
      </w:pPr>
      <w:r w:rsidRPr="008F1C9F">
        <w:t>​</w:t>
      </w:r>
      <w:r w:rsidR="00F15671" w:rsidRPr="005B5BFC">
        <w:t>Study design</w:t>
      </w:r>
    </w:p>
    <w:p w14:paraId="05C30A3A" w14:textId="312C4A19" w:rsidR="00F15671" w:rsidRDefault="00F15671" w:rsidP="00F15671">
      <w:r>
        <w:t>Only decision analytic models as defined by the ISPOR task force w</w:t>
      </w:r>
      <w:r w:rsidR="00E115D8">
        <w:t>ere</w:t>
      </w:r>
      <w:r>
        <w:t xml:space="preserve"> included. This definition assumes that models account for events over time and across populations​, are based on data drawn from primary and/or secondary sources​, and aim to estimate effects of an intervention on health consequences and costs​ in order to aid decision making.</w:t>
      </w:r>
      <w:r w:rsidRPr="004107A1">
        <w:rPr>
          <w:noProof/>
          <w:vertAlign w:val="superscript"/>
        </w:rPr>
        <w:t>20</w:t>
      </w:r>
      <w:r>
        <w:t>​</w:t>
      </w:r>
    </w:p>
    <w:p w14:paraId="266C11B6" w14:textId="77777777" w:rsidR="00F15671" w:rsidRPr="005B5BFC" w:rsidRDefault="00F15671" w:rsidP="00BF7630">
      <w:pPr>
        <w:pStyle w:val="Heading4"/>
      </w:pPr>
      <w:r w:rsidRPr="005B5BFC">
        <w:lastRenderedPageBreak/>
        <w:t>Publication type</w:t>
      </w:r>
    </w:p>
    <w:p w14:paraId="1AF04744" w14:textId="670F195C" w:rsidR="00F15671" w:rsidRPr="005B5BFC" w:rsidRDefault="00F15671" w:rsidP="00F15671">
      <w:r w:rsidRPr="005B5BFC">
        <w:t xml:space="preserve">Only original research in the form of published research, conference abstracts or registered trials </w:t>
      </w:r>
      <w:r w:rsidR="00E115D8">
        <w:t>were</w:t>
      </w:r>
      <w:r w:rsidRPr="005B5BFC">
        <w:t xml:space="preserve"> included. Therefore,</w:t>
      </w:r>
      <w:r>
        <w:t xml:space="preserve"> </w:t>
      </w:r>
      <w:r w:rsidRPr="005B5BFC">
        <w:t>reviews, letter to the editor</w:t>
      </w:r>
      <w:r w:rsidR="00E115D8">
        <w:t>,</w:t>
      </w:r>
      <w:r w:rsidRPr="005B5BFC">
        <w:t xml:space="preserve"> and editorials w</w:t>
      </w:r>
      <w:r w:rsidR="00E115D8">
        <w:t>ere</w:t>
      </w:r>
      <w:r w:rsidRPr="005B5BFC">
        <w:t xml:space="preserve"> excluded. </w:t>
      </w:r>
    </w:p>
    <w:p w14:paraId="0EEAAE82" w14:textId="77777777" w:rsidR="00F15671" w:rsidRPr="005B5BFC" w:rsidRDefault="00F15671" w:rsidP="00BF7630">
      <w:pPr>
        <w:pStyle w:val="Heading4"/>
      </w:pPr>
      <w:r w:rsidRPr="005B5BFC">
        <w:t>Language</w:t>
      </w:r>
    </w:p>
    <w:p w14:paraId="0C1F1AF3" w14:textId="494CC4EC" w:rsidR="008F1C9F" w:rsidRDefault="00F15671" w:rsidP="00F15671">
      <w:r w:rsidRPr="005B5BFC">
        <w:t xml:space="preserve">We </w:t>
      </w:r>
      <w:r w:rsidR="00E115D8">
        <w:t>did</w:t>
      </w:r>
      <w:r w:rsidR="00E115D8" w:rsidRPr="005B5BFC">
        <w:t xml:space="preserve"> </w:t>
      </w:r>
      <w:r w:rsidRPr="005B5BFC">
        <w:t xml:space="preserve">not exclude studies by language. </w:t>
      </w:r>
    </w:p>
    <w:p w14:paraId="4EB9CDE7" w14:textId="34C4F842" w:rsidR="008F1C9F" w:rsidRDefault="008F1C9F" w:rsidP="008F1C9F">
      <w:pPr>
        <w:spacing w:after="0" w:line="240" w:lineRule="auto"/>
        <w:rPr>
          <w:rFonts w:ascii="Times New Roman" w:eastAsia="Times New Roman" w:hAnsi="Times New Roman" w:cs="Times New Roman"/>
          <w:sz w:val="24"/>
          <w:szCs w:val="24"/>
          <w:lang w:eastAsia="en-GB"/>
        </w:rPr>
      </w:pPr>
    </w:p>
    <w:p w14:paraId="6B389504" w14:textId="77777777" w:rsidR="00003FF4" w:rsidRPr="008F1C9F" w:rsidRDefault="00003FF4" w:rsidP="008F1C9F">
      <w:pPr>
        <w:spacing w:after="0" w:line="240" w:lineRule="auto"/>
        <w:rPr>
          <w:rFonts w:ascii="Times New Roman" w:eastAsia="Times New Roman" w:hAnsi="Times New Roman" w:cs="Times New Roman"/>
          <w:sz w:val="24"/>
          <w:szCs w:val="24"/>
          <w:lang w:eastAsia="en-GB"/>
        </w:rPr>
      </w:pPr>
    </w:p>
    <w:p w14:paraId="7C1600DA" w14:textId="09968290" w:rsidR="008F1C9F" w:rsidRDefault="008F1C9F" w:rsidP="008F1C9F">
      <w:pPr>
        <w:pStyle w:val="Caption"/>
        <w:keepNext/>
      </w:pPr>
      <w:bookmarkStart w:id="10" w:name="_Ref151550469"/>
      <w:r>
        <w:t xml:space="preserve">Table </w:t>
      </w:r>
      <w:r w:rsidR="00795081">
        <w:rPr>
          <w:noProof/>
        </w:rPr>
        <w:t>2</w:t>
      </w:r>
      <w:bookmarkEnd w:id="10"/>
      <w:r>
        <w:t xml:space="preserve">. </w:t>
      </w:r>
      <w:r w:rsidRPr="008F1C9F">
        <w:t xml:space="preserve">PICOS for </w:t>
      </w:r>
      <w:r>
        <w:t xml:space="preserve">TLR of </w:t>
      </w:r>
      <w:r w:rsidR="00FE55B1">
        <w:t>T2D</w:t>
      </w:r>
      <w:r>
        <w:t xml:space="preserve"> model validations</w:t>
      </w:r>
    </w:p>
    <w:tbl>
      <w:tblPr>
        <w:tblStyle w:val="TableGrid"/>
        <w:tblW w:w="5000" w:type="pct"/>
        <w:tblLook w:val="04A0" w:firstRow="1" w:lastRow="0" w:firstColumn="1" w:lastColumn="0" w:noHBand="0" w:noVBand="1"/>
      </w:tblPr>
      <w:tblGrid>
        <w:gridCol w:w="3356"/>
        <w:gridCol w:w="5660"/>
      </w:tblGrid>
      <w:tr w:rsidR="008F1C9F" w:rsidRPr="008F1C9F" w14:paraId="13B862F7" w14:textId="77777777" w:rsidTr="00FE55B1">
        <w:trPr>
          <w:trHeight w:val="599"/>
        </w:trPr>
        <w:tc>
          <w:tcPr>
            <w:tcW w:w="1861" w:type="pct"/>
            <w:hideMark/>
          </w:tcPr>
          <w:p w14:paraId="491CF507" w14:textId="77777777" w:rsidR="008F1C9F" w:rsidRPr="008F1C9F" w:rsidRDefault="008F1C9F" w:rsidP="008F1C9F">
            <w:pPr>
              <w:spacing w:before="100" w:beforeAutospacing="1" w:after="100" w:afterAutospacing="1"/>
              <w:textAlignment w:val="baseline"/>
              <w:rPr>
                <w:rFonts w:ascii="Times New Roman" w:eastAsia="Times New Roman" w:hAnsi="Times New Roman" w:cs="Times New Roman"/>
                <w:b/>
                <w:bCs/>
                <w:lang w:eastAsia="en-GB"/>
              </w:rPr>
            </w:pPr>
            <w:r w:rsidRPr="008F1C9F">
              <w:rPr>
                <w:rFonts w:ascii="Calibri" w:eastAsia="Times New Roman" w:hAnsi="Calibri" w:cs="Calibri"/>
                <w:b/>
                <w:bCs/>
                <w:lang w:val="en-US" w:eastAsia="en-GB"/>
              </w:rPr>
              <w:t>Population</w:t>
            </w:r>
            <w:r w:rsidRPr="008F1C9F">
              <w:rPr>
                <w:rFonts w:ascii="Calibri" w:eastAsia="Times New Roman" w:hAnsi="Calibri" w:cs="Calibri"/>
                <w:b/>
                <w:bCs/>
                <w:lang w:eastAsia="en-GB"/>
              </w:rPr>
              <w:t>​</w:t>
            </w:r>
          </w:p>
        </w:tc>
        <w:tc>
          <w:tcPr>
            <w:tcW w:w="3139" w:type="pct"/>
            <w:hideMark/>
          </w:tcPr>
          <w:p w14:paraId="76F0ECC6" w14:textId="3AB27770" w:rsidR="008F1C9F" w:rsidRPr="008F1C9F" w:rsidRDefault="008F1C9F" w:rsidP="008F1C9F">
            <w:pPr>
              <w:spacing w:before="100" w:beforeAutospacing="1" w:after="100" w:afterAutospacing="1"/>
              <w:jc w:val="both"/>
              <w:textAlignment w:val="baseline"/>
              <w:rPr>
                <w:rFonts w:ascii="Times New Roman" w:eastAsia="Times New Roman" w:hAnsi="Times New Roman" w:cs="Times New Roman"/>
                <w:b/>
                <w:bCs/>
                <w:color w:val="000000"/>
                <w:lang w:val="en-US" w:eastAsia="en-GB"/>
              </w:rPr>
            </w:pPr>
            <w:r w:rsidRPr="008F1C9F">
              <w:rPr>
                <w:rFonts w:ascii="Calibri" w:eastAsia="Times New Roman" w:hAnsi="Calibri" w:cs="Calibri"/>
                <w:color w:val="000000"/>
                <w:lang w:val="en-US" w:eastAsia="en-GB"/>
              </w:rPr>
              <w:t xml:space="preserve">Patients suffering from </w:t>
            </w:r>
            <w:r w:rsidR="00FE55B1">
              <w:rPr>
                <w:rFonts w:ascii="Calibri" w:eastAsia="Times New Roman" w:hAnsi="Calibri" w:cs="Calibri"/>
                <w:color w:val="000000"/>
                <w:lang w:val="en-US" w:eastAsia="en-GB"/>
              </w:rPr>
              <w:t>T2D</w:t>
            </w:r>
          </w:p>
        </w:tc>
      </w:tr>
      <w:tr w:rsidR="008F1C9F" w:rsidRPr="008F1C9F" w14:paraId="6E459466" w14:textId="77777777" w:rsidTr="00FE55B1">
        <w:trPr>
          <w:trHeight w:val="551"/>
        </w:trPr>
        <w:tc>
          <w:tcPr>
            <w:tcW w:w="1861" w:type="pct"/>
            <w:hideMark/>
          </w:tcPr>
          <w:p w14:paraId="18E89EDC" w14:textId="4A138E10" w:rsidR="008F1C9F" w:rsidRPr="008F1C9F" w:rsidRDefault="008F1C9F" w:rsidP="008F1C9F">
            <w:pPr>
              <w:spacing w:before="100" w:beforeAutospacing="1" w:after="100" w:afterAutospacing="1"/>
              <w:textAlignment w:val="baseline"/>
              <w:rPr>
                <w:rFonts w:ascii="Times New Roman" w:eastAsia="Times New Roman" w:hAnsi="Times New Roman" w:cs="Times New Roman"/>
                <w:b/>
                <w:bCs/>
                <w:lang w:eastAsia="en-GB"/>
              </w:rPr>
            </w:pPr>
            <w:r w:rsidRPr="008F1C9F">
              <w:rPr>
                <w:rFonts w:ascii="Calibri" w:eastAsia="Times New Roman" w:hAnsi="Calibri" w:cs="Calibri"/>
                <w:b/>
                <w:bCs/>
                <w:lang w:val="en-US" w:eastAsia="en-GB"/>
              </w:rPr>
              <w:t>Interventions/Comparators</w:t>
            </w:r>
          </w:p>
        </w:tc>
        <w:tc>
          <w:tcPr>
            <w:tcW w:w="3139" w:type="pct"/>
            <w:hideMark/>
          </w:tcPr>
          <w:p w14:paraId="2F230A0E" w14:textId="77777777" w:rsidR="008F1C9F" w:rsidRPr="008F1C9F" w:rsidRDefault="008F1C9F" w:rsidP="008F1C9F">
            <w:pPr>
              <w:spacing w:before="100" w:beforeAutospacing="1" w:after="100" w:afterAutospacing="1"/>
              <w:jc w:val="both"/>
              <w:textAlignment w:val="baseline"/>
              <w:rPr>
                <w:rFonts w:ascii="Times New Roman" w:eastAsia="Times New Roman" w:hAnsi="Times New Roman" w:cs="Times New Roman"/>
                <w:color w:val="000000"/>
                <w:lang w:val="en-US" w:eastAsia="en-GB"/>
              </w:rPr>
            </w:pPr>
            <w:r w:rsidRPr="008F1C9F">
              <w:rPr>
                <w:rFonts w:ascii="Calibri" w:eastAsia="Times New Roman" w:hAnsi="Calibri" w:cs="Calibri"/>
                <w:color w:val="000000"/>
                <w:lang w:val="en-US" w:eastAsia="en-GB"/>
              </w:rPr>
              <w:t>All interventions targeted at T2D​</w:t>
            </w:r>
          </w:p>
        </w:tc>
      </w:tr>
      <w:tr w:rsidR="008F1C9F" w:rsidRPr="008F1C9F" w14:paraId="1E25FAC2" w14:textId="77777777" w:rsidTr="00FE55B1">
        <w:trPr>
          <w:trHeight w:val="600"/>
        </w:trPr>
        <w:tc>
          <w:tcPr>
            <w:tcW w:w="1861" w:type="pct"/>
            <w:hideMark/>
          </w:tcPr>
          <w:p w14:paraId="7E5AFAAC" w14:textId="77777777" w:rsidR="008F1C9F" w:rsidRPr="008F1C9F" w:rsidRDefault="008F1C9F" w:rsidP="008F1C9F">
            <w:pPr>
              <w:spacing w:before="100" w:beforeAutospacing="1" w:after="100" w:afterAutospacing="1"/>
              <w:textAlignment w:val="baseline"/>
              <w:rPr>
                <w:rFonts w:ascii="Times New Roman" w:eastAsia="Times New Roman" w:hAnsi="Times New Roman" w:cs="Times New Roman"/>
                <w:b/>
                <w:bCs/>
                <w:lang w:eastAsia="en-GB"/>
              </w:rPr>
            </w:pPr>
            <w:r w:rsidRPr="008F1C9F">
              <w:rPr>
                <w:rFonts w:ascii="Calibri" w:eastAsia="Times New Roman" w:hAnsi="Calibri" w:cs="Calibri"/>
                <w:b/>
                <w:bCs/>
                <w:lang w:val="en-US" w:eastAsia="en-GB"/>
              </w:rPr>
              <w:t>Outcomes </w:t>
            </w:r>
            <w:r w:rsidRPr="008F1C9F">
              <w:rPr>
                <w:rFonts w:ascii="Calibri" w:eastAsia="Times New Roman" w:hAnsi="Calibri" w:cs="Calibri"/>
                <w:b/>
                <w:bCs/>
                <w:lang w:eastAsia="en-GB"/>
              </w:rPr>
              <w:t>​</w:t>
            </w:r>
          </w:p>
        </w:tc>
        <w:tc>
          <w:tcPr>
            <w:tcW w:w="3139" w:type="pct"/>
            <w:hideMark/>
          </w:tcPr>
          <w:p w14:paraId="034F8ECD" w14:textId="77777777" w:rsidR="008F1C9F" w:rsidRPr="008F1C9F" w:rsidRDefault="008F1C9F" w:rsidP="008F1C9F">
            <w:pPr>
              <w:spacing w:before="100" w:beforeAutospacing="1" w:after="100" w:afterAutospacing="1"/>
              <w:jc w:val="both"/>
              <w:textAlignment w:val="baseline"/>
              <w:rPr>
                <w:rFonts w:ascii="Times New Roman" w:eastAsia="Times New Roman" w:hAnsi="Times New Roman" w:cs="Times New Roman"/>
                <w:color w:val="000000"/>
                <w:lang w:eastAsia="en-GB"/>
              </w:rPr>
            </w:pPr>
            <w:r w:rsidRPr="008F1C9F">
              <w:rPr>
                <w:rFonts w:ascii="Calibri" w:eastAsia="Times New Roman" w:hAnsi="Calibri" w:cs="Calibri"/>
                <w:color w:val="000000"/>
                <w:lang w:eastAsia="en-GB"/>
              </w:rPr>
              <w:t>Investigation of predictiveness and validity of models​</w:t>
            </w:r>
          </w:p>
        </w:tc>
      </w:tr>
      <w:tr w:rsidR="008F1C9F" w:rsidRPr="008F1C9F" w14:paraId="1EE9B700" w14:textId="77777777" w:rsidTr="00FE55B1">
        <w:trPr>
          <w:trHeight w:val="600"/>
        </w:trPr>
        <w:tc>
          <w:tcPr>
            <w:tcW w:w="1861" w:type="pct"/>
            <w:hideMark/>
          </w:tcPr>
          <w:p w14:paraId="3211A55E" w14:textId="77777777" w:rsidR="008F1C9F" w:rsidRPr="008F1C9F" w:rsidRDefault="008F1C9F" w:rsidP="008F1C9F">
            <w:pPr>
              <w:spacing w:before="100" w:beforeAutospacing="1" w:after="100" w:afterAutospacing="1"/>
              <w:textAlignment w:val="baseline"/>
              <w:rPr>
                <w:rFonts w:ascii="Times New Roman" w:eastAsia="Times New Roman" w:hAnsi="Times New Roman" w:cs="Times New Roman"/>
                <w:b/>
                <w:bCs/>
                <w:lang w:eastAsia="en-GB"/>
              </w:rPr>
            </w:pPr>
            <w:r w:rsidRPr="008F1C9F">
              <w:rPr>
                <w:rFonts w:ascii="Calibri" w:eastAsia="Times New Roman" w:hAnsi="Calibri" w:cs="Calibri"/>
                <w:b/>
                <w:bCs/>
                <w:lang w:val="en-US" w:eastAsia="en-GB"/>
              </w:rPr>
              <w:t>Study design</w:t>
            </w:r>
            <w:r w:rsidRPr="008F1C9F">
              <w:rPr>
                <w:rFonts w:ascii="Calibri" w:eastAsia="Times New Roman" w:hAnsi="Calibri" w:cs="Calibri"/>
                <w:b/>
                <w:bCs/>
                <w:lang w:eastAsia="en-GB"/>
              </w:rPr>
              <w:t>​</w:t>
            </w:r>
          </w:p>
        </w:tc>
        <w:tc>
          <w:tcPr>
            <w:tcW w:w="3139" w:type="pct"/>
            <w:hideMark/>
          </w:tcPr>
          <w:p w14:paraId="3D0F5C28" w14:textId="77777777" w:rsidR="008F1C9F" w:rsidRPr="00A3092F" w:rsidRDefault="008F1C9F" w:rsidP="008F1C9F">
            <w:pPr>
              <w:pStyle w:val="ListParagraph"/>
              <w:numPr>
                <w:ilvl w:val="0"/>
                <w:numId w:val="24"/>
              </w:numPr>
              <w:rPr>
                <w:rFonts w:ascii="Arial" w:hAnsi="Arial" w:cs="Arial"/>
                <w:lang w:val="en-US"/>
              </w:rPr>
            </w:pPr>
            <w:r w:rsidRPr="00A3092F">
              <w:rPr>
                <w:rStyle w:val="normaltextrun"/>
                <w:color w:val="000000"/>
                <w:position w:val="1"/>
              </w:rPr>
              <w:t>Decision analytic models accounting for events over time and across populations</w:t>
            </w:r>
            <w:r w:rsidRPr="00A3092F">
              <w:rPr>
                <w:rStyle w:val="eop"/>
                <w:rFonts w:ascii="Calibri" w:hAnsi="Calibri" w:cs="Calibri"/>
                <w:color w:val="000000"/>
                <w:lang w:val="en-US"/>
              </w:rPr>
              <w:t>​</w:t>
            </w:r>
          </w:p>
          <w:p w14:paraId="114F323E" w14:textId="77777777" w:rsidR="008F1C9F" w:rsidRPr="00A3092F" w:rsidRDefault="008F1C9F" w:rsidP="008F1C9F">
            <w:pPr>
              <w:pStyle w:val="ListParagraph"/>
              <w:numPr>
                <w:ilvl w:val="0"/>
                <w:numId w:val="24"/>
              </w:numPr>
              <w:rPr>
                <w:rFonts w:ascii="Arial" w:hAnsi="Arial" w:cs="Arial"/>
                <w:lang w:val="en-US"/>
              </w:rPr>
            </w:pPr>
            <w:r w:rsidRPr="00A3092F">
              <w:rPr>
                <w:rStyle w:val="normaltextrun"/>
                <w:color w:val="000000"/>
                <w:position w:val="1"/>
              </w:rPr>
              <w:t>Based on data drawn from primary and/or secondary sources</w:t>
            </w:r>
            <w:r w:rsidRPr="00A3092F">
              <w:rPr>
                <w:rStyle w:val="eop"/>
                <w:rFonts w:ascii="Calibri" w:hAnsi="Calibri" w:cs="Calibri"/>
                <w:color w:val="000000"/>
                <w:lang w:val="en-US"/>
              </w:rPr>
              <w:t>​</w:t>
            </w:r>
          </w:p>
          <w:p w14:paraId="2647217B" w14:textId="77777777" w:rsidR="008F1C9F" w:rsidRPr="00A3092F" w:rsidRDefault="008F1C9F" w:rsidP="008F1C9F">
            <w:pPr>
              <w:pStyle w:val="ListParagraph"/>
              <w:numPr>
                <w:ilvl w:val="0"/>
                <w:numId w:val="24"/>
              </w:numPr>
              <w:rPr>
                <w:rFonts w:ascii="Arial" w:hAnsi="Arial" w:cs="Arial"/>
                <w:lang w:val="en-US"/>
              </w:rPr>
            </w:pPr>
            <w:r w:rsidRPr="00A3092F">
              <w:rPr>
                <w:rStyle w:val="normaltextrun"/>
                <w:color w:val="000000"/>
                <w:position w:val="1"/>
              </w:rPr>
              <w:t>Purpose to estimate effects of an intervention on health consequences and costs</w:t>
            </w:r>
            <w:r w:rsidRPr="00A3092F">
              <w:rPr>
                <w:rStyle w:val="eop"/>
                <w:rFonts w:ascii="Calibri" w:hAnsi="Calibri" w:cs="Calibri"/>
                <w:color w:val="000000"/>
                <w:lang w:val="en-US"/>
              </w:rPr>
              <w:t>​</w:t>
            </w:r>
          </w:p>
          <w:p w14:paraId="11DC44ED" w14:textId="77777777" w:rsidR="008F1C9F" w:rsidRPr="00A3092F" w:rsidRDefault="008F1C9F" w:rsidP="008F1C9F">
            <w:pPr>
              <w:pStyle w:val="ListParagraph"/>
              <w:numPr>
                <w:ilvl w:val="0"/>
                <w:numId w:val="24"/>
              </w:numPr>
              <w:rPr>
                <w:rFonts w:ascii="Arial" w:hAnsi="Arial" w:cs="Arial"/>
                <w:lang w:val="en-US"/>
              </w:rPr>
            </w:pPr>
            <w:r w:rsidRPr="00A3092F">
              <w:rPr>
                <w:rStyle w:val="normaltextrun"/>
                <w:color w:val="000000"/>
                <w:position w:val="1"/>
              </w:rPr>
              <w:t>Aim to aid decision making</w:t>
            </w:r>
            <w:r w:rsidRPr="00A3092F">
              <w:rPr>
                <w:rStyle w:val="eop"/>
                <w:rFonts w:ascii="Calibri" w:hAnsi="Calibri" w:cs="Calibri"/>
                <w:color w:val="000000"/>
                <w:lang w:val="en-US"/>
              </w:rPr>
              <w:t>​</w:t>
            </w:r>
          </w:p>
          <w:p w14:paraId="7177E06D" w14:textId="4A4CF863" w:rsidR="008F1C9F" w:rsidRPr="008F1C9F" w:rsidRDefault="008F1C9F" w:rsidP="008F1C9F">
            <w:pPr>
              <w:spacing w:before="100" w:beforeAutospacing="1" w:after="100" w:afterAutospacing="1"/>
              <w:jc w:val="both"/>
              <w:textAlignment w:val="baseline"/>
              <w:rPr>
                <w:rFonts w:ascii="Times New Roman" w:eastAsia="Times New Roman" w:hAnsi="Times New Roman" w:cs="Times New Roman"/>
                <w:color w:val="000000"/>
                <w:lang w:eastAsia="en-GB"/>
              </w:rPr>
            </w:pPr>
            <w:r w:rsidRPr="00A3092F">
              <w:rPr>
                <w:rStyle w:val="normaltextrun"/>
                <w:color w:val="000000"/>
                <w:position w:val="1"/>
              </w:rPr>
              <w:t>(ISPOR Task Force definition)</w:t>
            </w:r>
            <w:r w:rsidRPr="00A3092F">
              <w:rPr>
                <w:rStyle w:val="eop"/>
                <w:rFonts w:ascii="Calibri" w:hAnsi="Calibri" w:cs="Calibri"/>
                <w:color w:val="000000"/>
              </w:rPr>
              <w:t>​</w:t>
            </w:r>
          </w:p>
        </w:tc>
      </w:tr>
      <w:tr w:rsidR="008F1C9F" w:rsidRPr="008F1C9F" w14:paraId="2AC0FC2B" w14:textId="77777777" w:rsidTr="00FE55B1">
        <w:trPr>
          <w:trHeight w:val="845"/>
        </w:trPr>
        <w:tc>
          <w:tcPr>
            <w:tcW w:w="1861" w:type="pct"/>
            <w:hideMark/>
          </w:tcPr>
          <w:p w14:paraId="071E4927" w14:textId="77777777" w:rsidR="008F1C9F" w:rsidRPr="008F1C9F" w:rsidRDefault="008F1C9F" w:rsidP="008F1C9F">
            <w:pPr>
              <w:spacing w:before="100" w:beforeAutospacing="1" w:after="100" w:afterAutospacing="1"/>
              <w:textAlignment w:val="baseline"/>
              <w:rPr>
                <w:rFonts w:ascii="Times New Roman" w:eastAsia="Times New Roman" w:hAnsi="Times New Roman" w:cs="Times New Roman"/>
                <w:b/>
                <w:bCs/>
                <w:lang w:eastAsia="en-GB"/>
              </w:rPr>
            </w:pPr>
            <w:r w:rsidRPr="008F1C9F">
              <w:rPr>
                <w:rFonts w:ascii="Calibri" w:eastAsia="Times New Roman" w:hAnsi="Calibri" w:cs="Calibri"/>
                <w:b/>
                <w:bCs/>
                <w:lang w:val="en-US" w:eastAsia="en-GB"/>
              </w:rPr>
              <w:t>Publication type</w:t>
            </w:r>
            <w:r w:rsidRPr="008F1C9F">
              <w:rPr>
                <w:rFonts w:ascii="Calibri" w:eastAsia="Times New Roman" w:hAnsi="Calibri" w:cs="Calibri"/>
                <w:b/>
                <w:bCs/>
                <w:lang w:eastAsia="en-GB"/>
              </w:rPr>
              <w:t>​</w:t>
            </w:r>
          </w:p>
        </w:tc>
        <w:tc>
          <w:tcPr>
            <w:tcW w:w="3139" w:type="pct"/>
            <w:hideMark/>
          </w:tcPr>
          <w:p w14:paraId="1DC85DBE" w14:textId="2157E3FA" w:rsidR="008F1C9F" w:rsidRPr="008F1C9F" w:rsidRDefault="008F1C9F" w:rsidP="008F1C9F">
            <w:pPr>
              <w:spacing w:before="100" w:beforeAutospacing="1" w:after="100" w:afterAutospacing="1"/>
              <w:jc w:val="both"/>
              <w:textAlignment w:val="baseline"/>
              <w:rPr>
                <w:rFonts w:ascii="Times New Roman" w:eastAsia="Times New Roman" w:hAnsi="Times New Roman" w:cs="Times New Roman"/>
                <w:color w:val="000000"/>
                <w:lang w:eastAsia="en-GB"/>
              </w:rPr>
            </w:pPr>
            <w:r w:rsidRPr="008F1C9F">
              <w:rPr>
                <w:rFonts w:ascii="Calibri" w:eastAsia="Times New Roman" w:hAnsi="Calibri" w:cs="Calibri"/>
                <w:color w:val="000000"/>
                <w:lang w:val="en-US" w:eastAsia="en-GB"/>
              </w:rPr>
              <w:t>Original research​ in the form of journal publication, conference abstract or trial registration</w:t>
            </w:r>
          </w:p>
        </w:tc>
      </w:tr>
      <w:tr w:rsidR="008F1C9F" w:rsidRPr="008F1C9F" w14:paraId="688E1C09" w14:textId="77777777" w:rsidTr="00FE55B1">
        <w:trPr>
          <w:trHeight w:val="546"/>
        </w:trPr>
        <w:tc>
          <w:tcPr>
            <w:tcW w:w="1861" w:type="pct"/>
            <w:hideMark/>
          </w:tcPr>
          <w:p w14:paraId="4896D5A9" w14:textId="77777777" w:rsidR="008F1C9F" w:rsidRPr="008F1C9F" w:rsidRDefault="008F1C9F" w:rsidP="008F1C9F">
            <w:pPr>
              <w:spacing w:before="100" w:beforeAutospacing="1" w:after="100" w:afterAutospacing="1"/>
              <w:textAlignment w:val="baseline"/>
              <w:rPr>
                <w:rFonts w:ascii="Times New Roman" w:eastAsia="Times New Roman" w:hAnsi="Times New Roman" w:cs="Times New Roman"/>
                <w:b/>
                <w:bCs/>
                <w:lang w:eastAsia="en-GB"/>
              </w:rPr>
            </w:pPr>
            <w:r w:rsidRPr="008F1C9F">
              <w:rPr>
                <w:rFonts w:ascii="Calibri" w:eastAsia="Times New Roman" w:hAnsi="Calibri" w:cs="Calibri"/>
                <w:b/>
                <w:bCs/>
                <w:lang w:val="en-US" w:eastAsia="en-GB"/>
              </w:rPr>
              <w:t>Language</w:t>
            </w:r>
            <w:r w:rsidRPr="008F1C9F">
              <w:rPr>
                <w:rFonts w:ascii="Calibri" w:eastAsia="Times New Roman" w:hAnsi="Calibri" w:cs="Calibri"/>
                <w:b/>
                <w:bCs/>
                <w:lang w:eastAsia="en-GB"/>
              </w:rPr>
              <w:t>​</w:t>
            </w:r>
          </w:p>
        </w:tc>
        <w:tc>
          <w:tcPr>
            <w:tcW w:w="3139" w:type="pct"/>
            <w:hideMark/>
          </w:tcPr>
          <w:p w14:paraId="69C5E925" w14:textId="6A9A35D3" w:rsidR="008F1C9F" w:rsidRPr="008F1C9F" w:rsidRDefault="008F1C9F" w:rsidP="008F1C9F">
            <w:pPr>
              <w:spacing w:before="100" w:beforeAutospacing="1" w:after="100" w:afterAutospacing="1"/>
              <w:jc w:val="both"/>
              <w:textAlignment w:val="baseline"/>
              <w:rPr>
                <w:rFonts w:ascii="Times New Roman" w:eastAsia="Times New Roman" w:hAnsi="Times New Roman" w:cs="Times New Roman"/>
                <w:color w:val="000000"/>
                <w:lang w:eastAsia="en-GB"/>
              </w:rPr>
            </w:pPr>
            <w:r w:rsidRPr="008F1C9F">
              <w:rPr>
                <w:rFonts w:ascii="Calibri" w:eastAsia="Times New Roman" w:hAnsi="Calibri" w:cs="Calibri"/>
                <w:color w:val="000000"/>
                <w:lang w:val="en-US" w:eastAsia="en-GB"/>
              </w:rPr>
              <w:t>No language restriction</w:t>
            </w:r>
            <w:r w:rsidRPr="008F1C9F">
              <w:rPr>
                <w:rFonts w:ascii="Calibri" w:eastAsia="Times New Roman" w:hAnsi="Calibri" w:cs="Calibri"/>
                <w:color w:val="000000"/>
                <w:lang w:eastAsia="en-GB"/>
              </w:rPr>
              <w:t>​</w:t>
            </w:r>
          </w:p>
        </w:tc>
      </w:tr>
    </w:tbl>
    <w:p w14:paraId="62381844" w14:textId="77777777" w:rsidR="008B613D" w:rsidRDefault="00FE55B1" w:rsidP="00F15671">
      <w:pPr>
        <w:rPr>
          <w:sz w:val="18"/>
          <w:szCs w:val="18"/>
        </w:rPr>
      </w:pPr>
      <w:r>
        <w:rPr>
          <w:sz w:val="18"/>
          <w:szCs w:val="18"/>
        </w:rPr>
        <w:t xml:space="preserve">ISPOR=International Society for Pharmacoeconomics and Outcomes Research; </w:t>
      </w:r>
      <w:r w:rsidRPr="00FE55B1">
        <w:rPr>
          <w:sz w:val="18"/>
          <w:szCs w:val="18"/>
        </w:rPr>
        <w:t>T2D=type 2 diabetes</w:t>
      </w:r>
    </w:p>
    <w:p w14:paraId="5A13193E" w14:textId="77777777" w:rsidR="008B613D" w:rsidRDefault="008B613D" w:rsidP="008B613D"/>
    <w:p w14:paraId="1C0F7AA7" w14:textId="76D4A291" w:rsidR="008F1C9F" w:rsidRDefault="008F1C9F" w:rsidP="008F1C9F">
      <w:pPr>
        <w:pStyle w:val="Heading3"/>
      </w:pPr>
      <w:r w:rsidRPr="00513A44">
        <w:t>TLR</w:t>
      </w:r>
      <w:r w:rsidR="00AE3F8C">
        <w:t xml:space="preserve"> 2: </w:t>
      </w:r>
      <w:r w:rsidR="002A6806">
        <w:t>R</w:t>
      </w:r>
      <w:r w:rsidRPr="00513A44">
        <w:t>ecent</w:t>
      </w:r>
      <w:r w:rsidRPr="008F1C9F">
        <w:t xml:space="preserve"> evidence sources than</w:t>
      </w:r>
      <w:r w:rsidR="00F4241C">
        <w:t xml:space="preserve"> those used in Lopes 2020</w:t>
      </w:r>
      <w:r w:rsidR="002A6806">
        <w:t xml:space="preserve"> (published since 2016) </w:t>
      </w:r>
    </w:p>
    <w:p w14:paraId="18E11BA8" w14:textId="5C28A6DD" w:rsidR="008F1C9F" w:rsidRDefault="008F1C9F" w:rsidP="008F1C9F">
      <w:r>
        <w:t xml:space="preserve">A targeted review </w:t>
      </w:r>
      <w:r w:rsidR="00E115D8">
        <w:t xml:space="preserve">was </w:t>
      </w:r>
      <w:r>
        <w:t>conducted to identify any</w:t>
      </w:r>
      <w:r w:rsidR="003175CB">
        <w:t xml:space="preserve"> additional</w:t>
      </w:r>
      <w:r>
        <w:t xml:space="preserve"> evidence sources published since 2016 </w:t>
      </w:r>
      <w:r w:rsidR="003175CB">
        <w:t>which provide</w:t>
      </w:r>
      <w:r w:rsidR="003175CB" w:rsidRPr="003175CB">
        <w:t xml:space="preserve"> data on baseline characteristics and long-term trends of risk factor progression</w:t>
      </w:r>
      <w:r w:rsidR="003175CB">
        <w:t xml:space="preserve">, </w:t>
      </w:r>
      <w:r w:rsidR="003175CB" w:rsidRPr="003175CB">
        <w:t>ha</w:t>
      </w:r>
      <w:r w:rsidR="003175CB">
        <w:t>ve</w:t>
      </w:r>
      <w:r w:rsidR="003175CB" w:rsidRPr="003175CB">
        <w:t xml:space="preserve"> a sufficiently long time horizon, inclu</w:t>
      </w:r>
      <w:r w:rsidR="003175CB">
        <w:t>de</w:t>
      </w:r>
      <w:r w:rsidR="003175CB" w:rsidRPr="003175CB">
        <w:t xml:space="preserve"> individuals who </w:t>
      </w:r>
      <w:r w:rsidR="003175CB">
        <w:t>are</w:t>
      </w:r>
      <w:r w:rsidR="003175CB" w:rsidRPr="003175CB">
        <w:t xml:space="preserve"> overweight or obese, and report endpoints identical or </w:t>
      </w:r>
      <w:r w:rsidR="00E115D8">
        <w:t>reasonably close</w:t>
      </w:r>
      <w:r w:rsidR="00E115D8" w:rsidRPr="003175CB">
        <w:t xml:space="preserve"> </w:t>
      </w:r>
      <w:r w:rsidR="003175CB" w:rsidRPr="003175CB">
        <w:t xml:space="preserve">to those included in the </w:t>
      </w:r>
      <w:r w:rsidR="00E115D8">
        <w:t>MS-</w:t>
      </w:r>
      <w:r w:rsidR="003175CB" w:rsidRPr="003175CB">
        <w:t>COM</w:t>
      </w:r>
      <w:r w:rsidR="007630BA">
        <w:t>.</w:t>
      </w:r>
      <w:r w:rsidRPr="00D9030C">
        <w:t xml:space="preserve"> For </w:t>
      </w:r>
      <w:r w:rsidR="003175CB">
        <w:t>this</w:t>
      </w:r>
      <w:r w:rsidRPr="00D9030C">
        <w:t xml:space="preserve"> </w:t>
      </w:r>
      <w:r>
        <w:t>TLR</w:t>
      </w:r>
      <w:r w:rsidRPr="00D9030C">
        <w:t xml:space="preserve">, studies </w:t>
      </w:r>
      <w:r w:rsidR="00E115D8">
        <w:t xml:space="preserve">were </w:t>
      </w:r>
      <w:r w:rsidRPr="00D9030C">
        <w:t xml:space="preserve">therefore selected according to the PICOS criteria outlined in </w:t>
      </w:r>
      <w:r w:rsidR="003175CB">
        <w:t xml:space="preserve">Table </w:t>
      </w:r>
      <w:r w:rsidR="003175CB">
        <w:rPr>
          <w:noProof/>
        </w:rPr>
        <w:t>3</w:t>
      </w:r>
      <w:r w:rsidRPr="00D9030C">
        <w:t xml:space="preserve"> and detailed below.</w:t>
      </w:r>
    </w:p>
    <w:p w14:paraId="0EEEBE59" w14:textId="77777777" w:rsidR="008F1C9F" w:rsidRPr="005B5BFC" w:rsidRDefault="008F1C9F" w:rsidP="00BF7630">
      <w:pPr>
        <w:pStyle w:val="Heading4"/>
      </w:pPr>
      <w:r w:rsidRPr="005B5BFC">
        <w:t>Population</w:t>
      </w:r>
    </w:p>
    <w:p w14:paraId="2D19E31A" w14:textId="47AFADBB" w:rsidR="003175CB" w:rsidRDefault="008F1C9F" w:rsidP="003175CB">
      <w:r>
        <w:t xml:space="preserve">The population of interest is </w:t>
      </w:r>
      <w:r w:rsidR="003175CB">
        <w:t>o</w:t>
      </w:r>
      <w:r w:rsidR="003175CB" w:rsidRPr="003175CB">
        <w:t>verweight or obese patients</w:t>
      </w:r>
      <w:r w:rsidR="003175CB">
        <w:t>.</w:t>
      </w:r>
      <w:r w:rsidR="003175CB" w:rsidRPr="003175CB">
        <w:t xml:space="preserve"> As the </w:t>
      </w:r>
      <w:r w:rsidR="00E115D8">
        <w:t>MS-</w:t>
      </w:r>
      <w:r w:rsidR="003175CB" w:rsidRPr="003175CB">
        <w:t xml:space="preserve">COM was designed to assess the long-term cost-effectiveness of weight management interventions for the primary prevention of CVD and other obesity-related complications, studies must also be in primary prevention (i.e. exclude patients with CVD history, or have a proportion of individuals with CVD less than 15%). </w:t>
      </w:r>
    </w:p>
    <w:p w14:paraId="0D433A4D" w14:textId="3B68588D" w:rsidR="008F1C9F" w:rsidRDefault="008F1C9F" w:rsidP="00BF7630">
      <w:pPr>
        <w:pStyle w:val="Heading4"/>
      </w:pPr>
      <w:r w:rsidRPr="005B5BFC">
        <w:t>Interventions/comparators</w:t>
      </w:r>
    </w:p>
    <w:p w14:paraId="6720415C" w14:textId="73F11FE7" w:rsidR="008F1C9F" w:rsidRDefault="008F1C9F" w:rsidP="008F1C9F">
      <w:r w:rsidRPr="004107A1">
        <w:t xml:space="preserve">All </w:t>
      </w:r>
      <w:r>
        <w:t xml:space="preserve">analyses comparing </w:t>
      </w:r>
      <w:r w:rsidRPr="004107A1">
        <w:t xml:space="preserve">interventions targeted at </w:t>
      </w:r>
      <w:r w:rsidR="003175CB" w:rsidRPr="003175CB">
        <w:t xml:space="preserve">weight management/preventing obesity-related events​ </w:t>
      </w:r>
      <w:r w:rsidR="00B9001A">
        <w:t>were</w:t>
      </w:r>
      <w:r>
        <w:t xml:space="preserve"> included. </w:t>
      </w:r>
    </w:p>
    <w:p w14:paraId="5B7858C3" w14:textId="77777777" w:rsidR="008F1C9F" w:rsidRDefault="008F1C9F" w:rsidP="00BF7630">
      <w:pPr>
        <w:pStyle w:val="Heading4"/>
      </w:pPr>
      <w:r w:rsidRPr="005B5BFC">
        <w:lastRenderedPageBreak/>
        <w:t>Outcomes</w:t>
      </w:r>
    </w:p>
    <w:p w14:paraId="7F42BE67" w14:textId="21DEDF5B" w:rsidR="003175CB" w:rsidRDefault="008F1C9F" w:rsidP="003175CB">
      <w:r>
        <w:t>The outcome</w:t>
      </w:r>
      <w:r w:rsidR="003175CB">
        <w:t>s</w:t>
      </w:r>
      <w:r>
        <w:t xml:space="preserve"> of interest </w:t>
      </w:r>
      <w:r w:rsidR="00B9001A">
        <w:t xml:space="preserve">were </w:t>
      </w:r>
      <w:r w:rsidR="003175CB">
        <w:t>e</w:t>
      </w:r>
      <w:r w:rsidR="003175CB" w:rsidRPr="003175CB">
        <w:t xml:space="preserve">ndpoints identical or </w:t>
      </w:r>
      <w:r w:rsidR="00B9001A">
        <w:t>reasonably close</w:t>
      </w:r>
      <w:r w:rsidR="00B9001A" w:rsidRPr="003175CB">
        <w:t xml:space="preserve"> </w:t>
      </w:r>
      <w:r w:rsidR="003175CB" w:rsidRPr="003175CB">
        <w:t xml:space="preserve">to those included in the </w:t>
      </w:r>
      <w:r w:rsidR="00D90586">
        <w:t xml:space="preserve">MS-COM. </w:t>
      </w:r>
      <w:r w:rsidR="003175CB">
        <w:t>These must be reported alongside data on baseline characteristics​ and long-term trends of risk factor progression​.</w:t>
      </w:r>
    </w:p>
    <w:p w14:paraId="0B9EBABB" w14:textId="3E8F6B6E" w:rsidR="008F1C9F" w:rsidRPr="005B5BFC" w:rsidRDefault="008F1C9F" w:rsidP="00BF7630">
      <w:pPr>
        <w:pStyle w:val="Heading4"/>
      </w:pPr>
      <w:r w:rsidRPr="008F1C9F">
        <w:t>​</w:t>
      </w:r>
      <w:r w:rsidRPr="005B5BFC">
        <w:t>Study design</w:t>
      </w:r>
    </w:p>
    <w:p w14:paraId="357063BC" w14:textId="7E2B73FB" w:rsidR="003175CB" w:rsidRDefault="003175CB" w:rsidP="00B616D3">
      <w:r w:rsidRPr="003175CB">
        <w:t>Regarding study designs, we include</w:t>
      </w:r>
      <w:r w:rsidR="00D90586">
        <w:t>d</w:t>
      </w:r>
      <w:r w:rsidRPr="003175CB">
        <w:t xml:space="preserve"> randomised and non-randomised evidence. Randomised evidence will include randomised controlled trials (RCTs) and Phase 2-3 trials, whereas non-randomised evidence will include interventional studies without randomised allocation and prospective observational studies. Other study designs, such as retrospective studies, case series and analysis of clinical records will be excluded due to higher risk of bias and limitations to establish causality from interventions. </w:t>
      </w:r>
    </w:p>
    <w:p w14:paraId="18AED410" w14:textId="5CF4C682" w:rsidR="008F1C9F" w:rsidRPr="005B5BFC" w:rsidRDefault="008F1C9F" w:rsidP="00BF7630">
      <w:pPr>
        <w:pStyle w:val="Heading4"/>
      </w:pPr>
      <w:r w:rsidRPr="005B5BFC">
        <w:t>Publication type</w:t>
      </w:r>
    </w:p>
    <w:p w14:paraId="060A1D71" w14:textId="726DE9D7" w:rsidR="008F1C9F" w:rsidRDefault="008F1C9F" w:rsidP="008F1C9F">
      <w:r w:rsidRPr="005B5BFC">
        <w:t xml:space="preserve">Only original research in the form of published research, conference abstracts or registered trials </w:t>
      </w:r>
      <w:r w:rsidR="00D90586">
        <w:t>were</w:t>
      </w:r>
      <w:r w:rsidRPr="005B5BFC">
        <w:t xml:space="preserve"> included. Therefore,</w:t>
      </w:r>
      <w:r>
        <w:t xml:space="preserve"> </w:t>
      </w:r>
      <w:r w:rsidRPr="005B5BFC">
        <w:t>reviews, letter to the editor</w:t>
      </w:r>
      <w:r w:rsidR="00D90586">
        <w:t>,</w:t>
      </w:r>
      <w:r w:rsidRPr="005B5BFC">
        <w:t xml:space="preserve"> and editorials </w:t>
      </w:r>
      <w:r w:rsidR="00D90586">
        <w:t>were</w:t>
      </w:r>
      <w:r w:rsidRPr="005B5BFC">
        <w:t xml:space="preserve"> excluded. </w:t>
      </w:r>
    </w:p>
    <w:p w14:paraId="4D18314C" w14:textId="77777777" w:rsidR="008F1C9F" w:rsidRPr="005B5BFC" w:rsidRDefault="008F1C9F" w:rsidP="00BF7630">
      <w:pPr>
        <w:pStyle w:val="Heading4"/>
      </w:pPr>
      <w:r w:rsidRPr="005B5BFC">
        <w:t>Language</w:t>
      </w:r>
    </w:p>
    <w:p w14:paraId="342801C2" w14:textId="77777777" w:rsidR="008F1C9F" w:rsidRDefault="008F1C9F" w:rsidP="008F1C9F">
      <w:r w:rsidRPr="005B5BFC">
        <w:t xml:space="preserve">We will not exclude studies by language. </w:t>
      </w:r>
    </w:p>
    <w:p w14:paraId="58FE5207" w14:textId="77777777" w:rsidR="00255D32" w:rsidRDefault="00255D32" w:rsidP="008F1C9F"/>
    <w:p w14:paraId="6BE0ACD9" w14:textId="1B2D3BA9" w:rsidR="008F1C9F" w:rsidRDefault="008F1C9F" w:rsidP="008F1C9F">
      <w:pPr>
        <w:pStyle w:val="Caption"/>
        <w:keepNext/>
      </w:pPr>
      <w:bookmarkStart w:id="11" w:name="_Ref151550484"/>
      <w:r>
        <w:t xml:space="preserve">Table </w:t>
      </w:r>
      <w:r w:rsidR="00795081">
        <w:rPr>
          <w:noProof/>
        </w:rPr>
        <w:t>3</w:t>
      </w:r>
      <w:bookmarkEnd w:id="11"/>
      <w:r>
        <w:t xml:space="preserve">. </w:t>
      </w:r>
      <w:r w:rsidRPr="008F1C9F">
        <w:t xml:space="preserve">PICOS for </w:t>
      </w:r>
      <w:r>
        <w:t xml:space="preserve">TLR of </w:t>
      </w:r>
      <w:r w:rsidR="003175CB" w:rsidRPr="003175CB">
        <w:t>more recent evidence sources than used in the earlier validation</w:t>
      </w:r>
    </w:p>
    <w:tbl>
      <w:tblPr>
        <w:tblStyle w:val="TableGrid"/>
        <w:tblW w:w="5000" w:type="pct"/>
        <w:tblLook w:val="04A0" w:firstRow="1" w:lastRow="0" w:firstColumn="1" w:lastColumn="0" w:noHBand="0" w:noVBand="1"/>
      </w:tblPr>
      <w:tblGrid>
        <w:gridCol w:w="3356"/>
        <w:gridCol w:w="5660"/>
      </w:tblGrid>
      <w:tr w:rsidR="003175CB" w:rsidRPr="008F1C9F" w14:paraId="7B370E15" w14:textId="77777777" w:rsidTr="00FE55B1">
        <w:trPr>
          <w:trHeight w:val="746"/>
        </w:trPr>
        <w:tc>
          <w:tcPr>
            <w:tcW w:w="1861" w:type="pct"/>
            <w:hideMark/>
          </w:tcPr>
          <w:p w14:paraId="2553F067" w14:textId="74854096" w:rsidR="003175CB" w:rsidRPr="008F1C9F" w:rsidRDefault="003175CB" w:rsidP="003175CB">
            <w:pPr>
              <w:spacing w:before="100" w:beforeAutospacing="1" w:after="100" w:afterAutospacing="1"/>
              <w:textAlignment w:val="baseline"/>
              <w:rPr>
                <w:rFonts w:eastAsia="Times New Roman" w:cstheme="minorHAnsi"/>
                <w:b/>
                <w:bCs/>
                <w:lang w:eastAsia="en-GB"/>
              </w:rPr>
            </w:pPr>
            <w:r w:rsidRPr="008F1C9F">
              <w:rPr>
                <w:rFonts w:eastAsia="Times New Roman" w:cstheme="minorHAnsi"/>
                <w:b/>
                <w:bCs/>
                <w:lang w:val="en-US" w:eastAsia="en-GB"/>
              </w:rPr>
              <w:t>Populatio</w:t>
            </w:r>
            <w:r w:rsidR="00FE55B1">
              <w:rPr>
                <w:rFonts w:eastAsia="Times New Roman" w:cstheme="minorHAnsi"/>
                <w:b/>
                <w:bCs/>
                <w:lang w:val="en-US" w:eastAsia="en-GB"/>
              </w:rPr>
              <w:t>n</w:t>
            </w:r>
          </w:p>
        </w:tc>
        <w:tc>
          <w:tcPr>
            <w:tcW w:w="3139" w:type="pct"/>
            <w:hideMark/>
          </w:tcPr>
          <w:p w14:paraId="203A64BB" w14:textId="09F020EA" w:rsidR="003175CB" w:rsidRPr="008F1C9F" w:rsidRDefault="003175CB" w:rsidP="003175CB">
            <w:pPr>
              <w:spacing w:before="100" w:beforeAutospacing="1" w:after="100" w:afterAutospacing="1"/>
              <w:jc w:val="both"/>
              <w:textAlignment w:val="baseline"/>
              <w:rPr>
                <w:rFonts w:eastAsia="Times New Roman" w:cstheme="minorHAnsi"/>
                <w:b/>
                <w:bCs/>
                <w:color w:val="000000"/>
                <w:lang w:val="en-US" w:eastAsia="en-GB"/>
              </w:rPr>
            </w:pPr>
            <w:r w:rsidRPr="003175CB">
              <w:rPr>
                <w:rStyle w:val="normaltextrun"/>
                <w:rFonts w:cstheme="minorHAnsi"/>
                <w:color w:val="000000"/>
              </w:rPr>
              <w:t>Overweight or obese patients with CVD history as an exclusion criterion</w:t>
            </w:r>
          </w:p>
        </w:tc>
      </w:tr>
      <w:tr w:rsidR="003175CB" w:rsidRPr="008F1C9F" w14:paraId="42397CA2" w14:textId="77777777" w:rsidTr="00FE55B1">
        <w:trPr>
          <w:trHeight w:val="960"/>
        </w:trPr>
        <w:tc>
          <w:tcPr>
            <w:tcW w:w="1861" w:type="pct"/>
            <w:hideMark/>
          </w:tcPr>
          <w:p w14:paraId="27C55268" w14:textId="17377EEA" w:rsidR="003175CB" w:rsidRPr="008F1C9F" w:rsidRDefault="003175CB" w:rsidP="003175CB">
            <w:pPr>
              <w:spacing w:before="100" w:beforeAutospacing="1" w:after="100" w:afterAutospacing="1"/>
              <w:textAlignment w:val="baseline"/>
              <w:rPr>
                <w:rFonts w:eastAsia="Times New Roman" w:cstheme="minorHAnsi"/>
                <w:b/>
                <w:bCs/>
                <w:lang w:eastAsia="en-GB"/>
              </w:rPr>
            </w:pPr>
            <w:r w:rsidRPr="008F1C9F">
              <w:rPr>
                <w:rFonts w:eastAsia="Times New Roman" w:cstheme="minorHAnsi"/>
                <w:b/>
                <w:bCs/>
                <w:lang w:val="en-US" w:eastAsia="en-GB"/>
              </w:rPr>
              <w:t>Interventions/Comparators</w:t>
            </w:r>
          </w:p>
        </w:tc>
        <w:tc>
          <w:tcPr>
            <w:tcW w:w="3139" w:type="pct"/>
            <w:hideMark/>
          </w:tcPr>
          <w:p w14:paraId="57F73858" w14:textId="30BA8810" w:rsidR="003175CB" w:rsidRPr="008F1C9F" w:rsidRDefault="003175CB" w:rsidP="003175CB">
            <w:pPr>
              <w:spacing w:before="100" w:beforeAutospacing="1" w:after="100" w:afterAutospacing="1"/>
              <w:jc w:val="both"/>
              <w:textAlignment w:val="baseline"/>
              <w:rPr>
                <w:rFonts w:eastAsia="Times New Roman" w:cstheme="minorHAnsi"/>
                <w:color w:val="000000"/>
                <w:lang w:val="en-US" w:eastAsia="en-GB"/>
              </w:rPr>
            </w:pPr>
            <w:r w:rsidRPr="003175CB">
              <w:rPr>
                <w:rStyle w:val="normaltextrun"/>
                <w:rFonts w:cstheme="minorHAnsi"/>
                <w:color w:val="000000"/>
              </w:rPr>
              <w:t>All interventions targeted at weight management/preventing obesity-related events</w:t>
            </w:r>
            <w:r w:rsidRPr="003175CB">
              <w:rPr>
                <w:rStyle w:val="eop"/>
                <w:rFonts w:cstheme="minorHAnsi"/>
                <w:color w:val="000000"/>
                <w:lang w:val="en-US"/>
              </w:rPr>
              <w:t>​</w:t>
            </w:r>
          </w:p>
        </w:tc>
      </w:tr>
      <w:tr w:rsidR="003175CB" w:rsidRPr="008F1C9F" w14:paraId="640B053B" w14:textId="77777777" w:rsidTr="00FE55B1">
        <w:trPr>
          <w:trHeight w:val="600"/>
        </w:trPr>
        <w:tc>
          <w:tcPr>
            <w:tcW w:w="1861" w:type="pct"/>
            <w:hideMark/>
          </w:tcPr>
          <w:p w14:paraId="326F2593" w14:textId="77777777" w:rsidR="003175CB" w:rsidRPr="008F1C9F" w:rsidRDefault="003175CB" w:rsidP="003175CB">
            <w:pPr>
              <w:spacing w:before="100" w:beforeAutospacing="1" w:after="100" w:afterAutospacing="1"/>
              <w:textAlignment w:val="baseline"/>
              <w:rPr>
                <w:rFonts w:eastAsia="Times New Roman" w:cstheme="minorHAnsi"/>
                <w:b/>
                <w:bCs/>
                <w:lang w:eastAsia="en-GB"/>
              </w:rPr>
            </w:pPr>
            <w:r w:rsidRPr="008F1C9F">
              <w:rPr>
                <w:rFonts w:eastAsia="Times New Roman" w:cstheme="minorHAnsi"/>
                <w:b/>
                <w:bCs/>
                <w:lang w:val="en-US" w:eastAsia="en-GB"/>
              </w:rPr>
              <w:t>Outcomes </w:t>
            </w:r>
            <w:r w:rsidRPr="008F1C9F">
              <w:rPr>
                <w:rFonts w:eastAsia="Times New Roman" w:cstheme="minorHAnsi"/>
                <w:b/>
                <w:bCs/>
                <w:lang w:eastAsia="en-GB"/>
              </w:rPr>
              <w:t>​</w:t>
            </w:r>
          </w:p>
        </w:tc>
        <w:tc>
          <w:tcPr>
            <w:tcW w:w="3139" w:type="pct"/>
            <w:hideMark/>
          </w:tcPr>
          <w:p w14:paraId="23C6E4C4" w14:textId="77777777" w:rsidR="003175CB" w:rsidRPr="003175CB" w:rsidRDefault="003175CB" w:rsidP="003175CB">
            <w:pPr>
              <w:pStyle w:val="paragraph"/>
              <w:spacing w:before="0" w:beforeAutospacing="0" w:after="0" w:afterAutospacing="0"/>
              <w:textAlignment w:val="baseline"/>
              <w:divId w:val="558595502"/>
              <w:rPr>
                <w:rFonts w:asciiTheme="minorHAnsi" w:hAnsiTheme="minorHAnsi" w:cstheme="minorHAnsi"/>
                <w:color w:val="000000"/>
                <w:sz w:val="22"/>
                <w:szCs w:val="22"/>
                <w:lang w:val="en-US"/>
              </w:rPr>
            </w:pPr>
            <w:r w:rsidRPr="003175CB">
              <w:rPr>
                <w:rStyle w:val="normaltextrun"/>
                <w:rFonts w:asciiTheme="minorHAnsi" w:hAnsiTheme="minorHAnsi" w:cstheme="minorHAnsi"/>
                <w:color w:val="000000"/>
                <w:sz w:val="22"/>
                <w:szCs w:val="22"/>
              </w:rPr>
              <w:t>All three of:</w:t>
            </w:r>
            <w:r w:rsidRPr="003175CB">
              <w:rPr>
                <w:rStyle w:val="eop"/>
                <w:rFonts w:asciiTheme="minorHAnsi" w:hAnsiTheme="minorHAnsi" w:cstheme="minorHAnsi"/>
                <w:color w:val="000000"/>
                <w:sz w:val="22"/>
                <w:szCs w:val="22"/>
                <w:lang w:val="en-US"/>
              </w:rPr>
              <w:t>​</w:t>
            </w:r>
          </w:p>
          <w:p w14:paraId="2042ED46" w14:textId="77777777" w:rsidR="003175CB" w:rsidRPr="003175CB" w:rsidRDefault="003175CB" w:rsidP="003175CB">
            <w:pPr>
              <w:pStyle w:val="paragraph"/>
              <w:numPr>
                <w:ilvl w:val="0"/>
                <w:numId w:val="29"/>
              </w:numPr>
              <w:spacing w:before="0" w:beforeAutospacing="0" w:after="0" w:afterAutospacing="0"/>
              <w:textAlignment w:val="baseline"/>
              <w:divId w:val="380792627"/>
              <w:rPr>
                <w:rFonts w:asciiTheme="minorHAnsi" w:hAnsiTheme="minorHAnsi" w:cstheme="minorHAnsi"/>
                <w:color w:val="000000"/>
                <w:sz w:val="22"/>
                <w:szCs w:val="22"/>
                <w:lang w:val="en-US"/>
              </w:rPr>
            </w:pPr>
            <w:r w:rsidRPr="003175CB">
              <w:rPr>
                <w:rStyle w:val="normaltextrun"/>
                <w:rFonts w:asciiTheme="minorHAnsi" w:hAnsiTheme="minorHAnsi" w:cstheme="minorHAnsi"/>
                <w:color w:val="000000"/>
                <w:sz w:val="22"/>
                <w:szCs w:val="22"/>
              </w:rPr>
              <w:t>Data on baseline characteristics</w:t>
            </w:r>
            <w:r w:rsidRPr="003175CB">
              <w:rPr>
                <w:rStyle w:val="eop"/>
                <w:rFonts w:asciiTheme="minorHAnsi" w:hAnsiTheme="minorHAnsi" w:cstheme="minorHAnsi"/>
                <w:color w:val="000000"/>
                <w:sz w:val="22"/>
                <w:szCs w:val="22"/>
                <w:lang w:val="en-US"/>
              </w:rPr>
              <w:t>​</w:t>
            </w:r>
          </w:p>
          <w:p w14:paraId="42956781" w14:textId="77777777" w:rsidR="003175CB" w:rsidRPr="003175CB" w:rsidRDefault="003175CB" w:rsidP="003175CB">
            <w:pPr>
              <w:pStyle w:val="paragraph"/>
              <w:numPr>
                <w:ilvl w:val="0"/>
                <w:numId w:val="29"/>
              </w:numPr>
              <w:spacing w:before="0" w:beforeAutospacing="0" w:after="0" w:afterAutospacing="0"/>
              <w:textAlignment w:val="baseline"/>
              <w:divId w:val="380792627"/>
              <w:rPr>
                <w:rFonts w:asciiTheme="minorHAnsi" w:hAnsiTheme="minorHAnsi" w:cstheme="minorHAnsi"/>
                <w:color w:val="000000"/>
                <w:sz w:val="22"/>
                <w:szCs w:val="22"/>
                <w:lang w:val="en-US"/>
              </w:rPr>
            </w:pPr>
            <w:r w:rsidRPr="003175CB">
              <w:rPr>
                <w:rStyle w:val="normaltextrun"/>
                <w:rFonts w:asciiTheme="minorHAnsi" w:hAnsiTheme="minorHAnsi" w:cstheme="minorHAnsi"/>
                <w:color w:val="000000"/>
                <w:sz w:val="22"/>
                <w:szCs w:val="22"/>
              </w:rPr>
              <w:t>Data on long-term trends of risk factor progression</w:t>
            </w:r>
            <w:r w:rsidRPr="003175CB">
              <w:rPr>
                <w:rStyle w:val="eop"/>
                <w:rFonts w:asciiTheme="minorHAnsi" w:hAnsiTheme="minorHAnsi" w:cstheme="minorHAnsi"/>
                <w:color w:val="000000"/>
                <w:sz w:val="22"/>
                <w:szCs w:val="22"/>
                <w:lang w:val="en-US"/>
              </w:rPr>
              <w:t>​</w:t>
            </w:r>
          </w:p>
          <w:p w14:paraId="6D014042" w14:textId="247F9314" w:rsidR="003175CB" w:rsidRPr="003175CB" w:rsidRDefault="003175CB" w:rsidP="00FE55B1">
            <w:pPr>
              <w:pStyle w:val="ListParagraph"/>
              <w:numPr>
                <w:ilvl w:val="0"/>
                <w:numId w:val="29"/>
              </w:numPr>
              <w:spacing w:before="100" w:beforeAutospacing="1" w:after="100" w:afterAutospacing="1"/>
              <w:textAlignment w:val="baseline"/>
              <w:rPr>
                <w:rFonts w:eastAsia="Times New Roman" w:cstheme="minorHAnsi"/>
                <w:color w:val="000000"/>
                <w:lang w:eastAsia="en-GB"/>
              </w:rPr>
            </w:pPr>
            <w:r w:rsidRPr="003175CB">
              <w:rPr>
                <w:rStyle w:val="normaltextrun"/>
                <w:rFonts w:cstheme="minorHAnsi"/>
                <w:color w:val="000000"/>
              </w:rPr>
              <w:t xml:space="preserve">Endpoints identical or similar to those included in the </w:t>
            </w:r>
            <w:r w:rsidR="00D90586">
              <w:rPr>
                <w:rStyle w:val="normaltextrun"/>
                <w:rFonts w:cstheme="minorHAnsi"/>
                <w:color w:val="000000"/>
              </w:rPr>
              <w:t>MS-</w:t>
            </w:r>
            <w:r w:rsidRPr="003175CB">
              <w:rPr>
                <w:rStyle w:val="normaltextrun"/>
                <w:rFonts w:cstheme="minorHAnsi"/>
                <w:color w:val="000000"/>
              </w:rPr>
              <w:t>COM</w:t>
            </w:r>
          </w:p>
        </w:tc>
      </w:tr>
      <w:tr w:rsidR="003175CB" w:rsidRPr="008F1C9F" w14:paraId="5555FA91" w14:textId="77777777" w:rsidTr="00FE55B1">
        <w:trPr>
          <w:trHeight w:val="600"/>
        </w:trPr>
        <w:tc>
          <w:tcPr>
            <w:tcW w:w="1861" w:type="pct"/>
            <w:hideMark/>
          </w:tcPr>
          <w:p w14:paraId="15D49FF2" w14:textId="77777777" w:rsidR="003175CB" w:rsidRPr="008F1C9F" w:rsidRDefault="003175CB" w:rsidP="003175CB">
            <w:pPr>
              <w:spacing w:before="100" w:beforeAutospacing="1" w:after="100" w:afterAutospacing="1"/>
              <w:textAlignment w:val="baseline"/>
              <w:rPr>
                <w:rFonts w:eastAsia="Times New Roman" w:cstheme="minorHAnsi"/>
                <w:b/>
                <w:bCs/>
                <w:lang w:eastAsia="en-GB"/>
              </w:rPr>
            </w:pPr>
            <w:r w:rsidRPr="008F1C9F">
              <w:rPr>
                <w:rFonts w:eastAsia="Times New Roman" w:cstheme="minorHAnsi"/>
                <w:b/>
                <w:bCs/>
                <w:lang w:val="en-US" w:eastAsia="en-GB"/>
              </w:rPr>
              <w:t>Study design</w:t>
            </w:r>
            <w:r w:rsidRPr="008F1C9F">
              <w:rPr>
                <w:rFonts w:eastAsia="Times New Roman" w:cstheme="minorHAnsi"/>
                <w:b/>
                <w:bCs/>
                <w:lang w:eastAsia="en-GB"/>
              </w:rPr>
              <w:t>​</w:t>
            </w:r>
          </w:p>
        </w:tc>
        <w:tc>
          <w:tcPr>
            <w:tcW w:w="3139" w:type="pct"/>
            <w:hideMark/>
          </w:tcPr>
          <w:p w14:paraId="25CCAD3A" w14:textId="77777777" w:rsidR="003175CB" w:rsidRPr="003175CB" w:rsidRDefault="003175CB" w:rsidP="003175CB">
            <w:pPr>
              <w:pStyle w:val="paragraph"/>
              <w:spacing w:before="0" w:beforeAutospacing="0" w:after="0" w:afterAutospacing="0"/>
              <w:textAlignment w:val="baseline"/>
              <w:divId w:val="861868311"/>
              <w:rPr>
                <w:rFonts w:asciiTheme="minorHAnsi" w:hAnsiTheme="minorHAnsi" w:cstheme="minorHAnsi"/>
                <w:color w:val="000000"/>
                <w:sz w:val="22"/>
                <w:szCs w:val="22"/>
                <w:lang w:val="en-US"/>
              </w:rPr>
            </w:pPr>
            <w:r w:rsidRPr="003175CB">
              <w:rPr>
                <w:rStyle w:val="normaltextrun"/>
                <w:rFonts w:asciiTheme="minorHAnsi" w:hAnsiTheme="minorHAnsi" w:cstheme="minorHAnsi"/>
                <w:color w:val="000000"/>
                <w:sz w:val="22"/>
                <w:szCs w:val="22"/>
              </w:rPr>
              <w:t>Randomized evidence:</w:t>
            </w:r>
            <w:r w:rsidRPr="003175CB">
              <w:rPr>
                <w:rStyle w:val="eop"/>
                <w:rFonts w:asciiTheme="minorHAnsi" w:hAnsiTheme="minorHAnsi" w:cstheme="minorHAnsi"/>
                <w:color w:val="000000"/>
                <w:sz w:val="22"/>
                <w:szCs w:val="22"/>
                <w:lang w:val="en-US"/>
              </w:rPr>
              <w:t>​</w:t>
            </w:r>
          </w:p>
          <w:p w14:paraId="381E4BDC" w14:textId="77777777" w:rsidR="003175CB" w:rsidRPr="003175CB" w:rsidRDefault="003175CB" w:rsidP="003175CB">
            <w:pPr>
              <w:pStyle w:val="paragraph"/>
              <w:numPr>
                <w:ilvl w:val="0"/>
                <w:numId w:val="31"/>
              </w:numPr>
              <w:spacing w:before="0" w:beforeAutospacing="0" w:after="0" w:afterAutospacing="0"/>
              <w:textAlignment w:val="baseline"/>
              <w:divId w:val="544146319"/>
              <w:rPr>
                <w:rFonts w:asciiTheme="minorHAnsi" w:hAnsiTheme="minorHAnsi" w:cstheme="minorHAnsi"/>
                <w:color w:val="000000"/>
                <w:sz w:val="22"/>
                <w:szCs w:val="22"/>
                <w:lang w:val="en-US"/>
              </w:rPr>
            </w:pPr>
            <w:r w:rsidRPr="003175CB">
              <w:rPr>
                <w:rStyle w:val="normaltextrun"/>
                <w:rFonts w:asciiTheme="minorHAnsi" w:hAnsiTheme="minorHAnsi" w:cstheme="minorHAnsi"/>
                <w:color w:val="000000"/>
                <w:sz w:val="22"/>
                <w:szCs w:val="22"/>
              </w:rPr>
              <w:t>Randomized controlled trials (RCTs)</w:t>
            </w:r>
            <w:r w:rsidRPr="003175CB">
              <w:rPr>
                <w:rStyle w:val="eop"/>
                <w:rFonts w:asciiTheme="minorHAnsi" w:hAnsiTheme="minorHAnsi" w:cstheme="minorHAnsi"/>
                <w:color w:val="000000"/>
                <w:sz w:val="22"/>
                <w:szCs w:val="22"/>
                <w:lang w:val="en-US"/>
              </w:rPr>
              <w:t>​</w:t>
            </w:r>
          </w:p>
          <w:p w14:paraId="7D50FCD4" w14:textId="77777777" w:rsidR="003175CB" w:rsidRPr="003175CB" w:rsidRDefault="003175CB" w:rsidP="003175CB">
            <w:pPr>
              <w:pStyle w:val="paragraph"/>
              <w:numPr>
                <w:ilvl w:val="0"/>
                <w:numId w:val="31"/>
              </w:numPr>
              <w:spacing w:before="0" w:beforeAutospacing="0" w:after="0" w:afterAutospacing="0"/>
              <w:textAlignment w:val="baseline"/>
              <w:divId w:val="544146319"/>
              <w:rPr>
                <w:rFonts w:asciiTheme="minorHAnsi" w:hAnsiTheme="minorHAnsi" w:cstheme="minorHAnsi"/>
                <w:color w:val="000000"/>
                <w:sz w:val="22"/>
                <w:szCs w:val="22"/>
                <w:lang w:val="en-US"/>
              </w:rPr>
            </w:pPr>
            <w:r w:rsidRPr="003175CB">
              <w:rPr>
                <w:rStyle w:val="normaltextrun"/>
                <w:rFonts w:asciiTheme="minorHAnsi" w:hAnsiTheme="minorHAnsi" w:cstheme="minorHAnsi"/>
                <w:color w:val="000000"/>
                <w:sz w:val="22"/>
                <w:szCs w:val="22"/>
              </w:rPr>
              <w:t>Cluster RCTs</w:t>
            </w:r>
            <w:r w:rsidRPr="003175CB">
              <w:rPr>
                <w:rStyle w:val="eop"/>
                <w:rFonts w:asciiTheme="minorHAnsi" w:hAnsiTheme="minorHAnsi" w:cstheme="minorHAnsi"/>
                <w:color w:val="000000"/>
                <w:sz w:val="22"/>
                <w:szCs w:val="22"/>
                <w:lang w:val="en-US"/>
              </w:rPr>
              <w:t>​</w:t>
            </w:r>
          </w:p>
          <w:p w14:paraId="27003CEA" w14:textId="77777777" w:rsidR="003175CB" w:rsidRPr="003175CB" w:rsidRDefault="003175CB" w:rsidP="003175CB">
            <w:pPr>
              <w:pStyle w:val="paragraph"/>
              <w:numPr>
                <w:ilvl w:val="0"/>
                <w:numId w:val="31"/>
              </w:numPr>
              <w:spacing w:before="0" w:beforeAutospacing="0" w:after="0" w:afterAutospacing="0"/>
              <w:textAlignment w:val="baseline"/>
              <w:divId w:val="544146319"/>
              <w:rPr>
                <w:rFonts w:asciiTheme="minorHAnsi" w:hAnsiTheme="minorHAnsi" w:cstheme="minorHAnsi"/>
                <w:color w:val="000000"/>
                <w:sz w:val="22"/>
                <w:szCs w:val="22"/>
                <w:lang w:val="en-US"/>
              </w:rPr>
            </w:pPr>
            <w:r w:rsidRPr="003175CB">
              <w:rPr>
                <w:rStyle w:val="normaltextrun"/>
                <w:rFonts w:asciiTheme="minorHAnsi" w:hAnsiTheme="minorHAnsi" w:cstheme="minorHAnsi"/>
                <w:color w:val="000000"/>
                <w:sz w:val="22"/>
                <w:szCs w:val="22"/>
              </w:rPr>
              <w:t>Phase 2/3 trials</w:t>
            </w:r>
            <w:r w:rsidRPr="003175CB">
              <w:rPr>
                <w:rStyle w:val="eop"/>
                <w:rFonts w:asciiTheme="minorHAnsi" w:hAnsiTheme="minorHAnsi" w:cstheme="minorHAnsi"/>
                <w:color w:val="000000"/>
                <w:sz w:val="22"/>
                <w:szCs w:val="22"/>
                <w:lang w:val="en-US"/>
              </w:rPr>
              <w:t>​</w:t>
            </w:r>
          </w:p>
          <w:p w14:paraId="4F881D2F" w14:textId="77777777" w:rsidR="00207B09" w:rsidRDefault="00207B09" w:rsidP="003175CB">
            <w:pPr>
              <w:pStyle w:val="paragraph"/>
              <w:spacing w:before="0" w:beforeAutospacing="0" w:after="0" w:afterAutospacing="0"/>
              <w:textAlignment w:val="baseline"/>
              <w:divId w:val="2067685065"/>
              <w:rPr>
                <w:rStyle w:val="normaltextrun"/>
                <w:rFonts w:asciiTheme="minorHAnsi" w:hAnsiTheme="minorHAnsi" w:cstheme="minorHAnsi"/>
                <w:color w:val="000000"/>
                <w:sz w:val="22"/>
                <w:szCs w:val="22"/>
              </w:rPr>
            </w:pPr>
          </w:p>
          <w:p w14:paraId="4F2DA610" w14:textId="692F1D68" w:rsidR="003175CB" w:rsidRPr="003175CB" w:rsidRDefault="003175CB" w:rsidP="003175CB">
            <w:pPr>
              <w:pStyle w:val="paragraph"/>
              <w:spacing w:before="0" w:beforeAutospacing="0" w:after="0" w:afterAutospacing="0"/>
              <w:textAlignment w:val="baseline"/>
              <w:divId w:val="2067685065"/>
              <w:rPr>
                <w:rFonts w:asciiTheme="minorHAnsi" w:hAnsiTheme="minorHAnsi" w:cstheme="minorHAnsi"/>
                <w:color w:val="000000"/>
                <w:sz w:val="22"/>
                <w:szCs w:val="22"/>
                <w:lang w:val="en-US"/>
              </w:rPr>
            </w:pPr>
            <w:r w:rsidRPr="003175CB">
              <w:rPr>
                <w:rStyle w:val="normaltextrun"/>
                <w:rFonts w:asciiTheme="minorHAnsi" w:hAnsiTheme="minorHAnsi" w:cstheme="minorHAnsi"/>
                <w:color w:val="000000"/>
                <w:sz w:val="22"/>
                <w:szCs w:val="22"/>
              </w:rPr>
              <w:t>Real-world evidence:</w:t>
            </w:r>
            <w:r w:rsidRPr="003175CB">
              <w:rPr>
                <w:rStyle w:val="eop"/>
                <w:rFonts w:asciiTheme="minorHAnsi" w:hAnsiTheme="minorHAnsi" w:cstheme="minorHAnsi"/>
                <w:color w:val="000000"/>
                <w:sz w:val="22"/>
                <w:szCs w:val="22"/>
                <w:lang w:val="en-US"/>
              </w:rPr>
              <w:t>​</w:t>
            </w:r>
          </w:p>
          <w:p w14:paraId="4DB155C3" w14:textId="77777777" w:rsidR="00207B09" w:rsidRPr="00207B09" w:rsidRDefault="003175CB" w:rsidP="00207B09">
            <w:pPr>
              <w:pStyle w:val="paragraph"/>
              <w:numPr>
                <w:ilvl w:val="0"/>
                <w:numId w:val="32"/>
              </w:numPr>
              <w:spacing w:before="0" w:beforeAutospacing="0" w:after="0" w:afterAutospacing="0"/>
              <w:textAlignment w:val="baseline"/>
              <w:divId w:val="544146319"/>
              <w:rPr>
                <w:rStyle w:val="eop"/>
                <w:rFonts w:asciiTheme="minorHAnsi" w:hAnsiTheme="minorHAnsi" w:cstheme="minorHAnsi"/>
                <w:color w:val="000000"/>
                <w:sz w:val="22"/>
                <w:szCs w:val="22"/>
                <w:lang w:val="en-US"/>
              </w:rPr>
            </w:pPr>
            <w:r w:rsidRPr="003175CB">
              <w:rPr>
                <w:rStyle w:val="normaltextrun"/>
                <w:rFonts w:asciiTheme="minorHAnsi" w:hAnsiTheme="minorHAnsi" w:cstheme="minorHAnsi"/>
                <w:color w:val="000000"/>
                <w:sz w:val="22"/>
                <w:szCs w:val="22"/>
              </w:rPr>
              <w:t>Non-randomized trials </w:t>
            </w:r>
            <w:r w:rsidRPr="003175CB">
              <w:rPr>
                <w:rStyle w:val="eop"/>
                <w:rFonts w:asciiTheme="minorHAnsi" w:hAnsiTheme="minorHAnsi" w:cstheme="minorHAnsi"/>
                <w:color w:val="000000"/>
                <w:sz w:val="22"/>
                <w:szCs w:val="22"/>
                <w:lang w:val="en-US"/>
              </w:rPr>
              <w:t>​</w:t>
            </w:r>
          </w:p>
          <w:p w14:paraId="72878DC0" w14:textId="323245ED" w:rsidR="003175CB" w:rsidRPr="00207B09" w:rsidRDefault="003175CB" w:rsidP="00207B09">
            <w:pPr>
              <w:pStyle w:val="paragraph"/>
              <w:numPr>
                <w:ilvl w:val="0"/>
                <w:numId w:val="32"/>
              </w:numPr>
              <w:spacing w:before="0" w:beforeAutospacing="0" w:after="0" w:afterAutospacing="0"/>
              <w:textAlignment w:val="baseline"/>
              <w:divId w:val="544146319"/>
              <w:rPr>
                <w:rFonts w:asciiTheme="minorHAnsi" w:hAnsiTheme="minorHAnsi" w:cstheme="minorHAnsi"/>
                <w:color w:val="000000"/>
                <w:sz w:val="22"/>
                <w:szCs w:val="22"/>
                <w:lang w:val="en-US"/>
              </w:rPr>
            </w:pPr>
            <w:r w:rsidRPr="00207B09">
              <w:rPr>
                <w:rStyle w:val="normaltextrun"/>
                <w:rFonts w:asciiTheme="minorHAnsi" w:hAnsiTheme="minorHAnsi" w:cstheme="minorHAnsi"/>
                <w:color w:val="000000"/>
                <w:sz w:val="22"/>
                <w:szCs w:val="22"/>
              </w:rPr>
              <w:t>Prospective observational studies</w:t>
            </w:r>
            <w:r w:rsidRPr="00207B09">
              <w:rPr>
                <w:rStyle w:val="eop"/>
                <w:rFonts w:asciiTheme="minorHAnsi" w:hAnsiTheme="minorHAnsi" w:cstheme="minorHAnsi"/>
                <w:color w:val="000000"/>
                <w:sz w:val="22"/>
                <w:szCs w:val="22"/>
                <w:lang w:val="en-US"/>
              </w:rPr>
              <w:t>​</w:t>
            </w:r>
          </w:p>
        </w:tc>
      </w:tr>
      <w:tr w:rsidR="003175CB" w:rsidRPr="008F1C9F" w14:paraId="5ECEE11E" w14:textId="77777777" w:rsidTr="00FE55B1">
        <w:trPr>
          <w:trHeight w:val="782"/>
        </w:trPr>
        <w:tc>
          <w:tcPr>
            <w:tcW w:w="1861" w:type="pct"/>
            <w:hideMark/>
          </w:tcPr>
          <w:p w14:paraId="5E7A7FFD" w14:textId="77777777" w:rsidR="003175CB" w:rsidRPr="008F1C9F" w:rsidRDefault="003175CB" w:rsidP="003175CB">
            <w:pPr>
              <w:spacing w:before="100" w:beforeAutospacing="1" w:after="100" w:afterAutospacing="1"/>
              <w:textAlignment w:val="baseline"/>
              <w:rPr>
                <w:rFonts w:eastAsia="Times New Roman" w:cstheme="minorHAnsi"/>
                <w:b/>
                <w:bCs/>
                <w:lang w:eastAsia="en-GB"/>
              </w:rPr>
            </w:pPr>
            <w:r w:rsidRPr="008F1C9F">
              <w:rPr>
                <w:rFonts w:eastAsia="Times New Roman" w:cstheme="minorHAnsi"/>
                <w:b/>
                <w:bCs/>
                <w:lang w:val="en-US" w:eastAsia="en-GB"/>
              </w:rPr>
              <w:t>Publication type</w:t>
            </w:r>
            <w:r w:rsidRPr="008F1C9F">
              <w:rPr>
                <w:rFonts w:eastAsia="Times New Roman" w:cstheme="minorHAnsi"/>
                <w:b/>
                <w:bCs/>
                <w:lang w:eastAsia="en-GB"/>
              </w:rPr>
              <w:t>​</w:t>
            </w:r>
          </w:p>
        </w:tc>
        <w:tc>
          <w:tcPr>
            <w:tcW w:w="3139" w:type="pct"/>
            <w:hideMark/>
          </w:tcPr>
          <w:p w14:paraId="679F2156" w14:textId="433AABBA" w:rsidR="003175CB" w:rsidRPr="00FE55B1" w:rsidRDefault="003175CB" w:rsidP="00FE55B1">
            <w:pPr>
              <w:pStyle w:val="paragraph"/>
              <w:spacing w:before="0" w:beforeAutospacing="0" w:after="0" w:afterAutospacing="0"/>
              <w:textAlignment w:val="baseline"/>
              <w:divId w:val="364140013"/>
              <w:rPr>
                <w:rFonts w:asciiTheme="minorHAnsi" w:hAnsiTheme="minorHAnsi" w:cstheme="minorHAnsi"/>
                <w:color w:val="000000"/>
                <w:sz w:val="22"/>
                <w:szCs w:val="22"/>
              </w:rPr>
            </w:pPr>
            <w:r w:rsidRPr="003175CB">
              <w:rPr>
                <w:rStyle w:val="normaltextrun"/>
                <w:rFonts w:asciiTheme="minorHAnsi" w:hAnsiTheme="minorHAnsi" w:cstheme="minorHAnsi"/>
                <w:color w:val="000000"/>
                <w:sz w:val="22"/>
                <w:szCs w:val="22"/>
              </w:rPr>
              <w:t>Original research​ in the form of journal publication, conference abstract or trial registration</w:t>
            </w:r>
            <w:r w:rsidRPr="003175CB">
              <w:rPr>
                <w:rStyle w:val="eop"/>
                <w:rFonts w:asciiTheme="minorHAnsi" w:hAnsiTheme="minorHAnsi" w:cstheme="minorHAnsi"/>
                <w:color w:val="000000"/>
                <w:sz w:val="22"/>
                <w:szCs w:val="22"/>
              </w:rPr>
              <w:t>​</w:t>
            </w:r>
          </w:p>
        </w:tc>
      </w:tr>
      <w:tr w:rsidR="003175CB" w:rsidRPr="008F1C9F" w14:paraId="766EFC16" w14:textId="77777777" w:rsidTr="00FE55B1">
        <w:trPr>
          <w:trHeight w:val="566"/>
        </w:trPr>
        <w:tc>
          <w:tcPr>
            <w:tcW w:w="1861" w:type="pct"/>
            <w:hideMark/>
          </w:tcPr>
          <w:p w14:paraId="419F25EC" w14:textId="77777777" w:rsidR="003175CB" w:rsidRPr="008F1C9F" w:rsidRDefault="003175CB" w:rsidP="003175CB">
            <w:pPr>
              <w:spacing w:before="100" w:beforeAutospacing="1" w:after="100" w:afterAutospacing="1"/>
              <w:textAlignment w:val="baseline"/>
              <w:rPr>
                <w:rFonts w:eastAsia="Times New Roman" w:cstheme="minorHAnsi"/>
                <w:b/>
                <w:bCs/>
                <w:lang w:eastAsia="en-GB"/>
              </w:rPr>
            </w:pPr>
            <w:r w:rsidRPr="008F1C9F">
              <w:rPr>
                <w:rFonts w:eastAsia="Times New Roman" w:cstheme="minorHAnsi"/>
                <w:b/>
                <w:bCs/>
                <w:lang w:val="en-US" w:eastAsia="en-GB"/>
              </w:rPr>
              <w:t>Language</w:t>
            </w:r>
            <w:r w:rsidRPr="008F1C9F">
              <w:rPr>
                <w:rFonts w:eastAsia="Times New Roman" w:cstheme="minorHAnsi"/>
                <w:b/>
                <w:bCs/>
                <w:lang w:eastAsia="en-GB"/>
              </w:rPr>
              <w:t>​</w:t>
            </w:r>
          </w:p>
        </w:tc>
        <w:tc>
          <w:tcPr>
            <w:tcW w:w="3139" w:type="pct"/>
            <w:hideMark/>
          </w:tcPr>
          <w:p w14:paraId="43357FA7" w14:textId="1407CA7F" w:rsidR="003175CB" w:rsidRPr="00FE55B1" w:rsidRDefault="003175CB" w:rsidP="00FE55B1">
            <w:pPr>
              <w:pStyle w:val="paragraph"/>
              <w:spacing w:before="0" w:beforeAutospacing="0" w:after="0" w:afterAutospacing="0"/>
              <w:textAlignment w:val="baseline"/>
              <w:divId w:val="951402699"/>
              <w:rPr>
                <w:rFonts w:asciiTheme="minorHAnsi" w:hAnsiTheme="minorHAnsi" w:cstheme="minorHAnsi"/>
                <w:color w:val="000000"/>
                <w:sz w:val="22"/>
                <w:szCs w:val="22"/>
              </w:rPr>
            </w:pPr>
            <w:r w:rsidRPr="003175CB">
              <w:rPr>
                <w:rStyle w:val="normaltextrun"/>
                <w:rFonts w:asciiTheme="minorHAnsi" w:hAnsiTheme="minorHAnsi" w:cstheme="minorHAnsi"/>
                <w:color w:val="000000"/>
                <w:sz w:val="22"/>
                <w:szCs w:val="22"/>
              </w:rPr>
              <w:t>No language restriction</w:t>
            </w:r>
            <w:r w:rsidRPr="003175CB">
              <w:rPr>
                <w:rStyle w:val="eop"/>
                <w:rFonts w:asciiTheme="minorHAnsi" w:hAnsiTheme="minorHAnsi" w:cstheme="minorHAnsi"/>
                <w:color w:val="000000"/>
                <w:sz w:val="22"/>
                <w:szCs w:val="22"/>
              </w:rPr>
              <w:t>​</w:t>
            </w:r>
          </w:p>
        </w:tc>
      </w:tr>
    </w:tbl>
    <w:p w14:paraId="3C27210F" w14:textId="77777777" w:rsidR="00F15671" w:rsidRDefault="00F15671" w:rsidP="00186227"/>
    <w:p w14:paraId="683344E3" w14:textId="2087406D" w:rsidR="00FE55B1" w:rsidRDefault="00FE55B1" w:rsidP="00FE55B1">
      <w:pPr>
        <w:pStyle w:val="Heading3"/>
      </w:pPr>
      <w:r>
        <w:lastRenderedPageBreak/>
        <w:t>Search strategy for TLRs</w:t>
      </w:r>
    </w:p>
    <w:p w14:paraId="415DF45E" w14:textId="1B133D48" w:rsidR="00B626C2" w:rsidRDefault="00B626C2" w:rsidP="00B626C2">
      <w:pPr>
        <w:pStyle w:val="BodyText"/>
      </w:pPr>
      <w:r w:rsidRPr="007974D5">
        <w:t xml:space="preserve">A </w:t>
      </w:r>
      <w:r>
        <w:t>targeted</w:t>
      </w:r>
      <w:r w:rsidRPr="007974D5">
        <w:t xml:space="preserve"> search strategy </w:t>
      </w:r>
      <w:r w:rsidR="00D90586">
        <w:t>was</w:t>
      </w:r>
      <w:r w:rsidRPr="007974D5">
        <w:t xml:space="preserve"> used to identify relevant literature. This</w:t>
      </w:r>
      <w:r w:rsidR="00D90586">
        <w:t xml:space="preserve"> </w:t>
      </w:r>
      <w:r>
        <w:t>include</w:t>
      </w:r>
      <w:r w:rsidR="00D90586">
        <w:t>d</w:t>
      </w:r>
      <w:r>
        <w:t xml:space="preserve"> </w:t>
      </w:r>
      <w:r w:rsidR="004A5BB7">
        <w:t>searching MEDLINE and Google</w:t>
      </w:r>
      <w:r w:rsidR="00253331">
        <w:t xml:space="preserve">, as well as </w:t>
      </w:r>
      <w:r w:rsidR="00AE34A1">
        <w:t xml:space="preserve">target searching for </w:t>
      </w:r>
      <w:r w:rsidR="00AE34A1" w:rsidRPr="00AE34A1">
        <w:t>relevant studies reporting relevant endpoints</w:t>
      </w:r>
      <w:r w:rsidR="00AE34A1">
        <w:t xml:space="preserve"> for the </w:t>
      </w:r>
      <w:r w:rsidR="00D90586">
        <w:t>MS-COM</w:t>
      </w:r>
      <w:r w:rsidRPr="007974D5">
        <w:t xml:space="preserve">. </w:t>
      </w:r>
    </w:p>
    <w:p w14:paraId="526BE5DC" w14:textId="77777777" w:rsidR="00BF053C" w:rsidRDefault="00BF053C" w:rsidP="00FE55B1"/>
    <w:p w14:paraId="46C098DB" w14:textId="7F9643EF" w:rsidR="00FE55B1" w:rsidRDefault="00FE55B1" w:rsidP="00966180">
      <w:pPr>
        <w:pStyle w:val="Heading3"/>
      </w:pPr>
      <w:r>
        <w:t>Study records</w:t>
      </w:r>
    </w:p>
    <w:p w14:paraId="663F4CA1" w14:textId="77777777" w:rsidR="0007086B" w:rsidRDefault="0007086B" w:rsidP="0007086B">
      <w:pPr>
        <w:pStyle w:val="Heading4"/>
      </w:pPr>
      <w:r>
        <w:t>Data management</w:t>
      </w:r>
    </w:p>
    <w:p w14:paraId="301610C7" w14:textId="4F3F6EFE" w:rsidR="0007086B" w:rsidRPr="00644BC3" w:rsidRDefault="0007086B" w:rsidP="0007086B">
      <w:r w:rsidRPr="005B5BFC">
        <w:t xml:space="preserve">We </w:t>
      </w:r>
      <w:r w:rsidR="00D90586">
        <w:t>searched</w:t>
      </w:r>
      <w:r w:rsidRPr="005B5BFC">
        <w:t xml:space="preserve"> MEDLINE </w:t>
      </w:r>
      <w:r w:rsidR="004D4466">
        <w:t>through</w:t>
      </w:r>
      <w:r w:rsidRPr="005B5BFC">
        <w:t xml:space="preserve"> the Ovid</w:t>
      </w:r>
      <w:r w:rsidRPr="005B5BFC">
        <w:rPr>
          <w:rFonts w:cstheme="minorHAnsi"/>
        </w:rPr>
        <w:t>®</w:t>
      </w:r>
      <w:r w:rsidRPr="005B5BFC">
        <w:t xml:space="preserve"> platform and </w:t>
      </w:r>
      <w:r w:rsidR="004D4466">
        <w:t>Google</w:t>
      </w:r>
      <w:r w:rsidRPr="005B5BFC">
        <w:t xml:space="preserve">. </w:t>
      </w:r>
      <w:r w:rsidR="00AB7165">
        <w:t>Similar to the SLR, r</w:t>
      </w:r>
      <w:r w:rsidRPr="005B5BFC">
        <w:t xml:space="preserve">ecords obtained </w:t>
      </w:r>
      <w:r w:rsidR="00B56139">
        <w:t>were</w:t>
      </w:r>
      <w:r w:rsidRPr="005B5BFC">
        <w:t xml:space="preserve"> managed in an Endnote library and research information system (RIS) files w</w:t>
      </w:r>
      <w:r w:rsidR="00B56139">
        <w:t>ere</w:t>
      </w:r>
      <w:r w:rsidRPr="005B5BFC">
        <w:t xml:space="preserve"> stor</w:t>
      </w:r>
      <w:r w:rsidR="00B56139">
        <w:t>ed</w:t>
      </w:r>
      <w:r w:rsidRPr="005B5BFC">
        <w:t>.</w:t>
      </w:r>
      <w:r>
        <w:t xml:space="preserve"> </w:t>
      </w:r>
    </w:p>
    <w:p w14:paraId="598E6DAB" w14:textId="77777777" w:rsidR="0007086B" w:rsidRDefault="0007086B" w:rsidP="0007086B">
      <w:pPr>
        <w:pStyle w:val="Heading4"/>
      </w:pPr>
      <w:r>
        <w:t>Selection process</w:t>
      </w:r>
    </w:p>
    <w:p w14:paraId="48122EFC" w14:textId="54A0CC4B" w:rsidR="0007086B" w:rsidRPr="005B5BFC" w:rsidRDefault="0007086B" w:rsidP="0007086B">
      <w:r w:rsidRPr="005B5BFC">
        <w:t>Search results w</w:t>
      </w:r>
      <w:r w:rsidR="00B56139">
        <w:t>ere</w:t>
      </w:r>
      <w:r w:rsidRPr="005B5BFC">
        <w:t xml:space="preserve"> uploaded into </w:t>
      </w:r>
      <w:r w:rsidR="0032735B">
        <w:t>Excel</w:t>
      </w:r>
      <w:r w:rsidR="00CA373A">
        <w:t xml:space="preserve"> </w:t>
      </w:r>
      <w:r w:rsidR="0032735B">
        <w:t>where screening w</w:t>
      </w:r>
      <w:r w:rsidR="00B56139">
        <w:t>as</w:t>
      </w:r>
      <w:r w:rsidR="0032735B">
        <w:t xml:space="preserve"> performed </w:t>
      </w:r>
      <w:r w:rsidRPr="005B5BFC">
        <w:t xml:space="preserve">by </w:t>
      </w:r>
      <w:r w:rsidR="007A730E">
        <w:t>one</w:t>
      </w:r>
      <w:r w:rsidRPr="005B5BFC">
        <w:t xml:space="preserve"> reviewer. We use</w:t>
      </w:r>
      <w:r w:rsidR="00B56139">
        <w:t>d</w:t>
      </w:r>
      <w:r w:rsidRPr="005B5BFC">
        <w:t xml:space="preserve"> a two-stage process to select studies for inclusion. First, records that d</w:t>
      </w:r>
      <w:r w:rsidR="00FE3A2B">
        <w:t>id</w:t>
      </w:r>
      <w:r w:rsidRPr="005B5BFC">
        <w:t xml:space="preserve"> not meet the eligibility criteria based on title and abstract </w:t>
      </w:r>
      <w:r w:rsidR="00FE3A2B">
        <w:t>were</w:t>
      </w:r>
      <w:r w:rsidR="00FE3A2B" w:rsidRPr="005B5BFC">
        <w:t xml:space="preserve"> </w:t>
      </w:r>
      <w:r w:rsidRPr="005B5BFC">
        <w:t xml:space="preserve">excluded. Second, full texts </w:t>
      </w:r>
      <w:r w:rsidR="00FE3A2B" w:rsidRPr="005B5BFC">
        <w:t>w</w:t>
      </w:r>
      <w:r w:rsidR="00FE3A2B">
        <w:t>ere</w:t>
      </w:r>
      <w:r w:rsidR="00FE3A2B" w:rsidRPr="005B5BFC">
        <w:t xml:space="preserve"> </w:t>
      </w:r>
      <w:r w:rsidRPr="005B5BFC">
        <w:t xml:space="preserve">retrieved for all records selected in stage 1 and checked against the eligibility criteria. </w:t>
      </w:r>
    </w:p>
    <w:p w14:paraId="5796F650" w14:textId="77777777" w:rsidR="0007086B" w:rsidRDefault="0007086B" w:rsidP="0007086B">
      <w:pPr>
        <w:pStyle w:val="Heading4"/>
      </w:pPr>
      <w:r>
        <w:t>Data collection process</w:t>
      </w:r>
    </w:p>
    <w:p w14:paraId="068C37A2" w14:textId="12B78EE7" w:rsidR="007F76FC" w:rsidRDefault="0043626E" w:rsidP="00336695">
      <w:pPr>
        <w:pStyle w:val="BodyText"/>
        <w:rPr>
          <w:szCs w:val="22"/>
        </w:rPr>
      </w:pPr>
      <w:r>
        <w:t>For TLR 1, we list</w:t>
      </w:r>
      <w:r w:rsidR="00FE3A2B">
        <w:t>ed</w:t>
      </w:r>
      <w:r>
        <w:t xml:space="preserve"> and summarise</w:t>
      </w:r>
      <w:r w:rsidR="00FE3A2B">
        <w:t>d</w:t>
      </w:r>
      <w:r>
        <w:t xml:space="preserve"> all included studies in a slide deck. </w:t>
      </w:r>
      <w:r w:rsidR="0037115A">
        <w:t>For TLR 2, we</w:t>
      </w:r>
      <w:r w:rsidR="0007086B" w:rsidRPr="005B5BFC">
        <w:t xml:space="preserve"> develop</w:t>
      </w:r>
      <w:r w:rsidR="00FE3A2B">
        <w:t>ed</w:t>
      </w:r>
      <w:r w:rsidR="0007086B" w:rsidRPr="005B5BFC">
        <w:t xml:space="preserve"> </w:t>
      </w:r>
      <w:r w:rsidR="0037115A">
        <w:t xml:space="preserve">a </w:t>
      </w:r>
      <w:r w:rsidR="002B6D34">
        <w:t>simple</w:t>
      </w:r>
      <w:r w:rsidR="0007086B" w:rsidRPr="005B5BFC">
        <w:t xml:space="preserve"> DES in Microsoft Excel</w:t>
      </w:r>
      <w:r w:rsidR="00AB7165">
        <w:t xml:space="preserve"> for </w:t>
      </w:r>
      <w:r w:rsidR="007A730E">
        <w:t xml:space="preserve">TLR </w:t>
      </w:r>
      <w:r>
        <w:t>2</w:t>
      </w:r>
      <w:r w:rsidR="0037115A">
        <w:t xml:space="preserve"> that </w:t>
      </w:r>
      <w:r w:rsidR="00F1061B">
        <w:t xml:space="preserve">captures all relevant information on recent evidence sources and findings associated with endpoints of interest for </w:t>
      </w:r>
      <w:r w:rsidR="00FE3A2B">
        <w:t>MS-CO</w:t>
      </w:r>
      <w:r w:rsidR="00F1061B">
        <w:t xml:space="preserve">M. </w:t>
      </w:r>
      <w:r w:rsidR="0007086B" w:rsidRPr="005B5BFC">
        <w:t>Data extractions w</w:t>
      </w:r>
      <w:r w:rsidR="00D05836">
        <w:t>ere</w:t>
      </w:r>
      <w:r w:rsidR="0007086B" w:rsidRPr="005B5BFC">
        <w:t xml:space="preserve"> </w:t>
      </w:r>
      <w:r w:rsidR="00232518">
        <w:t>performed by one reviewe</w:t>
      </w:r>
      <w:r w:rsidR="008F0C5D">
        <w:t>r</w:t>
      </w:r>
      <w:r w:rsidR="00232518">
        <w:t xml:space="preserve"> and checked by a second reviewer for </w:t>
      </w:r>
      <w:r w:rsidR="008F0C5D">
        <w:t>validation purposes.</w:t>
      </w:r>
      <w:r w:rsidR="00A1483B">
        <w:t xml:space="preserve"> </w:t>
      </w:r>
    </w:p>
    <w:p w14:paraId="05D4C630" w14:textId="216EF458" w:rsidR="001E2119" w:rsidRDefault="001E2119" w:rsidP="00BF053C"/>
    <w:p w14:paraId="08073813" w14:textId="7CD4D0C1" w:rsidR="00966180" w:rsidRDefault="00F83B68" w:rsidP="00F83B68">
      <w:pPr>
        <w:pStyle w:val="Heading1"/>
      </w:pPr>
      <w:r>
        <w:t>Results</w:t>
      </w:r>
    </w:p>
    <w:p w14:paraId="03529DD8" w14:textId="05ABDFAC" w:rsidR="00F83B68" w:rsidRDefault="00052A35" w:rsidP="00052A35">
      <w:pPr>
        <w:pStyle w:val="Heading2"/>
      </w:pPr>
      <w:r>
        <w:t>Overview of SLR findings</w:t>
      </w:r>
    </w:p>
    <w:p w14:paraId="075A607A" w14:textId="1ACC6ED0" w:rsidR="00BE2FA6" w:rsidRDefault="003D1983" w:rsidP="00BE2FA6">
      <w:r>
        <w:t>W</w:t>
      </w:r>
      <w:r w:rsidR="00BE2FA6">
        <w:t xml:space="preserve">e identified </w:t>
      </w:r>
      <w:r>
        <w:t>5,509</w:t>
      </w:r>
      <w:r w:rsidR="00BE2FA6">
        <w:t xml:space="preserve"> records through database searching, </w:t>
      </w:r>
      <w:r w:rsidR="0093627E">
        <w:t>2,555</w:t>
      </w:r>
      <w:r w:rsidR="00BE2FA6">
        <w:t xml:space="preserve"> records from </w:t>
      </w:r>
      <w:r w:rsidR="0093627E">
        <w:t>EMBASE</w:t>
      </w:r>
      <w:r w:rsidR="00BE2FA6">
        <w:t xml:space="preserve"> and </w:t>
      </w:r>
      <w:r w:rsidR="0093627E">
        <w:t>2,954</w:t>
      </w:r>
      <w:r w:rsidR="00BE2FA6">
        <w:t xml:space="preserve"> records from </w:t>
      </w:r>
      <w:r w:rsidR="00806E07">
        <w:t>MEDLINE</w:t>
      </w:r>
      <w:r w:rsidR="00BE2FA6">
        <w:t xml:space="preserve">. After removing </w:t>
      </w:r>
      <w:r w:rsidR="0093627E">
        <w:t>778</w:t>
      </w:r>
      <w:r w:rsidR="00BE2FA6">
        <w:t xml:space="preserve"> duplicates, </w:t>
      </w:r>
      <w:r w:rsidR="0093627E">
        <w:t>4,731</w:t>
      </w:r>
      <w:r w:rsidR="00BE2FA6">
        <w:t xml:space="preserve"> titles and abstracts were screened for eligibility. </w:t>
      </w:r>
    </w:p>
    <w:p w14:paraId="301ED4C7" w14:textId="5A8116C7" w:rsidR="00BE2FA6" w:rsidRDefault="00BE2FA6" w:rsidP="00BE2FA6">
      <w:r>
        <w:t xml:space="preserve">At the title and abstract screening stage, </w:t>
      </w:r>
      <w:r w:rsidR="0093627E">
        <w:t>4,602</w:t>
      </w:r>
      <w:r>
        <w:t xml:space="preserve"> records were excluded. Reasons for exclusion included </w:t>
      </w:r>
      <w:r w:rsidR="00AF770F">
        <w:t xml:space="preserve">wrong study design (n=4,091), wrong population </w:t>
      </w:r>
      <w:r>
        <w:t xml:space="preserve">(n = </w:t>
      </w:r>
      <w:r w:rsidR="002A4AEC">
        <w:t>445</w:t>
      </w:r>
      <w:r>
        <w:t xml:space="preserve">), wrong outcomes (n = </w:t>
      </w:r>
      <w:r w:rsidR="002A4AEC">
        <w:t>47</w:t>
      </w:r>
      <w:r>
        <w:t>)</w:t>
      </w:r>
      <w:r w:rsidR="009B2331">
        <w:t>, and wrong intervention (</w:t>
      </w:r>
      <w:r>
        <w:t>n =</w:t>
      </w:r>
      <w:r w:rsidR="009B2331">
        <w:t xml:space="preserve"> 19</w:t>
      </w:r>
      <w:r>
        <w:t xml:space="preserve">). As a result, a total of </w:t>
      </w:r>
      <w:r w:rsidR="00EB2687">
        <w:t>129</w:t>
      </w:r>
      <w:r>
        <w:t xml:space="preserve"> records were assessed in full text, of which </w:t>
      </w:r>
      <w:r w:rsidR="00B91A8E">
        <w:t>74</w:t>
      </w:r>
      <w:r>
        <w:t xml:space="preserve"> fulfilled the inclusion criteria. Additional reasons for exclusion at this stage were wrong population (n = </w:t>
      </w:r>
      <w:r w:rsidR="00EB2687">
        <w:t>2</w:t>
      </w:r>
      <w:r w:rsidR="00B91A8E">
        <w:t>6</w:t>
      </w:r>
      <w:r>
        <w:t xml:space="preserve">), </w:t>
      </w:r>
      <w:r w:rsidR="00EB2687">
        <w:t>wrong study design (n = 1</w:t>
      </w:r>
      <w:r w:rsidR="00B91A8E">
        <w:t>8</w:t>
      </w:r>
      <w:r w:rsidR="00EB2687">
        <w:t xml:space="preserve">), </w:t>
      </w:r>
      <w:r>
        <w:t xml:space="preserve">wrong </w:t>
      </w:r>
      <w:r w:rsidR="00C57E6A">
        <w:t>outcome</w:t>
      </w:r>
      <w:r>
        <w:t xml:space="preserve"> (n = </w:t>
      </w:r>
      <w:r w:rsidR="00C57E6A">
        <w:t>6</w:t>
      </w:r>
      <w:r>
        <w:t xml:space="preserve">), </w:t>
      </w:r>
      <w:r w:rsidR="00F62FB7">
        <w:t xml:space="preserve">and </w:t>
      </w:r>
      <w:r>
        <w:t xml:space="preserve">wrong </w:t>
      </w:r>
      <w:r w:rsidR="00C57E6A">
        <w:t>intervention</w:t>
      </w:r>
      <w:r w:rsidR="00B61AD4">
        <w:t xml:space="preserve"> </w:t>
      </w:r>
      <w:r>
        <w:t xml:space="preserve">(n = </w:t>
      </w:r>
      <w:r w:rsidR="00B61AD4">
        <w:t>3</w:t>
      </w:r>
      <w:r>
        <w:t>)</w:t>
      </w:r>
      <w:r w:rsidR="00F62FB7">
        <w:t>.</w:t>
      </w:r>
      <w:r>
        <w:t xml:space="preserve"> </w:t>
      </w:r>
    </w:p>
    <w:p w14:paraId="74D742BF" w14:textId="41056754" w:rsidR="00345896" w:rsidRDefault="003B0B4F" w:rsidP="00BE2FA6">
      <w:r>
        <w:t>Three</w:t>
      </w:r>
      <w:r w:rsidR="00C57E6A">
        <w:t xml:space="preserve"> studies were mapped to primary publications</w:t>
      </w:r>
      <w:r w:rsidR="00AE77EE">
        <w:t xml:space="preserve">, leaving </w:t>
      </w:r>
      <w:r w:rsidR="00D63D36">
        <w:t xml:space="preserve">73 publications available for data extraction. </w:t>
      </w:r>
      <w:r w:rsidR="00BE2FA6">
        <w:t xml:space="preserve">The study selection process according to the PRISMA statement is shown in </w:t>
      </w:r>
      <w:r w:rsidR="00AB55C8">
        <w:t xml:space="preserve">Figure </w:t>
      </w:r>
      <w:r w:rsidR="00AB55C8">
        <w:rPr>
          <w:noProof/>
        </w:rPr>
        <w:t>2</w:t>
      </w:r>
      <w:r w:rsidR="00BE2FA6">
        <w:t>.</w:t>
      </w:r>
    </w:p>
    <w:p w14:paraId="2CA8D58C" w14:textId="6D43BB1A" w:rsidR="00393DCC" w:rsidRDefault="00393DCC" w:rsidP="00BE2FA6">
      <w:r>
        <w:t xml:space="preserve">An overview of the study characteristics and events simulated are provided in </w:t>
      </w:r>
      <w:r w:rsidR="00254B1C">
        <w:t xml:space="preserve">Table </w:t>
      </w:r>
      <w:r w:rsidR="00254B1C">
        <w:rPr>
          <w:noProof/>
        </w:rPr>
        <w:t>3</w:t>
      </w:r>
      <w:r>
        <w:t xml:space="preserve"> and </w:t>
      </w:r>
      <w:r w:rsidR="00254B1C">
        <w:t xml:space="preserve">Table </w:t>
      </w:r>
      <w:r w:rsidR="00254B1C">
        <w:rPr>
          <w:noProof/>
        </w:rPr>
        <w:t>4</w:t>
      </w:r>
      <w:r>
        <w:t xml:space="preserve">, respectively In Appendix B. </w:t>
      </w:r>
    </w:p>
    <w:p w14:paraId="124050DB" w14:textId="7042DA83" w:rsidR="00052A35" w:rsidRDefault="002029C9" w:rsidP="00345896">
      <w:pPr>
        <w:pStyle w:val="Caption"/>
        <w:keepNext/>
      </w:pPr>
      <w:bookmarkStart w:id="12" w:name="_Ref196926420"/>
      <w:r>
        <w:lastRenderedPageBreak/>
        <w:t xml:space="preserve">Figure </w:t>
      </w:r>
      <w:r w:rsidR="001C0358">
        <w:rPr>
          <w:noProof/>
        </w:rPr>
        <w:t>2</w:t>
      </w:r>
      <w:bookmarkEnd w:id="12"/>
      <w:r>
        <w:t xml:space="preserve"> </w:t>
      </w:r>
      <w:r w:rsidRPr="002029C9">
        <w:t>PRISMA flow chart systematic literature review</w:t>
      </w:r>
    </w:p>
    <w:p w14:paraId="10E627D2" w14:textId="11F64342" w:rsidR="003B60A0" w:rsidRDefault="00A66969" w:rsidP="00052A35">
      <w:r w:rsidRPr="00A66969">
        <w:rPr>
          <w:noProof/>
          <w:lang w:val="en-IN" w:eastAsia="en-IN"/>
        </w:rPr>
        <w:drawing>
          <wp:inline distT="0" distB="0" distL="0" distR="0" wp14:anchorId="517E2B1B" wp14:editId="69E42AD5">
            <wp:extent cx="5731510" cy="4392930"/>
            <wp:effectExtent l="0" t="0" r="0" b="0"/>
            <wp:docPr id="134779198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31510" cy="4392930"/>
                    </a:xfrm>
                    <a:prstGeom prst="rect">
                      <a:avLst/>
                    </a:prstGeom>
                    <a:noFill/>
                    <a:ln>
                      <a:noFill/>
                    </a:ln>
                  </pic:spPr>
                </pic:pic>
              </a:graphicData>
            </a:graphic>
          </wp:inline>
        </w:drawing>
      </w:r>
    </w:p>
    <w:p w14:paraId="52C97B59" w14:textId="77777777" w:rsidR="003B60A0" w:rsidRDefault="003B60A0" w:rsidP="00052A35"/>
    <w:p w14:paraId="5E9A3FE8" w14:textId="77777777" w:rsidR="00A64846" w:rsidRDefault="00A64846" w:rsidP="00052A35"/>
    <w:p w14:paraId="3CEB501C" w14:textId="6B9A2892" w:rsidR="00052A35" w:rsidRDefault="00052A35" w:rsidP="00052A35">
      <w:pPr>
        <w:pStyle w:val="Heading2"/>
      </w:pPr>
      <w:r>
        <w:t>Overview of TLR findings</w:t>
      </w:r>
    </w:p>
    <w:p w14:paraId="15716AC3" w14:textId="1F093C50" w:rsidR="00FE55B1" w:rsidRDefault="00DA4232" w:rsidP="00345896">
      <w:pPr>
        <w:pStyle w:val="Heading3"/>
      </w:pPr>
      <w:r>
        <w:t>Summary findings from TLR1</w:t>
      </w:r>
    </w:p>
    <w:p w14:paraId="7CDFFFFF" w14:textId="76A5408D" w:rsidR="00AB55C8" w:rsidRDefault="00AB55C8" w:rsidP="00433A2C">
      <w:r>
        <w:t>We identified 259 records through database searching</w:t>
      </w:r>
      <w:r w:rsidR="00433A2C">
        <w:t>, which were</w:t>
      </w:r>
      <w:r>
        <w:t xml:space="preserve"> screened</w:t>
      </w:r>
      <w:r w:rsidR="00433A2C">
        <w:t xml:space="preserve"> in full. At the this stage (i.e., title and abstract screening), 246 </w:t>
      </w:r>
      <w:r>
        <w:t>records were excluded</w:t>
      </w:r>
      <w:r w:rsidR="00433A2C">
        <w:t>, leaving 13 records to be assessed as full-text</w:t>
      </w:r>
      <w:r>
        <w:t>.</w:t>
      </w:r>
      <w:r w:rsidR="00B853ED">
        <w:t xml:space="preserve"> Each of these records </w:t>
      </w:r>
      <w:r>
        <w:t>fulfilled the inclusion criteria.</w:t>
      </w:r>
      <w:r w:rsidR="00602CF8">
        <w:t xml:space="preserve"> </w:t>
      </w:r>
      <w:r w:rsidR="00602CF8" w:rsidRPr="00602CF8">
        <w:t xml:space="preserve">The study selection process according to the PRISMA statement is shown in </w:t>
      </w:r>
      <w:r w:rsidR="00602CF8">
        <w:t xml:space="preserve">Figure </w:t>
      </w:r>
      <w:r w:rsidR="00602CF8">
        <w:rPr>
          <w:noProof/>
        </w:rPr>
        <w:t>3</w:t>
      </w:r>
      <w:r w:rsidR="00602CF8">
        <w:t>.</w:t>
      </w:r>
    </w:p>
    <w:p w14:paraId="63DEDAA6" w14:textId="1FAF5F71" w:rsidR="00345896" w:rsidRDefault="00345896" w:rsidP="00AB55C8"/>
    <w:p w14:paraId="5FCC9080" w14:textId="3B02E002" w:rsidR="00345896" w:rsidRDefault="00345896" w:rsidP="00DA4232">
      <w:pPr>
        <w:pStyle w:val="Caption"/>
        <w:keepNext/>
      </w:pPr>
      <w:bookmarkStart w:id="13" w:name="_Ref196927452"/>
      <w:bookmarkStart w:id="14" w:name="_Hlk196924352"/>
      <w:r>
        <w:lastRenderedPageBreak/>
        <w:t xml:space="preserve">Figure </w:t>
      </w:r>
      <w:r w:rsidR="001C0358">
        <w:rPr>
          <w:noProof/>
        </w:rPr>
        <w:t>3</w:t>
      </w:r>
      <w:bookmarkEnd w:id="13"/>
      <w:r w:rsidR="00DA4232">
        <w:t xml:space="preserve"> </w:t>
      </w:r>
      <w:r w:rsidRPr="002029C9">
        <w:t>PRISMA flow chart</w:t>
      </w:r>
      <w:r>
        <w:t xml:space="preserve"> TLR1</w:t>
      </w:r>
    </w:p>
    <w:bookmarkEnd w:id="14"/>
    <w:p w14:paraId="69BD9F7C" w14:textId="63FA30C9" w:rsidR="002029C9" w:rsidRDefault="00345896" w:rsidP="00FE55B1">
      <w:r w:rsidRPr="00345896">
        <w:rPr>
          <w:noProof/>
          <w:lang w:val="en-IN" w:eastAsia="en-IN"/>
        </w:rPr>
        <w:drawing>
          <wp:inline distT="0" distB="0" distL="0" distR="0" wp14:anchorId="29583A2C" wp14:editId="328FBF7A">
            <wp:extent cx="5731510" cy="4973955"/>
            <wp:effectExtent l="0" t="0" r="0" b="0"/>
            <wp:docPr id="160172678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31510" cy="4973955"/>
                    </a:xfrm>
                    <a:prstGeom prst="rect">
                      <a:avLst/>
                    </a:prstGeom>
                    <a:noFill/>
                    <a:ln>
                      <a:noFill/>
                    </a:ln>
                  </pic:spPr>
                </pic:pic>
              </a:graphicData>
            </a:graphic>
          </wp:inline>
        </w:drawing>
      </w:r>
    </w:p>
    <w:p w14:paraId="15170FEB" w14:textId="77777777" w:rsidR="00345896" w:rsidRPr="00FE55B1" w:rsidRDefault="00345896" w:rsidP="00FE55B1"/>
    <w:p w14:paraId="1063A4CE" w14:textId="0301472F" w:rsidR="007026FF" w:rsidRDefault="00FE55B1" w:rsidP="6416B866">
      <w:pPr>
        <w:rPr>
          <w:noProof/>
        </w:rPr>
      </w:pPr>
      <w:r>
        <w:t xml:space="preserve"> </w:t>
      </w:r>
    </w:p>
    <w:p w14:paraId="5251434A" w14:textId="0AD28955" w:rsidR="00DA4232" w:rsidRDefault="00DA4232" w:rsidP="00DA4232">
      <w:pPr>
        <w:pStyle w:val="Heading3"/>
      </w:pPr>
      <w:r>
        <w:t>Summary findings from TLR2</w:t>
      </w:r>
    </w:p>
    <w:p w14:paraId="68EB7BFC" w14:textId="5261A117" w:rsidR="00602CF8" w:rsidRDefault="00602CF8" w:rsidP="00602CF8">
      <w:r>
        <w:t>We identified 1,391 records through PubMED Central</w:t>
      </w:r>
      <w:r w:rsidR="00E24059">
        <w:t xml:space="preserve">, </w:t>
      </w:r>
      <w:r w:rsidR="00144EE4">
        <w:t xml:space="preserve">along </w:t>
      </w:r>
      <w:r w:rsidR="00512786">
        <w:t xml:space="preserve">with an additional </w:t>
      </w:r>
      <w:r w:rsidR="00E24059">
        <w:t>nine records via grey literature searching</w:t>
      </w:r>
      <w:r w:rsidR="00F80030">
        <w:t xml:space="preserve">, yielding </w:t>
      </w:r>
      <w:r w:rsidR="00333427">
        <w:t>1</w:t>
      </w:r>
      <w:r>
        <w:t>,</w:t>
      </w:r>
      <w:r w:rsidR="007F6E76">
        <w:t>400</w:t>
      </w:r>
      <w:r w:rsidR="00333427">
        <w:t xml:space="preserve"> </w:t>
      </w:r>
      <w:r w:rsidR="00F80030">
        <w:t xml:space="preserve">records to be screened. </w:t>
      </w:r>
    </w:p>
    <w:p w14:paraId="2D006C02" w14:textId="7588ADBA" w:rsidR="0043447D" w:rsidRDefault="00602CF8" w:rsidP="0043447D">
      <w:r>
        <w:t xml:space="preserve">At the title and abstract screening stage, </w:t>
      </w:r>
      <w:r w:rsidR="007347AF">
        <w:t>1,338</w:t>
      </w:r>
      <w:r>
        <w:t xml:space="preserve"> records were excluded. </w:t>
      </w:r>
      <w:r w:rsidR="008F6D1E">
        <w:t>A</w:t>
      </w:r>
      <w:r>
        <w:t xml:space="preserve"> total of </w:t>
      </w:r>
      <w:r w:rsidR="003E1E3A">
        <w:t>61</w:t>
      </w:r>
      <w:r>
        <w:t xml:space="preserve"> records were assessed in full text, of which </w:t>
      </w:r>
      <w:r w:rsidR="00B46C49">
        <w:t>10</w:t>
      </w:r>
      <w:r>
        <w:t xml:space="preserve"> fulfilled the inclusion criteria. </w:t>
      </w:r>
      <w:r w:rsidR="00B46C49">
        <w:t xml:space="preserve">Reasons </w:t>
      </w:r>
      <w:r>
        <w:t xml:space="preserve">for exclusion at this stage were wrong population (n = </w:t>
      </w:r>
      <w:r w:rsidR="00B46C49">
        <w:t>8</w:t>
      </w:r>
      <w:r>
        <w:t xml:space="preserve">), </w:t>
      </w:r>
      <w:r w:rsidR="000C7151">
        <w:t>wrong outcomes (n = 41), and wrong study design (n = 2)</w:t>
      </w:r>
      <w:r w:rsidR="0043447D">
        <w:t xml:space="preserve">. </w:t>
      </w:r>
    </w:p>
    <w:p w14:paraId="5D45AE6E" w14:textId="67D1A890" w:rsidR="00DA4232" w:rsidRDefault="00602CF8" w:rsidP="00602CF8">
      <w:r>
        <w:t xml:space="preserve">The study selection process according to the PRISMA statement is shown in </w:t>
      </w:r>
      <w:r w:rsidR="0043447D">
        <w:t xml:space="preserve">Figure </w:t>
      </w:r>
      <w:r w:rsidR="0043447D">
        <w:rPr>
          <w:noProof/>
        </w:rPr>
        <w:t>4</w:t>
      </w:r>
      <w:r>
        <w:t>.</w:t>
      </w:r>
    </w:p>
    <w:p w14:paraId="46D61EB2" w14:textId="77777777" w:rsidR="00DA4232" w:rsidRDefault="00DA4232" w:rsidP="00DA4232"/>
    <w:p w14:paraId="695E9126" w14:textId="77777777" w:rsidR="00DA4232" w:rsidRDefault="00DA4232" w:rsidP="00DA4232"/>
    <w:p w14:paraId="6D8BBB34" w14:textId="12152F08" w:rsidR="00DA4232" w:rsidRDefault="001C0358" w:rsidP="00360094">
      <w:pPr>
        <w:pStyle w:val="Caption"/>
        <w:keepNext/>
      </w:pPr>
      <w:bookmarkStart w:id="15" w:name="_Ref196929469"/>
      <w:r>
        <w:lastRenderedPageBreak/>
        <w:t xml:space="preserve">Figure </w:t>
      </w:r>
      <w:r>
        <w:rPr>
          <w:noProof/>
        </w:rPr>
        <w:t>4</w:t>
      </w:r>
      <w:bookmarkEnd w:id="15"/>
      <w:r>
        <w:t xml:space="preserve"> </w:t>
      </w:r>
      <w:r w:rsidR="00DA4232" w:rsidRPr="00DA4232">
        <w:t>PRISMA flow chart TLR</w:t>
      </w:r>
      <w:r>
        <w:t>2</w:t>
      </w:r>
    </w:p>
    <w:p w14:paraId="23A08716" w14:textId="7B6FDC6D" w:rsidR="00DA4232" w:rsidRDefault="001C0358" w:rsidP="00DA4232">
      <w:r>
        <w:rPr>
          <w:noProof/>
          <w:lang w:val="en-IN" w:eastAsia="en-IN"/>
        </w:rPr>
        <w:drawing>
          <wp:inline distT="0" distB="0" distL="0" distR="0" wp14:anchorId="0D682D20" wp14:editId="7B911208">
            <wp:extent cx="5781554" cy="3015683"/>
            <wp:effectExtent l="0" t="0" r="0" b="0"/>
            <wp:docPr id="18" name="Picture 17">
              <a:extLst xmlns:a="http://schemas.openxmlformats.org/drawingml/2006/main">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43D6B48E-B43A-8720-9713-B1393C460B8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7">
                      <a:extLst>
                        <a:ext uri="{FF2B5EF4-FFF2-40B4-BE49-F238E27FC236}">
                          <a16:creationId xmlns:a16="http://schemas.microsoft.com/office/drawing/2014/main"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43D6B48E-B43A-8720-9713-B1393C460B82}"/>
                        </a:ext>
                      </a:extLst>
                    </pic:cNvPr>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82510" cy="3016182"/>
                    </a:xfrm>
                    <a:prstGeom prst="rect">
                      <a:avLst/>
                    </a:prstGeom>
                    <a:noFill/>
                  </pic:spPr>
                </pic:pic>
              </a:graphicData>
            </a:graphic>
          </wp:inline>
        </w:drawing>
      </w:r>
    </w:p>
    <w:p w14:paraId="53F32788" w14:textId="1D3AB79C" w:rsidR="001C0358" w:rsidRDefault="0043447D" w:rsidP="00697D23">
      <w:pPr>
        <w:pStyle w:val="Heading2"/>
      </w:pPr>
      <w:r>
        <w:t xml:space="preserve">Selecting studies for inclusion in the </w:t>
      </w:r>
      <w:r w:rsidR="00EA2607">
        <w:t>external independent validation</w:t>
      </w:r>
    </w:p>
    <w:p w14:paraId="26EA5B86" w14:textId="367DD1FB" w:rsidR="00EA2607" w:rsidRDefault="004315E3" w:rsidP="00DA4232">
      <w:r>
        <w:t xml:space="preserve">We sought to </w:t>
      </w:r>
      <w:r w:rsidR="00AA0673">
        <w:t xml:space="preserve">validate approximately 100 endpoints </w:t>
      </w:r>
      <w:r w:rsidR="00E50006">
        <w:t xml:space="preserve">using a </w:t>
      </w:r>
      <w:r>
        <w:t>mix of evidence from the Sc</w:t>
      </w:r>
      <w:r w:rsidR="00697D23">
        <w:t>h</w:t>
      </w:r>
      <w:r>
        <w:t>wander 2018 review (that informed the external validation of COM by Lopes 2020),our updated SLR, and the TLRs</w:t>
      </w:r>
      <w:r w:rsidR="00B56EB8">
        <w:t>.</w:t>
      </w:r>
      <w:r w:rsidR="00576715" w:rsidRPr="00576715">
        <w:rPr>
          <w:noProof/>
          <w:vertAlign w:val="superscript"/>
        </w:rPr>
        <w:t>11</w:t>
      </w:r>
      <w:r w:rsidR="00E50006">
        <w:t xml:space="preserve"> </w:t>
      </w:r>
      <w:r w:rsidR="00155B61">
        <w:t xml:space="preserve">Studies were prioritised if their endpoints were deemed </w:t>
      </w:r>
      <w:r w:rsidR="00155B61" w:rsidRPr="00155B61">
        <w:t>identical or reasonably close to those included in the MS-COM</w:t>
      </w:r>
      <w:r w:rsidR="00155B61">
        <w:t xml:space="preserve">. </w:t>
      </w:r>
      <w:r w:rsidR="00C141F0">
        <w:t xml:space="preserve">Where endpoints were simulated in studies included in the SLR, the primary source publication </w:t>
      </w:r>
      <w:r w:rsidR="00103B3C">
        <w:t>used to inform the event simulation was</w:t>
      </w:r>
      <w:r w:rsidR="00C141F0">
        <w:t xml:space="preserve"> then checked to assess </w:t>
      </w:r>
      <w:r w:rsidR="00103B3C">
        <w:t xml:space="preserve">the closeness of the endpoint to those included in the MS-COM. </w:t>
      </w:r>
    </w:p>
    <w:p w14:paraId="7CDF8732" w14:textId="0C28E564" w:rsidR="00835509" w:rsidRDefault="008A4EA5" w:rsidP="00DA4232">
      <w:r>
        <w:t>In total</w:t>
      </w:r>
      <w:r w:rsidR="00A90C8D">
        <w:t>,</w:t>
      </w:r>
      <w:r>
        <w:t xml:space="preserve"> 106 external independent endpoints were included in the external independent validation. </w:t>
      </w:r>
      <w:r w:rsidR="00835509">
        <w:t xml:space="preserve">Of the 73 records included in the SLR, </w:t>
      </w:r>
      <w:r w:rsidR="0006347C">
        <w:t>four</w:t>
      </w:r>
      <w:r w:rsidR="00647AA6">
        <w:t xml:space="preserve"> studies </w:t>
      </w:r>
      <w:r w:rsidR="006E1B24">
        <w:t xml:space="preserve">evaluated endpoints </w:t>
      </w:r>
      <w:r w:rsidR="00103B3C">
        <w:t>(</w:t>
      </w:r>
      <w:r w:rsidR="006E1B24">
        <w:t xml:space="preserve">that </w:t>
      </w:r>
      <w:r w:rsidR="00647AA6">
        <w:t>were</w:t>
      </w:r>
      <w:r w:rsidR="00254B1C">
        <w:t xml:space="preserve"> based on primary publications</w:t>
      </w:r>
      <w:r w:rsidR="00103B3C">
        <w:t>)</w:t>
      </w:r>
      <w:r w:rsidR="00254B1C">
        <w:t xml:space="preserve"> that </w:t>
      </w:r>
      <w:r w:rsidR="00103B3C">
        <w:t>closely matched</w:t>
      </w:r>
      <w:r w:rsidR="006E1B24">
        <w:t xml:space="preserve"> those used in MS-COM</w:t>
      </w:r>
      <w:r w:rsidR="00A01BCB">
        <w:t>, yielding 26 endpoints for validation.</w:t>
      </w:r>
      <w:r w:rsidR="00697D23" w:rsidRPr="00697D23">
        <w:rPr>
          <w:noProof/>
          <w:vertAlign w:val="superscript"/>
        </w:rPr>
        <w:t>25-28</w:t>
      </w:r>
      <w:r w:rsidR="00DA0812">
        <w:t xml:space="preserve"> One study identified from the TLRs </w:t>
      </w:r>
      <w:r w:rsidR="0024672B">
        <w:t>included outcomes</w:t>
      </w:r>
      <w:r w:rsidR="0057403D">
        <w:t xml:space="preserve"> that were sufficiently matched to MS-COM, </w:t>
      </w:r>
      <w:r w:rsidR="00E82561">
        <w:t>yielding a total of 20 endpoints for validation</w:t>
      </w:r>
      <w:r w:rsidR="00576715">
        <w:t>.</w:t>
      </w:r>
      <w:r w:rsidR="00697D23" w:rsidRPr="00697D23">
        <w:rPr>
          <w:noProof/>
          <w:vertAlign w:val="superscript"/>
        </w:rPr>
        <w:t>29</w:t>
      </w:r>
      <w:r w:rsidR="00E82561">
        <w:t xml:space="preserve"> </w:t>
      </w:r>
      <w:r w:rsidR="00C63CE8">
        <w:t>Six studies used in Lopes 2020</w:t>
      </w:r>
      <w:r w:rsidR="0064256B" w:rsidRPr="0064256B">
        <w:rPr>
          <w:noProof/>
          <w:vertAlign w:val="superscript"/>
        </w:rPr>
        <w:t>12</w:t>
      </w:r>
      <w:r w:rsidR="00C63CE8">
        <w:t xml:space="preserve"> included outcomes similarly matched to MS-COM </w:t>
      </w:r>
      <w:r w:rsidR="007D747E">
        <w:t xml:space="preserve">and were included in the external independent validation, providing a total of </w:t>
      </w:r>
      <w:r w:rsidR="008C4658">
        <w:t>60</w:t>
      </w:r>
      <w:r w:rsidR="007D747E">
        <w:t xml:space="preserve"> endpoints for validation.</w:t>
      </w:r>
      <w:r w:rsidR="00697D23" w:rsidRPr="00697D23">
        <w:rPr>
          <w:noProof/>
          <w:vertAlign w:val="superscript"/>
        </w:rPr>
        <w:t>30-35</w:t>
      </w:r>
    </w:p>
    <w:p w14:paraId="6B0F9706" w14:textId="77777777" w:rsidR="001C0358" w:rsidRDefault="001C0358" w:rsidP="00DA4232"/>
    <w:p w14:paraId="3655C8C5" w14:textId="77777777" w:rsidR="001C0358" w:rsidRDefault="001C0358" w:rsidP="00DA4232"/>
    <w:p w14:paraId="518587A6" w14:textId="77777777" w:rsidR="00DA4232" w:rsidRPr="00DA4232" w:rsidRDefault="00DA4232" w:rsidP="00DA4232"/>
    <w:p w14:paraId="71C24A7E" w14:textId="77777777" w:rsidR="007026FF" w:rsidRDefault="007026FF" w:rsidP="007026FF">
      <w:pPr>
        <w:pStyle w:val="Heading2"/>
        <w:rPr>
          <w:noProof/>
        </w:rPr>
        <w:sectPr w:rsidR="007026FF" w:rsidSect="007A2F0C">
          <w:headerReference w:type="default" r:id="rId15"/>
          <w:type w:val="continuous"/>
          <w:pgSz w:w="11906" w:h="16838"/>
          <w:pgMar w:top="1440" w:right="1440" w:bottom="1440" w:left="1440" w:header="709" w:footer="709" w:gutter="0"/>
          <w:cols w:space="708"/>
          <w:docGrid w:linePitch="360"/>
        </w:sectPr>
      </w:pPr>
    </w:p>
    <w:p w14:paraId="482C06F5" w14:textId="1EEC6F5D" w:rsidR="009763F7" w:rsidRDefault="007026FF" w:rsidP="007F76FC">
      <w:pPr>
        <w:pStyle w:val="Heading1"/>
        <w:rPr>
          <w:noProof/>
        </w:rPr>
      </w:pPr>
      <w:bookmarkStart w:id="16" w:name="_Toc146976137"/>
      <w:r>
        <w:rPr>
          <w:noProof/>
        </w:rPr>
        <w:t>Scientific references</w:t>
      </w:r>
      <w:bookmarkEnd w:id="16"/>
    </w:p>
    <w:p w14:paraId="0A9F7547" w14:textId="01078745" w:rsidR="00254B1C" w:rsidRPr="004831BE" w:rsidRDefault="00254B1C" w:rsidP="00254B1C">
      <w:pPr>
        <w:pStyle w:val="EndNoteBibliography"/>
        <w:spacing w:after="0"/>
        <w:ind w:left="720" w:hanging="720"/>
        <w:rPr>
          <w:lang w:val="fr-FR"/>
        </w:rPr>
      </w:pPr>
      <w:r w:rsidRPr="00254B1C">
        <w:t xml:space="preserve">1. Lopes S, Meincke HH, Lamotte M, et al. A novel decision model to predict the impact of weight management interventions: The Core Obesity Model. </w:t>
      </w:r>
      <w:r w:rsidRPr="004831BE">
        <w:rPr>
          <w:i/>
          <w:lang w:val="fr-FR"/>
        </w:rPr>
        <w:t>Obes Sci Pract</w:t>
      </w:r>
      <w:r w:rsidRPr="004831BE">
        <w:rPr>
          <w:lang w:val="fr-FR"/>
        </w:rPr>
        <w:t xml:space="preserve"> 2021;7(3):269-80. doi: 10.1002/osp4.495</w:t>
      </w:r>
    </w:p>
    <w:p w14:paraId="407DBBBE" w14:textId="77777777" w:rsidR="00254B1C" w:rsidRPr="00254B1C" w:rsidRDefault="00254B1C" w:rsidP="00254B1C">
      <w:pPr>
        <w:pStyle w:val="EndNoteBibliography"/>
        <w:spacing w:after="0"/>
        <w:ind w:left="720" w:hanging="720"/>
      </w:pPr>
      <w:r w:rsidRPr="004831BE">
        <w:rPr>
          <w:lang w:val="fr-FR"/>
        </w:rPr>
        <w:t xml:space="preserve">2. Karnon J, Stahl J, Brennan A, et al. </w:t>
      </w:r>
      <w:r w:rsidRPr="00254B1C">
        <w:t xml:space="preserve">Modeling using discrete event simulation: a report of the ISPOR-SMDM Modeling Good Research Practices Task Force--4. </w:t>
      </w:r>
      <w:r w:rsidRPr="00254B1C">
        <w:rPr>
          <w:i/>
        </w:rPr>
        <w:t>Value Health</w:t>
      </w:r>
      <w:r w:rsidRPr="00254B1C">
        <w:t xml:space="preserve"> 2012;15(6):821-7. doi: 10.1016/j.jval.2012.04.013</w:t>
      </w:r>
    </w:p>
    <w:p w14:paraId="4BF2B5C6" w14:textId="77777777" w:rsidR="00254B1C" w:rsidRPr="00254B1C" w:rsidRDefault="00254B1C" w:rsidP="00254B1C">
      <w:pPr>
        <w:pStyle w:val="EndNoteBibliography"/>
        <w:spacing w:after="0"/>
        <w:ind w:left="720" w:hanging="720"/>
      </w:pPr>
      <w:r w:rsidRPr="00254B1C">
        <w:t>3. Davis S, Stevenson M, Tappenden P, et al. NICE DSU Technical Support Document 15: Cost-Effectiveness Modelling Using Patient-Level Simulation. London2014.</w:t>
      </w:r>
    </w:p>
    <w:p w14:paraId="3B403874" w14:textId="77777777" w:rsidR="00254B1C" w:rsidRPr="00254B1C" w:rsidRDefault="00254B1C" w:rsidP="00254B1C">
      <w:pPr>
        <w:pStyle w:val="EndNoteBibliography"/>
        <w:spacing w:after="0"/>
        <w:ind w:left="720" w:hanging="720"/>
      </w:pPr>
      <w:r w:rsidRPr="00254B1C">
        <w:lastRenderedPageBreak/>
        <w:t xml:space="preserve">4. Hippisley-Cox J, Coupland C. Development and validation of QDiabetes-2018 risk prediction algorithm to estimate future risk of type 2 diabetes: cohort study. </w:t>
      </w:r>
      <w:r w:rsidRPr="00254B1C">
        <w:rPr>
          <w:i/>
        </w:rPr>
        <w:t>Bmj</w:t>
      </w:r>
      <w:r w:rsidRPr="00254B1C">
        <w:t xml:space="preserve"> 2017;359:j5019. doi: 10.1136/bmj.j5019 [published Online First: 20171120]</w:t>
      </w:r>
    </w:p>
    <w:p w14:paraId="100E0870" w14:textId="77777777" w:rsidR="00254B1C" w:rsidRPr="00254B1C" w:rsidRDefault="00254B1C" w:rsidP="00254B1C">
      <w:pPr>
        <w:pStyle w:val="EndNoteBibliography"/>
        <w:spacing w:after="0"/>
        <w:ind w:left="720" w:hanging="720"/>
      </w:pPr>
      <w:r w:rsidRPr="00254B1C">
        <w:t xml:space="preserve">5. Clarke PM, Gray AM, Briggs A, et al. A model to estimate the lifetime health outcomes of patients with type 2 diabetes: the United Kingdom Prospective Diabetes Study (UKPDS) Outcomes Model (UKPDS no. 68). </w:t>
      </w:r>
      <w:r w:rsidRPr="00254B1C">
        <w:rPr>
          <w:i/>
        </w:rPr>
        <w:t>Diabetologia</w:t>
      </w:r>
      <w:r w:rsidRPr="00254B1C">
        <w:t xml:space="preserve"> 2004;47(10):1747-59. doi: 10.1007/s00125-004-1527-z [published Online First: 2004/11/02]</w:t>
      </w:r>
    </w:p>
    <w:p w14:paraId="5586053C" w14:textId="77777777" w:rsidR="00254B1C" w:rsidRPr="00254B1C" w:rsidRDefault="00254B1C" w:rsidP="00254B1C">
      <w:pPr>
        <w:pStyle w:val="EndNoteBibliography"/>
        <w:spacing w:after="0"/>
        <w:ind w:left="720" w:hanging="720"/>
      </w:pPr>
      <w:r w:rsidRPr="00254B1C">
        <w:t xml:space="preserve">6. Wilding JPH, Batterham RL, Calanna S, et al. Once-Weekly Semaglutide in Adults with Overweight or Obesity. </w:t>
      </w:r>
      <w:r w:rsidRPr="00254B1C">
        <w:rPr>
          <w:i/>
        </w:rPr>
        <w:t>N Engl J Med</w:t>
      </w:r>
      <w:r w:rsidRPr="00254B1C">
        <w:t xml:space="preserve"> 2021;384(11):989-1002. doi: 10.1056/NEJMoa2032183</w:t>
      </w:r>
    </w:p>
    <w:p w14:paraId="7D1AB5B0" w14:textId="77777777" w:rsidR="00254B1C" w:rsidRPr="00254B1C" w:rsidRDefault="00254B1C" w:rsidP="00254B1C">
      <w:pPr>
        <w:pStyle w:val="EndNoteBibliography"/>
        <w:spacing w:after="0"/>
        <w:ind w:left="720" w:hanging="720"/>
      </w:pPr>
      <w:r w:rsidRPr="00254B1C">
        <w:t xml:space="preserve">7. Hippisley-Cox J, Coupland C, Brindle P. Development and validation of QRISK3 risk prediction algorithms to estimate future risk of cardiovascular disease: prospective cohort study. </w:t>
      </w:r>
      <w:r w:rsidRPr="00254B1C">
        <w:rPr>
          <w:i/>
        </w:rPr>
        <w:t>Bmj</w:t>
      </w:r>
      <w:r w:rsidRPr="00254B1C">
        <w:t xml:space="preserve"> 2017;357:j2099. doi: 10.1136/bmj.j2099 [published Online First: 20170523]</w:t>
      </w:r>
    </w:p>
    <w:p w14:paraId="462B6A1A" w14:textId="77777777" w:rsidR="00254B1C" w:rsidRPr="00254B1C" w:rsidRDefault="00254B1C" w:rsidP="00254B1C">
      <w:pPr>
        <w:pStyle w:val="EndNoteBibliography"/>
        <w:spacing w:after="0"/>
        <w:ind w:left="720" w:hanging="720"/>
      </w:pPr>
      <w:r w:rsidRPr="00254B1C">
        <w:t xml:space="preserve">8. Jahangiry L, Farhangi MA, Rezaei F. Framingham risk score for estimation of 10-years of cardiovascular diseases risk in patients with metabolic syndrome. </w:t>
      </w:r>
      <w:r w:rsidRPr="00254B1C">
        <w:rPr>
          <w:i/>
        </w:rPr>
        <w:t>J Health Popul Nutr</w:t>
      </w:r>
      <w:r w:rsidRPr="00254B1C">
        <w:t xml:space="preserve"> 2017;36(1):36. doi: 10.1186/s41043-017-0114-0</w:t>
      </w:r>
    </w:p>
    <w:p w14:paraId="749F939F" w14:textId="77777777" w:rsidR="00254B1C" w:rsidRPr="00254B1C" w:rsidRDefault="00254B1C" w:rsidP="00254B1C">
      <w:pPr>
        <w:pStyle w:val="EndNoteBibliography"/>
        <w:spacing w:after="0"/>
        <w:ind w:left="720" w:hanging="720"/>
      </w:pPr>
      <w:r w:rsidRPr="00254B1C">
        <w:t xml:space="preserve">9. Ramaekers BLT, Wijnen B, Armstrong N, et al. Comment on "External Validation of the Core Obesity Model to Assess the Cost-Effectiveness of Weight Management Interventions". </w:t>
      </w:r>
      <w:r w:rsidRPr="00254B1C">
        <w:rPr>
          <w:i/>
        </w:rPr>
        <w:t>Pharmacoeconomics</w:t>
      </w:r>
      <w:r w:rsidRPr="00254B1C">
        <w:t xml:space="preserve"> 2021;39(1):133-35. doi: 10.1007/s40273-020-00985-5 [published Online First: 20201130]</w:t>
      </w:r>
    </w:p>
    <w:p w14:paraId="7CE6C533" w14:textId="77777777" w:rsidR="00254B1C" w:rsidRPr="00254B1C" w:rsidRDefault="00254B1C" w:rsidP="00254B1C">
      <w:pPr>
        <w:pStyle w:val="EndNoteBibliography"/>
        <w:spacing w:after="0"/>
        <w:ind w:left="720" w:hanging="720"/>
      </w:pPr>
      <w:r w:rsidRPr="00254B1C">
        <w:t xml:space="preserve">10. Kent S, Becker F, Feenstra T, et al. The Challenge of Transparency and Validation in Health Economic Decision Modelling: A View from Mount Hood. </w:t>
      </w:r>
      <w:r w:rsidRPr="00254B1C">
        <w:rPr>
          <w:i/>
        </w:rPr>
        <w:t>Pharmacoeconomics</w:t>
      </w:r>
      <w:r w:rsidRPr="00254B1C">
        <w:t xml:space="preserve"> 2019;37(11):1305-12. doi: 10.1007/s40273-019-00825-1</w:t>
      </w:r>
    </w:p>
    <w:p w14:paraId="685C3503" w14:textId="77777777" w:rsidR="00254B1C" w:rsidRPr="00254B1C" w:rsidRDefault="00254B1C" w:rsidP="00254B1C">
      <w:pPr>
        <w:pStyle w:val="EndNoteBibliography"/>
        <w:spacing w:after="0"/>
        <w:ind w:left="720" w:hanging="720"/>
      </w:pPr>
      <w:r w:rsidRPr="00254B1C">
        <w:t xml:space="preserve">11. Schwander B, Nuijten M, Hiligsmann M, et al. Event simulation and external validation applied in published health economic models for obesity: a systematic review. </w:t>
      </w:r>
      <w:r w:rsidRPr="00254B1C">
        <w:rPr>
          <w:i/>
        </w:rPr>
        <w:t>Expert Rev Pharmacoecon Outcomes Res</w:t>
      </w:r>
      <w:r w:rsidRPr="00254B1C">
        <w:t xml:space="preserve"> 2018;18(5):529-41. doi: 10.1080/14737167.2018.1501680 [published Online First: 20180724]</w:t>
      </w:r>
    </w:p>
    <w:p w14:paraId="24AEAA8C" w14:textId="77777777" w:rsidR="00254B1C" w:rsidRPr="004831BE" w:rsidRDefault="00254B1C" w:rsidP="00254B1C">
      <w:pPr>
        <w:pStyle w:val="EndNoteBibliography"/>
        <w:spacing w:after="0"/>
        <w:ind w:left="720" w:hanging="720"/>
        <w:rPr>
          <w:lang w:val="fr-FR"/>
        </w:rPr>
      </w:pPr>
      <w:r w:rsidRPr="00254B1C">
        <w:t xml:space="preserve">12. Lopes S, Johansen P, Lamotte M, et al. External Validation of the Core Obesity Model to Assess the Cost-Effectiveness of Weight Management Interventions. </w:t>
      </w:r>
      <w:r w:rsidRPr="004831BE">
        <w:rPr>
          <w:i/>
          <w:lang w:val="fr-FR"/>
        </w:rPr>
        <w:t>Pharmacoeconomics</w:t>
      </w:r>
      <w:r w:rsidRPr="004831BE">
        <w:rPr>
          <w:lang w:val="fr-FR"/>
        </w:rPr>
        <w:t xml:space="preserve"> 2020;38(10):1123-33. doi: 10.1007/s40273-020-00941-3</w:t>
      </w:r>
    </w:p>
    <w:p w14:paraId="10B7B7E9" w14:textId="77777777" w:rsidR="00254B1C" w:rsidRPr="00254B1C" w:rsidRDefault="00254B1C" w:rsidP="00254B1C">
      <w:pPr>
        <w:pStyle w:val="EndNoteBibliography"/>
        <w:spacing w:after="0"/>
        <w:ind w:left="720" w:hanging="720"/>
      </w:pPr>
      <w:r w:rsidRPr="004831BE">
        <w:rPr>
          <w:lang w:val="fr-FR"/>
        </w:rPr>
        <w:t xml:space="preserve">13. Willis M, Johansen P, Nilsson A, et al. </w:t>
      </w:r>
      <w:r w:rsidRPr="00254B1C">
        <w:t xml:space="preserve">Validation of the Economic and Health Outcomes Model of Type 2 Diabetes Mellitus (ECHO-T2DM). </w:t>
      </w:r>
      <w:r w:rsidRPr="00254B1C">
        <w:rPr>
          <w:i/>
        </w:rPr>
        <w:t>Pharmacoeconomics</w:t>
      </w:r>
      <w:r w:rsidRPr="00254B1C">
        <w:t xml:space="preserve"> 2017;35(3):375-96. doi: 10.1007/s40273-016-0471-3</w:t>
      </w:r>
    </w:p>
    <w:p w14:paraId="22E86352" w14:textId="77777777" w:rsidR="00254B1C" w:rsidRPr="00254B1C" w:rsidRDefault="00254B1C" w:rsidP="00254B1C">
      <w:pPr>
        <w:pStyle w:val="EndNoteBibliography"/>
        <w:spacing w:after="0"/>
        <w:ind w:left="720" w:hanging="720"/>
      </w:pPr>
      <w:r w:rsidRPr="00254B1C">
        <w:t xml:space="preserve">14. Sasaki A, Uehara M, Horiuchi N, et al. A 15 year follow-up study of patients with non-insulin dependent diabetes mellitus (NIDDM) in Osaka, Japan. Long-term prognosis and causes of death. </w:t>
      </w:r>
      <w:r w:rsidRPr="00254B1C">
        <w:rPr>
          <w:i/>
        </w:rPr>
        <w:t>Diabetes Res Clin Pract</w:t>
      </w:r>
      <w:r w:rsidRPr="00254B1C">
        <w:t xml:space="preserve"> 1996;34(1):47-55. doi: 10.1016/s0168-8227(96)01329-0</w:t>
      </w:r>
    </w:p>
    <w:p w14:paraId="7E17FFB2" w14:textId="77777777" w:rsidR="00254B1C" w:rsidRPr="00254B1C" w:rsidRDefault="00254B1C" w:rsidP="00254B1C">
      <w:pPr>
        <w:pStyle w:val="EndNoteBibliography"/>
        <w:spacing w:after="0"/>
        <w:ind w:left="720" w:hanging="720"/>
      </w:pPr>
      <w:r w:rsidRPr="004831BE">
        <w:rPr>
          <w:lang w:val="fr-FR"/>
        </w:rPr>
        <w:t xml:space="preserve">15. Yusuf S, Lonn E, Pais P, et al. </w:t>
      </w:r>
      <w:r w:rsidRPr="00254B1C">
        <w:t xml:space="preserve">Blood-Pressure and Cholesterol Lowering in Persons without Cardiovascular Disease. </w:t>
      </w:r>
      <w:r w:rsidRPr="00254B1C">
        <w:rPr>
          <w:i/>
        </w:rPr>
        <w:t>N Engl J Med</w:t>
      </w:r>
      <w:r w:rsidRPr="00254B1C">
        <w:t xml:space="preserve"> 2016;374(21):2032-43. doi: 10.1056/NEJMoa1600177</w:t>
      </w:r>
    </w:p>
    <w:p w14:paraId="4A0BDE31" w14:textId="77777777" w:rsidR="00254B1C" w:rsidRPr="00254B1C" w:rsidRDefault="00254B1C" w:rsidP="00254B1C">
      <w:pPr>
        <w:pStyle w:val="EndNoteBibliography"/>
        <w:spacing w:after="0"/>
        <w:ind w:left="720" w:hanging="720"/>
      </w:pPr>
      <w:r w:rsidRPr="00254B1C">
        <w:t xml:space="preserve">16. Glynn RJ, Koenig W, Nordestgaard BG, et al. Rosuvastatin for primary prevention in older persons with elevated C-reactive protein and low to average low-density lipoprotein cholesterol levels: exploratory analysis of a randomized trial. </w:t>
      </w:r>
      <w:r w:rsidRPr="00254B1C">
        <w:rPr>
          <w:i/>
        </w:rPr>
        <w:t>Ann Intern Med</w:t>
      </w:r>
      <w:r w:rsidRPr="00254B1C">
        <w:t xml:space="preserve"> 2010;152(8):488-96, W174. doi: 10.7326/0003-4819-152-8-201004200-00005</w:t>
      </w:r>
    </w:p>
    <w:p w14:paraId="36E5F1C2" w14:textId="77777777" w:rsidR="00254B1C" w:rsidRPr="00254B1C" w:rsidRDefault="00254B1C" w:rsidP="00254B1C">
      <w:pPr>
        <w:pStyle w:val="EndNoteBibliography"/>
        <w:spacing w:after="0"/>
        <w:ind w:left="720" w:hanging="720"/>
      </w:pPr>
      <w:r w:rsidRPr="00254B1C">
        <w:t>17. Higgins JPT, Thomas J, Chandler J, et al. Cochrane Handbook for Systematic Reviews of Interventions: John Wiley &amp; Sons 2019.</w:t>
      </w:r>
    </w:p>
    <w:p w14:paraId="5ECEF2F6" w14:textId="77777777" w:rsidR="00254B1C" w:rsidRPr="00254B1C" w:rsidRDefault="00254B1C" w:rsidP="00254B1C">
      <w:pPr>
        <w:pStyle w:val="EndNoteBibliography"/>
        <w:spacing w:after="0"/>
        <w:ind w:left="720" w:hanging="720"/>
      </w:pPr>
      <w:r w:rsidRPr="004831BE">
        <w:rPr>
          <w:lang w:val="nl-NL"/>
        </w:rPr>
        <w:t xml:space="preserve">18. Shamseer L, Moher D, Clarke M, et al. </w:t>
      </w:r>
      <w:r w:rsidRPr="00254B1C">
        <w:t xml:space="preserve">Preferred reporting items for systematic review and meta-analysis protocols (PRISMA-P) 2015: elaboration and explanation. </w:t>
      </w:r>
      <w:r w:rsidRPr="00254B1C">
        <w:rPr>
          <w:i/>
        </w:rPr>
        <w:t>BMJ</w:t>
      </w:r>
      <w:r w:rsidRPr="00254B1C">
        <w:t xml:space="preserve"> 2015;350:g7647. doi: 10.1136/bmj.g7647 [published Online First: 2015/01/04]</w:t>
      </w:r>
    </w:p>
    <w:p w14:paraId="27627E2C" w14:textId="77777777" w:rsidR="00254B1C" w:rsidRPr="00254B1C" w:rsidRDefault="00254B1C" w:rsidP="00254B1C">
      <w:pPr>
        <w:pStyle w:val="EndNoteBibliography"/>
        <w:spacing w:after="0"/>
        <w:ind w:left="720" w:hanging="720"/>
      </w:pPr>
      <w:r w:rsidRPr="00254B1C">
        <w:t>19. Drummond MF, Sculpher MJ, Claxton K, et al. Methods for the economic evaluation of health care programmes: Oxford university press 2015.</w:t>
      </w:r>
    </w:p>
    <w:p w14:paraId="790B55A6" w14:textId="0E30E747" w:rsidR="00254B1C" w:rsidRPr="00254B1C" w:rsidRDefault="00254B1C" w:rsidP="00254B1C">
      <w:pPr>
        <w:pStyle w:val="EndNoteBibliography"/>
        <w:spacing w:after="0"/>
        <w:ind w:left="720" w:hanging="720"/>
      </w:pPr>
      <w:r w:rsidRPr="00254B1C">
        <w:t xml:space="preserve">20. Weinstein MC, O'Brien B, Hornberger J, et al. Principles of Good Practice for Decision Analytic Modeling in Health-Care Evaluation: Report of the ISPOR Task Force on Good Research </w:t>
      </w:r>
      <w:r w:rsidRPr="00254B1C">
        <w:lastRenderedPageBreak/>
        <w:t xml:space="preserve">Practices—Modeling Studies. </w:t>
      </w:r>
      <w:r w:rsidRPr="00254B1C">
        <w:rPr>
          <w:i/>
        </w:rPr>
        <w:t>Value in Health</w:t>
      </w:r>
      <w:r w:rsidRPr="00254B1C">
        <w:t xml:space="preserve"> 2003;6(1):9-17. doi: </w:t>
      </w:r>
      <w:r w:rsidRPr="00D56E73">
        <w:rPr>
          <w:rStyle w:val="Hyperlink"/>
        </w:rPr>
        <w:t>https://doi.org/10.1046/j.1524-4733.2003.00234.x</w:t>
      </w:r>
    </w:p>
    <w:p w14:paraId="695F0ED5" w14:textId="2E0311A3" w:rsidR="00254B1C" w:rsidRPr="00254B1C" w:rsidRDefault="00254B1C" w:rsidP="00254B1C">
      <w:pPr>
        <w:pStyle w:val="EndNoteBibliography"/>
        <w:spacing w:after="0"/>
        <w:ind w:left="720" w:hanging="720"/>
      </w:pPr>
      <w:r w:rsidRPr="00254B1C">
        <w:t xml:space="preserve">21. WHO. Fact Sheet on Obesity 2003 [Available from: </w:t>
      </w:r>
      <w:r w:rsidRPr="00D56E73">
        <w:rPr>
          <w:rStyle w:val="Hyperlink"/>
        </w:rPr>
        <w:t>https://www.who.int/news-room/fact-sheets/detail/obesity-and-overweight</w:t>
      </w:r>
      <w:r w:rsidRPr="00254B1C">
        <w:t>.</w:t>
      </w:r>
    </w:p>
    <w:p w14:paraId="421817A9" w14:textId="77777777" w:rsidR="00254B1C" w:rsidRPr="00254B1C" w:rsidRDefault="00254B1C" w:rsidP="00254B1C">
      <w:pPr>
        <w:pStyle w:val="EndNoteBibliography"/>
        <w:spacing w:after="0"/>
        <w:ind w:left="720" w:hanging="720"/>
      </w:pPr>
      <w:r w:rsidRPr="00254B1C">
        <w:t xml:space="preserve">22. Ouzzani M, Hammady H, Fedorowicz Z, et al. Rayyan-a web and mobile app for systematic reviews. </w:t>
      </w:r>
      <w:r w:rsidRPr="00254B1C">
        <w:rPr>
          <w:i/>
        </w:rPr>
        <w:t>Syst Rev</w:t>
      </w:r>
      <w:r w:rsidRPr="00254B1C">
        <w:t xml:space="preserve"> 2016;5(1):210. doi: 10.1186/s13643-016-0384-4</w:t>
      </w:r>
    </w:p>
    <w:p w14:paraId="22A46752" w14:textId="77777777" w:rsidR="00254B1C" w:rsidRPr="00254B1C" w:rsidRDefault="00254B1C" w:rsidP="00254B1C">
      <w:pPr>
        <w:pStyle w:val="EndNoteBibliography"/>
        <w:spacing w:after="0"/>
        <w:ind w:left="720" w:hanging="720"/>
      </w:pPr>
      <w:r w:rsidRPr="00254B1C">
        <w:t xml:space="preserve">23. Shea BJ, Reeves BC, Wells G, et al. AMSTAR 2: a critical appraisal tool for systematic reviews that include randomised or non-randomised studies of healthcare interventions, or both. </w:t>
      </w:r>
      <w:r w:rsidRPr="00254B1C">
        <w:rPr>
          <w:i/>
        </w:rPr>
        <w:t>BMJ</w:t>
      </w:r>
      <w:r w:rsidRPr="00254B1C">
        <w:t xml:space="preserve"> 2017;358:j4008. doi: 10.1136/bmj.j4008 [published Online First: 2017/09/25]</w:t>
      </w:r>
    </w:p>
    <w:p w14:paraId="382737D5" w14:textId="77777777" w:rsidR="00254B1C" w:rsidRPr="00254B1C" w:rsidRDefault="00254B1C" w:rsidP="00254B1C">
      <w:pPr>
        <w:pStyle w:val="EndNoteBibliography"/>
        <w:spacing w:after="0"/>
        <w:ind w:left="720" w:hanging="720"/>
      </w:pPr>
      <w:r w:rsidRPr="00254B1C">
        <w:t xml:space="preserve">24. Whiting P, Savovic J, Higgins JP, et al. ROBIS: A new tool to assess risk of bias in systematic reviews was developed. </w:t>
      </w:r>
      <w:r w:rsidRPr="00254B1C">
        <w:rPr>
          <w:i/>
        </w:rPr>
        <w:t>J Clin Epidemiol</w:t>
      </w:r>
      <w:r w:rsidRPr="00254B1C">
        <w:t xml:space="preserve"> 2016;69:225-34. doi: 10.1016/j.jclinepi.2015.06.005 [published Online First: 2015/06/21]</w:t>
      </w:r>
    </w:p>
    <w:p w14:paraId="32E7D6EC" w14:textId="77777777" w:rsidR="00254B1C" w:rsidRPr="00254B1C" w:rsidRDefault="00254B1C" w:rsidP="00254B1C">
      <w:pPr>
        <w:pStyle w:val="EndNoteBibliography"/>
        <w:spacing w:after="0"/>
        <w:ind w:left="720" w:hanging="720"/>
      </w:pPr>
      <w:r w:rsidRPr="00254B1C">
        <w:t xml:space="preserve">25. Lincoff AM, Brown-Frandsen K, Colhoun HM, et al. Semaglutide and Cardiovascular Outcomes in Obesity without Diabetes. </w:t>
      </w:r>
      <w:r w:rsidRPr="00254B1C">
        <w:rPr>
          <w:i/>
        </w:rPr>
        <w:t>N Engl J Med</w:t>
      </w:r>
      <w:r w:rsidRPr="00254B1C">
        <w:t xml:space="preserve"> 2023;389(24):2221-32. doi: 10.1056/NEJMoa2307563 [published Online First: 20231111]</w:t>
      </w:r>
    </w:p>
    <w:p w14:paraId="1B6C4B95" w14:textId="77777777" w:rsidR="00254B1C" w:rsidRPr="00254B1C" w:rsidRDefault="00254B1C" w:rsidP="00254B1C">
      <w:pPr>
        <w:pStyle w:val="EndNoteBibliography"/>
        <w:spacing w:after="0"/>
        <w:ind w:left="720" w:hanging="720"/>
      </w:pPr>
      <w:r w:rsidRPr="00254B1C">
        <w:t xml:space="preserve">26. Mørkedal B, Vatten LJ, Romundstad PR, et al. Risk of myocardial infarction and heart failure among metabolically healthy but obese individuals: HUNT (Nord-Trøndelag Health Study), Norway. </w:t>
      </w:r>
      <w:r w:rsidRPr="00254B1C">
        <w:rPr>
          <w:i/>
        </w:rPr>
        <w:t>J Am Coll Cardiol</w:t>
      </w:r>
      <w:r w:rsidRPr="00254B1C">
        <w:t xml:space="preserve"> 2014;63(11):1071-8. doi: 10.1016/j.jacc.2013.11.035 [published Online First: 20131215]</w:t>
      </w:r>
    </w:p>
    <w:p w14:paraId="1ED3E5DD" w14:textId="77777777" w:rsidR="00254B1C" w:rsidRPr="00254B1C" w:rsidRDefault="00254B1C" w:rsidP="00254B1C">
      <w:pPr>
        <w:pStyle w:val="EndNoteBibliography"/>
        <w:spacing w:after="0"/>
        <w:ind w:left="720" w:hanging="720"/>
      </w:pPr>
      <w:r w:rsidRPr="004831BE">
        <w:rPr>
          <w:lang w:val="nl-NL"/>
        </w:rPr>
        <w:t xml:space="preserve">27. Sjöström L, Lindroos AK, Peltonen M, et al. </w:t>
      </w:r>
      <w:r w:rsidRPr="00254B1C">
        <w:t xml:space="preserve">Lifestyle, diabetes, and cardiovascular risk factors 10 years after bariatric surgery. </w:t>
      </w:r>
      <w:r w:rsidRPr="00254B1C">
        <w:rPr>
          <w:i/>
        </w:rPr>
        <w:t>N Engl J Med</w:t>
      </w:r>
      <w:r w:rsidRPr="00254B1C">
        <w:t xml:space="preserve"> 2004;351(26):2683-93. doi: 10.1056/NEJMoa035622</w:t>
      </w:r>
    </w:p>
    <w:p w14:paraId="7C6559F1" w14:textId="77777777" w:rsidR="00254B1C" w:rsidRPr="004831BE" w:rsidRDefault="00254B1C" w:rsidP="00254B1C">
      <w:pPr>
        <w:pStyle w:val="EndNoteBibliography"/>
        <w:spacing w:after="0"/>
        <w:ind w:left="720" w:hanging="720"/>
        <w:rPr>
          <w:lang w:val="fr-FR"/>
        </w:rPr>
      </w:pPr>
      <w:r w:rsidRPr="00254B1C">
        <w:t xml:space="preserve">28. Sjöström L, Peltonen M, Jacobson P, et al. Bariatric surgery and long-term cardiovascular events. </w:t>
      </w:r>
      <w:r w:rsidRPr="004831BE">
        <w:rPr>
          <w:i/>
          <w:lang w:val="fr-FR"/>
        </w:rPr>
        <w:t>Jama</w:t>
      </w:r>
      <w:r w:rsidRPr="004831BE">
        <w:rPr>
          <w:lang w:val="fr-FR"/>
        </w:rPr>
        <w:t xml:space="preserve"> 2012;307(1):56-65. doi: 10.1001/jama.2011.1914</w:t>
      </w:r>
    </w:p>
    <w:p w14:paraId="5EBBE500" w14:textId="77777777" w:rsidR="00254B1C" w:rsidRPr="00254B1C" w:rsidRDefault="00254B1C" w:rsidP="00254B1C">
      <w:pPr>
        <w:pStyle w:val="EndNoteBibliography"/>
        <w:spacing w:after="0"/>
        <w:ind w:left="720" w:hanging="720"/>
      </w:pPr>
      <w:r w:rsidRPr="004831BE">
        <w:rPr>
          <w:lang w:val="fr-FR"/>
        </w:rPr>
        <w:t xml:space="preserve">29. Iyen B, Weng S, Vinogradova Y, et al. </w:t>
      </w:r>
      <w:r w:rsidRPr="00254B1C">
        <w:t xml:space="preserve">Long-term body mass index changes in overweight and obese adults and the risk of heart failure, cardiovascular disease and mortality: a cohort study of over 260,000 adults in the UK. </w:t>
      </w:r>
      <w:r w:rsidRPr="00254B1C">
        <w:rPr>
          <w:i/>
        </w:rPr>
        <w:t>BMC Public Health</w:t>
      </w:r>
      <w:r w:rsidRPr="00254B1C">
        <w:t xml:space="preserve"> 2021;21(1):576. doi: 10.1186/s12889-021-10606-1 [published Online First: 20210415]</w:t>
      </w:r>
    </w:p>
    <w:p w14:paraId="2D3F5642" w14:textId="77777777" w:rsidR="00254B1C" w:rsidRPr="00254B1C" w:rsidRDefault="00254B1C" w:rsidP="00254B1C">
      <w:pPr>
        <w:pStyle w:val="EndNoteBibliography"/>
        <w:spacing w:after="0"/>
        <w:ind w:left="720" w:hanging="720"/>
      </w:pPr>
      <w:r w:rsidRPr="00254B1C">
        <w:t xml:space="preserve">30. Intensive blood-glucose control with sulphonylureas or insulin compared with conventional treatment and risk of complications in patients with type 2 diabetes (UKPDS 33). UK Prospective Diabetes Study (UKPDS) Group. </w:t>
      </w:r>
      <w:r w:rsidRPr="00254B1C">
        <w:rPr>
          <w:i/>
        </w:rPr>
        <w:t>Lancet</w:t>
      </w:r>
      <w:r w:rsidRPr="00254B1C">
        <w:t xml:space="preserve"> 1998;352(9131):837-53.</w:t>
      </w:r>
    </w:p>
    <w:p w14:paraId="6AA2D5CB" w14:textId="77777777" w:rsidR="00254B1C" w:rsidRPr="00254B1C" w:rsidRDefault="00254B1C" w:rsidP="00254B1C">
      <w:pPr>
        <w:pStyle w:val="EndNoteBibliography"/>
        <w:spacing w:after="0"/>
        <w:ind w:left="720" w:hanging="720"/>
      </w:pPr>
      <w:r w:rsidRPr="00254B1C">
        <w:t xml:space="preserve">31. Colhoun HM, Betteridge DJ, Durrington PN, et al. Primary prevention of cardiovascular disease with atorvastatin in type 2 diabetes in the Collaborative Atorvastatin Diabetes Study (CARDS): multicentre randomised placebo-controlled trial. </w:t>
      </w:r>
      <w:r w:rsidRPr="00254B1C">
        <w:rPr>
          <w:i/>
        </w:rPr>
        <w:t>Lancet</w:t>
      </w:r>
      <w:r w:rsidRPr="00254B1C">
        <w:t xml:space="preserve"> 2004;364(9435):685-96. doi: 10.1016/s0140-6736(04)16895-5</w:t>
      </w:r>
    </w:p>
    <w:p w14:paraId="3808B147" w14:textId="77777777" w:rsidR="00254B1C" w:rsidRPr="00254B1C" w:rsidRDefault="00254B1C" w:rsidP="00254B1C">
      <w:pPr>
        <w:pStyle w:val="EndNoteBibliography"/>
        <w:spacing w:after="0"/>
        <w:ind w:left="720" w:hanging="720"/>
      </w:pPr>
      <w:r w:rsidRPr="00254B1C">
        <w:t xml:space="preserve">32. D'Agostino RB, Sr., Vasan RS, Pencina MJ, et al. General cardiovascular risk profile for use in primary care: the Framingham Heart Study. </w:t>
      </w:r>
      <w:r w:rsidRPr="00254B1C">
        <w:rPr>
          <w:i/>
        </w:rPr>
        <w:t>Circulation</w:t>
      </w:r>
      <w:r w:rsidRPr="00254B1C">
        <w:t xml:space="preserve"> 2008;117(6):743-53. doi: 10.1161/circulationaha.107.699579 [published Online First: 20080122]</w:t>
      </w:r>
    </w:p>
    <w:p w14:paraId="3A9EC0C4" w14:textId="77777777" w:rsidR="00254B1C" w:rsidRPr="004831BE" w:rsidRDefault="00254B1C" w:rsidP="00254B1C">
      <w:pPr>
        <w:pStyle w:val="EndNoteBibliography"/>
        <w:spacing w:after="0"/>
        <w:ind w:left="720" w:hanging="720"/>
        <w:rPr>
          <w:lang w:val="nl-NL"/>
        </w:rPr>
      </w:pPr>
      <w:r w:rsidRPr="00254B1C">
        <w:t xml:space="preserve">33. Dahlöf B, Sever PS, Poulter NR, et al. Prevention of cardiovascular events with an antihypertensive regimen of amlodipine adding perindopril as required versus atenolol adding bendroflumethiazide as required, in the Anglo-Scandinavian Cardiac Outcomes Trial-Blood Pressure Lowering Arm (ASCOT-BPLA): a multicentre randomised controlled trial. </w:t>
      </w:r>
      <w:r w:rsidRPr="004831BE">
        <w:rPr>
          <w:i/>
          <w:lang w:val="nl-NL"/>
        </w:rPr>
        <w:t>Lancet</w:t>
      </w:r>
      <w:r w:rsidRPr="004831BE">
        <w:rPr>
          <w:lang w:val="nl-NL"/>
        </w:rPr>
        <w:t xml:space="preserve"> 2005;366(9489):895-906. doi: 10.1016/s0140-6736(05)67185-1</w:t>
      </w:r>
    </w:p>
    <w:p w14:paraId="0BB17238" w14:textId="77777777" w:rsidR="00254B1C" w:rsidRPr="00254B1C" w:rsidRDefault="00254B1C" w:rsidP="00254B1C">
      <w:pPr>
        <w:pStyle w:val="EndNoteBibliography"/>
        <w:spacing w:after="0"/>
        <w:ind w:left="720" w:hanging="720"/>
      </w:pPr>
      <w:r w:rsidRPr="004831BE">
        <w:rPr>
          <w:lang w:val="nl-NL"/>
        </w:rPr>
        <w:t xml:space="preserve">34. Bowman L, Mafham M, Wallendszus K, et al. </w:t>
      </w:r>
      <w:r w:rsidRPr="00254B1C">
        <w:t xml:space="preserve">Effects of Aspirin for Primary Prevention in Persons with Diabetes Mellitus. </w:t>
      </w:r>
      <w:r w:rsidRPr="00254B1C">
        <w:rPr>
          <w:i/>
        </w:rPr>
        <w:t>N Engl J Med</w:t>
      </w:r>
      <w:r w:rsidRPr="00254B1C">
        <w:t xml:space="preserve"> 2018;379(16):1529-39. doi: 10.1056/NEJMoa1804988 [published Online First: 20180826]</w:t>
      </w:r>
    </w:p>
    <w:p w14:paraId="66D1162E" w14:textId="77777777" w:rsidR="00254B1C" w:rsidRPr="00254B1C" w:rsidRDefault="00254B1C" w:rsidP="00254B1C">
      <w:pPr>
        <w:pStyle w:val="EndNoteBibliography"/>
        <w:spacing w:after="0"/>
        <w:ind w:left="720" w:hanging="720"/>
      </w:pPr>
      <w:r w:rsidRPr="00254B1C">
        <w:t xml:space="preserve">35. Wing RR, Bolin P, Brancati FL, et al. Cardiovascular effects of intensive lifestyle intervention in type 2 diabetes. </w:t>
      </w:r>
      <w:r w:rsidRPr="00254B1C">
        <w:rPr>
          <w:i/>
        </w:rPr>
        <w:t>N Engl J Med</w:t>
      </w:r>
      <w:r w:rsidRPr="00254B1C">
        <w:t xml:space="preserve"> 2013;369(2):145-54. doi: 10.1056/NEJMoa1212914 [published Online First: 20130624]</w:t>
      </w:r>
    </w:p>
    <w:p w14:paraId="65A18893" w14:textId="77777777" w:rsidR="00254B1C" w:rsidRPr="00254B1C" w:rsidRDefault="00254B1C" w:rsidP="00254B1C">
      <w:pPr>
        <w:pStyle w:val="EndNoteBibliography"/>
        <w:spacing w:after="0"/>
        <w:ind w:left="720" w:hanging="720"/>
      </w:pPr>
      <w:r w:rsidRPr="00254B1C">
        <w:t xml:space="preserve">36. Alsumali A, Eguale T, Bairdain S, et al. Cost-Effectiveness Analysis of Bariatric Surgery for Morbid Obesity. </w:t>
      </w:r>
      <w:r w:rsidRPr="00254B1C">
        <w:rPr>
          <w:i/>
        </w:rPr>
        <w:t>Obes Surg</w:t>
      </w:r>
      <w:r w:rsidRPr="00254B1C">
        <w:t xml:space="preserve"> 2018;28(8):2203-14. doi: 10.1007/s11695-017-3100-0</w:t>
      </w:r>
    </w:p>
    <w:p w14:paraId="69652392" w14:textId="77777777" w:rsidR="00254B1C" w:rsidRPr="00254B1C" w:rsidRDefault="00254B1C" w:rsidP="00254B1C">
      <w:pPr>
        <w:pStyle w:val="EndNoteBibliography"/>
        <w:spacing w:after="0"/>
        <w:ind w:left="720" w:hanging="720"/>
      </w:pPr>
      <w:r w:rsidRPr="00254B1C">
        <w:lastRenderedPageBreak/>
        <w:t xml:space="preserve">37. An S, Park HY, Oh SH, et al. Cost-effectiveness of Bariatric Surgery for People with Morbid Obesity in South Korea. </w:t>
      </w:r>
      <w:r w:rsidRPr="00254B1C">
        <w:rPr>
          <w:i/>
        </w:rPr>
        <w:t>Obes Surg</w:t>
      </w:r>
      <w:r w:rsidRPr="00254B1C">
        <w:t xml:space="preserve"> 2020;30(1):256-66. doi: 10.1007/s11695-019-04122-w</w:t>
      </w:r>
    </w:p>
    <w:p w14:paraId="15A66FC6" w14:textId="77777777" w:rsidR="00254B1C" w:rsidRPr="00254B1C" w:rsidRDefault="00254B1C" w:rsidP="00254B1C">
      <w:pPr>
        <w:pStyle w:val="EndNoteBibliography"/>
        <w:spacing w:after="0"/>
        <w:ind w:left="720" w:hanging="720"/>
      </w:pPr>
      <w:r w:rsidRPr="00254B1C">
        <w:t xml:space="preserve">38. Assumpção RP, Bahia LR, da Rosa MQM, et al. Cost-Utility of Gastric Bypass Surgery Compared to Clinical Treatment for Severely Obese With and Without Diabetes in the Perspective of the Brazilian Public Health System. </w:t>
      </w:r>
      <w:r w:rsidRPr="00254B1C">
        <w:rPr>
          <w:i/>
        </w:rPr>
        <w:t>Obes Surg</w:t>
      </w:r>
      <w:r w:rsidRPr="00254B1C">
        <w:t xml:space="preserve"> 2019;29(10):3202-11. doi: 10.1007/s11695-019-03957-7</w:t>
      </w:r>
    </w:p>
    <w:p w14:paraId="26C6FC4D" w14:textId="77777777" w:rsidR="00254B1C" w:rsidRPr="00254B1C" w:rsidRDefault="00254B1C" w:rsidP="00254B1C">
      <w:pPr>
        <w:pStyle w:val="EndNoteBibliography"/>
        <w:spacing w:after="0"/>
        <w:ind w:left="720" w:hanging="720"/>
      </w:pPr>
      <w:r w:rsidRPr="00254B1C">
        <w:t xml:space="preserve">39. Avenell A, Robertson C, Skea Z, et al. Corrigendum: Bariatric surgery, lifestyle interventions and orlistat for severe obesity: the REBALANCE mixed-methods systematic review and economic evaluation. </w:t>
      </w:r>
      <w:r w:rsidRPr="00254B1C">
        <w:rPr>
          <w:i/>
        </w:rPr>
        <w:t>Health Technol Assess</w:t>
      </w:r>
      <w:r w:rsidRPr="00254B1C">
        <w:t xml:space="preserve"> 2020;22(68):247-50. doi: 10.3310/hta22680-c202005</w:t>
      </w:r>
    </w:p>
    <w:p w14:paraId="601938BC" w14:textId="77777777" w:rsidR="00254B1C" w:rsidRPr="00254B1C" w:rsidRDefault="00254B1C" w:rsidP="00254B1C">
      <w:pPr>
        <w:pStyle w:val="EndNoteBibliography"/>
        <w:spacing w:after="0"/>
        <w:ind w:left="720" w:hanging="720"/>
      </w:pPr>
      <w:r w:rsidRPr="00254B1C">
        <w:t xml:space="preserve">40. Bernard L, Kwon JS, Simpson AN, et al. The levonorgestrel intrauterine system for prevention of endometrial cancer in women with obesity: A cost-effectiveness study. </w:t>
      </w:r>
      <w:r w:rsidRPr="00254B1C">
        <w:rPr>
          <w:i/>
        </w:rPr>
        <w:t>Gynecol Oncol</w:t>
      </w:r>
      <w:r w:rsidRPr="00254B1C">
        <w:t xml:space="preserve"> 2021;161(2):367-73. doi: 10.1016/j.ygyno.2021.02.020 [published Online First: 20210227]</w:t>
      </w:r>
    </w:p>
    <w:p w14:paraId="5C46D202" w14:textId="77777777" w:rsidR="00254B1C" w:rsidRPr="00254B1C" w:rsidRDefault="00254B1C" w:rsidP="00254B1C">
      <w:pPr>
        <w:pStyle w:val="EndNoteBibliography"/>
        <w:spacing w:after="0"/>
        <w:ind w:left="720" w:hanging="720"/>
      </w:pPr>
      <w:r w:rsidRPr="00254B1C">
        <w:t xml:space="preserve">41. Borisenko O, Lukyanov V, Ahmed AR. Cost-utility analysis of bariatric surgery. </w:t>
      </w:r>
      <w:r w:rsidRPr="00254B1C">
        <w:rPr>
          <w:i/>
        </w:rPr>
        <w:t>Br J Surg</w:t>
      </w:r>
      <w:r w:rsidRPr="00254B1C">
        <w:t xml:space="preserve"> 2018;105(10):1328-37. doi: 10.1002/bjs.10857 [published Online First: 20180417]</w:t>
      </w:r>
    </w:p>
    <w:p w14:paraId="77333DF7" w14:textId="77777777" w:rsidR="00254B1C" w:rsidRPr="00254B1C" w:rsidRDefault="00254B1C" w:rsidP="00254B1C">
      <w:pPr>
        <w:pStyle w:val="EndNoteBibliography"/>
        <w:spacing w:after="0"/>
        <w:ind w:left="720" w:hanging="720"/>
      </w:pPr>
      <w:r w:rsidRPr="00254B1C">
        <w:t xml:space="preserve">42. Borisenko O, Lukyanov V, Debergh I, et al. Cost-effectiveness analysis of bariatric surgery for morbid obesity in Belgium. </w:t>
      </w:r>
      <w:r w:rsidRPr="00254B1C">
        <w:rPr>
          <w:i/>
        </w:rPr>
        <w:t>J Med Econ</w:t>
      </w:r>
      <w:r w:rsidRPr="00254B1C">
        <w:t xml:space="preserve"> 2018;21(4):365-73. doi: 10.1080/13696998.2017.1419958 [published Online First: 20180110]</w:t>
      </w:r>
    </w:p>
    <w:p w14:paraId="3A95FD85" w14:textId="77777777" w:rsidR="00254B1C" w:rsidRPr="00254B1C" w:rsidRDefault="00254B1C" w:rsidP="00254B1C">
      <w:pPr>
        <w:pStyle w:val="EndNoteBibliography"/>
        <w:spacing w:after="0"/>
        <w:ind w:left="720" w:hanging="720"/>
      </w:pPr>
      <w:r w:rsidRPr="00254B1C">
        <w:t xml:space="preserve">43. Borisenko O, Lukyanov V, Johnsen SP, et al. Cost analysis of bariatric surgery in Denmark made with a decision-analytic model. </w:t>
      </w:r>
      <w:r w:rsidRPr="00254B1C">
        <w:rPr>
          <w:i/>
        </w:rPr>
        <w:t>Dan Med J</w:t>
      </w:r>
      <w:r w:rsidRPr="00254B1C">
        <w:t xml:space="preserve"> 2017;64(8)</w:t>
      </w:r>
    </w:p>
    <w:p w14:paraId="47D246E0" w14:textId="77777777" w:rsidR="00254B1C" w:rsidRPr="00254B1C" w:rsidRDefault="00254B1C" w:rsidP="00254B1C">
      <w:pPr>
        <w:pStyle w:val="EndNoteBibliography"/>
        <w:spacing w:after="0"/>
        <w:ind w:left="720" w:hanging="720"/>
      </w:pPr>
      <w:r w:rsidRPr="00254B1C">
        <w:t xml:space="preserve">44. Borisenko O, Mann O, Duprée A. Cost-utility analysis of bariatric surgery compared with conventional medical management in Germany: a decision analytic modeling. </w:t>
      </w:r>
      <w:r w:rsidRPr="00254B1C">
        <w:rPr>
          <w:i/>
        </w:rPr>
        <w:t>BMC Surg</w:t>
      </w:r>
      <w:r w:rsidRPr="00254B1C">
        <w:t xml:space="preserve"> 2017;17(1):87. doi: 10.1186/s12893-017-0284-0 [published Online First: 20170803]</w:t>
      </w:r>
    </w:p>
    <w:p w14:paraId="00E216FB" w14:textId="77777777" w:rsidR="00254B1C" w:rsidRPr="00254B1C" w:rsidRDefault="00254B1C" w:rsidP="00254B1C">
      <w:pPr>
        <w:pStyle w:val="EndNoteBibliography"/>
        <w:spacing w:after="0"/>
        <w:ind w:left="720" w:hanging="720"/>
      </w:pPr>
      <w:r w:rsidRPr="00254B1C">
        <w:t xml:space="preserve">45. Borisenko O, Adam D, Funch-Jensen P, et al. Bariatric Surgery can Lead to Net Cost Savings to Health Care Systems: Results from a Comprehensive European Decision Analytic Model. </w:t>
      </w:r>
      <w:r w:rsidRPr="00254B1C">
        <w:rPr>
          <w:i/>
        </w:rPr>
        <w:t>Obes Surg</w:t>
      </w:r>
      <w:r w:rsidRPr="00254B1C">
        <w:t xml:space="preserve"> 2015;25(9):1559-68. doi: 10.1007/s11695-014-1567-5</w:t>
      </w:r>
    </w:p>
    <w:p w14:paraId="7B89E9FE" w14:textId="77777777" w:rsidR="00254B1C" w:rsidRPr="00254B1C" w:rsidRDefault="00254B1C" w:rsidP="00254B1C">
      <w:pPr>
        <w:pStyle w:val="EndNoteBibliography"/>
        <w:spacing w:after="0"/>
        <w:ind w:left="720" w:hanging="720"/>
      </w:pPr>
      <w:r w:rsidRPr="00254B1C">
        <w:t xml:space="preserve">46. Chen G, Kusel J, Buguth B, et al. Cost-Effectiveness of Bariatric Surgery Compared to Conventional Treatment From A Societal Perspective In Germany, France, Italy And The UK. </w:t>
      </w:r>
      <w:r w:rsidRPr="00254B1C">
        <w:rPr>
          <w:i/>
        </w:rPr>
        <w:t>Value in Health</w:t>
      </w:r>
      <w:r w:rsidRPr="00254B1C">
        <w:t xml:space="preserve"> 2017;20(9):A557. doi: 10.1016/j.jval.2017.08.900</w:t>
      </w:r>
    </w:p>
    <w:p w14:paraId="6340257C" w14:textId="77777777" w:rsidR="00254B1C" w:rsidRPr="00254B1C" w:rsidRDefault="00254B1C" w:rsidP="00254B1C">
      <w:pPr>
        <w:pStyle w:val="EndNoteBibliography"/>
        <w:spacing w:after="0"/>
        <w:ind w:left="720" w:hanging="720"/>
      </w:pPr>
      <w:r w:rsidRPr="00254B1C">
        <w:t xml:space="preserve">47. Cohen RV, Luque A, Junqueira S, et al. What is the impact on the healthcare system if access to bariatric surgery is delayed? </w:t>
      </w:r>
      <w:r w:rsidRPr="00254B1C">
        <w:rPr>
          <w:i/>
        </w:rPr>
        <w:t>Surg Obes Relat Dis</w:t>
      </w:r>
      <w:r w:rsidRPr="00254B1C">
        <w:t xml:space="preserve"> 2017;13(9):1619-27. doi: 10.1016/j.soard.2017.03.025 [published Online First: 20170331]</w:t>
      </w:r>
    </w:p>
    <w:p w14:paraId="43BB5948" w14:textId="77777777" w:rsidR="00254B1C" w:rsidRPr="00254B1C" w:rsidRDefault="00254B1C" w:rsidP="00254B1C">
      <w:pPr>
        <w:pStyle w:val="EndNoteBibliography"/>
        <w:spacing w:after="0"/>
        <w:ind w:left="720" w:hanging="720"/>
      </w:pPr>
      <w:r w:rsidRPr="00254B1C">
        <w:t xml:space="preserve">48. Davis JA, Saunders R. Comparison of Comorbidity Treatment and Costs Associated With Bariatric Surgery Among Adults With Obesity in Canada. </w:t>
      </w:r>
      <w:r w:rsidRPr="00254B1C">
        <w:rPr>
          <w:i/>
        </w:rPr>
        <w:t>JAMA Netw Open</w:t>
      </w:r>
      <w:r w:rsidRPr="00254B1C">
        <w:t xml:space="preserve"> 2020;3(1):e1919545. doi: 10.1001/jamanetworkopen.2019.19545 [published Online First: 20200103]</w:t>
      </w:r>
    </w:p>
    <w:p w14:paraId="319E87E8" w14:textId="77777777" w:rsidR="00254B1C" w:rsidRPr="00254B1C" w:rsidRDefault="00254B1C" w:rsidP="00254B1C">
      <w:pPr>
        <w:pStyle w:val="EndNoteBibliography"/>
        <w:spacing w:after="0"/>
        <w:ind w:left="720" w:hanging="720"/>
      </w:pPr>
      <w:r w:rsidRPr="00254B1C">
        <w:t xml:space="preserve">49. Dottino JA, Hasselblad V, Secord AA, et al. Levonorgestrel Intrauterine Device as an Endometrial Cancer Prevention Strategy in Obese Women: A Cost-Effectiveness Analysis. </w:t>
      </w:r>
      <w:r w:rsidRPr="00254B1C">
        <w:rPr>
          <w:i/>
        </w:rPr>
        <w:t>Obstet Gynecol</w:t>
      </w:r>
      <w:r w:rsidRPr="00254B1C">
        <w:t xml:space="preserve"> 2016;128(4):747-53. doi: 10.1097/aog.0000000000001616</w:t>
      </w:r>
    </w:p>
    <w:p w14:paraId="74B0A001" w14:textId="77777777" w:rsidR="00254B1C" w:rsidRPr="00254B1C" w:rsidRDefault="00254B1C" w:rsidP="00254B1C">
      <w:pPr>
        <w:pStyle w:val="EndNoteBibliography"/>
        <w:spacing w:after="0"/>
        <w:ind w:left="720" w:hanging="720"/>
      </w:pPr>
      <w:r w:rsidRPr="00254B1C">
        <w:t xml:space="preserve">50. Elliot L, Frew E, Mollan SP, et al. Cost-effectiveness of bariatric surgery versus community weight management to treat obesity-related idiopathic intracranial hypertension: evidence from a single-payer healthcare system. </w:t>
      </w:r>
      <w:r w:rsidRPr="00254B1C">
        <w:rPr>
          <w:i/>
        </w:rPr>
        <w:t>Surg Obes Relat Dis</w:t>
      </w:r>
      <w:r w:rsidRPr="00254B1C">
        <w:t xml:space="preserve"> 2021;17(7):1310-16. doi: 10.1016/j.soard.2021.03.020 [published Online First: 20210330]</w:t>
      </w:r>
    </w:p>
    <w:p w14:paraId="46F93ED2" w14:textId="77777777" w:rsidR="00254B1C" w:rsidRPr="00254B1C" w:rsidRDefault="00254B1C" w:rsidP="00254B1C">
      <w:pPr>
        <w:pStyle w:val="EndNoteBibliography"/>
        <w:spacing w:after="0"/>
        <w:ind w:left="720" w:hanging="720"/>
      </w:pPr>
      <w:r w:rsidRPr="004831BE">
        <w:rPr>
          <w:lang w:val="fr-FR"/>
        </w:rPr>
        <w:t xml:space="preserve">51. Galvain T, Bosut MP, Jamous N, et al. </w:t>
      </w:r>
      <w:r w:rsidRPr="00254B1C">
        <w:t xml:space="preserve">Cost-Effectiveness of Bariatric Surgery in Tunisia. </w:t>
      </w:r>
      <w:r w:rsidRPr="00254B1C">
        <w:rPr>
          <w:i/>
        </w:rPr>
        <w:t>Diabetes Metab Syndr Obes</w:t>
      </w:r>
      <w:r w:rsidRPr="00254B1C">
        <w:t xml:space="preserve"> 2023;16:935-45. doi: 10.2147/dmso.S385110 [published Online First: 20230401]</w:t>
      </w:r>
    </w:p>
    <w:p w14:paraId="5228F7BC" w14:textId="77777777" w:rsidR="00254B1C" w:rsidRPr="00254B1C" w:rsidRDefault="00254B1C" w:rsidP="00254B1C">
      <w:pPr>
        <w:pStyle w:val="EndNoteBibliography"/>
        <w:spacing w:after="0"/>
        <w:ind w:left="720" w:hanging="720"/>
      </w:pPr>
      <w:r w:rsidRPr="00254B1C">
        <w:t xml:space="preserve">52. Galvain T, Patel S, Kabiri M, et al. Cost-effectiveness of bariatric and metabolic surgery, and implications of COVID-19 in the United Kingdom. </w:t>
      </w:r>
      <w:r w:rsidRPr="00254B1C">
        <w:rPr>
          <w:i/>
        </w:rPr>
        <w:t>Surg Obes Relat Dis</w:t>
      </w:r>
      <w:r w:rsidRPr="00254B1C">
        <w:t xml:space="preserve"> 2021;17(11):1897-904. doi: 10.1016/j.soard.2021.07.009 [published Online First: 20210727]</w:t>
      </w:r>
    </w:p>
    <w:p w14:paraId="493AA56A" w14:textId="77777777" w:rsidR="00254B1C" w:rsidRPr="00254B1C" w:rsidRDefault="00254B1C" w:rsidP="00254B1C">
      <w:pPr>
        <w:pStyle w:val="EndNoteBibliography"/>
        <w:spacing w:after="0"/>
        <w:ind w:left="720" w:hanging="720"/>
      </w:pPr>
      <w:r w:rsidRPr="00254B1C">
        <w:t xml:space="preserve">53. Gil-Rojas Y, Garzón A, Lasalvia P, et al. Cost-Effectiveness of Bariatric Surgery Compared With Nonsurgical Treatment in People With Obesity and Comorbidity in Colombia. </w:t>
      </w:r>
      <w:r w:rsidRPr="00254B1C">
        <w:rPr>
          <w:i/>
        </w:rPr>
        <w:t>Value Health Reg Issues</w:t>
      </w:r>
      <w:r w:rsidRPr="00254B1C">
        <w:t xml:space="preserve"> 2019;20:79-85. doi: 10.1016/j.vhri.2019.01.010 [published Online First: 20190510]</w:t>
      </w:r>
    </w:p>
    <w:p w14:paraId="7FA3C586" w14:textId="77777777" w:rsidR="00254B1C" w:rsidRPr="00254B1C" w:rsidRDefault="00254B1C" w:rsidP="00254B1C">
      <w:pPr>
        <w:pStyle w:val="EndNoteBibliography"/>
        <w:spacing w:after="0"/>
        <w:ind w:left="720" w:hanging="720"/>
      </w:pPr>
      <w:r w:rsidRPr="004831BE">
        <w:rPr>
          <w:lang w:val="fr-FR"/>
        </w:rPr>
        <w:lastRenderedPageBreak/>
        <w:t xml:space="preserve">54. Gómez Lumbreras A, Tan MS, Villa-Zapata L, et al. </w:t>
      </w:r>
      <w:r w:rsidRPr="00254B1C">
        <w:t xml:space="preserve">Cost-effectiveness analysis of five anti-obesity medications from a US payer's perspective. </w:t>
      </w:r>
      <w:r w:rsidRPr="00254B1C">
        <w:rPr>
          <w:i/>
        </w:rPr>
        <w:t>Nutr Metab Cardiovasc Dis</w:t>
      </w:r>
      <w:r w:rsidRPr="00254B1C">
        <w:t xml:space="preserve"> 2023;33(6):1268-76. doi: 10.1016/j.numecd.2023.03.012 [published Online First: 20230325]</w:t>
      </w:r>
    </w:p>
    <w:p w14:paraId="78AFE3EA" w14:textId="77777777" w:rsidR="00254B1C" w:rsidRPr="00254B1C" w:rsidRDefault="00254B1C" w:rsidP="00254B1C">
      <w:pPr>
        <w:pStyle w:val="EndNoteBibliography"/>
        <w:ind w:left="720" w:hanging="720"/>
      </w:pPr>
      <w:r w:rsidRPr="00254B1C">
        <w:t>55. Gulliford MC, Charlton J, Booth HP, et al. Health Services and Delivery Research. Costs and outcomes of increasing access to bariatric surgery for obesity: cohort study and cost-effectiveness analysis using electronic health records. Southampton (UK): NIHR Journals Library</w:t>
      </w:r>
    </w:p>
    <w:p w14:paraId="24114F6D" w14:textId="77777777" w:rsidR="00254B1C" w:rsidRPr="00254B1C" w:rsidRDefault="00254B1C" w:rsidP="00254B1C">
      <w:pPr>
        <w:pStyle w:val="EndNoteBibliography"/>
        <w:spacing w:after="0"/>
        <w:ind w:left="720" w:hanging="720"/>
      </w:pPr>
      <w:r w:rsidRPr="00254B1C">
        <w:t>Copyright © Queen’s Printer and Controller of HMSO 2016. This work was produced by Gulliford et al. under the terms of a commissioning contract issued by the Secretary of State for Health. This issue may be freely reproduced for the purposes of private research and study and extracts (or indeed, the full report) may be included in professional journals provided that suitable acknowledgement is made and the reproduction is not associated with any form of advertising. Applications for commercial reproduction should be addressed to: NIHR Journals Library, National Institute for Health Research, Evaluation, Trials and Studies Coordinating Centre, Alpha House, University of Southampton Science Park, Southampton SO16 7NS, UK. 2016.</w:t>
      </w:r>
    </w:p>
    <w:p w14:paraId="4FCA6054" w14:textId="77777777" w:rsidR="00254B1C" w:rsidRPr="004831BE" w:rsidRDefault="00254B1C" w:rsidP="00254B1C">
      <w:pPr>
        <w:pStyle w:val="EndNoteBibliography"/>
        <w:spacing w:after="0"/>
        <w:ind w:left="720" w:hanging="720"/>
        <w:rPr>
          <w:lang w:val="fr-FR"/>
        </w:rPr>
      </w:pPr>
      <w:r w:rsidRPr="004831BE">
        <w:rPr>
          <w:lang w:val="fr-FR"/>
        </w:rPr>
        <w:t xml:space="preserve">56. Hu Y, Zheng SL, Ye XL, et al. </w:t>
      </w:r>
      <w:r w:rsidRPr="00254B1C">
        <w:t xml:space="preserve">Cost-effectiveness analysis of 4 GLP-1RAs in the treatment of obesity in a US setting. </w:t>
      </w:r>
      <w:r w:rsidRPr="004831BE">
        <w:rPr>
          <w:i/>
          <w:lang w:val="fr-FR"/>
        </w:rPr>
        <w:t>Ann Transl Med</w:t>
      </w:r>
      <w:r w:rsidRPr="004831BE">
        <w:rPr>
          <w:lang w:val="fr-FR"/>
        </w:rPr>
        <w:t xml:space="preserve"> 2022;10(3):152. doi: 10.21037/atm-22-200</w:t>
      </w:r>
    </w:p>
    <w:p w14:paraId="25AA32AE" w14:textId="77777777" w:rsidR="00254B1C" w:rsidRPr="00254B1C" w:rsidRDefault="00254B1C" w:rsidP="00254B1C">
      <w:pPr>
        <w:pStyle w:val="EndNoteBibliography"/>
        <w:spacing w:after="0"/>
        <w:ind w:left="720" w:hanging="720"/>
      </w:pPr>
      <w:r w:rsidRPr="004831BE">
        <w:rPr>
          <w:lang w:val="fr-FR"/>
        </w:rPr>
        <w:t xml:space="preserve">57. James R, Salton RI, Byrnes JM, et al. </w:t>
      </w:r>
      <w:r w:rsidRPr="00254B1C">
        <w:t xml:space="preserve">Cost-utility analysis for bariatric surgery compared with usual care for the treatment of obesity in Australia. </w:t>
      </w:r>
      <w:r w:rsidRPr="00254B1C">
        <w:rPr>
          <w:i/>
        </w:rPr>
        <w:t>Surg Obes Relat Dis</w:t>
      </w:r>
      <w:r w:rsidRPr="00254B1C">
        <w:t xml:space="preserve"> 2017;13(12):2012-20. doi: 10.1016/j.soard.2016.12.016 [published Online First: 20161226]</w:t>
      </w:r>
    </w:p>
    <w:p w14:paraId="3AF810A1" w14:textId="77777777" w:rsidR="00254B1C" w:rsidRPr="00254B1C" w:rsidRDefault="00254B1C" w:rsidP="00254B1C">
      <w:pPr>
        <w:pStyle w:val="EndNoteBibliography"/>
        <w:spacing w:after="0"/>
        <w:ind w:left="720" w:hanging="720"/>
      </w:pPr>
      <w:r w:rsidRPr="00254B1C">
        <w:t xml:space="preserve">58. Kelly J, Menon V, O'Neill F, et al. UK cost-effectiveness analysis of endoscopic sleeve gastroplasty versus lifestyle modification alone for adults with class II obesity. </w:t>
      </w:r>
      <w:r w:rsidRPr="00254B1C">
        <w:rPr>
          <w:i/>
        </w:rPr>
        <w:t>Int J Obes (Lond)</w:t>
      </w:r>
      <w:r w:rsidRPr="00254B1C">
        <w:t xml:space="preserve"> 2023;47(11):1161-70. doi: 10.1038/s41366-023-01374-6 [published Online First: 20230906]</w:t>
      </w:r>
    </w:p>
    <w:p w14:paraId="7AC48797" w14:textId="77777777" w:rsidR="00254B1C" w:rsidRPr="004831BE" w:rsidRDefault="00254B1C" w:rsidP="00254B1C">
      <w:pPr>
        <w:pStyle w:val="EndNoteBibliography"/>
        <w:spacing w:after="0"/>
        <w:ind w:left="720" w:hanging="720"/>
        <w:rPr>
          <w:lang w:val="de-DE"/>
        </w:rPr>
      </w:pPr>
      <w:r w:rsidRPr="00254B1C">
        <w:t xml:space="preserve">59. Kent S, Aveyard P, Astbury N, et al. Is Doctor Referral to a Low-Energy Total Diet Replacement Program Cost-Effective for the Routine Treatment of Obesity? </w:t>
      </w:r>
      <w:r w:rsidRPr="004831BE">
        <w:rPr>
          <w:i/>
          <w:lang w:val="de-DE"/>
        </w:rPr>
        <w:t>Obesity (Silver Spring)</w:t>
      </w:r>
      <w:r w:rsidRPr="004831BE">
        <w:rPr>
          <w:lang w:val="de-DE"/>
        </w:rPr>
        <w:t xml:space="preserve"> 2019;27(3):391-98. doi: 10.1002/oby.22407</w:t>
      </w:r>
    </w:p>
    <w:p w14:paraId="43F6004C" w14:textId="77777777" w:rsidR="00254B1C" w:rsidRPr="00254B1C" w:rsidRDefault="00254B1C" w:rsidP="00254B1C">
      <w:pPr>
        <w:pStyle w:val="EndNoteBibliography"/>
        <w:spacing w:after="0"/>
        <w:ind w:left="720" w:hanging="720"/>
      </w:pPr>
      <w:r w:rsidRPr="004831BE">
        <w:rPr>
          <w:lang w:val="de-DE"/>
        </w:rPr>
        <w:t xml:space="preserve">60. Kostic AM, Leifer VP, Selzer F, et al. </w:t>
      </w:r>
      <w:r w:rsidRPr="00254B1C">
        <w:t xml:space="preserve">Cost-Effectiveness of Weight-Loss Interventions Prior to Total Knee Replacement for Patients With Class III Obesity. </w:t>
      </w:r>
      <w:r w:rsidRPr="00254B1C">
        <w:rPr>
          <w:i/>
        </w:rPr>
        <w:t>Arthritis Care Res (Hoboken)</w:t>
      </w:r>
      <w:r w:rsidRPr="00254B1C">
        <w:t xml:space="preserve"> 2023;75(8):1752-63. doi: 10.1002/acr.25044 [published Online First: 20230201]</w:t>
      </w:r>
    </w:p>
    <w:p w14:paraId="076D720A" w14:textId="77777777" w:rsidR="00254B1C" w:rsidRPr="00254B1C" w:rsidRDefault="00254B1C" w:rsidP="00254B1C">
      <w:pPr>
        <w:pStyle w:val="EndNoteBibliography"/>
        <w:spacing w:after="0"/>
        <w:ind w:left="720" w:hanging="720"/>
      </w:pPr>
      <w:r w:rsidRPr="00254B1C">
        <w:t xml:space="preserve">61. Kostic AM, Leifer VP, Gong Y, et al. Cost-Effectiveness of Surgical Weight-Loss Interventions for Patients With Knee Osteoarthritis and Class III Obesity. </w:t>
      </w:r>
      <w:r w:rsidRPr="00254B1C">
        <w:rPr>
          <w:i/>
        </w:rPr>
        <w:t>Arthritis Care Res (Hoboken)</w:t>
      </w:r>
      <w:r w:rsidRPr="00254B1C">
        <w:t xml:space="preserve"> 2023;75(3):491-500. doi: 10.1002/acr.24967 [published Online First: 20221117]</w:t>
      </w:r>
    </w:p>
    <w:p w14:paraId="43C9C132" w14:textId="77777777" w:rsidR="00254B1C" w:rsidRPr="00254B1C" w:rsidRDefault="00254B1C" w:rsidP="00254B1C">
      <w:pPr>
        <w:pStyle w:val="EndNoteBibliography"/>
        <w:spacing w:after="0"/>
        <w:ind w:left="720" w:hanging="720"/>
      </w:pPr>
      <w:r w:rsidRPr="00254B1C">
        <w:t xml:space="preserve">62. Kovács G, Mohos E, Kis JT, et al. Cost-Effectiveness of Bariatric Surgery in Patients Living with Obesity and Type 2 Diabetes. </w:t>
      </w:r>
      <w:r w:rsidRPr="00254B1C">
        <w:rPr>
          <w:i/>
        </w:rPr>
        <w:t>J Diabetes Res</w:t>
      </w:r>
      <w:r w:rsidRPr="00254B1C">
        <w:t xml:space="preserve"> 2023;2023:9686729. doi: 10.1155/2023/9686729 [published Online First: 20231216]</w:t>
      </w:r>
    </w:p>
    <w:p w14:paraId="03E15D3F" w14:textId="77777777" w:rsidR="00254B1C" w:rsidRPr="00254B1C" w:rsidRDefault="00254B1C" w:rsidP="00254B1C">
      <w:pPr>
        <w:pStyle w:val="EndNoteBibliography"/>
        <w:spacing w:after="0"/>
        <w:ind w:left="720" w:hanging="720"/>
      </w:pPr>
      <w:r w:rsidRPr="00254B1C">
        <w:t xml:space="preserve">63. Lauren BN, Lim F, Krikhely A, et al. Estimated Cost-effectiveness of Medical Therapy, Sleeve Gastrectomy, and Gastric Bypass in Patients With Severe Obesity and Type 2 Diabetes. </w:t>
      </w:r>
      <w:r w:rsidRPr="00254B1C">
        <w:rPr>
          <w:i/>
        </w:rPr>
        <w:t>JAMA Netw Open</w:t>
      </w:r>
      <w:r w:rsidRPr="00254B1C">
        <w:t xml:space="preserve"> 2022;5(2):e2148317. doi: 10.1001/jamanetworkopen.2021.48317 [published Online First: 20220201]</w:t>
      </w:r>
    </w:p>
    <w:p w14:paraId="148ADAE7" w14:textId="77777777" w:rsidR="00254B1C" w:rsidRPr="00254B1C" w:rsidRDefault="00254B1C" w:rsidP="00254B1C">
      <w:pPr>
        <w:pStyle w:val="EndNoteBibliography"/>
        <w:spacing w:after="0"/>
        <w:ind w:left="720" w:hanging="720"/>
      </w:pPr>
      <w:r w:rsidRPr="00254B1C">
        <w:t xml:space="preserve">64. Lester ELW, Padwal RS, Birch DW, et al. The real-world cost-effectiveness of bariatric surgery for the treatment of severe obesity: a cost-utility analysis. </w:t>
      </w:r>
      <w:r w:rsidRPr="00254B1C">
        <w:rPr>
          <w:i/>
        </w:rPr>
        <w:t>CMAJ Open</w:t>
      </w:r>
      <w:r w:rsidRPr="00254B1C">
        <w:t xml:space="preserve"> 2021;9(2):E673-e79. doi: 10.9778/cmajo.20200188 [published Online First: 20210618]</w:t>
      </w:r>
    </w:p>
    <w:p w14:paraId="24C3FE4A" w14:textId="77777777" w:rsidR="00254B1C" w:rsidRPr="00254B1C" w:rsidRDefault="00254B1C" w:rsidP="00254B1C">
      <w:pPr>
        <w:pStyle w:val="EndNoteBibliography"/>
        <w:spacing w:after="0"/>
        <w:ind w:left="720" w:hanging="720"/>
      </w:pPr>
      <w:r w:rsidRPr="00254B1C">
        <w:t xml:space="preserve">65. Lin J, Zhuo X, Bardenheier B, et al. Cost-effectiveness of the 2014 U.S. Preventive Services Task Force (USPSTF) Recommendations for Intensive Behavioral Counseling Interventions for Adults With Cardiovascular Risk Factors. </w:t>
      </w:r>
      <w:r w:rsidRPr="00254B1C">
        <w:rPr>
          <w:i/>
        </w:rPr>
        <w:t>Diabetes Care</w:t>
      </w:r>
      <w:r w:rsidRPr="00254B1C">
        <w:t xml:space="preserve"> 2017;40(5):640-46. doi: 10.2337/dc16-1186 [published Online First: 20170217]</w:t>
      </w:r>
    </w:p>
    <w:p w14:paraId="2C33A852" w14:textId="77777777" w:rsidR="00254B1C" w:rsidRPr="00254B1C" w:rsidRDefault="00254B1C" w:rsidP="00254B1C">
      <w:pPr>
        <w:pStyle w:val="EndNoteBibliography"/>
        <w:spacing w:after="0"/>
        <w:ind w:left="720" w:hanging="720"/>
      </w:pPr>
      <w:r w:rsidRPr="00254B1C">
        <w:t xml:space="preserve">66. Lucchese M, Borisenko O, Mantovani LG, et al. Cost-Utility Analysis of Bariatric Surgery in Italy: Results of Decision-Analytic Modelling. </w:t>
      </w:r>
      <w:r w:rsidRPr="00254B1C">
        <w:rPr>
          <w:i/>
        </w:rPr>
        <w:t>Obes Facts</w:t>
      </w:r>
      <w:r w:rsidRPr="00254B1C">
        <w:t xml:space="preserve"> 2017;10(3):261-72. doi: 10.1159/000475842 [published Online First: 20170610]</w:t>
      </w:r>
    </w:p>
    <w:p w14:paraId="66E7B241" w14:textId="77777777" w:rsidR="00254B1C" w:rsidRPr="00254B1C" w:rsidRDefault="00254B1C" w:rsidP="00254B1C">
      <w:pPr>
        <w:pStyle w:val="EndNoteBibliography"/>
        <w:spacing w:after="0"/>
        <w:ind w:left="720" w:hanging="720"/>
      </w:pPr>
      <w:r w:rsidRPr="00254B1C">
        <w:lastRenderedPageBreak/>
        <w:t xml:space="preserve">67. McGlone ER, Carey I, Veličković V, et al. Bariatric surgery for patients with type 2 diabetes mellitus requiring insulin: Clinical outcome and cost-effectiveness analyses. </w:t>
      </w:r>
      <w:r w:rsidRPr="00254B1C">
        <w:rPr>
          <w:i/>
        </w:rPr>
        <w:t>PLoS Med</w:t>
      </w:r>
      <w:r w:rsidRPr="00254B1C">
        <w:t xml:space="preserve"> 2020;17(12):e1003228. doi: 10.1371/journal.pmed.1003228 [published Online First: 20201207]</w:t>
      </w:r>
    </w:p>
    <w:p w14:paraId="16259AC1" w14:textId="77777777" w:rsidR="00254B1C" w:rsidRPr="00254B1C" w:rsidRDefault="00254B1C" w:rsidP="00254B1C">
      <w:pPr>
        <w:pStyle w:val="EndNoteBibliography"/>
        <w:spacing w:after="0"/>
        <w:ind w:left="720" w:hanging="720"/>
      </w:pPr>
      <w:r w:rsidRPr="00254B1C">
        <w:t xml:space="preserve">68. McLawhorn AS, Southren D, Wang YC, et al. Cost-Effectiveness of Bariatric Surgery Prior to Total Knee Arthroplasty in the Morbidly Obese: A Computer Model-Based Evaluation. </w:t>
      </w:r>
      <w:r w:rsidRPr="00254B1C">
        <w:rPr>
          <w:i/>
        </w:rPr>
        <w:t>J Bone Joint Surg Am</w:t>
      </w:r>
      <w:r w:rsidRPr="00254B1C">
        <w:t xml:space="preserve"> 2016;98(2):e6. doi: 10.2106/jbjs.N.00416</w:t>
      </w:r>
    </w:p>
    <w:p w14:paraId="6A8D5760" w14:textId="77777777" w:rsidR="00254B1C" w:rsidRPr="00254B1C" w:rsidRDefault="00254B1C" w:rsidP="00254B1C">
      <w:pPr>
        <w:pStyle w:val="EndNoteBibliography"/>
        <w:spacing w:after="0"/>
        <w:ind w:left="720" w:hanging="720"/>
      </w:pPr>
      <w:r w:rsidRPr="00254B1C">
        <w:t xml:space="preserve">69. Mital S, Nguyen HV. Cost-effectiveness of procedure-less intragastric balloon therapy as substitute or complement to bariatric surgery. </w:t>
      </w:r>
      <w:r w:rsidRPr="00254B1C">
        <w:rPr>
          <w:i/>
        </w:rPr>
        <w:t>PLoS One</w:t>
      </w:r>
      <w:r w:rsidRPr="00254B1C">
        <w:t xml:space="preserve"> 2021;16(7):e0254063. doi: 10.1371/journal.pone.0254063 [published Online First: 20210728]</w:t>
      </w:r>
    </w:p>
    <w:p w14:paraId="54672137" w14:textId="77777777" w:rsidR="00254B1C" w:rsidRPr="00254B1C" w:rsidRDefault="00254B1C" w:rsidP="00254B1C">
      <w:pPr>
        <w:pStyle w:val="EndNoteBibliography"/>
        <w:spacing w:after="0"/>
        <w:ind w:left="720" w:hanging="720"/>
      </w:pPr>
      <w:r w:rsidRPr="00254B1C">
        <w:t xml:space="preserve">70. Neff R, Havrilesky LJ, Chino J, et al. Bariatric surgery as a means to decrease mortality in women with type I endometrial cancer - An intriguing option in a population at risk for dying of complications of metabolic syndrome. </w:t>
      </w:r>
      <w:r w:rsidRPr="00254B1C">
        <w:rPr>
          <w:i/>
        </w:rPr>
        <w:t>Gynecol Oncol</w:t>
      </w:r>
      <w:r w:rsidRPr="00254B1C">
        <w:t xml:space="preserve"> 2015;138(3):597-602. doi: 10.1016/j.ygyno.2015.07.002 [published Online First: 20150729]</w:t>
      </w:r>
    </w:p>
    <w:p w14:paraId="748D0BB1" w14:textId="77777777" w:rsidR="00254B1C" w:rsidRPr="00254B1C" w:rsidRDefault="00254B1C" w:rsidP="00254B1C">
      <w:pPr>
        <w:pStyle w:val="EndNoteBibliography"/>
        <w:spacing w:after="0"/>
        <w:ind w:left="720" w:hanging="720"/>
      </w:pPr>
      <w:r w:rsidRPr="00254B1C">
        <w:t xml:space="preserve">71. Nuijten M, Dainelli L, Rasouli B, et al. A Meal Replacement Program for the Treatment of Obesity: A Cost-Effectiveness Analysis from the Swiss Payer's Perspective. </w:t>
      </w:r>
      <w:r w:rsidRPr="00254B1C">
        <w:rPr>
          <w:i/>
        </w:rPr>
        <w:t>Diabetes Metab Syndr Obes</w:t>
      </w:r>
      <w:r w:rsidRPr="00254B1C">
        <w:t xml:space="preserve"> 2021;14:3147-60. doi: 10.2147/dmso.S284855 [published Online First: 20210708]</w:t>
      </w:r>
    </w:p>
    <w:p w14:paraId="6F9E0AC9" w14:textId="77777777" w:rsidR="00254B1C" w:rsidRPr="00254B1C" w:rsidRDefault="00254B1C" w:rsidP="00254B1C">
      <w:pPr>
        <w:pStyle w:val="EndNoteBibliography"/>
        <w:spacing w:after="0"/>
        <w:ind w:left="720" w:hanging="720"/>
      </w:pPr>
      <w:r w:rsidRPr="00254B1C">
        <w:t xml:space="preserve">72. Nuijten M, Marczewska A, Araujo Torres K, et al. A health economic model to assess the cost-effectiveness of OPTIFAST for the treatment of obesity in the United States. </w:t>
      </w:r>
      <w:r w:rsidRPr="00254B1C">
        <w:rPr>
          <w:i/>
        </w:rPr>
        <w:t>J Med Econ</w:t>
      </w:r>
      <w:r w:rsidRPr="00254B1C">
        <w:t xml:space="preserve"> 2018;21(9):835-44. doi: 10.1080/13696998.2018.1468334 [published Online First: 20180518]</w:t>
      </w:r>
    </w:p>
    <w:p w14:paraId="284F9BA5" w14:textId="77777777" w:rsidR="00254B1C" w:rsidRPr="00254B1C" w:rsidRDefault="00254B1C" w:rsidP="00254B1C">
      <w:pPr>
        <w:pStyle w:val="EndNoteBibliography"/>
        <w:spacing w:after="0"/>
        <w:ind w:left="720" w:hanging="720"/>
      </w:pPr>
      <w:r w:rsidRPr="00254B1C">
        <w:t xml:space="preserve">73. Bariatric Surgery for Adults With Class I Obesity and Difficult-to-Manage Type 2 Diabetes: A Health Technology Assessment. </w:t>
      </w:r>
      <w:r w:rsidRPr="00254B1C">
        <w:rPr>
          <w:i/>
        </w:rPr>
        <w:t>Ont Health Technol Assess Ser</w:t>
      </w:r>
      <w:r w:rsidRPr="00254B1C">
        <w:t xml:space="preserve"> 2023;23(8):1-151. [published Online First: 20231205]</w:t>
      </w:r>
    </w:p>
    <w:p w14:paraId="42B2B3A6" w14:textId="77777777" w:rsidR="00254B1C" w:rsidRPr="00254B1C" w:rsidRDefault="00254B1C" w:rsidP="00254B1C">
      <w:pPr>
        <w:pStyle w:val="EndNoteBibliography"/>
        <w:spacing w:after="0"/>
        <w:ind w:left="720" w:hanging="720"/>
      </w:pPr>
      <w:r w:rsidRPr="00254B1C">
        <w:t xml:space="preserve">74. Paranjape CS, Gentry RD, Regan CM. Cost-Effectiveness of Bariatric Surgery Prior to Posterior Lumbar Decompression and Fusion in an Obese Population with Degenerative Spondylolisthesis. </w:t>
      </w:r>
      <w:r w:rsidRPr="00254B1C">
        <w:rPr>
          <w:i/>
        </w:rPr>
        <w:t>Spine (Phila Pa 1976)</w:t>
      </w:r>
      <w:r w:rsidRPr="00254B1C">
        <w:t xml:space="preserve"> 2021;46(14):950-57. doi: 10.1097/brs.0000000000003940</w:t>
      </w:r>
    </w:p>
    <w:p w14:paraId="3CCD25A2" w14:textId="77777777" w:rsidR="00254B1C" w:rsidRPr="00254B1C" w:rsidRDefault="00254B1C" w:rsidP="00254B1C">
      <w:pPr>
        <w:pStyle w:val="EndNoteBibliography"/>
        <w:spacing w:after="0"/>
        <w:ind w:left="720" w:hanging="720"/>
      </w:pPr>
      <w:r w:rsidRPr="00254B1C">
        <w:t xml:space="preserve">75. Premkumar A, Lebrun DG, Sidharthan S, et al. Bariatric Surgery Prior to Total Hip Arthroplasty Is Cost-Effective in Morbidly Obese Patients. </w:t>
      </w:r>
      <w:r w:rsidRPr="00254B1C">
        <w:rPr>
          <w:i/>
        </w:rPr>
        <w:t>J Arthroplasty</w:t>
      </w:r>
      <w:r w:rsidRPr="00254B1C">
        <w:t xml:space="preserve"> 2020;35(7):1766-75.e3. doi: 10.1016/j.arth.2020.02.044 [published Online First: 20200313]</w:t>
      </w:r>
    </w:p>
    <w:p w14:paraId="5217B519" w14:textId="77777777" w:rsidR="00254B1C" w:rsidRPr="00254B1C" w:rsidRDefault="00254B1C" w:rsidP="00254B1C">
      <w:pPr>
        <w:pStyle w:val="EndNoteBibliography"/>
        <w:spacing w:after="0"/>
        <w:ind w:left="720" w:hanging="720"/>
      </w:pPr>
      <w:r w:rsidRPr="00254B1C">
        <w:t xml:space="preserve">76. Retat L, Pimpin L, Webber L, et al. Screening and brief intervention for obesity in primary care: cost-effectiveness analysis in the BWeL trial. </w:t>
      </w:r>
      <w:r w:rsidRPr="00254B1C">
        <w:rPr>
          <w:i/>
        </w:rPr>
        <w:t>Int J Obes (Lond)</w:t>
      </w:r>
      <w:r w:rsidRPr="00254B1C">
        <w:t xml:space="preserve"> 2019;43(10):2066-75. doi: 10.1038/s41366-018-0295-7 [published Online First: 20190131]</w:t>
      </w:r>
    </w:p>
    <w:p w14:paraId="6318BA75" w14:textId="77777777" w:rsidR="00254B1C" w:rsidRPr="00254B1C" w:rsidRDefault="00254B1C" w:rsidP="00254B1C">
      <w:pPr>
        <w:pStyle w:val="EndNoteBibliography"/>
        <w:spacing w:after="0"/>
        <w:ind w:left="720" w:hanging="720"/>
      </w:pPr>
      <w:r w:rsidRPr="00254B1C">
        <w:t xml:space="preserve">77. Rognoni C, Armeni P, Tarricone R, et al. Cost-benefit Analysis in Health Care: The Case of Bariatric Surgery Compared With Diet. </w:t>
      </w:r>
      <w:r w:rsidRPr="00254B1C">
        <w:rPr>
          <w:i/>
        </w:rPr>
        <w:t>Clin Ther</w:t>
      </w:r>
      <w:r w:rsidRPr="00254B1C">
        <w:t xml:space="preserve"> 2020;42(1):60-75.e7. doi: 10.1016/j.clinthera.2019.12.001 [published Online First: 20200117]</w:t>
      </w:r>
    </w:p>
    <w:p w14:paraId="15F9DCC6" w14:textId="77777777" w:rsidR="00254B1C" w:rsidRPr="00254B1C" w:rsidRDefault="00254B1C" w:rsidP="00254B1C">
      <w:pPr>
        <w:pStyle w:val="EndNoteBibliography"/>
        <w:spacing w:after="0"/>
        <w:ind w:left="720" w:hanging="720"/>
      </w:pPr>
      <w:r w:rsidRPr="00254B1C">
        <w:t xml:space="preserve">78. Sanchez-Santos R, Padin EM, Adam D, et al. Bariatric surgery versus conservative management for morbidly obese patients in Spain: a cost-effectiveness analysis. </w:t>
      </w:r>
      <w:r w:rsidRPr="00254B1C">
        <w:rPr>
          <w:i/>
        </w:rPr>
        <w:t>Expert Rev Pharmacoecon Outcomes Res</w:t>
      </w:r>
      <w:r w:rsidRPr="00254B1C">
        <w:t xml:space="preserve"> 2018;18(3):305-14. doi: 10.1080/14737167.2018.1407649 [published Online First: 20171130]</w:t>
      </w:r>
    </w:p>
    <w:p w14:paraId="2E961E78" w14:textId="77777777" w:rsidR="00254B1C" w:rsidRPr="00254B1C" w:rsidRDefault="00254B1C" w:rsidP="00254B1C">
      <w:pPr>
        <w:pStyle w:val="EndNoteBibliography"/>
        <w:spacing w:after="0"/>
        <w:ind w:left="720" w:hanging="720"/>
      </w:pPr>
      <w:r w:rsidRPr="00254B1C">
        <w:t xml:space="preserve">79. Sandhu H, Xu W, Olivieri AV, et al. Once-Weekly Subcutaneous Semaglutide 2.4 mg Injection is Cost-Effective for Weight Management in the United Kingdom. </w:t>
      </w:r>
      <w:r w:rsidRPr="00254B1C">
        <w:rPr>
          <w:i/>
        </w:rPr>
        <w:t>Adv Ther</w:t>
      </w:r>
      <w:r w:rsidRPr="00254B1C">
        <w:t xml:space="preserve"> 2023;40(3):1282-91. doi: 10.1007/s12325-022-02423-8 [published Online First: 20230111]</w:t>
      </w:r>
    </w:p>
    <w:p w14:paraId="41AC75AB" w14:textId="77777777" w:rsidR="00254B1C" w:rsidRPr="00254B1C" w:rsidRDefault="00254B1C" w:rsidP="00254B1C">
      <w:pPr>
        <w:pStyle w:val="EndNoteBibliography"/>
        <w:spacing w:after="0"/>
        <w:ind w:left="720" w:hanging="720"/>
      </w:pPr>
      <w:r w:rsidRPr="00254B1C">
        <w:t xml:space="preserve">80. Saumoy M, Gandhi D, Buller S, et al. Cost-effectiveness of endoscopic, surgical and pharmacological obesity therapies: a microsimulation and threshold analyses. </w:t>
      </w:r>
      <w:r w:rsidRPr="00254B1C">
        <w:rPr>
          <w:i/>
        </w:rPr>
        <w:t>Gut</w:t>
      </w:r>
      <w:r w:rsidRPr="00254B1C">
        <w:t xml:space="preserve"> 2023;72(12):2250-59. doi: 10.1136/gutjnl-2023-330437 [published Online First: 20231124]</w:t>
      </w:r>
    </w:p>
    <w:p w14:paraId="3B22132C" w14:textId="77777777" w:rsidR="00254B1C" w:rsidRPr="00254B1C" w:rsidRDefault="00254B1C" w:rsidP="00254B1C">
      <w:pPr>
        <w:pStyle w:val="EndNoteBibliography"/>
        <w:spacing w:after="0"/>
        <w:ind w:left="720" w:hanging="720"/>
      </w:pPr>
      <w:r w:rsidRPr="00254B1C">
        <w:t xml:space="preserve">81. Viratanapanu I, Romyen C, Chaivanijchaya K, et al. Cost-Effectiveness Evaluation of Bariatric Surgery for Morbidly Obese with Diabetes Patients in Thailand. </w:t>
      </w:r>
      <w:r w:rsidRPr="00254B1C">
        <w:rPr>
          <w:i/>
        </w:rPr>
        <w:t>J Obes</w:t>
      </w:r>
      <w:r w:rsidRPr="00254B1C">
        <w:t xml:space="preserve"> 2019;2019:5383478. doi: 10.1155/2019/5383478 [published Online First: 20190203]</w:t>
      </w:r>
    </w:p>
    <w:p w14:paraId="62C6D643" w14:textId="77777777" w:rsidR="00254B1C" w:rsidRPr="00254B1C" w:rsidRDefault="00254B1C" w:rsidP="00254B1C">
      <w:pPr>
        <w:pStyle w:val="EndNoteBibliography"/>
        <w:spacing w:after="0"/>
        <w:ind w:left="720" w:hanging="720"/>
      </w:pPr>
      <w:r w:rsidRPr="00254B1C">
        <w:lastRenderedPageBreak/>
        <w:t xml:space="preserve">82. Walter E, Langer FB, Beckerhinn P, et al. Impact of metabolic surgery on cost and long-term health outcome: a cost-effectiveness approach. </w:t>
      </w:r>
      <w:r w:rsidRPr="00254B1C">
        <w:rPr>
          <w:i/>
        </w:rPr>
        <w:t>Surg Obes Relat Dis</w:t>
      </w:r>
      <w:r w:rsidRPr="00254B1C">
        <w:t xml:space="preserve"> 2022;18(2):260-70. doi: 10.1016/j.soard.2021.10.012 [published Online First: 20211018]</w:t>
      </w:r>
    </w:p>
    <w:p w14:paraId="02E1B3A4" w14:textId="77777777" w:rsidR="00254B1C" w:rsidRPr="00254B1C" w:rsidRDefault="00254B1C" w:rsidP="00254B1C">
      <w:pPr>
        <w:pStyle w:val="EndNoteBibliography"/>
        <w:spacing w:after="0"/>
        <w:ind w:left="720" w:hanging="720"/>
      </w:pPr>
      <w:r w:rsidRPr="004831BE">
        <w:rPr>
          <w:lang w:val="nl-NL"/>
        </w:rPr>
        <w:t xml:space="preserve">83. Wan B, Fang N, Guan W, et al. </w:t>
      </w:r>
      <w:r w:rsidRPr="00254B1C">
        <w:t xml:space="preserve">Cost-Effectiveness of Bariatric Surgery versus Medication Therapy for Obese Patients with Type 2 Diabetes in China: A Markov Analysis. </w:t>
      </w:r>
      <w:r w:rsidRPr="00254B1C">
        <w:rPr>
          <w:i/>
        </w:rPr>
        <w:t>J Diabetes Res</w:t>
      </w:r>
      <w:r w:rsidRPr="00254B1C">
        <w:t xml:space="preserve"> 2019;2019:1341963. doi: 10.1155/2019/1341963 [published Online First: 20191219]</w:t>
      </w:r>
    </w:p>
    <w:p w14:paraId="52B2CC35" w14:textId="77777777" w:rsidR="00254B1C" w:rsidRPr="00254B1C" w:rsidRDefault="00254B1C" w:rsidP="00254B1C">
      <w:pPr>
        <w:pStyle w:val="EndNoteBibliography"/>
        <w:ind w:left="720" w:hanging="720"/>
      </w:pPr>
      <w:r w:rsidRPr="00254B1C">
        <w:t xml:space="preserve">84. Yu JC, Wolfe B, Griffiths RI, et al. Cost-effectiveness analysis of vagal nerve blocking for morbid obesity. </w:t>
      </w:r>
      <w:r w:rsidRPr="00254B1C">
        <w:rPr>
          <w:i/>
        </w:rPr>
        <w:t>Am J Manag Care</w:t>
      </w:r>
      <w:r w:rsidRPr="00254B1C">
        <w:t xml:space="preserve"> 2017;23(8):e245-e52. [published Online First: 20170801]</w:t>
      </w:r>
    </w:p>
    <w:p w14:paraId="646D48DE" w14:textId="05253FA6" w:rsidR="00501D6E" w:rsidRDefault="00501D6E" w:rsidP="009B4934"/>
    <w:p w14:paraId="17FF2288" w14:textId="77777777" w:rsidR="008E1068" w:rsidRDefault="008E1068" w:rsidP="009B4934"/>
    <w:p w14:paraId="70B4D46A" w14:textId="6445CE2B" w:rsidR="008E1068" w:rsidRDefault="008E1068">
      <w:r>
        <w:br w:type="page"/>
      </w:r>
    </w:p>
    <w:p w14:paraId="760E5C2B" w14:textId="4121341D" w:rsidR="00FA7EEA" w:rsidRDefault="008E1068" w:rsidP="00553BEC">
      <w:pPr>
        <w:pStyle w:val="Heading1"/>
      </w:pPr>
      <w:r>
        <w:lastRenderedPageBreak/>
        <w:t xml:space="preserve">Appendix </w:t>
      </w:r>
      <w:bookmarkStart w:id="17" w:name="Appendix"/>
      <w:r>
        <w:t>A</w:t>
      </w:r>
      <w:bookmarkEnd w:id="17"/>
      <w:r w:rsidR="00553BEC">
        <w:t xml:space="preserve">: </w:t>
      </w:r>
      <w:r w:rsidR="00FA7EEA">
        <w:t xml:space="preserve">Search strategy – </w:t>
      </w:r>
      <w:r w:rsidR="00630654">
        <w:t xml:space="preserve">SLR: </w:t>
      </w:r>
      <w:r w:rsidR="00FA7EEA">
        <w:t>Update of 2018 Schwander</w:t>
      </w:r>
      <w:r w:rsidR="00B626C2">
        <w:t xml:space="preserve"> review</w:t>
      </w:r>
    </w:p>
    <w:p w14:paraId="6E9F7D82" w14:textId="13DEA14E" w:rsidR="00FA7EEA" w:rsidRDefault="00FA7EEA" w:rsidP="00553BEC">
      <w:pPr>
        <w:pStyle w:val="Heading2"/>
      </w:pPr>
      <w:r>
        <w:t>Ovid MEDLINE</w:t>
      </w:r>
      <w:r w:rsidR="00BD4352" w:rsidRPr="00BD4352">
        <w:t xml:space="preserve"> </w:t>
      </w:r>
      <w:r w:rsidR="00BD4352">
        <w:t>(</w:t>
      </w:r>
      <w:r w:rsidR="00BD4352" w:rsidRPr="00BD4352">
        <w:t>Search date: 2024-01-05</w:t>
      </w:r>
      <w:r w:rsidR="00BD4352">
        <w:t>)</w:t>
      </w:r>
    </w:p>
    <w:tbl>
      <w:tblPr>
        <w:tblStyle w:val="TableGrid"/>
        <w:tblW w:w="9129" w:type="dxa"/>
        <w:tblLook w:val="04A0" w:firstRow="1" w:lastRow="0" w:firstColumn="1" w:lastColumn="0" w:noHBand="0" w:noVBand="1"/>
      </w:tblPr>
      <w:tblGrid>
        <w:gridCol w:w="1298"/>
        <w:gridCol w:w="6850"/>
        <w:gridCol w:w="981"/>
      </w:tblGrid>
      <w:tr w:rsidR="00A774D7" w:rsidRPr="00A774D7" w14:paraId="5D613A46" w14:textId="77777777" w:rsidTr="00153B2F">
        <w:tc>
          <w:tcPr>
            <w:tcW w:w="1298" w:type="dxa"/>
            <w:shd w:val="clear" w:color="auto" w:fill="D9D9D9" w:themeFill="background1" w:themeFillShade="D9"/>
          </w:tcPr>
          <w:p w14:paraId="3CCF5FBD" w14:textId="675F7213" w:rsidR="00A774D7" w:rsidRPr="00A774D7" w:rsidRDefault="001A23A3" w:rsidP="001A23A3">
            <w:pPr>
              <w:jc w:val="center"/>
            </w:pPr>
            <w:r>
              <w:t>#</w:t>
            </w:r>
          </w:p>
        </w:tc>
        <w:tc>
          <w:tcPr>
            <w:tcW w:w="6850" w:type="dxa"/>
            <w:shd w:val="clear" w:color="auto" w:fill="D9D9D9" w:themeFill="background1" w:themeFillShade="D9"/>
          </w:tcPr>
          <w:p w14:paraId="7A98AE4C" w14:textId="567CB484" w:rsidR="00A774D7" w:rsidRPr="00A774D7" w:rsidRDefault="001A23A3" w:rsidP="001A23A3">
            <w:pPr>
              <w:jc w:val="center"/>
            </w:pPr>
            <w:r>
              <w:t>Search terms</w:t>
            </w:r>
          </w:p>
        </w:tc>
        <w:tc>
          <w:tcPr>
            <w:tcW w:w="981" w:type="dxa"/>
            <w:shd w:val="clear" w:color="auto" w:fill="D9D9D9" w:themeFill="background1" w:themeFillShade="D9"/>
          </w:tcPr>
          <w:p w14:paraId="4E63953E" w14:textId="38F39C4A" w:rsidR="00A774D7" w:rsidRPr="00A774D7" w:rsidRDefault="001A23A3" w:rsidP="001A23A3">
            <w:pPr>
              <w:jc w:val="center"/>
            </w:pPr>
            <w:r>
              <w:t>Hits</w:t>
            </w:r>
          </w:p>
        </w:tc>
      </w:tr>
      <w:tr w:rsidR="00153B2F" w:rsidRPr="00A774D7" w14:paraId="1FC46C36" w14:textId="77777777" w:rsidTr="00153B2F">
        <w:tc>
          <w:tcPr>
            <w:tcW w:w="1298" w:type="dxa"/>
          </w:tcPr>
          <w:p w14:paraId="0F45F2CD" w14:textId="0357DF89" w:rsidR="00153B2F" w:rsidRPr="00A774D7" w:rsidRDefault="00153B2F" w:rsidP="00153B2F">
            <w:r w:rsidRPr="00581C32">
              <w:t>1</w:t>
            </w:r>
          </w:p>
        </w:tc>
        <w:tc>
          <w:tcPr>
            <w:tcW w:w="6850" w:type="dxa"/>
          </w:tcPr>
          <w:p w14:paraId="09804BFD" w14:textId="46A29C04" w:rsidR="00153B2F" w:rsidRPr="00A774D7" w:rsidRDefault="00153B2F" w:rsidP="00153B2F">
            <w:r w:rsidRPr="00581C32">
              <w:t>exp Obesity/</w:t>
            </w:r>
          </w:p>
        </w:tc>
        <w:tc>
          <w:tcPr>
            <w:tcW w:w="981" w:type="dxa"/>
          </w:tcPr>
          <w:p w14:paraId="19EFCE27" w14:textId="526A0E80" w:rsidR="00153B2F" w:rsidRPr="00A774D7" w:rsidRDefault="00153B2F" w:rsidP="00153B2F">
            <w:r w:rsidRPr="00581C32">
              <w:t>265467</w:t>
            </w:r>
          </w:p>
        </w:tc>
      </w:tr>
      <w:tr w:rsidR="00153B2F" w:rsidRPr="00A774D7" w14:paraId="38A8086F" w14:textId="77777777" w:rsidTr="00153B2F">
        <w:tc>
          <w:tcPr>
            <w:tcW w:w="1298" w:type="dxa"/>
          </w:tcPr>
          <w:p w14:paraId="4D781661" w14:textId="28F83341" w:rsidR="00153B2F" w:rsidRPr="00A774D7" w:rsidRDefault="00153B2F" w:rsidP="00153B2F">
            <w:r w:rsidRPr="00581C32">
              <w:t>2</w:t>
            </w:r>
          </w:p>
        </w:tc>
        <w:tc>
          <w:tcPr>
            <w:tcW w:w="6850" w:type="dxa"/>
          </w:tcPr>
          <w:p w14:paraId="12FF5B03" w14:textId="41CE3F1D" w:rsidR="00153B2F" w:rsidRPr="00A774D7" w:rsidRDefault="00153B2F" w:rsidP="00153B2F">
            <w:r w:rsidRPr="00581C32">
              <w:t>exp Overweight/</w:t>
            </w:r>
          </w:p>
        </w:tc>
        <w:tc>
          <w:tcPr>
            <w:tcW w:w="981" w:type="dxa"/>
          </w:tcPr>
          <w:p w14:paraId="69533869" w14:textId="707A9B8D" w:rsidR="00153B2F" w:rsidRPr="00A774D7" w:rsidRDefault="00153B2F" w:rsidP="00153B2F">
            <w:r w:rsidRPr="00581C32">
              <w:t>277000</w:t>
            </w:r>
          </w:p>
        </w:tc>
      </w:tr>
      <w:tr w:rsidR="00153B2F" w:rsidRPr="00A774D7" w14:paraId="7376F6AF" w14:textId="77777777" w:rsidTr="00153B2F">
        <w:tc>
          <w:tcPr>
            <w:tcW w:w="1298" w:type="dxa"/>
          </w:tcPr>
          <w:p w14:paraId="21586092" w14:textId="7DA39F61" w:rsidR="00153B2F" w:rsidRPr="00A774D7" w:rsidRDefault="00153B2F" w:rsidP="00153B2F">
            <w:r w:rsidRPr="00581C32">
              <w:t>3</w:t>
            </w:r>
          </w:p>
        </w:tc>
        <w:tc>
          <w:tcPr>
            <w:tcW w:w="6850" w:type="dxa"/>
          </w:tcPr>
          <w:p w14:paraId="567D7723" w14:textId="1AB19B02" w:rsidR="00153B2F" w:rsidRPr="00A774D7" w:rsidRDefault="00153B2F" w:rsidP="00153B2F">
            <w:r w:rsidRPr="00581C32">
              <w:t>exp Weight Loss/</w:t>
            </w:r>
          </w:p>
        </w:tc>
        <w:tc>
          <w:tcPr>
            <w:tcW w:w="981" w:type="dxa"/>
          </w:tcPr>
          <w:p w14:paraId="2650591A" w14:textId="18DFD659" w:rsidR="00153B2F" w:rsidRPr="00A774D7" w:rsidRDefault="00153B2F" w:rsidP="00153B2F">
            <w:r w:rsidRPr="00581C32">
              <w:t>50138</w:t>
            </w:r>
          </w:p>
        </w:tc>
      </w:tr>
      <w:tr w:rsidR="00153B2F" w:rsidRPr="00A774D7" w14:paraId="076F5870" w14:textId="77777777" w:rsidTr="00153B2F">
        <w:tc>
          <w:tcPr>
            <w:tcW w:w="1298" w:type="dxa"/>
          </w:tcPr>
          <w:p w14:paraId="35E29947" w14:textId="43F07F28" w:rsidR="00153B2F" w:rsidRPr="00A774D7" w:rsidRDefault="00153B2F" w:rsidP="00153B2F">
            <w:r w:rsidRPr="00581C32">
              <w:t>4</w:t>
            </w:r>
          </w:p>
        </w:tc>
        <w:tc>
          <w:tcPr>
            <w:tcW w:w="6850" w:type="dxa"/>
          </w:tcPr>
          <w:p w14:paraId="511EFC74" w14:textId="62106EE6" w:rsidR="00153B2F" w:rsidRPr="00A774D7" w:rsidRDefault="00153B2F" w:rsidP="00153B2F">
            <w:r w:rsidRPr="00581C32">
              <w:t>exp Economics/</w:t>
            </w:r>
          </w:p>
        </w:tc>
        <w:tc>
          <w:tcPr>
            <w:tcW w:w="981" w:type="dxa"/>
          </w:tcPr>
          <w:p w14:paraId="2CC7C8CE" w14:textId="377F508C" w:rsidR="00153B2F" w:rsidRPr="00A774D7" w:rsidRDefault="00153B2F" w:rsidP="00153B2F">
            <w:r w:rsidRPr="00581C32">
              <w:t>668005</w:t>
            </w:r>
          </w:p>
        </w:tc>
      </w:tr>
      <w:tr w:rsidR="00153B2F" w:rsidRPr="00A774D7" w14:paraId="4D2B4C59" w14:textId="77777777" w:rsidTr="00153B2F">
        <w:tc>
          <w:tcPr>
            <w:tcW w:w="1298" w:type="dxa"/>
          </w:tcPr>
          <w:p w14:paraId="55A06CBF" w14:textId="3D84F1FA" w:rsidR="00153B2F" w:rsidRPr="00A774D7" w:rsidRDefault="00153B2F" w:rsidP="00153B2F">
            <w:r w:rsidRPr="00581C32">
              <w:t>5</w:t>
            </w:r>
          </w:p>
        </w:tc>
        <w:tc>
          <w:tcPr>
            <w:tcW w:w="6850" w:type="dxa"/>
          </w:tcPr>
          <w:p w14:paraId="0678ADBD" w14:textId="332BD5A4" w:rsidR="00153B2F" w:rsidRPr="00A774D7" w:rsidRDefault="00153B2F" w:rsidP="00153B2F">
            <w:r w:rsidRPr="00581C32">
              <w:t>economic model*.ab,kw.</w:t>
            </w:r>
          </w:p>
        </w:tc>
        <w:tc>
          <w:tcPr>
            <w:tcW w:w="981" w:type="dxa"/>
          </w:tcPr>
          <w:p w14:paraId="5EADD0AC" w14:textId="79BFB9DA" w:rsidR="00153B2F" w:rsidRPr="00A774D7" w:rsidRDefault="00153B2F" w:rsidP="00153B2F">
            <w:r w:rsidRPr="00581C32">
              <w:t>4264</w:t>
            </w:r>
          </w:p>
        </w:tc>
      </w:tr>
      <w:tr w:rsidR="00153B2F" w:rsidRPr="00A774D7" w14:paraId="2BE2CB77" w14:textId="77777777" w:rsidTr="00153B2F">
        <w:tc>
          <w:tcPr>
            <w:tcW w:w="1298" w:type="dxa"/>
          </w:tcPr>
          <w:p w14:paraId="111CC176" w14:textId="6A9A4D2A" w:rsidR="00153B2F" w:rsidRPr="00A774D7" w:rsidRDefault="00153B2F" w:rsidP="00153B2F">
            <w:r w:rsidRPr="00581C32">
              <w:t>6</w:t>
            </w:r>
          </w:p>
        </w:tc>
        <w:tc>
          <w:tcPr>
            <w:tcW w:w="6850" w:type="dxa"/>
          </w:tcPr>
          <w:p w14:paraId="17367827" w14:textId="5BF23AB0" w:rsidR="00153B2F" w:rsidRPr="00A774D7" w:rsidRDefault="00153B2F" w:rsidP="00153B2F">
            <w:r w:rsidRPr="00581C32">
              <w:t>economic evaluation.ti,ab.</w:t>
            </w:r>
          </w:p>
        </w:tc>
        <w:tc>
          <w:tcPr>
            <w:tcW w:w="981" w:type="dxa"/>
          </w:tcPr>
          <w:p w14:paraId="1FAC310F" w14:textId="1AC75617" w:rsidR="00153B2F" w:rsidRPr="00A774D7" w:rsidRDefault="00153B2F" w:rsidP="00153B2F">
            <w:r w:rsidRPr="00581C32">
              <w:t>11984</w:t>
            </w:r>
          </w:p>
        </w:tc>
      </w:tr>
      <w:tr w:rsidR="00153B2F" w:rsidRPr="00A774D7" w14:paraId="588CE903" w14:textId="77777777" w:rsidTr="00153B2F">
        <w:tc>
          <w:tcPr>
            <w:tcW w:w="1298" w:type="dxa"/>
          </w:tcPr>
          <w:p w14:paraId="36A464DB" w14:textId="34A4C4B8" w:rsidR="00153B2F" w:rsidRPr="00A774D7" w:rsidRDefault="00153B2F" w:rsidP="00153B2F">
            <w:r w:rsidRPr="00581C32">
              <w:t>7</w:t>
            </w:r>
          </w:p>
        </w:tc>
        <w:tc>
          <w:tcPr>
            <w:tcW w:w="6850" w:type="dxa"/>
          </w:tcPr>
          <w:p w14:paraId="5BBDEA1E" w14:textId="2D0D40F9" w:rsidR="00153B2F" w:rsidRPr="00A774D7" w:rsidRDefault="00153B2F" w:rsidP="00153B2F">
            <w:r w:rsidRPr="00581C32">
              <w:t>(cost* adj2 (effective* or utilit* or benefit* or analy* or outcome or outcomes)).ab,kw.</w:t>
            </w:r>
          </w:p>
        </w:tc>
        <w:tc>
          <w:tcPr>
            <w:tcW w:w="981" w:type="dxa"/>
          </w:tcPr>
          <w:p w14:paraId="1FCB6275" w14:textId="566874F4" w:rsidR="00153B2F" w:rsidRPr="00A774D7" w:rsidRDefault="00153B2F" w:rsidP="00153B2F">
            <w:r w:rsidRPr="00581C32">
              <w:t>209130</w:t>
            </w:r>
          </w:p>
        </w:tc>
      </w:tr>
      <w:tr w:rsidR="00153B2F" w:rsidRPr="00A774D7" w14:paraId="6DDCAD57" w14:textId="77777777" w:rsidTr="00153B2F">
        <w:tc>
          <w:tcPr>
            <w:tcW w:w="1298" w:type="dxa"/>
          </w:tcPr>
          <w:p w14:paraId="30D3EF02" w14:textId="53C652BC" w:rsidR="00153B2F" w:rsidRPr="00A774D7" w:rsidRDefault="00153B2F" w:rsidP="00153B2F">
            <w:r w:rsidRPr="00581C32">
              <w:t>8</w:t>
            </w:r>
          </w:p>
        </w:tc>
        <w:tc>
          <w:tcPr>
            <w:tcW w:w="6850" w:type="dxa"/>
          </w:tcPr>
          <w:p w14:paraId="4D84EE2D" w14:textId="6F00F010" w:rsidR="00153B2F" w:rsidRPr="00A774D7" w:rsidRDefault="00153B2F" w:rsidP="00153B2F">
            <w:r w:rsidRPr="00581C32">
              <w:t>markov.ti,ab,kw.</w:t>
            </w:r>
          </w:p>
        </w:tc>
        <w:tc>
          <w:tcPr>
            <w:tcW w:w="981" w:type="dxa"/>
          </w:tcPr>
          <w:p w14:paraId="7FB21500" w14:textId="2159ED57" w:rsidR="00153B2F" w:rsidRPr="00A774D7" w:rsidRDefault="00153B2F" w:rsidP="00153B2F">
            <w:r w:rsidRPr="00581C32">
              <w:t>28692</w:t>
            </w:r>
          </w:p>
        </w:tc>
      </w:tr>
      <w:tr w:rsidR="00153B2F" w:rsidRPr="00A774D7" w14:paraId="5A2ADA05" w14:textId="77777777" w:rsidTr="00153B2F">
        <w:tc>
          <w:tcPr>
            <w:tcW w:w="1298" w:type="dxa"/>
          </w:tcPr>
          <w:p w14:paraId="45F2C4B0" w14:textId="2F89AD15" w:rsidR="00153B2F" w:rsidRPr="00A774D7" w:rsidRDefault="00153B2F" w:rsidP="00153B2F">
            <w:r w:rsidRPr="00581C32">
              <w:t>9</w:t>
            </w:r>
          </w:p>
        </w:tc>
        <w:tc>
          <w:tcPr>
            <w:tcW w:w="6850" w:type="dxa"/>
          </w:tcPr>
          <w:p w14:paraId="0D7064F0" w14:textId="58304112" w:rsidR="00153B2F" w:rsidRPr="00A774D7" w:rsidRDefault="00153B2F" w:rsidP="00153B2F">
            <w:r w:rsidRPr="00581C32">
              <w:t>(decision* adj2 (tree* or analy* or model*)).ti,ab,kw.</w:t>
            </w:r>
          </w:p>
        </w:tc>
        <w:tc>
          <w:tcPr>
            <w:tcW w:w="981" w:type="dxa"/>
          </w:tcPr>
          <w:p w14:paraId="2BDD0C3A" w14:textId="1BE4DA5A" w:rsidR="00153B2F" w:rsidRPr="00A774D7" w:rsidRDefault="00153B2F" w:rsidP="00153B2F">
            <w:r w:rsidRPr="00581C32">
              <w:t>39643</w:t>
            </w:r>
          </w:p>
        </w:tc>
      </w:tr>
      <w:tr w:rsidR="00153B2F" w:rsidRPr="00A774D7" w14:paraId="35D1DE74" w14:textId="77777777" w:rsidTr="00153B2F">
        <w:tc>
          <w:tcPr>
            <w:tcW w:w="1298" w:type="dxa"/>
          </w:tcPr>
          <w:p w14:paraId="38FAE090" w14:textId="5A774B36" w:rsidR="00153B2F" w:rsidRPr="00A774D7" w:rsidRDefault="00153B2F" w:rsidP="00153B2F">
            <w:r w:rsidRPr="00581C32">
              <w:t>10</w:t>
            </w:r>
          </w:p>
        </w:tc>
        <w:tc>
          <w:tcPr>
            <w:tcW w:w="6850" w:type="dxa"/>
          </w:tcPr>
          <w:p w14:paraId="0B85B9A0" w14:textId="2079BCC9" w:rsidR="00153B2F" w:rsidRPr="00A774D7" w:rsidRDefault="00153B2F" w:rsidP="00153B2F">
            <w:r w:rsidRPr="00581C32">
              <w:t>((Micro or Discrete or Agent) adj2 simulation).ti,ab,kw.</w:t>
            </w:r>
          </w:p>
        </w:tc>
        <w:tc>
          <w:tcPr>
            <w:tcW w:w="981" w:type="dxa"/>
          </w:tcPr>
          <w:p w14:paraId="242EE347" w14:textId="79DB8D0E" w:rsidR="00153B2F" w:rsidRPr="00A774D7" w:rsidRDefault="00153B2F" w:rsidP="00153B2F">
            <w:r w:rsidRPr="00581C32">
              <w:t>1823</w:t>
            </w:r>
          </w:p>
        </w:tc>
      </w:tr>
      <w:tr w:rsidR="00153B2F" w:rsidRPr="00A774D7" w14:paraId="75712FBB" w14:textId="77777777" w:rsidTr="00153B2F">
        <w:tc>
          <w:tcPr>
            <w:tcW w:w="1298" w:type="dxa"/>
          </w:tcPr>
          <w:p w14:paraId="4F4FE2CE" w14:textId="2166596E" w:rsidR="00153B2F" w:rsidRPr="00A774D7" w:rsidRDefault="00153B2F" w:rsidP="00153B2F">
            <w:r w:rsidRPr="00581C32">
              <w:t>11</w:t>
            </w:r>
          </w:p>
        </w:tc>
        <w:tc>
          <w:tcPr>
            <w:tcW w:w="6850" w:type="dxa"/>
          </w:tcPr>
          <w:p w14:paraId="46BCCA6F" w14:textId="7C0CF3F9" w:rsidR="00153B2F" w:rsidRPr="00A774D7" w:rsidRDefault="00153B2F" w:rsidP="00153B2F">
            <w:r w:rsidRPr="00581C32">
              <w:t>4 or 5 or 6 or 7 or 8 or 9 or 10</w:t>
            </w:r>
          </w:p>
        </w:tc>
        <w:tc>
          <w:tcPr>
            <w:tcW w:w="981" w:type="dxa"/>
          </w:tcPr>
          <w:p w14:paraId="53AED6BF" w14:textId="3751FAF8" w:rsidR="00153B2F" w:rsidRPr="00A774D7" w:rsidRDefault="00153B2F" w:rsidP="00153B2F">
            <w:r w:rsidRPr="00581C32">
              <w:t>864350</w:t>
            </w:r>
          </w:p>
        </w:tc>
      </w:tr>
      <w:tr w:rsidR="00153B2F" w:rsidRPr="00A774D7" w14:paraId="60342198" w14:textId="77777777" w:rsidTr="00153B2F">
        <w:tc>
          <w:tcPr>
            <w:tcW w:w="1298" w:type="dxa"/>
          </w:tcPr>
          <w:p w14:paraId="7A2651E0" w14:textId="5F15D110" w:rsidR="00153B2F" w:rsidRPr="00A774D7" w:rsidRDefault="00153B2F" w:rsidP="00153B2F">
            <w:r w:rsidRPr="00581C32">
              <w:t>12</w:t>
            </w:r>
          </w:p>
        </w:tc>
        <w:tc>
          <w:tcPr>
            <w:tcW w:w="6850" w:type="dxa"/>
          </w:tcPr>
          <w:p w14:paraId="2B200672" w14:textId="63022BE7" w:rsidR="00153B2F" w:rsidRPr="00A774D7" w:rsidRDefault="00153B2F" w:rsidP="00153B2F">
            <w:r w:rsidRPr="00581C32">
              <w:t>1 or 2 or 3</w:t>
            </w:r>
          </w:p>
        </w:tc>
        <w:tc>
          <w:tcPr>
            <w:tcW w:w="981" w:type="dxa"/>
          </w:tcPr>
          <w:p w14:paraId="06A417DD" w14:textId="655B15A2" w:rsidR="00153B2F" w:rsidRPr="00A774D7" w:rsidRDefault="00153B2F" w:rsidP="00153B2F">
            <w:r w:rsidRPr="00581C32">
              <w:t>302214</w:t>
            </w:r>
          </w:p>
        </w:tc>
      </w:tr>
      <w:tr w:rsidR="00153B2F" w:rsidRPr="00A774D7" w14:paraId="446860DC" w14:textId="77777777" w:rsidTr="00153B2F">
        <w:tc>
          <w:tcPr>
            <w:tcW w:w="1298" w:type="dxa"/>
          </w:tcPr>
          <w:p w14:paraId="0F31F4EC" w14:textId="7259C416" w:rsidR="00153B2F" w:rsidRPr="00A774D7" w:rsidRDefault="00153B2F" w:rsidP="00153B2F">
            <w:r w:rsidRPr="00581C32">
              <w:t>13</w:t>
            </w:r>
          </w:p>
        </w:tc>
        <w:tc>
          <w:tcPr>
            <w:tcW w:w="6850" w:type="dxa"/>
          </w:tcPr>
          <w:p w14:paraId="0A8DA87A" w14:textId="78C470D5" w:rsidR="00153B2F" w:rsidRPr="00A774D7" w:rsidRDefault="00153B2F" w:rsidP="00153B2F">
            <w:r w:rsidRPr="00581C32">
              <w:t>11 and 12</w:t>
            </w:r>
          </w:p>
        </w:tc>
        <w:tc>
          <w:tcPr>
            <w:tcW w:w="981" w:type="dxa"/>
          </w:tcPr>
          <w:p w14:paraId="77850045" w14:textId="23298A80" w:rsidR="00153B2F" w:rsidRPr="00A774D7" w:rsidRDefault="00153B2F" w:rsidP="00153B2F">
            <w:r w:rsidRPr="00581C32">
              <w:t>6400</w:t>
            </w:r>
          </w:p>
        </w:tc>
      </w:tr>
      <w:tr w:rsidR="00153B2F" w:rsidRPr="00A774D7" w14:paraId="64BB819E" w14:textId="77777777" w:rsidTr="00153B2F">
        <w:tc>
          <w:tcPr>
            <w:tcW w:w="1298" w:type="dxa"/>
          </w:tcPr>
          <w:p w14:paraId="50227533" w14:textId="0BB3125E" w:rsidR="00153B2F" w:rsidRPr="00A774D7" w:rsidRDefault="00153B2F" w:rsidP="00153B2F">
            <w:r w:rsidRPr="00581C32">
              <w:t>14</w:t>
            </w:r>
          </w:p>
        </w:tc>
        <w:tc>
          <w:tcPr>
            <w:tcW w:w="6850" w:type="dxa"/>
          </w:tcPr>
          <w:p w14:paraId="54F70642" w14:textId="7B895444" w:rsidR="00153B2F" w:rsidRPr="00A774D7" w:rsidRDefault="00153B2F" w:rsidP="00153B2F">
            <w:r w:rsidRPr="00581C32">
              <w:t>limit 13 to yr="</w:t>
            </w:r>
            <w:r w:rsidR="00A4131C">
              <w:t>2015</w:t>
            </w:r>
            <w:r w:rsidR="00A4131C" w:rsidRPr="00581C32">
              <w:t xml:space="preserve"> </w:t>
            </w:r>
            <w:r w:rsidRPr="00581C32">
              <w:t>-Current"</w:t>
            </w:r>
          </w:p>
        </w:tc>
        <w:tc>
          <w:tcPr>
            <w:tcW w:w="981" w:type="dxa"/>
          </w:tcPr>
          <w:p w14:paraId="23B7FEED" w14:textId="3DA7A92C" w:rsidR="00153B2F" w:rsidRPr="00A774D7" w:rsidRDefault="00153B2F" w:rsidP="00153B2F">
            <w:r w:rsidRPr="00581C32">
              <w:t>6158</w:t>
            </w:r>
          </w:p>
        </w:tc>
      </w:tr>
      <w:tr w:rsidR="00153B2F" w:rsidRPr="00A774D7" w14:paraId="1229EB5D" w14:textId="77777777" w:rsidTr="00153B2F">
        <w:tc>
          <w:tcPr>
            <w:tcW w:w="1298" w:type="dxa"/>
          </w:tcPr>
          <w:p w14:paraId="0737E7C8" w14:textId="6411C67D" w:rsidR="00153B2F" w:rsidRPr="00A774D7" w:rsidRDefault="00153B2F" w:rsidP="00153B2F">
            <w:r w:rsidRPr="00581C32">
              <w:t>15</w:t>
            </w:r>
          </w:p>
        </w:tc>
        <w:tc>
          <w:tcPr>
            <w:tcW w:w="6850" w:type="dxa"/>
          </w:tcPr>
          <w:p w14:paraId="06C38E5F" w14:textId="18F88A85" w:rsidR="00153B2F" w:rsidRPr="00A774D7" w:rsidRDefault="00153B2F" w:rsidP="00153B2F">
            <w:r w:rsidRPr="00581C32">
              <w:t>limit 14 to "all adult (19 plus years)"</w:t>
            </w:r>
          </w:p>
        </w:tc>
        <w:tc>
          <w:tcPr>
            <w:tcW w:w="981" w:type="dxa"/>
          </w:tcPr>
          <w:p w14:paraId="17397428" w14:textId="11E6D361" w:rsidR="00153B2F" w:rsidRPr="00A774D7" w:rsidRDefault="00153B2F" w:rsidP="00153B2F">
            <w:r w:rsidRPr="00581C32">
              <w:t>2986</w:t>
            </w:r>
          </w:p>
        </w:tc>
      </w:tr>
    </w:tbl>
    <w:p w14:paraId="259722BF" w14:textId="77777777" w:rsidR="00FA7EEA" w:rsidRDefault="00FA7EEA" w:rsidP="00553BEC"/>
    <w:p w14:paraId="575063B6" w14:textId="7FD75F4C" w:rsidR="00FA7EEA" w:rsidRDefault="00FA7EEA" w:rsidP="00553BEC">
      <w:pPr>
        <w:pStyle w:val="Heading2"/>
      </w:pPr>
      <w:r>
        <w:t>Embase</w:t>
      </w:r>
      <w:r w:rsidR="00BD4352" w:rsidRPr="00BD4352">
        <w:t xml:space="preserve"> </w:t>
      </w:r>
      <w:r w:rsidR="00BD4352">
        <w:t>(</w:t>
      </w:r>
      <w:r w:rsidR="00BD4352" w:rsidRPr="00BD4352">
        <w:t>Search date: 2024-01-05</w:t>
      </w:r>
      <w:r w:rsidR="00BD4352">
        <w:t>)</w:t>
      </w:r>
    </w:p>
    <w:tbl>
      <w:tblPr>
        <w:tblStyle w:val="TableGrid"/>
        <w:tblW w:w="9129" w:type="dxa"/>
        <w:tblLook w:val="04A0" w:firstRow="1" w:lastRow="0" w:firstColumn="1" w:lastColumn="0" w:noHBand="0" w:noVBand="1"/>
      </w:tblPr>
      <w:tblGrid>
        <w:gridCol w:w="1161"/>
        <w:gridCol w:w="6984"/>
        <w:gridCol w:w="984"/>
      </w:tblGrid>
      <w:tr w:rsidR="009C4DDD" w:rsidRPr="00A774D7" w14:paraId="55467CB7" w14:textId="77777777" w:rsidTr="00505B02">
        <w:tc>
          <w:tcPr>
            <w:tcW w:w="1161" w:type="dxa"/>
            <w:shd w:val="clear" w:color="auto" w:fill="D9D9D9" w:themeFill="background1" w:themeFillShade="D9"/>
          </w:tcPr>
          <w:p w14:paraId="3561E3A1" w14:textId="77777777" w:rsidR="009C4DDD" w:rsidRPr="00A774D7" w:rsidRDefault="009C4DDD" w:rsidP="00A2331B">
            <w:pPr>
              <w:jc w:val="center"/>
            </w:pPr>
            <w:r>
              <w:t>#</w:t>
            </w:r>
          </w:p>
        </w:tc>
        <w:tc>
          <w:tcPr>
            <w:tcW w:w="6984" w:type="dxa"/>
            <w:shd w:val="clear" w:color="auto" w:fill="D9D9D9" w:themeFill="background1" w:themeFillShade="D9"/>
          </w:tcPr>
          <w:p w14:paraId="07666C9C" w14:textId="77777777" w:rsidR="009C4DDD" w:rsidRPr="00A774D7" w:rsidRDefault="009C4DDD" w:rsidP="00A2331B">
            <w:pPr>
              <w:jc w:val="center"/>
            </w:pPr>
            <w:r>
              <w:t>Search terms</w:t>
            </w:r>
          </w:p>
        </w:tc>
        <w:tc>
          <w:tcPr>
            <w:tcW w:w="984" w:type="dxa"/>
            <w:shd w:val="clear" w:color="auto" w:fill="D9D9D9" w:themeFill="background1" w:themeFillShade="D9"/>
          </w:tcPr>
          <w:p w14:paraId="7F615D55" w14:textId="77777777" w:rsidR="009C4DDD" w:rsidRPr="00A774D7" w:rsidRDefault="009C4DDD" w:rsidP="00A2331B">
            <w:pPr>
              <w:jc w:val="center"/>
            </w:pPr>
            <w:r>
              <w:t>Hits</w:t>
            </w:r>
          </w:p>
        </w:tc>
      </w:tr>
      <w:tr w:rsidR="00153B2F" w:rsidRPr="009C4DDD" w14:paraId="718EAD61" w14:textId="77777777" w:rsidTr="00505B02">
        <w:tc>
          <w:tcPr>
            <w:tcW w:w="1161" w:type="dxa"/>
          </w:tcPr>
          <w:p w14:paraId="27C150B0" w14:textId="57763E57" w:rsidR="00153B2F" w:rsidRPr="009C4DDD" w:rsidRDefault="00153B2F" w:rsidP="00153B2F">
            <w:r w:rsidRPr="004269A0">
              <w:t>1</w:t>
            </w:r>
          </w:p>
        </w:tc>
        <w:tc>
          <w:tcPr>
            <w:tcW w:w="6984" w:type="dxa"/>
          </w:tcPr>
          <w:p w14:paraId="3E4125F6" w14:textId="06CDF554" w:rsidR="00153B2F" w:rsidRPr="009C4DDD" w:rsidRDefault="00153B2F" w:rsidP="00153B2F">
            <w:r w:rsidRPr="004269A0">
              <w:t>exp Obesity/</w:t>
            </w:r>
          </w:p>
        </w:tc>
        <w:tc>
          <w:tcPr>
            <w:tcW w:w="984" w:type="dxa"/>
          </w:tcPr>
          <w:p w14:paraId="645A26C8" w14:textId="654D3E41" w:rsidR="00153B2F" w:rsidRPr="009C4DDD" w:rsidRDefault="00153B2F" w:rsidP="00153B2F">
            <w:r w:rsidRPr="004269A0">
              <w:t>675344</w:t>
            </w:r>
          </w:p>
        </w:tc>
      </w:tr>
      <w:tr w:rsidR="00153B2F" w:rsidRPr="009C4DDD" w14:paraId="4055F6A1" w14:textId="77777777" w:rsidTr="00505B02">
        <w:tc>
          <w:tcPr>
            <w:tcW w:w="1161" w:type="dxa"/>
          </w:tcPr>
          <w:p w14:paraId="099E6391" w14:textId="20A9EB7C" w:rsidR="00153B2F" w:rsidRPr="009C4DDD" w:rsidRDefault="00153B2F" w:rsidP="00153B2F">
            <w:r w:rsidRPr="004269A0">
              <w:t>2</w:t>
            </w:r>
          </w:p>
        </w:tc>
        <w:tc>
          <w:tcPr>
            <w:tcW w:w="6984" w:type="dxa"/>
          </w:tcPr>
          <w:p w14:paraId="1C5E78EF" w14:textId="0A806A0A" w:rsidR="00153B2F" w:rsidRPr="009C4DDD" w:rsidRDefault="00153B2F" w:rsidP="00153B2F">
            <w:r w:rsidRPr="004269A0">
              <w:t>exp Overweight/</w:t>
            </w:r>
          </w:p>
        </w:tc>
        <w:tc>
          <w:tcPr>
            <w:tcW w:w="984" w:type="dxa"/>
          </w:tcPr>
          <w:p w14:paraId="6F5238B2" w14:textId="2FC96EDC" w:rsidR="00153B2F" w:rsidRPr="009C4DDD" w:rsidRDefault="00153B2F" w:rsidP="00153B2F">
            <w:r w:rsidRPr="004269A0">
              <w:t>675344</w:t>
            </w:r>
          </w:p>
        </w:tc>
      </w:tr>
      <w:tr w:rsidR="00153B2F" w:rsidRPr="009C4DDD" w14:paraId="3530121C" w14:textId="77777777" w:rsidTr="00505B02">
        <w:tc>
          <w:tcPr>
            <w:tcW w:w="1161" w:type="dxa"/>
          </w:tcPr>
          <w:p w14:paraId="3CE362F8" w14:textId="139FE79F" w:rsidR="00153B2F" w:rsidRPr="009C4DDD" w:rsidRDefault="00153B2F" w:rsidP="00153B2F">
            <w:r w:rsidRPr="004269A0">
              <w:t>3</w:t>
            </w:r>
          </w:p>
        </w:tc>
        <w:tc>
          <w:tcPr>
            <w:tcW w:w="6984" w:type="dxa"/>
          </w:tcPr>
          <w:p w14:paraId="7A588DD2" w14:textId="32A49E06" w:rsidR="00153B2F" w:rsidRPr="009C4DDD" w:rsidRDefault="00153B2F" w:rsidP="00153B2F">
            <w:r w:rsidRPr="004269A0">
              <w:t>exp "Weight Loss"/</w:t>
            </w:r>
          </w:p>
        </w:tc>
        <w:tc>
          <w:tcPr>
            <w:tcW w:w="984" w:type="dxa"/>
          </w:tcPr>
          <w:p w14:paraId="3245A74D" w14:textId="247B81A2" w:rsidR="00153B2F" w:rsidRPr="009C4DDD" w:rsidRDefault="00153B2F" w:rsidP="00153B2F">
            <w:r w:rsidRPr="004269A0">
              <w:t>92854</w:t>
            </w:r>
          </w:p>
        </w:tc>
      </w:tr>
      <w:tr w:rsidR="00153B2F" w:rsidRPr="009C4DDD" w14:paraId="482B1ABF" w14:textId="77777777" w:rsidTr="00505B02">
        <w:tc>
          <w:tcPr>
            <w:tcW w:w="1161" w:type="dxa"/>
          </w:tcPr>
          <w:p w14:paraId="10338D8C" w14:textId="08DEEBEA" w:rsidR="00153B2F" w:rsidRPr="009C4DDD" w:rsidRDefault="00153B2F" w:rsidP="00153B2F">
            <w:r w:rsidRPr="004269A0">
              <w:t>4</w:t>
            </w:r>
          </w:p>
        </w:tc>
        <w:tc>
          <w:tcPr>
            <w:tcW w:w="6984" w:type="dxa"/>
          </w:tcPr>
          <w:p w14:paraId="24C9F161" w14:textId="701774BC" w:rsidR="00153B2F" w:rsidRPr="009C4DDD" w:rsidRDefault="00153B2F" w:rsidP="00153B2F">
            <w:r w:rsidRPr="004269A0">
              <w:t>exp Economics/</w:t>
            </w:r>
          </w:p>
        </w:tc>
        <w:tc>
          <w:tcPr>
            <w:tcW w:w="984" w:type="dxa"/>
          </w:tcPr>
          <w:p w14:paraId="723DCE95" w14:textId="754C0900" w:rsidR="00153B2F" w:rsidRPr="009C4DDD" w:rsidRDefault="00153B2F" w:rsidP="00153B2F">
            <w:r w:rsidRPr="004269A0">
              <w:t>249866</w:t>
            </w:r>
          </w:p>
        </w:tc>
      </w:tr>
      <w:tr w:rsidR="00153B2F" w:rsidRPr="009C4DDD" w14:paraId="7757648B" w14:textId="77777777" w:rsidTr="00505B02">
        <w:tc>
          <w:tcPr>
            <w:tcW w:w="1161" w:type="dxa"/>
          </w:tcPr>
          <w:p w14:paraId="38ADEB87" w14:textId="5008C37F" w:rsidR="00153B2F" w:rsidRPr="009C4DDD" w:rsidRDefault="00153B2F" w:rsidP="00153B2F">
            <w:r w:rsidRPr="004269A0">
              <w:t>5</w:t>
            </w:r>
          </w:p>
        </w:tc>
        <w:tc>
          <w:tcPr>
            <w:tcW w:w="6984" w:type="dxa"/>
          </w:tcPr>
          <w:p w14:paraId="0331613B" w14:textId="7C3ED4E0" w:rsidR="00153B2F" w:rsidRPr="009C4DDD" w:rsidRDefault="00153B2F" w:rsidP="00153B2F">
            <w:r w:rsidRPr="004269A0">
              <w:t>economic model*.kw,ab.</w:t>
            </w:r>
          </w:p>
        </w:tc>
        <w:tc>
          <w:tcPr>
            <w:tcW w:w="984" w:type="dxa"/>
          </w:tcPr>
          <w:p w14:paraId="186BB6FA" w14:textId="018B9395" w:rsidR="00153B2F" w:rsidRPr="009C4DDD" w:rsidRDefault="00153B2F" w:rsidP="00153B2F">
            <w:r w:rsidRPr="004269A0">
              <w:t>6283</w:t>
            </w:r>
          </w:p>
        </w:tc>
      </w:tr>
      <w:tr w:rsidR="00153B2F" w:rsidRPr="009C4DDD" w14:paraId="101DF4C3" w14:textId="77777777" w:rsidTr="00505B02">
        <w:tc>
          <w:tcPr>
            <w:tcW w:w="1161" w:type="dxa"/>
          </w:tcPr>
          <w:p w14:paraId="6EB92387" w14:textId="1B7A85A9" w:rsidR="00153B2F" w:rsidRPr="009C4DDD" w:rsidRDefault="00153B2F" w:rsidP="00153B2F">
            <w:r w:rsidRPr="004269A0">
              <w:t>6</w:t>
            </w:r>
          </w:p>
        </w:tc>
        <w:tc>
          <w:tcPr>
            <w:tcW w:w="6984" w:type="dxa"/>
          </w:tcPr>
          <w:p w14:paraId="4F94D5C6" w14:textId="63A6E53F" w:rsidR="00153B2F" w:rsidRPr="009C4DDD" w:rsidRDefault="00153B2F" w:rsidP="00153B2F">
            <w:r w:rsidRPr="004269A0">
              <w:t>markov.kw,tw.</w:t>
            </w:r>
          </w:p>
        </w:tc>
        <w:tc>
          <w:tcPr>
            <w:tcW w:w="984" w:type="dxa"/>
          </w:tcPr>
          <w:p w14:paraId="1BD9DDC8" w14:textId="11E25A0A" w:rsidR="00153B2F" w:rsidRPr="009C4DDD" w:rsidRDefault="00153B2F" w:rsidP="00153B2F">
            <w:r w:rsidRPr="004269A0">
              <w:t>37197</w:t>
            </w:r>
          </w:p>
        </w:tc>
      </w:tr>
      <w:tr w:rsidR="00153B2F" w:rsidRPr="009C4DDD" w14:paraId="1A85E89E" w14:textId="77777777" w:rsidTr="00505B02">
        <w:tc>
          <w:tcPr>
            <w:tcW w:w="1161" w:type="dxa"/>
          </w:tcPr>
          <w:p w14:paraId="68438BAB" w14:textId="56FEFFF7" w:rsidR="00153B2F" w:rsidRPr="009C4DDD" w:rsidRDefault="00153B2F" w:rsidP="00153B2F">
            <w:r w:rsidRPr="004269A0">
              <w:t>7</w:t>
            </w:r>
          </w:p>
        </w:tc>
        <w:tc>
          <w:tcPr>
            <w:tcW w:w="6984" w:type="dxa"/>
          </w:tcPr>
          <w:p w14:paraId="02520D1F" w14:textId="35D4A3B6" w:rsidR="00153B2F" w:rsidRPr="009C4DDD" w:rsidRDefault="00153B2F" w:rsidP="00153B2F">
            <w:r w:rsidRPr="004269A0">
              <w:t>"economic evaluation".tw.</w:t>
            </w:r>
          </w:p>
        </w:tc>
        <w:tc>
          <w:tcPr>
            <w:tcW w:w="984" w:type="dxa"/>
          </w:tcPr>
          <w:p w14:paraId="20CE0441" w14:textId="47F225F9" w:rsidR="00153B2F" w:rsidRPr="009C4DDD" w:rsidRDefault="00153B2F" w:rsidP="00153B2F">
            <w:r w:rsidRPr="004269A0">
              <w:t>16626</w:t>
            </w:r>
          </w:p>
        </w:tc>
      </w:tr>
      <w:tr w:rsidR="00153B2F" w:rsidRPr="009C4DDD" w14:paraId="293C5012" w14:textId="77777777" w:rsidTr="00505B02">
        <w:tc>
          <w:tcPr>
            <w:tcW w:w="1161" w:type="dxa"/>
          </w:tcPr>
          <w:p w14:paraId="1E39A5F4" w14:textId="4BE68551" w:rsidR="00153B2F" w:rsidRPr="009C4DDD" w:rsidRDefault="00153B2F" w:rsidP="00153B2F">
            <w:r w:rsidRPr="004269A0">
              <w:t>8</w:t>
            </w:r>
          </w:p>
        </w:tc>
        <w:tc>
          <w:tcPr>
            <w:tcW w:w="6984" w:type="dxa"/>
          </w:tcPr>
          <w:p w14:paraId="24A05018" w14:textId="2B082277" w:rsidR="00153B2F" w:rsidRPr="009C4DDD" w:rsidRDefault="00153B2F" w:rsidP="00153B2F">
            <w:r w:rsidRPr="004269A0">
              <w:t>(cost* adj2 (effective* or utilit* or benefit* or analy* or outcome or outcomes)).ab,kw.</w:t>
            </w:r>
          </w:p>
        </w:tc>
        <w:tc>
          <w:tcPr>
            <w:tcW w:w="984" w:type="dxa"/>
          </w:tcPr>
          <w:p w14:paraId="352D6304" w14:textId="2808731D" w:rsidR="00153B2F" w:rsidRPr="009C4DDD" w:rsidRDefault="00153B2F" w:rsidP="00153B2F">
            <w:r w:rsidRPr="004269A0">
              <w:t>286272</w:t>
            </w:r>
          </w:p>
        </w:tc>
      </w:tr>
      <w:tr w:rsidR="00153B2F" w:rsidRPr="009C4DDD" w14:paraId="0064CFC9" w14:textId="77777777" w:rsidTr="00505B02">
        <w:tc>
          <w:tcPr>
            <w:tcW w:w="1161" w:type="dxa"/>
          </w:tcPr>
          <w:p w14:paraId="09D87E30" w14:textId="7524B6FE" w:rsidR="00153B2F" w:rsidRPr="009C4DDD" w:rsidRDefault="00153B2F" w:rsidP="00153B2F">
            <w:r w:rsidRPr="004269A0">
              <w:t>9</w:t>
            </w:r>
          </w:p>
        </w:tc>
        <w:tc>
          <w:tcPr>
            <w:tcW w:w="6984" w:type="dxa"/>
          </w:tcPr>
          <w:p w14:paraId="516D9B07" w14:textId="70288576" w:rsidR="00153B2F" w:rsidRPr="009C4DDD" w:rsidRDefault="00153B2F" w:rsidP="00153B2F">
            <w:r w:rsidRPr="004269A0">
              <w:t>(decision* adj2 (tree* or analy* or model*)).tw,kw.</w:t>
            </w:r>
          </w:p>
        </w:tc>
        <w:tc>
          <w:tcPr>
            <w:tcW w:w="984" w:type="dxa"/>
          </w:tcPr>
          <w:p w14:paraId="74E14018" w14:textId="34848E80" w:rsidR="00153B2F" w:rsidRPr="009C4DDD" w:rsidRDefault="00153B2F" w:rsidP="00153B2F">
            <w:r w:rsidRPr="004269A0">
              <w:t>52815</w:t>
            </w:r>
          </w:p>
        </w:tc>
      </w:tr>
      <w:tr w:rsidR="00153B2F" w:rsidRPr="009C4DDD" w14:paraId="163DEFCD" w14:textId="77777777" w:rsidTr="00505B02">
        <w:tc>
          <w:tcPr>
            <w:tcW w:w="1161" w:type="dxa"/>
          </w:tcPr>
          <w:p w14:paraId="3683F743" w14:textId="427FD9A6" w:rsidR="00153B2F" w:rsidRPr="009C4DDD" w:rsidRDefault="00153B2F" w:rsidP="00153B2F">
            <w:r w:rsidRPr="004269A0">
              <w:t>10</w:t>
            </w:r>
          </w:p>
        </w:tc>
        <w:tc>
          <w:tcPr>
            <w:tcW w:w="6984" w:type="dxa"/>
          </w:tcPr>
          <w:p w14:paraId="7FB18361" w14:textId="0FF6C744" w:rsidR="00153B2F" w:rsidRPr="009C4DDD" w:rsidRDefault="00153B2F" w:rsidP="00153B2F">
            <w:r w:rsidRPr="004269A0">
              <w:t>((Micro or Discrete or Agent) adj2 simulation).tw,kw.</w:t>
            </w:r>
          </w:p>
        </w:tc>
        <w:tc>
          <w:tcPr>
            <w:tcW w:w="984" w:type="dxa"/>
          </w:tcPr>
          <w:p w14:paraId="580A17BF" w14:textId="0C28DB08" w:rsidR="00153B2F" w:rsidRPr="009C4DDD" w:rsidRDefault="00153B2F" w:rsidP="00153B2F">
            <w:r w:rsidRPr="004269A0">
              <w:t>2594</w:t>
            </w:r>
          </w:p>
        </w:tc>
      </w:tr>
      <w:tr w:rsidR="00153B2F" w:rsidRPr="009C4DDD" w14:paraId="44A77FD7" w14:textId="77777777" w:rsidTr="00505B02">
        <w:tc>
          <w:tcPr>
            <w:tcW w:w="1161" w:type="dxa"/>
          </w:tcPr>
          <w:p w14:paraId="61255726" w14:textId="1A6DDE02" w:rsidR="00153B2F" w:rsidRPr="009C4DDD" w:rsidRDefault="00153B2F" w:rsidP="00153B2F">
            <w:r w:rsidRPr="004269A0">
              <w:t>11</w:t>
            </w:r>
          </w:p>
        </w:tc>
        <w:tc>
          <w:tcPr>
            <w:tcW w:w="6984" w:type="dxa"/>
          </w:tcPr>
          <w:p w14:paraId="708D382D" w14:textId="5E836D34" w:rsidR="00153B2F" w:rsidRPr="009C4DDD" w:rsidRDefault="00153B2F" w:rsidP="00153B2F">
            <w:r w:rsidRPr="004269A0">
              <w:t>1 or 2 or 3</w:t>
            </w:r>
          </w:p>
        </w:tc>
        <w:tc>
          <w:tcPr>
            <w:tcW w:w="984" w:type="dxa"/>
          </w:tcPr>
          <w:p w14:paraId="74B0FB59" w14:textId="152238A6" w:rsidR="00153B2F" w:rsidRPr="009C4DDD" w:rsidRDefault="00153B2F" w:rsidP="00153B2F">
            <w:r w:rsidRPr="004269A0">
              <w:t>745992</w:t>
            </w:r>
          </w:p>
        </w:tc>
      </w:tr>
      <w:tr w:rsidR="00153B2F" w:rsidRPr="009C4DDD" w14:paraId="035E03F9" w14:textId="77777777" w:rsidTr="00505B02">
        <w:tc>
          <w:tcPr>
            <w:tcW w:w="1161" w:type="dxa"/>
          </w:tcPr>
          <w:p w14:paraId="4676D3B3" w14:textId="5CE3E3FD" w:rsidR="00153B2F" w:rsidRPr="009C4DDD" w:rsidRDefault="00153B2F" w:rsidP="00153B2F">
            <w:r w:rsidRPr="004269A0">
              <w:t>12</w:t>
            </w:r>
          </w:p>
        </w:tc>
        <w:tc>
          <w:tcPr>
            <w:tcW w:w="6984" w:type="dxa"/>
          </w:tcPr>
          <w:p w14:paraId="57A46732" w14:textId="2DAE36C8" w:rsidR="00153B2F" w:rsidRPr="009C4DDD" w:rsidRDefault="00153B2F" w:rsidP="00153B2F">
            <w:r w:rsidRPr="004269A0">
              <w:t>4 or 5 or 6 or 7 or 8 or 9 or 10</w:t>
            </w:r>
          </w:p>
        </w:tc>
        <w:tc>
          <w:tcPr>
            <w:tcW w:w="984" w:type="dxa"/>
          </w:tcPr>
          <w:p w14:paraId="5917DBF4" w14:textId="0F785048" w:rsidR="00153B2F" w:rsidRPr="009C4DDD" w:rsidRDefault="00153B2F" w:rsidP="00153B2F">
            <w:r w:rsidRPr="004269A0">
              <w:t>590696</w:t>
            </w:r>
          </w:p>
        </w:tc>
      </w:tr>
      <w:tr w:rsidR="00153B2F" w:rsidRPr="009C4DDD" w14:paraId="1DB52ABC" w14:textId="77777777" w:rsidTr="00505B02">
        <w:tc>
          <w:tcPr>
            <w:tcW w:w="1161" w:type="dxa"/>
          </w:tcPr>
          <w:p w14:paraId="444340C6" w14:textId="15AC816C" w:rsidR="00153B2F" w:rsidRPr="009C4DDD" w:rsidRDefault="00153B2F" w:rsidP="00153B2F">
            <w:r w:rsidRPr="004269A0">
              <w:t>13</w:t>
            </w:r>
          </w:p>
        </w:tc>
        <w:tc>
          <w:tcPr>
            <w:tcW w:w="6984" w:type="dxa"/>
          </w:tcPr>
          <w:p w14:paraId="6318D6C7" w14:textId="15EDC69B" w:rsidR="00153B2F" w:rsidRPr="009C4DDD" w:rsidRDefault="00153B2F" w:rsidP="00153B2F">
            <w:r w:rsidRPr="004269A0">
              <w:t>11 and 12</w:t>
            </w:r>
          </w:p>
        </w:tc>
        <w:tc>
          <w:tcPr>
            <w:tcW w:w="984" w:type="dxa"/>
          </w:tcPr>
          <w:p w14:paraId="4AF46AE2" w14:textId="5DE8EEE4" w:rsidR="00153B2F" w:rsidRPr="009C4DDD" w:rsidRDefault="00153B2F" w:rsidP="00153B2F">
            <w:r w:rsidRPr="004269A0">
              <w:t>7555</w:t>
            </w:r>
          </w:p>
        </w:tc>
      </w:tr>
      <w:tr w:rsidR="00153B2F" w:rsidRPr="009C4DDD" w14:paraId="3453E7E1" w14:textId="77777777" w:rsidTr="00505B02">
        <w:tc>
          <w:tcPr>
            <w:tcW w:w="1161" w:type="dxa"/>
          </w:tcPr>
          <w:p w14:paraId="58ADCB9F" w14:textId="4C217EB6" w:rsidR="00153B2F" w:rsidRPr="009C4DDD" w:rsidRDefault="00153B2F" w:rsidP="00153B2F">
            <w:r w:rsidRPr="004269A0">
              <w:t>14</w:t>
            </w:r>
          </w:p>
        </w:tc>
        <w:tc>
          <w:tcPr>
            <w:tcW w:w="6984" w:type="dxa"/>
          </w:tcPr>
          <w:p w14:paraId="1E69670F" w14:textId="5E72B50E" w:rsidR="00153B2F" w:rsidRPr="009C4DDD" w:rsidRDefault="00153B2F" w:rsidP="00153B2F">
            <w:r w:rsidRPr="004269A0">
              <w:t>limit 13 to yr="</w:t>
            </w:r>
            <w:r w:rsidR="00A4131C">
              <w:t>2015</w:t>
            </w:r>
            <w:r w:rsidR="00A4131C" w:rsidRPr="004269A0">
              <w:t xml:space="preserve"> </w:t>
            </w:r>
            <w:r w:rsidRPr="004269A0">
              <w:t>-Current"</w:t>
            </w:r>
          </w:p>
        </w:tc>
        <w:tc>
          <w:tcPr>
            <w:tcW w:w="984" w:type="dxa"/>
          </w:tcPr>
          <w:p w14:paraId="4CA36B30" w14:textId="731D723B" w:rsidR="00153B2F" w:rsidRPr="009C4DDD" w:rsidRDefault="00153B2F" w:rsidP="00153B2F">
            <w:r w:rsidRPr="004269A0">
              <w:t>7442</w:t>
            </w:r>
          </w:p>
        </w:tc>
      </w:tr>
      <w:tr w:rsidR="00153B2F" w:rsidRPr="009C4DDD" w14:paraId="18EF1A96" w14:textId="77777777" w:rsidTr="00505B02">
        <w:tc>
          <w:tcPr>
            <w:tcW w:w="1161" w:type="dxa"/>
          </w:tcPr>
          <w:p w14:paraId="5C5E37DA" w14:textId="4BB423E4" w:rsidR="00153B2F" w:rsidRPr="009C4DDD" w:rsidRDefault="00153B2F" w:rsidP="00153B2F">
            <w:r w:rsidRPr="004269A0">
              <w:t>15</w:t>
            </w:r>
          </w:p>
        </w:tc>
        <w:tc>
          <w:tcPr>
            <w:tcW w:w="6984" w:type="dxa"/>
          </w:tcPr>
          <w:p w14:paraId="25919FCE" w14:textId="58D1AF61" w:rsidR="00153B2F" w:rsidRPr="009C4DDD" w:rsidRDefault="00153B2F" w:rsidP="00153B2F">
            <w:r w:rsidRPr="004269A0">
              <w:t>limit 14 to (adult &lt;18 to 64 years&gt; or aged &lt;65+ years&gt;)</w:t>
            </w:r>
          </w:p>
        </w:tc>
        <w:tc>
          <w:tcPr>
            <w:tcW w:w="984" w:type="dxa"/>
          </w:tcPr>
          <w:p w14:paraId="5EAC741B" w14:textId="7F41F600" w:rsidR="00153B2F" w:rsidRPr="009C4DDD" w:rsidRDefault="00153B2F" w:rsidP="00153B2F">
            <w:r w:rsidRPr="004269A0">
              <w:t>3468</w:t>
            </w:r>
          </w:p>
        </w:tc>
      </w:tr>
    </w:tbl>
    <w:p w14:paraId="385DCDBA" w14:textId="77777777" w:rsidR="00FA7EEA" w:rsidRDefault="00FA7EEA" w:rsidP="00FA7EEA"/>
    <w:p w14:paraId="7CC92118" w14:textId="715B1A0C" w:rsidR="00FA7EEA" w:rsidRDefault="00FA7EEA" w:rsidP="00553BEC">
      <w:pPr>
        <w:pStyle w:val="Heading2"/>
      </w:pPr>
      <w:r>
        <w:t>NHS EED</w:t>
      </w:r>
      <w:r w:rsidR="00A4131C">
        <w:t xml:space="preserve"> (</w:t>
      </w:r>
      <w:r w:rsidR="00A4131C" w:rsidRPr="00BD4352">
        <w:t>Search date: 2024-01-05</w:t>
      </w:r>
      <w:r w:rsidR="00A4131C">
        <w:t>)</w:t>
      </w:r>
    </w:p>
    <w:tbl>
      <w:tblPr>
        <w:tblStyle w:val="TableGrid"/>
        <w:tblW w:w="9067" w:type="dxa"/>
        <w:tblLook w:val="04A0" w:firstRow="1" w:lastRow="0" w:firstColumn="1" w:lastColumn="0" w:noHBand="0" w:noVBand="1"/>
      </w:tblPr>
      <w:tblGrid>
        <w:gridCol w:w="438"/>
        <w:gridCol w:w="7637"/>
        <w:gridCol w:w="992"/>
      </w:tblGrid>
      <w:tr w:rsidR="00695800" w:rsidRPr="00A774D7" w14:paraId="2E9A61ED" w14:textId="5C440401" w:rsidTr="00695800">
        <w:tc>
          <w:tcPr>
            <w:tcW w:w="438" w:type="dxa"/>
            <w:shd w:val="clear" w:color="auto" w:fill="D9D9D9" w:themeFill="background1" w:themeFillShade="D9"/>
          </w:tcPr>
          <w:p w14:paraId="33CBF61D" w14:textId="76BF0039" w:rsidR="00695800" w:rsidRPr="00A774D7" w:rsidRDefault="00695800" w:rsidP="00A2331B">
            <w:pPr>
              <w:jc w:val="center"/>
            </w:pPr>
            <w:r>
              <w:t>#</w:t>
            </w:r>
          </w:p>
        </w:tc>
        <w:tc>
          <w:tcPr>
            <w:tcW w:w="7637" w:type="dxa"/>
            <w:shd w:val="clear" w:color="auto" w:fill="D9D9D9" w:themeFill="background1" w:themeFillShade="D9"/>
          </w:tcPr>
          <w:p w14:paraId="32AD794C" w14:textId="631142D7" w:rsidR="00695800" w:rsidRPr="00A774D7" w:rsidRDefault="00695800" w:rsidP="00A2331B">
            <w:pPr>
              <w:jc w:val="center"/>
            </w:pPr>
            <w:r>
              <w:t>Search terms</w:t>
            </w:r>
          </w:p>
        </w:tc>
        <w:tc>
          <w:tcPr>
            <w:tcW w:w="992" w:type="dxa"/>
            <w:shd w:val="clear" w:color="auto" w:fill="D9D9D9" w:themeFill="background1" w:themeFillShade="D9"/>
          </w:tcPr>
          <w:p w14:paraId="44132C61" w14:textId="73AA030D" w:rsidR="00695800" w:rsidRPr="00A774D7" w:rsidRDefault="00695800" w:rsidP="00A2331B">
            <w:pPr>
              <w:jc w:val="center"/>
            </w:pPr>
            <w:r>
              <w:t>Hits</w:t>
            </w:r>
          </w:p>
        </w:tc>
      </w:tr>
      <w:tr w:rsidR="00695800" w:rsidRPr="00695800" w14:paraId="69A5E7A9" w14:textId="2C3EC3EC" w:rsidTr="00695800">
        <w:tc>
          <w:tcPr>
            <w:tcW w:w="438" w:type="dxa"/>
          </w:tcPr>
          <w:p w14:paraId="0594A2E1" w14:textId="03ACA399" w:rsidR="00695800" w:rsidRPr="00695800" w:rsidRDefault="00695800" w:rsidP="00575A95">
            <w:r w:rsidRPr="00695800">
              <w:t>1</w:t>
            </w:r>
          </w:p>
        </w:tc>
        <w:tc>
          <w:tcPr>
            <w:tcW w:w="7637" w:type="dxa"/>
          </w:tcPr>
          <w:p w14:paraId="32393927" w14:textId="345C4E09" w:rsidR="00695800" w:rsidRPr="00695800" w:rsidRDefault="00695800" w:rsidP="00575A95">
            <w:r w:rsidRPr="00695800">
              <w:t>MeSH DESCRIPTOR Obesity EXPLODE ALL TREES</w:t>
            </w:r>
          </w:p>
        </w:tc>
        <w:tc>
          <w:tcPr>
            <w:tcW w:w="992" w:type="dxa"/>
          </w:tcPr>
          <w:p w14:paraId="58525579" w14:textId="7F42442F" w:rsidR="00695800" w:rsidRPr="00695800" w:rsidRDefault="00695800" w:rsidP="00575A95">
            <w:r w:rsidRPr="00695800">
              <w:t>1025</w:t>
            </w:r>
          </w:p>
        </w:tc>
      </w:tr>
      <w:tr w:rsidR="00695800" w:rsidRPr="00695800" w14:paraId="7D2DA1D2" w14:textId="600A3C66" w:rsidTr="00695800">
        <w:tc>
          <w:tcPr>
            <w:tcW w:w="438" w:type="dxa"/>
          </w:tcPr>
          <w:p w14:paraId="1CB51D08" w14:textId="3459ABB6" w:rsidR="00695800" w:rsidRPr="00695800" w:rsidRDefault="00695800" w:rsidP="00575A95">
            <w:r w:rsidRPr="00695800">
              <w:t>2</w:t>
            </w:r>
          </w:p>
        </w:tc>
        <w:tc>
          <w:tcPr>
            <w:tcW w:w="7637" w:type="dxa"/>
          </w:tcPr>
          <w:p w14:paraId="6B277F31" w14:textId="512481BE" w:rsidR="00695800" w:rsidRPr="00695800" w:rsidRDefault="00695800" w:rsidP="00575A95">
            <w:r w:rsidRPr="00695800">
              <w:t>(overweight)</w:t>
            </w:r>
          </w:p>
        </w:tc>
        <w:tc>
          <w:tcPr>
            <w:tcW w:w="992" w:type="dxa"/>
          </w:tcPr>
          <w:p w14:paraId="654758FC" w14:textId="04B2F268" w:rsidR="00695800" w:rsidRPr="00695800" w:rsidRDefault="00695800" w:rsidP="00575A95">
            <w:r w:rsidRPr="00695800">
              <w:t>502</w:t>
            </w:r>
          </w:p>
        </w:tc>
      </w:tr>
      <w:tr w:rsidR="00695800" w:rsidRPr="00695800" w14:paraId="1BD1C0C7" w14:textId="24F5C8CA" w:rsidTr="00695800">
        <w:tc>
          <w:tcPr>
            <w:tcW w:w="438" w:type="dxa"/>
          </w:tcPr>
          <w:p w14:paraId="5AA5F32B" w14:textId="5D340A89" w:rsidR="00695800" w:rsidRPr="00695800" w:rsidRDefault="00695800" w:rsidP="00575A95">
            <w:r w:rsidRPr="00695800">
              <w:t>3</w:t>
            </w:r>
          </w:p>
        </w:tc>
        <w:tc>
          <w:tcPr>
            <w:tcW w:w="7637" w:type="dxa"/>
          </w:tcPr>
          <w:p w14:paraId="2B6E9875" w14:textId="79B1ABCC" w:rsidR="00695800" w:rsidRPr="00695800" w:rsidRDefault="00695800" w:rsidP="00575A95">
            <w:r w:rsidRPr="00695800">
              <w:t>#1 OR #2</w:t>
            </w:r>
          </w:p>
        </w:tc>
        <w:tc>
          <w:tcPr>
            <w:tcW w:w="992" w:type="dxa"/>
          </w:tcPr>
          <w:p w14:paraId="4CDB8031" w14:textId="3E8239F2" w:rsidR="00695800" w:rsidRPr="00695800" w:rsidRDefault="00695800" w:rsidP="00575A95">
            <w:r w:rsidRPr="00695800">
              <w:t>1224</w:t>
            </w:r>
          </w:p>
        </w:tc>
      </w:tr>
      <w:tr w:rsidR="00695800" w:rsidRPr="00695800" w14:paraId="56694220" w14:textId="087F2F78" w:rsidTr="00695800">
        <w:tc>
          <w:tcPr>
            <w:tcW w:w="438" w:type="dxa"/>
          </w:tcPr>
          <w:p w14:paraId="58DD5820" w14:textId="0FD97FF4" w:rsidR="00695800" w:rsidRPr="00695800" w:rsidRDefault="00695800" w:rsidP="00575A95">
            <w:r w:rsidRPr="00695800">
              <w:t>4</w:t>
            </w:r>
          </w:p>
        </w:tc>
        <w:tc>
          <w:tcPr>
            <w:tcW w:w="7637" w:type="dxa"/>
          </w:tcPr>
          <w:p w14:paraId="3E8AA88E" w14:textId="13E12131" w:rsidR="00695800" w:rsidRPr="00695800" w:rsidRDefault="00695800" w:rsidP="00575A95">
            <w:r w:rsidRPr="00695800">
              <w:t>* IN NHSEED FROM 1996 TO 2023</w:t>
            </w:r>
          </w:p>
        </w:tc>
        <w:tc>
          <w:tcPr>
            <w:tcW w:w="992" w:type="dxa"/>
          </w:tcPr>
          <w:p w14:paraId="68711CC3" w14:textId="5B8E988D" w:rsidR="00695800" w:rsidRPr="00695800" w:rsidRDefault="00695800" w:rsidP="00575A95">
            <w:r w:rsidRPr="00695800">
              <w:t>16965</w:t>
            </w:r>
          </w:p>
        </w:tc>
      </w:tr>
      <w:tr w:rsidR="00695800" w:rsidRPr="00695800" w14:paraId="321F2FBA" w14:textId="5230E169" w:rsidTr="00695800">
        <w:tc>
          <w:tcPr>
            <w:tcW w:w="438" w:type="dxa"/>
          </w:tcPr>
          <w:p w14:paraId="1F1AA4F0" w14:textId="262299B0" w:rsidR="00695800" w:rsidRPr="00695800" w:rsidRDefault="00695800" w:rsidP="00575A95">
            <w:r w:rsidRPr="00695800">
              <w:t>5</w:t>
            </w:r>
          </w:p>
        </w:tc>
        <w:tc>
          <w:tcPr>
            <w:tcW w:w="7637" w:type="dxa"/>
          </w:tcPr>
          <w:p w14:paraId="5C364076" w14:textId="69900D0C" w:rsidR="00695800" w:rsidRPr="00695800" w:rsidRDefault="00695800" w:rsidP="00575A95">
            <w:r w:rsidRPr="00695800">
              <w:t>#3 AND #4</w:t>
            </w:r>
          </w:p>
        </w:tc>
        <w:tc>
          <w:tcPr>
            <w:tcW w:w="992" w:type="dxa"/>
          </w:tcPr>
          <w:p w14:paraId="2853CE54" w14:textId="0D27FD66" w:rsidR="00695800" w:rsidRPr="00695800" w:rsidRDefault="00695800" w:rsidP="00575A95">
            <w:r w:rsidRPr="00695800">
              <w:t>217</w:t>
            </w:r>
          </w:p>
        </w:tc>
      </w:tr>
    </w:tbl>
    <w:p w14:paraId="65C1306E" w14:textId="77777777" w:rsidR="00393DCC" w:rsidRDefault="00393DCC" w:rsidP="002C4F66">
      <w:pPr>
        <w:sectPr w:rsidR="00393DCC" w:rsidSect="007A2F0C">
          <w:type w:val="continuous"/>
          <w:pgSz w:w="11906" w:h="16838"/>
          <w:pgMar w:top="1440" w:right="1440" w:bottom="1440" w:left="1440" w:header="709" w:footer="709" w:gutter="0"/>
          <w:cols w:space="708"/>
          <w:docGrid w:linePitch="360"/>
        </w:sectPr>
      </w:pPr>
    </w:p>
    <w:p w14:paraId="3F6BC9B2" w14:textId="29CF9665" w:rsidR="00393DCC" w:rsidRDefault="00393DCC" w:rsidP="00393DCC">
      <w:pPr>
        <w:pStyle w:val="Heading1"/>
      </w:pPr>
      <w:r>
        <w:lastRenderedPageBreak/>
        <w:t>Appendix B: Overview of studies identified in SLR</w:t>
      </w:r>
    </w:p>
    <w:p w14:paraId="2525946C" w14:textId="3ECC22E1" w:rsidR="00393DCC" w:rsidRDefault="00393DCC" w:rsidP="00393DCC">
      <w:pPr>
        <w:pStyle w:val="Heading2"/>
      </w:pPr>
      <w:r>
        <w:t>Study characteristics</w:t>
      </w:r>
    </w:p>
    <w:p w14:paraId="2713AAC3" w14:textId="1BF06301" w:rsidR="00393DCC" w:rsidRDefault="00EE4AB5" w:rsidP="00393DCC">
      <w:r>
        <w:t>Table x</w:t>
      </w:r>
    </w:p>
    <w:tbl>
      <w:tblPr>
        <w:tblW w:w="5085" w:type="pct"/>
        <w:tblLayout w:type="fixed"/>
        <w:tblLook w:val="04A0" w:firstRow="1" w:lastRow="0" w:firstColumn="1" w:lastColumn="0" w:noHBand="0" w:noVBand="1"/>
      </w:tblPr>
      <w:tblGrid>
        <w:gridCol w:w="1838"/>
        <w:gridCol w:w="851"/>
        <w:gridCol w:w="2664"/>
        <w:gridCol w:w="1345"/>
        <w:gridCol w:w="5995"/>
        <w:gridCol w:w="1492"/>
      </w:tblGrid>
      <w:tr w:rsidR="004131F8" w:rsidRPr="004131F8" w14:paraId="4F9E0A8C" w14:textId="77777777" w:rsidTr="004131F8">
        <w:trPr>
          <w:trHeight w:val="290"/>
          <w:tblHeader/>
        </w:trPr>
        <w:tc>
          <w:tcPr>
            <w:tcW w:w="648" w:type="pct"/>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30114EFA" w14:textId="77777777" w:rsidR="00EE4AB5" w:rsidRPr="00EE4AB5" w:rsidRDefault="00EE4AB5" w:rsidP="00F652D0">
            <w:pPr>
              <w:spacing w:after="0" w:line="240" w:lineRule="auto"/>
              <w:rPr>
                <w:rFonts w:ascii="Calibri" w:eastAsia="Times New Roman" w:hAnsi="Calibri" w:cs="Calibri"/>
                <w:b/>
                <w:bCs/>
                <w:sz w:val="16"/>
                <w:szCs w:val="16"/>
                <w:lang w:val="en-IE" w:eastAsia="en-IE"/>
              </w:rPr>
            </w:pPr>
            <w:r w:rsidRPr="00EE4AB5">
              <w:rPr>
                <w:rFonts w:ascii="Calibri" w:eastAsia="Times New Roman" w:hAnsi="Calibri" w:cs="Calibri"/>
                <w:b/>
                <w:bCs/>
                <w:sz w:val="16"/>
                <w:szCs w:val="16"/>
                <w:lang w:val="en-IE" w:eastAsia="en-IE"/>
              </w:rPr>
              <w:t>Study</w:t>
            </w:r>
          </w:p>
        </w:tc>
        <w:tc>
          <w:tcPr>
            <w:tcW w:w="300" w:type="pct"/>
            <w:tcBorders>
              <w:top w:val="single" w:sz="4" w:space="0" w:color="auto"/>
              <w:left w:val="nil"/>
              <w:bottom w:val="single" w:sz="4" w:space="0" w:color="auto"/>
              <w:right w:val="single" w:sz="4" w:space="0" w:color="auto"/>
            </w:tcBorders>
            <w:shd w:val="clear" w:color="auto" w:fill="E7E6E6" w:themeFill="background2"/>
            <w:noWrap/>
            <w:vAlign w:val="center"/>
            <w:hideMark/>
          </w:tcPr>
          <w:p w14:paraId="230F9760" w14:textId="77777777" w:rsidR="00EE4AB5" w:rsidRPr="00EE4AB5" w:rsidRDefault="00EE4AB5" w:rsidP="00F652D0">
            <w:pPr>
              <w:spacing w:after="0" w:line="240" w:lineRule="auto"/>
              <w:rPr>
                <w:rFonts w:ascii="Calibri" w:eastAsia="Times New Roman" w:hAnsi="Calibri" w:cs="Calibri"/>
                <w:b/>
                <w:bCs/>
                <w:color w:val="000000"/>
                <w:sz w:val="16"/>
                <w:szCs w:val="16"/>
                <w:lang w:val="en-IE" w:eastAsia="en-IE"/>
              </w:rPr>
            </w:pPr>
            <w:r w:rsidRPr="00EE4AB5">
              <w:rPr>
                <w:rFonts w:ascii="Calibri" w:eastAsia="Times New Roman" w:hAnsi="Calibri" w:cs="Calibri"/>
                <w:b/>
                <w:bCs/>
                <w:color w:val="000000"/>
                <w:sz w:val="16"/>
                <w:szCs w:val="16"/>
                <w:lang w:val="en-IE" w:eastAsia="en-IE"/>
              </w:rPr>
              <w:t>Type of analysis</w:t>
            </w:r>
          </w:p>
        </w:tc>
        <w:tc>
          <w:tcPr>
            <w:tcW w:w="939" w:type="pct"/>
            <w:tcBorders>
              <w:top w:val="single" w:sz="4" w:space="0" w:color="auto"/>
              <w:left w:val="nil"/>
              <w:bottom w:val="single" w:sz="4" w:space="0" w:color="auto"/>
              <w:right w:val="single" w:sz="4" w:space="0" w:color="auto"/>
            </w:tcBorders>
            <w:shd w:val="clear" w:color="auto" w:fill="E7E6E6" w:themeFill="background2"/>
            <w:noWrap/>
            <w:vAlign w:val="center"/>
            <w:hideMark/>
          </w:tcPr>
          <w:p w14:paraId="282F0D73" w14:textId="77777777" w:rsidR="00EE4AB5" w:rsidRPr="00EE4AB5" w:rsidRDefault="00EE4AB5" w:rsidP="00F652D0">
            <w:pPr>
              <w:spacing w:after="0" w:line="240" w:lineRule="auto"/>
              <w:rPr>
                <w:rFonts w:ascii="Calibri" w:eastAsia="Times New Roman" w:hAnsi="Calibri" w:cs="Calibri"/>
                <w:b/>
                <w:bCs/>
                <w:color w:val="000000"/>
                <w:sz w:val="16"/>
                <w:szCs w:val="16"/>
                <w:lang w:val="en-IE" w:eastAsia="en-IE"/>
              </w:rPr>
            </w:pPr>
            <w:r w:rsidRPr="00EE4AB5">
              <w:rPr>
                <w:rFonts w:ascii="Calibri" w:eastAsia="Times New Roman" w:hAnsi="Calibri" w:cs="Calibri"/>
                <w:b/>
                <w:bCs/>
                <w:color w:val="000000"/>
                <w:sz w:val="16"/>
                <w:szCs w:val="16"/>
                <w:lang w:val="en-IE" w:eastAsia="en-IE"/>
              </w:rPr>
              <w:t>Model type</w:t>
            </w:r>
          </w:p>
        </w:tc>
        <w:tc>
          <w:tcPr>
            <w:tcW w:w="474" w:type="pct"/>
            <w:tcBorders>
              <w:top w:val="single" w:sz="4" w:space="0" w:color="auto"/>
              <w:left w:val="nil"/>
              <w:bottom w:val="single" w:sz="4" w:space="0" w:color="auto"/>
              <w:right w:val="single" w:sz="4" w:space="0" w:color="auto"/>
            </w:tcBorders>
            <w:shd w:val="clear" w:color="auto" w:fill="E7E6E6" w:themeFill="background2"/>
            <w:noWrap/>
            <w:vAlign w:val="center"/>
            <w:hideMark/>
          </w:tcPr>
          <w:p w14:paraId="3023CADF" w14:textId="77777777" w:rsidR="00EE4AB5" w:rsidRPr="00EE4AB5" w:rsidRDefault="00EE4AB5" w:rsidP="00F652D0">
            <w:pPr>
              <w:spacing w:after="0" w:line="240" w:lineRule="auto"/>
              <w:rPr>
                <w:rFonts w:ascii="Calibri" w:eastAsia="Times New Roman" w:hAnsi="Calibri" w:cs="Calibri"/>
                <w:b/>
                <w:bCs/>
                <w:color w:val="000000"/>
                <w:sz w:val="16"/>
                <w:szCs w:val="16"/>
                <w:lang w:val="en-IE" w:eastAsia="en-IE"/>
              </w:rPr>
            </w:pPr>
            <w:r w:rsidRPr="00EE4AB5">
              <w:rPr>
                <w:rFonts w:ascii="Calibri" w:eastAsia="Times New Roman" w:hAnsi="Calibri" w:cs="Calibri"/>
                <w:b/>
                <w:bCs/>
                <w:color w:val="000000"/>
                <w:sz w:val="16"/>
                <w:szCs w:val="16"/>
                <w:lang w:val="en-IE" w:eastAsia="en-IE"/>
              </w:rPr>
              <w:t>Setting</w:t>
            </w:r>
          </w:p>
        </w:tc>
        <w:tc>
          <w:tcPr>
            <w:tcW w:w="2113" w:type="pct"/>
            <w:tcBorders>
              <w:top w:val="single" w:sz="4" w:space="0" w:color="auto"/>
              <w:left w:val="nil"/>
              <w:bottom w:val="single" w:sz="4" w:space="0" w:color="auto"/>
              <w:right w:val="single" w:sz="4" w:space="0" w:color="auto"/>
            </w:tcBorders>
            <w:shd w:val="clear" w:color="auto" w:fill="E7E6E6" w:themeFill="background2"/>
            <w:vAlign w:val="center"/>
            <w:hideMark/>
          </w:tcPr>
          <w:p w14:paraId="682A9B89" w14:textId="77777777" w:rsidR="00EE4AB5" w:rsidRPr="00EE4AB5" w:rsidRDefault="00EE4AB5" w:rsidP="00F652D0">
            <w:pPr>
              <w:spacing w:after="0" w:line="240" w:lineRule="auto"/>
              <w:rPr>
                <w:rFonts w:ascii="Calibri" w:eastAsia="Times New Roman" w:hAnsi="Calibri" w:cs="Calibri"/>
                <w:b/>
                <w:bCs/>
                <w:color w:val="000000"/>
                <w:sz w:val="16"/>
                <w:szCs w:val="16"/>
                <w:lang w:val="en-IE" w:eastAsia="en-IE"/>
              </w:rPr>
            </w:pPr>
            <w:r w:rsidRPr="00EE4AB5">
              <w:rPr>
                <w:rFonts w:ascii="Calibri" w:eastAsia="Times New Roman" w:hAnsi="Calibri" w:cs="Calibri"/>
                <w:b/>
                <w:bCs/>
                <w:color w:val="000000"/>
                <w:sz w:val="16"/>
                <w:szCs w:val="16"/>
                <w:lang w:val="en-IE" w:eastAsia="en-IE"/>
              </w:rPr>
              <w:t>Population</w:t>
            </w:r>
          </w:p>
        </w:tc>
        <w:tc>
          <w:tcPr>
            <w:tcW w:w="526" w:type="pct"/>
            <w:tcBorders>
              <w:top w:val="single" w:sz="4" w:space="0" w:color="auto"/>
              <w:left w:val="nil"/>
              <w:bottom w:val="single" w:sz="4" w:space="0" w:color="auto"/>
              <w:right w:val="single" w:sz="4" w:space="0" w:color="auto"/>
            </w:tcBorders>
            <w:shd w:val="clear" w:color="auto" w:fill="E7E6E6" w:themeFill="background2"/>
            <w:noWrap/>
            <w:vAlign w:val="center"/>
            <w:hideMark/>
          </w:tcPr>
          <w:p w14:paraId="459DBE65" w14:textId="77777777" w:rsidR="00EE4AB5" w:rsidRPr="00EE4AB5" w:rsidRDefault="00EE4AB5" w:rsidP="00F652D0">
            <w:pPr>
              <w:spacing w:after="0" w:line="240" w:lineRule="auto"/>
              <w:rPr>
                <w:rFonts w:ascii="Calibri" w:eastAsia="Times New Roman" w:hAnsi="Calibri" w:cs="Calibri"/>
                <w:b/>
                <w:bCs/>
                <w:color w:val="000000"/>
                <w:sz w:val="16"/>
                <w:szCs w:val="16"/>
                <w:lang w:val="en-IE" w:eastAsia="en-IE"/>
              </w:rPr>
            </w:pPr>
            <w:r w:rsidRPr="00EE4AB5">
              <w:rPr>
                <w:rFonts w:ascii="Calibri" w:eastAsia="Times New Roman" w:hAnsi="Calibri" w:cs="Calibri"/>
                <w:b/>
                <w:bCs/>
                <w:color w:val="000000"/>
                <w:sz w:val="16"/>
                <w:szCs w:val="16"/>
                <w:lang w:val="en-IE" w:eastAsia="en-IE"/>
              </w:rPr>
              <w:t>Intervention</w:t>
            </w:r>
          </w:p>
        </w:tc>
      </w:tr>
      <w:tr w:rsidR="004131F8" w:rsidRPr="004131F8" w14:paraId="103BA156" w14:textId="77777777" w:rsidTr="004131F8">
        <w:trPr>
          <w:trHeight w:val="290"/>
        </w:trPr>
        <w:tc>
          <w:tcPr>
            <w:tcW w:w="648" w:type="pct"/>
            <w:tcBorders>
              <w:top w:val="nil"/>
              <w:left w:val="single" w:sz="4" w:space="0" w:color="auto"/>
              <w:bottom w:val="single" w:sz="4" w:space="0" w:color="auto"/>
              <w:right w:val="single" w:sz="4" w:space="0" w:color="auto"/>
            </w:tcBorders>
            <w:noWrap/>
            <w:vAlign w:val="center"/>
            <w:hideMark/>
          </w:tcPr>
          <w:p w14:paraId="7D077F3D" w14:textId="4384AFEC"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Alsumali, 2018</w:t>
            </w:r>
            <w:r w:rsidR="00254B1C" w:rsidRPr="00254B1C">
              <w:rPr>
                <w:rFonts w:ascii="Calibri" w:eastAsia="Times New Roman" w:hAnsi="Calibri" w:cs="Calibri"/>
                <w:noProof/>
                <w:color w:val="000000"/>
                <w:sz w:val="16"/>
                <w:szCs w:val="16"/>
                <w:vertAlign w:val="superscript"/>
                <w:lang w:val="en-IE" w:eastAsia="en-IE"/>
              </w:rPr>
              <w:t>36</w:t>
            </w:r>
          </w:p>
        </w:tc>
        <w:tc>
          <w:tcPr>
            <w:tcW w:w="300" w:type="pct"/>
            <w:tcBorders>
              <w:top w:val="nil"/>
              <w:left w:val="nil"/>
              <w:bottom w:val="single" w:sz="4" w:space="0" w:color="auto"/>
              <w:right w:val="single" w:sz="4" w:space="0" w:color="auto"/>
            </w:tcBorders>
            <w:noWrap/>
            <w:vAlign w:val="center"/>
            <w:hideMark/>
          </w:tcPr>
          <w:p w14:paraId="23A933F5"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CEA</w:t>
            </w:r>
          </w:p>
        </w:tc>
        <w:tc>
          <w:tcPr>
            <w:tcW w:w="939" w:type="pct"/>
            <w:tcBorders>
              <w:top w:val="nil"/>
              <w:left w:val="nil"/>
              <w:bottom w:val="single" w:sz="4" w:space="0" w:color="auto"/>
              <w:right w:val="single" w:sz="4" w:space="0" w:color="auto"/>
            </w:tcBorders>
            <w:noWrap/>
            <w:vAlign w:val="center"/>
            <w:hideMark/>
          </w:tcPr>
          <w:p w14:paraId="2D3B0DF4"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MSM</w:t>
            </w:r>
          </w:p>
        </w:tc>
        <w:tc>
          <w:tcPr>
            <w:tcW w:w="474" w:type="pct"/>
            <w:tcBorders>
              <w:top w:val="nil"/>
              <w:left w:val="nil"/>
              <w:bottom w:val="single" w:sz="4" w:space="0" w:color="auto"/>
              <w:right w:val="single" w:sz="4" w:space="0" w:color="auto"/>
            </w:tcBorders>
            <w:noWrap/>
            <w:vAlign w:val="center"/>
            <w:hideMark/>
          </w:tcPr>
          <w:p w14:paraId="4D931C36"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USA</w:t>
            </w:r>
          </w:p>
        </w:tc>
        <w:tc>
          <w:tcPr>
            <w:tcW w:w="2113" w:type="pct"/>
            <w:tcBorders>
              <w:top w:val="nil"/>
              <w:left w:val="nil"/>
              <w:bottom w:val="single" w:sz="4" w:space="0" w:color="auto"/>
              <w:right w:val="single" w:sz="4" w:space="0" w:color="auto"/>
            </w:tcBorders>
            <w:noWrap/>
            <w:vAlign w:val="center"/>
            <w:hideMark/>
          </w:tcPr>
          <w:p w14:paraId="1FAE23E7" w14:textId="50279FC6" w:rsidR="00EE4AB5" w:rsidRPr="00EE4AB5" w:rsidRDefault="00F652D0" w:rsidP="00F652D0">
            <w:pPr>
              <w:spacing w:after="0" w:line="240" w:lineRule="auto"/>
              <w:rPr>
                <w:rFonts w:ascii="Calibri" w:eastAsia="Times New Roman" w:hAnsi="Calibri" w:cs="Calibri"/>
                <w:color w:val="000000"/>
                <w:sz w:val="16"/>
                <w:szCs w:val="16"/>
                <w:lang w:val="en-IE" w:eastAsia="en-IE"/>
              </w:rPr>
            </w:pPr>
            <w:r w:rsidRPr="004131F8">
              <w:rPr>
                <w:rFonts w:ascii="Calibri" w:eastAsia="Times New Roman" w:hAnsi="Calibri" w:cs="Calibri"/>
                <w:color w:val="000000"/>
                <w:sz w:val="16"/>
                <w:szCs w:val="16"/>
                <w:lang w:val="en-IE" w:eastAsia="en-IE"/>
              </w:rPr>
              <w:t>A</w:t>
            </w:r>
            <w:r w:rsidR="00EE4AB5" w:rsidRPr="00EE4AB5">
              <w:rPr>
                <w:rFonts w:ascii="Calibri" w:eastAsia="Times New Roman" w:hAnsi="Calibri" w:cs="Calibri"/>
                <w:color w:val="000000"/>
                <w:sz w:val="16"/>
                <w:szCs w:val="16"/>
                <w:lang w:val="en-IE" w:eastAsia="en-IE"/>
              </w:rPr>
              <w:t>dult aged 18 to 74 years with BMI ≥ 35 kg/m2.</w:t>
            </w:r>
          </w:p>
        </w:tc>
        <w:tc>
          <w:tcPr>
            <w:tcW w:w="526" w:type="pct"/>
            <w:tcBorders>
              <w:top w:val="nil"/>
              <w:left w:val="nil"/>
              <w:bottom w:val="single" w:sz="4" w:space="0" w:color="auto"/>
              <w:right w:val="single" w:sz="4" w:space="0" w:color="auto"/>
            </w:tcBorders>
            <w:noWrap/>
            <w:vAlign w:val="center"/>
            <w:hideMark/>
          </w:tcPr>
          <w:p w14:paraId="76A4180D"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Surgery</w:t>
            </w:r>
          </w:p>
        </w:tc>
      </w:tr>
      <w:tr w:rsidR="004131F8" w:rsidRPr="004131F8" w14:paraId="77529FD7" w14:textId="77777777" w:rsidTr="004131F8">
        <w:trPr>
          <w:trHeight w:val="290"/>
        </w:trPr>
        <w:tc>
          <w:tcPr>
            <w:tcW w:w="648" w:type="pct"/>
            <w:tcBorders>
              <w:top w:val="nil"/>
              <w:left w:val="single" w:sz="4" w:space="0" w:color="auto"/>
              <w:bottom w:val="single" w:sz="4" w:space="0" w:color="auto"/>
              <w:right w:val="single" w:sz="4" w:space="0" w:color="auto"/>
            </w:tcBorders>
            <w:noWrap/>
            <w:vAlign w:val="center"/>
            <w:hideMark/>
          </w:tcPr>
          <w:p w14:paraId="5AA92866" w14:textId="68B0747C"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An, 2020</w:t>
            </w:r>
            <w:r w:rsidR="00254B1C" w:rsidRPr="00254B1C">
              <w:rPr>
                <w:rFonts w:ascii="Calibri" w:eastAsia="Times New Roman" w:hAnsi="Calibri" w:cs="Calibri"/>
                <w:noProof/>
                <w:color w:val="000000"/>
                <w:sz w:val="16"/>
                <w:szCs w:val="16"/>
                <w:vertAlign w:val="superscript"/>
                <w:lang w:val="en-IE" w:eastAsia="en-IE"/>
              </w:rPr>
              <w:t>37</w:t>
            </w:r>
          </w:p>
        </w:tc>
        <w:tc>
          <w:tcPr>
            <w:tcW w:w="300" w:type="pct"/>
            <w:tcBorders>
              <w:top w:val="nil"/>
              <w:left w:val="nil"/>
              <w:bottom w:val="single" w:sz="4" w:space="0" w:color="auto"/>
              <w:right w:val="single" w:sz="4" w:space="0" w:color="auto"/>
            </w:tcBorders>
            <w:noWrap/>
            <w:vAlign w:val="center"/>
            <w:hideMark/>
          </w:tcPr>
          <w:p w14:paraId="267FA7D3"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CEA</w:t>
            </w:r>
          </w:p>
        </w:tc>
        <w:tc>
          <w:tcPr>
            <w:tcW w:w="939" w:type="pct"/>
            <w:tcBorders>
              <w:top w:val="nil"/>
              <w:left w:val="nil"/>
              <w:bottom w:val="single" w:sz="4" w:space="0" w:color="auto"/>
              <w:right w:val="single" w:sz="4" w:space="0" w:color="auto"/>
            </w:tcBorders>
            <w:noWrap/>
            <w:vAlign w:val="center"/>
            <w:hideMark/>
          </w:tcPr>
          <w:p w14:paraId="0A560A2B"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Decision tree and Markov</w:t>
            </w:r>
          </w:p>
        </w:tc>
        <w:tc>
          <w:tcPr>
            <w:tcW w:w="474" w:type="pct"/>
            <w:tcBorders>
              <w:top w:val="nil"/>
              <w:left w:val="nil"/>
              <w:bottom w:val="single" w:sz="4" w:space="0" w:color="auto"/>
              <w:right w:val="single" w:sz="4" w:space="0" w:color="auto"/>
            </w:tcBorders>
            <w:noWrap/>
            <w:vAlign w:val="center"/>
            <w:hideMark/>
          </w:tcPr>
          <w:p w14:paraId="21D0D629"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South Korea</w:t>
            </w:r>
          </w:p>
        </w:tc>
        <w:tc>
          <w:tcPr>
            <w:tcW w:w="2113" w:type="pct"/>
            <w:tcBorders>
              <w:top w:val="nil"/>
              <w:left w:val="nil"/>
              <w:bottom w:val="single" w:sz="4" w:space="0" w:color="auto"/>
              <w:right w:val="single" w:sz="4" w:space="0" w:color="auto"/>
            </w:tcBorders>
            <w:noWrap/>
            <w:vAlign w:val="center"/>
            <w:hideMark/>
          </w:tcPr>
          <w:p w14:paraId="63B4A1C2" w14:textId="1D041AC5" w:rsidR="00EE4AB5" w:rsidRPr="00EE4AB5" w:rsidRDefault="00F652D0" w:rsidP="00F652D0">
            <w:pPr>
              <w:spacing w:after="0" w:line="240" w:lineRule="auto"/>
              <w:rPr>
                <w:rFonts w:ascii="Calibri" w:eastAsia="Times New Roman" w:hAnsi="Calibri" w:cs="Calibri"/>
                <w:color w:val="000000"/>
                <w:sz w:val="16"/>
                <w:szCs w:val="16"/>
                <w:lang w:val="en-IE" w:eastAsia="en-IE"/>
              </w:rPr>
            </w:pPr>
            <w:r w:rsidRPr="004131F8">
              <w:rPr>
                <w:rFonts w:ascii="Calibri" w:eastAsia="Times New Roman" w:hAnsi="Calibri" w:cs="Calibri"/>
                <w:color w:val="000000"/>
                <w:sz w:val="16"/>
                <w:szCs w:val="16"/>
                <w:lang w:val="en-IE" w:eastAsia="en-IE"/>
              </w:rPr>
              <w:t>M</w:t>
            </w:r>
            <w:r w:rsidR="00EE4AB5" w:rsidRPr="00EE4AB5">
              <w:rPr>
                <w:rFonts w:ascii="Calibri" w:eastAsia="Times New Roman" w:hAnsi="Calibri" w:cs="Calibri"/>
                <w:color w:val="000000"/>
                <w:sz w:val="16"/>
                <w:szCs w:val="16"/>
                <w:lang w:val="en-IE" w:eastAsia="en-IE"/>
              </w:rPr>
              <w:t>orbidly obese people (BMI&gt;=35) or people with BMI=30-34.9 + obersity-related comorbidities (hypertension, diabetes or hyperlipidemia)</w:t>
            </w:r>
          </w:p>
        </w:tc>
        <w:tc>
          <w:tcPr>
            <w:tcW w:w="526" w:type="pct"/>
            <w:tcBorders>
              <w:top w:val="nil"/>
              <w:left w:val="nil"/>
              <w:bottom w:val="single" w:sz="4" w:space="0" w:color="auto"/>
              <w:right w:val="single" w:sz="4" w:space="0" w:color="auto"/>
            </w:tcBorders>
            <w:noWrap/>
            <w:vAlign w:val="center"/>
            <w:hideMark/>
          </w:tcPr>
          <w:p w14:paraId="23AE7887"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Surgery</w:t>
            </w:r>
          </w:p>
        </w:tc>
      </w:tr>
      <w:tr w:rsidR="004131F8" w:rsidRPr="004131F8" w14:paraId="03DB8DC3" w14:textId="77777777" w:rsidTr="004131F8">
        <w:trPr>
          <w:trHeight w:val="290"/>
        </w:trPr>
        <w:tc>
          <w:tcPr>
            <w:tcW w:w="648" w:type="pct"/>
            <w:tcBorders>
              <w:top w:val="nil"/>
              <w:left w:val="single" w:sz="4" w:space="0" w:color="auto"/>
              <w:bottom w:val="single" w:sz="4" w:space="0" w:color="auto"/>
              <w:right w:val="single" w:sz="4" w:space="0" w:color="auto"/>
            </w:tcBorders>
            <w:noWrap/>
            <w:vAlign w:val="center"/>
            <w:hideMark/>
          </w:tcPr>
          <w:p w14:paraId="37CB0247" w14:textId="7A5E9A7D"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Assumpcao, 2019</w:t>
            </w:r>
            <w:r w:rsidR="00254B1C" w:rsidRPr="00254B1C">
              <w:rPr>
                <w:rFonts w:ascii="Calibri" w:eastAsia="Times New Roman" w:hAnsi="Calibri" w:cs="Calibri"/>
                <w:noProof/>
                <w:color w:val="000000"/>
                <w:sz w:val="16"/>
                <w:szCs w:val="16"/>
                <w:vertAlign w:val="superscript"/>
                <w:lang w:val="en-IE" w:eastAsia="en-IE"/>
              </w:rPr>
              <w:t>38</w:t>
            </w:r>
          </w:p>
        </w:tc>
        <w:tc>
          <w:tcPr>
            <w:tcW w:w="300" w:type="pct"/>
            <w:tcBorders>
              <w:top w:val="nil"/>
              <w:left w:val="nil"/>
              <w:bottom w:val="single" w:sz="4" w:space="0" w:color="auto"/>
              <w:right w:val="single" w:sz="4" w:space="0" w:color="auto"/>
            </w:tcBorders>
            <w:noWrap/>
            <w:vAlign w:val="center"/>
            <w:hideMark/>
          </w:tcPr>
          <w:p w14:paraId="02232B59"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CUA</w:t>
            </w:r>
          </w:p>
        </w:tc>
        <w:tc>
          <w:tcPr>
            <w:tcW w:w="939" w:type="pct"/>
            <w:tcBorders>
              <w:top w:val="nil"/>
              <w:left w:val="nil"/>
              <w:bottom w:val="single" w:sz="4" w:space="0" w:color="auto"/>
              <w:right w:val="single" w:sz="4" w:space="0" w:color="auto"/>
            </w:tcBorders>
            <w:noWrap/>
            <w:vAlign w:val="center"/>
            <w:hideMark/>
          </w:tcPr>
          <w:p w14:paraId="1A42A8BC"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Hybrid Markov decision tree</w:t>
            </w:r>
          </w:p>
        </w:tc>
        <w:tc>
          <w:tcPr>
            <w:tcW w:w="474" w:type="pct"/>
            <w:tcBorders>
              <w:top w:val="nil"/>
              <w:left w:val="nil"/>
              <w:bottom w:val="single" w:sz="4" w:space="0" w:color="auto"/>
              <w:right w:val="single" w:sz="4" w:space="0" w:color="auto"/>
            </w:tcBorders>
            <w:noWrap/>
            <w:vAlign w:val="center"/>
            <w:hideMark/>
          </w:tcPr>
          <w:p w14:paraId="0A4FFF02"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Brazil</w:t>
            </w:r>
          </w:p>
        </w:tc>
        <w:tc>
          <w:tcPr>
            <w:tcW w:w="2113" w:type="pct"/>
            <w:tcBorders>
              <w:top w:val="nil"/>
              <w:left w:val="nil"/>
              <w:bottom w:val="single" w:sz="4" w:space="0" w:color="auto"/>
              <w:right w:val="single" w:sz="4" w:space="0" w:color="auto"/>
            </w:tcBorders>
            <w:noWrap/>
            <w:vAlign w:val="center"/>
            <w:hideMark/>
          </w:tcPr>
          <w:p w14:paraId="39F69784" w14:textId="16B65840" w:rsidR="00EE4AB5" w:rsidRPr="00EE4AB5" w:rsidRDefault="00F652D0" w:rsidP="00F652D0">
            <w:pPr>
              <w:spacing w:after="0" w:line="240" w:lineRule="auto"/>
              <w:rPr>
                <w:rFonts w:ascii="Calibri" w:eastAsia="Times New Roman" w:hAnsi="Calibri" w:cs="Calibri"/>
                <w:color w:val="000000"/>
                <w:sz w:val="16"/>
                <w:szCs w:val="16"/>
                <w:lang w:val="en-IE" w:eastAsia="en-IE"/>
              </w:rPr>
            </w:pPr>
            <w:r w:rsidRPr="004131F8">
              <w:rPr>
                <w:rFonts w:ascii="Calibri" w:eastAsia="Times New Roman" w:hAnsi="Calibri" w:cs="Calibri"/>
                <w:color w:val="000000"/>
                <w:sz w:val="16"/>
                <w:szCs w:val="16"/>
                <w:lang w:val="en-IE" w:eastAsia="en-IE"/>
              </w:rPr>
              <w:t>S</w:t>
            </w:r>
            <w:r w:rsidR="00EE4AB5" w:rsidRPr="00EE4AB5">
              <w:rPr>
                <w:rFonts w:ascii="Calibri" w:eastAsia="Times New Roman" w:hAnsi="Calibri" w:cs="Calibri"/>
                <w:color w:val="000000"/>
                <w:sz w:val="16"/>
                <w:szCs w:val="16"/>
                <w:lang w:val="en-IE" w:eastAsia="en-IE"/>
              </w:rPr>
              <w:t>everely obese</w:t>
            </w:r>
            <w:r w:rsidRPr="004131F8">
              <w:rPr>
                <w:rFonts w:ascii="Calibri" w:eastAsia="Times New Roman" w:hAnsi="Calibri" w:cs="Calibri"/>
                <w:color w:val="000000"/>
                <w:sz w:val="16"/>
                <w:szCs w:val="16"/>
                <w:lang w:val="en-IE" w:eastAsia="en-IE"/>
              </w:rPr>
              <w:t xml:space="preserve"> </w:t>
            </w:r>
            <w:r w:rsidR="00EE4AB5" w:rsidRPr="00EE4AB5">
              <w:rPr>
                <w:rFonts w:ascii="Calibri" w:eastAsia="Times New Roman" w:hAnsi="Calibri" w:cs="Calibri"/>
                <w:color w:val="000000"/>
                <w:sz w:val="16"/>
                <w:szCs w:val="16"/>
                <w:lang w:val="en-IE" w:eastAsia="en-IE"/>
              </w:rPr>
              <w:t>with diabetes and severely obese without diabetes.</w:t>
            </w:r>
          </w:p>
        </w:tc>
        <w:tc>
          <w:tcPr>
            <w:tcW w:w="526" w:type="pct"/>
            <w:tcBorders>
              <w:top w:val="nil"/>
              <w:left w:val="nil"/>
              <w:bottom w:val="single" w:sz="4" w:space="0" w:color="auto"/>
              <w:right w:val="single" w:sz="4" w:space="0" w:color="auto"/>
            </w:tcBorders>
            <w:noWrap/>
            <w:vAlign w:val="center"/>
            <w:hideMark/>
          </w:tcPr>
          <w:p w14:paraId="441F67BD"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Surgery</w:t>
            </w:r>
          </w:p>
        </w:tc>
      </w:tr>
      <w:tr w:rsidR="004131F8" w:rsidRPr="004131F8" w14:paraId="10BE4AE8" w14:textId="77777777" w:rsidTr="004131F8">
        <w:trPr>
          <w:trHeight w:val="290"/>
        </w:trPr>
        <w:tc>
          <w:tcPr>
            <w:tcW w:w="648" w:type="pct"/>
            <w:tcBorders>
              <w:top w:val="nil"/>
              <w:left w:val="single" w:sz="4" w:space="0" w:color="auto"/>
              <w:bottom w:val="single" w:sz="4" w:space="0" w:color="auto"/>
              <w:right w:val="single" w:sz="4" w:space="0" w:color="auto"/>
            </w:tcBorders>
            <w:noWrap/>
            <w:vAlign w:val="center"/>
            <w:hideMark/>
          </w:tcPr>
          <w:p w14:paraId="18DA2BFD" w14:textId="04453E66"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Avenell, 2018</w:t>
            </w:r>
            <w:r w:rsidR="00254B1C" w:rsidRPr="00254B1C">
              <w:rPr>
                <w:rFonts w:ascii="Calibri" w:eastAsia="Times New Roman" w:hAnsi="Calibri" w:cs="Calibri"/>
                <w:noProof/>
                <w:color w:val="000000"/>
                <w:sz w:val="16"/>
                <w:szCs w:val="16"/>
                <w:vertAlign w:val="superscript"/>
                <w:lang w:val="en-IE" w:eastAsia="en-IE"/>
              </w:rPr>
              <w:t>39</w:t>
            </w:r>
          </w:p>
        </w:tc>
        <w:tc>
          <w:tcPr>
            <w:tcW w:w="300" w:type="pct"/>
            <w:tcBorders>
              <w:top w:val="nil"/>
              <w:left w:val="nil"/>
              <w:bottom w:val="single" w:sz="4" w:space="0" w:color="auto"/>
              <w:right w:val="single" w:sz="4" w:space="0" w:color="auto"/>
            </w:tcBorders>
            <w:noWrap/>
            <w:vAlign w:val="center"/>
            <w:hideMark/>
          </w:tcPr>
          <w:p w14:paraId="04D63A97"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CEA</w:t>
            </w:r>
          </w:p>
        </w:tc>
        <w:tc>
          <w:tcPr>
            <w:tcW w:w="939" w:type="pct"/>
            <w:tcBorders>
              <w:top w:val="nil"/>
              <w:left w:val="nil"/>
              <w:bottom w:val="single" w:sz="4" w:space="0" w:color="auto"/>
              <w:right w:val="single" w:sz="4" w:space="0" w:color="auto"/>
            </w:tcBorders>
            <w:noWrap/>
            <w:vAlign w:val="center"/>
            <w:hideMark/>
          </w:tcPr>
          <w:p w14:paraId="299276BE"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MSM</w:t>
            </w:r>
          </w:p>
        </w:tc>
        <w:tc>
          <w:tcPr>
            <w:tcW w:w="474" w:type="pct"/>
            <w:tcBorders>
              <w:top w:val="nil"/>
              <w:left w:val="nil"/>
              <w:bottom w:val="single" w:sz="4" w:space="0" w:color="auto"/>
              <w:right w:val="single" w:sz="4" w:space="0" w:color="auto"/>
            </w:tcBorders>
            <w:noWrap/>
            <w:vAlign w:val="center"/>
            <w:hideMark/>
          </w:tcPr>
          <w:p w14:paraId="72E2203A"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UK</w:t>
            </w:r>
          </w:p>
        </w:tc>
        <w:tc>
          <w:tcPr>
            <w:tcW w:w="2113" w:type="pct"/>
            <w:tcBorders>
              <w:top w:val="nil"/>
              <w:left w:val="nil"/>
              <w:bottom w:val="single" w:sz="4" w:space="0" w:color="auto"/>
              <w:right w:val="single" w:sz="4" w:space="0" w:color="auto"/>
            </w:tcBorders>
            <w:noWrap/>
            <w:vAlign w:val="center"/>
            <w:hideMark/>
          </w:tcPr>
          <w:p w14:paraId="67FB3CAA"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Severe obesity</w:t>
            </w:r>
          </w:p>
        </w:tc>
        <w:tc>
          <w:tcPr>
            <w:tcW w:w="526" w:type="pct"/>
            <w:tcBorders>
              <w:top w:val="nil"/>
              <w:left w:val="nil"/>
              <w:bottom w:val="single" w:sz="4" w:space="0" w:color="auto"/>
              <w:right w:val="single" w:sz="4" w:space="0" w:color="auto"/>
            </w:tcBorders>
            <w:noWrap/>
            <w:vAlign w:val="center"/>
            <w:hideMark/>
          </w:tcPr>
          <w:p w14:paraId="2C533FAB"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Behavioural, surgery</w:t>
            </w:r>
          </w:p>
        </w:tc>
      </w:tr>
      <w:tr w:rsidR="004131F8" w:rsidRPr="004131F8" w14:paraId="0C08C0E7" w14:textId="77777777" w:rsidTr="004131F8">
        <w:trPr>
          <w:trHeight w:val="290"/>
        </w:trPr>
        <w:tc>
          <w:tcPr>
            <w:tcW w:w="648" w:type="pct"/>
            <w:tcBorders>
              <w:top w:val="nil"/>
              <w:left w:val="single" w:sz="4" w:space="0" w:color="auto"/>
              <w:bottom w:val="single" w:sz="4" w:space="0" w:color="auto"/>
              <w:right w:val="single" w:sz="4" w:space="0" w:color="auto"/>
            </w:tcBorders>
            <w:noWrap/>
            <w:vAlign w:val="center"/>
            <w:hideMark/>
          </w:tcPr>
          <w:p w14:paraId="6F4C5A34" w14:textId="2933911A"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Bernard 2021</w:t>
            </w:r>
            <w:r w:rsidR="00254B1C" w:rsidRPr="00254B1C">
              <w:rPr>
                <w:rFonts w:ascii="Calibri" w:eastAsia="Times New Roman" w:hAnsi="Calibri" w:cs="Calibri"/>
                <w:noProof/>
                <w:color w:val="000000"/>
                <w:sz w:val="16"/>
                <w:szCs w:val="16"/>
                <w:vertAlign w:val="superscript"/>
                <w:lang w:val="en-IE" w:eastAsia="en-IE"/>
              </w:rPr>
              <w:t>40</w:t>
            </w:r>
          </w:p>
        </w:tc>
        <w:tc>
          <w:tcPr>
            <w:tcW w:w="300" w:type="pct"/>
            <w:tcBorders>
              <w:top w:val="nil"/>
              <w:left w:val="nil"/>
              <w:bottom w:val="single" w:sz="4" w:space="0" w:color="auto"/>
              <w:right w:val="single" w:sz="4" w:space="0" w:color="auto"/>
            </w:tcBorders>
            <w:noWrap/>
            <w:vAlign w:val="center"/>
            <w:hideMark/>
          </w:tcPr>
          <w:p w14:paraId="5F2D785F"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CEA</w:t>
            </w:r>
          </w:p>
        </w:tc>
        <w:tc>
          <w:tcPr>
            <w:tcW w:w="939" w:type="pct"/>
            <w:tcBorders>
              <w:top w:val="nil"/>
              <w:left w:val="nil"/>
              <w:bottom w:val="single" w:sz="4" w:space="0" w:color="auto"/>
              <w:right w:val="single" w:sz="4" w:space="0" w:color="auto"/>
            </w:tcBorders>
            <w:noWrap/>
            <w:vAlign w:val="center"/>
            <w:hideMark/>
          </w:tcPr>
          <w:p w14:paraId="6E6FBB89"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Markov</w:t>
            </w:r>
          </w:p>
        </w:tc>
        <w:tc>
          <w:tcPr>
            <w:tcW w:w="474" w:type="pct"/>
            <w:tcBorders>
              <w:top w:val="nil"/>
              <w:left w:val="nil"/>
              <w:bottom w:val="single" w:sz="4" w:space="0" w:color="auto"/>
              <w:right w:val="single" w:sz="4" w:space="0" w:color="auto"/>
            </w:tcBorders>
            <w:noWrap/>
            <w:vAlign w:val="center"/>
            <w:hideMark/>
          </w:tcPr>
          <w:p w14:paraId="4F7A6D9B"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Canada</w:t>
            </w:r>
          </w:p>
        </w:tc>
        <w:tc>
          <w:tcPr>
            <w:tcW w:w="2113" w:type="pct"/>
            <w:tcBorders>
              <w:top w:val="nil"/>
              <w:left w:val="nil"/>
              <w:bottom w:val="single" w:sz="4" w:space="0" w:color="auto"/>
              <w:right w:val="single" w:sz="4" w:space="0" w:color="auto"/>
            </w:tcBorders>
            <w:noWrap/>
            <w:vAlign w:val="center"/>
            <w:hideMark/>
          </w:tcPr>
          <w:p w14:paraId="26CBB072" w14:textId="5F353629" w:rsidR="00EE4AB5" w:rsidRPr="00EE4AB5" w:rsidRDefault="00F652D0" w:rsidP="00F652D0">
            <w:pPr>
              <w:spacing w:after="0" w:line="240" w:lineRule="auto"/>
              <w:rPr>
                <w:rFonts w:ascii="Calibri" w:eastAsia="Times New Roman" w:hAnsi="Calibri" w:cs="Calibri"/>
                <w:color w:val="000000"/>
                <w:sz w:val="16"/>
                <w:szCs w:val="16"/>
                <w:lang w:val="en-IE" w:eastAsia="en-IE"/>
              </w:rPr>
            </w:pPr>
            <w:r w:rsidRPr="004131F8">
              <w:rPr>
                <w:rFonts w:ascii="Calibri" w:eastAsia="Times New Roman" w:hAnsi="Calibri" w:cs="Calibri"/>
                <w:color w:val="000000"/>
                <w:sz w:val="16"/>
                <w:szCs w:val="16"/>
                <w:lang w:val="en-IE" w:eastAsia="en-IE"/>
              </w:rPr>
              <w:t>O</w:t>
            </w:r>
            <w:r w:rsidR="00EE4AB5" w:rsidRPr="00EE4AB5">
              <w:rPr>
                <w:rFonts w:ascii="Calibri" w:eastAsia="Times New Roman" w:hAnsi="Calibri" w:cs="Calibri"/>
                <w:color w:val="000000"/>
                <w:sz w:val="16"/>
                <w:szCs w:val="16"/>
                <w:lang w:val="en-IE" w:eastAsia="en-IE"/>
              </w:rPr>
              <w:t>bese</w:t>
            </w:r>
          </w:p>
        </w:tc>
        <w:tc>
          <w:tcPr>
            <w:tcW w:w="526" w:type="pct"/>
            <w:tcBorders>
              <w:top w:val="nil"/>
              <w:left w:val="nil"/>
              <w:bottom w:val="single" w:sz="4" w:space="0" w:color="auto"/>
              <w:right w:val="single" w:sz="4" w:space="0" w:color="auto"/>
            </w:tcBorders>
            <w:noWrap/>
            <w:vAlign w:val="center"/>
            <w:hideMark/>
          </w:tcPr>
          <w:p w14:paraId="6F3CD6C9"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device</w:t>
            </w:r>
          </w:p>
        </w:tc>
      </w:tr>
      <w:tr w:rsidR="004131F8" w:rsidRPr="004131F8" w14:paraId="765E554D" w14:textId="77777777" w:rsidTr="004131F8">
        <w:trPr>
          <w:trHeight w:val="290"/>
        </w:trPr>
        <w:tc>
          <w:tcPr>
            <w:tcW w:w="648" w:type="pct"/>
            <w:tcBorders>
              <w:top w:val="nil"/>
              <w:left w:val="single" w:sz="4" w:space="0" w:color="auto"/>
              <w:bottom w:val="single" w:sz="4" w:space="0" w:color="auto"/>
              <w:right w:val="single" w:sz="4" w:space="0" w:color="auto"/>
            </w:tcBorders>
            <w:noWrap/>
            <w:vAlign w:val="center"/>
            <w:hideMark/>
          </w:tcPr>
          <w:p w14:paraId="46DD1657" w14:textId="094AA18E"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Borisenko, 2018a</w:t>
            </w:r>
            <w:r w:rsidR="00254B1C" w:rsidRPr="00254B1C">
              <w:rPr>
                <w:rFonts w:ascii="Calibri" w:eastAsia="Times New Roman" w:hAnsi="Calibri" w:cs="Calibri"/>
                <w:noProof/>
                <w:color w:val="000000"/>
                <w:sz w:val="16"/>
                <w:szCs w:val="16"/>
                <w:vertAlign w:val="superscript"/>
                <w:lang w:val="en-IE" w:eastAsia="en-IE"/>
              </w:rPr>
              <w:t>41</w:t>
            </w:r>
          </w:p>
        </w:tc>
        <w:tc>
          <w:tcPr>
            <w:tcW w:w="300" w:type="pct"/>
            <w:tcBorders>
              <w:top w:val="nil"/>
              <w:left w:val="nil"/>
              <w:bottom w:val="single" w:sz="4" w:space="0" w:color="auto"/>
              <w:right w:val="single" w:sz="4" w:space="0" w:color="auto"/>
            </w:tcBorders>
            <w:noWrap/>
            <w:vAlign w:val="center"/>
            <w:hideMark/>
          </w:tcPr>
          <w:p w14:paraId="2AAED8D4"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CUA</w:t>
            </w:r>
          </w:p>
        </w:tc>
        <w:tc>
          <w:tcPr>
            <w:tcW w:w="939" w:type="pct"/>
            <w:tcBorders>
              <w:top w:val="nil"/>
              <w:left w:val="nil"/>
              <w:bottom w:val="single" w:sz="4" w:space="0" w:color="auto"/>
              <w:right w:val="single" w:sz="4" w:space="0" w:color="auto"/>
            </w:tcBorders>
            <w:noWrap/>
            <w:vAlign w:val="center"/>
            <w:hideMark/>
          </w:tcPr>
          <w:p w14:paraId="10C112F6"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Markov</w:t>
            </w:r>
          </w:p>
        </w:tc>
        <w:tc>
          <w:tcPr>
            <w:tcW w:w="474" w:type="pct"/>
            <w:tcBorders>
              <w:top w:val="nil"/>
              <w:left w:val="nil"/>
              <w:bottom w:val="single" w:sz="4" w:space="0" w:color="auto"/>
              <w:right w:val="single" w:sz="4" w:space="0" w:color="auto"/>
            </w:tcBorders>
            <w:noWrap/>
            <w:vAlign w:val="center"/>
            <w:hideMark/>
          </w:tcPr>
          <w:p w14:paraId="5A0127F4"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England</w:t>
            </w:r>
          </w:p>
        </w:tc>
        <w:tc>
          <w:tcPr>
            <w:tcW w:w="2113" w:type="pct"/>
            <w:tcBorders>
              <w:top w:val="nil"/>
              <w:left w:val="nil"/>
              <w:bottom w:val="single" w:sz="4" w:space="0" w:color="auto"/>
              <w:right w:val="single" w:sz="4" w:space="0" w:color="auto"/>
            </w:tcBorders>
            <w:noWrap/>
            <w:vAlign w:val="center"/>
            <w:hideMark/>
          </w:tcPr>
          <w:p w14:paraId="7966AB81" w14:textId="192BCA28" w:rsidR="00EE4AB5" w:rsidRPr="00EE4AB5" w:rsidRDefault="00F652D0" w:rsidP="00F652D0">
            <w:pPr>
              <w:spacing w:after="0" w:line="240" w:lineRule="auto"/>
              <w:rPr>
                <w:rFonts w:ascii="Calibri" w:eastAsia="Times New Roman" w:hAnsi="Calibri" w:cs="Calibri"/>
                <w:color w:val="000000"/>
                <w:sz w:val="16"/>
                <w:szCs w:val="16"/>
                <w:lang w:val="en-IE" w:eastAsia="en-IE"/>
              </w:rPr>
            </w:pPr>
            <w:r w:rsidRPr="004131F8">
              <w:rPr>
                <w:rFonts w:ascii="Calibri" w:eastAsia="Times New Roman" w:hAnsi="Calibri" w:cs="Calibri"/>
                <w:color w:val="000000"/>
                <w:sz w:val="16"/>
                <w:szCs w:val="16"/>
                <w:lang w:val="en-IE" w:eastAsia="en-IE"/>
              </w:rPr>
              <w:t>M</w:t>
            </w:r>
            <w:r w:rsidR="00EE4AB5" w:rsidRPr="00EE4AB5">
              <w:rPr>
                <w:rFonts w:ascii="Calibri" w:eastAsia="Times New Roman" w:hAnsi="Calibri" w:cs="Calibri"/>
                <w:color w:val="000000"/>
                <w:sz w:val="16"/>
                <w:szCs w:val="16"/>
                <w:lang w:val="en-IE" w:eastAsia="en-IE"/>
              </w:rPr>
              <w:t>orbid obesity</w:t>
            </w:r>
          </w:p>
        </w:tc>
        <w:tc>
          <w:tcPr>
            <w:tcW w:w="526" w:type="pct"/>
            <w:tcBorders>
              <w:top w:val="nil"/>
              <w:left w:val="nil"/>
              <w:bottom w:val="single" w:sz="4" w:space="0" w:color="auto"/>
              <w:right w:val="single" w:sz="4" w:space="0" w:color="auto"/>
            </w:tcBorders>
            <w:noWrap/>
            <w:vAlign w:val="center"/>
            <w:hideMark/>
          </w:tcPr>
          <w:p w14:paraId="72CE7B55"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Surgery</w:t>
            </w:r>
          </w:p>
        </w:tc>
      </w:tr>
      <w:tr w:rsidR="004131F8" w:rsidRPr="004131F8" w14:paraId="29AD9A75" w14:textId="77777777" w:rsidTr="004131F8">
        <w:trPr>
          <w:trHeight w:val="290"/>
        </w:trPr>
        <w:tc>
          <w:tcPr>
            <w:tcW w:w="648" w:type="pct"/>
            <w:tcBorders>
              <w:top w:val="nil"/>
              <w:left w:val="single" w:sz="4" w:space="0" w:color="auto"/>
              <w:bottom w:val="single" w:sz="4" w:space="0" w:color="auto"/>
              <w:right w:val="single" w:sz="4" w:space="0" w:color="auto"/>
            </w:tcBorders>
            <w:noWrap/>
            <w:vAlign w:val="center"/>
            <w:hideMark/>
          </w:tcPr>
          <w:p w14:paraId="1BFB5AB1" w14:textId="3F0CB043"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Borisenko, 2018b</w:t>
            </w:r>
            <w:r w:rsidR="00254B1C" w:rsidRPr="00254B1C">
              <w:rPr>
                <w:rFonts w:ascii="Calibri" w:eastAsia="Times New Roman" w:hAnsi="Calibri" w:cs="Calibri"/>
                <w:noProof/>
                <w:color w:val="000000"/>
                <w:sz w:val="16"/>
                <w:szCs w:val="16"/>
                <w:vertAlign w:val="superscript"/>
                <w:lang w:val="en-IE" w:eastAsia="en-IE"/>
              </w:rPr>
              <w:t>42</w:t>
            </w:r>
          </w:p>
        </w:tc>
        <w:tc>
          <w:tcPr>
            <w:tcW w:w="300" w:type="pct"/>
            <w:tcBorders>
              <w:top w:val="nil"/>
              <w:left w:val="nil"/>
              <w:bottom w:val="single" w:sz="4" w:space="0" w:color="auto"/>
              <w:right w:val="single" w:sz="4" w:space="0" w:color="auto"/>
            </w:tcBorders>
            <w:noWrap/>
            <w:vAlign w:val="center"/>
            <w:hideMark/>
          </w:tcPr>
          <w:p w14:paraId="14D30B8D"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CEA</w:t>
            </w:r>
          </w:p>
        </w:tc>
        <w:tc>
          <w:tcPr>
            <w:tcW w:w="939" w:type="pct"/>
            <w:tcBorders>
              <w:top w:val="nil"/>
              <w:left w:val="nil"/>
              <w:bottom w:val="single" w:sz="4" w:space="0" w:color="auto"/>
              <w:right w:val="single" w:sz="4" w:space="0" w:color="auto"/>
            </w:tcBorders>
            <w:noWrap/>
            <w:vAlign w:val="center"/>
            <w:hideMark/>
          </w:tcPr>
          <w:p w14:paraId="7F6ECC21"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Markov</w:t>
            </w:r>
          </w:p>
        </w:tc>
        <w:tc>
          <w:tcPr>
            <w:tcW w:w="474" w:type="pct"/>
            <w:tcBorders>
              <w:top w:val="nil"/>
              <w:left w:val="nil"/>
              <w:bottom w:val="single" w:sz="4" w:space="0" w:color="auto"/>
              <w:right w:val="single" w:sz="4" w:space="0" w:color="auto"/>
            </w:tcBorders>
            <w:noWrap/>
            <w:vAlign w:val="center"/>
            <w:hideMark/>
          </w:tcPr>
          <w:p w14:paraId="5899F8C3"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Belgium</w:t>
            </w:r>
          </w:p>
        </w:tc>
        <w:tc>
          <w:tcPr>
            <w:tcW w:w="2113" w:type="pct"/>
            <w:tcBorders>
              <w:top w:val="nil"/>
              <w:left w:val="nil"/>
              <w:bottom w:val="single" w:sz="4" w:space="0" w:color="auto"/>
              <w:right w:val="single" w:sz="4" w:space="0" w:color="auto"/>
            </w:tcBorders>
            <w:noWrap/>
            <w:vAlign w:val="center"/>
            <w:hideMark/>
          </w:tcPr>
          <w:p w14:paraId="25E92489" w14:textId="08033D28" w:rsidR="00EE4AB5" w:rsidRPr="00EE4AB5" w:rsidRDefault="00F652D0" w:rsidP="00F652D0">
            <w:pPr>
              <w:spacing w:after="0" w:line="240" w:lineRule="auto"/>
              <w:rPr>
                <w:rFonts w:ascii="Calibri" w:eastAsia="Times New Roman" w:hAnsi="Calibri" w:cs="Calibri"/>
                <w:color w:val="000000"/>
                <w:sz w:val="16"/>
                <w:szCs w:val="16"/>
                <w:lang w:val="en-IE" w:eastAsia="en-IE"/>
              </w:rPr>
            </w:pPr>
            <w:r w:rsidRPr="004131F8">
              <w:rPr>
                <w:rFonts w:ascii="Calibri" w:eastAsia="Times New Roman" w:hAnsi="Calibri" w:cs="Calibri"/>
                <w:color w:val="000000"/>
                <w:sz w:val="16"/>
                <w:szCs w:val="16"/>
                <w:lang w:val="en-IE" w:eastAsia="en-IE"/>
              </w:rPr>
              <w:t>U</w:t>
            </w:r>
            <w:r w:rsidR="00EE4AB5" w:rsidRPr="00EE4AB5">
              <w:rPr>
                <w:rFonts w:ascii="Calibri" w:eastAsia="Times New Roman" w:hAnsi="Calibri" w:cs="Calibri"/>
                <w:color w:val="000000"/>
                <w:sz w:val="16"/>
                <w:szCs w:val="16"/>
                <w:lang w:val="en-IE" w:eastAsia="en-IE"/>
              </w:rPr>
              <w:t>nclear</w:t>
            </w:r>
          </w:p>
        </w:tc>
        <w:tc>
          <w:tcPr>
            <w:tcW w:w="526" w:type="pct"/>
            <w:tcBorders>
              <w:top w:val="nil"/>
              <w:left w:val="nil"/>
              <w:bottom w:val="single" w:sz="4" w:space="0" w:color="auto"/>
              <w:right w:val="single" w:sz="4" w:space="0" w:color="auto"/>
            </w:tcBorders>
            <w:noWrap/>
            <w:vAlign w:val="center"/>
            <w:hideMark/>
          </w:tcPr>
          <w:p w14:paraId="7C2B717C"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Surgery</w:t>
            </w:r>
          </w:p>
        </w:tc>
      </w:tr>
      <w:tr w:rsidR="004131F8" w:rsidRPr="004131F8" w14:paraId="36F6BCCF" w14:textId="77777777" w:rsidTr="004131F8">
        <w:trPr>
          <w:trHeight w:val="290"/>
        </w:trPr>
        <w:tc>
          <w:tcPr>
            <w:tcW w:w="648" w:type="pct"/>
            <w:tcBorders>
              <w:top w:val="nil"/>
              <w:left w:val="single" w:sz="4" w:space="0" w:color="auto"/>
              <w:bottom w:val="single" w:sz="4" w:space="0" w:color="auto"/>
              <w:right w:val="single" w:sz="4" w:space="0" w:color="auto"/>
            </w:tcBorders>
            <w:noWrap/>
            <w:vAlign w:val="center"/>
            <w:hideMark/>
          </w:tcPr>
          <w:p w14:paraId="040B5073" w14:textId="5AB57E82"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Borisenko, 2017a</w:t>
            </w:r>
            <w:r w:rsidR="00254B1C" w:rsidRPr="00254B1C">
              <w:rPr>
                <w:rFonts w:ascii="Calibri" w:eastAsia="Times New Roman" w:hAnsi="Calibri" w:cs="Calibri"/>
                <w:noProof/>
                <w:color w:val="000000"/>
                <w:sz w:val="16"/>
                <w:szCs w:val="16"/>
                <w:vertAlign w:val="superscript"/>
                <w:lang w:val="en-IE" w:eastAsia="en-IE"/>
              </w:rPr>
              <w:t>43</w:t>
            </w:r>
          </w:p>
        </w:tc>
        <w:tc>
          <w:tcPr>
            <w:tcW w:w="300" w:type="pct"/>
            <w:tcBorders>
              <w:top w:val="nil"/>
              <w:left w:val="nil"/>
              <w:bottom w:val="single" w:sz="4" w:space="0" w:color="auto"/>
              <w:right w:val="single" w:sz="4" w:space="0" w:color="auto"/>
            </w:tcBorders>
            <w:noWrap/>
            <w:vAlign w:val="center"/>
            <w:hideMark/>
          </w:tcPr>
          <w:p w14:paraId="411A0C5E"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CEA</w:t>
            </w:r>
          </w:p>
        </w:tc>
        <w:tc>
          <w:tcPr>
            <w:tcW w:w="939" w:type="pct"/>
            <w:tcBorders>
              <w:top w:val="nil"/>
              <w:left w:val="nil"/>
              <w:bottom w:val="single" w:sz="4" w:space="0" w:color="auto"/>
              <w:right w:val="single" w:sz="4" w:space="0" w:color="auto"/>
            </w:tcBorders>
            <w:noWrap/>
            <w:vAlign w:val="center"/>
            <w:hideMark/>
          </w:tcPr>
          <w:p w14:paraId="1F593BA8"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Markov</w:t>
            </w:r>
          </w:p>
        </w:tc>
        <w:tc>
          <w:tcPr>
            <w:tcW w:w="474" w:type="pct"/>
            <w:tcBorders>
              <w:top w:val="nil"/>
              <w:left w:val="nil"/>
              <w:bottom w:val="single" w:sz="4" w:space="0" w:color="auto"/>
              <w:right w:val="single" w:sz="4" w:space="0" w:color="auto"/>
            </w:tcBorders>
            <w:noWrap/>
            <w:vAlign w:val="center"/>
            <w:hideMark/>
          </w:tcPr>
          <w:p w14:paraId="3D5256C7"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Denmark</w:t>
            </w:r>
          </w:p>
        </w:tc>
        <w:tc>
          <w:tcPr>
            <w:tcW w:w="2113" w:type="pct"/>
            <w:tcBorders>
              <w:top w:val="nil"/>
              <w:left w:val="nil"/>
              <w:bottom w:val="single" w:sz="4" w:space="0" w:color="auto"/>
              <w:right w:val="single" w:sz="4" w:space="0" w:color="auto"/>
            </w:tcBorders>
            <w:noWrap/>
            <w:vAlign w:val="center"/>
            <w:hideMark/>
          </w:tcPr>
          <w:p w14:paraId="1AD7D35B" w14:textId="69226A09" w:rsidR="00EE4AB5" w:rsidRPr="00EE4AB5" w:rsidRDefault="00F652D0" w:rsidP="00F652D0">
            <w:pPr>
              <w:spacing w:after="0" w:line="240" w:lineRule="auto"/>
              <w:rPr>
                <w:rFonts w:ascii="Calibri" w:eastAsia="Times New Roman" w:hAnsi="Calibri" w:cs="Calibri"/>
                <w:color w:val="000000"/>
                <w:sz w:val="16"/>
                <w:szCs w:val="16"/>
                <w:lang w:val="en-IE" w:eastAsia="en-IE"/>
              </w:rPr>
            </w:pPr>
            <w:r w:rsidRPr="004131F8">
              <w:rPr>
                <w:rFonts w:ascii="Calibri" w:eastAsia="Times New Roman" w:hAnsi="Calibri" w:cs="Calibri"/>
                <w:color w:val="000000"/>
                <w:sz w:val="16"/>
                <w:szCs w:val="16"/>
                <w:lang w:val="en-IE" w:eastAsia="en-IE"/>
              </w:rPr>
              <w:t>M</w:t>
            </w:r>
            <w:r w:rsidR="00EE4AB5" w:rsidRPr="00EE4AB5">
              <w:rPr>
                <w:rFonts w:ascii="Calibri" w:eastAsia="Times New Roman" w:hAnsi="Calibri" w:cs="Calibri"/>
                <w:color w:val="000000"/>
                <w:sz w:val="16"/>
                <w:szCs w:val="16"/>
                <w:lang w:val="en-IE" w:eastAsia="en-IE"/>
              </w:rPr>
              <w:t>oderate (start BMI: 33 kg/m2), severe (start BMI: 37 kg/m2), morbid (start BMI: 42 kg/m2) and super obesity (start BMI: 52 kg/m2)</w:t>
            </w:r>
          </w:p>
        </w:tc>
        <w:tc>
          <w:tcPr>
            <w:tcW w:w="526" w:type="pct"/>
            <w:tcBorders>
              <w:top w:val="nil"/>
              <w:left w:val="nil"/>
              <w:bottom w:val="single" w:sz="4" w:space="0" w:color="auto"/>
              <w:right w:val="single" w:sz="4" w:space="0" w:color="auto"/>
            </w:tcBorders>
            <w:noWrap/>
            <w:vAlign w:val="center"/>
            <w:hideMark/>
          </w:tcPr>
          <w:p w14:paraId="64D41356"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Surgery</w:t>
            </w:r>
          </w:p>
        </w:tc>
      </w:tr>
      <w:tr w:rsidR="004131F8" w:rsidRPr="004131F8" w14:paraId="228306C1" w14:textId="77777777" w:rsidTr="004131F8">
        <w:trPr>
          <w:trHeight w:val="290"/>
        </w:trPr>
        <w:tc>
          <w:tcPr>
            <w:tcW w:w="648" w:type="pct"/>
            <w:tcBorders>
              <w:top w:val="nil"/>
              <w:left w:val="single" w:sz="4" w:space="0" w:color="auto"/>
              <w:bottom w:val="single" w:sz="4" w:space="0" w:color="auto"/>
              <w:right w:val="single" w:sz="4" w:space="0" w:color="auto"/>
            </w:tcBorders>
            <w:noWrap/>
            <w:vAlign w:val="center"/>
            <w:hideMark/>
          </w:tcPr>
          <w:p w14:paraId="32B620A0" w14:textId="045B9CB6"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Borisenko, 2017b</w:t>
            </w:r>
            <w:r w:rsidR="00254B1C" w:rsidRPr="00254B1C">
              <w:rPr>
                <w:rFonts w:ascii="Calibri" w:eastAsia="Times New Roman" w:hAnsi="Calibri" w:cs="Calibri"/>
                <w:noProof/>
                <w:color w:val="000000"/>
                <w:sz w:val="16"/>
                <w:szCs w:val="16"/>
                <w:vertAlign w:val="superscript"/>
                <w:lang w:val="en-IE" w:eastAsia="en-IE"/>
              </w:rPr>
              <w:t>44</w:t>
            </w:r>
          </w:p>
        </w:tc>
        <w:tc>
          <w:tcPr>
            <w:tcW w:w="300" w:type="pct"/>
            <w:tcBorders>
              <w:top w:val="nil"/>
              <w:left w:val="nil"/>
              <w:bottom w:val="single" w:sz="4" w:space="0" w:color="auto"/>
              <w:right w:val="single" w:sz="4" w:space="0" w:color="auto"/>
            </w:tcBorders>
            <w:noWrap/>
            <w:vAlign w:val="center"/>
            <w:hideMark/>
          </w:tcPr>
          <w:p w14:paraId="100E6249"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CUA</w:t>
            </w:r>
          </w:p>
        </w:tc>
        <w:tc>
          <w:tcPr>
            <w:tcW w:w="939" w:type="pct"/>
            <w:tcBorders>
              <w:top w:val="nil"/>
              <w:left w:val="nil"/>
              <w:bottom w:val="single" w:sz="4" w:space="0" w:color="auto"/>
              <w:right w:val="single" w:sz="4" w:space="0" w:color="auto"/>
            </w:tcBorders>
            <w:noWrap/>
            <w:vAlign w:val="center"/>
            <w:hideMark/>
          </w:tcPr>
          <w:p w14:paraId="12DD3AED"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Markov</w:t>
            </w:r>
          </w:p>
        </w:tc>
        <w:tc>
          <w:tcPr>
            <w:tcW w:w="474" w:type="pct"/>
            <w:tcBorders>
              <w:top w:val="nil"/>
              <w:left w:val="nil"/>
              <w:bottom w:val="single" w:sz="4" w:space="0" w:color="auto"/>
              <w:right w:val="single" w:sz="4" w:space="0" w:color="auto"/>
            </w:tcBorders>
            <w:noWrap/>
            <w:vAlign w:val="center"/>
            <w:hideMark/>
          </w:tcPr>
          <w:p w14:paraId="4C2A569C"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Germany</w:t>
            </w:r>
          </w:p>
        </w:tc>
        <w:tc>
          <w:tcPr>
            <w:tcW w:w="2113" w:type="pct"/>
            <w:tcBorders>
              <w:top w:val="nil"/>
              <w:left w:val="nil"/>
              <w:bottom w:val="single" w:sz="4" w:space="0" w:color="auto"/>
              <w:right w:val="single" w:sz="4" w:space="0" w:color="auto"/>
            </w:tcBorders>
            <w:noWrap/>
            <w:vAlign w:val="center"/>
            <w:hideMark/>
          </w:tcPr>
          <w:p w14:paraId="0F498793" w14:textId="44805292" w:rsidR="00EE4AB5" w:rsidRPr="00EE4AB5" w:rsidRDefault="00F652D0" w:rsidP="00F652D0">
            <w:pPr>
              <w:spacing w:after="0" w:line="240" w:lineRule="auto"/>
              <w:rPr>
                <w:rFonts w:ascii="Calibri" w:eastAsia="Times New Roman" w:hAnsi="Calibri" w:cs="Calibri"/>
                <w:color w:val="000000"/>
                <w:sz w:val="16"/>
                <w:szCs w:val="16"/>
                <w:lang w:val="en-IE" w:eastAsia="en-IE"/>
              </w:rPr>
            </w:pPr>
            <w:r w:rsidRPr="004131F8">
              <w:rPr>
                <w:rFonts w:ascii="Calibri" w:eastAsia="Times New Roman" w:hAnsi="Calibri" w:cs="Calibri"/>
                <w:color w:val="000000"/>
                <w:sz w:val="16"/>
                <w:szCs w:val="16"/>
                <w:lang w:val="en-IE" w:eastAsia="en-IE"/>
              </w:rPr>
              <w:t>O</w:t>
            </w:r>
            <w:r w:rsidR="00EE4AB5" w:rsidRPr="00EE4AB5">
              <w:rPr>
                <w:rFonts w:ascii="Calibri" w:eastAsia="Times New Roman" w:hAnsi="Calibri" w:cs="Calibri"/>
                <w:color w:val="000000"/>
                <w:sz w:val="16"/>
                <w:szCs w:val="16"/>
                <w:lang w:val="en-IE" w:eastAsia="en-IE"/>
              </w:rPr>
              <w:t>bese</w:t>
            </w:r>
          </w:p>
        </w:tc>
        <w:tc>
          <w:tcPr>
            <w:tcW w:w="526" w:type="pct"/>
            <w:tcBorders>
              <w:top w:val="nil"/>
              <w:left w:val="nil"/>
              <w:bottom w:val="single" w:sz="4" w:space="0" w:color="auto"/>
              <w:right w:val="single" w:sz="4" w:space="0" w:color="auto"/>
            </w:tcBorders>
            <w:noWrap/>
            <w:vAlign w:val="center"/>
            <w:hideMark/>
          </w:tcPr>
          <w:p w14:paraId="12E2D145"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Surgery</w:t>
            </w:r>
          </w:p>
        </w:tc>
      </w:tr>
      <w:tr w:rsidR="004131F8" w:rsidRPr="004131F8" w14:paraId="18961A3D" w14:textId="77777777" w:rsidTr="004131F8">
        <w:trPr>
          <w:trHeight w:val="290"/>
        </w:trPr>
        <w:tc>
          <w:tcPr>
            <w:tcW w:w="648" w:type="pct"/>
            <w:tcBorders>
              <w:top w:val="nil"/>
              <w:left w:val="single" w:sz="4" w:space="0" w:color="auto"/>
              <w:bottom w:val="single" w:sz="4" w:space="0" w:color="auto"/>
              <w:right w:val="single" w:sz="4" w:space="0" w:color="auto"/>
            </w:tcBorders>
            <w:noWrap/>
            <w:vAlign w:val="center"/>
            <w:hideMark/>
          </w:tcPr>
          <w:p w14:paraId="17A6E6EB" w14:textId="1E12E2B6"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Borisenko, 2015</w:t>
            </w:r>
            <w:r w:rsidR="00254B1C" w:rsidRPr="00254B1C">
              <w:rPr>
                <w:rFonts w:ascii="Calibri" w:eastAsia="Times New Roman" w:hAnsi="Calibri" w:cs="Calibri"/>
                <w:noProof/>
                <w:color w:val="000000"/>
                <w:sz w:val="16"/>
                <w:szCs w:val="16"/>
                <w:vertAlign w:val="superscript"/>
                <w:lang w:val="en-IE" w:eastAsia="en-IE"/>
              </w:rPr>
              <w:t>45</w:t>
            </w:r>
          </w:p>
        </w:tc>
        <w:tc>
          <w:tcPr>
            <w:tcW w:w="300" w:type="pct"/>
            <w:tcBorders>
              <w:top w:val="nil"/>
              <w:left w:val="nil"/>
              <w:bottom w:val="single" w:sz="4" w:space="0" w:color="auto"/>
              <w:right w:val="single" w:sz="4" w:space="0" w:color="auto"/>
            </w:tcBorders>
            <w:noWrap/>
            <w:vAlign w:val="center"/>
            <w:hideMark/>
          </w:tcPr>
          <w:p w14:paraId="78F57FD0"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CUA</w:t>
            </w:r>
          </w:p>
        </w:tc>
        <w:tc>
          <w:tcPr>
            <w:tcW w:w="939" w:type="pct"/>
            <w:tcBorders>
              <w:top w:val="nil"/>
              <w:left w:val="nil"/>
              <w:bottom w:val="single" w:sz="4" w:space="0" w:color="auto"/>
              <w:right w:val="single" w:sz="4" w:space="0" w:color="auto"/>
            </w:tcBorders>
            <w:noWrap/>
            <w:vAlign w:val="center"/>
            <w:hideMark/>
          </w:tcPr>
          <w:p w14:paraId="7D354279"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Markov</w:t>
            </w:r>
          </w:p>
        </w:tc>
        <w:tc>
          <w:tcPr>
            <w:tcW w:w="474" w:type="pct"/>
            <w:tcBorders>
              <w:top w:val="nil"/>
              <w:left w:val="nil"/>
              <w:bottom w:val="single" w:sz="4" w:space="0" w:color="auto"/>
              <w:right w:val="single" w:sz="4" w:space="0" w:color="auto"/>
            </w:tcBorders>
            <w:noWrap/>
            <w:vAlign w:val="center"/>
            <w:hideMark/>
          </w:tcPr>
          <w:p w14:paraId="7F441C28"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Sweden</w:t>
            </w:r>
          </w:p>
        </w:tc>
        <w:tc>
          <w:tcPr>
            <w:tcW w:w="2113" w:type="pct"/>
            <w:tcBorders>
              <w:top w:val="nil"/>
              <w:left w:val="nil"/>
              <w:bottom w:val="single" w:sz="4" w:space="0" w:color="auto"/>
              <w:right w:val="single" w:sz="4" w:space="0" w:color="auto"/>
            </w:tcBorders>
            <w:noWrap/>
            <w:vAlign w:val="center"/>
            <w:hideMark/>
          </w:tcPr>
          <w:p w14:paraId="72F922A3" w14:textId="1D03F96D" w:rsidR="00EE4AB5" w:rsidRPr="00EE4AB5" w:rsidRDefault="00F652D0" w:rsidP="00F652D0">
            <w:pPr>
              <w:spacing w:after="0" w:line="240" w:lineRule="auto"/>
              <w:rPr>
                <w:rFonts w:ascii="Calibri" w:eastAsia="Times New Roman" w:hAnsi="Calibri" w:cs="Calibri"/>
                <w:color w:val="000000"/>
                <w:sz w:val="16"/>
                <w:szCs w:val="16"/>
                <w:lang w:val="en-IE" w:eastAsia="en-IE"/>
              </w:rPr>
            </w:pPr>
            <w:r w:rsidRPr="004131F8">
              <w:rPr>
                <w:rFonts w:ascii="Calibri" w:eastAsia="Times New Roman" w:hAnsi="Calibri" w:cs="Calibri"/>
                <w:color w:val="000000"/>
                <w:sz w:val="16"/>
                <w:szCs w:val="16"/>
                <w:lang w:val="en-IE" w:eastAsia="en-IE"/>
              </w:rPr>
              <w:t>O</w:t>
            </w:r>
            <w:r w:rsidR="00EE4AB5" w:rsidRPr="00EE4AB5">
              <w:rPr>
                <w:rFonts w:ascii="Calibri" w:eastAsia="Times New Roman" w:hAnsi="Calibri" w:cs="Calibri"/>
                <w:color w:val="000000"/>
                <w:sz w:val="16"/>
                <w:szCs w:val="16"/>
                <w:lang w:val="en-IE" w:eastAsia="en-IE"/>
              </w:rPr>
              <w:t>bese</w:t>
            </w:r>
          </w:p>
        </w:tc>
        <w:tc>
          <w:tcPr>
            <w:tcW w:w="526" w:type="pct"/>
            <w:tcBorders>
              <w:top w:val="nil"/>
              <w:left w:val="nil"/>
              <w:bottom w:val="single" w:sz="4" w:space="0" w:color="auto"/>
              <w:right w:val="single" w:sz="4" w:space="0" w:color="auto"/>
            </w:tcBorders>
            <w:noWrap/>
            <w:vAlign w:val="center"/>
            <w:hideMark/>
          </w:tcPr>
          <w:p w14:paraId="5AB2CE02"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Surgery</w:t>
            </w:r>
          </w:p>
        </w:tc>
      </w:tr>
      <w:tr w:rsidR="004131F8" w:rsidRPr="004131F8" w14:paraId="44EE21D9" w14:textId="77777777" w:rsidTr="004131F8">
        <w:trPr>
          <w:trHeight w:val="290"/>
        </w:trPr>
        <w:tc>
          <w:tcPr>
            <w:tcW w:w="648" w:type="pct"/>
            <w:tcBorders>
              <w:top w:val="nil"/>
              <w:left w:val="single" w:sz="4" w:space="0" w:color="auto"/>
              <w:bottom w:val="single" w:sz="4" w:space="0" w:color="auto"/>
              <w:right w:val="single" w:sz="4" w:space="0" w:color="auto"/>
            </w:tcBorders>
            <w:noWrap/>
            <w:vAlign w:val="center"/>
            <w:hideMark/>
          </w:tcPr>
          <w:p w14:paraId="51796522" w14:textId="32A47AF7" w:rsidR="00EE4AB5" w:rsidRPr="00EE4AB5" w:rsidRDefault="00EE4AB5" w:rsidP="00F652D0">
            <w:pPr>
              <w:spacing w:after="0" w:line="240" w:lineRule="auto"/>
              <w:rPr>
                <w:rFonts w:ascii="Calibri" w:eastAsia="Times New Roman" w:hAnsi="Calibri" w:cs="Calibri"/>
                <w:sz w:val="16"/>
                <w:szCs w:val="16"/>
                <w:lang w:val="en-IE" w:eastAsia="en-IE"/>
              </w:rPr>
            </w:pPr>
            <w:r w:rsidRPr="00EE4AB5">
              <w:rPr>
                <w:rFonts w:ascii="Calibri" w:eastAsia="Times New Roman" w:hAnsi="Calibri" w:cs="Calibri"/>
                <w:sz w:val="16"/>
                <w:szCs w:val="16"/>
                <w:lang w:val="en-IE" w:eastAsia="en-IE"/>
              </w:rPr>
              <w:t>Chen 2017</w:t>
            </w:r>
            <w:r w:rsidR="00254B1C" w:rsidRPr="00254B1C">
              <w:rPr>
                <w:rFonts w:ascii="Calibri" w:eastAsia="Times New Roman" w:hAnsi="Calibri" w:cs="Calibri"/>
                <w:noProof/>
                <w:sz w:val="16"/>
                <w:szCs w:val="16"/>
                <w:vertAlign w:val="superscript"/>
                <w:lang w:val="en-IE" w:eastAsia="en-IE"/>
              </w:rPr>
              <w:t>46</w:t>
            </w:r>
          </w:p>
        </w:tc>
        <w:tc>
          <w:tcPr>
            <w:tcW w:w="300" w:type="pct"/>
            <w:tcBorders>
              <w:top w:val="nil"/>
              <w:left w:val="nil"/>
              <w:bottom w:val="single" w:sz="4" w:space="0" w:color="auto"/>
              <w:right w:val="single" w:sz="4" w:space="0" w:color="auto"/>
            </w:tcBorders>
            <w:noWrap/>
            <w:vAlign w:val="center"/>
            <w:hideMark/>
          </w:tcPr>
          <w:p w14:paraId="3929B46D"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CEA</w:t>
            </w:r>
          </w:p>
        </w:tc>
        <w:tc>
          <w:tcPr>
            <w:tcW w:w="939" w:type="pct"/>
            <w:tcBorders>
              <w:top w:val="nil"/>
              <w:left w:val="nil"/>
              <w:bottom w:val="single" w:sz="4" w:space="0" w:color="auto"/>
              <w:right w:val="single" w:sz="4" w:space="0" w:color="auto"/>
            </w:tcBorders>
            <w:noWrap/>
            <w:vAlign w:val="center"/>
            <w:hideMark/>
          </w:tcPr>
          <w:p w14:paraId="0FFB82BB"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Markov</w:t>
            </w:r>
          </w:p>
        </w:tc>
        <w:tc>
          <w:tcPr>
            <w:tcW w:w="474" w:type="pct"/>
            <w:tcBorders>
              <w:top w:val="nil"/>
              <w:left w:val="nil"/>
              <w:bottom w:val="single" w:sz="4" w:space="0" w:color="auto"/>
              <w:right w:val="single" w:sz="4" w:space="0" w:color="auto"/>
            </w:tcBorders>
            <w:noWrap/>
            <w:vAlign w:val="center"/>
            <w:hideMark/>
          </w:tcPr>
          <w:p w14:paraId="3ED2FE33"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Germany, France, Italy</w:t>
            </w:r>
            <w:r w:rsidRPr="00EE4AB5">
              <w:rPr>
                <w:rFonts w:ascii="Calibri" w:eastAsia="Times New Roman" w:hAnsi="Calibri" w:cs="Calibri"/>
                <w:color w:val="000000"/>
                <w:sz w:val="16"/>
                <w:szCs w:val="16"/>
                <w:lang w:val="en-IE" w:eastAsia="en-IE"/>
              </w:rPr>
              <w:br/>
              <w:t>And The UK</w:t>
            </w:r>
          </w:p>
        </w:tc>
        <w:tc>
          <w:tcPr>
            <w:tcW w:w="2113" w:type="pct"/>
            <w:tcBorders>
              <w:top w:val="nil"/>
              <w:left w:val="nil"/>
              <w:bottom w:val="single" w:sz="4" w:space="0" w:color="auto"/>
              <w:right w:val="single" w:sz="4" w:space="0" w:color="auto"/>
            </w:tcBorders>
            <w:noWrap/>
            <w:vAlign w:val="center"/>
            <w:hideMark/>
          </w:tcPr>
          <w:p w14:paraId="3F6EC232" w14:textId="163237EA" w:rsidR="00EE4AB5" w:rsidRPr="00EE4AB5" w:rsidRDefault="00F652D0" w:rsidP="00F652D0">
            <w:pPr>
              <w:spacing w:after="0" w:line="240" w:lineRule="auto"/>
              <w:rPr>
                <w:rFonts w:ascii="Calibri" w:eastAsia="Times New Roman" w:hAnsi="Calibri" w:cs="Calibri"/>
                <w:color w:val="000000"/>
                <w:sz w:val="16"/>
                <w:szCs w:val="16"/>
                <w:lang w:val="en-IE" w:eastAsia="en-IE"/>
              </w:rPr>
            </w:pPr>
            <w:r w:rsidRPr="004131F8">
              <w:rPr>
                <w:rFonts w:ascii="Calibri" w:eastAsia="Times New Roman" w:hAnsi="Calibri" w:cs="Calibri"/>
                <w:color w:val="000000"/>
                <w:sz w:val="16"/>
                <w:szCs w:val="16"/>
                <w:lang w:val="en-IE" w:eastAsia="en-IE"/>
              </w:rPr>
              <w:t>M</w:t>
            </w:r>
            <w:r w:rsidR="00EE4AB5" w:rsidRPr="00EE4AB5">
              <w:rPr>
                <w:rFonts w:ascii="Calibri" w:eastAsia="Times New Roman" w:hAnsi="Calibri" w:cs="Calibri"/>
                <w:color w:val="000000"/>
                <w:sz w:val="16"/>
                <w:szCs w:val="16"/>
                <w:lang w:val="en-IE" w:eastAsia="en-IE"/>
              </w:rPr>
              <w:t>ild, moderate or morbid obesity</w:t>
            </w:r>
          </w:p>
        </w:tc>
        <w:tc>
          <w:tcPr>
            <w:tcW w:w="526" w:type="pct"/>
            <w:tcBorders>
              <w:top w:val="nil"/>
              <w:left w:val="nil"/>
              <w:bottom w:val="single" w:sz="4" w:space="0" w:color="auto"/>
              <w:right w:val="single" w:sz="4" w:space="0" w:color="auto"/>
            </w:tcBorders>
            <w:noWrap/>
            <w:vAlign w:val="center"/>
            <w:hideMark/>
          </w:tcPr>
          <w:p w14:paraId="171CBF93"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Surgery</w:t>
            </w:r>
          </w:p>
        </w:tc>
      </w:tr>
      <w:tr w:rsidR="004131F8" w:rsidRPr="004131F8" w14:paraId="0DB18B87" w14:textId="77777777" w:rsidTr="004131F8">
        <w:trPr>
          <w:trHeight w:val="290"/>
        </w:trPr>
        <w:tc>
          <w:tcPr>
            <w:tcW w:w="648" w:type="pct"/>
            <w:tcBorders>
              <w:top w:val="nil"/>
              <w:left w:val="single" w:sz="4" w:space="0" w:color="auto"/>
              <w:bottom w:val="single" w:sz="4" w:space="0" w:color="auto"/>
              <w:right w:val="single" w:sz="4" w:space="0" w:color="auto"/>
            </w:tcBorders>
            <w:noWrap/>
            <w:vAlign w:val="center"/>
            <w:hideMark/>
          </w:tcPr>
          <w:p w14:paraId="7E956B8D" w14:textId="6AA996F4"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Cohen, 2017</w:t>
            </w:r>
            <w:r w:rsidR="00254B1C" w:rsidRPr="00254B1C">
              <w:rPr>
                <w:rFonts w:ascii="Calibri" w:eastAsia="Times New Roman" w:hAnsi="Calibri" w:cs="Calibri"/>
                <w:noProof/>
                <w:color w:val="000000"/>
                <w:sz w:val="16"/>
                <w:szCs w:val="16"/>
                <w:vertAlign w:val="superscript"/>
                <w:lang w:val="en-IE" w:eastAsia="en-IE"/>
              </w:rPr>
              <w:t>47</w:t>
            </w:r>
          </w:p>
        </w:tc>
        <w:tc>
          <w:tcPr>
            <w:tcW w:w="300" w:type="pct"/>
            <w:tcBorders>
              <w:top w:val="nil"/>
              <w:left w:val="nil"/>
              <w:bottom w:val="single" w:sz="4" w:space="0" w:color="auto"/>
              <w:right w:val="single" w:sz="4" w:space="0" w:color="auto"/>
            </w:tcBorders>
            <w:noWrap/>
            <w:vAlign w:val="center"/>
            <w:hideMark/>
          </w:tcPr>
          <w:p w14:paraId="454C0BBD"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CEA</w:t>
            </w:r>
          </w:p>
        </w:tc>
        <w:tc>
          <w:tcPr>
            <w:tcW w:w="939" w:type="pct"/>
            <w:tcBorders>
              <w:top w:val="nil"/>
              <w:left w:val="nil"/>
              <w:bottom w:val="single" w:sz="4" w:space="0" w:color="auto"/>
              <w:right w:val="single" w:sz="4" w:space="0" w:color="auto"/>
            </w:tcBorders>
            <w:noWrap/>
            <w:vAlign w:val="center"/>
            <w:hideMark/>
          </w:tcPr>
          <w:p w14:paraId="116B33E5"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Markov</w:t>
            </w:r>
          </w:p>
        </w:tc>
        <w:tc>
          <w:tcPr>
            <w:tcW w:w="474" w:type="pct"/>
            <w:tcBorders>
              <w:top w:val="nil"/>
              <w:left w:val="nil"/>
              <w:bottom w:val="single" w:sz="4" w:space="0" w:color="auto"/>
              <w:right w:val="single" w:sz="4" w:space="0" w:color="auto"/>
            </w:tcBorders>
            <w:noWrap/>
            <w:vAlign w:val="center"/>
            <w:hideMark/>
          </w:tcPr>
          <w:p w14:paraId="58B290B0"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Brazil</w:t>
            </w:r>
          </w:p>
        </w:tc>
        <w:tc>
          <w:tcPr>
            <w:tcW w:w="2113" w:type="pct"/>
            <w:tcBorders>
              <w:top w:val="nil"/>
              <w:left w:val="nil"/>
              <w:bottom w:val="single" w:sz="4" w:space="0" w:color="auto"/>
              <w:right w:val="single" w:sz="4" w:space="0" w:color="auto"/>
            </w:tcBorders>
            <w:noWrap/>
            <w:vAlign w:val="center"/>
            <w:hideMark/>
          </w:tcPr>
          <w:p w14:paraId="55658821" w14:textId="52143903" w:rsidR="00EE4AB5" w:rsidRPr="00EE4AB5" w:rsidRDefault="00F652D0" w:rsidP="00F652D0">
            <w:pPr>
              <w:spacing w:after="0" w:line="240" w:lineRule="auto"/>
              <w:rPr>
                <w:rFonts w:ascii="Calibri" w:eastAsia="Times New Roman" w:hAnsi="Calibri" w:cs="Calibri"/>
                <w:color w:val="000000"/>
                <w:sz w:val="16"/>
                <w:szCs w:val="16"/>
                <w:lang w:val="en-IE" w:eastAsia="en-IE"/>
              </w:rPr>
            </w:pPr>
            <w:r w:rsidRPr="004131F8">
              <w:rPr>
                <w:rFonts w:ascii="Calibri" w:eastAsia="Times New Roman" w:hAnsi="Calibri" w:cs="Calibri"/>
                <w:color w:val="000000"/>
                <w:sz w:val="16"/>
                <w:szCs w:val="16"/>
                <w:lang w:val="en-IE" w:eastAsia="en-IE"/>
              </w:rPr>
              <w:t>S</w:t>
            </w:r>
            <w:r w:rsidR="00EE4AB5" w:rsidRPr="00EE4AB5">
              <w:rPr>
                <w:rFonts w:ascii="Calibri" w:eastAsia="Times New Roman" w:hAnsi="Calibri" w:cs="Calibri"/>
                <w:color w:val="000000"/>
                <w:sz w:val="16"/>
                <w:szCs w:val="16"/>
                <w:lang w:val="en-IE" w:eastAsia="en-IE"/>
              </w:rPr>
              <w:t>evere obesity</w:t>
            </w:r>
          </w:p>
        </w:tc>
        <w:tc>
          <w:tcPr>
            <w:tcW w:w="526" w:type="pct"/>
            <w:tcBorders>
              <w:top w:val="nil"/>
              <w:left w:val="nil"/>
              <w:bottom w:val="single" w:sz="4" w:space="0" w:color="auto"/>
              <w:right w:val="single" w:sz="4" w:space="0" w:color="auto"/>
            </w:tcBorders>
            <w:noWrap/>
            <w:vAlign w:val="center"/>
            <w:hideMark/>
          </w:tcPr>
          <w:p w14:paraId="33242BD0"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Surgery</w:t>
            </w:r>
          </w:p>
        </w:tc>
      </w:tr>
      <w:tr w:rsidR="004131F8" w:rsidRPr="004131F8" w14:paraId="2C0B07E8" w14:textId="77777777" w:rsidTr="004131F8">
        <w:trPr>
          <w:trHeight w:val="290"/>
        </w:trPr>
        <w:tc>
          <w:tcPr>
            <w:tcW w:w="648" w:type="pct"/>
            <w:tcBorders>
              <w:top w:val="nil"/>
              <w:left w:val="single" w:sz="4" w:space="0" w:color="auto"/>
              <w:bottom w:val="single" w:sz="4" w:space="0" w:color="auto"/>
              <w:right w:val="single" w:sz="4" w:space="0" w:color="auto"/>
            </w:tcBorders>
            <w:noWrap/>
            <w:vAlign w:val="center"/>
            <w:hideMark/>
          </w:tcPr>
          <w:p w14:paraId="6F428006"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Daniel 2022</w:t>
            </w:r>
          </w:p>
        </w:tc>
        <w:tc>
          <w:tcPr>
            <w:tcW w:w="300" w:type="pct"/>
            <w:tcBorders>
              <w:top w:val="nil"/>
              <w:left w:val="nil"/>
              <w:bottom w:val="single" w:sz="4" w:space="0" w:color="auto"/>
              <w:right w:val="single" w:sz="4" w:space="0" w:color="auto"/>
            </w:tcBorders>
            <w:noWrap/>
            <w:vAlign w:val="center"/>
            <w:hideMark/>
          </w:tcPr>
          <w:p w14:paraId="6536590B"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CEA</w:t>
            </w:r>
          </w:p>
        </w:tc>
        <w:tc>
          <w:tcPr>
            <w:tcW w:w="939" w:type="pct"/>
            <w:tcBorders>
              <w:top w:val="nil"/>
              <w:left w:val="nil"/>
              <w:bottom w:val="single" w:sz="4" w:space="0" w:color="auto"/>
              <w:right w:val="single" w:sz="4" w:space="0" w:color="auto"/>
            </w:tcBorders>
            <w:noWrap/>
            <w:vAlign w:val="center"/>
            <w:hideMark/>
          </w:tcPr>
          <w:p w14:paraId="7102E65E"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Decision model</w:t>
            </w:r>
          </w:p>
        </w:tc>
        <w:tc>
          <w:tcPr>
            <w:tcW w:w="474" w:type="pct"/>
            <w:tcBorders>
              <w:top w:val="nil"/>
              <w:left w:val="nil"/>
              <w:bottom w:val="single" w:sz="4" w:space="0" w:color="auto"/>
              <w:right w:val="single" w:sz="4" w:space="0" w:color="auto"/>
            </w:tcBorders>
            <w:noWrap/>
            <w:vAlign w:val="center"/>
            <w:hideMark/>
          </w:tcPr>
          <w:p w14:paraId="174C8928"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USA (assumed)</w:t>
            </w:r>
          </w:p>
        </w:tc>
        <w:tc>
          <w:tcPr>
            <w:tcW w:w="2113" w:type="pct"/>
            <w:tcBorders>
              <w:top w:val="nil"/>
              <w:left w:val="nil"/>
              <w:bottom w:val="single" w:sz="4" w:space="0" w:color="auto"/>
              <w:right w:val="single" w:sz="4" w:space="0" w:color="auto"/>
            </w:tcBorders>
            <w:noWrap/>
            <w:vAlign w:val="center"/>
            <w:hideMark/>
          </w:tcPr>
          <w:p w14:paraId="6E36714F" w14:textId="513142E3" w:rsidR="00EE4AB5" w:rsidRPr="00EE4AB5" w:rsidRDefault="00F652D0" w:rsidP="00F652D0">
            <w:pPr>
              <w:spacing w:after="0" w:line="240" w:lineRule="auto"/>
              <w:rPr>
                <w:rFonts w:ascii="Calibri" w:eastAsia="Times New Roman" w:hAnsi="Calibri" w:cs="Calibri"/>
                <w:color w:val="000000"/>
                <w:sz w:val="16"/>
                <w:szCs w:val="16"/>
                <w:lang w:val="en-IE" w:eastAsia="en-IE"/>
              </w:rPr>
            </w:pPr>
            <w:r w:rsidRPr="004131F8">
              <w:rPr>
                <w:rFonts w:ascii="Calibri" w:eastAsia="Times New Roman" w:hAnsi="Calibri" w:cs="Calibri"/>
                <w:color w:val="000000"/>
                <w:sz w:val="16"/>
                <w:szCs w:val="16"/>
                <w:lang w:val="en-IE" w:eastAsia="en-IE"/>
              </w:rPr>
              <w:t>O</w:t>
            </w:r>
            <w:r w:rsidR="00EE4AB5" w:rsidRPr="00EE4AB5">
              <w:rPr>
                <w:rFonts w:ascii="Calibri" w:eastAsia="Times New Roman" w:hAnsi="Calibri" w:cs="Calibri"/>
                <w:color w:val="000000"/>
                <w:sz w:val="16"/>
                <w:szCs w:val="16"/>
                <w:lang w:val="en-IE" w:eastAsia="en-IE"/>
              </w:rPr>
              <w:t>bese</w:t>
            </w:r>
          </w:p>
        </w:tc>
        <w:tc>
          <w:tcPr>
            <w:tcW w:w="526" w:type="pct"/>
            <w:tcBorders>
              <w:top w:val="nil"/>
              <w:left w:val="nil"/>
              <w:bottom w:val="single" w:sz="4" w:space="0" w:color="auto"/>
              <w:right w:val="single" w:sz="4" w:space="0" w:color="auto"/>
            </w:tcBorders>
            <w:noWrap/>
            <w:vAlign w:val="center"/>
            <w:hideMark/>
          </w:tcPr>
          <w:p w14:paraId="39A5E33A"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Surgery</w:t>
            </w:r>
          </w:p>
        </w:tc>
      </w:tr>
      <w:tr w:rsidR="004131F8" w:rsidRPr="004131F8" w14:paraId="16D4465F" w14:textId="77777777" w:rsidTr="004131F8">
        <w:trPr>
          <w:trHeight w:val="290"/>
        </w:trPr>
        <w:tc>
          <w:tcPr>
            <w:tcW w:w="648" w:type="pct"/>
            <w:tcBorders>
              <w:top w:val="nil"/>
              <w:left w:val="single" w:sz="4" w:space="0" w:color="auto"/>
              <w:bottom w:val="single" w:sz="4" w:space="0" w:color="auto"/>
              <w:right w:val="single" w:sz="4" w:space="0" w:color="auto"/>
            </w:tcBorders>
            <w:noWrap/>
            <w:vAlign w:val="center"/>
            <w:hideMark/>
          </w:tcPr>
          <w:p w14:paraId="3E3B0EF9" w14:textId="4BBF4BC0"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Davis, 2020</w:t>
            </w:r>
            <w:r w:rsidR="00254B1C" w:rsidRPr="00254B1C">
              <w:rPr>
                <w:rFonts w:ascii="Calibri" w:eastAsia="Times New Roman" w:hAnsi="Calibri" w:cs="Calibri"/>
                <w:noProof/>
                <w:color w:val="000000"/>
                <w:sz w:val="16"/>
                <w:szCs w:val="16"/>
                <w:vertAlign w:val="superscript"/>
                <w:lang w:val="en-IE" w:eastAsia="en-IE"/>
              </w:rPr>
              <w:t>48</w:t>
            </w:r>
          </w:p>
        </w:tc>
        <w:tc>
          <w:tcPr>
            <w:tcW w:w="300" w:type="pct"/>
            <w:tcBorders>
              <w:top w:val="nil"/>
              <w:left w:val="nil"/>
              <w:bottom w:val="single" w:sz="4" w:space="0" w:color="auto"/>
              <w:right w:val="single" w:sz="4" w:space="0" w:color="auto"/>
            </w:tcBorders>
            <w:noWrap/>
            <w:vAlign w:val="center"/>
            <w:hideMark/>
          </w:tcPr>
          <w:p w14:paraId="7ABA2911"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 </w:t>
            </w:r>
          </w:p>
        </w:tc>
        <w:tc>
          <w:tcPr>
            <w:tcW w:w="939" w:type="pct"/>
            <w:tcBorders>
              <w:top w:val="nil"/>
              <w:left w:val="nil"/>
              <w:bottom w:val="single" w:sz="4" w:space="0" w:color="auto"/>
              <w:right w:val="single" w:sz="4" w:space="0" w:color="auto"/>
            </w:tcBorders>
            <w:noWrap/>
            <w:vAlign w:val="center"/>
            <w:hideMark/>
          </w:tcPr>
          <w:p w14:paraId="52C65D5F"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 </w:t>
            </w:r>
          </w:p>
        </w:tc>
        <w:tc>
          <w:tcPr>
            <w:tcW w:w="474" w:type="pct"/>
            <w:tcBorders>
              <w:top w:val="nil"/>
              <w:left w:val="nil"/>
              <w:bottom w:val="single" w:sz="4" w:space="0" w:color="auto"/>
              <w:right w:val="single" w:sz="4" w:space="0" w:color="auto"/>
            </w:tcBorders>
            <w:noWrap/>
            <w:vAlign w:val="center"/>
            <w:hideMark/>
          </w:tcPr>
          <w:p w14:paraId="1EF8EA71"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Canada</w:t>
            </w:r>
          </w:p>
        </w:tc>
        <w:tc>
          <w:tcPr>
            <w:tcW w:w="2113" w:type="pct"/>
            <w:tcBorders>
              <w:top w:val="nil"/>
              <w:left w:val="nil"/>
              <w:bottom w:val="single" w:sz="4" w:space="0" w:color="auto"/>
              <w:right w:val="single" w:sz="4" w:space="0" w:color="auto"/>
            </w:tcBorders>
            <w:noWrap/>
            <w:vAlign w:val="center"/>
            <w:hideMark/>
          </w:tcPr>
          <w:p w14:paraId="4E46BE3A" w14:textId="5A162B40" w:rsidR="00EE4AB5" w:rsidRPr="00EE4AB5" w:rsidRDefault="00F652D0" w:rsidP="00F652D0">
            <w:pPr>
              <w:spacing w:after="0" w:line="240" w:lineRule="auto"/>
              <w:rPr>
                <w:rFonts w:ascii="Calibri" w:eastAsia="Times New Roman" w:hAnsi="Calibri" w:cs="Calibri"/>
                <w:color w:val="000000"/>
                <w:sz w:val="16"/>
                <w:szCs w:val="16"/>
                <w:lang w:val="en-IE" w:eastAsia="en-IE"/>
              </w:rPr>
            </w:pPr>
            <w:r w:rsidRPr="004131F8">
              <w:rPr>
                <w:rFonts w:ascii="Calibri" w:eastAsia="Times New Roman" w:hAnsi="Calibri" w:cs="Calibri"/>
                <w:color w:val="000000"/>
                <w:sz w:val="16"/>
                <w:szCs w:val="16"/>
                <w:lang w:val="en-IE" w:eastAsia="en-IE"/>
              </w:rPr>
              <w:t>O</w:t>
            </w:r>
            <w:r w:rsidRPr="00EE4AB5">
              <w:rPr>
                <w:rFonts w:ascii="Calibri" w:eastAsia="Times New Roman" w:hAnsi="Calibri" w:cs="Calibri"/>
                <w:color w:val="000000"/>
                <w:sz w:val="16"/>
                <w:szCs w:val="16"/>
                <w:lang w:val="en-IE" w:eastAsia="en-IE"/>
              </w:rPr>
              <w:t>bese</w:t>
            </w:r>
          </w:p>
        </w:tc>
        <w:tc>
          <w:tcPr>
            <w:tcW w:w="526" w:type="pct"/>
            <w:tcBorders>
              <w:top w:val="nil"/>
              <w:left w:val="nil"/>
              <w:bottom w:val="single" w:sz="4" w:space="0" w:color="auto"/>
              <w:right w:val="single" w:sz="4" w:space="0" w:color="auto"/>
            </w:tcBorders>
            <w:noWrap/>
            <w:vAlign w:val="center"/>
            <w:hideMark/>
          </w:tcPr>
          <w:p w14:paraId="0AFC945C"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policy</w:t>
            </w:r>
          </w:p>
        </w:tc>
      </w:tr>
      <w:tr w:rsidR="004131F8" w:rsidRPr="004131F8" w14:paraId="69D8C9A8" w14:textId="77777777" w:rsidTr="004131F8">
        <w:trPr>
          <w:trHeight w:val="290"/>
        </w:trPr>
        <w:tc>
          <w:tcPr>
            <w:tcW w:w="648" w:type="pct"/>
            <w:tcBorders>
              <w:top w:val="nil"/>
              <w:left w:val="single" w:sz="4" w:space="0" w:color="auto"/>
              <w:bottom w:val="single" w:sz="4" w:space="0" w:color="auto"/>
              <w:right w:val="single" w:sz="4" w:space="0" w:color="auto"/>
            </w:tcBorders>
            <w:noWrap/>
            <w:vAlign w:val="center"/>
            <w:hideMark/>
          </w:tcPr>
          <w:p w14:paraId="689C5FC9"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de 2018</w:t>
            </w:r>
          </w:p>
        </w:tc>
        <w:tc>
          <w:tcPr>
            <w:tcW w:w="300" w:type="pct"/>
            <w:tcBorders>
              <w:top w:val="nil"/>
              <w:left w:val="nil"/>
              <w:bottom w:val="single" w:sz="4" w:space="0" w:color="auto"/>
              <w:right w:val="single" w:sz="4" w:space="0" w:color="auto"/>
            </w:tcBorders>
            <w:noWrap/>
            <w:vAlign w:val="center"/>
            <w:hideMark/>
          </w:tcPr>
          <w:p w14:paraId="5213817A"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CEA</w:t>
            </w:r>
          </w:p>
        </w:tc>
        <w:tc>
          <w:tcPr>
            <w:tcW w:w="939" w:type="pct"/>
            <w:tcBorders>
              <w:top w:val="nil"/>
              <w:left w:val="nil"/>
              <w:bottom w:val="single" w:sz="4" w:space="0" w:color="auto"/>
              <w:right w:val="single" w:sz="4" w:space="0" w:color="auto"/>
            </w:tcBorders>
            <w:noWrap/>
            <w:vAlign w:val="center"/>
            <w:hideMark/>
          </w:tcPr>
          <w:p w14:paraId="515B0EE5"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Markov</w:t>
            </w:r>
          </w:p>
        </w:tc>
        <w:tc>
          <w:tcPr>
            <w:tcW w:w="474" w:type="pct"/>
            <w:tcBorders>
              <w:top w:val="nil"/>
              <w:left w:val="nil"/>
              <w:bottom w:val="single" w:sz="4" w:space="0" w:color="auto"/>
              <w:right w:val="single" w:sz="4" w:space="0" w:color="auto"/>
            </w:tcBorders>
            <w:noWrap/>
            <w:vAlign w:val="center"/>
            <w:hideMark/>
          </w:tcPr>
          <w:p w14:paraId="2D573E69"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Europe?</w:t>
            </w:r>
          </w:p>
        </w:tc>
        <w:tc>
          <w:tcPr>
            <w:tcW w:w="2113" w:type="pct"/>
            <w:tcBorders>
              <w:top w:val="nil"/>
              <w:left w:val="nil"/>
              <w:bottom w:val="single" w:sz="4" w:space="0" w:color="auto"/>
              <w:right w:val="single" w:sz="4" w:space="0" w:color="auto"/>
            </w:tcBorders>
            <w:noWrap/>
            <w:vAlign w:val="center"/>
            <w:hideMark/>
          </w:tcPr>
          <w:p w14:paraId="0702061C" w14:textId="76B961CA" w:rsidR="00EE4AB5" w:rsidRPr="00EE4AB5" w:rsidRDefault="00F652D0" w:rsidP="00F652D0">
            <w:pPr>
              <w:spacing w:after="0" w:line="240" w:lineRule="auto"/>
              <w:rPr>
                <w:rFonts w:ascii="Calibri" w:eastAsia="Times New Roman" w:hAnsi="Calibri" w:cs="Calibri"/>
                <w:color w:val="000000"/>
                <w:sz w:val="16"/>
                <w:szCs w:val="16"/>
                <w:lang w:val="en-IE" w:eastAsia="en-IE"/>
              </w:rPr>
            </w:pPr>
            <w:r w:rsidRPr="004131F8">
              <w:rPr>
                <w:rFonts w:ascii="Calibri" w:eastAsia="Times New Roman" w:hAnsi="Calibri" w:cs="Calibri"/>
                <w:color w:val="000000"/>
                <w:sz w:val="16"/>
                <w:szCs w:val="16"/>
                <w:lang w:val="en-IE" w:eastAsia="en-IE"/>
              </w:rPr>
              <w:t>O</w:t>
            </w:r>
            <w:r w:rsidRPr="00EE4AB5">
              <w:rPr>
                <w:rFonts w:ascii="Calibri" w:eastAsia="Times New Roman" w:hAnsi="Calibri" w:cs="Calibri"/>
                <w:color w:val="000000"/>
                <w:sz w:val="16"/>
                <w:szCs w:val="16"/>
                <w:lang w:val="en-IE" w:eastAsia="en-IE"/>
              </w:rPr>
              <w:t>bese</w:t>
            </w:r>
          </w:p>
        </w:tc>
        <w:tc>
          <w:tcPr>
            <w:tcW w:w="526" w:type="pct"/>
            <w:tcBorders>
              <w:top w:val="nil"/>
              <w:left w:val="nil"/>
              <w:bottom w:val="single" w:sz="4" w:space="0" w:color="auto"/>
              <w:right w:val="single" w:sz="4" w:space="0" w:color="auto"/>
            </w:tcBorders>
            <w:noWrap/>
            <w:vAlign w:val="center"/>
            <w:hideMark/>
          </w:tcPr>
          <w:p w14:paraId="73B109FB"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NR</w:t>
            </w:r>
          </w:p>
        </w:tc>
      </w:tr>
      <w:tr w:rsidR="004131F8" w:rsidRPr="004131F8" w14:paraId="3BF7240F" w14:textId="77777777" w:rsidTr="004131F8">
        <w:trPr>
          <w:trHeight w:val="290"/>
        </w:trPr>
        <w:tc>
          <w:tcPr>
            <w:tcW w:w="648" w:type="pct"/>
            <w:tcBorders>
              <w:top w:val="nil"/>
              <w:left w:val="single" w:sz="4" w:space="0" w:color="auto"/>
              <w:bottom w:val="single" w:sz="4" w:space="0" w:color="auto"/>
              <w:right w:val="single" w:sz="4" w:space="0" w:color="auto"/>
            </w:tcBorders>
            <w:noWrap/>
            <w:vAlign w:val="center"/>
            <w:hideMark/>
          </w:tcPr>
          <w:p w14:paraId="3CBD2C64" w14:textId="6EA30CB5"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Dottino 2016</w:t>
            </w:r>
            <w:r w:rsidR="00254B1C" w:rsidRPr="00254B1C">
              <w:rPr>
                <w:rFonts w:ascii="Calibri" w:eastAsia="Times New Roman" w:hAnsi="Calibri" w:cs="Calibri"/>
                <w:noProof/>
                <w:color w:val="000000"/>
                <w:sz w:val="16"/>
                <w:szCs w:val="16"/>
                <w:vertAlign w:val="superscript"/>
                <w:lang w:val="en-IE" w:eastAsia="en-IE"/>
              </w:rPr>
              <w:t>49</w:t>
            </w:r>
          </w:p>
        </w:tc>
        <w:tc>
          <w:tcPr>
            <w:tcW w:w="300" w:type="pct"/>
            <w:tcBorders>
              <w:top w:val="nil"/>
              <w:left w:val="nil"/>
              <w:bottom w:val="single" w:sz="4" w:space="0" w:color="auto"/>
              <w:right w:val="single" w:sz="4" w:space="0" w:color="auto"/>
            </w:tcBorders>
            <w:noWrap/>
            <w:vAlign w:val="center"/>
            <w:hideMark/>
          </w:tcPr>
          <w:p w14:paraId="405CC38E"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CEA</w:t>
            </w:r>
          </w:p>
        </w:tc>
        <w:tc>
          <w:tcPr>
            <w:tcW w:w="939" w:type="pct"/>
            <w:tcBorders>
              <w:top w:val="nil"/>
              <w:left w:val="nil"/>
              <w:bottom w:val="single" w:sz="4" w:space="0" w:color="auto"/>
              <w:right w:val="single" w:sz="4" w:space="0" w:color="auto"/>
            </w:tcBorders>
            <w:noWrap/>
            <w:vAlign w:val="center"/>
            <w:hideMark/>
          </w:tcPr>
          <w:p w14:paraId="41C70683"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Modified Markov</w:t>
            </w:r>
          </w:p>
        </w:tc>
        <w:tc>
          <w:tcPr>
            <w:tcW w:w="474" w:type="pct"/>
            <w:tcBorders>
              <w:top w:val="nil"/>
              <w:left w:val="nil"/>
              <w:bottom w:val="single" w:sz="4" w:space="0" w:color="auto"/>
              <w:right w:val="single" w:sz="4" w:space="0" w:color="auto"/>
            </w:tcBorders>
            <w:noWrap/>
            <w:vAlign w:val="center"/>
            <w:hideMark/>
          </w:tcPr>
          <w:p w14:paraId="0B51A6F6"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 </w:t>
            </w:r>
          </w:p>
        </w:tc>
        <w:tc>
          <w:tcPr>
            <w:tcW w:w="2113" w:type="pct"/>
            <w:tcBorders>
              <w:top w:val="nil"/>
              <w:left w:val="nil"/>
              <w:bottom w:val="single" w:sz="4" w:space="0" w:color="auto"/>
              <w:right w:val="single" w:sz="4" w:space="0" w:color="auto"/>
            </w:tcBorders>
            <w:noWrap/>
            <w:vAlign w:val="center"/>
            <w:hideMark/>
          </w:tcPr>
          <w:p w14:paraId="567ED6E6" w14:textId="585AB0CA" w:rsidR="00EE4AB5" w:rsidRPr="00EE4AB5" w:rsidRDefault="00F652D0" w:rsidP="00F652D0">
            <w:pPr>
              <w:spacing w:after="0" w:line="240" w:lineRule="auto"/>
              <w:rPr>
                <w:rFonts w:ascii="Calibri" w:eastAsia="Times New Roman" w:hAnsi="Calibri" w:cs="Calibri"/>
                <w:color w:val="000000"/>
                <w:sz w:val="16"/>
                <w:szCs w:val="16"/>
                <w:lang w:val="en-IE" w:eastAsia="en-IE"/>
              </w:rPr>
            </w:pPr>
            <w:r w:rsidRPr="004131F8">
              <w:rPr>
                <w:rFonts w:ascii="Calibri" w:eastAsia="Times New Roman" w:hAnsi="Calibri" w:cs="Calibri"/>
                <w:color w:val="000000"/>
                <w:sz w:val="16"/>
                <w:szCs w:val="16"/>
                <w:lang w:val="en-IE" w:eastAsia="en-IE"/>
              </w:rPr>
              <w:t>O</w:t>
            </w:r>
            <w:r w:rsidRPr="00EE4AB5">
              <w:rPr>
                <w:rFonts w:ascii="Calibri" w:eastAsia="Times New Roman" w:hAnsi="Calibri" w:cs="Calibri"/>
                <w:color w:val="000000"/>
                <w:sz w:val="16"/>
                <w:szCs w:val="16"/>
                <w:lang w:val="en-IE" w:eastAsia="en-IE"/>
              </w:rPr>
              <w:t>bese</w:t>
            </w:r>
          </w:p>
        </w:tc>
        <w:tc>
          <w:tcPr>
            <w:tcW w:w="526" w:type="pct"/>
            <w:tcBorders>
              <w:top w:val="nil"/>
              <w:left w:val="nil"/>
              <w:bottom w:val="single" w:sz="4" w:space="0" w:color="auto"/>
              <w:right w:val="single" w:sz="4" w:space="0" w:color="auto"/>
            </w:tcBorders>
            <w:noWrap/>
            <w:vAlign w:val="center"/>
            <w:hideMark/>
          </w:tcPr>
          <w:p w14:paraId="5B0723D9"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device</w:t>
            </w:r>
          </w:p>
        </w:tc>
      </w:tr>
      <w:tr w:rsidR="004131F8" w:rsidRPr="004131F8" w14:paraId="20ED23A5" w14:textId="77777777" w:rsidTr="004131F8">
        <w:trPr>
          <w:trHeight w:val="290"/>
        </w:trPr>
        <w:tc>
          <w:tcPr>
            <w:tcW w:w="648" w:type="pct"/>
            <w:tcBorders>
              <w:top w:val="nil"/>
              <w:left w:val="single" w:sz="4" w:space="0" w:color="auto"/>
              <w:bottom w:val="single" w:sz="4" w:space="0" w:color="auto"/>
              <w:right w:val="single" w:sz="4" w:space="0" w:color="auto"/>
            </w:tcBorders>
            <w:noWrap/>
            <w:vAlign w:val="center"/>
            <w:hideMark/>
          </w:tcPr>
          <w:p w14:paraId="132F2054" w14:textId="25F8A425"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Elliot, 2021</w:t>
            </w:r>
            <w:r w:rsidR="00254B1C" w:rsidRPr="00254B1C">
              <w:rPr>
                <w:rFonts w:ascii="Calibri" w:eastAsia="Times New Roman" w:hAnsi="Calibri" w:cs="Calibri"/>
                <w:noProof/>
                <w:color w:val="000000"/>
                <w:sz w:val="16"/>
                <w:szCs w:val="16"/>
                <w:vertAlign w:val="superscript"/>
                <w:lang w:val="en-IE" w:eastAsia="en-IE"/>
              </w:rPr>
              <w:t>50</w:t>
            </w:r>
          </w:p>
        </w:tc>
        <w:tc>
          <w:tcPr>
            <w:tcW w:w="300" w:type="pct"/>
            <w:tcBorders>
              <w:top w:val="nil"/>
              <w:left w:val="nil"/>
              <w:bottom w:val="single" w:sz="4" w:space="0" w:color="auto"/>
              <w:right w:val="single" w:sz="4" w:space="0" w:color="auto"/>
            </w:tcBorders>
            <w:noWrap/>
            <w:vAlign w:val="center"/>
            <w:hideMark/>
          </w:tcPr>
          <w:p w14:paraId="11F7F7EE"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CEA</w:t>
            </w:r>
          </w:p>
        </w:tc>
        <w:tc>
          <w:tcPr>
            <w:tcW w:w="939" w:type="pct"/>
            <w:tcBorders>
              <w:top w:val="nil"/>
              <w:left w:val="nil"/>
              <w:bottom w:val="single" w:sz="4" w:space="0" w:color="auto"/>
              <w:right w:val="single" w:sz="4" w:space="0" w:color="auto"/>
            </w:tcBorders>
            <w:noWrap/>
            <w:vAlign w:val="center"/>
            <w:hideMark/>
          </w:tcPr>
          <w:p w14:paraId="70EF2EE3"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Markov</w:t>
            </w:r>
          </w:p>
        </w:tc>
        <w:tc>
          <w:tcPr>
            <w:tcW w:w="474" w:type="pct"/>
            <w:tcBorders>
              <w:top w:val="nil"/>
              <w:left w:val="nil"/>
              <w:bottom w:val="single" w:sz="4" w:space="0" w:color="auto"/>
              <w:right w:val="single" w:sz="4" w:space="0" w:color="auto"/>
            </w:tcBorders>
            <w:noWrap/>
            <w:vAlign w:val="center"/>
            <w:hideMark/>
          </w:tcPr>
          <w:p w14:paraId="22E6BAF8"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United Kingdom (assumed)</w:t>
            </w:r>
          </w:p>
        </w:tc>
        <w:tc>
          <w:tcPr>
            <w:tcW w:w="2113" w:type="pct"/>
            <w:tcBorders>
              <w:top w:val="nil"/>
              <w:left w:val="nil"/>
              <w:bottom w:val="single" w:sz="4" w:space="0" w:color="auto"/>
              <w:right w:val="single" w:sz="4" w:space="0" w:color="auto"/>
            </w:tcBorders>
            <w:noWrap/>
            <w:vAlign w:val="center"/>
            <w:hideMark/>
          </w:tcPr>
          <w:p w14:paraId="089F835B" w14:textId="686DF0DD" w:rsidR="00EE4AB5" w:rsidRPr="00EE4AB5" w:rsidRDefault="00F652D0" w:rsidP="00F652D0">
            <w:pPr>
              <w:spacing w:after="0" w:line="240" w:lineRule="auto"/>
              <w:rPr>
                <w:rFonts w:ascii="Calibri" w:eastAsia="Times New Roman" w:hAnsi="Calibri" w:cs="Calibri"/>
                <w:color w:val="000000"/>
                <w:sz w:val="16"/>
                <w:szCs w:val="16"/>
                <w:lang w:val="en-IE" w:eastAsia="en-IE"/>
              </w:rPr>
            </w:pPr>
            <w:r w:rsidRPr="004131F8">
              <w:rPr>
                <w:rFonts w:ascii="Calibri" w:eastAsia="Times New Roman" w:hAnsi="Calibri" w:cs="Calibri"/>
                <w:color w:val="000000"/>
                <w:sz w:val="16"/>
                <w:szCs w:val="16"/>
                <w:lang w:val="en-IE" w:eastAsia="en-IE"/>
              </w:rPr>
              <w:t>S</w:t>
            </w:r>
            <w:r w:rsidR="00EE4AB5" w:rsidRPr="00EE4AB5">
              <w:rPr>
                <w:rFonts w:ascii="Calibri" w:eastAsia="Times New Roman" w:hAnsi="Calibri" w:cs="Calibri"/>
                <w:color w:val="000000"/>
                <w:sz w:val="16"/>
                <w:szCs w:val="16"/>
                <w:lang w:val="en-IE" w:eastAsia="en-IE"/>
              </w:rPr>
              <w:t>ever</w:t>
            </w:r>
            <w:r w:rsidR="00CF378A" w:rsidRPr="004131F8">
              <w:rPr>
                <w:rFonts w:ascii="Calibri" w:eastAsia="Times New Roman" w:hAnsi="Calibri" w:cs="Calibri"/>
                <w:color w:val="000000"/>
                <w:sz w:val="16"/>
                <w:szCs w:val="16"/>
                <w:lang w:val="en-IE" w:eastAsia="en-IE"/>
              </w:rPr>
              <w:t>e</w:t>
            </w:r>
            <w:r w:rsidR="00EE4AB5" w:rsidRPr="00EE4AB5">
              <w:rPr>
                <w:rFonts w:ascii="Calibri" w:eastAsia="Times New Roman" w:hAnsi="Calibri" w:cs="Calibri"/>
                <w:color w:val="000000"/>
                <w:sz w:val="16"/>
                <w:szCs w:val="16"/>
                <w:lang w:val="en-IE" w:eastAsia="en-IE"/>
              </w:rPr>
              <w:t xml:space="preserve"> obes</w:t>
            </w:r>
            <w:r w:rsidR="00CF378A" w:rsidRPr="004131F8">
              <w:rPr>
                <w:rFonts w:ascii="Calibri" w:eastAsia="Times New Roman" w:hAnsi="Calibri" w:cs="Calibri"/>
                <w:color w:val="000000"/>
                <w:sz w:val="16"/>
                <w:szCs w:val="16"/>
                <w:lang w:val="en-IE" w:eastAsia="en-IE"/>
              </w:rPr>
              <w:t>ity</w:t>
            </w:r>
          </w:p>
        </w:tc>
        <w:tc>
          <w:tcPr>
            <w:tcW w:w="526" w:type="pct"/>
            <w:tcBorders>
              <w:top w:val="nil"/>
              <w:left w:val="nil"/>
              <w:bottom w:val="single" w:sz="4" w:space="0" w:color="auto"/>
              <w:right w:val="single" w:sz="4" w:space="0" w:color="auto"/>
            </w:tcBorders>
            <w:noWrap/>
            <w:vAlign w:val="center"/>
            <w:hideMark/>
          </w:tcPr>
          <w:p w14:paraId="6A7EE391"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Surgery</w:t>
            </w:r>
          </w:p>
        </w:tc>
      </w:tr>
      <w:tr w:rsidR="004131F8" w:rsidRPr="004131F8" w14:paraId="71EDC65C" w14:textId="77777777" w:rsidTr="004131F8">
        <w:trPr>
          <w:trHeight w:val="290"/>
        </w:trPr>
        <w:tc>
          <w:tcPr>
            <w:tcW w:w="648" w:type="pct"/>
            <w:tcBorders>
              <w:top w:val="nil"/>
              <w:left w:val="single" w:sz="4" w:space="0" w:color="auto"/>
              <w:bottom w:val="single" w:sz="4" w:space="0" w:color="auto"/>
              <w:right w:val="single" w:sz="4" w:space="0" w:color="auto"/>
            </w:tcBorders>
            <w:noWrap/>
            <w:vAlign w:val="center"/>
            <w:hideMark/>
          </w:tcPr>
          <w:p w14:paraId="447D2EFB" w14:textId="02F3705F"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Galvain 2023</w:t>
            </w:r>
            <w:r w:rsidR="00254B1C" w:rsidRPr="00254B1C">
              <w:rPr>
                <w:rFonts w:ascii="Calibri" w:eastAsia="Times New Roman" w:hAnsi="Calibri" w:cs="Calibri"/>
                <w:noProof/>
                <w:color w:val="000000"/>
                <w:sz w:val="16"/>
                <w:szCs w:val="16"/>
                <w:vertAlign w:val="superscript"/>
                <w:lang w:val="en-IE" w:eastAsia="en-IE"/>
              </w:rPr>
              <w:t>51</w:t>
            </w:r>
          </w:p>
        </w:tc>
        <w:tc>
          <w:tcPr>
            <w:tcW w:w="300" w:type="pct"/>
            <w:tcBorders>
              <w:top w:val="nil"/>
              <w:left w:val="nil"/>
              <w:bottom w:val="single" w:sz="4" w:space="0" w:color="auto"/>
              <w:right w:val="single" w:sz="4" w:space="0" w:color="auto"/>
            </w:tcBorders>
            <w:noWrap/>
            <w:vAlign w:val="center"/>
            <w:hideMark/>
          </w:tcPr>
          <w:p w14:paraId="11803C50"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CEA</w:t>
            </w:r>
          </w:p>
        </w:tc>
        <w:tc>
          <w:tcPr>
            <w:tcW w:w="939" w:type="pct"/>
            <w:tcBorders>
              <w:top w:val="nil"/>
              <w:left w:val="nil"/>
              <w:bottom w:val="single" w:sz="4" w:space="0" w:color="auto"/>
              <w:right w:val="single" w:sz="4" w:space="0" w:color="auto"/>
            </w:tcBorders>
            <w:noWrap/>
            <w:vAlign w:val="center"/>
            <w:hideMark/>
          </w:tcPr>
          <w:p w14:paraId="7F967677"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Markov</w:t>
            </w:r>
          </w:p>
        </w:tc>
        <w:tc>
          <w:tcPr>
            <w:tcW w:w="474" w:type="pct"/>
            <w:tcBorders>
              <w:top w:val="nil"/>
              <w:left w:val="nil"/>
              <w:bottom w:val="single" w:sz="4" w:space="0" w:color="auto"/>
              <w:right w:val="single" w:sz="4" w:space="0" w:color="auto"/>
            </w:tcBorders>
            <w:noWrap/>
            <w:vAlign w:val="center"/>
            <w:hideMark/>
          </w:tcPr>
          <w:p w14:paraId="4A4BB648"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Tunisia</w:t>
            </w:r>
          </w:p>
        </w:tc>
        <w:tc>
          <w:tcPr>
            <w:tcW w:w="2113" w:type="pct"/>
            <w:tcBorders>
              <w:top w:val="nil"/>
              <w:left w:val="nil"/>
              <w:bottom w:val="single" w:sz="4" w:space="0" w:color="auto"/>
              <w:right w:val="single" w:sz="4" w:space="0" w:color="auto"/>
            </w:tcBorders>
            <w:noWrap/>
            <w:vAlign w:val="center"/>
            <w:hideMark/>
          </w:tcPr>
          <w:p w14:paraId="559CB628"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Severe obesity</w:t>
            </w:r>
          </w:p>
        </w:tc>
        <w:tc>
          <w:tcPr>
            <w:tcW w:w="526" w:type="pct"/>
            <w:tcBorders>
              <w:top w:val="nil"/>
              <w:left w:val="nil"/>
              <w:bottom w:val="single" w:sz="4" w:space="0" w:color="auto"/>
              <w:right w:val="single" w:sz="4" w:space="0" w:color="auto"/>
            </w:tcBorders>
            <w:noWrap/>
            <w:vAlign w:val="center"/>
            <w:hideMark/>
          </w:tcPr>
          <w:p w14:paraId="7804F9BD"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Surgery</w:t>
            </w:r>
          </w:p>
        </w:tc>
      </w:tr>
      <w:tr w:rsidR="004131F8" w:rsidRPr="004131F8" w14:paraId="4CE04622" w14:textId="77777777" w:rsidTr="004131F8">
        <w:trPr>
          <w:trHeight w:val="290"/>
        </w:trPr>
        <w:tc>
          <w:tcPr>
            <w:tcW w:w="648" w:type="pct"/>
            <w:tcBorders>
              <w:top w:val="nil"/>
              <w:left w:val="single" w:sz="4" w:space="0" w:color="auto"/>
              <w:bottom w:val="single" w:sz="4" w:space="0" w:color="auto"/>
              <w:right w:val="single" w:sz="4" w:space="0" w:color="auto"/>
            </w:tcBorders>
            <w:noWrap/>
            <w:vAlign w:val="center"/>
            <w:hideMark/>
          </w:tcPr>
          <w:p w14:paraId="49DFBD9E" w14:textId="3C2BB480"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Galvain 2021</w:t>
            </w:r>
            <w:r w:rsidR="00254B1C" w:rsidRPr="00254B1C">
              <w:rPr>
                <w:rFonts w:ascii="Calibri" w:eastAsia="Times New Roman" w:hAnsi="Calibri" w:cs="Calibri"/>
                <w:noProof/>
                <w:color w:val="000000"/>
                <w:sz w:val="16"/>
                <w:szCs w:val="16"/>
                <w:vertAlign w:val="superscript"/>
                <w:lang w:val="en-IE" w:eastAsia="en-IE"/>
              </w:rPr>
              <w:t>52</w:t>
            </w:r>
          </w:p>
        </w:tc>
        <w:tc>
          <w:tcPr>
            <w:tcW w:w="300" w:type="pct"/>
            <w:tcBorders>
              <w:top w:val="nil"/>
              <w:left w:val="nil"/>
              <w:bottom w:val="single" w:sz="4" w:space="0" w:color="auto"/>
              <w:right w:val="single" w:sz="4" w:space="0" w:color="auto"/>
            </w:tcBorders>
            <w:noWrap/>
            <w:vAlign w:val="center"/>
            <w:hideMark/>
          </w:tcPr>
          <w:p w14:paraId="277A3C87"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CEA</w:t>
            </w:r>
          </w:p>
        </w:tc>
        <w:tc>
          <w:tcPr>
            <w:tcW w:w="939" w:type="pct"/>
            <w:tcBorders>
              <w:top w:val="nil"/>
              <w:left w:val="nil"/>
              <w:bottom w:val="single" w:sz="4" w:space="0" w:color="auto"/>
              <w:right w:val="single" w:sz="4" w:space="0" w:color="auto"/>
            </w:tcBorders>
            <w:noWrap/>
            <w:vAlign w:val="center"/>
            <w:hideMark/>
          </w:tcPr>
          <w:p w14:paraId="1770D0A0"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Markov</w:t>
            </w:r>
          </w:p>
        </w:tc>
        <w:tc>
          <w:tcPr>
            <w:tcW w:w="474" w:type="pct"/>
            <w:tcBorders>
              <w:top w:val="nil"/>
              <w:left w:val="nil"/>
              <w:bottom w:val="single" w:sz="4" w:space="0" w:color="auto"/>
              <w:right w:val="single" w:sz="4" w:space="0" w:color="auto"/>
            </w:tcBorders>
            <w:noWrap/>
            <w:vAlign w:val="center"/>
            <w:hideMark/>
          </w:tcPr>
          <w:p w14:paraId="5E004BD6"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United Kingdom</w:t>
            </w:r>
          </w:p>
        </w:tc>
        <w:tc>
          <w:tcPr>
            <w:tcW w:w="2113" w:type="pct"/>
            <w:tcBorders>
              <w:top w:val="nil"/>
              <w:left w:val="nil"/>
              <w:bottom w:val="single" w:sz="4" w:space="0" w:color="auto"/>
              <w:right w:val="single" w:sz="4" w:space="0" w:color="auto"/>
            </w:tcBorders>
            <w:noWrap/>
            <w:vAlign w:val="center"/>
            <w:hideMark/>
          </w:tcPr>
          <w:p w14:paraId="4C6A360B" w14:textId="09B97B66" w:rsidR="00EE4AB5" w:rsidRPr="00EE4AB5" w:rsidRDefault="00CF378A" w:rsidP="00F652D0">
            <w:pPr>
              <w:spacing w:after="0" w:line="240" w:lineRule="auto"/>
              <w:rPr>
                <w:rFonts w:ascii="Calibri" w:eastAsia="Times New Roman" w:hAnsi="Calibri" w:cs="Calibri"/>
                <w:color w:val="000000"/>
                <w:sz w:val="16"/>
                <w:szCs w:val="16"/>
                <w:lang w:val="en-IE" w:eastAsia="en-IE"/>
              </w:rPr>
            </w:pPr>
            <w:r w:rsidRPr="004131F8">
              <w:rPr>
                <w:rFonts w:ascii="Calibri" w:eastAsia="Times New Roman" w:hAnsi="Calibri" w:cs="Calibri"/>
                <w:color w:val="000000"/>
                <w:sz w:val="16"/>
                <w:szCs w:val="16"/>
                <w:lang w:val="en-IE" w:eastAsia="en-IE"/>
              </w:rPr>
              <w:t>S</w:t>
            </w:r>
            <w:r w:rsidR="00EE4AB5" w:rsidRPr="00EE4AB5">
              <w:rPr>
                <w:rFonts w:ascii="Calibri" w:eastAsia="Times New Roman" w:hAnsi="Calibri" w:cs="Calibri"/>
                <w:color w:val="000000"/>
                <w:sz w:val="16"/>
                <w:szCs w:val="16"/>
                <w:lang w:val="en-IE" w:eastAsia="en-IE"/>
              </w:rPr>
              <w:t>evere obesity</w:t>
            </w:r>
          </w:p>
        </w:tc>
        <w:tc>
          <w:tcPr>
            <w:tcW w:w="526" w:type="pct"/>
            <w:tcBorders>
              <w:top w:val="nil"/>
              <w:left w:val="nil"/>
              <w:bottom w:val="single" w:sz="4" w:space="0" w:color="auto"/>
              <w:right w:val="single" w:sz="4" w:space="0" w:color="auto"/>
            </w:tcBorders>
            <w:noWrap/>
            <w:vAlign w:val="center"/>
            <w:hideMark/>
          </w:tcPr>
          <w:p w14:paraId="21A83404"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Surgery</w:t>
            </w:r>
          </w:p>
        </w:tc>
      </w:tr>
      <w:tr w:rsidR="004131F8" w:rsidRPr="004131F8" w14:paraId="66C1CC2A" w14:textId="77777777" w:rsidTr="004131F8">
        <w:trPr>
          <w:trHeight w:val="290"/>
        </w:trPr>
        <w:tc>
          <w:tcPr>
            <w:tcW w:w="648" w:type="pct"/>
            <w:tcBorders>
              <w:top w:val="nil"/>
              <w:left w:val="single" w:sz="4" w:space="0" w:color="auto"/>
              <w:bottom w:val="single" w:sz="4" w:space="0" w:color="auto"/>
              <w:right w:val="single" w:sz="4" w:space="0" w:color="auto"/>
            </w:tcBorders>
            <w:noWrap/>
            <w:vAlign w:val="center"/>
            <w:hideMark/>
          </w:tcPr>
          <w:p w14:paraId="52EF6788" w14:textId="6A3A01FC"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Gil-Rojas, 2019</w:t>
            </w:r>
            <w:r w:rsidR="00254B1C" w:rsidRPr="00254B1C">
              <w:rPr>
                <w:rFonts w:ascii="Calibri" w:eastAsia="Times New Roman" w:hAnsi="Calibri" w:cs="Calibri"/>
                <w:noProof/>
                <w:color w:val="000000"/>
                <w:sz w:val="16"/>
                <w:szCs w:val="16"/>
                <w:vertAlign w:val="superscript"/>
                <w:lang w:val="en-IE" w:eastAsia="en-IE"/>
              </w:rPr>
              <w:t>53</w:t>
            </w:r>
          </w:p>
        </w:tc>
        <w:tc>
          <w:tcPr>
            <w:tcW w:w="300" w:type="pct"/>
            <w:tcBorders>
              <w:top w:val="nil"/>
              <w:left w:val="nil"/>
              <w:bottom w:val="single" w:sz="4" w:space="0" w:color="auto"/>
              <w:right w:val="single" w:sz="4" w:space="0" w:color="auto"/>
            </w:tcBorders>
            <w:noWrap/>
            <w:vAlign w:val="center"/>
            <w:hideMark/>
          </w:tcPr>
          <w:p w14:paraId="4563BCCC"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CEA</w:t>
            </w:r>
          </w:p>
        </w:tc>
        <w:tc>
          <w:tcPr>
            <w:tcW w:w="939" w:type="pct"/>
            <w:tcBorders>
              <w:top w:val="nil"/>
              <w:left w:val="nil"/>
              <w:bottom w:val="single" w:sz="4" w:space="0" w:color="auto"/>
              <w:right w:val="single" w:sz="4" w:space="0" w:color="auto"/>
            </w:tcBorders>
            <w:noWrap/>
            <w:vAlign w:val="center"/>
            <w:hideMark/>
          </w:tcPr>
          <w:p w14:paraId="1E4EC9A2"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Decision tree and Markov</w:t>
            </w:r>
          </w:p>
        </w:tc>
        <w:tc>
          <w:tcPr>
            <w:tcW w:w="474" w:type="pct"/>
            <w:tcBorders>
              <w:top w:val="nil"/>
              <w:left w:val="nil"/>
              <w:bottom w:val="single" w:sz="4" w:space="0" w:color="auto"/>
              <w:right w:val="single" w:sz="4" w:space="0" w:color="auto"/>
            </w:tcBorders>
            <w:noWrap/>
            <w:vAlign w:val="center"/>
            <w:hideMark/>
          </w:tcPr>
          <w:p w14:paraId="4F9A186D"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Colombia</w:t>
            </w:r>
          </w:p>
        </w:tc>
        <w:tc>
          <w:tcPr>
            <w:tcW w:w="2113" w:type="pct"/>
            <w:tcBorders>
              <w:top w:val="nil"/>
              <w:left w:val="nil"/>
              <w:bottom w:val="single" w:sz="4" w:space="0" w:color="auto"/>
              <w:right w:val="single" w:sz="4" w:space="0" w:color="auto"/>
            </w:tcBorders>
            <w:noWrap/>
            <w:vAlign w:val="center"/>
            <w:hideMark/>
          </w:tcPr>
          <w:p w14:paraId="65A7FFDC" w14:textId="59E50549" w:rsidR="00EE4AB5" w:rsidRPr="00EE4AB5" w:rsidRDefault="00CF378A" w:rsidP="00F652D0">
            <w:pPr>
              <w:spacing w:after="0" w:line="240" w:lineRule="auto"/>
              <w:rPr>
                <w:rFonts w:ascii="Calibri" w:eastAsia="Times New Roman" w:hAnsi="Calibri" w:cs="Calibri"/>
                <w:color w:val="000000"/>
                <w:sz w:val="16"/>
                <w:szCs w:val="16"/>
                <w:lang w:val="en-IE" w:eastAsia="en-IE"/>
              </w:rPr>
            </w:pPr>
            <w:r w:rsidRPr="004131F8">
              <w:rPr>
                <w:rFonts w:ascii="Calibri" w:eastAsia="Times New Roman" w:hAnsi="Calibri" w:cs="Calibri"/>
                <w:color w:val="000000"/>
                <w:sz w:val="16"/>
                <w:szCs w:val="16"/>
                <w:lang w:val="en-IE" w:eastAsia="en-IE"/>
              </w:rPr>
              <w:t>Severely</w:t>
            </w:r>
            <w:r w:rsidR="00EE4AB5" w:rsidRPr="00EE4AB5">
              <w:rPr>
                <w:rFonts w:ascii="Calibri" w:eastAsia="Times New Roman" w:hAnsi="Calibri" w:cs="Calibri"/>
                <w:color w:val="000000"/>
                <w:sz w:val="16"/>
                <w:szCs w:val="16"/>
                <w:lang w:val="en-IE" w:eastAsia="en-IE"/>
              </w:rPr>
              <w:t xml:space="preserve"> obese</w:t>
            </w:r>
          </w:p>
        </w:tc>
        <w:tc>
          <w:tcPr>
            <w:tcW w:w="526" w:type="pct"/>
            <w:tcBorders>
              <w:top w:val="nil"/>
              <w:left w:val="nil"/>
              <w:bottom w:val="single" w:sz="4" w:space="0" w:color="auto"/>
              <w:right w:val="single" w:sz="4" w:space="0" w:color="auto"/>
            </w:tcBorders>
            <w:noWrap/>
            <w:vAlign w:val="center"/>
            <w:hideMark/>
          </w:tcPr>
          <w:p w14:paraId="790F9B32"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Surgery</w:t>
            </w:r>
          </w:p>
        </w:tc>
      </w:tr>
      <w:tr w:rsidR="004131F8" w:rsidRPr="004131F8" w14:paraId="1D4FF981" w14:textId="77777777" w:rsidTr="004131F8">
        <w:trPr>
          <w:trHeight w:val="290"/>
        </w:trPr>
        <w:tc>
          <w:tcPr>
            <w:tcW w:w="648" w:type="pct"/>
            <w:tcBorders>
              <w:top w:val="nil"/>
              <w:left w:val="single" w:sz="4" w:space="0" w:color="auto"/>
              <w:bottom w:val="single" w:sz="4" w:space="0" w:color="auto"/>
              <w:right w:val="single" w:sz="4" w:space="0" w:color="auto"/>
            </w:tcBorders>
            <w:noWrap/>
            <w:vAlign w:val="center"/>
            <w:hideMark/>
          </w:tcPr>
          <w:p w14:paraId="33C262F7" w14:textId="54B0C8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Gomez 2023</w:t>
            </w:r>
            <w:r w:rsidR="00254B1C" w:rsidRPr="00254B1C">
              <w:rPr>
                <w:rFonts w:ascii="Calibri" w:eastAsia="Times New Roman" w:hAnsi="Calibri" w:cs="Calibri"/>
                <w:noProof/>
                <w:color w:val="000000"/>
                <w:sz w:val="16"/>
                <w:szCs w:val="16"/>
                <w:vertAlign w:val="superscript"/>
                <w:lang w:val="en-IE" w:eastAsia="en-IE"/>
              </w:rPr>
              <w:t>54</w:t>
            </w:r>
          </w:p>
        </w:tc>
        <w:tc>
          <w:tcPr>
            <w:tcW w:w="300" w:type="pct"/>
            <w:tcBorders>
              <w:top w:val="nil"/>
              <w:left w:val="nil"/>
              <w:bottom w:val="single" w:sz="4" w:space="0" w:color="auto"/>
              <w:right w:val="single" w:sz="4" w:space="0" w:color="auto"/>
            </w:tcBorders>
            <w:noWrap/>
            <w:vAlign w:val="center"/>
            <w:hideMark/>
          </w:tcPr>
          <w:p w14:paraId="435B734C"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CEA</w:t>
            </w:r>
          </w:p>
        </w:tc>
        <w:tc>
          <w:tcPr>
            <w:tcW w:w="939" w:type="pct"/>
            <w:tcBorders>
              <w:top w:val="nil"/>
              <w:left w:val="nil"/>
              <w:bottom w:val="single" w:sz="4" w:space="0" w:color="auto"/>
              <w:right w:val="single" w:sz="4" w:space="0" w:color="auto"/>
            </w:tcBorders>
            <w:noWrap/>
            <w:vAlign w:val="center"/>
            <w:hideMark/>
          </w:tcPr>
          <w:p w14:paraId="26631516"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Markov</w:t>
            </w:r>
          </w:p>
        </w:tc>
        <w:tc>
          <w:tcPr>
            <w:tcW w:w="474" w:type="pct"/>
            <w:tcBorders>
              <w:top w:val="nil"/>
              <w:left w:val="nil"/>
              <w:bottom w:val="single" w:sz="4" w:space="0" w:color="auto"/>
              <w:right w:val="single" w:sz="4" w:space="0" w:color="auto"/>
            </w:tcBorders>
            <w:noWrap/>
            <w:vAlign w:val="center"/>
            <w:hideMark/>
          </w:tcPr>
          <w:p w14:paraId="422CA4BD"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United States</w:t>
            </w:r>
          </w:p>
        </w:tc>
        <w:tc>
          <w:tcPr>
            <w:tcW w:w="2113" w:type="pct"/>
            <w:tcBorders>
              <w:top w:val="nil"/>
              <w:left w:val="nil"/>
              <w:bottom w:val="single" w:sz="4" w:space="0" w:color="auto"/>
              <w:right w:val="single" w:sz="4" w:space="0" w:color="auto"/>
            </w:tcBorders>
            <w:noWrap/>
            <w:vAlign w:val="center"/>
            <w:hideMark/>
          </w:tcPr>
          <w:p w14:paraId="45B8C5E5" w14:textId="5F7C273F" w:rsidR="00EE4AB5" w:rsidRPr="00EE4AB5" w:rsidRDefault="00CF378A" w:rsidP="00F652D0">
            <w:pPr>
              <w:spacing w:after="0" w:line="240" w:lineRule="auto"/>
              <w:rPr>
                <w:rFonts w:ascii="Calibri" w:eastAsia="Times New Roman" w:hAnsi="Calibri" w:cs="Calibri"/>
                <w:color w:val="000000"/>
                <w:sz w:val="16"/>
                <w:szCs w:val="16"/>
                <w:lang w:val="en-IE" w:eastAsia="en-IE"/>
              </w:rPr>
            </w:pPr>
            <w:r w:rsidRPr="004131F8">
              <w:rPr>
                <w:rFonts w:ascii="Calibri" w:eastAsia="Times New Roman" w:hAnsi="Calibri" w:cs="Calibri"/>
                <w:color w:val="000000"/>
                <w:sz w:val="16"/>
                <w:szCs w:val="16"/>
                <w:lang w:val="en-IE" w:eastAsia="en-IE"/>
              </w:rPr>
              <w:t>O</w:t>
            </w:r>
            <w:r w:rsidR="00EE4AB5" w:rsidRPr="00EE4AB5">
              <w:rPr>
                <w:rFonts w:ascii="Calibri" w:eastAsia="Times New Roman" w:hAnsi="Calibri" w:cs="Calibri"/>
                <w:color w:val="000000"/>
                <w:sz w:val="16"/>
                <w:szCs w:val="16"/>
                <w:lang w:val="en-IE" w:eastAsia="en-IE"/>
              </w:rPr>
              <w:t>bese (assumed)</w:t>
            </w:r>
          </w:p>
        </w:tc>
        <w:tc>
          <w:tcPr>
            <w:tcW w:w="526" w:type="pct"/>
            <w:tcBorders>
              <w:top w:val="nil"/>
              <w:left w:val="nil"/>
              <w:bottom w:val="single" w:sz="4" w:space="0" w:color="auto"/>
              <w:right w:val="single" w:sz="4" w:space="0" w:color="auto"/>
            </w:tcBorders>
            <w:noWrap/>
            <w:vAlign w:val="center"/>
            <w:hideMark/>
          </w:tcPr>
          <w:p w14:paraId="5C8CB6DC"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Drug</w:t>
            </w:r>
          </w:p>
        </w:tc>
      </w:tr>
      <w:tr w:rsidR="004131F8" w:rsidRPr="004131F8" w14:paraId="26F1D57B" w14:textId="77777777" w:rsidTr="004131F8">
        <w:trPr>
          <w:trHeight w:val="290"/>
        </w:trPr>
        <w:tc>
          <w:tcPr>
            <w:tcW w:w="648" w:type="pct"/>
            <w:tcBorders>
              <w:top w:val="nil"/>
              <w:left w:val="single" w:sz="4" w:space="0" w:color="auto"/>
              <w:bottom w:val="single" w:sz="4" w:space="0" w:color="auto"/>
              <w:right w:val="single" w:sz="4" w:space="0" w:color="auto"/>
            </w:tcBorders>
            <w:noWrap/>
            <w:vAlign w:val="center"/>
            <w:hideMark/>
          </w:tcPr>
          <w:p w14:paraId="20238CB4" w14:textId="187FABC1"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lastRenderedPageBreak/>
              <w:t>Gulliford, 2017</w:t>
            </w:r>
            <w:r w:rsidR="00254B1C" w:rsidRPr="00254B1C">
              <w:rPr>
                <w:rFonts w:ascii="Calibri" w:eastAsia="Times New Roman" w:hAnsi="Calibri" w:cs="Calibri"/>
                <w:noProof/>
                <w:color w:val="000000"/>
                <w:sz w:val="16"/>
                <w:szCs w:val="16"/>
                <w:vertAlign w:val="superscript"/>
                <w:lang w:val="en-IE" w:eastAsia="en-IE"/>
              </w:rPr>
              <w:t>55</w:t>
            </w:r>
          </w:p>
        </w:tc>
        <w:tc>
          <w:tcPr>
            <w:tcW w:w="300" w:type="pct"/>
            <w:tcBorders>
              <w:top w:val="nil"/>
              <w:left w:val="nil"/>
              <w:bottom w:val="single" w:sz="4" w:space="0" w:color="auto"/>
              <w:right w:val="single" w:sz="4" w:space="0" w:color="auto"/>
            </w:tcBorders>
            <w:noWrap/>
            <w:vAlign w:val="center"/>
            <w:hideMark/>
          </w:tcPr>
          <w:p w14:paraId="0ED989C5"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CUA</w:t>
            </w:r>
          </w:p>
        </w:tc>
        <w:tc>
          <w:tcPr>
            <w:tcW w:w="939" w:type="pct"/>
            <w:tcBorders>
              <w:top w:val="nil"/>
              <w:left w:val="nil"/>
              <w:bottom w:val="single" w:sz="4" w:space="0" w:color="auto"/>
              <w:right w:val="single" w:sz="4" w:space="0" w:color="auto"/>
            </w:tcBorders>
            <w:noWrap/>
            <w:vAlign w:val="center"/>
            <w:hideMark/>
          </w:tcPr>
          <w:p w14:paraId="4A86FCC5"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Markov</w:t>
            </w:r>
          </w:p>
        </w:tc>
        <w:tc>
          <w:tcPr>
            <w:tcW w:w="474" w:type="pct"/>
            <w:tcBorders>
              <w:top w:val="nil"/>
              <w:left w:val="nil"/>
              <w:bottom w:val="single" w:sz="4" w:space="0" w:color="auto"/>
              <w:right w:val="single" w:sz="4" w:space="0" w:color="auto"/>
            </w:tcBorders>
            <w:noWrap/>
            <w:vAlign w:val="center"/>
            <w:hideMark/>
          </w:tcPr>
          <w:p w14:paraId="379BDFDE"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United Kingdom</w:t>
            </w:r>
          </w:p>
        </w:tc>
        <w:tc>
          <w:tcPr>
            <w:tcW w:w="2113" w:type="pct"/>
            <w:tcBorders>
              <w:top w:val="nil"/>
              <w:left w:val="nil"/>
              <w:bottom w:val="single" w:sz="4" w:space="0" w:color="auto"/>
              <w:right w:val="single" w:sz="4" w:space="0" w:color="auto"/>
            </w:tcBorders>
            <w:noWrap/>
            <w:vAlign w:val="center"/>
            <w:hideMark/>
          </w:tcPr>
          <w:p w14:paraId="71E81A5E" w14:textId="7F1B08DB" w:rsidR="00EE4AB5" w:rsidRPr="00EE4AB5" w:rsidRDefault="00CF378A" w:rsidP="00F652D0">
            <w:pPr>
              <w:spacing w:after="0" w:line="240" w:lineRule="auto"/>
              <w:rPr>
                <w:rFonts w:ascii="Calibri" w:eastAsia="Times New Roman" w:hAnsi="Calibri" w:cs="Calibri"/>
                <w:color w:val="000000"/>
                <w:sz w:val="16"/>
                <w:szCs w:val="16"/>
                <w:lang w:val="en-IE" w:eastAsia="en-IE"/>
              </w:rPr>
            </w:pPr>
            <w:r w:rsidRPr="004131F8">
              <w:rPr>
                <w:rFonts w:ascii="Calibri" w:eastAsia="Times New Roman" w:hAnsi="Calibri" w:cs="Calibri"/>
                <w:color w:val="000000"/>
                <w:sz w:val="16"/>
                <w:szCs w:val="16"/>
                <w:lang w:val="en-IE" w:eastAsia="en-IE"/>
              </w:rPr>
              <w:t>O</w:t>
            </w:r>
            <w:r w:rsidR="00EE4AB5" w:rsidRPr="00EE4AB5">
              <w:rPr>
                <w:rFonts w:ascii="Calibri" w:eastAsia="Times New Roman" w:hAnsi="Calibri" w:cs="Calibri"/>
                <w:color w:val="000000"/>
                <w:sz w:val="16"/>
                <w:szCs w:val="16"/>
                <w:lang w:val="en-IE" w:eastAsia="en-IE"/>
              </w:rPr>
              <w:t>bese</w:t>
            </w:r>
          </w:p>
        </w:tc>
        <w:tc>
          <w:tcPr>
            <w:tcW w:w="526" w:type="pct"/>
            <w:tcBorders>
              <w:top w:val="nil"/>
              <w:left w:val="nil"/>
              <w:bottom w:val="single" w:sz="4" w:space="0" w:color="auto"/>
              <w:right w:val="single" w:sz="4" w:space="0" w:color="auto"/>
            </w:tcBorders>
            <w:noWrap/>
            <w:vAlign w:val="center"/>
            <w:hideMark/>
          </w:tcPr>
          <w:p w14:paraId="7048765E"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Surgery</w:t>
            </w:r>
          </w:p>
        </w:tc>
      </w:tr>
      <w:tr w:rsidR="004131F8" w:rsidRPr="004131F8" w14:paraId="7B0B729F" w14:textId="77777777" w:rsidTr="004131F8">
        <w:trPr>
          <w:trHeight w:val="290"/>
        </w:trPr>
        <w:tc>
          <w:tcPr>
            <w:tcW w:w="648" w:type="pct"/>
            <w:tcBorders>
              <w:top w:val="nil"/>
              <w:left w:val="single" w:sz="4" w:space="0" w:color="auto"/>
              <w:bottom w:val="single" w:sz="4" w:space="0" w:color="auto"/>
              <w:right w:val="single" w:sz="4" w:space="0" w:color="auto"/>
            </w:tcBorders>
            <w:noWrap/>
            <w:vAlign w:val="center"/>
            <w:hideMark/>
          </w:tcPr>
          <w:p w14:paraId="2697A7BA"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Haseeb 2023a</w:t>
            </w:r>
          </w:p>
        </w:tc>
        <w:tc>
          <w:tcPr>
            <w:tcW w:w="300" w:type="pct"/>
            <w:tcBorders>
              <w:top w:val="nil"/>
              <w:left w:val="nil"/>
              <w:bottom w:val="single" w:sz="4" w:space="0" w:color="auto"/>
              <w:right w:val="single" w:sz="4" w:space="0" w:color="auto"/>
            </w:tcBorders>
            <w:noWrap/>
            <w:vAlign w:val="center"/>
            <w:hideMark/>
          </w:tcPr>
          <w:p w14:paraId="230A4E75"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CEA</w:t>
            </w:r>
          </w:p>
        </w:tc>
        <w:tc>
          <w:tcPr>
            <w:tcW w:w="939" w:type="pct"/>
            <w:tcBorders>
              <w:top w:val="nil"/>
              <w:left w:val="nil"/>
              <w:bottom w:val="single" w:sz="4" w:space="0" w:color="auto"/>
              <w:right w:val="single" w:sz="4" w:space="0" w:color="auto"/>
            </w:tcBorders>
            <w:noWrap/>
            <w:vAlign w:val="center"/>
            <w:hideMark/>
          </w:tcPr>
          <w:p w14:paraId="5D70A7B5"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Markov</w:t>
            </w:r>
          </w:p>
        </w:tc>
        <w:tc>
          <w:tcPr>
            <w:tcW w:w="474" w:type="pct"/>
            <w:tcBorders>
              <w:top w:val="nil"/>
              <w:left w:val="nil"/>
              <w:bottom w:val="single" w:sz="4" w:space="0" w:color="auto"/>
              <w:right w:val="single" w:sz="4" w:space="0" w:color="auto"/>
            </w:tcBorders>
            <w:noWrap/>
            <w:vAlign w:val="center"/>
            <w:hideMark/>
          </w:tcPr>
          <w:p w14:paraId="45DEB65A"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US</w:t>
            </w:r>
          </w:p>
        </w:tc>
        <w:tc>
          <w:tcPr>
            <w:tcW w:w="2113" w:type="pct"/>
            <w:tcBorders>
              <w:top w:val="nil"/>
              <w:left w:val="nil"/>
              <w:bottom w:val="single" w:sz="4" w:space="0" w:color="auto"/>
              <w:right w:val="single" w:sz="4" w:space="0" w:color="auto"/>
            </w:tcBorders>
            <w:noWrap/>
            <w:vAlign w:val="center"/>
            <w:hideMark/>
          </w:tcPr>
          <w:p w14:paraId="0C066E3E" w14:textId="7EBD1931" w:rsidR="00EE4AB5" w:rsidRPr="00EE4AB5" w:rsidRDefault="00CF378A" w:rsidP="00F652D0">
            <w:pPr>
              <w:spacing w:after="0" w:line="240" w:lineRule="auto"/>
              <w:rPr>
                <w:rFonts w:ascii="Calibri" w:eastAsia="Times New Roman" w:hAnsi="Calibri" w:cs="Calibri"/>
                <w:color w:val="000000"/>
                <w:sz w:val="16"/>
                <w:szCs w:val="16"/>
                <w:lang w:val="en-IE" w:eastAsia="en-IE"/>
              </w:rPr>
            </w:pPr>
            <w:r w:rsidRPr="004131F8">
              <w:rPr>
                <w:rFonts w:ascii="Calibri" w:eastAsia="Times New Roman" w:hAnsi="Calibri" w:cs="Calibri"/>
                <w:color w:val="000000"/>
                <w:sz w:val="16"/>
                <w:szCs w:val="16"/>
                <w:lang w:val="en-IE" w:eastAsia="en-IE"/>
              </w:rPr>
              <w:t>C</w:t>
            </w:r>
            <w:r w:rsidR="00EE4AB5" w:rsidRPr="00EE4AB5">
              <w:rPr>
                <w:rFonts w:ascii="Calibri" w:eastAsia="Times New Roman" w:hAnsi="Calibri" w:cs="Calibri"/>
                <w:color w:val="000000"/>
                <w:sz w:val="16"/>
                <w:szCs w:val="16"/>
                <w:lang w:val="en-IE" w:eastAsia="en-IE"/>
              </w:rPr>
              <w:t>lass II obesity</w:t>
            </w:r>
          </w:p>
        </w:tc>
        <w:tc>
          <w:tcPr>
            <w:tcW w:w="526" w:type="pct"/>
            <w:tcBorders>
              <w:top w:val="nil"/>
              <w:left w:val="nil"/>
              <w:bottom w:val="single" w:sz="4" w:space="0" w:color="auto"/>
              <w:right w:val="single" w:sz="4" w:space="0" w:color="auto"/>
            </w:tcBorders>
            <w:noWrap/>
            <w:vAlign w:val="center"/>
            <w:hideMark/>
          </w:tcPr>
          <w:p w14:paraId="6DC0084D"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Drug</w:t>
            </w:r>
          </w:p>
        </w:tc>
      </w:tr>
      <w:tr w:rsidR="004131F8" w:rsidRPr="004131F8" w14:paraId="3CDACAD8" w14:textId="77777777" w:rsidTr="004131F8">
        <w:trPr>
          <w:trHeight w:val="290"/>
        </w:trPr>
        <w:tc>
          <w:tcPr>
            <w:tcW w:w="648" w:type="pct"/>
            <w:tcBorders>
              <w:top w:val="nil"/>
              <w:left w:val="single" w:sz="4" w:space="0" w:color="auto"/>
              <w:bottom w:val="single" w:sz="4" w:space="0" w:color="auto"/>
              <w:right w:val="single" w:sz="4" w:space="0" w:color="auto"/>
            </w:tcBorders>
            <w:noWrap/>
            <w:vAlign w:val="center"/>
            <w:hideMark/>
          </w:tcPr>
          <w:p w14:paraId="01393953"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Haseeb 2023b</w:t>
            </w:r>
          </w:p>
        </w:tc>
        <w:tc>
          <w:tcPr>
            <w:tcW w:w="300" w:type="pct"/>
            <w:tcBorders>
              <w:top w:val="nil"/>
              <w:left w:val="nil"/>
              <w:bottom w:val="single" w:sz="4" w:space="0" w:color="auto"/>
              <w:right w:val="single" w:sz="4" w:space="0" w:color="auto"/>
            </w:tcBorders>
            <w:noWrap/>
            <w:vAlign w:val="center"/>
            <w:hideMark/>
          </w:tcPr>
          <w:p w14:paraId="0B58C680"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CEA</w:t>
            </w:r>
          </w:p>
        </w:tc>
        <w:tc>
          <w:tcPr>
            <w:tcW w:w="939" w:type="pct"/>
            <w:tcBorders>
              <w:top w:val="nil"/>
              <w:left w:val="nil"/>
              <w:bottom w:val="single" w:sz="4" w:space="0" w:color="auto"/>
              <w:right w:val="single" w:sz="4" w:space="0" w:color="auto"/>
            </w:tcBorders>
            <w:noWrap/>
            <w:vAlign w:val="center"/>
            <w:hideMark/>
          </w:tcPr>
          <w:p w14:paraId="67C3C975"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Markov</w:t>
            </w:r>
          </w:p>
        </w:tc>
        <w:tc>
          <w:tcPr>
            <w:tcW w:w="474" w:type="pct"/>
            <w:tcBorders>
              <w:top w:val="nil"/>
              <w:left w:val="nil"/>
              <w:bottom w:val="single" w:sz="4" w:space="0" w:color="auto"/>
              <w:right w:val="single" w:sz="4" w:space="0" w:color="auto"/>
            </w:tcBorders>
            <w:noWrap/>
            <w:vAlign w:val="center"/>
            <w:hideMark/>
          </w:tcPr>
          <w:p w14:paraId="5D14723E"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US</w:t>
            </w:r>
          </w:p>
        </w:tc>
        <w:tc>
          <w:tcPr>
            <w:tcW w:w="2113" w:type="pct"/>
            <w:tcBorders>
              <w:top w:val="nil"/>
              <w:left w:val="nil"/>
              <w:bottom w:val="single" w:sz="4" w:space="0" w:color="auto"/>
              <w:right w:val="single" w:sz="4" w:space="0" w:color="auto"/>
            </w:tcBorders>
            <w:noWrap/>
            <w:vAlign w:val="center"/>
            <w:hideMark/>
          </w:tcPr>
          <w:p w14:paraId="746FA9DC" w14:textId="38359627" w:rsidR="00EE4AB5" w:rsidRPr="00EE4AB5" w:rsidRDefault="00CF378A" w:rsidP="00F652D0">
            <w:pPr>
              <w:spacing w:after="0" w:line="240" w:lineRule="auto"/>
              <w:rPr>
                <w:rFonts w:ascii="Calibri" w:eastAsia="Times New Roman" w:hAnsi="Calibri" w:cs="Calibri"/>
                <w:color w:val="000000"/>
                <w:sz w:val="16"/>
                <w:szCs w:val="16"/>
                <w:lang w:val="en-IE" w:eastAsia="en-IE"/>
              </w:rPr>
            </w:pPr>
            <w:r w:rsidRPr="004131F8">
              <w:rPr>
                <w:rFonts w:ascii="Calibri" w:eastAsia="Times New Roman" w:hAnsi="Calibri" w:cs="Calibri"/>
                <w:color w:val="000000"/>
                <w:sz w:val="16"/>
                <w:szCs w:val="16"/>
                <w:lang w:val="en-IE" w:eastAsia="en-IE"/>
              </w:rPr>
              <w:t>C</w:t>
            </w:r>
            <w:r w:rsidR="00EE4AB5" w:rsidRPr="00EE4AB5">
              <w:rPr>
                <w:rFonts w:ascii="Calibri" w:eastAsia="Times New Roman" w:hAnsi="Calibri" w:cs="Calibri"/>
                <w:color w:val="000000"/>
                <w:sz w:val="16"/>
                <w:szCs w:val="16"/>
                <w:lang w:val="en-IE" w:eastAsia="en-IE"/>
              </w:rPr>
              <w:t>lass II obesity</w:t>
            </w:r>
          </w:p>
        </w:tc>
        <w:tc>
          <w:tcPr>
            <w:tcW w:w="526" w:type="pct"/>
            <w:tcBorders>
              <w:top w:val="nil"/>
              <w:left w:val="nil"/>
              <w:bottom w:val="single" w:sz="4" w:space="0" w:color="auto"/>
              <w:right w:val="single" w:sz="4" w:space="0" w:color="auto"/>
            </w:tcBorders>
            <w:noWrap/>
            <w:vAlign w:val="center"/>
            <w:hideMark/>
          </w:tcPr>
          <w:p w14:paraId="7AD447FE"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Surgery</w:t>
            </w:r>
          </w:p>
        </w:tc>
      </w:tr>
      <w:tr w:rsidR="004131F8" w:rsidRPr="004131F8" w14:paraId="0C1B9FA5" w14:textId="77777777" w:rsidTr="004131F8">
        <w:trPr>
          <w:trHeight w:val="290"/>
        </w:trPr>
        <w:tc>
          <w:tcPr>
            <w:tcW w:w="648" w:type="pct"/>
            <w:tcBorders>
              <w:top w:val="nil"/>
              <w:left w:val="single" w:sz="4" w:space="0" w:color="auto"/>
              <w:bottom w:val="single" w:sz="4" w:space="0" w:color="auto"/>
              <w:right w:val="single" w:sz="4" w:space="0" w:color="auto"/>
            </w:tcBorders>
            <w:noWrap/>
            <w:vAlign w:val="center"/>
            <w:hideMark/>
          </w:tcPr>
          <w:p w14:paraId="30A485C7"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Haseeb 2023c</w:t>
            </w:r>
          </w:p>
        </w:tc>
        <w:tc>
          <w:tcPr>
            <w:tcW w:w="300" w:type="pct"/>
            <w:tcBorders>
              <w:top w:val="nil"/>
              <w:left w:val="nil"/>
              <w:bottom w:val="single" w:sz="4" w:space="0" w:color="auto"/>
              <w:right w:val="single" w:sz="4" w:space="0" w:color="auto"/>
            </w:tcBorders>
            <w:noWrap/>
            <w:vAlign w:val="center"/>
            <w:hideMark/>
          </w:tcPr>
          <w:p w14:paraId="32ACFDCF"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CEA</w:t>
            </w:r>
          </w:p>
        </w:tc>
        <w:tc>
          <w:tcPr>
            <w:tcW w:w="939" w:type="pct"/>
            <w:tcBorders>
              <w:top w:val="nil"/>
              <w:left w:val="nil"/>
              <w:bottom w:val="single" w:sz="4" w:space="0" w:color="auto"/>
              <w:right w:val="single" w:sz="4" w:space="0" w:color="auto"/>
            </w:tcBorders>
            <w:noWrap/>
            <w:vAlign w:val="center"/>
            <w:hideMark/>
          </w:tcPr>
          <w:p w14:paraId="3191B1DC"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Markov</w:t>
            </w:r>
          </w:p>
        </w:tc>
        <w:tc>
          <w:tcPr>
            <w:tcW w:w="474" w:type="pct"/>
            <w:tcBorders>
              <w:top w:val="nil"/>
              <w:left w:val="nil"/>
              <w:bottom w:val="single" w:sz="4" w:space="0" w:color="auto"/>
              <w:right w:val="single" w:sz="4" w:space="0" w:color="auto"/>
            </w:tcBorders>
            <w:noWrap/>
            <w:vAlign w:val="center"/>
            <w:hideMark/>
          </w:tcPr>
          <w:p w14:paraId="3D611F96"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US</w:t>
            </w:r>
          </w:p>
        </w:tc>
        <w:tc>
          <w:tcPr>
            <w:tcW w:w="2113" w:type="pct"/>
            <w:tcBorders>
              <w:top w:val="nil"/>
              <w:left w:val="nil"/>
              <w:bottom w:val="single" w:sz="4" w:space="0" w:color="auto"/>
              <w:right w:val="single" w:sz="4" w:space="0" w:color="auto"/>
            </w:tcBorders>
            <w:noWrap/>
            <w:vAlign w:val="center"/>
            <w:hideMark/>
          </w:tcPr>
          <w:p w14:paraId="52058F17" w14:textId="52093A6D" w:rsidR="00EE4AB5" w:rsidRPr="00EE4AB5" w:rsidRDefault="00CF378A" w:rsidP="00F652D0">
            <w:pPr>
              <w:spacing w:after="0" w:line="240" w:lineRule="auto"/>
              <w:rPr>
                <w:rFonts w:ascii="Calibri" w:eastAsia="Times New Roman" w:hAnsi="Calibri" w:cs="Calibri"/>
                <w:color w:val="000000"/>
                <w:sz w:val="16"/>
                <w:szCs w:val="16"/>
                <w:lang w:val="en-IE" w:eastAsia="en-IE"/>
              </w:rPr>
            </w:pPr>
            <w:r w:rsidRPr="004131F8">
              <w:rPr>
                <w:rFonts w:ascii="Calibri" w:eastAsia="Times New Roman" w:hAnsi="Calibri" w:cs="Calibri"/>
                <w:color w:val="000000"/>
                <w:sz w:val="16"/>
                <w:szCs w:val="16"/>
                <w:lang w:val="en-IE" w:eastAsia="en-IE"/>
              </w:rPr>
              <w:t>C</w:t>
            </w:r>
            <w:r w:rsidR="00EE4AB5" w:rsidRPr="00EE4AB5">
              <w:rPr>
                <w:rFonts w:ascii="Calibri" w:eastAsia="Times New Roman" w:hAnsi="Calibri" w:cs="Calibri"/>
                <w:color w:val="000000"/>
                <w:sz w:val="16"/>
                <w:szCs w:val="16"/>
                <w:lang w:val="en-IE" w:eastAsia="en-IE"/>
              </w:rPr>
              <w:t>lass II obesity</w:t>
            </w:r>
          </w:p>
        </w:tc>
        <w:tc>
          <w:tcPr>
            <w:tcW w:w="526" w:type="pct"/>
            <w:tcBorders>
              <w:top w:val="nil"/>
              <w:left w:val="nil"/>
              <w:bottom w:val="single" w:sz="4" w:space="0" w:color="auto"/>
              <w:right w:val="single" w:sz="4" w:space="0" w:color="auto"/>
            </w:tcBorders>
            <w:noWrap/>
            <w:vAlign w:val="center"/>
            <w:hideMark/>
          </w:tcPr>
          <w:p w14:paraId="3A4F37C7"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Drug</w:t>
            </w:r>
          </w:p>
        </w:tc>
      </w:tr>
      <w:tr w:rsidR="004131F8" w:rsidRPr="004131F8" w14:paraId="11A8D4E3" w14:textId="77777777" w:rsidTr="004131F8">
        <w:trPr>
          <w:trHeight w:val="290"/>
        </w:trPr>
        <w:tc>
          <w:tcPr>
            <w:tcW w:w="648" w:type="pct"/>
            <w:tcBorders>
              <w:top w:val="nil"/>
              <w:left w:val="single" w:sz="4" w:space="0" w:color="auto"/>
              <w:bottom w:val="single" w:sz="4" w:space="0" w:color="auto"/>
              <w:right w:val="single" w:sz="4" w:space="0" w:color="auto"/>
            </w:tcBorders>
            <w:noWrap/>
            <w:vAlign w:val="center"/>
            <w:hideMark/>
          </w:tcPr>
          <w:p w14:paraId="1AC821F5"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Haseeb 2023d</w:t>
            </w:r>
          </w:p>
        </w:tc>
        <w:tc>
          <w:tcPr>
            <w:tcW w:w="300" w:type="pct"/>
            <w:tcBorders>
              <w:top w:val="nil"/>
              <w:left w:val="nil"/>
              <w:bottom w:val="single" w:sz="4" w:space="0" w:color="auto"/>
              <w:right w:val="single" w:sz="4" w:space="0" w:color="auto"/>
            </w:tcBorders>
            <w:noWrap/>
            <w:vAlign w:val="center"/>
            <w:hideMark/>
          </w:tcPr>
          <w:p w14:paraId="0ACB8382"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CEA</w:t>
            </w:r>
          </w:p>
        </w:tc>
        <w:tc>
          <w:tcPr>
            <w:tcW w:w="939" w:type="pct"/>
            <w:tcBorders>
              <w:top w:val="nil"/>
              <w:left w:val="nil"/>
              <w:bottom w:val="single" w:sz="4" w:space="0" w:color="auto"/>
              <w:right w:val="single" w:sz="4" w:space="0" w:color="auto"/>
            </w:tcBorders>
            <w:noWrap/>
            <w:vAlign w:val="center"/>
            <w:hideMark/>
          </w:tcPr>
          <w:p w14:paraId="3C80BAFD"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Markov</w:t>
            </w:r>
          </w:p>
        </w:tc>
        <w:tc>
          <w:tcPr>
            <w:tcW w:w="474" w:type="pct"/>
            <w:tcBorders>
              <w:top w:val="nil"/>
              <w:left w:val="nil"/>
              <w:bottom w:val="single" w:sz="4" w:space="0" w:color="auto"/>
              <w:right w:val="single" w:sz="4" w:space="0" w:color="auto"/>
            </w:tcBorders>
            <w:noWrap/>
            <w:vAlign w:val="center"/>
            <w:hideMark/>
          </w:tcPr>
          <w:p w14:paraId="31924E8F"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US</w:t>
            </w:r>
          </w:p>
        </w:tc>
        <w:tc>
          <w:tcPr>
            <w:tcW w:w="2113" w:type="pct"/>
            <w:tcBorders>
              <w:top w:val="nil"/>
              <w:left w:val="nil"/>
              <w:bottom w:val="single" w:sz="4" w:space="0" w:color="auto"/>
              <w:right w:val="single" w:sz="4" w:space="0" w:color="auto"/>
            </w:tcBorders>
            <w:noWrap/>
            <w:vAlign w:val="center"/>
            <w:hideMark/>
          </w:tcPr>
          <w:p w14:paraId="54DC84D6" w14:textId="48A578A7" w:rsidR="00EE4AB5" w:rsidRPr="00EE4AB5" w:rsidRDefault="00CF378A" w:rsidP="00F652D0">
            <w:pPr>
              <w:spacing w:after="0" w:line="240" w:lineRule="auto"/>
              <w:rPr>
                <w:rFonts w:ascii="Calibri" w:eastAsia="Times New Roman" w:hAnsi="Calibri" w:cs="Calibri"/>
                <w:color w:val="000000"/>
                <w:sz w:val="16"/>
                <w:szCs w:val="16"/>
                <w:lang w:val="en-IE" w:eastAsia="en-IE"/>
              </w:rPr>
            </w:pPr>
            <w:r w:rsidRPr="004131F8">
              <w:rPr>
                <w:rFonts w:ascii="Calibri" w:eastAsia="Times New Roman" w:hAnsi="Calibri" w:cs="Calibri"/>
                <w:color w:val="000000"/>
                <w:sz w:val="16"/>
                <w:szCs w:val="16"/>
                <w:lang w:val="en-IE" w:eastAsia="en-IE"/>
              </w:rPr>
              <w:t>C</w:t>
            </w:r>
            <w:r w:rsidR="00EE4AB5" w:rsidRPr="00EE4AB5">
              <w:rPr>
                <w:rFonts w:ascii="Calibri" w:eastAsia="Times New Roman" w:hAnsi="Calibri" w:cs="Calibri"/>
                <w:color w:val="000000"/>
                <w:sz w:val="16"/>
                <w:szCs w:val="16"/>
                <w:lang w:val="en-IE" w:eastAsia="en-IE"/>
              </w:rPr>
              <w:t>lass II obesity</w:t>
            </w:r>
          </w:p>
        </w:tc>
        <w:tc>
          <w:tcPr>
            <w:tcW w:w="526" w:type="pct"/>
            <w:tcBorders>
              <w:top w:val="nil"/>
              <w:left w:val="nil"/>
              <w:bottom w:val="single" w:sz="4" w:space="0" w:color="auto"/>
              <w:right w:val="single" w:sz="4" w:space="0" w:color="auto"/>
            </w:tcBorders>
            <w:noWrap/>
            <w:vAlign w:val="center"/>
            <w:hideMark/>
          </w:tcPr>
          <w:p w14:paraId="2AE0EB1F"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Surgery</w:t>
            </w:r>
          </w:p>
        </w:tc>
      </w:tr>
      <w:tr w:rsidR="004131F8" w:rsidRPr="004131F8" w14:paraId="0FCC5600" w14:textId="77777777" w:rsidTr="004131F8">
        <w:trPr>
          <w:trHeight w:val="290"/>
        </w:trPr>
        <w:tc>
          <w:tcPr>
            <w:tcW w:w="648" w:type="pct"/>
            <w:tcBorders>
              <w:top w:val="nil"/>
              <w:left w:val="single" w:sz="4" w:space="0" w:color="auto"/>
              <w:bottom w:val="single" w:sz="4" w:space="0" w:color="auto"/>
              <w:right w:val="single" w:sz="4" w:space="0" w:color="auto"/>
            </w:tcBorders>
            <w:noWrap/>
            <w:vAlign w:val="center"/>
            <w:hideMark/>
          </w:tcPr>
          <w:p w14:paraId="14FBCD07"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Haseeb 2023e</w:t>
            </w:r>
          </w:p>
        </w:tc>
        <w:tc>
          <w:tcPr>
            <w:tcW w:w="300" w:type="pct"/>
            <w:tcBorders>
              <w:top w:val="nil"/>
              <w:left w:val="nil"/>
              <w:bottom w:val="single" w:sz="4" w:space="0" w:color="auto"/>
              <w:right w:val="single" w:sz="4" w:space="0" w:color="auto"/>
            </w:tcBorders>
            <w:noWrap/>
            <w:vAlign w:val="center"/>
            <w:hideMark/>
          </w:tcPr>
          <w:p w14:paraId="1AF540BD"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CEA</w:t>
            </w:r>
          </w:p>
        </w:tc>
        <w:tc>
          <w:tcPr>
            <w:tcW w:w="939" w:type="pct"/>
            <w:tcBorders>
              <w:top w:val="nil"/>
              <w:left w:val="nil"/>
              <w:bottom w:val="single" w:sz="4" w:space="0" w:color="auto"/>
              <w:right w:val="single" w:sz="4" w:space="0" w:color="auto"/>
            </w:tcBorders>
            <w:noWrap/>
            <w:vAlign w:val="center"/>
            <w:hideMark/>
          </w:tcPr>
          <w:p w14:paraId="4DC1592B"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Markov</w:t>
            </w:r>
          </w:p>
        </w:tc>
        <w:tc>
          <w:tcPr>
            <w:tcW w:w="474" w:type="pct"/>
            <w:tcBorders>
              <w:top w:val="nil"/>
              <w:left w:val="nil"/>
              <w:bottom w:val="single" w:sz="4" w:space="0" w:color="auto"/>
              <w:right w:val="single" w:sz="4" w:space="0" w:color="auto"/>
            </w:tcBorders>
            <w:noWrap/>
            <w:vAlign w:val="center"/>
            <w:hideMark/>
          </w:tcPr>
          <w:p w14:paraId="0D869D8B"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US</w:t>
            </w:r>
          </w:p>
        </w:tc>
        <w:tc>
          <w:tcPr>
            <w:tcW w:w="2113" w:type="pct"/>
            <w:tcBorders>
              <w:top w:val="nil"/>
              <w:left w:val="nil"/>
              <w:bottom w:val="single" w:sz="4" w:space="0" w:color="auto"/>
              <w:right w:val="single" w:sz="4" w:space="0" w:color="auto"/>
            </w:tcBorders>
            <w:noWrap/>
            <w:vAlign w:val="center"/>
            <w:hideMark/>
          </w:tcPr>
          <w:p w14:paraId="00568596" w14:textId="5301E0C2" w:rsidR="00EE4AB5" w:rsidRPr="00EE4AB5" w:rsidRDefault="00CF378A" w:rsidP="00F652D0">
            <w:pPr>
              <w:spacing w:after="0" w:line="240" w:lineRule="auto"/>
              <w:rPr>
                <w:rFonts w:ascii="Calibri" w:eastAsia="Times New Roman" w:hAnsi="Calibri" w:cs="Calibri"/>
                <w:color w:val="000000"/>
                <w:sz w:val="16"/>
                <w:szCs w:val="16"/>
                <w:lang w:val="en-IE" w:eastAsia="en-IE"/>
              </w:rPr>
            </w:pPr>
            <w:r w:rsidRPr="004131F8">
              <w:rPr>
                <w:rFonts w:ascii="Calibri" w:eastAsia="Times New Roman" w:hAnsi="Calibri" w:cs="Calibri"/>
                <w:color w:val="000000"/>
                <w:sz w:val="16"/>
                <w:szCs w:val="16"/>
                <w:lang w:val="en-IE" w:eastAsia="en-IE"/>
              </w:rPr>
              <w:t>C</w:t>
            </w:r>
            <w:r w:rsidR="00EE4AB5" w:rsidRPr="00EE4AB5">
              <w:rPr>
                <w:rFonts w:ascii="Calibri" w:eastAsia="Times New Roman" w:hAnsi="Calibri" w:cs="Calibri"/>
                <w:color w:val="000000"/>
                <w:sz w:val="16"/>
                <w:szCs w:val="16"/>
                <w:lang w:val="en-IE" w:eastAsia="en-IE"/>
              </w:rPr>
              <w:t>lass II obesity</w:t>
            </w:r>
          </w:p>
        </w:tc>
        <w:tc>
          <w:tcPr>
            <w:tcW w:w="526" w:type="pct"/>
            <w:tcBorders>
              <w:top w:val="nil"/>
              <w:left w:val="nil"/>
              <w:bottom w:val="single" w:sz="4" w:space="0" w:color="auto"/>
              <w:right w:val="single" w:sz="4" w:space="0" w:color="auto"/>
            </w:tcBorders>
            <w:noWrap/>
            <w:vAlign w:val="center"/>
            <w:hideMark/>
          </w:tcPr>
          <w:p w14:paraId="124F85CA"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Drug</w:t>
            </w:r>
          </w:p>
        </w:tc>
      </w:tr>
      <w:tr w:rsidR="004131F8" w:rsidRPr="004131F8" w14:paraId="4CDBB174" w14:textId="77777777" w:rsidTr="004131F8">
        <w:trPr>
          <w:trHeight w:val="290"/>
        </w:trPr>
        <w:tc>
          <w:tcPr>
            <w:tcW w:w="648" w:type="pct"/>
            <w:tcBorders>
              <w:top w:val="nil"/>
              <w:left w:val="single" w:sz="4" w:space="0" w:color="auto"/>
              <w:bottom w:val="single" w:sz="4" w:space="0" w:color="auto"/>
              <w:right w:val="single" w:sz="4" w:space="0" w:color="auto"/>
            </w:tcBorders>
            <w:noWrap/>
            <w:vAlign w:val="center"/>
            <w:hideMark/>
          </w:tcPr>
          <w:p w14:paraId="2D0C0803" w14:textId="2E42C0D5"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Hu 2022</w:t>
            </w:r>
            <w:r w:rsidR="00254B1C" w:rsidRPr="00254B1C">
              <w:rPr>
                <w:rFonts w:ascii="Calibri" w:eastAsia="Times New Roman" w:hAnsi="Calibri" w:cs="Calibri"/>
                <w:noProof/>
                <w:color w:val="000000"/>
                <w:sz w:val="16"/>
                <w:szCs w:val="16"/>
                <w:vertAlign w:val="superscript"/>
                <w:lang w:val="en-IE" w:eastAsia="en-IE"/>
              </w:rPr>
              <w:t>56</w:t>
            </w:r>
          </w:p>
        </w:tc>
        <w:tc>
          <w:tcPr>
            <w:tcW w:w="300" w:type="pct"/>
            <w:tcBorders>
              <w:top w:val="nil"/>
              <w:left w:val="nil"/>
              <w:bottom w:val="single" w:sz="4" w:space="0" w:color="auto"/>
              <w:right w:val="single" w:sz="4" w:space="0" w:color="auto"/>
            </w:tcBorders>
            <w:noWrap/>
            <w:vAlign w:val="center"/>
            <w:hideMark/>
          </w:tcPr>
          <w:p w14:paraId="419C2819"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CEA</w:t>
            </w:r>
          </w:p>
        </w:tc>
        <w:tc>
          <w:tcPr>
            <w:tcW w:w="939" w:type="pct"/>
            <w:tcBorders>
              <w:top w:val="nil"/>
              <w:left w:val="nil"/>
              <w:bottom w:val="single" w:sz="4" w:space="0" w:color="auto"/>
              <w:right w:val="single" w:sz="4" w:space="0" w:color="auto"/>
            </w:tcBorders>
            <w:noWrap/>
            <w:vAlign w:val="center"/>
            <w:hideMark/>
          </w:tcPr>
          <w:p w14:paraId="1EBB1E4D"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Decision-tree</w:t>
            </w:r>
          </w:p>
        </w:tc>
        <w:tc>
          <w:tcPr>
            <w:tcW w:w="474" w:type="pct"/>
            <w:tcBorders>
              <w:top w:val="nil"/>
              <w:left w:val="nil"/>
              <w:bottom w:val="single" w:sz="4" w:space="0" w:color="auto"/>
              <w:right w:val="single" w:sz="4" w:space="0" w:color="auto"/>
            </w:tcBorders>
            <w:noWrap/>
            <w:vAlign w:val="center"/>
            <w:hideMark/>
          </w:tcPr>
          <w:p w14:paraId="0B8633F0"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US</w:t>
            </w:r>
          </w:p>
        </w:tc>
        <w:tc>
          <w:tcPr>
            <w:tcW w:w="2113" w:type="pct"/>
            <w:tcBorders>
              <w:top w:val="nil"/>
              <w:left w:val="nil"/>
              <w:bottom w:val="single" w:sz="4" w:space="0" w:color="auto"/>
              <w:right w:val="single" w:sz="4" w:space="0" w:color="auto"/>
            </w:tcBorders>
            <w:noWrap/>
            <w:vAlign w:val="center"/>
            <w:hideMark/>
          </w:tcPr>
          <w:p w14:paraId="36832800" w14:textId="42431B66" w:rsidR="00EE4AB5" w:rsidRPr="00EE4AB5" w:rsidRDefault="00EE4AB5" w:rsidP="00F652D0">
            <w:pPr>
              <w:spacing w:after="0" w:line="240" w:lineRule="auto"/>
              <w:rPr>
                <w:rFonts w:ascii="Calibri" w:eastAsia="Times New Roman" w:hAnsi="Calibri" w:cs="Calibri"/>
                <w:color w:val="000000"/>
                <w:sz w:val="16"/>
                <w:szCs w:val="16"/>
                <w:lang w:val="en-IE" w:eastAsia="en-IE"/>
              </w:rPr>
            </w:pPr>
          </w:p>
        </w:tc>
        <w:tc>
          <w:tcPr>
            <w:tcW w:w="526" w:type="pct"/>
            <w:tcBorders>
              <w:top w:val="nil"/>
              <w:left w:val="nil"/>
              <w:bottom w:val="single" w:sz="4" w:space="0" w:color="auto"/>
              <w:right w:val="single" w:sz="4" w:space="0" w:color="auto"/>
            </w:tcBorders>
            <w:noWrap/>
            <w:vAlign w:val="center"/>
            <w:hideMark/>
          </w:tcPr>
          <w:p w14:paraId="60A2491C"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Drug</w:t>
            </w:r>
          </w:p>
        </w:tc>
      </w:tr>
      <w:tr w:rsidR="004131F8" w:rsidRPr="004131F8" w14:paraId="5BB67B5B" w14:textId="77777777" w:rsidTr="004131F8">
        <w:trPr>
          <w:trHeight w:val="290"/>
        </w:trPr>
        <w:tc>
          <w:tcPr>
            <w:tcW w:w="648" w:type="pct"/>
            <w:tcBorders>
              <w:top w:val="nil"/>
              <w:left w:val="single" w:sz="4" w:space="0" w:color="auto"/>
              <w:bottom w:val="single" w:sz="4" w:space="0" w:color="auto"/>
              <w:right w:val="single" w:sz="4" w:space="0" w:color="auto"/>
            </w:tcBorders>
            <w:noWrap/>
            <w:vAlign w:val="center"/>
            <w:hideMark/>
          </w:tcPr>
          <w:p w14:paraId="233399C4"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Jacobsen 2019</w:t>
            </w:r>
          </w:p>
        </w:tc>
        <w:tc>
          <w:tcPr>
            <w:tcW w:w="300" w:type="pct"/>
            <w:tcBorders>
              <w:top w:val="nil"/>
              <w:left w:val="nil"/>
              <w:bottom w:val="single" w:sz="4" w:space="0" w:color="auto"/>
              <w:right w:val="single" w:sz="4" w:space="0" w:color="auto"/>
            </w:tcBorders>
            <w:noWrap/>
            <w:vAlign w:val="center"/>
            <w:hideMark/>
          </w:tcPr>
          <w:p w14:paraId="0D9EB9E4"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CEA</w:t>
            </w:r>
          </w:p>
        </w:tc>
        <w:tc>
          <w:tcPr>
            <w:tcW w:w="939" w:type="pct"/>
            <w:tcBorders>
              <w:top w:val="nil"/>
              <w:left w:val="nil"/>
              <w:bottom w:val="single" w:sz="4" w:space="0" w:color="auto"/>
              <w:right w:val="single" w:sz="4" w:space="0" w:color="auto"/>
            </w:tcBorders>
            <w:noWrap/>
            <w:vAlign w:val="center"/>
            <w:hideMark/>
          </w:tcPr>
          <w:p w14:paraId="1D4E1076"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w:t>
            </w:r>
          </w:p>
        </w:tc>
        <w:tc>
          <w:tcPr>
            <w:tcW w:w="474" w:type="pct"/>
            <w:tcBorders>
              <w:top w:val="nil"/>
              <w:left w:val="nil"/>
              <w:bottom w:val="single" w:sz="4" w:space="0" w:color="auto"/>
              <w:right w:val="single" w:sz="4" w:space="0" w:color="auto"/>
            </w:tcBorders>
            <w:noWrap/>
            <w:vAlign w:val="center"/>
            <w:hideMark/>
          </w:tcPr>
          <w:p w14:paraId="56DA2DEC"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UK</w:t>
            </w:r>
          </w:p>
        </w:tc>
        <w:tc>
          <w:tcPr>
            <w:tcW w:w="2113" w:type="pct"/>
            <w:tcBorders>
              <w:top w:val="nil"/>
              <w:left w:val="nil"/>
              <w:bottom w:val="single" w:sz="4" w:space="0" w:color="auto"/>
              <w:right w:val="single" w:sz="4" w:space="0" w:color="auto"/>
            </w:tcBorders>
            <w:noWrap/>
            <w:vAlign w:val="center"/>
            <w:hideMark/>
          </w:tcPr>
          <w:p w14:paraId="0B209346"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Severe obesity</w:t>
            </w:r>
          </w:p>
        </w:tc>
        <w:tc>
          <w:tcPr>
            <w:tcW w:w="526" w:type="pct"/>
            <w:tcBorders>
              <w:top w:val="nil"/>
              <w:left w:val="nil"/>
              <w:bottom w:val="single" w:sz="4" w:space="0" w:color="auto"/>
              <w:right w:val="single" w:sz="4" w:space="0" w:color="auto"/>
            </w:tcBorders>
            <w:noWrap/>
            <w:vAlign w:val="center"/>
            <w:hideMark/>
          </w:tcPr>
          <w:p w14:paraId="7BBEA46A"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Behavioural</w:t>
            </w:r>
          </w:p>
        </w:tc>
      </w:tr>
      <w:tr w:rsidR="004131F8" w:rsidRPr="004131F8" w14:paraId="4CEEE3F9" w14:textId="77777777" w:rsidTr="004131F8">
        <w:trPr>
          <w:trHeight w:val="290"/>
        </w:trPr>
        <w:tc>
          <w:tcPr>
            <w:tcW w:w="648" w:type="pct"/>
            <w:tcBorders>
              <w:top w:val="nil"/>
              <w:left w:val="single" w:sz="4" w:space="0" w:color="auto"/>
              <w:bottom w:val="single" w:sz="4" w:space="0" w:color="auto"/>
              <w:right w:val="single" w:sz="4" w:space="0" w:color="auto"/>
            </w:tcBorders>
            <w:noWrap/>
            <w:vAlign w:val="center"/>
            <w:hideMark/>
          </w:tcPr>
          <w:p w14:paraId="02A72DDA" w14:textId="1C5EFA83"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James 2017</w:t>
            </w:r>
            <w:r w:rsidR="00254B1C" w:rsidRPr="00254B1C">
              <w:rPr>
                <w:rFonts w:ascii="Calibri" w:eastAsia="Times New Roman" w:hAnsi="Calibri" w:cs="Calibri"/>
                <w:noProof/>
                <w:color w:val="000000"/>
                <w:sz w:val="16"/>
                <w:szCs w:val="16"/>
                <w:vertAlign w:val="superscript"/>
                <w:lang w:val="en-IE" w:eastAsia="en-IE"/>
              </w:rPr>
              <w:t>57</w:t>
            </w:r>
          </w:p>
        </w:tc>
        <w:tc>
          <w:tcPr>
            <w:tcW w:w="300" w:type="pct"/>
            <w:tcBorders>
              <w:top w:val="nil"/>
              <w:left w:val="nil"/>
              <w:bottom w:val="single" w:sz="4" w:space="0" w:color="auto"/>
              <w:right w:val="single" w:sz="4" w:space="0" w:color="auto"/>
            </w:tcBorders>
            <w:noWrap/>
            <w:vAlign w:val="center"/>
            <w:hideMark/>
          </w:tcPr>
          <w:p w14:paraId="6296A4DD"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CUA</w:t>
            </w:r>
          </w:p>
        </w:tc>
        <w:tc>
          <w:tcPr>
            <w:tcW w:w="939" w:type="pct"/>
            <w:tcBorders>
              <w:top w:val="nil"/>
              <w:left w:val="nil"/>
              <w:bottom w:val="single" w:sz="4" w:space="0" w:color="auto"/>
              <w:right w:val="single" w:sz="4" w:space="0" w:color="auto"/>
            </w:tcBorders>
            <w:noWrap/>
            <w:vAlign w:val="center"/>
            <w:hideMark/>
          </w:tcPr>
          <w:p w14:paraId="483F939F"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Markov</w:t>
            </w:r>
          </w:p>
        </w:tc>
        <w:tc>
          <w:tcPr>
            <w:tcW w:w="474" w:type="pct"/>
            <w:tcBorders>
              <w:top w:val="nil"/>
              <w:left w:val="nil"/>
              <w:bottom w:val="single" w:sz="4" w:space="0" w:color="auto"/>
              <w:right w:val="single" w:sz="4" w:space="0" w:color="auto"/>
            </w:tcBorders>
            <w:noWrap/>
            <w:vAlign w:val="center"/>
            <w:hideMark/>
          </w:tcPr>
          <w:p w14:paraId="4A0F035E"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Australia</w:t>
            </w:r>
          </w:p>
        </w:tc>
        <w:tc>
          <w:tcPr>
            <w:tcW w:w="2113" w:type="pct"/>
            <w:tcBorders>
              <w:top w:val="nil"/>
              <w:left w:val="nil"/>
              <w:bottom w:val="single" w:sz="4" w:space="0" w:color="auto"/>
              <w:right w:val="single" w:sz="4" w:space="0" w:color="auto"/>
            </w:tcBorders>
            <w:noWrap/>
            <w:vAlign w:val="center"/>
            <w:hideMark/>
          </w:tcPr>
          <w:p w14:paraId="3D01075D" w14:textId="551EB1E0" w:rsidR="00EE4AB5" w:rsidRPr="00EE4AB5" w:rsidRDefault="004131F8" w:rsidP="00F652D0">
            <w:pPr>
              <w:spacing w:after="0" w:line="240" w:lineRule="auto"/>
              <w:rPr>
                <w:rFonts w:ascii="Calibri" w:eastAsia="Times New Roman" w:hAnsi="Calibri" w:cs="Calibri"/>
                <w:color w:val="000000"/>
                <w:sz w:val="16"/>
                <w:szCs w:val="16"/>
                <w:lang w:val="en-IE" w:eastAsia="en-IE"/>
              </w:rPr>
            </w:pPr>
            <w:r w:rsidRPr="004131F8">
              <w:rPr>
                <w:rFonts w:ascii="Calibri" w:eastAsia="Times New Roman" w:hAnsi="Calibri" w:cs="Calibri"/>
                <w:color w:val="000000"/>
                <w:sz w:val="16"/>
                <w:szCs w:val="16"/>
                <w:lang w:val="en-IE" w:eastAsia="en-IE"/>
              </w:rPr>
              <w:t>C</w:t>
            </w:r>
            <w:r w:rsidR="00EE4AB5" w:rsidRPr="00EE4AB5">
              <w:rPr>
                <w:rFonts w:ascii="Calibri" w:eastAsia="Times New Roman" w:hAnsi="Calibri" w:cs="Calibri"/>
                <w:color w:val="000000"/>
                <w:sz w:val="16"/>
                <w:szCs w:val="16"/>
                <w:lang w:val="en-IE" w:eastAsia="en-IE"/>
              </w:rPr>
              <w:t>lass II and II obesity</w:t>
            </w:r>
          </w:p>
        </w:tc>
        <w:tc>
          <w:tcPr>
            <w:tcW w:w="526" w:type="pct"/>
            <w:tcBorders>
              <w:top w:val="nil"/>
              <w:left w:val="nil"/>
              <w:bottom w:val="single" w:sz="4" w:space="0" w:color="auto"/>
              <w:right w:val="single" w:sz="4" w:space="0" w:color="auto"/>
            </w:tcBorders>
            <w:noWrap/>
            <w:vAlign w:val="center"/>
            <w:hideMark/>
          </w:tcPr>
          <w:p w14:paraId="6B8448EF"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Surgery</w:t>
            </w:r>
          </w:p>
        </w:tc>
      </w:tr>
      <w:tr w:rsidR="004131F8" w:rsidRPr="004131F8" w14:paraId="1CD874E6" w14:textId="77777777" w:rsidTr="004131F8">
        <w:trPr>
          <w:trHeight w:val="290"/>
        </w:trPr>
        <w:tc>
          <w:tcPr>
            <w:tcW w:w="648" w:type="pct"/>
            <w:tcBorders>
              <w:top w:val="nil"/>
              <w:left w:val="single" w:sz="4" w:space="0" w:color="auto"/>
              <w:bottom w:val="single" w:sz="4" w:space="0" w:color="auto"/>
              <w:right w:val="single" w:sz="4" w:space="0" w:color="auto"/>
            </w:tcBorders>
            <w:noWrap/>
            <w:vAlign w:val="center"/>
            <w:hideMark/>
          </w:tcPr>
          <w:p w14:paraId="03AC97B6"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Jirapinyo 2018</w:t>
            </w:r>
          </w:p>
        </w:tc>
        <w:tc>
          <w:tcPr>
            <w:tcW w:w="300" w:type="pct"/>
            <w:tcBorders>
              <w:top w:val="nil"/>
              <w:left w:val="nil"/>
              <w:bottom w:val="single" w:sz="4" w:space="0" w:color="auto"/>
              <w:right w:val="single" w:sz="4" w:space="0" w:color="auto"/>
            </w:tcBorders>
            <w:noWrap/>
            <w:vAlign w:val="center"/>
            <w:hideMark/>
          </w:tcPr>
          <w:p w14:paraId="0F44C2D7"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CEA</w:t>
            </w:r>
          </w:p>
        </w:tc>
        <w:tc>
          <w:tcPr>
            <w:tcW w:w="939" w:type="pct"/>
            <w:tcBorders>
              <w:top w:val="nil"/>
              <w:left w:val="nil"/>
              <w:bottom w:val="single" w:sz="4" w:space="0" w:color="auto"/>
              <w:right w:val="single" w:sz="4" w:space="0" w:color="auto"/>
            </w:tcBorders>
            <w:noWrap/>
            <w:vAlign w:val="center"/>
            <w:hideMark/>
          </w:tcPr>
          <w:p w14:paraId="5BF35B8A"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decision analytic state-transition Monte Carlo microsimulation model</w:t>
            </w:r>
          </w:p>
        </w:tc>
        <w:tc>
          <w:tcPr>
            <w:tcW w:w="474" w:type="pct"/>
            <w:tcBorders>
              <w:top w:val="nil"/>
              <w:left w:val="nil"/>
              <w:bottom w:val="single" w:sz="4" w:space="0" w:color="auto"/>
              <w:right w:val="single" w:sz="4" w:space="0" w:color="auto"/>
            </w:tcBorders>
            <w:noWrap/>
            <w:vAlign w:val="center"/>
            <w:hideMark/>
          </w:tcPr>
          <w:p w14:paraId="220BA822"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US</w:t>
            </w:r>
          </w:p>
        </w:tc>
        <w:tc>
          <w:tcPr>
            <w:tcW w:w="2113" w:type="pct"/>
            <w:tcBorders>
              <w:top w:val="nil"/>
              <w:left w:val="nil"/>
              <w:bottom w:val="single" w:sz="4" w:space="0" w:color="auto"/>
              <w:right w:val="single" w:sz="4" w:space="0" w:color="auto"/>
            </w:tcBorders>
            <w:noWrap/>
            <w:vAlign w:val="center"/>
            <w:hideMark/>
          </w:tcPr>
          <w:p w14:paraId="343DE284" w14:textId="6CFB77BE" w:rsidR="00EE4AB5" w:rsidRPr="00EE4AB5" w:rsidRDefault="004131F8" w:rsidP="00F652D0">
            <w:pPr>
              <w:spacing w:after="0" w:line="240" w:lineRule="auto"/>
              <w:rPr>
                <w:rFonts w:ascii="Calibri" w:eastAsia="Times New Roman" w:hAnsi="Calibri" w:cs="Calibri"/>
                <w:color w:val="000000"/>
                <w:sz w:val="16"/>
                <w:szCs w:val="16"/>
                <w:lang w:val="en-IE" w:eastAsia="en-IE"/>
              </w:rPr>
            </w:pPr>
            <w:r w:rsidRPr="004131F8">
              <w:rPr>
                <w:rFonts w:ascii="Calibri" w:eastAsia="Times New Roman" w:hAnsi="Calibri" w:cs="Calibri"/>
                <w:color w:val="000000"/>
                <w:sz w:val="16"/>
                <w:szCs w:val="16"/>
                <w:lang w:val="en-IE" w:eastAsia="en-IE"/>
              </w:rPr>
              <w:t>U</w:t>
            </w:r>
            <w:r w:rsidR="00EE4AB5" w:rsidRPr="00EE4AB5">
              <w:rPr>
                <w:rFonts w:ascii="Calibri" w:eastAsia="Times New Roman" w:hAnsi="Calibri" w:cs="Calibri"/>
                <w:color w:val="000000"/>
                <w:sz w:val="16"/>
                <w:szCs w:val="16"/>
                <w:lang w:val="en-IE" w:eastAsia="en-IE"/>
              </w:rPr>
              <w:t>nclear (BMI of 32.5 kg/m2, probably the mean)</w:t>
            </w:r>
          </w:p>
        </w:tc>
        <w:tc>
          <w:tcPr>
            <w:tcW w:w="526" w:type="pct"/>
            <w:tcBorders>
              <w:top w:val="nil"/>
              <w:left w:val="nil"/>
              <w:bottom w:val="single" w:sz="4" w:space="0" w:color="auto"/>
              <w:right w:val="single" w:sz="4" w:space="0" w:color="auto"/>
            </w:tcBorders>
            <w:noWrap/>
            <w:vAlign w:val="center"/>
            <w:hideMark/>
          </w:tcPr>
          <w:p w14:paraId="4527A457"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Surgery</w:t>
            </w:r>
          </w:p>
        </w:tc>
      </w:tr>
      <w:tr w:rsidR="004131F8" w:rsidRPr="004131F8" w14:paraId="0E11D0C8" w14:textId="77777777" w:rsidTr="004131F8">
        <w:trPr>
          <w:trHeight w:val="290"/>
        </w:trPr>
        <w:tc>
          <w:tcPr>
            <w:tcW w:w="648" w:type="pct"/>
            <w:tcBorders>
              <w:top w:val="nil"/>
              <w:left w:val="single" w:sz="4" w:space="0" w:color="auto"/>
              <w:bottom w:val="single" w:sz="4" w:space="0" w:color="auto"/>
              <w:right w:val="single" w:sz="4" w:space="0" w:color="auto"/>
            </w:tcBorders>
            <w:noWrap/>
            <w:vAlign w:val="center"/>
            <w:hideMark/>
          </w:tcPr>
          <w:p w14:paraId="3709667C"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Jordan 2022</w:t>
            </w:r>
          </w:p>
        </w:tc>
        <w:tc>
          <w:tcPr>
            <w:tcW w:w="300" w:type="pct"/>
            <w:tcBorders>
              <w:top w:val="nil"/>
              <w:left w:val="nil"/>
              <w:bottom w:val="single" w:sz="4" w:space="0" w:color="auto"/>
              <w:right w:val="single" w:sz="4" w:space="0" w:color="auto"/>
            </w:tcBorders>
            <w:noWrap/>
            <w:vAlign w:val="center"/>
            <w:hideMark/>
          </w:tcPr>
          <w:p w14:paraId="7EAD6F18"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CUA</w:t>
            </w:r>
          </w:p>
        </w:tc>
        <w:tc>
          <w:tcPr>
            <w:tcW w:w="939" w:type="pct"/>
            <w:tcBorders>
              <w:top w:val="nil"/>
              <w:left w:val="nil"/>
              <w:bottom w:val="single" w:sz="4" w:space="0" w:color="auto"/>
              <w:right w:val="single" w:sz="4" w:space="0" w:color="auto"/>
            </w:tcBorders>
            <w:noWrap/>
            <w:vAlign w:val="center"/>
            <w:hideMark/>
          </w:tcPr>
          <w:p w14:paraId="5E8BF9EE"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Markov</w:t>
            </w:r>
          </w:p>
        </w:tc>
        <w:tc>
          <w:tcPr>
            <w:tcW w:w="474" w:type="pct"/>
            <w:tcBorders>
              <w:top w:val="nil"/>
              <w:left w:val="nil"/>
              <w:bottom w:val="single" w:sz="4" w:space="0" w:color="auto"/>
              <w:right w:val="single" w:sz="4" w:space="0" w:color="auto"/>
            </w:tcBorders>
            <w:noWrap/>
            <w:vAlign w:val="center"/>
            <w:hideMark/>
          </w:tcPr>
          <w:p w14:paraId="3B00165F"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Ireland</w:t>
            </w:r>
          </w:p>
        </w:tc>
        <w:tc>
          <w:tcPr>
            <w:tcW w:w="2113" w:type="pct"/>
            <w:tcBorders>
              <w:top w:val="nil"/>
              <w:left w:val="nil"/>
              <w:bottom w:val="single" w:sz="4" w:space="0" w:color="auto"/>
              <w:right w:val="single" w:sz="4" w:space="0" w:color="auto"/>
            </w:tcBorders>
            <w:noWrap/>
            <w:vAlign w:val="center"/>
            <w:hideMark/>
          </w:tcPr>
          <w:p w14:paraId="0D671E78" w14:textId="211D559E" w:rsidR="00EE4AB5" w:rsidRPr="00EE4AB5" w:rsidRDefault="004131F8" w:rsidP="00F652D0">
            <w:pPr>
              <w:spacing w:after="0" w:line="240" w:lineRule="auto"/>
              <w:rPr>
                <w:rFonts w:ascii="Calibri" w:eastAsia="Times New Roman" w:hAnsi="Calibri" w:cs="Calibri"/>
                <w:color w:val="000000"/>
                <w:sz w:val="16"/>
                <w:szCs w:val="16"/>
                <w:lang w:val="en-IE" w:eastAsia="en-IE"/>
              </w:rPr>
            </w:pPr>
            <w:r w:rsidRPr="004131F8">
              <w:rPr>
                <w:rFonts w:ascii="Calibri" w:eastAsia="Times New Roman" w:hAnsi="Calibri" w:cs="Calibri"/>
                <w:color w:val="000000"/>
                <w:sz w:val="16"/>
                <w:szCs w:val="16"/>
                <w:lang w:val="en-IE" w:eastAsia="en-IE"/>
              </w:rPr>
              <w:t>O</w:t>
            </w:r>
            <w:r w:rsidR="00EE4AB5" w:rsidRPr="00EE4AB5">
              <w:rPr>
                <w:rFonts w:ascii="Calibri" w:eastAsia="Times New Roman" w:hAnsi="Calibri" w:cs="Calibri"/>
                <w:color w:val="000000"/>
                <w:sz w:val="16"/>
                <w:szCs w:val="16"/>
                <w:lang w:val="en-IE" w:eastAsia="en-IE"/>
              </w:rPr>
              <w:t>bese</w:t>
            </w:r>
          </w:p>
        </w:tc>
        <w:tc>
          <w:tcPr>
            <w:tcW w:w="526" w:type="pct"/>
            <w:tcBorders>
              <w:top w:val="nil"/>
              <w:left w:val="nil"/>
              <w:bottom w:val="single" w:sz="4" w:space="0" w:color="auto"/>
              <w:right w:val="single" w:sz="4" w:space="0" w:color="auto"/>
            </w:tcBorders>
            <w:noWrap/>
            <w:vAlign w:val="center"/>
            <w:hideMark/>
          </w:tcPr>
          <w:p w14:paraId="4808A0E8"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Surgery</w:t>
            </w:r>
          </w:p>
        </w:tc>
      </w:tr>
      <w:tr w:rsidR="004131F8" w:rsidRPr="004131F8" w14:paraId="03D268C0" w14:textId="77777777" w:rsidTr="004131F8">
        <w:trPr>
          <w:trHeight w:val="290"/>
        </w:trPr>
        <w:tc>
          <w:tcPr>
            <w:tcW w:w="648" w:type="pct"/>
            <w:tcBorders>
              <w:top w:val="nil"/>
              <w:left w:val="single" w:sz="4" w:space="0" w:color="auto"/>
              <w:bottom w:val="single" w:sz="4" w:space="0" w:color="auto"/>
              <w:right w:val="single" w:sz="4" w:space="0" w:color="auto"/>
            </w:tcBorders>
            <w:noWrap/>
            <w:vAlign w:val="center"/>
            <w:hideMark/>
          </w:tcPr>
          <w:p w14:paraId="5C833CBB" w14:textId="1F739CE0"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Kelly, 2023</w:t>
            </w:r>
            <w:r w:rsidR="00254B1C" w:rsidRPr="00254B1C">
              <w:rPr>
                <w:rFonts w:ascii="Calibri" w:eastAsia="Times New Roman" w:hAnsi="Calibri" w:cs="Calibri"/>
                <w:noProof/>
                <w:color w:val="000000"/>
                <w:sz w:val="16"/>
                <w:szCs w:val="16"/>
                <w:vertAlign w:val="superscript"/>
                <w:lang w:val="en-IE" w:eastAsia="en-IE"/>
              </w:rPr>
              <w:t>58</w:t>
            </w:r>
          </w:p>
        </w:tc>
        <w:tc>
          <w:tcPr>
            <w:tcW w:w="300" w:type="pct"/>
            <w:tcBorders>
              <w:top w:val="nil"/>
              <w:left w:val="nil"/>
              <w:bottom w:val="single" w:sz="4" w:space="0" w:color="auto"/>
              <w:right w:val="single" w:sz="4" w:space="0" w:color="auto"/>
            </w:tcBorders>
            <w:noWrap/>
            <w:vAlign w:val="center"/>
            <w:hideMark/>
          </w:tcPr>
          <w:p w14:paraId="31BDB4FD"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CEA</w:t>
            </w:r>
          </w:p>
        </w:tc>
        <w:tc>
          <w:tcPr>
            <w:tcW w:w="939" w:type="pct"/>
            <w:tcBorders>
              <w:top w:val="nil"/>
              <w:left w:val="nil"/>
              <w:bottom w:val="single" w:sz="4" w:space="0" w:color="auto"/>
              <w:right w:val="single" w:sz="4" w:space="0" w:color="auto"/>
            </w:tcBorders>
            <w:noWrap/>
            <w:vAlign w:val="center"/>
            <w:hideMark/>
          </w:tcPr>
          <w:p w14:paraId="55D52CB2"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Markov</w:t>
            </w:r>
          </w:p>
        </w:tc>
        <w:tc>
          <w:tcPr>
            <w:tcW w:w="474" w:type="pct"/>
            <w:tcBorders>
              <w:top w:val="nil"/>
              <w:left w:val="nil"/>
              <w:bottom w:val="single" w:sz="4" w:space="0" w:color="auto"/>
              <w:right w:val="single" w:sz="4" w:space="0" w:color="auto"/>
            </w:tcBorders>
            <w:noWrap/>
            <w:vAlign w:val="center"/>
            <w:hideMark/>
          </w:tcPr>
          <w:p w14:paraId="6E2079E2"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England</w:t>
            </w:r>
          </w:p>
        </w:tc>
        <w:tc>
          <w:tcPr>
            <w:tcW w:w="2113" w:type="pct"/>
            <w:tcBorders>
              <w:top w:val="nil"/>
              <w:left w:val="nil"/>
              <w:bottom w:val="single" w:sz="4" w:space="0" w:color="auto"/>
              <w:right w:val="single" w:sz="4" w:space="0" w:color="auto"/>
            </w:tcBorders>
            <w:noWrap/>
            <w:vAlign w:val="center"/>
            <w:hideMark/>
          </w:tcPr>
          <w:p w14:paraId="6EF0CF68" w14:textId="72650969" w:rsidR="00EE4AB5" w:rsidRPr="00EE4AB5" w:rsidRDefault="004131F8" w:rsidP="00F652D0">
            <w:pPr>
              <w:spacing w:after="0" w:line="240" w:lineRule="auto"/>
              <w:rPr>
                <w:rFonts w:ascii="Calibri" w:eastAsia="Times New Roman" w:hAnsi="Calibri" w:cs="Calibri"/>
                <w:color w:val="000000"/>
                <w:sz w:val="16"/>
                <w:szCs w:val="16"/>
                <w:lang w:val="en-IE" w:eastAsia="en-IE"/>
              </w:rPr>
            </w:pPr>
            <w:r w:rsidRPr="004131F8">
              <w:rPr>
                <w:rFonts w:ascii="Calibri" w:eastAsia="Times New Roman" w:hAnsi="Calibri" w:cs="Calibri"/>
                <w:color w:val="000000"/>
                <w:sz w:val="16"/>
                <w:szCs w:val="16"/>
                <w:lang w:val="en-IE" w:eastAsia="en-IE"/>
              </w:rPr>
              <w:t>C</w:t>
            </w:r>
            <w:r w:rsidR="00EE4AB5" w:rsidRPr="00EE4AB5">
              <w:rPr>
                <w:rFonts w:ascii="Calibri" w:eastAsia="Times New Roman" w:hAnsi="Calibri" w:cs="Calibri"/>
                <w:color w:val="000000"/>
                <w:sz w:val="16"/>
                <w:szCs w:val="16"/>
                <w:lang w:val="en-IE" w:eastAsia="en-IE"/>
              </w:rPr>
              <w:t>lass II obesity</w:t>
            </w:r>
          </w:p>
        </w:tc>
        <w:tc>
          <w:tcPr>
            <w:tcW w:w="526" w:type="pct"/>
            <w:tcBorders>
              <w:top w:val="nil"/>
              <w:left w:val="nil"/>
              <w:bottom w:val="single" w:sz="4" w:space="0" w:color="auto"/>
              <w:right w:val="single" w:sz="4" w:space="0" w:color="auto"/>
            </w:tcBorders>
            <w:noWrap/>
            <w:vAlign w:val="center"/>
            <w:hideMark/>
          </w:tcPr>
          <w:p w14:paraId="2751AFCF"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Surgery</w:t>
            </w:r>
          </w:p>
        </w:tc>
      </w:tr>
      <w:tr w:rsidR="004131F8" w:rsidRPr="004131F8" w14:paraId="5ED29B93" w14:textId="77777777" w:rsidTr="004131F8">
        <w:trPr>
          <w:trHeight w:val="290"/>
        </w:trPr>
        <w:tc>
          <w:tcPr>
            <w:tcW w:w="648" w:type="pct"/>
            <w:tcBorders>
              <w:top w:val="nil"/>
              <w:left w:val="single" w:sz="4" w:space="0" w:color="auto"/>
              <w:bottom w:val="single" w:sz="4" w:space="0" w:color="auto"/>
              <w:right w:val="single" w:sz="4" w:space="0" w:color="auto"/>
            </w:tcBorders>
            <w:noWrap/>
            <w:vAlign w:val="center"/>
            <w:hideMark/>
          </w:tcPr>
          <w:p w14:paraId="3A094B57" w14:textId="5F9A0F23"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Kent, 2019</w:t>
            </w:r>
            <w:r w:rsidR="00254B1C" w:rsidRPr="00254B1C">
              <w:rPr>
                <w:rFonts w:ascii="Calibri" w:eastAsia="Times New Roman" w:hAnsi="Calibri" w:cs="Calibri"/>
                <w:noProof/>
                <w:color w:val="000000"/>
                <w:sz w:val="16"/>
                <w:szCs w:val="16"/>
                <w:vertAlign w:val="superscript"/>
                <w:lang w:val="en-IE" w:eastAsia="en-IE"/>
              </w:rPr>
              <w:t>59</w:t>
            </w:r>
          </w:p>
        </w:tc>
        <w:tc>
          <w:tcPr>
            <w:tcW w:w="300" w:type="pct"/>
            <w:tcBorders>
              <w:top w:val="nil"/>
              <w:left w:val="nil"/>
              <w:bottom w:val="single" w:sz="4" w:space="0" w:color="auto"/>
              <w:right w:val="single" w:sz="4" w:space="0" w:color="auto"/>
            </w:tcBorders>
            <w:noWrap/>
            <w:vAlign w:val="center"/>
            <w:hideMark/>
          </w:tcPr>
          <w:p w14:paraId="119C2E49"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CEA</w:t>
            </w:r>
          </w:p>
        </w:tc>
        <w:tc>
          <w:tcPr>
            <w:tcW w:w="939" w:type="pct"/>
            <w:tcBorders>
              <w:top w:val="nil"/>
              <w:left w:val="nil"/>
              <w:bottom w:val="single" w:sz="4" w:space="0" w:color="auto"/>
              <w:right w:val="single" w:sz="4" w:space="0" w:color="auto"/>
            </w:tcBorders>
            <w:noWrap/>
            <w:vAlign w:val="center"/>
            <w:hideMark/>
          </w:tcPr>
          <w:p w14:paraId="2FA86CA7"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w:t>
            </w:r>
          </w:p>
        </w:tc>
        <w:tc>
          <w:tcPr>
            <w:tcW w:w="474" w:type="pct"/>
            <w:tcBorders>
              <w:top w:val="nil"/>
              <w:left w:val="nil"/>
              <w:bottom w:val="single" w:sz="4" w:space="0" w:color="auto"/>
              <w:right w:val="single" w:sz="4" w:space="0" w:color="auto"/>
            </w:tcBorders>
            <w:noWrap/>
            <w:vAlign w:val="center"/>
            <w:hideMark/>
          </w:tcPr>
          <w:p w14:paraId="6B5D1D1B"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UK</w:t>
            </w:r>
          </w:p>
        </w:tc>
        <w:tc>
          <w:tcPr>
            <w:tcW w:w="2113" w:type="pct"/>
            <w:tcBorders>
              <w:top w:val="nil"/>
              <w:left w:val="nil"/>
              <w:bottom w:val="single" w:sz="4" w:space="0" w:color="auto"/>
              <w:right w:val="single" w:sz="4" w:space="0" w:color="auto"/>
            </w:tcBorders>
            <w:noWrap/>
            <w:vAlign w:val="center"/>
            <w:hideMark/>
          </w:tcPr>
          <w:p w14:paraId="6E3277DC" w14:textId="59853867" w:rsidR="00EE4AB5" w:rsidRPr="00EE4AB5" w:rsidRDefault="004131F8" w:rsidP="00F652D0">
            <w:pPr>
              <w:spacing w:after="0" w:line="240" w:lineRule="auto"/>
              <w:rPr>
                <w:rFonts w:ascii="Calibri" w:eastAsia="Times New Roman" w:hAnsi="Calibri" w:cs="Calibri"/>
                <w:color w:val="000000"/>
                <w:sz w:val="16"/>
                <w:szCs w:val="16"/>
                <w:lang w:val="en-IE" w:eastAsia="en-IE"/>
              </w:rPr>
            </w:pPr>
            <w:r w:rsidRPr="004131F8">
              <w:rPr>
                <w:rFonts w:ascii="Calibri" w:eastAsia="Times New Roman" w:hAnsi="Calibri" w:cs="Calibri"/>
                <w:color w:val="000000"/>
                <w:sz w:val="16"/>
                <w:szCs w:val="16"/>
                <w:lang w:val="en-IE" w:eastAsia="en-IE"/>
              </w:rPr>
              <w:t>O</w:t>
            </w:r>
            <w:r w:rsidR="00EE4AB5" w:rsidRPr="00EE4AB5">
              <w:rPr>
                <w:rFonts w:ascii="Calibri" w:eastAsia="Times New Roman" w:hAnsi="Calibri" w:cs="Calibri"/>
                <w:color w:val="000000"/>
                <w:sz w:val="16"/>
                <w:szCs w:val="16"/>
                <w:lang w:val="en-IE" w:eastAsia="en-IE"/>
              </w:rPr>
              <w:t>bese</w:t>
            </w:r>
          </w:p>
        </w:tc>
        <w:tc>
          <w:tcPr>
            <w:tcW w:w="526" w:type="pct"/>
            <w:tcBorders>
              <w:top w:val="nil"/>
              <w:left w:val="nil"/>
              <w:bottom w:val="single" w:sz="4" w:space="0" w:color="auto"/>
              <w:right w:val="single" w:sz="4" w:space="0" w:color="auto"/>
            </w:tcBorders>
            <w:noWrap/>
            <w:vAlign w:val="center"/>
            <w:hideMark/>
          </w:tcPr>
          <w:p w14:paraId="212D3839"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behavioural</w:t>
            </w:r>
          </w:p>
        </w:tc>
      </w:tr>
      <w:tr w:rsidR="004131F8" w:rsidRPr="004131F8" w14:paraId="5877A2B9" w14:textId="77777777" w:rsidTr="004131F8">
        <w:trPr>
          <w:trHeight w:val="290"/>
        </w:trPr>
        <w:tc>
          <w:tcPr>
            <w:tcW w:w="648" w:type="pct"/>
            <w:tcBorders>
              <w:top w:val="nil"/>
              <w:left w:val="single" w:sz="4" w:space="0" w:color="auto"/>
              <w:bottom w:val="single" w:sz="4" w:space="0" w:color="auto"/>
              <w:right w:val="single" w:sz="4" w:space="0" w:color="auto"/>
            </w:tcBorders>
            <w:noWrap/>
            <w:vAlign w:val="center"/>
            <w:hideMark/>
          </w:tcPr>
          <w:p w14:paraId="50A7516F" w14:textId="5B44B052"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Kostic 2023a</w:t>
            </w:r>
            <w:r w:rsidR="00254B1C" w:rsidRPr="00254B1C">
              <w:rPr>
                <w:rFonts w:ascii="Calibri" w:eastAsia="Times New Roman" w:hAnsi="Calibri" w:cs="Calibri"/>
                <w:noProof/>
                <w:color w:val="000000"/>
                <w:sz w:val="16"/>
                <w:szCs w:val="16"/>
                <w:vertAlign w:val="superscript"/>
                <w:lang w:val="en-IE" w:eastAsia="en-IE"/>
              </w:rPr>
              <w:t>60</w:t>
            </w:r>
          </w:p>
        </w:tc>
        <w:tc>
          <w:tcPr>
            <w:tcW w:w="300" w:type="pct"/>
            <w:tcBorders>
              <w:top w:val="nil"/>
              <w:left w:val="nil"/>
              <w:bottom w:val="single" w:sz="4" w:space="0" w:color="auto"/>
              <w:right w:val="single" w:sz="4" w:space="0" w:color="auto"/>
            </w:tcBorders>
            <w:noWrap/>
            <w:vAlign w:val="center"/>
            <w:hideMark/>
          </w:tcPr>
          <w:p w14:paraId="3DEBF2E8"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CEA</w:t>
            </w:r>
          </w:p>
        </w:tc>
        <w:tc>
          <w:tcPr>
            <w:tcW w:w="939" w:type="pct"/>
            <w:tcBorders>
              <w:top w:val="nil"/>
              <w:left w:val="nil"/>
              <w:bottom w:val="single" w:sz="4" w:space="0" w:color="auto"/>
              <w:right w:val="single" w:sz="4" w:space="0" w:color="auto"/>
            </w:tcBorders>
            <w:noWrap/>
            <w:vAlign w:val="center"/>
            <w:hideMark/>
          </w:tcPr>
          <w:p w14:paraId="1FD2711F"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 xml:space="preserve">state transition Monte Carlo computer simulation model </w:t>
            </w:r>
          </w:p>
        </w:tc>
        <w:tc>
          <w:tcPr>
            <w:tcW w:w="474" w:type="pct"/>
            <w:tcBorders>
              <w:top w:val="nil"/>
              <w:left w:val="nil"/>
              <w:bottom w:val="single" w:sz="4" w:space="0" w:color="auto"/>
              <w:right w:val="single" w:sz="4" w:space="0" w:color="auto"/>
            </w:tcBorders>
            <w:noWrap/>
            <w:vAlign w:val="center"/>
            <w:hideMark/>
          </w:tcPr>
          <w:p w14:paraId="674A66A2"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US</w:t>
            </w:r>
          </w:p>
        </w:tc>
        <w:tc>
          <w:tcPr>
            <w:tcW w:w="2113" w:type="pct"/>
            <w:tcBorders>
              <w:top w:val="nil"/>
              <w:left w:val="nil"/>
              <w:bottom w:val="single" w:sz="4" w:space="0" w:color="auto"/>
              <w:right w:val="single" w:sz="4" w:space="0" w:color="auto"/>
            </w:tcBorders>
            <w:noWrap/>
            <w:vAlign w:val="center"/>
            <w:hideMark/>
          </w:tcPr>
          <w:p w14:paraId="2C5053C8" w14:textId="16D5E81A" w:rsidR="00EE4AB5" w:rsidRPr="00EE4AB5" w:rsidRDefault="004131F8" w:rsidP="00F652D0">
            <w:pPr>
              <w:spacing w:after="0" w:line="240" w:lineRule="auto"/>
              <w:rPr>
                <w:rFonts w:ascii="Calibri" w:eastAsia="Times New Roman" w:hAnsi="Calibri" w:cs="Calibri"/>
                <w:color w:val="000000"/>
                <w:sz w:val="16"/>
                <w:szCs w:val="16"/>
                <w:lang w:val="en-IE" w:eastAsia="en-IE"/>
              </w:rPr>
            </w:pPr>
            <w:r w:rsidRPr="004131F8">
              <w:rPr>
                <w:rFonts w:ascii="Calibri" w:eastAsia="Times New Roman" w:hAnsi="Calibri" w:cs="Calibri"/>
                <w:color w:val="000000"/>
                <w:sz w:val="16"/>
                <w:szCs w:val="16"/>
                <w:lang w:val="en-IE" w:eastAsia="en-IE"/>
              </w:rPr>
              <w:t>C</w:t>
            </w:r>
            <w:r w:rsidR="00EE4AB5" w:rsidRPr="00EE4AB5">
              <w:rPr>
                <w:rFonts w:ascii="Calibri" w:eastAsia="Times New Roman" w:hAnsi="Calibri" w:cs="Calibri"/>
                <w:color w:val="000000"/>
                <w:sz w:val="16"/>
                <w:szCs w:val="16"/>
                <w:lang w:val="en-IE" w:eastAsia="en-IE"/>
              </w:rPr>
              <w:t>lass II obesity</w:t>
            </w:r>
          </w:p>
        </w:tc>
        <w:tc>
          <w:tcPr>
            <w:tcW w:w="526" w:type="pct"/>
            <w:tcBorders>
              <w:top w:val="nil"/>
              <w:left w:val="nil"/>
              <w:bottom w:val="single" w:sz="4" w:space="0" w:color="auto"/>
              <w:right w:val="single" w:sz="4" w:space="0" w:color="auto"/>
            </w:tcBorders>
            <w:noWrap/>
            <w:vAlign w:val="center"/>
            <w:hideMark/>
          </w:tcPr>
          <w:p w14:paraId="20AAEDF5"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Surgery</w:t>
            </w:r>
          </w:p>
        </w:tc>
      </w:tr>
      <w:tr w:rsidR="004131F8" w:rsidRPr="004131F8" w14:paraId="23C1C45F" w14:textId="77777777" w:rsidTr="004131F8">
        <w:trPr>
          <w:trHeight w:val="290"/>
        </w:trPr>
        <w:tc>
          <w:tcPr>
            <w:tcW w:w="648" w:type="pct"/>
            <w:tcBorders>
              <w:top w:val="nil"/>
              <w:left w:val="single" w:sz="4" w:space="0" w:color="auto"/>
              <w:bottom w:val="single" w:sz="4" w:space="0" w:color="auto"/>
              <w:right w:val="single" w:sz="4" w:space="0" w:color="auto"/>
            </w:tcBorders>
            <w:noWrap/>
            <w:vAlign w:val="center"/>
            <w:hideMark/>
          </w:tcPr>
          <w:p w14:paraId="00AA816E" w14:textId="6363A80E"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Kostic 2023b</w:t>
            </w:r>
            <w:r w:rsidR="00254B1C" w:rsidRPr="00254B1C">
              <w:rPr>
                <w:rFonts w:ascii="Calibri" w:eastAsia="Times New Roman" w:hAnsi="Calibri" w:cs="Calibri"/>
                <w:noProof/>
                <w:color w:val="000000"/>
                <w:sz w:val="16"/>
                <w:szCs w:val="16"/>
                <w:vertAlign w:val="superscript"/>
                <w:lang w:val="en-IE" w:eastAsia="en-IE"/>
              </w:rPr>
              <w:t>61</w:t>
            </w:r>
          </w:p>
        </w:tc>
        <w:tc>
          <w:tcPr>
            <w:tcW w:w="300" w:type="pct"/>
            <w:tcBorders>
              <w:top w:val="nil"/>
              <w:left w:val="nil"/>
              <w:bottom w:val="single" w:sz="4" w:space="0" w:color="auto"/>
              <w:right w:val="single" w:sz="4" w:space="0" w:color="auto"/>
            </w:tcBorders>
            <w:noWrap/>
            <w:vAlign w:val="center"/>
            <w:hideMark/>
          </w:tcPr>
          <w:p w14:paraId="283413DB"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CEA</w:t>
            </w:r>
          </w:p>
        </w:tc>
        <w:tc>
          <w:tcPr>
            <w:tcW w:w="939" w:type="pct"/>
            <w:tcBorders>
              <w:top w:val="nil"/>
              <w:left w:val="nil"/>
              <w:bottom w:val="single" w:sz="4" w:space="0" w:color="auto"/>
              <w:right w:val="single" w:sz="4" w:space="0" w:color="auto"/>
            </w:tcBorders>
            <w:noWrap/>
            <w:vAlign w:val="center"/>
            <w:hideMark/>
          </w:tcPr>
          <w:p w14:paraId="70EA898E"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 xml:space="preserve">state transition Monte Carlo computer simulation model </w:t>
            </w:r>
          </w:p>
        </w:tc>
        <w:tc>
          <w:tcPr>
            <w:tcW w:w="474" w:type="pct"/>
            <w:tcBorders>
              <w:top w:val="nil"/>
              <w:left w:val="nil"/>
              <w:bottom w:val="single" w:sz="4" w:space="0" w:color="auto"/>
              <w:right w:val="single" w:sz="4" w:space="0" w:color="auto"/>
            </w:tcBorders>
            <w:noWrap/>
            <w:vAlign w:val="center"/>
            <w:hideMark/>
          </w:tcPr>
          <w:p w14:paraId="70ABFF7C"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 </w:t>
            </w:r>
          </w:p>
        </w:tc>
        <w:tc>
          <w:tcPr>
            <w:tcW w:w="2113" w:type="pct"/>
            <w:tcBorders>
              <w:top w:val="nil"/>
              <w:left w:val="nil"/>
              <w:bottom w:val="single" w:sz="4" w:space="0" w:color="auto"/>
              <w:right w:val="single" w:sz="4" w:space="0" w:color="auto"/>
            </w:tcBorders>
            <w:noWrap/>
            <w:vAlign w:val="center"/>
            <w:hideMark/>
          </w:tcPr>
          <w:p w14:paraId="11753A0D" w14:textId="5CBA0499" w:rsidR="00EE4AB5" w:rsidRPr="00EE4AB5" w:rsidRDefault="004131F8" w:rsidP="00F652D0">
            <w:pPr>
              <w:spacing w:after="0" w:line="240" w:lineRule="auto"/>
              <w:rPr>
                <w:rFonts w:ascii="Calibri" w:eastAsia="Times New Roman" w:hAnsi="Calibri" w:cs="Calibri"/>
                <w:color w:val="000000"/>
                <w:sz w:val="16"/>
                <w:szCs w:val="16"/>
                <w:lang w:val="en-IE" w:eastAsia="en-IE"/>
              </w:rPr>
            </w:pPr>
            <w:r w:rsidRPr="004131F8">
              <w:rPr>
                <w:rFonts w:ascii="Calibri" w:eastAsia="Times New Roman" w:hAnsi="Calibri" w:cs="Calibri"/>
                <w:color w:val="000000"/>
                <w:sz w:val="16"/>
                <w:szCs w:val="16"/>
                <w:lang w:val="en-IE" w:eastAsia="en-IE"/>
              </w:rPr>
              <w:t>C</w:t>
            </w:r>
            <w:r w:rsidR="00EE4AB5" w:rsidRPr="00EE4AB5">
              <w:rPr>
                <w:rFonts w:ascii="Calibri" w:eastAsia="Times New Roman" w:hAnsi="Calibri" w:cs="Calibri"/>
                <w:color w:val="000000"/>
                <w:sz w:val="16"/>
                <w:szCs w:val="16"/>
                <w:lang w:val="en-IE" w:eastAsia="en-IE"/>
              </w:rPr>
              <w:t>lass III obesity</w:t>
            </w:r>
          </w:p>
        </w:tc>
        <w:tc>
          <w:tcPr>
            <w:tcW w:w="526" w:type="pct"/>
            <w:tcBorders>
              <w:top w:val="nil"/>
              <w:left w:val="nil"/>
              <w:bottom w:val="single" w:sz="4" w:space="0" w:color="auto"/>
              <w:right w:val="single" w:sz="4" w:space="0" w:color="auto"/>
            </w:tcBorders>
            <w:noWrap/>
            <w:vAlign w:val="center"/>
            <w:hideMark/>
          </w:tcPr>
          <w:p w14:paraId="5940BDE4"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Surgery</w:t>
            </w:r>
          </w:p>
        </w:tc>
      </w:tr>
      <w:tr w:rsidR="004131F8" w:rsidRPr="004131F8" w14:paraId="1D78DD23" w14:textId="77777777" w:rsidTr="004131F8">
        <w:trPr>
          <w:trHeight w:val="290"/>
        </w:trPr>
        <w:tc>
          <w:tcPr>
            <w:tcW w:w="648" w:type="pct"/>
            <w:tcBorders>
              <w:top w:val="nil"/>
              <w:left w:val="single" w:sz="4" w:space="0" w:color="auto"/>
              <w:bottom w:val="single" w:sz="4" w:space="0" w:color="auto"/>
              <w:right w:val="single" w:sz="4" w:space="0" w:color="auto"/>
            </w:tcBorders>
            <w:noWrap/>
            <w:vAlign w:val="center"/>
            <w:hideMark/>
          </w:tcPr>
          <w:p w14:paraId="5B97439B"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Kostic 2021</w:t>
            </w:r>
          </w:p>
        </w:tc>
        <w:tc>
          <w:tcPr>
            <w:tcW w:w="300" w:type="pct"/>
            <w:tcBorders>
              <w:top w:val="nil"/>
              <w:left w:val="nil"/>
              <w:bottom w:val="single" w:sz="4" w:space="0" w:color="auto"/>
              <w:right w:val="single" w:sz="4" w:space="0" w:color="auto"/>
            </w:tcBorders>
            <w:noWrap/>
            <w:vAlign w:val="center"/>
            <w:hideMark/>
          </w:tcPr>
          <w:p w14:paraId="55097C01"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CEA</w:t>
            </w:r>
          </w:p>
        </w:tc>
        <w:tc>
          <w:tcPr>
            <w:tcW w:w="939" w:type="pct"/>
            <w:tcBorders>
              <w:top w:val="nil"/>
              <w:left w:val="nil"/>
              <w:bottom w:val="single" w:sz="4" w:space="0" w:color="auto"/>
              <w:right w:val="single" w:sz="4" w:space="0" w:color="auto"/>
            </w:tcBorders>
            <w:noWrap/>
            <w:vAlign w:val="center"/>
            <w:hideMark/>
          </w:tcPr>
          <w:p w14:paraId="67E72560"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microsimulation</w:t>
            </w:r>
          </w:p>
        </w:tc>
        <w:tc>
          <w:tcPr>
            <w:tcW w:w="474" w:type="pct"/>
            <w:tcBorders>
              <w:top w:val="nil"/>
              <w:left w:val="nil"/>
              <w:bottom w:val="single" w:sz="4" w:space="0" w:color="auto"/>
              <w:right w:val="single" w:sz="4" w:space="0" w:color="auto"/>
            </w:tcBorders>
            <w:noWrap/>
            <w:vAlign w:val="center"/>
            <w:hideMark/>
          </w:tcPr>
          <w:p w14:paraId="2991CD1C"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US</w:t>
            </w:r>
          </w:p>
        </w:tc>
        <w:tc>
          <w:tcPr>
            <w:tcW w:w="2113" w:type="pct"/>
            <w:tcBorders>
              <w:top w:val="nil"/>
              <w:left w:val="nil"/>
              <w:bottom w:val="single" w:sz="4" w:space="0" w:color="auto"/>
              <w:right w:val="single" w:sz="4" w:space="0" w:color="auto"/>
            </w:tcBorders>
            <w:noWrap/>
            <w:vAlign w:val="center"/>
            <w:hideMark/>
          </w:tcPr>
          <w:p w14:paraId="597680F7" w14:textId="6822B353" w:rsidR="00EE4AB5" w:rsidRPr="00EE4AB5" w:rsidRDefault="004131F8" w:rsidP="00F652D0">
            <w:pPr>
              <w:spacing w:after="0" w:line="240" w:lineRule="auto"/>
              <w:rPr>
                <w:rFonts w:ascii="Calibri" w:eastAsia="Times New Roman" w:hAnsi="Calibri" w:cs="Calibri"/>
                <w:color w:val="000000"/>
                <w:sz w:val="16"/>
                <w:szCs w:val="16"/>
                <w:lang w:val="en-IE" w:eastAsia="en-IE"/>
              </w:rPr>
            </w:pPr>
            <w:r w:rsidRPr="004131F8">
              <w:rPr>
                <w:rFonts w:ascii="Calibri" w:eastAsia="Times New Roman" w:hAnsi="Calibri" w:cs="Calibri"/>
                <w:color w:val="000000"/>
                <w:sz w:val="16"/>
                <w:szCs w:val="16"/>
                <w:lang w:val="en-IE" w:eastAsia="en-IE"/>
              </w:rPr>
              <w:t>C</w:t>
            </w:r>
            <w:r w:rsidR="00EE4AB5" w:rsidRPr="00EE4AB5">
              <w:rPr>
                <w:rFonts w:ascii="Calibri" w:eastAsia="Times New Roman" w:hAnsi="Calibri" w:cs="Calibri"/>
                <w:color w:val="000000"/>
                <w:sz w:val="16"/>
                <w:szCs w:val="16"/>
                <w:lang w:val="en-IE" w:eastAsia="en-IE"/>
              </w:rPr>
              <w:t>lass III obesity</w:t>
            </w:r>
          </w:p>
        </w:tc>
        <w:tc>
          <w:tcPr>
            <w:tcW w:w="526" w:type="pct"/>
            <w:tcBorders>
              <w:top w:val="nil"/>
              <w:left w:val="nil"/>
              <w:bottom w:val="single" w:sz="4" w:space="0" w:color="auto"/>
              <w:right w:val="single" w:sz="4" w:space="0" w:color="auto"/>
            </w:tcBorders>
            <w:noWrap/>
            <w:vAlign w:val="center"/>
            <w:hideMark/>
          </w:tcPr>
          <w:p w14:paraId="323E5CBF"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Surgery</w:t>
            </w:r>
          </w:p>
        </w:tc>
      </w:tr>
      <w:tr w:rsidR="004131F8" w:rsidRPr="004131F8" w14:paraId="4FFAED8B" w14:textId="77777777" w:rsidTr="004131F8">
        <w:trPr>
          <w:trHeight w:val="290"/>
        </w:trPr>
        <w:tc>
          <w:tcPr>
            <w:tcW w:w="648" w:type="pct"/>
            <w:tcBorders>
              <w:top w:val="nil"/>
              <w:left w:val="single" w:sz="4" w:space="0" w:color="auto"/>
              <w:bottom w:val="single" w:sz="4" w:space="0" w:color="auto"/>
              <w:right w:val="single" w:sz="4" w:space="0" w:color="auto"/>
            </w:tcBorders>
            <w:noWrap/>
            <w:vAlign w:val="center"/>
            <w:hideMark/>
          </w:tcPr>
          <w:p w14:paraId="40C841B6" w14:textId="1B2F12B3"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Kovacs 2023</w:t>
            </w:r>
            <w:r w:rsidR="00254B1C" w:rsidRPr="00254B1C">
              <w:rPr>
                <w:rFonts w:ascii="Calibri" w:eastAsia="Times New Roman" w:hAnsi="Calibri" w:cs="Calibri"/>
                <w:noProof/>
                <w:color w:val="000000"/>
                <w:sz w:val="16"/>
                <w:szCs w:val="16"/>
                <w:vertAlign w:val="superscript"/>
                <w:lang w:val="en-IE" w:eastAsia="en-IE"/>
              </w:rPr>
              <w:t>62</w:t>
            </w:r>
          </w:p>
        </w:tc>
        <w:tc>
          <w:tcPr>
            <w:tcW w:w="300" w:type="pct"/>
            <w:tcBorders>
              <w:top w:val="nil"/>
              <w:left w:val="nil"/>
              <w:bottom w:val="single" w:sz="4" w:space="0" w:color="auto"/>
              <w:right w:val="single" w:sz="4" w:space="0" w:color="auto"/>
            </w:tcBorders>
            <w:noWrap/>
            <w:vAlign w:val="center"/>
            <w:hideMark/>
          </w:tcPr>
          <w:p w14:paraId="5D8DAD38"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CUA</w:t>
            </w:r>
          </w:p>
        </w:tc>
        <w:tc>
          <w:tcPr>
            <w:tcW w:w="939" w:type="pct"/>
            <w:tcBorders>
              <w:top w:val="nil"/>
              <w:left w:val="nil"/>
              <w:bottom w:val="single" w:sz="4" w:space="0" w:color="auto"/>
              <w:right w:val="single" w:sz="4" w:space="0" w:color="auto"/>
            </w:tcBorders>
            <w:noWrap/>
            <w:vAlign w:val="center"/>
            <w:hideMark/>
          </w:tcPr>
          <w:p w14:paraId="1F3B2FD6"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Markov (with patient-level simulation)</w:t>
            </w:r>
          </w:p>
        </w:tc>
        <w:tc>
          <w:tcPr>
            <w:tcW w:w="474" w:type="pct"/>
            <w:tcBorders>
              <w:top w:val="nil"/>
              <w:left w:val="nil"/>
              <w:bottom w:val="single" w:sz="4" w:space="0" w:color="auto"/>
              <w:right w:val="single" w:sz="4" w:space="0" w:color="auto"/>
            </w:tcBorders>
            <w:noWrap/>
            <w:vAlign w:val="center"/>
            <w:hideMark/>
          </w:tcPr>
          <w:p w14:paraId="3CA6ED33"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Hungary</w:t>
            </w:r>
          </w:p>
        </w:tc>
        <w:tc>
          <w:tcPr>
            <w:tcW w:w="2113" w:type="pct"/>
            <w:tcBorders>
              <w:top w:val="nil"/>
              <w:left w:val="nil"/>
              <w:bottom w:val="single" w:sz="4" w:space="0" w:color="auto"/>
              <w:right w:val="single" w:sz="4" w:space="0" w:color="auto"/>
            </w:tcBorders>
            <w:noWrap/>
            <w:vAlign w:val="center"/>
            <w:hideMark/>
          </w:tcPr>
          <w:p w14:paraId="6AE689CD"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Obese</w:t>
            </w:r>
          </w:p>
        </w:tc>
        <w:tc>
          <w:tcPr>
            <w:tcW w:w="526" w:type="pct"/>
            <w:tcBorders>
              <w:top w:val="nil"/>
              <w:left w:val="nil"/>
              <w:bottom w:val="single" w:sz="4" w:space="0" w:color="auto"/>
              <w:right w:val="single" w:sz="4" w:space="0" w:color="auto"/>
            </w:tcBorders>
            <w:noWrap/>
            <w:vAlign w:val="center"/>
            <w:hideMark/>
          </w:tcPr>
          <w:p w14:paraId="29417A3B"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Surgery</w:t>
            </w:r>
          </w:p>
        </w:tc>
      </w:tr>
      <w:tr w:rsidR="004131F8" w:rsidRPr="004131F8" w14:paraId="30C82873" w14:textId="77777777" w:rsidTr="004131F8">
        <w:trPr>
          <w:trHeight w:val="290"/>
        </w:trPr>
        <w:tc>
          <w:tcPr>
            <w:tcW w:w="648" w:type="pct"/>
            <w:tcBorders>
              <w:top w:val="nil"/>
              <w:left w:val="single" w:sz="4" w:space="0" w:color="auto"/>
              <w:bottom w:val="single" w:sz="4" w:space="0" w:color="auto"/>
              <w:right w:val="single" w:sz="4" w:space="0" w:color="auto"/>
            </w:tcBorders>
            <w:noWrap/>
            <w:vAlign w:val="center"/>
            <w:hideMark/>
          </w:tcPr>
          <w:p w14:paraId="6877CB9B" w14:textId="0AC75CDA"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Lauren 2021</w:t>
            </w:r>
            <w:r w:rsidR="00254B1C" w:rsidRPr="00254B1C">
              <w:rPr>
                <w:rFonts w:ascii="Calibri" w:eastAsia="Times New Roman" w:hAnsi="Calibri" w:cs="Calibri"/>
                <w:noProof/>
                <w:color w:val="000000"/>
                <w:sz w:val="16"/>
                <w:szCs w:val="16"/>
                <w:vertAlign w:val="superscript"/>
                <w:lang w:val="en-IE" w:eastAsia="en-IE"/>
              </w:rPr>
              <w:t>63</w:t>
            </w:r>
          </w:p>
        </w:tc>
        <w:tc>
          <w:tcPr>
            <w:tcW w:w="300" w:type="pct"/>
            <w:tcBorders>
              <w:top w:val="nil"/>
              <w:left w:val="nil"/>
              <w:bottom w:val="single" w:sz="4" w:space="0" w:color="auto"/>
              <w:right w:val="single" w:sz="4" w:space="0" w:color="auto"/>
            </w:tcBorders>
            <w:noWrap/>
            <w:vAlign w:val="center"/>
            <w:hideMark/>
          </w:tcPr>
          <w:p w14:paraId="56CAD88B"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CUA</w:t>
            </w:r>
          </w:p>
        </w:tc>
        <w:tc>
          <w:tcPr>
            <w:tcW w:w="939" w:type="pct"/>
            <w:tcBorders>
              <w:top w:val="nil"/>
              <w:left w:val="nil"/>
              <w:bottom w:val="single" w:sz="4" w:space="0" w:color="auto"/>
              <w:right w:val="single" w:sz="4" w:space="0" w:color="auto"/>
            </w:tcBorders>
            <w:noWrap/>
            <w:vAlign w:val="center"/>
            <w:hideMark/>
          </w:tcPr>
          <w:p w14:paraId="3EE2212A"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Microsimulation</w:t>
            </w:r>
          </w:p>
        </w:tc>
        <w:tc>
          <w:tcPr>
            <w:tcW w:w="474" w:type="pct"/>
            <w:tcBorders>
              <w:top w:val="nil"/>
              <w:left w:val="nil"/>
              <w:bottom w:val="single" w:sz="4" w:space="0" w:color="auto"/>
              <w:right w:val="single" w:sz="4" w:space="0" w:color="auto"/>
            </w:tcBorders>
            <w:noWrap/>
            <w:vAlign w:val="center"/>
            <w:hideMark/>
          </w:tcPr>
          <w:p w14:paraId="041F2BD7"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US</w:t>
            </w:r>
          </w:p>
        </w:tc>
        <w:tc>
          <w:tcPr>
            <w:tcW w:w="2113" w:type="pct"/>
            <w:tcBorders>
              <w:top w:val="nil"/>
              <w:left w:val="nil"/>
              <w:bottom w:val="single" w:sz="4" w:space="0" w:color="auto"/>
              <w:right w:val="single" w:sz="4" w:space="0" w:color="auto"/>
            </w:tcBorders>
            <w:noWrap/>
            <w:vAlign w:val="center"/>
            <w:hideMark/>
          </w:tcPr>
          <w:p w14:paraId="3AE199F1" w14:textId="01090A51"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 xml:space="preserve">Severe </w:t>
            </w:r>
            <w:r w:rsidR="004131F8" w:rsidRPr="004131F8">
              <w:rPr>
                <w:rFonts w:ascii="Calibri" w:eastAsia="Times New Roman" w:hAnsi="Calibri" w:cs="Calibri"/>
                <w:color w:val="000000"/>
                <w:sz w:val="16"/>
                <w:szCs w:val="16"/>
                <w:lang w:val="en-IE" w:eastAsia="en-IE"/>
              </w:rPr>
              <w:t>obesity</w:t>
            </w:r>
          </w:p>
        </w:tc>
        <w:tc>
          <w:tcPr>
            <w:tcW w:w="526" w:type="pct"/>
            <w:tcBorders>
              <w:top w:val="nil"/>
              <w:left w:val="nil"/>
              <w:bottom w:val="single" w:sz="4" w:space="0" w:color="auto"/>
              <w:right w:val="single" w:sz="4" w:space="0" w:color="auto"/>
            </w:tcBorders>
            <w:noWrap/>
            <w:vAlign w:val="center"/>
            <w:hideMark/>
          </w:tcPr>
          <w:p w14:paraId="7BDB8D49"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Surgery</w:t>
            </w:r>
          </w:p>
        </w:tc>
      </w:tr>
      <w:tr w:rsidR="004131F8" w:rsidRPr="004131F8" w14:paraId="16DD9512" w14:textId="77777777" w:rsidTr="004131F8">
        <w:trPr>
          <w:trHeight w:val="290"/>
        </w:trPr>
        <w:tc>
          <w:tcPr>
            <w:tcW w:w="648" w:type="pct"/>
            <w:tcBorders>
              <w:top w:val="nil"/>
              <w:left w:val="single" w:sz="4" w:space="0" w:color="auto"/>
              <w:bottom w:val="single" w:sz="4" w:space="0" w:color="auto"/>
              <w:right w:val="single" w:sz="4" w:space="0" w:color="auto"/>
            </w:tcBorders>
            <w:noWrap/>
            <w:vAlign w:val="center"/>
            <w:hideMark/>
          </w:tcPr>
          <w:p w14:paraId="09C4923B"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Lee 2018</w:t>
            </w:r>
          </w:p>
        </w:tc>
        <w:tc>
          <w:tcPr>
            <w:tcW w:w="300" w:type="pct"/>
            <w:tcBorders>
              <w:top w:val="nil"/>
              <w:left w:val="nil"/>
              <w:bottom w:val="single" w:sz="4" w:space="0" w:color="auto"/>
              <w:right w:val="single" w:sz="4" w:space="0" w:color="auto"/>
            </w:tcBorders>
            <w:noWrap/>
            <w:vAlign w:val="center"/>
            <w:hideMark/>
          </w:tcPr>
          <w:p w14:paraId="552A9BBA"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CUA</w:t>
            </w:r>
          </w:p>
        </w:tc>
        <w:tc>
          <w:tcPr>
            <w:tcW w:w="939" w:type="pct"/>
            <w:tcBorders>
              <w:top w:val="nil"/>
              <w:left w:val="nil"/>
              <w:bottom w:val="single" w:sz="4" w:space="0" w:color="auto"/>
              <w:right w:val="single" w:sz="4" w:space="0" w:color="auto"/>
            </w:tcBorders>
            <w:noWrap/>
            <w:vAlign w:val="center"/>
            <w:hideMark/>
          </w:tcPr>
          <w:p w14:paraId="5EA5148C"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State-transition model</w:t>
            </w:r>
          </w:p>
        </w:tc>
        <w:tc>
          <w:tcPr>
            <w:tcW w:w="474" w:type="pct"/>
            <w:tcBorders>
              <w:top w:val="nil"/>
              <w:left w:val="nil"/>
              <w:bottom w:val="single" w:sz="4" w:space="0" w:color="auto"/>
              <w:right w:val="single" w:sz="4" w:space="0" w:color="auto"/>
            </w:tcBorders>
            <w:noWrap/>
            <w:vAlign w:val="center"/>
            <w:hideMark/>
          </w:tcPr>
          <w:p w14:paraId="7E1220DD"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w:t>
            </w:r>
          </w:p>
        </w:tc>
        <w:tc>
          <w:tcPr>
            <w:tcW w:w="2113" w:type="pct"/>
            <w:tcBorders>
              <w:top w:val="nil"/>
              <w:left w:val="nil"/>
              <w:bottom w:val="single" w:sz="4" w:space="0" w:color="auto"/>
              <w:right w:val="single" w:sz="4" w:space="0" w:color="auto"/>
            </w:tcBorders>
            <w:noWrap/>
            <w:vAlign w:val="center"/>
            <w:hideMark/>
          </w:tcPr>
          <w:p w14:paraId="1883AE9B"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Mildly obese</w:t>
            </w:r>
          </w:p>
        </w:tc>
        <w:tc>
          <w:tcPr>
            <w:tcW w:w="526" w:type="pct"/>
            <w:tcBorders>
              <w:top w:val="nil"/>
              <w:left w:val="nil"/>
              <w:bottom w:val="single" w:sz="4" w:space="0" w:color="auto"/>
              <w:right w:val="single" w:sz="4" w:space="0" w:color="auto"/>
            </w:tcBorders>
            <w:noWrap/>
            <w:vAlign w:val="center"/>
            <w:hideMark/>
          </w:tcPr>
          <w:p w14:paraId="0ECE2E94"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Drug</w:t>
            </w:r>
          </w:p>
        </w:tc>
      </w:tr>
      <w:tr w:rsidR="004131F8" w:rsidRPr="004131F8" w14:paraId="2B4F70ED" w14:textId="77777777" w:rsidTr="004131F8">
        <w:trPr>
          <w:trHeight w:val="290"/>
        </w:trPr>
        <w:tc>
          <w:tcPr>
            <w:tcW w:w="648" w:type="pct"/>
            <w:tcBorders>
              <w:top w:val="nil"/>
              <w:left w:val="single" w:sz="4" w:space="0" w:color="auto"/>
              <w:bottom w:val="single" w:sz="4" w:space="0" w:color="auto"/>
              <w:right w:val="single" w:sz="4" w:space="0" w:color="auto"/>
            </w:tcBorders>
            <w:noWrap/>
            <w:vAlign w:val="center"/>
            <w:hideMark/>
          </w:tcPr>
          <w:p w14:paraId="4DAC9AF2" w14:textId="3C1578CC"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Lester, 2021</w:t>
            </w:r>
            <w:r w:rsidR="00254B1C" w:rsidRPr="00254B1C">
              <w:rPr>
                <w:rFonts w:ascii="Calibri" w:eastAsia="Times New Roman" w:hAnsi="Calibri" w:cs="Calibri"/>
                <w:noProof/>
                <w:color w:val="000000"/>
                <w:sz w:val="16"/>
                <w:szCs w:val="16"/>
                <w:vertAlign w:val="superscript"/>
                <w:lang w:val="en-IE" w:eastAsia="en-IE"/>
              </w:rPr>
              <w:t>64</w:t>
            </w:r>
          </w:p>
        </w:tc>
        <w:tc>
          <w:tcPr>
            <w:tcW w:w="300" w:type="pct"/>
            <w:tcBorders>
              <w:top w:val="nil"/>
              <w:left w:val="nil"/>
              <w:bottom w:val="single" w:sz="4" w:space="0" w:color="auto"/>
              <w:right w:val="single" w:sz="4" w:space="0" w:color="auto"/>
            </w:tcBorders>
            <w:noWrap/>
            <w:vAlign w:val="center"/>
            <w:hideMark/>
          </w:tcPr>
          <w:p w14:paraId="71C113B9"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CUA</w:t>
            </w:r>
          </w:p>
        </w:tc>
        <w:tc>
          <w:tcPr>
            <w:tcW w:w="939" w:type="pct"/>
            <w:tcBorders>
              <w:top w:val="nil"/>
              <w:left w:val="nil"/>
              <w:bottom w:val="single" w:sz="4" w:space="0" w:color="auto"/>
              <w:right w:val="single" w:sz="4" w:space="0" w:color="auto"/>
            </w:tcBorders>
            <w:noWrap/>
            <w:vAlign w:val="center"/>
            <w:hideMark/>
          </w:tcPr>
          <w:p w14:paraId="171E89EF"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Markov</w:t>
            </w:r>
          </w:p>
        </w:tc>
        <w:tc>
          <w:tcPr>
            <w:tcW w:w="474" w:type="pct"/>
            <w:tcBorders>
              <w:top w:val="nil"/>
              <w:left w:val="nil"/>
              <w:bottom w:val="single" w:sz="4" w:space="0" w:color="auto"/>
              <w:right w:val="single" w:sz="4" w:space="0" w:color="auto"/>
            </w:tcBorders>
            <w:noWrap/>
            <w:vAlign w:val="center"/>
            <w:hideMark/>
          </w:tcPr>
          <w:p w14:paraId="099E54B1"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Canada</w:t>
            </w:r>
          </w:p>
        </w:tc>
        <w:tc>
          <w:tcPr>
            <w:tcW w:w="2113" w:type="pct"/>
            <w:tcBorders>
              <w:top w:val="nil"/>
              <w:left w:val="nil"/>
              <w:bottom w:val="single" w:sz="4" w:space="0" w:color="auto"/>
              <w:right w:val="single" w:sz="4" w:space="0" w:color="auto"/>
            </w:tcBorders>
            <w:noWrap/>
            <w:vAlign w:val="center"/>
            <w:hideMark/>
          </w:tcPr>
          <w:p w14:paraId="1A23CCFD" w14:textId="240B0186"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 xml:space="preserve">Severe </w:t>
            </w:r>
            <w:r w:rsidR="004131F8" w:rsidRPr="004131F8">
              <w:rPr>
                <w:rFonts w:ascii="Calibri" w:eastAsia="Times New Roman" w:hAnsi="Calibri" w:cs="Calibri"/>
                <w:color w:val="000000"/>
                <w:sz w:val="16"/>
                <w:szCs w:val="16"/>
                <w:lang w:val="en-IE" w:eastAsia="en-IE"/>
              </w:rPr>
              <w:t>obesity</w:t>
            </w:r>
          </w:p>
        </w:tc>
        <w:tc>
          <w:tcPr>
            <w:tcW w:w="526" w:type="pct"/>
            <w:tcBorders>
              <w:top w:val="nil"/>
              <w:left w:val="nil"/>
              <w:bottom w:val="single" w:sz="4" w:space="0" w:color="auto"/>
              <w:right w:val="single" w:sz="4" w:space="0" w:color="auto"/>
            </w:tcBorders>
            <w:noWrap/>
            <w:vAlign w:val="center"/>
            <w:hideMark/>
          </w:tcPr>
          <w:p w14:paraId="6A7BD2B6"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Surgery</w:t>
            </w:r>
          </w:p>
        </w:tc>
      </w:tr>
      <w:tr w:rsidR="004131F8" w:rsidRPr="004131F8" w14:paraId="65584B5A" w14:textId="77777777" w:rsidTr="004131F8">
        <w:trPr>
          <w:trHeight w:val="290"/>
        </w:trPr>
        <w:tc>
          <w:tcPr>
            <w:tcW w:w="648" w:type="pct"/>
            <w:tcBorders>
              <w:top w:val="nil"/>
              <w:left w:val="single" w:sz="4" w:space="0" w:color="auto"/>
              <w:bottom w:val="single" w:sz="4" w:space="0" w:color="auto"/>
              <w:right w:val="single" w:sz="4" w:space="0" w:color="auto"/>
            </w:tcBorders>
            <w:noWrap/>
            <w:vAlign w:val="center"/>
            <w:hideMark/>
          </w:tcPr>
          <w:p w14:paraId="21AC01A7" w14:textId="1D3233D1"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Lin, 2017</w:t>
            </w:r>
            <w:r w:rsidR="00254B1C" w:rsidRPr="00254B1C">
              <w:rPr>
                <w:rFonts w:ascii="Calibri" w:eastAsia="Times New Roman" w:hAnsi="Calibri" w:cs="Calibri"/>
                <w:noProof/>
                <w:color w:val="000000"/>
                <w:sz w:val="16"/>
                <w:szCs w:val="16"/>
                <w:vertAlign w:val="superscript"/>
                <w:lang w:val="en-IE" w:eastAsia="en-IE"/>
              </w:rPr>
              <w:t>65</w:t>
            </w:r>
          </w:p>
        </w:tc>
        <w:tc>
          <w:tcPr>
            <w:tcW w:w="300" w:type="pct"/>
            <w:tcBorders>
              <w:top w:val="nil"/>
              <w:left w:val="nil"/>
              <w:bottom w:val="single" w:sz="4" w:space="0" w:color="auto"/>
              <w:right w:val="single" w:sz="4" w:space="0" w:color="auto"/>
            </w:tcBorders>
            <w:noWrap/>
            <w:vAlign w:val="center"/>
            <w:hideMark/>
          </w:tcPr>
          <w:p w14:paraId="5EC81711"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CUA</w:t>
            </w:r>
          </w:p>
        </w:tc>
        <w:tc>
          <w:tcPr>
            <w:tcW w:w="939" w:type="pct"/>
            <w:tcBorders>
              <w:top w:val="nil"/>
              <w:left w:val="nil"/>
              <w:bottom w:val="single" w:sz="4" w:space="0" w:color="auto"/>
              <w:right w:val="single" w:sz="4" w:space="0" w:color="auto"/>
            </w:tcBorders>
            <w:noWrap/>
            <w:vAlign w:val="center"/>
            <w:hideMark/>
          </w:tcPr>
          <w:p w14:paraId="3D29D83E"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Markov</w:t>
            </w:r>
          </w:p>
        </w:tc>
        <w:tc>
          <w:tcPr>
            <w:tcW w:w="474" w:type="pct"/>
            <w:tcBorders>
              <w:top w:val="nil"/>
              <w:left w:val="nil"/>
              <w:bottom w:val="single" w:sz="4" w:space="0" w:color="auto"/>
              <w:right w:val="single" w:sz="4" w:space="0" w:color="auto"/>
            </w:tcBorders>
            <w:noWrap/>
            <w:vAlign w:val="center"/>
            <w:hideMark/>
          </w:tcPr>
          <w:p w14:paraId="0959A00A"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US</w:t>
            </w:r>
          </w:p>
        </w:tc>
        <w:tc>
          <w:tcPr>
            <w:tcW w:w="2113" w:type="pct"/>
            <w:tcBorders>
              <w:top w:val="nil"/>
              <w:left w:val="nil"/>
              <w:bottom w:val="single" w:sz="4" w:space="0" w:color="auto"/>
              <w:right w:val="single" w:sz="4" w:space="0" w:color="auto"/>
            </w:tcBorders>
            <w:noWrap/>
            <w:vAlign w:val="center"/>
            <w:hideMark/>
          </w:tcPr>
          <w:p w14:paraId="4E5D471F"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Obese</w:t>
            </w:r>
          </w:p>
        </w:tc>
        <w:tc>
          <w:tcPr>
            <w:tcW w:w="526" w:type="pct"/>
            <w:tcBorders>
              <w:top w:val="nil"/>
              <w:left w:val="nil"/>
              <w:bottom w:val="single" w:sz="4" w:space="0" w:color="auto"/>
              <w:right w:val="single" w:sz="4" w:space="0" w:color="auto"/>
            </w:tcBorders>
            <w:noWrap/>
            <w:vAlign w:val="center"/>
            <w:hideMark/>
          </w:tcPr>
          <w:p w14:paraId="6B7E3F89"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Behavioural</w:t>
            </w:r>
          </w:p>
        </w:tc>
      </w:tr>
      <w:tr w:rsidR="004131F8" w:rsidRPr="004131F8" w14:paraId="0FF17D71" w14:textId="77777777" w:rsidTr="004131F8">
        <w:trPr>
          <w:trHeight w:val="290"/>
        </w:trPr>
        <w:tc>
          <w:tcPr>
            <w:tcW w:w="648" w:type="pct"/>
            <w:tcBorders>
              <w:top w:val="nil"/>
              <w:left w:val="single" w:sz="4" w:space="0" w:color="auto"/>
              <w:bottom w:val="single" w:sz="4" w:space="0" w:color="auto"/>
              <w:right w:val="single" w:sz="4" w:space="0" w:color="auto"/>
            </w:tcBorders>
            <w:noWrap/>
            <w:vAlign w:val="center"/>
            <w:hideMark/>
          </w:tcPr>
          <w:p w14:paraId="074F9AC8" w14:textId="593FF1FB"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Lucchese, 2017</w:t>
            </w:r>
            <w:r w:rsidR="00254B1C" w:rsidRPr="00254B1C">
              <w:rPr>
                <w:rFonts w:ascii="Calibri" w:eastAsia="Times New Roman" w:hAnsi="Calibri" w:cs="Calibri"/>
                <w:noProof/>
                <w:color w:val="000000"/>
                <w:sz w:val="16"/>
                <w:szCs w:val="16"/>
                <w:vertAlign w:val="superscript"/>
                <w:lang w:val="en-IE" w:eastAsia="en-IE"/>
              </w:rPr>
              <w:t>66</w:t>
            </w:r>
          </w:p>
        </w:tc>
        <w:tc>
          <w:tcPr>
            <w:tcW w:w="300" w:type="pct"/>
            <w:tcBorders>
              <w:top w:val="nil"/>
              <w:left w:val="nil"/>
              <w:bottom w:val="single" w:sz="4" w:space="0" w:color="auto"/>
              <w:right w:val="single" w:sz="4" w:space="0" w:color="auto"/>
            </w:tcBorders>
            <w:noWrap/>
            <w:vAlign w:val="center"/>
            <w:hideMark/>
          </w:tcPr>
          <w:p w14:paraId="13F1B164"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CUA</w:t>
            </w:r>
          </w:p>
        </w:tc>
        <w:tc>
          <w:tcPr>
            <w:tcW w:w="939" w:type="pct"/>
            <w:tcBorders>
              <w:top w:val="nil"/>
              <w:left w:val="nil"/>
              <w:bottom w:val="single" w:sz="4" w:space="0" w:color="auto"/>
              <w:right w:val="single" w:sz="4" w:space="0" w:color="auto"/>
            </w:tcBorders>
            <w:noWrap/>
            <w:vAlign w:val="center"/>
            <w:hideMark/>
          </w:tcPr>
          <w:p w14:paraId="3A2F0ECA"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Markov</w:t>
            </w:r>
          </w:p>
        </w:tc>
        <w:tc>
          <w:tcPr>
            <w:tcW w:w="474" w:type="pct"/>
            <w:tcBorders>
              <w:top w:val="nil"/>
              <w:left w:val="nil"/>
              <w:bottom w:val="single" w:sz="4" w:space="0" w:color="auto"/>
              <w:right w:val="single" w:sz="4" w:space="0" w:color="auto"/>
            </w:tcBorders>
            <w:noWrap/>
            <w:vAlign w:val="center"/>
            <w:hideMark/>
          </w:tcPr>
          <w:p w14:paraId="3A571D78"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Italy</w:t>
            </w:r>
          </w:p>
        </w:tc>
        <w:tc>
          <w:tcPr>
            <w:tcW w:w="2113" w:type="pct"/>
            <w:tcBorders>
              <w:top w:val="nil"/>
              <w:left w:val="nil"/>
              <w:bottom w:val="single" w:sz="4" w:space="0" w:color="auto"/>
              <w:right w:val="single" w:sz="4" w:space="0" w:color="auto"/>
            </w:tcBorders>
            <w:noWrap/>
            <w:vAlign w:val="center"/>
            <w:hideMark/>
          </w:tcPr>
          <w:p w14:paraId="3B126660"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Moderate, severe, morbid, and super obese</w:t>
            </w:r>
          </w:p>
        </w:tc>
        <w:tc>
          <w:tcPr>
            <w:tcW w:w="526" w:type="pct"/>
            <w:tcBorders>
              <w:top w:val="nil"/>
              <w:left w:val="nil"/>
              <w:bottom w:val="single" w:sz="4" w:space="0" w:color="auto"/>
              <w:right w:val="single" w:sz="4" w:space="0" w:color="auto"/>
            </w:tcBorders>
            <w:noWrap/>
            <w:vAlign w:val="center"/>
            <w:hideMark/>
          </w:tcPr>
          <w:p w14:paraId="4BEE4C4A"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Surgery</w:t>
            </w:r>
          </w:p>
        </w:tc>
      </w:tr>
      <w:tr w:rsidR="004131F8" w:rsidRPr="004131F8" w14:paraId="60300358" w14:textId="77777777" w:rsidTr="004131F8">
        <w:trPr>
          <w:trHeight w:val="290"/>
        </w:trPr>
        <w:tc>
          <w:tcPr>
            <w:tcW w:w="648" w:type="pct"/>
            <w:tcBorders>
              <w:top w:val="nil"/>
              <w:left w:val="single" w:sz="4" w:space="0" w:color="auto"/>
              <w:bottom w:val="single" w:sz="4" w:space="0" w:color="auto"/>
              <w:right w:val="single" w:sz="4" w:space="0" w:color="auto"/>
            </w:tcBorders>
            <w:noWrap/>
            <w:vAlign w:val="center"/>
            <w:hideMark/>
          </w:tcPr>
          <w:p w14:paraId="3E660143" w14:textId="61641691"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McGlone, 2020</w:t>
            </w:r>
            <w:r w:rsidR="00254B1C" w:rsidRPr="00254B1C">
              <w:rPr>
                <w:rFonts w:ascii="Calibri" w:eastAsia="Times New Roman" w:hAnsi="Calibri" w:cs="Calibri"/>
                <w:noProof/>
                <w:color w:val="000000"/>
                <w:sz w:val="16"/>
                <w:szCs w:val="16"/>
                <w:vertAlign w:val="superscript"/>
                <w:lang w:val="en-IE" w:eastAsia="en-IE"/>
              </w:rPr>
              <w:t>67</w:t>
            </w:r>
          </w:p>
        </w:tc>
        <w:tc>
          <w:tcPr>
            <w:tcW w:w="300" w:type="pct"/>
            <w:tcBorders>
              <w:top w:val="nil"/>
              <w:left w:val="nil"/>
              <w:bottom w:val="single" w:sz="4" w:space="0" w:color="auto"/>
              <w:right w:val="single" w:sz="4" w:space="0" w:color="auto"/>
            </w:tcBorders>
            <w:noWrap/>
            <w:vAlign w:val="center"/>
            <w:hideMark/>
          </w:tcPr>
          <w:p w14:paraId="6A4B3D6E"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CUA</w:t>
            </w:r>
          </w:p>
        </w:tc>
        <w:tc>
          <w:tcPr>
            <w:tcW w:w="939" w:type="pct"/>
            <w:tcBorders>
              <w:top w:val="nil"/>
              <w:left w:val="nil"/>
              <w:bottom w:val="single" w:sz="4" w:space="0" w:color="auto"/>
              <w:right w:val="single" w:sz="4" w:space="0" w:color="auto"/>
            </w:tcBorders>
            <w:noWrap/>
            <w:vAlign w:val="center"/>
            <w:hideMark/>
          </w:tcPr>
          <w:p w14:paraId="638099D9"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Microsimulation</w:t>
            </w:r>
          </w:p>
        </w:tc>
        <w:tc>
          <w:tcPr>
            <w:tcW w:w="474" w:type="pct"/>
            <w:tcBorders>
              <w:top w:val="nil"/>
              <w:left w:val="nil"/>
              <w:bottom w:val="single" w:sz="4" w:space="0" w:color="auto"/>
              <w:right w:val="single" w:sz="4" w:space="0" w:color="auto"/>
            </w:tcBorders>
            <w:noWrap/>
            <w:vAlign w:val="center"/>
            <w:hideMark/>
          </w:tcPr>
          <w:p w14:paraId="579B0175"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UK</w:t>
            </w:r>
          </w:p>
        </w:tc>
        <w:tc>
          <w:tcPr>
            <w:tcW w:w="2113" w:type="pct"/>
            <w:tcBorders>
              <w:top w:val="nil"/>
              <w:left w:val="nil"/>
              <w:bottom w:val="single" w:sz="4" w:space="0" w:color="auto"/>
              <w:right w:val="single" w:sz="4" w:space="0" w:color="auto"/>
            </w:tcBorders>
            <w:noWrap/>
            <w:vAlign w:val="center"/>
            <w:hideMark/>
          </w:tcPr>
          <w:p w14:paraId="7093C75C"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Severe obeseity</w:t>
            </w:r>
          </w:p>
        </w:tc>
        <w:tc>
          <w:tcPr>
            <w:tcW w:w="526" w:type="pct"/>
            <w:tcBorders>
              <w:top w:val="nil"/>
              <w:left w:val="nil"/>
              <w:bottom w:val="single" w:sz="4" w:space="0" w:color="auto"/>
              <w:right w:val="single" w:sz="4" w:space="0" w:color="auto"/>
            </w:tcBorders>
            <w:noWrap/>
            <w:vAlign w:val="center"/>
            <w:hideMark/>
          </w:tcPr>
          <w:p w14:paraId="7053F6CD"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Surgery</w:t>
            </w:r>
          </w:p>
        </w:tc>
      </w:tr>
      <w:tr w:rsidR="004131F8" w:rsidRPr="004131F8" w14:paraId="75A9E697" w14:textId="77777777" w:rsidTr="004131F8">
        <w:trPr>
          <w:trHeight w:val="290"/>
        </w:trPr>
        <w:tc>
          <w:tcPr>
            <w:tcW w:w="648" w:type="pct"/>
            <w:tcBorders>
              <w:top w:val="nil"/>
              <w:left w:val="single" w:sz="4" w:space="0" w:color="auto"/>
              <w:bottom w:val="single" w:sz="4" w:space="0" w:color="auto"/>
              <w:right w:val="single" w:sz="4" w:space="0" w:color="auto"/>
            </w:tcBorders>
            <w:noWrap/>
            <w:vAlign w:val="center"/>
            <w:hideMark/>
          </w:tcPr>
          <w:p w14:paraId="2CFD1DF6" w14:textId="2D019214"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McLawhorn, 2016</w:t>
            </w:r>
            <w:r w:rsidR="00254B1C" w:rsidRPr="00254B1C">
              <w:rPr>
                <w:rFonts w:ascii="Calibri" w:eastAsia="Times New Roman" w:hAnsi="Calibri" w:cs="Calibri"/>
                <w:noProof/>
                <w:color w:val="000000"/>
                <w:sz w:val="16"/>
                <w:szCs w:val="16"/>
                <w:vertAlign w:val="superscript"/>
                <w:lang w:val="en-IE" w:eastAsia="en-IE"/>
              </w:rPr>
              <w:t>68</w:t>
            </w:r>
          </w:p>
        </w:tc>
        <w:tc>
          <w:tcPr>
            <w:tcW w:w="300" w:type="pct"/>
            <w:tcBorders>
              <w:top w:val="nil"/>
              <w:left w:val="nil"/>
              <w:bottom w:val="single" w:sz="4" w:space="0" w:color="auto"/>
              <w:right w:val="single" w:sz="4" w:space="0" w:color="auto"/>
            </w:tcBorders>
            <w:noWrap/>
            <w:vAlign w:val="center"/>
            <w:hideMark/>
          </w:tcPr>
          <w:p w14:paraId="05733BCA"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CUA</w:t>
            </w:r>
          </w:p>
        </w:tc>
        <w:tc>
          <w:tcPr>
            <w:tcW w:w="939" w:type="pct"/>
            <w:tcBorders>
              <w:top w:val="nil"/>
              <w:left w:val="nil"/>
              <w:bottom w:val="single" w:sz="4" w:space="0" w:color="auto"/>
              <w:right w:val="single" w:sz="4" w:space="0" w:color="auto"/>
            </w:tcBorders>
            <w:noWrap/>
            <w:vAlign w:val="center"/>
            <w:hideMark/>
          </w:tcPr>
          <w:p w14:paraId="30C96A8F"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Markov</w:t>
            </w:r>
          </w:p>
        </w:tc>
        <w:tc>
          <w:tcPr>
            <w:tcW w:w="474" w:type="pct"/>
            <w:tcBorders>
              <w:top w:val="nil"/>
              <w:left w:val="nil"/>
              <w:bottom w:val="single" w:sz="4" w:space="0" w:color="auto"/>
              <w:right w:val="single" w:sz="4" w:space="0" w:color="auto"/>
            </w:tcBorders>
            <w:noWrap/>
            <w:vAlign w:val="center"/>
            <w:hideMark/>
          </w:tcPr>
          <w:p w14:paraId="3A09AFF0"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US</w:t>
            </w:r>
          </w:p>
        </w:tc>
        <w:tc>
          <w:tcPr>
            <w:tcW w:w="2113" w:type="pct"/>
            <w:tcBorders>
              <w:top w:val="nil"/>
              <w:left w:val="nil"/>
              <w:bottom w:val="single" w:sz="4" w:space="0" w:color="auto"/>
              <w:right w:val="single" w:sz="4" w:space="0" w:color="auto"/>
            </w:tcBorders>
            <w:noWrap/>
            <w:vAlign w:val="center"/>
            <w:hideMark/>
          </w:tcPr>
          <w:p w14:paraId="20AF68AD"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Morbid obesity</w:t>
            </w:r>
          </w:p>
        </w:tc>
        <w:tc>
          <w:tcPr>
            <w:tcW w:w="526" w:type="pct"/>
            <w:tcBorders>
              <w:top w:val="nil"/>
              <w:left w:val="nil"/>
              <w:bottom w:val="single" w:sz="4" w:space="0" w:color="auto"/>
              <w:right w:val="single" w:sz="4" w:space="0" w:color="auto"/>
            </w:tcBorders>
            <w:noWrap/>
            <w:vAlign w:val="center"/>
            <w:hideMark/>
          </w:tcPr>
          <w:p w14:paraId="044F6A33"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Surgery</w:t>
            </w:r>
          </w:p>
        </w:tc>
      </w:tr>
      <w:tr w:rsidR="004131F8" w:rsidRPr="004131F8" w14:paraId="67BB5F74" w14:textId="77777777" w:rsidTr="004131F8">
        <w:trPr>
          <w:trHeight w:val="290"/>
        </w:trPr>
        <w:tc>
          <w:tcPr>
            <w:tcW w:w="648" w:type="pct"/>
            <w:tcBorders>
              <w:top w:val="nil"/>
              <w:left w:val="single" w:sz="4" w:space="0" w:color="auto"/>
              <w:bottom w:val="single" w:sz="4" w:space="0" w:color="auto"/>
              <w:right w:val="single" w:sz="4" w:space="0" w:color="auto"/>
            </w:tcBorders>
            <w:noWrap/>
            <w:vAlign w:val="center"/>
            <w:hideMark/>
          </w:tcPr>
          <w:p w14:paraId="12001450" w14:textId="28CC790F"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Mital, 2021</w:t>
            </w:r>
            <w:r w:rsidR="00254B1C" w:rsidRPr="00254B1C">
              <w:rPr>
                <w:rFonts w:ascii="Calibri" w:eastAsia="Times New Roman" w:hAnsi="Calibri" w:cs="Calibri"/>
                <w:noProof/>
                <w:color w:val="000000"/>
                <w:sz w:val="16"/>
                <w:szCs w:val="16"/>
                <w:vertAlign w:val="superscript"/>
                <w:lang w:val="en-IE" w:eastAsia="en-IE"/>
              </w:rPr>
              <w:t>69</w:t>
            </w:r>
          </w:p>
        </w:tc>
        <w:tc>
          <w:tcPr>
            <w:tcW w:w="300" w:type="pct"/>
            <w:tcBorders>
              <w:top w:val="nil"/>
              <w:left w:val="nil"/>
              <w:bottom w:val="single" w:sz="4" w:space="0" w:color="auto"/>
              <w:right w:val="single" w:sz="4" w:space="0" w:color="auto"/>
            </w:tcBorders>
            <w:noWrap/>
            <w:vAlign w:val="center"/>
            <w:hideMark/>
          </w:tcPr>
          <w:p w14:paraId="2817F271"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CUA</w:t>
            </w:r>
          </w:p>
        </w:tc>
        <w:tc>
          <w:tcPr>
            <w:tcW w:w="939" w:type="pct"/>
            <w:tcBorders>
              <w:top w:val="nil"/>
              <w:left w:val="nil"/>
              <w:bottom w:val="single" w:sz="4" w:space="0" w:color="auto"/>
              <w:right w:val="single" w:sz="4" w:space="0" w:color="auto"/>
            </w:tcBorders>
            <w:noWrap/>
            <w:vAlign w:val="center"/>
            <w:hideMark/>
          </w:tcPr>
          <w:p w14:paraId="39BCA76D"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Microsimulation</w:t>
            </w:r>
          </w:p>
        </w:tc>
        <w:tc>
          <w:tcPr>
            <w:tcW w:w="474" w:type="pct"/>
            <w:tcBorders>
              <w:top w:val="nil"/>
              <w:left w:val="nil"/>
              <w:bottom w:val="single" w:sz="4" w:space="0" w:color="auto"/>
              <w:right w:val="single" w:sz="4" w:space="0" w:color="auto"/>
            </w:tcBorders>
            <w:noWrap/>
            <w:vAlign w:val="center"/>
            <w:hideMark/>
          </w:tcPr>
          <w:p w14:paraId="156FDA4A"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US</w:t>
            </w:r>
          </w:p>
        </w:tc>
        <w:tc>
          <w:tcPr>
            <w:tcW w:w="2113" w:type="pct"/>
            <w:tcBorders>
              <w:top w:val="nil"/>
              <w:left w:val="nil"/>
              <w:bottom w:val="single" w:sz="4" w:space="0" w:color="auto"/>
              <w:right w:val="single" w:sz="4" w:space="0" w:color="auto"/>
            </w:tcBorders>
            <w:noWrap/>
            <w:vAlign w:val="center"/>
            <w:hideMark/>
          </w:tcPr>
          <w:p w14:paraId="7F160C9D"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Obese class II or III</w:t>
            </w:r>
          </w:p>
        </w:tc>
        <w:tc>
          <w:tcPr>
            <w:tcW w:w="526" w:type="pct"/>
            <w:tcBorders>
              <w:top w:val="nil"/>
              <w:left w:val="nil"/>
              <w:bottom w:val="single" w:sz="4" w:space="0" w:color="auto"/>
              <w:right w:val="single" w:sz="4" w:space="0" w:color="auto"/>
            </w:tcBorders>
            <w:noWrap/>
            <w:vAlign w:val="center"/>
            <w:hideMark/>
          </w:tcPr>
          <w:p w14:paraId="0BEEEB09"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Surgery</w:t>
            </w:r>
          </w:p>
        </w:tc>
      </w:tr>
      <w:tr w:rsidR="004131F8" w:rsidRPr="004131F8" w14:paraId="014B9794" w14:textId="77777777" w:rsidTr="004131F8">
        <w:trPr>
          <w:trHeight w:val="290"/>
        </w:trPr>
        <w:tc>
          <w:tcPr>
            <w:tcW w:w="648" w:type="pct"/>
            <w:tcBorders>
              <w:top w:val="nil"/>
              <w:left w:val="single" w:sz="4" w:space="0" w:color="auto"/>
              <w:bottom w:val="single" w:sz="4" w:space="0" w:color="auto"/>
              <w:right w:val="single" w:sz="4" w:space="0" w:color="auto"/>
            </w:tcBorders>
            <w:noWrap/>
            <w:vAlign w:val="center"/>
            <w:hideMark/>
          </w:tcPr>
          <w:p w14:paraId="1A49E545" w14:textId="2BE8F6AA"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Neff 2015</w:t>
            </w:r>
            <w:r w:rsidR="00254B1C" w:rsidRPr="00254B1C">
              <w:rPr>
                <w:rFonts w:ascii="Calibri" w:eastAsia="Times New Roman" w:hAnsi="Calibri" w:cs="Calibri"/>
                <w:noProof/>
                <w:color w:val="000000"/>
                <w:sz w:val="16"/>
                <w:szCs w:val="16"/>
                <w:vertAlign w:val="superscript"/>
                <w:lang w:val="en-IE" w:eastAsia="en-IE"/>
              </w:rPr>
              <w:t>70</w:t>
            </w:r>
          </w:p>
        </w:tc>
        <w:tc>
          <w:tcPr>
            <w:tcW w:w="300" w:type="pct"/>
            <w:tcBorders>
              <w:top w:val="nil"/>
              <w:left w:val="nil"/>
              <w:bottom w:val="single" w:sz="4" w:space="0" w:color="auto"/>
              <w:right w:val="single" w:sz="4" w:space="0" w:color="auto"/>
            </w:tcBorders>
            <w:noWrap/>
            <w:vAlign w:val="center"/>
            <w:hideMark/>
          </w:tcPr>
          <w:p w14:paraId="1FED52C6"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CUA</w:t>
            </w:r>
          </w:p>
        </w:tc>
        <w:tc>
          <w:tcPr>
            <w:tcW w:w="939" w:type="pct"/>
            <w:tcBorders>
              <w:top w:val="nil"/>
              <w:left w:val="nil"/>
              <w:bottom w:val="single" w:sz="4" w:space="0" w:color="auto"/>
              <w:right w:val="single" w:sz="4" w:space="0" w:color="auto"/>
            </w:tcBorders>
            <w:noWrap/>
            <w:vAlign w:val="center"/>
            <w:hideMark/>
          </w:tcPr>
          <w:p w14:paraId="6E8D2D13"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Markov</w:t>
            </w:r>
          </w:p>
        </w:tc>
        <w:tc>
          <w:tcPr>
            <w:tcW w:w="474" w:type="pct"/>
            <w:tcBorders>
              <w:top w:val="nil"/>
              <w:left w:val="nil"/>
              <w:bottom w:val="single" w:sz="4" w:space="0" w:color="auto"/>
              <w:right w:val="single" w:sz="4" w:space="0" w:color="auto"/>
            </w:tcBorders>
            <w:noWrap/>
            <w:vAlign w:val="center"/>
            <w:hideMark/>
          </w:tcPr>
          <w:p w14:paraId="3907261E"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US</w:t>
            </w:r>
          </w:p>
        </w:tc>
        <w:tc>
          <w:tcPr>
            <w:tcW w:w="2113" w:type="pct"/>
            <w:tcBorders>
              <w:top w:val="nil"/>
              <w:left w:val="nil"/>
              <w:bottom w:val="single" w:sz="4" w:space="0" w:color="auto"/>
              <w:right w:val="single" w:sz="4" w:space="0" w:color="auto"/>
            </w:tcBorders>
            <w:noWrap/>
            <w:vAlign w:val="center"/>
            <w:hideMark/>
          </w:tcPr>
          <w:p w14:paraId="624E1C3F"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Obese</w:t>
            </w:r>
          </w:p>
        </w:tc>
        <w:tc>
          <w:tcPr>
            <w:tcW w:w="526" w:type="pct"/>
            <w:tcBorders>
              <w:top w:val="nil"/>
              <w:left w:val="nil"/>
              <w:bottom w:val="single" w:sz="4" w:space="0" w:color="auto"/>
              <w:right w:val="single" w:sz="4" w:space="0" w:color="auto"/>
            </w:tcBorders>
            <w:noWrap/>
            <w:vAlign w:val="center"/>
            <w:hideMark/>
          </w:tcPr>
          <w:p w14:paraId="699E846F"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Surgery</w:t>
            </w:r>
          </w:p>
        </w:tc>
      </w:tr>
      <w:tr w:rsidR="004131F8" w:rsidRPr="004131F8" w14:paraId="18A02FA5" w14:textId="77777777" w:rsidTr="004131F8">
        <w:trPr>
          <w:trHeight w:val="290"/>
        </w:trPr>
        <w:tc>
          <w:tcPr>
            <w:tcW w:w="648" w:type="pct"/>
            <w:tcBorders>
              <w:top w:val="nil"/>
              <w:left w:val="single" w:sz="4" w:space="0" w:color="auto"/>
              <w:bottom w:val="single" w:sz="4" w:space="0" w:color="auto"/>
              <w:right w:val="single" w:sz="4" w:space="0" w:color="auto"/>
            </w:tcBorders>
            <w:noWrap/>
            <w:vAlign w:val="center"/>
            <w:hideMark/>
          </w:tcPr>
          <w:p w14:paraId="4C02C8E7" w14:textId="69667A85"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Nuijten 2021</w:t>
            </w:r>
            <w:r w:rsidR="00254B1C" w:rsidRPr="00254B1C">
              <w:rPr>
                <w:rFonts w:ascii="Calibri" w:eastAsia="Times New Roman" w:hAnsi="Calibri" w:cs="Calibri"/>
                <w:noProof/>
                <w:color w:val="000000"/>
                <w:sz w:val="16"/>
                <w:szCs w:val="16"/>
                <w:vertAlign w:val="superscript"/>
                <w:lang w:val="en-IE" w:eastAsia="en-IE"/>
              </w:rPr>
              <w:t>71</w:t>
            </w:r>
          </w:p>
        </w:tc>
        <w:tc>
          <w:tcPr>
            <w:tcW w:w="300" w:type="pct"/>
            <w:tcBorders>
              <w:top w:val="nil"/>
              <w:left w:val="nil"/>
              <w:bottom w:val="single" w:sz="4" w:space="0" w:color="auto"/>
              <w:right w:val="single" w:sz="4" w:space="0" w:color="auto"/>
            </w:tcBorders>
            <w:noWrap/>
            <w:vAlign w:val="center"/>
            <w:hideMark/>
          </w:tcPr>
          <w:p w14:paraId="21E23258"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CUA</w:t>
            </w:r>
          </w:p>
        </w:tc>
        <w:tc>
          <w:tcPr>
            <w:tcW w:w="939" w:type="pct"/>
            <w:tcBorders>
              <w:top w:val="nil"/>
              <w:left w:val="nil"/>
              <w:bottom w:val="single" w:sz="4" w:space="0" w:color="auto"/>
              <w:right w:val="single" w:sz="4" w:space="0" w:color="auto"/>
            </w:tcBorders>
            <w:noWrap/>
            <w:vAlign w:val="center"/>
            <w:hideMark/>
          </w:tcPr>
          <w:p w14:paraId="7DB21289"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Decision-analytic model</w:t>
            </w:r>
          </w:p>
        </w:tc>
        <w:tc>
          <w:tcPr>
            <w:tcW w:w="474" w:type="pct"/>
            <w:tcBorders>
              <w:top w:val="nil"/>
              <w:left w:val="nil"/>
              <w:bottom w:val="single" w:sz="4" w:space="0" w:color="auto"/>
              <w:right w:val="single" w:sz="4" w:space="0" w:color="auto"/>
            </w:tcBorders>
            <w:noWrap/>
            <w:vAlign w:val="center"/>
            <w:hideMark/>
          </w:tcPr>
          <w:p w14:paraId="337E174B"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Switzerland</w:t>
            </w:r>
          </w:p>
        </w:tc>
        <w:tc>
          <w:tcPr>
            <w:tcW w:w="2113" w:type="pct"/>
            <w:tcBorders>
              <w:top w:val="nil"/>
              <w:left w:val="nil"/>
              <w:bottom w:val="single" w:sz="4" w:space="0" w:color="auto"/>
              <w:right w:val="single" w:sz="4" w:space="0" w:color="auto"/>
            </w:tcBorders>
            <w:noWrap/>
            <w:vAlign w:val="center"/>
            <w:hideMark/>
          </w:tcPr>
          <w:p w14:paraId="0750661A"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Obese class I and II</w:t>
            </w:r>
          </w:p>
        </w:tc>
        <w:tc>
          <w:tcPr>
            <w:tcW w:w="526" w:type="pct"/>
            <w:tcBorders>
              <w:top w:val="nil"/>
              <w:left w:val="nil"/>
              <w:bottom w:val="single" w:sz="4" w:space="0" w:color="auto"/>
              <w:right w:val="single" w:sz="4" w:space="0" w:color="auto"/>
            </w:tcBorders>
            <w:noWrap/>
            <w:vAlign w:val="center"/>
            <w:hideMark/>
          </w:tcPr>
          <w:p w14:paraId="32699C5B"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Behavioural, surgery, and drug</w:t>
            </w:r>
          </w:p>
        </w:tc>
      </w:tr>
      <w:tr w:rsidR="004131F8" w:rsidRPr="004131F8" w14:paraId="78354D6D" w14:textId="77777777" w:rsidTr="004131F8">
        <w:trPr>
          <w:trHeight w:val="290"/>
        </w:trPr>
        <w:tc>
          <w:tcPr>
            <w:tcW w:w="648" w:type="pct"/>
            <w:tcBorders>
              <w:top w:val="nil"/>
              <w:left w:val="single" w:sz="4" w:space="0" w:color="auto"/>
              <w:bottom w:val="single" w:sz="4" w:space="0" w:color="auto"/>
              <w:right w:val="single" w:sz="4" w:space="0" w:color="auto"/>
            </w:tcBorders>
            <w:noWrap/>
            <w:vAlign w:val="center"/>
            <w:hideMark/>
          </w:tcPr>
          <w:p w14:paraId="54508596"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lastRenderedPageBreak/>
              <w:t>Nuijten 2019</w:t>
            </w:r>
          </w:p>
        </w:tc>
        <w:tc>
          <w:tcPr>
            <w:tcW w:w="300" w:type="pct"/>
            <w:tcBorders>
              <w:top w:val="nil"/>
              <w:left w:val="nil"/>
              <w:bottom w:val="single" w:sz="4" w:space="0" w:color="auto"/>
              <w:right w:val="single" w:sz="4" w:space="0" w:color="auto"/>
            </w:tcBorders>
            <w:noWrap/>
            <w:vAlign w:val="center"/>
            <w:hideMark/>
          </w:tcPr>
          <w:p w14:paraId="3021B19F"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CUA</w:t>
            </w:r>
          </w:p>
        </w:tc>
        <w:tc>
          <w:tcPr>
            <w:tcW w:w="939" w:type="pct"/>
            <w:tcBorders>
              <w:top w:val="nil"/>
              <w:left w:val="nil"/>
              <w:bottom w:val="single" w:sz="4" w:space="0" w:color="auto"/>
              <w:right w:val="single" w:sz="4" w:space="0" w:color="auto"/>
            </w:tcBorders>
            <w:noWrap/>
            <w:vAlign w:val="center"/>
            <w:hideMark/>
          </w:tcPr>
          <w:p w14:paraId="17A7EA58"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Decision-analytic model</w:t>
            </w:r>
          </w:p>
        </w:tc>
        <w:tc>
          <w:tcPr>
            <w:tcW w:w="474" w:type="pct"/>
            <w:tcBorders>
              <w:top w:val="nil"/>
              <w:left w:val="nil"/>
              <w:bottom w:val="single" w:sz="4" w:space="0" w:color="auto"/>
              <w:right w:val="single" w:sz="4" w:space="0" w:color="auto"/>
            </w:tcBorders>
            <w:noWrap/>
            <w:vAlign w:val="center"/>
            <w:hideMark/>
          </w:tcPr>
          <w:p w14:paraId="1FD5F3AF"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Canada</w:t>
            </w:r>
          </w:p>
        </w:tc>
        <w:tc>
          <w:tcPr>
            <w:tcW w:w="2113" w:type="pct"/>
            <w:tcBorders>
              <w:top w:val="nil"/>
              <w:left w:val="nil"/>
              <w:bottom w:val="single" w:sz="4" w:space="0" w:color="auto"/>
              <w:right w:val="single" w:sz="4" w:space="0" w:color="auto"/>
            </w:tcBorders>
            <w:noWrap/>
            <w:vAlign w:val="center"/>
            <w:hideMark/>
          </w:tcPr>
          <w:p w14:paraId="6DF23F83"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w:t>
            </w:r>
          </w:p>
        </w:tc>
        <w:tc>
          <w:tcPr>
            <w:tcW w:w="526" w:type="pct"/>
            <w:tcBorders>
              <w:top w:val="nil"/>
              <w:left w:val="nil"/>
              <w:bottom w:val="single" w:sz="4" w:space="0" w:color="auto"/>
              <w:right w:val="single" w:sz="4" w:space="0" w:color="auto"/>
            </w:tcBorders>
            <w:noWrap/>
            <w:vAlign w:val="center"/>
            <w:hideMark/>
          </w:tcPr>
          <w:p w14:paraId="017B749D"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Behavioural, surgery, and drug</w:t>
            </w:r>
          </w:p>
        </w:tc>
      </w:tr>
      <w:tr w:rsidR="004131F8" w:rsidRPr="004131F8" w14:paraId="1368A293" w14:textId="77777777" w:rsidTr="004131F8">
        <w:trPr>
          <w:trHeight w:val="290"/>
        </w:trPr>
        <w:tc>
          <w:tcPr>
            <w:tcW w:w="648" w:type="pct"/>
            <w:tcBorders>
              <w:top w:val="nil"/>
              <w:left w:val="single" w:sz="4" w:space="0" w:color="auto"/>
              <w:bottom w:val="single" w:sz="4" w:space="0" w:color="auto"/>
              <w:right w:val="single" w:sz="4" w:space="0" w:color="auto"/>
            </w:tcBorders>
            <w:noWrap/>
            <w:vAlign w:val="center"/>
            <w:hideMark/>
          </w:tcPr>
          <w:p w14:paraId="2FE836C0" w14:textId="627A3378"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Nuijten, 2018</w:t>
            </w:r>
            <w:r w:rsidR="00254B1C" w:rsidRPr="00254B1C">
              <w:rPr>
                <w:rFonts w:ascii="Calibri" w:eastAsia="Times New Roman" w:hAnsi="Calibri" w:cs="Calibri"/>
                <w:noProof/>
                <w:color w:val="000000"/>
                <w:sz w:val="16"/>
                <w:szCs w:val="16"/>
                <w:vertAlign w:val="superscript"/>
                <w:lang w:val="en-IE" w:eastAsia="en-IE"/>
              </w:rPr>
              <w:t>72</w:t>
            </w:r>
          </w:p>
        </w:tc>
        <w:tc>
          <w:tcPr>
            <w:tcW w:w="300" w:type="pct"/>
            <w:tcBorders>
              <w:top w:val="nil"/>
              <w:left w:val="nil"/>
              <w:bottom w:val="single" w:sz="4" w:space="0" w:color="auto"/>
              <w:right w:val="single" w:sz="4" w:space="0" w:color="auto"/>
            </w:tcBorders>
            <w:noWrap/>
            <w:vAlign w:val="center"/>
            <w:hideMark/>
          </w:tcPr>
          <w:p w14:paraId="7A893532"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CUA</w:t>
            </w:r>
          </w:p>
        </w:tc>
        <w:tc>
          <w:tcPr>
            <w:tcW w:w="939" w:type="pct"/>
            <w:tcBorders>
              <w:top w:val="nil"/>
              <w:left w:val="nil"/>
              <w:bottom w:val="single" w:sz="4" w:space="0" w:color="auto"/>
              <w:right w:val="single" w:sz="4" w:space="0" w:color="auto"/>
            </w:tcBorders>
            <w:noWrap/>
            <w:vAlign w:val="center"/>
            <w:hideMark/>
          </w:tcPr>
          <w:p w14:paraId="7CCAAA02"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Decision-analytic model</w:t>
            </w:r>
          </w:p>
        </w:tc>
        <w:tc>
          <w:tcPr>
            <w:tcW w:w="474" w:type="pct"/>
            <w:tcBorders>
              <w:top w:val="nil"/>
              <w:left w:val="nil"/>
              <w:bottom w:val="single" w:sz="4" w:space="0" w:color="auto"/>
              <w:right w:val="single" w:sz="4" w:space="0" w:color="auto"/>
            </w:tcBorders>
            <w:noWrap/>
            <w:vAlign w:val="center"/>
            <w:hideMark/>
          </w:tcPr>
          <w:p w14:paraId="05E90FD5"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US</w:t>
            </w:r>
          </w:p>
        </w:tc>
        <w:tc>
          <w:tcPr>
            <w:tcW w:w="2113" w:type="pct"/>
            <w:tcBorders>
              <w:top w:val="nil"/>
              <w:left w:val="nil"/>
              <w:bottom w:val="single" w:sz="4" w:space="0" w:color="auto"/>
              <w:right w:val="single" w:sz="4" w:space="0" w:color="auto"/>
            </w:tcBorders>
            <w:noWrap/>
            <w:vAlign w:val="center"/>
            <w:hideMark/>
          </w:tcPr>
          <w:p w14:paraId="591110A8"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Obese class I-III</w:t>
            </w:r>
          </w:p>
        </w:tc>
        <w:tc>
          <w:tcPr>
            <w:tcW w:w="526" w:type="pct"/>
            <w:tcBorders>
              <w:top w:val="nil"/>
              <w:left w:val="nil"/>
              <w:bottom w:val="single" w:sz="4" w:space="0" w:color="auto"/>
              <w:right w:val="single" w:sz="4" w:space="0" w:color="auto"/>
            </w:tcBorders>
            <w:noWrap/>
            <w:vAlign w:val="center"/>
            <w:hideMark/>
          </w:tcPr>
          <w:p w14:paraId="7EB8D24C"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Behavioural, surgery, and drug</w:t>
            </w:r>
          </w:p>
        </w:tc>
      </w:tr>
      <w:tr w:rsidR="004131F8" w:rsidRPr="004131F8" w14:paraId="7C132992" w14:textId="77777777" w:rsidTr="004131F8">
        <w:trPr>
          <w:trHeight w:val="290"/>
        </w:trPr>
        <w:tc>
          <w:tcPr>
            <w:tcW w:w="648" w:type="pct"/>
            <w:tcBorders>
              <w:top w:val="nil"/>
              <w:left w:val="single" w:sz="4" w:space="0" w:color="auto"/>
              <w:bottom w:val="single" w:sz="4" w:space="0" w:color="auto"/>
              <w:right w:val="single" w:sz="4" w:space="0" w:color="auto"/>
            </w:tcBorders>
            <w:noWrap/>
            <w:vAlign w:val="center"/>
            <w:hideMark/>
          </w:tcPr>
          <w:p w14:paraId="3031A9B6"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Olivieri 2022</w:t>
            </w:r>
          </w:p>
        </w:tc>
        <w:tc>
          <w:tcPr>
            <w:tcW w:w="300" w:type="pct"/>
            <w:tcBorders>
              <w:top w:val="nil"/>
              <w:left w:val="nil"/>
              <w:bottom w:val="single" w:sz="4" w:space="0" w:color="auto"/>
              <w:right w:val="single" w:sz="4" w:space="0" w:color="auto"/>
            </w:tcBorders>
            <w:noWrap/>
            <w:vAlign w:val="center"/>
            <w:hideMark/>
          </w:tcPr>
          <w:p w14:paraId="7C486974"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CUA</w:t>
            </w:r>
          </w:p>
        </w:tc>
        <w:tc>
          <w:tcPr>
            <w:tcW w:w="939" w:type="pct"/>
            <w:tcBorders>
              <w:top w:val="nil"/>
              <w:left w:val="nil"/>
              <w:bottom w:val="single" w:sz="4" w:space="0" w:color="auto"/>
              <w:right w:val="single" w:sz="4" w:space="0" w:color="auto"/>
            </w:tcBorders>
            <w:noWrap/>
            <w:vAlign w:val="center"/>
            <w:hideMark/>
          </w:tcPr>
          <w:p w14:paraId="01028C24"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Markov</w:t>
            </w:r>
          </w:p>
        </w:tc>
        <w:tc>
          <w:tcPr>
            <w:tcW w:w="474" w:type="pct"/>
            <w:tcBorders>
              <w:top w:val="nil"/>
              <w:left w:val="nil"/>
              <w:bottom w:val="single" w:sz="4" w:space="0" w:color="auto"/>
              <w:right w:val="single" w:sz="4" w:space="0" w:color="auto"/>
            </w:tcBorders>
            <w:noWrap/>
            <w:vAlign w:val="center"/>
            <w:hideMark/>
          </w:tcPr>
          <w:p w14:paraId="59C70470"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Canada</w:t>
            </w:r>
          </w:p>
        </w:tc>
        <w:tc>
          <w:tcPr>
            <w:tcW w:w="2113" w:type="pct"/>
            <w:tcBorders>
              <w:top w:val="nil"/>
              <w:left w:val="nil"/>
              <w:bottom w:val="single" w:sz="4" w:space="0" w:color="auto"/>
              <w:right w:val="single" w:sz="4" w:space="0" w:color="auto"/>
            </w:tcBorders>
            <w:noWrap/>
            <w:vAlign w:val="center"/>
            <w:hideMark/>
          </w:tcPr>
          <w:p w14:paraId="430221D8"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Obese</w:t>
            </w:r>
          </w:p>
        </w:tc>
        <w:tc>
          <w:tcPr>
            <w:tcW w:w="526" w:type="pct"/>
            <w:tcBorders>
              <w:top w:val="nil"/>
              <w:left w:val="nil"/>
              <w:bottom w:val="single" w:sz="4" w:space="0" w:color="auto"/>
              <w:right w:val="single" w:sz="4" w:space="0" w:color="auto"/>
            </w:tcBorders>
            <w:noWrap/>
            <w:vAlign w:val="center"/>
            <w:hideMark/>
          </w:tcPr>
          <w:p w14:paraId="43D922A7"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Drug and beheavioural</w:t>
            </w:r>
          </w:p>
        </w:tc>
      </w:tr>
      <w:tr w:rsidR="004131F8" w:rsidRPr="004131F8" w14:paraId="45BB6F73" w14:textId="77777777" w:rsidTr="004131F8">
        <w:trPr>
          <w:trHeight w:val="290"/>
        </w:trPr>
        <w:tc>
          <w:tcPr>
            <w:tcW w:w="648" w:type="pct"/>
            <w:tcBorders>
              <w:top w:val="nil"/>
              <w:left w:val="single" w:sz="4" w:space="0" w:color="auto"/>
              <w:bottom w:val="single" w:sz="4" w:space="0" w:color="auto"/>
              <w:right w:val="single" w:sz="4" w:space="0" w:color="auto"/>
            </w:tcBorders>
            <w:noWrap/>
            <w:vAlign w:val="center"/>
            <w:hideMark/>
          </w:tcPr>
          <w:p w14:paraId="062EBC21" w14:textId="382C71C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Ontario Health 2023</w:t>
            </w:r>
            <w:r w:rsidR="00254B1C" w:rsidRPr="00254B1C">
              <w:rPr>
                <w:rFonts w:ascii="Calibri" w:eastAsia="Times New Roman" w:hAnsi="Calibri" w:cs="Calibri"/>
                <w:noProof/>
                <w:color w:val="000000"/>
                <w:sz w:val="16"/>
                <w:szCs w:val="16"/>
                <w:vertAlign w:val="superscript"/>
                <w:lang w:val="en-IE" w:eastAsia="en-IE"/>
              </w:rPr>
              <w:t>73</w:t>
            </w:r>
          </w:p>
        </w:tc>
        <w:tc>
          <w:tcPr>
            <w:tcW w:w="300" w:type="pct"/>
            <w:tcBorders>
              <w:top w:val="nil"/>
              <w:left w:val="nil"/>
              <w:bottom w:val="single" w:sz="4" w:space="0" w:color="auto"/>
              <w:right w:val="single" w:sz="4" w:space="0" w:color="auto"/>
            </w:tcBorders>
            <w:noWrap/>
            <w:vAlign w:val="center"/>
            <w:hideMark/>
          </w:tcPr>
          <w:p w14:paraId="49F3FBA7"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CUA</w:t>
            </w:r>
          </w:p>
        </w:tc>
        <w:tc>
          <w:tcPr>
            <w:tcW w:w="939" w:type="pct"/>
            <w:tcBorders>
              <w:top w:val="nil"/>
              <w:left w:val="nil"/>
              <w:bottom w:val="single" w:sz="4" w:space="0" w:color="auto"/>
              <w:right w:val="single" w:sz="4" w:space="0" w:color="auto"/>
            </w:tcBorders>
            <w:noWrap/>
            <w:vAlign w:val="center"/>
            <w:hideMark/>
          </w:tcPr>
          <w:p w14:paraId="300A2251"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Decision treeand MSM</w:t>
            </w:r>
          </w:p>
        </w:tc>
        <w:tc>
          <w:tcPr>
            <w:tcW w:w="474" w:type="pct"/>
            <w:tcBorders>
              <w:top w:val="nil"/>
              <w:left w:val="nil"/>
              <w:bottom w:val="single" w:sz="4" w:space="0" w:color="auto"/>
              <w:right w:val="single" w:sz="4" w:space="0" w:color="auto"/>
            </w:tcBorders>
            <w:noWrap/>
            <w:vAlign w:val="center"/>
            <w:hideMark/>
          </w:tcPr>
          <w:p w14:paraId="0FD33F71"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Canada</w:t>
            </w:r>
          </w:p>
        </w:tc>
        <w:tc>
          <w:tcPr>
            <w:tcW w:w="2113" w:type="pct"/>
            <w:tcBorders>
              <w:top w:val="nil"/>
              <w:left w:val="nil"/>
              <w:bottom w:val="single" w:sz="4" w:space="0" w:color="auto"/>
              <w:right w:val="single" w:sz="4" w:space="0" w:color="auto"/>
            </w:tcBorders>
            <w:noWrap/>
            <w:vAlign w:val="center"/>
            <w:hideMark/>
          </w:tcPr>
          <w:p w14:paraId="36358680"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Obese class I</w:t>
            </w:r>
          </w:p>
        </w:tc>
        <w:tc>
          <w:tcPr>
            <w:tcW w:w="526" w:type="pct"/>
            <w:tcBorders>
              <w:top w:val="nil"/>
              <w:left w:val="nil"/>
              <w:bottom w:val="single" w:sz="4" w:space="0" w:color="auto"/>
              <w:right w:val="single" w:sz="4" w:space="0" w:color="auto"/>
            </w:tcBorders>
            <w:noWrap/>
            <w:vAlign w:val="center"/>
            <w:hideMark/>
          </w:tcPr>
          <w:p w14:paraId="3E75BC09"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Surgery</w:t>
            </w:r>
          </w:p>
        </w:tc>
      </w:tr>
      <w:tr w:rsidR="004131F8" w:rsidRPr="004131F8" w14:paraId="30BF11C7" w14:textId="77777777" w:rsidTr="004131F8">
        <w:trPr>
          <w:trHeight w:val="290"/>
        </w:trPr>
        <w:tc>
          <w:tcPr>
            <w:tcW w:w="648" w:type="pct"/>
            <w:tcBorders>
              <w:top w:val="nil"/>
              <w:left w:val="single" w:sz="4" w:space="0" w:color="auto"/>
              <w:bottom w:val="single" w:sz="4" w:space="0" w:color="auto"/>
              <w:right w:val="single" w:sz="4" w:space="0" w:color="auto"/>
            </w:tcBorders>
            <w:noWrap/>
            <w:vAlign w:val="center"/>
            <w:hideMark/>
          </w:tcPr>
          <w:p w14:paraId="42AF61DF" w14:textId="59699745"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Paranjape 2021</w:t>
            </w:r>
            <w:r w:rsidR="00254B1C" w:rsidRPr="00254B1C">
              <w:rPr>
                <w:rFonts w:ascii="Calibri" w:eastAsia="Times New Roman" w:hAnsi="Calibri" w:cs="Calibri"/>
                <w:noProof/>
                <w:color w:val="000000"/>
                <w:sz w:val="16"/>
                <w:szCs w:val="16"/>
                <w:vertAlign w:val="superscript"/>
                <w:lang w:val="en-IE" w:eastAsia="en-IE"/>
              </w:rPr>
              <w:t>74</w:t>
            </w:r>
          </w:p>
        </w:tc>
        <w:tc>
          <w:tcPr>
            <w:tcW w:w="300" w:type="pct"/>
            <w:tcBorders>
              <w:top w:val="nil"/>
              <w:left w:val="nil"/>
              <w:bottom w:val="single" w:sz="4" w:space="0" w:color="auto"/>
              <w:right w:val="single" w:sz="4" w:space="0" w:color="auto"/>
            </w:tcBorders>
            <w:noWrap/>
            <w:vAlign w:val="center"/>
            <w:hideMark/>
          </w:tcPr>
          <w:p w14:paraId="5D4A92B5"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CUA</w:t>
            </w:r>
          </w:p>
        </w:tc>
        <w:tc>
          <w:tcPr>
            <w:tcW w:w="939" w:type="pct"/>
            <w:tcBorders>
              <w:top w:val="nil"/>
              <w:left w:val="nil"/>
              <w:bottom w:val="single" w:sz="4" w:space="0" w:color="auto"/>
              <w:right w:val="single" w:sz="4" w:space="0" w:color="auto"/>
            </w:tcBorders>
            <w:noWrap/>
            <w:vAlign w:val="center"/>
            <w:hideMark/>
          </w:tcPr>
          <w:p w14:paraId="10EB1CC6"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 xml:space="preserve">Markov </w:t>
            </w:r>
          </w:p>
        </w:tc>
        <w:tc>
          <w:tcPr>
            <w:tcW w:w="474" w:type="pct"/>
            <w:tcBorders>
              <w:top w:val="nil"/>
              <w:left w:val="nil"/>
              <w:bottom w:val="single" w:sz="4" w:space="0" w:color="auto"/>
              <w:right w:val="single" w:sz="4" w:space="0" w:color="auto"/>
            </w:tcBorders>
            <w:noWrap/>
            <w:vAlign w:val="center"/>
            <w:hideMark/>
          </w:tcPr>
          <w:p w14:paraId="26BB8470"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US</w:t>
            </w:r>
          </w:p>
        </w:tc>
        <w:tc>
          <w:tcPr>
            <w:tcW w:w="2113" w:type="pct"/>
            <w:tcBorders>
              <w:top w:val="nil"/>
              <w:left w:val="nil"/>
              <w:bottom w:val="single" w:sz="4" w:space="0" w:color="auto"/>
              <w:right w:val="single" w:sz="4" w:space="0" w:color="auto"/>
            </w:tcBorders>
            <w:noWrap/>
            <w:vAlign w:val="center"/>
            <w:hideMark/>
          </w:tcPr>
          <w:p w14:paraId="02D4927C"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Obese</w:t>
            </w:r>
          </w:p>
        </w:tc>
        <w:tc>
          <w:tcPr>
            <w:tcW w:w="526" w:type="pct"/>
            <w:tcBorders>
              <w:top w:val="nil"/>
              <w:left w:val="nil"/>
              <w:bottom w:val="single" w:sz="4" w:space="0" w:color="auto"/>
              <w:right w:val="single" w:sz="4" w:space="0" w:color="auto"/>
            </w:tcBorders>
            <w:noWrap/>
            <w:vAlign w:val="center"/>
            <w:hideMark/>
          </w:tcPr>
          <w:p w14:paraId="300451B3"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Surgery</w:t>
            </w:r>
          </w:p>
        </w:tc>
      </w:tr>
      <w:tr w:rsidR="004131F8" w:rsidRPr="004131F8" w14:paraId="3EE12A36" w14:textId="77777777" w:rsidTr="004131F8">
        <w:trPr>
          <w:trHeight w:val="290"/>
        </w:trPr>
        <w:tc>
          <w:tcPr>
            <w:tcW w:w="648" w:type="pct"/>
            <w:tcBorders>
              <w:top w:val="nil"/>
              <w:left w:val="single" w:sz="4" w:space="0" w:color="auto"/>
              <w:bottom w:val="single" w:sz="4" w:space="0" w:color="auto"/>
              <w:right w:val="single" w:sz="4" w:space="0" w:color="auto"/>
            </w:tcBorders>
            <w:noWrap/>
            <w:vAlign w:val="center"/>
            <w:hideMark/>
          </w:tcPr>
          <w:p w14:paraId="2D19D04B"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Paw 2019</w:t>
            </w:r>
          </w:p>
        </w:tc>
        <w:tc>
          <w:tcPr>
            <w:tcW w:w="300" w:type="pct"/>
            <w:tcBorders>
              <w:top w:val="nil"/>
              <w:left w:val="nil"/>
              <w:bottom w:val="single" w:sz="4" w:space="0" w:color="auto"/>
              <w:right w:val="single" w:sz="4" w:space="0" w:color="auto"/>
            </w:tcBorders>
            <w:noWrap/>
            <w:vAlign w:val="center"/>
            <w:hideMark/>
          </w:tcPr>
          <w:p w14:paraId="52588E48"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CUA</w:t>
            </w:r>
          </w:p>
        </w:tc>
        <w:tc>
          <w:tcPr>
            <w:tcW w:w="939" w:type="pct"/>
            <w:tcBorders>
              <w:top w:val="nil"/>
              <w:left w:val="nil"/>
              <w:bottom w:val="single" w:sz="4" w:space="0" w:color="auto"/>
              <w:right w:val="single" w:sz="4" w:space="0" w:color="auto"/>
            </w:tcBorders>
            <w:noWrap/>
            <w:vAlign w:val="center"/>
            <w:hideMark/>
          </w:tcPr>
          <w:p w14:paraId="2A575379"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 xml:space="preserve">Markov </w:t>
            </w:r>
          </w:p>
        </w:tc>
        <w:tc>
          <w:tcPr>
            <w:tcW w:w="474" w:type="pct"/>
            <w:tcBorders>
              <w:top w:val="nil"/>
              <w:left w:val="nil"/>
              <w:bottom w:val="single" w:sz="4" w:space="0" w:color="auto"/>
              <w:right w:val="single" w:sz="4" w:space="0" w:color="auto"/>
            </w:tcBorders>
            <w:noWrap/>
            <w:vAlign w:val="center"/>
            <w:hideMark/>
          </w:tcPr>
          <w:p w14:paraId="732A1156"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US</w:t>
            </w:r>
          </w:p>
        </w:tc>
        <w:tc>
          <w:tcPr>
            <w:tcW w:w="2113" w:type="pct"/>
            <w:tcBorders>
              <w:top w:val="nil"/>
              <w:left w:val="nil"/>
              <w:bottom w:val="single" w:sz="4" w:space="0" w:color="auto"/>
              <w:right w:val="single" w:sz="4" w:space="0" w:color="auto"/>
            </w:tcBorders>
            <w:noWrap/>
            <w:vAlign w:val="center"/>
            <w:hideMark/>
          </w:tcPr>
          <w:p w14:paraId="2FE7FBEA"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Morbid obesity</w:t>
            </w:r>
          </w:p>
        </w:tc>
        <w:tc>
          <w:tcPr>
            <w:tcW w:w="526" w:type="pct"/>
            <w:tcBorders>
              <w:top w:val="nil"/>
              <w:left w:val="nil"/>
              <w:bottom w:val="single" w:sz="4" w:space="0" w:color="auto"/>
              <w:right w:val="single" w:sz="4" w:space="0" w:color="auto"/>
            </w:tcBorders>
            <w:noWrap/>
            <w:vAlign w:val="center"/>
            <w:hideMark/>
          </w:tcPr>
          <w:p w14:paraId="71B81A98"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Surgery</w:t>
            </w:r>
          </w:p>
        </w:tc>
      </w:tr>
      <w:tr w:rsidR="004131F8" w:rsidRPr="004131F8" w14:paraId="03006815" w14:textId="77777777" w:rsidTr="004131F8">
        <w:trPr>
          <w:trHeight w:val="290"/>
        </w:trPr>
        <w:tc>
          <w:tcPr>
            <w:tcW w:w="648" w:type="pct"/>
            <w:tcBorders>
              <w:top w:val="nil"/>
              <w:left w:val="single" w:sz="4" w:space="0" w:color="auto"/>
              <w:bottom w:val="single" w:sz="4" w:space="0" w:color="auto"/>
              <w:right w:val="single" w:sz="4" w:space="0" w:color="auto"/>
            </w:tcBorders>
            <w:noWrap/>
            <w:vAlign w:val="center"/>
            <w:hideMark/>
          </w:tcPr>
          <w:p w14:paraId="5F1D3028"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Pollack 2021</w:t>
            </w:r>
          </w:p>
        </w:tc>
        <w:tc>
          <w:tcPr>
            <w:tcW w:w="300" w:type="pct"/>
            <w:tcBorders>
              <w:top w:val="nil"/>
              <w:left w:val="nil"/>
              <w:bottom w:val="single" w:sz="4" w:space="0" w:color="auto"/>
              <w:right w:val="single" w:sz="4" w:space="0" w:color="auto"/>
            </w:tcBorders>
            <w:noWrap/>
            <w:vAlign w:val="center"/>
            <w:hideMark/>
          </w:tcPr>
          <w:p w14:paraId="7DCD66DD"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CUA</w:t>
            </w:r>
          </w:p>
        </w:tc>
        <w:tc>
          <w:tcPr>
            <w:tcW w:w="939" w:type="pct"/>
            <w:tcBorders>
              <w:top w:val="nil"/>
              <w:left w:val="nil"/>
              <w:bottom w:val="single" w:sz="4" w:space="0" w:color="auto"/>
              <w:right w:val="single" w:sz="4" w:space="0" w:color="auto"/>
            </w:tcBorders>
            <w:noWrap/>
            <w:vAlign w:val="center"/>
            <w:hideMark/>
          </w:tcPr>
          <w:p w14:paraId="4BF0218C"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 xml:space="preserve">Markov </w:t>
            </w:r>
          </w:p>
        </w:tc>
        <w:tc>
          <w:tcPr>
            <w:tcW w:w="474" w:type="pct"/>
            <w:tcBorders>
              <w:top w:val="nil"/>
              <w:left w:val="nil"/>
              <w:bottom w:val="single" w:sz="4" w:space="0" w:color="auto"/>
              <w:right w:val="single" w:sz="4" w:space="0" w:color="auto"/>
            </w:tcBorders>
            <w:noWrap/>
            <w:vAlign w:val="center"/>
            <w:hideMark/>
          </w:tcPr>
          <w:p w14:paraId="5643DC0A"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US</w:t>
            </w:r>
          </w:p>
        </w:tc>
        <w:tc>
          <w:tcPr>
            <w:tcW w:w="2113" w:type="pct"/>
            <w:tcBorders>
              <w:top w:val="nil"/>
              <w:left w:val="nil"/>
              <w:bottom w:val="single" w:sz="4" w:space="0" w:color="auto"/>
              <w:right w:val="single" w:sz="4" w:space="0" w:color="auto"/>
            </w:tcBorders>
            <w:noWrap/>
            <w:vAlign w:val="center"/>
            <w:hideMark/>
          </w:tcPr>
          <w:p w14:paraId="045D3FDB"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Obese</w:t>
            </w:r>
          </w:p>
        </w:tc>
        <w:tc>
          <w:tcPr>
            <w:tcW w:w="526" w:type="pct"/>
            <w:tcBorders>
              <w:top w:val="nil"/>
              <w:left w:val="nil"/>
              <w:bottom w:val="single" w:sz="4" w:space="0" w:color="auto"/>
              <w:right w:val="single" w:sz="4" w:space="0" w:color="auto"/>
            </w:tcBorders>
            <w:noWrap/>
            <w:vAlign w:val="center"/>
            <w:hideMark/>
          </w:tcPr>
          <w:p w14:paraId="08676E55"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Surgery</w:t>
            </w:r>
          </w:p>
        </w:tc>
      </w:tr>
      <w:tr w:rsidR="004131F8" w:rsidRPr="004131F8" w14:paraId="2A597763" w14:textId="77777777" w:rsidTr="004131F8">
        <w:trPr>
          <w:trHeight w:val="290"/>
        </w:trPr>
        <w:tc>
          <w:tcPr>
            <w:tcW w:w="648" w:type="pct"/>
            <w:tcBorders>
              <w:top w:val="nil"/>
              <w:left w:val="single" w:sz="4" w:space="0" w:color="auto"/>
              <w:bottom w:val="single" w:sz="4" w:space="0" w:color="auto"/>
              <w:right w:val="single" w:sz="4" w:space="0" w:color="auto"/>
            </w:tcBorders>
            <w:noWrap/>
            <w:vAlign w:val="center"/>
            <w:hideMark/>
          </w:tcPr>
          <w:p w14:paraId="41A59FC2" w14:textId="5655F9F3"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Premkumar, 2020</w:t>
            </w:r>
            <w:r w:rsidR="00254B1C" w:rsidRPr="00254B1C">
              <w:rPr>
                <w:rFonts w:ascii="Calibri" w:eastAsia="Times New Roman" w:hAnsi="Calibri" w:cs="Calibri"/>
                <w:noProof/>
                <w:color w:val="000000"/>
                <w:sz w:val="16"/>
                <w:szCs w:val="16"/>
                <w:vertAlign w:val="superscript"/>
                <w:lang w:val="en-IE" w:eastAsia="en-IE"/>
              </w:rPr>
              <w:t>75</w:t>
            </w:r>
          </w:p>
        </w:tc>
        <w:tc>
          <w:tcPr>
            <w:tcW w:w="300" w:type="pct"/>
            <w:tcBorders>
              <w:top w:val="nil"/>
              <w:left w:val="nil"/>
              <w:bottom w:val="single" w:sz="4" w:space="0" w:color="auto"/>
              <w:right w:val="single" w:sz="4" w:space="0" w:color="auto"/>
            </w:tcBorders>
            <w:noWrap/>
            <w:vAlign w:val="center"/>
            <w:hideMark/>
          </w:tcPr>
          <w:p w14:paraId="09EE9CD0"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 </w:t>
            </w:r>
          </w:p>
        </w:tc>
        <w:tc>
          <w:tcPr>
            <w:tcW w:w="939" w:type="pct"/>
            <w:tcBorders>
              <w:top w:val="nil"/>
              <w:left w:val="nil"/>
              <w:bottom w:val="single" w:sz="4" w:space="0" w:color="auto"/>
              <w:right w:val="single" w:sz="4" w:space="0" w:color="auto"/>
            </w:tcBorders>
            <w:noWrap/>
            <w:vAlign w:val="center"/>
            <w:hideMark/>
          </w:tcPr>
          <w:p w14:paraId="22029F0C"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w:t>
            </w:r>
          </w:p>
        </w:tc>
        <w:tc>
          <w:tcPr>
            <w:tcW w:w="474" w:type="pct"/>
            <w:tcBorders>
              <w:top w:val="nil"/>
              <w:left w:val="nil"/>
              <w:bottom w:val="single" w:sz="4" w:space="0" w:color="auto"/>
              <w:right w:val="single" w:sz="4" w:space="0" w:color="auto"/>
            </w:tcBorders>
            <w:noWrap/>
            <w:vAlign w:val="center"/>
            <w:hideMark/>
          </w:tcPr>
          <w:p w14:paraId="599C4DC6"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 </w:t>
            </w:r>
          </w:p>
        </w:tc>
        <w:tc>
          <w:tcPr>
            <w:tcW w:w="2113" w:type="pct"/>
            <w:tcBorders>
              <w:top w:val="nil"/>
              <w:left w:val="nil"/>
              <w:bottom w:val="single" w:sz="4" w:space="0" w:color="auto"/>
              <w:right w:val="single" w:sz="4" w:space="0" w:color="auto"/>
            </w:tcBorders>
            <w:noWrap/>
            <w:vAlign w:val="center"/>
            <w:hideMark/>
          </w:tcPr>
          <w:p w14:paraId="5C608A88"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 </w:t>
            </w:r>
          </w:p>
        </w:tc>
        <w:tc>
          <w:tcPr>
            <w:tcW w:w="526" w:type="pct"/>
            <w:tcBorders>
              <w:top w:val="nil"/>
              <w:left w:val="nil"/>
              <w:bottom w:val="single" w:sz="4" w:space="0" w:color="auto"/>
              <w:right w:val="single" w:sz="4" w:space="0" w:color="auto"/>
            </w:tcBorders>
            <w:noWrap/>
            <w:vAlign w:val="center"/>
            <w:hideMark/>
          </w:tcPr>
          <w:p w14:paraId="7EAF68EE"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 </w:t>
            </w:r>
          </w:p>
        </w:tc>
      </w:tr>
      <w:tr w:rsidR="004131F8" w:rsidRPr="004131F8" w14:paraId="6BB0F9AF" w14:textId="77777777" w:rsidTr="004131F8">
        <w:trPr>
          <w:trHeight w:val="290"/>
        </w:trPr>
        <w:tc>
          <w:tcPr>
            <w:tcW w:w="648" w:type="pct"/>
            <w:tcBorders>
              <w:top w:val="nil"/>
              <w:left w:val="single" w:sz="4" w:space="0" w:color="auto"/>
              <w:bottom w:val="single" w:sz="4" w:space="0" w:color="auto"/>
              <w:right w:val="single" w:sz="4" w:space="0" w:color="auto"/>
            </w:tcBorders>
            <w:noWrap/>
            <w:vAlign w:val="center"/>
            <w:hideMark/>
          </w:tcPr>
          <w:p w14:paraId="4545CD6F"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Retat 2019b</w:t>
            </w:r>
          </w:p>
        </w:tc>
        <w:tc>
          <w:tcPr>
            <w:tcW w:w="300" w:type="pct"/>
            <w:tcBorders>
              <w:top w:val="nil"/>
              <w:left w:val="nil"/>
              <w:bottom w:val="single" w:sz="4" w:space="0" w:color="auto"/>
              <w:right w:val="single" w:sz="4" w:space="0" w:color="auto"/>
            </w:tcBorders>
            <w:noWrap/>
            <w:vAlign w:val="center"/>
            <w:hideMark/>
          </w:tcPr>
          <w:p w14:paraId="21E6E535"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CUA</w:t>
            </w:r>
          </w:p>
        </w:tc>
        <w:tc>
          <w:tcPr>
            <w:tcW w:w="939" w:type="pct"/>
            <w:tcBorders>
              <w:top w:val="nil"/>
              <w:left w:val="nil"/>
              <w:bottom w:val="single" w:sz="4" w:space="0" w:color="auto"/>
              <w:right w:val="single" w:sz="4" w:space="0" w:color="auto"/>
            </w:tcBorders>
            <w:noWrap/>
            <w:vAlign w:val="center"/>
            <w:hideMark/>
          </w:tcPr>
          <w:p w14:paraId="31F3D97A"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Microsimulation</w:t>
            </w:r>
          </w:p>
        </w:tc>
        <w:tc>
          <w:tcPr>
            <w:tcW w:w="474" w:type="pct"/>
            <w:tcBorders>
              <w:top w:val="nil"/>
              <w:left w:val="nil"/>
              <w:bottom w:val="single" w:sz="4" w:space="0" w:color="auto"/>
              <w:right w:val="single" w:sz="4" w:space="0" w:color="auto"/>
            </w:tcBorders>
            <w:noWrap/>
            <w:vAlign w:val="center"/>
            <w:hideMark/>
          </w:tcPr>
          <w:p w14:paraId="72EAF223"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UK</w:t>
            </w:r>
          </w:p>
        </w:tc>
        <w:tc>
          <w:tcPr>
            <w:tcW w:w="2113" w:type="pct"/>
            <w:tcBorders>
              <w:top w:val="nil"/>
              <w:left w:val="nil"/>
              <w:bottom w:val="single" w:sz="4" w:space="0" w:color="auto"/>
              <w:right w:val="single" w:sz="4" w:space="0" w:color="auto"/>
            </w:tcBorders>
            <w:noWrap/>
            <w:vAlign w:val="center"/>
            <w:hideMark/>
          </w:tcPr>
          <w:p w14:paraId="3A581A3B"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Obese class I-III</w:t>
            </w:r>
          </w:p>
        </w:tc>
        <w:tc>
          <w:tcPr>
            <w:tcW w:w="526" w:type="pct"/>
            <w:tcBorders>
              <w:top w:val="nil"/>
              <w:left w:val="nil"/>
              <w:bottom w:val="single" w:sz="4" w:space="0" w:color="auto"/>
              <w:right w:val="single" w:sz="4" w:space="0" w:color="auto"/>
            </w:tcBorders>
            <w:noWrap/>
            <w:vAlign w:val="center"/>
            <w:hideMark/>
          </w:tcPr>
          <w:p w14:paraId="60F32A77"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Behavioural</w:t>
            </w:r>
          </w:p>
        </w:tc>
      </w:tr>
      <w:tr w:rsidR="004131F8" w:rsidRPr="004131F8" w14:paraId="3BEA55C8" w14:textId="77777777" w:rsidTr="004131F8">
        <w:trPr>
          <w:trHeight w:val="290"/>
        </w:trPr>
        <w:tc>
          <w:tcPr>
            <w:tcW w:w="648" w:type="pct"/>
            <w:tcBorders>
              <w:top w:val="nil"/>
              <w:left w:val="single" w:sz="4" w:space="0" w:color="auto"/>
              <w:bottom w:val="single" w:sz="4" w:space="0" w:color="auto"/>
              <w:right w:val="single" w:sz="4" w:space="0" w:color="auto"/>
            </w:tcBorders>
            <w:noWrap/>
            <w:vAlign w:val="center"/>
            <w:hideMark/>
          </w:tcPr>
          <w:p w14:paraId="7F67A256" w14:textId="46268BEA"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Retat, 2019a</w:t>
            </w:r>
            <w:r w:rsidR="00254B1C" w:rsidRPr="00254B1C">
              <w:rPr>
                <w:rFonts w:ascii="Calibri" w:eastAsia="Times New Roman" w:hAnsi="Calibri" w:cs="Calibri"/>
                <w:noProof/>
                <w:color w:val="000000"/>
                <w:sz w:val="16"/>
                <w:szCs w:val="16"/>
                <w:vertAlign w:val="superscript"/>
                <w:lang w:val="en-IE" w:eastAsia="en-IE"/>
              </w:rPr>
              <w:t>76</w:t>
            </w:r>
          </w:p>
        </w:tc>
        <w:tc>
          <w:tcPr>
            <w:tcW w:w="300" w:type="pct"/>
            <w:tcBorders>
              <w:top w:val="nil"/>
              <w:left w:val="nil"/>
              <w:bottom w:val="single" w:sz="4" w:space="0" w:color="auto"/>
              <w:right w:val="single" w:sz="4" w:space="0" w:color="auto"/>
            </w:tcBorders>
            <w:noWrap/>
            <w:vAlign w:val="center"/>
            <w:hideMark/>
          </w:tcPr>
          <w:p w14:paraId="45CBAF82"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CUA</w:t>
            </w:r>
          </w:p>
        </w:tc>
        <w:tc>
          <w:tcPr>
            <w:tcW w:w="939" w:type="pct"/>
            <w:tcBorders>
              <w:top w:val="nil"/>
              <w:left w:val="nil"/>
              <w:bottom w:val="single" w:sz="4" w:space="0" w:color="auto"/>
              <w:right w:val="single" w:sz="4" w:space="0" w:color="auto"/>
            </w:tcBorders>
            <w:noWrap/>
            <w:vAlign w:val="center"/>
            <w:hideMark/>
          </w:tcPr>
          <w:p w14:paraId="3218E837"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Microsimulation</w:t>
            </w:r>
          </w:p>
        </w:tc>
        <w:tc>
          <w:tcPr>
            <w:tcW w:w="474" w:type="pct"/>
            <w:tcBorders>
              <w:top w:val="nil"/>
              <w:left w:val="nil"/>
              <w:bottom w:val="single" w:sz="4" w:space="0" w:color="auto"/>
              <w:right w:val="single" w:sz="4" w:space="0" w:color="auto"/>
            </w:tcBorders>
            <w:noWrap/>
            <w:vAlign w:val="center"/>
            <w:hideMark/>
          </w:tcPr>
          <w:p w14:paraId="00916598"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UK</w:t>
            </w:r>
          </w:p>
        </w:tc>
        <w:tc>
          <w:tcPr>
            <w:tcW w:w="2113" w:type="pct"/>
            <w:tcBorders>
              <w:top w:val="nil"/>
              <w:left w:val="nil"/>
              <w:bottom w:val="single" w:sz="4" w:space="0" w:color="auto"/>
              <w:right w:val="single" w:sz="4" w:space="0" w:color="auto"/>
            </w:tcBorders>
            <w:noWrap/>
            <w:vAlign w:val="center"/>
            <w:hideMark/>
          </w:tcPr>
          <w:p w14:paraId="64F32300"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Obese</w:t>
            </w:r>
          </w:p>
        </w:tc>
        <w:tc>
          <w:tcPr>
            <w:tcW w:w="526" w:type="pct"/>
            <w:tcBorders>
              <w:top w:val="nil"/>
              <w:left w:val="nil"/>
              <w:bottom w:val="single" w:sz="4" w:space="0" w:color="auto"/>
              <w:right w:val="single" w:sz="4" w:space="0" w:color="auto"/>
            </w:tcBorders>
            <w:noWrap/>
            <w:vAlign w:val="center"/>
            <w:hideMark/>
          </w:tcPr>
          <w:p w14:paraId="5E92AC56"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Behavioural</w:t>
            </w:r>
          </w:p>
        </w:tc>
      </w:tr>
      <w:tr w:rsidR="004131F8" w:rsidRPr="004131F8" w14:paraId="1C44E076" w14:textId="77777777" w:rsidTr="004131F8">
        <w:trPr>
          <w:trHeight w:val="290"/>
        </w:trPr>
        <w:tc>
          <w:tcPr>
            <w:tcW w:w="648" w:type="pct"/>
            <w:tcBorders>
              <w:top w:val="nil"/>
              <w:left w:val="single" w:sz="4" w:space="0" w:color="auto"/>
              <w:bottom w:val="single" w:sz="4" w:space="0" w:color="auto"/>
              <w:right w:val="single" w:sz="4" w:space="0" w:color="auto"/>
            </w:tcBorders>
            <w:noWrap/>
            <w:vAlign w:val="center"/>
            <w:hideMark/>
          </w:tcPr>
          <w:p w14:paraId="27E99AC5"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Rieder 2016</w:t>
            </w:r>
          </w:p>
        </w:tc>
        <w:tc>
          <w:tcPr>
            <w:tcW w:w="300" w:type="pct"/>
            <w:tcBorders>
              <w:top w:val="nil"/>
              <w:left w:val="nil"/>
              <w:bottom w:val="single" w:sz="4" w:space="0" w:color="auto"/>
              <w:right w:val="single" w:sz="4" w:space="0" w:color="auto"/>
            </w:tcBorders>
            <w:noWrap/>
            <w:vAlign w:val="center"/>
            <w:hideMark/>
          </w:tcPr>
          <w:p w14:paraId="47E34B7C"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CUA</w:t>
            </w:r>
          </w:p>
        </w:tc>
        <w:tc>
          <w:tcPr>
            <w:tcW w:w="939" w:type="pct"/>
            <w:tcBorders>
              <w:top w:val="nil"/>
              <w:left w:val="nil"/>
              <w:bottom w:val="single" w:sz="4" w:space="0" w:color="auto"/>
              <w:right w:val="single" w:sz="4" w:space="0" w:color="auto"/>
            </w:tcBorders>
            <w:noWrap/>
            <w:vAlign w:val="center"/>
            <w:hideMark/>
          </w:tcPr>
          <w:p w14:paraId="75D3BEAB"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Markov</w:t>
            </w:r>
          </w:p>
        </w:tc>
        <w:tc>
          <w:tcPr>
            <w:tcW w:w="474" w:type="pct"/>
            <w:tcBorders>
              <w:top w:val="nil"/>
              <w:left w:val="nil"/>
              <w:bottom w:val="single" w:sz="4" w:space="0" w:color="auto"/>
              <w:right w:val="single" w:sz="4" w:space="0" w:color="auto"/>
            </w:tcBorders>
            <w:noWrap/>
            <w:vAlign w:val="center"/>
            <w:hideMark/>
          </w:tcPr>
          <w:p w14:paraId="5746922B"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Canada</w:t>
            </w:r>
          </w:p>
        </w:tc>
        <w:tc>
          <w:tcPr>
            <w:tcW w:w="2113" w:type="pct"/>
            <w:tcBorders>
              <w:top w:val="nil"/>
              <w:left w:val="nil"/>
              <w:bottom w:val="single" w:sz="4" w:space="0" w:color="auto"/>
              <w:right w:val="single" w:sz="4" w:space="0" w:color="auto"/>
            </w:tcBorders>
            <w:noWrap/>
            <w:vAlign w:val="center"/>
            <w:hideMark/>
          </w:tcPr>
          <w:p w14:paraId="496252C3"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Obese</w:t>
            </w:r>
          </w:p>
        </w:tc>
        <w:tc>
          <w:tcPr>
            <w:tcW w:w="526" w:type="pct"/>
            <w:tcBorders>
              <w:top w:val="nil"/>
              <w:left w:val="nil"/>
              <w:bottom w:val="single" w:sz="4" w:space="0" w:color="auto"/>
              <w:right w:val="single" w:sz="4" w:space="0" w:color="auto"/>
            </w:tcBorders>
            <w:noWrap/>
            <w:vAlign w:val="center"/>
            <w:hideMark/>
          </w:tcPr>
          <w:p w14:paraId="5C0DE632"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Surgery</w:t>
            </w:r>
          </w:p>
        </w:tc>
      </w:tr>
      <w:tr w:rsidR="004131F8" w:rsidRPr="004131F8" w14:paraId="65895E2D" w14:textId="77777777" w:rsidTr="004131F8">
        <w:trPr>
          <w:trHeight w:val="290"/>
        </w:trPr>
        <w:tc>
          <w:tcPr>
            <w:tcW w:w="648" w:type="pct"/>
            <w:tcBorders>
              <w:top w:val="nil"/>
              <w:left w:val="single" w:sz="4" w:space="0" w:color="auto"/>
              <w:bottom w:val="single" w:sz="4" w:space="0" w:color="auto"/>
              <w:right w:val="single" w:sz="4" w:space="0" w:color="auto"/>
            </w:tcBorders>
            <w:noWrap/>
            <w:vAlign w:val="center"/>
            <w:hideMark/>
          </w:tcPr>
          <w:p w14:paraId="1963CF9C" w14:textId="127C40F1"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Rognoni, 2020</w:t>
            </w:r>
            <w:r w:rsidR="00254B1C" w:rsidRPr="00254B1C">
              <w:rPr>
                <w:rFonts w:ascii="Calibri" w:eastAsia="Times New Roman" w:hAnsi="Calibri" w:cs="Calibri"/>
                <w:noProof/>
                <w:color w:val="000000"/>
                <w:sz w:val="16"/>
                <w:szCs w:val="16"/>
                <w:vertAlign w:val="superscript"/>
                <w:lang w:val="en-IE" w:eastAsia="en-IE"/>
              </w:rPr>
              <w:t>77</w:t>
            </w:r>
          </w:p>
        </w:tc>
        <w:tc>
          <w:tcPr>
            <w:tcW w:w="300" w:type="pct"/>
            <w:tcBorders>
              <w:top w:val="nil"/>
              <w:left w:val="nil"/>
              <w:bottom w:val="single" w:sz="4" w:space="0" w:color="auto"/>
              <w:right w:val="single" w:sz="4" w:space="0" w:color="auto"/>
            </w:tcBorders>
            <w:noWrap/>
            <w:vAlign w:val="center"/>
            <w:hideMark/>
          </w:tcPr>
          <w:p w14:paraId="252044C0"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CUA</w:t>
            </w:r>
          </w:p>
        </w:tc>
        <w:tc>
          <w:tcPr>
            <w:tcW w:w="939" w:type="pct"/>
            <w:tcBorders>
              <w:top w:val="nil"/>
              <w:left w:val="nil"/>
              <w:bottom w:val="single" w:sz="4" w:space="0" w:color="auto"/>
              <w:right w:val="single" w:sz="4" w:space="0" w:color="auto"/>
            </w:tcBorders>
            <w:noWrap/>
            <w:vAlign w:val="center"/>
            <w:hideMark/>
          </w:tcPr>
          <w:p w14:paraId="61FA529D"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Markov</w:t>
            </w:r>
          </w:p>
        </w:tc>
        <w:tc>
          <w:tcPr>
            <w:tcW w:w="474" w:type="pct"/>
            <w:tcBorders>
              <w:top w:val="nil"/>
              <w:left w:val="nil"/>
              <w:bottom w:val="single" w:sz="4" w:space="0" w:color="auto"/>
              <w:right w:val="single" w:sz="4" w:space="0" w:color="auto"/>
            </w:tcBorders>
            <w:noWrap/>
            <w:vAlign w:val="center"/>
            <w:hideMark/>
          </w:tcPr>
          <w:p w14:paraId="5B403B35"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Italy</w:t>
            </w:r>
          </w:p>
        </w:tc>
        <w:tc>
          <w:tcPr>
            <w:tcW w:w="2113" w:type="pct"/>
            <w:tcBorders>
              <w:top w:val="nil"/>
              <w:left w:val="nil"/>
              <w:bottom w:val="single" w:sz="4" w:space="0" w:color="auto"/>
              <w:right w:val="single" w:sz="4" w:space="0" w:color="auto"/>
            </w:tcBorders>
            <w:noWrap/>
            <w:vAlign w:val="center"/>
            <w:hideMark/>
          </w:tcPr>
          <w:p w14:paraId="4A2C48DA"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Obese</w:t>
            </w:r>
          </w:p>
        </w:tc>
        <w:tc>
          <w:tcPr>
            <w:tcW w:w="526" w:type="pct"/>
            <w:tcBorders>
              <w:top w:val="nil"/>
              <w:left w:val="nil"/>
              <w:bottom w:val="single" w:sz="4" w:space="0" w:color="auto"/>
              <w:right w:val="single" w:sz="4" w:space="0" w:color="auto"/>
            </w:tcBorders>
            <w:noWrap/>
            <w:vAlign w:val="center"/>
            <w:hideMark/>
          </w:tcPr>
          <w:p w14:paraId="1FF3C2EA"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Surgery</w:t>
            </w:r>
          </w:p>
        </w:tc>
      </w:tr>
      <w:tr w:rsidR="004131F8" w:rsidRPr="004131F8" w14:paraId="29614C0D" w14:textId="77777777" w:rsidTr="004131F8">
        <w:trPr>
          <w:trHeight w:val="290"/>
        </w:trPr>
        <w:tc>
          <w:tcPr>
            <w:tcW w:w="648" w:type="pct"/>
            <w:tcBorders>
              <w:top w:val="nil"/>
              <w:left w:val="single" w:sz="4" w:space="0" w:color="auto"/>
              <w:bottom w:val="single" w:sz="4" w:space="0" w:color="auto"/>
              <w:right w:val="single" w:sz="4" w:space="0" w:color="auto"/>
            </w:tcBorders>
            <w:noWrap/>
            <w:vAlign w:val="center"/>
            <w:hideMark/>
          </w:tcPr>
          <w:p w14:paraId="61EED603" w14:textId="17E4671C"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Sanchez-Santos, 2018</w:t>
            </w:r>
            <w:r w:rsidR="00254B1C" w:rsidRPr="00254B1C">
              <w:rPr>
                <w:rFonts w:ascii="Calibri" w:eastAsia="Times New Roman" w:hAnsi="Calibri" w:cs="Calibri"/>
                <w:noProof/>
                <w:color w:val="000000"/>
                <w:sz w:val="16"/>
                <w:szCs w:val="16"/>
                <w:vertAlign w:val="superscript"/>
                <w:lang w:val="en-IE" w:eastAsia="en-IE"/>
              </w:rPr>
              <w:t>78</w:t>
            </w:r>
          </w:p>
        </w:tc>
        <w:tc>
          <w:tcPr>
            <w:tcW w:w="300" w:type="pct"/>
            <w:tcBorders>
              <w:top w:val="nil"/>
              <w:left w:val="nil"/>
              <w:bottom w:val="single" w:sz="4" w:space="0" w:color="auto"/>
              <w:right w:val="single" w:sz="4" w:space="0" w:color="auto"/>
            </w:tcBorders>
            <w:noWrap/>
            <w:vAlign w:val="center"/>
            <w:hideMark/>
          </w:tcPr>
          <w:p w14:paraId="22951FFC"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CUA</w:t>
            </w:r>
          </w:p>
        </w:tc>
        <w:tc>
          <w:tcPr>
            <w:tcW w:w="939" w:type="pct"/>
            <w:tcBorders>
              <w:top w:val="nil"/>
              <w:left w:val="nil"/>
              <w:bottom w:val="single" w:sz="4" w:space="0" w:color="auto"/>
              <w:right w:val="single" w:sz="4" w:space="0" w:color="auto"/>
            </w:tcBorders>
            <w:noWrap/>
            <w:vAlign w:val="center"/>
            <w:hideMark/>
          </w:tcPr>
          <w:p w14:paraId="4DF8D9CB"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Markov</w:t>
            </w:r>
          </w:p>
        </w:tc>
        <w:tc>
          <w:tcPr>
            <w:tcW w:w="474" w:type="pct"/>
            <w:tcBorders>
              <w:top w:val="nil"/>
              <w:left w:val="nil"/>
              <w:bottom w:val="single" w:sz="4" w:space="0" w:color="auto"/>
              <w:right w:val="single" w:sz="4" w:space="0" w:color="auto"/>
            </w:tcBorders>
            <w:noWrap/>
            <w:vAlign w:val="center"/>
            <w:hideMark/>
          </w:tcPr>
          <w:p w14:paraId="5EC81304"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Spain</w:t>
            </w:r>
          </w:p>
        </w:tc>
        <w:tc>
          <w:tcPr>
            <w:tcW w:w="2113" w:type="pct"/>
            <w:tcBorders>
              <w:top w:val="nil"/>
              <w:left w:val="nil"/>
              <w:bottom w:val="single" w:sz="4" w:space="0" w:color="auto"/>
              <w:right w:val="single" w:sz="4" w:space="0" w:color="auto"/>
            </w:tcBorders>
            <w:noWrap/>
            <w:vAlign w:val="center"/>
            <w:hideMark/>
          </w:tcPr>
          <w:p w14:paraId="3C8E6B3A"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Morbid obesity</w:t>
            </w:r>
          </w:p>
        </w:tc>
        <w:tc>
          <w:tcPr>
            <w:tcW w:w="526" w:type="pct"/>
            <w:tcBorders>
              <w:top w:val="nil"/>
              <w:left w:val="nil"/>
              <w:bottom w:val="single" w:sz="4" w:space="0" w:color="auto"/>
              <w:right w:val="single" w:sz="4" w:space="0" w:color="auto"/>
            </w:tcBorders>
            <w:noWrap/>
            <w:vAlign w:val="center"/>
            <w:hideMark/>
          </w:tcPr>
          <w:p w14:paraId="3EB463B1"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Surgery</w:t>
            </w:r>
          </w:p>
        </w:tc>
      </w:tr>
      <w:tr w:rsidR="004131F8" w:rsidRPr="004131F8" w14:paraId="39C076BE" w14:textId="77777777" w:rsidTr="004131F8">
        <w:trPr>
          <w:trHeight w:val="290"/>
        </w:trPr>
        <w:tc>
          <w:tcPr>
            <w:tcW w:w="648" w:type="pct"/>
            <w:tcBorders>
              <w:top w:val="nil"/>
              <w:left w:val="single" w:sz="4" w:space="0" w:color="auto"/>
              <w:bottom w:val="single" w:sz="4" w:space="0" w:color="auto"/>
              <w:right w:val="single" w:sz="4" w:space="0" w:color="auto"/>
            </w:tcBorders>
            <w:noWrap/>
            <w:vAlign w:val="center"/>
            <w:hideMark/>
          </w:tcPr>
          <w:p w14:paraId="14AF64E5" w14:textId="741E44E4"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Sandhu, 2023</w:t>
            </w:r>
            <w:r w:rsidR="00254B1C" w:rsidRPr="00254B1C">
              <w:rPr>
                <w:rFonts w:ascii="Calibri" w:eastAsia="Times New Roman" w:hAnsi="Calibri" w:cs="Calibri"/>
                <w:noProof/>
                <w:color w:val="000000"/>
                <w:sz w:val="16"/>
                <w:szCs w:val="16"/>
                <w:vertAlign w:val="superscript"/>
                <w:lang w:val="en-IE" w:eastAsia="en-IE"/>
              </w:rPr>
              <w:t>79</w:t>
            </w:r>
          </w:p>
        </w:tc>
        <w:tc>
          <w:tcPr>
            <w:tcW w:w="300" w:type="pct"/>
            <w:tcBorders>
              <w:top w:val="nil"/>
              <w:left w:val="nil"/>
              <w:bottom w:val="single" w:sz="4" w:space="0" w:color="auto"/>
              <w:right w:val="single" w:sz="4" w:space="0" w:color="auto"/>
            </w:tcBorders>
            <w:noWrap/>
            <w:vAlign w:val="center"/>
            <w:hideMark/>
          </w:tcPr>
          <w:p w14:paraId="27BE5453"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CUA</w:t>
            </w:r>
          </w:p>
        </w:tc>
        <w:tc>
          <w:tcPr>
            <w:tcW w:w="939" w:type="pct"/>
            <w:tcBorders>
              <w:top w:val="nil"/>
              <w:left w:val="nil"/>
              <w:bottom w:val="single" w:sz="4" w:space="0" w:color="auto"/>
              <w:right w:val="single" w:sz="4" w:space="0" w:color="auto"/>
            </w:tcBorders>
            <w:noWrap/>
            <w:vAlign w:val="center"/>
            <w:hideMark/>
          </w:tcPr>
          <w:p w14:paraId="4BB5B14B"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Markov</w:t>
            </w:r>
          </w:p>
        </w:tc>
        <w:tc>
          <w:tcPr>
            <w:tcW w:w="474" w:type="pct"/>
            <w:tcBorders>
              <w:top w:val="nil"/>
              <w:left w:val="nil"/>
              <w:bottom w:val="single" w:sz="4" w:space="0" w:color="auto"/>
              <w:right w:val="single" w:sz="4" w:space="0" w:color="auto"/>
            </w:tcBorders>
            <w:noWrap/>
            <w:vAlign w:val="center"/>
            <w:hideMark/>
          </w:tcPr>
          <w:p w14:paraId="145F6C7B"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UK</w:t>
            </w:r>
          </w:p>
        </w:tc>
        <w:tc>
          <w:tcPr>
            <w:tcW w:w="2113" w:type="pct"/>
            <w:tcBorders>
              <w:top w:val="nil"/>
              <w:left w:val="nil"/>
              <w:bottom w:val="single" w:sz="4" w:space="0" w:color="auto"/>
              <w:right w:val="single" w:sz="4" w:space="0" w:color="auto"/>
            </w:tcBorders>
            <w:noWrap/>
            <w:vAlign w:val="center"/>
            <w:hideMark/>
          </w:tcPr>
          <w:p w14:paraId="2BD1632E"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Obese</w:t>
            </w:r>
          </w:p>
        </w:tc>
        <w:tc>
          <w:tcPr>
            <w:tcW w:w="526" w:type="pct"/>
            <w:tcBorders>
              <w:top w:val="nil"/>
              <w:left w:val="nil"/>
              <w:bottom w:val="single" w:sz="4" w:space="0" w:color="auto"/>
              <w:right w:val="single" w:sz="4" w:space="0" w:color="auto"/>
            </w:tcBorders>
            <w:noWrap/>
            <w:vAlign w:val="center"/>
            <w:hideMark/>
          </w:tcPr>
          <w:p w14:paraId="1AD6B3E7"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Drug</w:t>
            </w:r>
          </w:p>
        </w:tc>
      </w:tr>
      <w:tr w:rsidR="004131F8" w:rsidRPr="004131F8" w14:paraId="114B2A8D" w14:textId="77777777" w:rsidTr="004131F8">
        <w:trPr>
          <w:trHeight w:val="290"/>
        </w:trPr>
        <w:tc>
          <w:tcPr>
            <w:tcW w:w="648" w:type="pct"/>
            <w:tcBorders>
              <w:top w:val="nil"/>
              <w:left w:val="single" w:sz="4" w:space="0" w:color="auto"/>
              <w:bottom w:val="single" w:sz="4" w:space="0" w:color="auto"/>
              <w:right w:val="single" w:sz="4" w:space="0" w:color="auto"/>
            </w:tcBorders>
            <w:noWrap/>
            <w:vAlign w:val="center"/>
            <w:hideMark/>
          </w:tcPr>
          <w:p w14:paraId="279817FD" w14:textId="0BC5517C"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Saumoy 2023a</w:t>
            </w:r>
            <w:r w:rsidR="00254B1C" w:rsidRPr="00254B1C">
              <w:rPr>
                <w:rFonts w:ascii="Calibri" w:eastAsia="Times New Roman" w:hAnsi="Calibri" w:cs="Calibri"/>
                <w:noProof/>
                <w:color w:val="000000"/>
                <w:sz w:val="16"/>
                <w:szCs w:val="16"/>
                <w:vertAlign w:val="superscript"/>
                <w:lang w:val="en-IE" w:eastAsia="en-IE"/>
              </w:rPr>
              <w:t>80</w:t>
            </w:r>
          </w:p>
        </w:tc>
        <w:tc>
          <w:tcPr>
            <w:tcW w:w="300" w:type="pct"/>
            <w:tcBorders>
              <w:top w:val="nil"/>
              <w:left w:val="nil"/>
              <w:bottom w:val="single" w:sz="4" w:space="0" w:color="auto"/>
              <w:right w:val="single" w:sz="4" w:space="0" w:color="auto"/>
            </w:tcBorders>
            <w:noWrap/>
            <w:vAlign w:val="center"/>
            <w:hideMark/>
          </w:tcPr>
          <w:p w14:paraId="10DD0AE5"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CUA</w:t>
            </w:r>
          </w:p>
        </w:tc>
        <w:tc>
          <w:tcPr>
            <w:tcW w:w="939" w:type="pct"/>
            <w:tcBorders>
              <w:top w:val="nil"/>
              <w:left w:val="nil"/>
              <w:bottom w:val="single" w:sz="4" w:space="0" w:color="auto"/>
              <w:right w:val="single" w:sz="4" w:space="0" w:color="auto"/>
            </w:tcBorders>
            <w:noWrap/>
            <w:vAlign w:val="center"/>
            <w:hideMark/>
          </w:tcPr>
          <w:p w14:paraId="0AF7BFB2"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Markov</w:t>
            </w:r>
          </w:p>
        </w:tc>
        <w:tc>
          <w:tcPr>
            <w:tcW w:w="474" w:type="pct"/>
            <w:tcBorders>
              <w:top w:val="nil"/>
              <w:left w:val="nil"/>
              <w:bottom w:val="single" w:sz="4" w:space="0" w:color="auto"/>
              <w:right w:val="single" w:sz="4" w:space="0" w:color="auto"/>
            </w:tcBorders>
            <w:noWrap/>
            <w:vAlign w:val="center"/>
            <w:hideMark/>
          </w:tcPr>
          <w:p w14:paraId="5D81D499"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w:t>
            </w:r>
          </w:p>
        </w:tc>
        <w:tc>
          <w:tcPr>
            <w:tcW w:w="2113" w:type="pct"/>
            <w:tcBorders>
              <w:top w:val="nil"/>
              <w:left w:val="nil"/>
              <w:bottom w:val="single" w:sz="4" w:space="0" w:color="auto"/>
              <w:right w:val="single" w:sz="4" w:space="0" w:color="auto"/>
            </w:tcBorders>
            <w:noWrap/>
            <w:vAlign w:val="center"/>
            <w:hideMark/>
          </w:tcPr>
          <w:p w14:paraId="58C5CF9E"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Obese</w:t>
            </w:r>
          </w:p>
        </w:tc>
        <w:tc>
          <w:tcPr>
            <w:tcW w:w="526" w:type="pct"/>
            <w:tcBorders>
              <w:top w:val="nil"/>
              <w:left w:val="nil"/>
              <w:bottom w:val="single" w:sz="4" w:space="0" w:color="auto"/>
              <w:right w:val="single" w:sz="4" w:space="0" w:color="auto"/>
            </w:tcBorders>
            <w:noWrap/>
            <w:vAlign w:val="center"/>
            <w:hideMark/>
          </w:tcPr>
          <w:p w14:paraId="37BAB8AA"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Surgery</w:t>
            </w:r>
          </w:p>
        </w:tc>
      </w:tr>
      <w:tr w:rsidR="004131F8" w:rsidRPr="004131F8" w14:paraId="2A338309" w14:textId="77777777" w:rsidTr="004131F8">
        <w:trPr>
          <w:trHeight w:val="290"/>
        </w:trPr>
        <w:tc>
          <w:tcPr>
            <w:tcW w:w="648" w:type="pct"/>
            <w:tcBorders>
              <w:top w:val="nil"/>
              <w:left w:val="single" w:sz="4" w:space="0" w:color="auto"/>
              <w:bottom w:val="single" w:sz="4" w:space="0" w:color="auto"/>
              <w:right w:val="single" w:sz="4" w:space="0" w:color="auto"/>
            </w:tcBorders>
            <w:noWrap/>
            <w:vAlign w:val="center"/>
            <w:hideMark/>
          </w:tcPr>
          <w:p w14:paraId="0BAC2011"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Saumoy 2023b</w:t>
            </w:r>
          </w:p>
        </w:tc>
        <w:tc>
          <w:tcPr>
            <w:tcW w:w="300" w:type="pct"/>
            <w:tcBorders>
              <w:top w:val="nil"/>
              <w:left w:val="nil"/>
              <w:bottom w:val="single" w:sz="4" w:space="0" w:color="auto"/>
              <w:right w:val="single" w:sz="4" w:space="0" w:color="auto"/>
            </w:tcBorders>
            <w:noWrap/>
            <w:vAlign w:val="center"/>
            <w:hideMark/>
          </w:tcPr>
          <w:p w14:paraId="6556F288"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 </w:t>
            </w:r>
          </w:p>
        </w:tc>
        <w:tc>
          <w:tcPr>
            <w:tcW w:w="939" w:type="pct"/>
            <w:tcBorders>
              <w:top w:val="nil"/>
              <w:left w:val="nil"/>
              <w:bottom w:val="single" w:sz="4" w:space="0" w:color="auto"/>
              <w:right w:val="single" w:sz="4" w:space="0" w:color="auto"/>
            </w:tcBorders>
            <w:noWrap/>
            <w:vAlign w:val="center"/>
            <w:hideMark/>
          </w:tcPr>
          <w:p w14:paraId="53A33AC0"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w:t>
            </w:r>
          </w:p>
        </w:tc>
        <w:tc>
          <w:tcPr>
            <w:tcW w:w="474" w:type="pct"/>
            <w:tcBorders>
              <w:top w:val="nil"/>
              <w:left w:val="nil"/>
              <w:bottom w:val="single" w:sz="4" w:space="0" w:color="auto"/>
              <w:right w:val="single" w:sz="4" w:space="0" w:color="auto"/>
            </w:tcBorders>
            <w:noWrap/>
            <w:vAlign w:val="center"/>
            <w:hideMark/>
          </w:tcPr>
          <w:p w14:paraId="3811AE71"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 </w:t>
            </w:r>
          </w:p>
        </w:tc>
        <w:tc>
          <w:tcPr>
            <w:tcW w:w="2113" w:type="pct"/>
            <w:tcBorders>
              <w:top w:val="nil"/>
              <w:left w:val="nil"/>
              <w:bottom w:val="single" w:sz="4" w:space="0" w:color="auto"/>
              <w:right w:val="single" w:sz="4" w:space="0" w:color="auto"/>
            </w:tcBorders>
            <w:noWrap/>
            <w:vAlign w:val="center"/>
            <w:hideMark/>
          </w:tcPr>
          <w:p w14:paraId="195E04F6"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 </w:t>
            </w:r>
          </w:p>
        </w:tc>
        <w:tc>
          <w:tcPr>
            <w:tcW w:w="526" w:type="pct"/>
            <w:tcBorders>
              <w:top w:val="nil"/>
              <w:left w:val="nil"/>
              <w:bottom w:val="single" w:sz="4" w:space="0" w:color="auto"/>
              <w:right w:val="single" w:sz="4" w:space="0" w:color="auto"/>
            </w:tcBorders>
            <w:noWrap/>
            <w:vAlign w:val="center"/>
            <w:hideMark/>
          </w:tcPr>
          <w:p w14:paraId="46F11806"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 </w:t>
            </w:r>
          </w:p>
        </w:tc>
      </w:tr>
      <w:tr w:rsidR="004131F8" w:rsidRPr="004131F8" w14:paraId="0D45969C" w14:textId="77777777" w:rsidTr="004131F8">
        <w:trPr>
          <w:trHeight w:val="290"/>
        </w:trPr>
        <w:tc>
          <w:tcPr>
            <w:tcW w:w="648" w:type="pct"/>
            <w:tcBorders>
              <w:top w:val="nil"/>
              <w:left w:val="single" w:sz="4" w:space="0" w:color="auto"/>
              <w:bottom w:val="single" w:sz="4" w:space="0" w:color="auto"/>
              <w:right w:val="single" w:sz="4" w:space="0" w:color="auto"/>
            </w:tcBorders>
            <w:noWrap/>
            <w:vAlign w:val="center"/>
            <w:hideMark/>
          </w:tcPr>
          <w:p w14:paraId="1536B67B"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Schmidt 2020</w:t>
            </w:r>
          </w:p>
        </w:tc>
        <w:tc>
          <w:tcPr>
            <w:tcW w:w="300" w:type="pct"/>
            <w:tcBorders>
              <w:top w:val="nil"/>
              <w:left w:val="nil"/>
              <w:bottom w:val="single" w:sz="4" w:space="0" w:color="auto"/>
              <w:right w:val="single" w:sz="4" w:space="0" w:color="auto"/>
            </w:tcBorders>
            <w:noWrap/>
            <w:vAlign w:val="center"/>
            <w:hideMark/>
          </w:tcPr>
          <w:p w14:paraId="6F0347B9"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CUA</w:t>
            </w:r>
          </w:p>
        </w:tc>
        <w:tc>
          <w:tcPr>
            <w:tcW w:w="939" w:type="pct"/>
            <w:tcBorders>
              <w:top w:val="nil"/>
              <w:left w:val="nil"/>
              <w:bottom w:val="single" w:sz="4" w:space="0" w:color="auto"/>
              <w:right w:val="single" w:sz="4" w:space="0" w:color="auto"/>
            </w:tcBorders>
            <w:noWrap/>
            <w:vAlign w:val="center"/>
            <w:hideMark/>
          </w:tcPr>
          <w:p w14:paraId="6BE38981"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Markov</w:t>
            </w:r>
          </w:p>
        </w:tc>
        <w:tc>
          <w:tcPr>
            <w:tcW w:w="474" w:type="pct"/>
            <w:tcBorders>
              <w:top w:val="nil"/>
              <w:left w:val="nil"/>
              <w:bottom w:val="single" w:sz="4" w:space="0" w:color="auto"/>
              <w:right w:val="single" w:sz="4" w:space="0" w:color="auto"/>
            </w:tcBorders>
            <w:noWrap/>
            <w:vAlign w:val="center"/>
            <w:hideMark/>
          </w:tcPr>
          <w:p w14:paraId="131EF91A"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Mexico</w:t>
            </w:r>
          </w:p>
        </w:tc>
        <w:tc>
          <w:tcPr>
            <w:tcW w:w="2113" w:type="pct"/>
            <w:tcBorders>
              <w:top w:val="nil"/>
              <w:left w:val="nil"/>
              <w:bottom w:val="single" w:sz="4" w:space="0" w:color="auto"/>
              <w:right w:val="single" w:sz="4" w:space="0" w:color="auto"/>
            </w:tcBorders>
            <w:noWrap/>
            <w:vAlign w:val="center"/>
            <w:hideMark/>
          </w:tcPr>
          <w:p w14:paraId="264708D4"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Obese</w:t>
            </w:r>
          </w:p>
        </w:tc>
        <w:tc>
          <w:tcPr>
            <w:tcW w:w="526" w:type="pct"/>
            <w:tcBorders>
              <w:top w:val="nil"/>
              <w:left w:val="nil"/>
              <w:bottom w:val="single" w:sz="4" w:space="0" w:color="auto"/>
              <w:right w:val="single" w:sz="4" w:space="0" w:color="auto"/>
            </w:tcBorders>
            <w:noWrap/>
            <w:vAlign w:val="center"/>
            <w:hideMark/>
          </w:tcPr>
          <w:p w14:paraId="0E2A7134"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Drug</w:t>
            </w:r>
          </w:p>
        </w:tc>
      </w:tr>
      <w:tr w:rsidR="004131F8" w:rsidRPr="004131F8" w14:paraId="1ED5F096" w14:textId="77777777" w:rsidTr="004131F8">
        <w:trPr>
          <w:trHeight w:val="290"/>
        </w:trPr>
        <w:tc>
          <w:tcPr>
            <w:tcW w:w="648" w:type="pct"/>
            <w:tcBorders>
              <w:top w:val="nil"/>
              <w:left w:val="single" w:sz="4" w:space="0" w:color="auto"/>
              <w:bottom w:val="single" w:sz="4" w:space="0" w:color="auto"/>
              <w:right w:val="single" w:sz="4" w:space="0" w:color="auto"/>
            </w:tcBorders>
            <w:noWrap/>
            <w:vAlign w:val="center"/>
            <w:hideMark/>
          </w:tcPr>
          <w:p w14:paraId="41AF936C"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Shah 2023</w:t>
            </w:r>
          </w:p>
        </w:tc>
        <w:tc>
          <w:tcPr>
            <w:tcW w:w="300" w:type="pct"/>
            <w:tcBorders>
              <w:top w:val="nil"/>
              <w:left w:val="nil"/>
              <w:bottom w:val="single" w:sz="4" w:space="0" w:color="auto"/>
              <w:right w:val="single" w:sz="4" w:space="0" w:color="auto"/>
            </w:tcBorders>
            <w:noWrap/>
            <w:vAlign w:val="center"/>
            <w:hideMark/>
          </w:tcPr>
          <w:p w14:paraId="07B76B48"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CUA</w:t>
            </w:r>
          </w:p>
        </w:tc>
        <w:tc>
          <w:tcPr>
            <w:tcW w:w="939" w:type="pct"/>
            <w:tcBorders>
              <w:top w:val="nil"/>
              <w:left w:val="nil"/>
              <w:bottom w:val="single" w:sz="4" w:space="0" w:color="auto"/>
              <w:right w:val="single" w:sz="4" w:space="0" w:color="auto"/>
            </w:tcBorders>
            <w:noWrap/>
            <w:vAlign w:val="center"/>
            <w:hideMark/>
          </w:tcPr>
          <w:p w14:paraId="229B62DA"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Markov</w:t>
            </w:r>
          </w:p>
        </w:tc>
        <w:tc>
          <w:tcPr>
            <w:tcW w:w="474" w:type="pct"/>
            <w:tcBorders>
              <w:top w:val="nil"/>
              <w:left w:val="nil"/>
              <w:bottom w:val="single" w:sz="4" w:space="0" w:color="auto"/>
              <w:right w:val="single" w:sz="4" w:space="0" w:color="auto"/>
            </w:tcBorders>
            <w:noWrap/>
            <w:vAlign w:val="center"/>
            <w:hideMark/>
          </w:tcPr>
          <w:p w14:paraId="3E2C19CA"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US</w:t>
            </w:r>
          </w:p>
        </w:tc>
        <w:tc>
          <w:tcPr>
            <w:tcW w:w="2113" w:type="pct"/>
            <w:tcBorders>
              <w:top w:val="nil"/>
              <w:left w:val="nil"/>
              <w:bottom w:val="single" w:sz="4" w:space="0" w:color="auto"/>
              <w:right w:val="single" w:sz="4" w:space="0" w:color="auto"/>
            </w:tcBorders>
            <w:noWrap/>
            <w:vAlign w:val="center"/>
            <w:hideMark/>
          </w:tcPr>
          <w:p w14:paraId="3CE636FF"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Obese</w:t>
            </w:r>
          </w:p>
        </w:tc>
        <w:tc>
          <w:tcPr>
            <w:tcW w:w="526" w:type="pct"/>
            <w:tcBorders>
              <w:top w:val="nil"/>
              <w:left w:val="nil"/>
              <w:bottom w:val="single" w:sz="4" w:space="0" w:color="auto"/>
              <w:right w:val="single" w:sz="4" w:space="0" w:color="auto"/>
            </w:tcBorders>
            <w:noWrap/>
            <w:vAlign w:val="center"/>
            <w:hideMark/>
          </w:tcPr>
          <w:p w14:paraId="66D89B97"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Drug</w:t>
            </w:r>
          </w:p>
        </w:tc>
      </w:tr>
      <w:tr w:rsidR="004131F8" w:rsidRPr="004131F8" w14:paraId="627F487C" w14:textId="77777777" w:rsidTr="004131F8">
        <w:trPr>
          <w:trHeight w:val="290"/>
        </w:trPr>
        <w:tc>
          <w:tcPr>
            <w:tcW w:w="648" w:type="pct"/>
            <w:tcBorders>
              <w:top w:val="nil"/>
              <w:left w:val="single" w:sz="4" w:space="0" w:color="auto"/>
              <w:bottom w:val="single" w:sz="4" w:space="0" w:color="auto"/>
              <w:right w:val="single" w:sz="4" w:space="0" w:color="auto"/>
            </w:tcBorders>
            <w:noWrap/>
            <w:vAlign w:val="center"/>
            <w:hideMark/>
          </w:tcPr>
          <w:p w14:paraId="107B6038"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Sharaiha 2023</w:t>
            </w:r>
          </w:p>
        </w:tc>
        <w:tc>
          <w:tcPr>
            <w:tcW w:w="300" w:type="pct"/>
            <w:tcBorders>
              <w:top w:val="nil"/>
              <w:left w:val="nil"/>
              <w:bottom w:val="single" w:sz="4" w:space="0" w:color="auto"/>
              <w:right w:val="single" w:sz="4" w:space="0" w:color="auto"/>
            </w:tcBorders>
            <w:noWrap/>
            <w:vAlign w:val="center"/>
            <w:hideMark/>
          </w:tcPr>
          <w:p w14:paraId="682700E2"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CUA</w:t>
            </w:r>
          </w:p>
        </w:tc>
        <w:tc>
          <w:tcPr>
            <w:tcW w:w="939" w:type="pct"/>
            <w:tcBorders>
              <w:top w:val="nil"/>
              <w:left w:val="nil"/>
              <w:bottom w:val="single" w:sz="4" w:space="0" w:color="auto"/>
              <w:right w:val="single" w:sz="4" w:space="0" w:color="auto"/>
            </w:tcBorders>
            <w:noWrap/>
            <w:vAlign w:val="center"/>
            <w:hideMark/>
          </w:tcPr>
          <w:p w14:paraId="3B59D550"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Markov</w:t>
            </w:r>
          </w:p>
        </w:tc>
        <w:tc>
          <w:tcPr>
            <w:tcW w:w="474" w:type="pct"/>
            <w:tcBorders>
              <w:top w:val="nil"/>
              <w:left w:val="nil"/>
              <w:bottom w:val="single" w:sz="4" w:space="0" w:color="auto"/>
              <w:right w:val="single" w:sz="4" w:space="0" w:color="auto"/>
            </w:tcBorders>
            <w:noWrap/>
            <w:vAlign w:val="center"/>
            <w:hideMark/>
          </w:tcPr>
          <w:p w14:paraId="00593788"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US</w:t>
            </w:r>
          </w:p>
        </w:tc>
        <w:tc>
          <w:tcPr>
            <w:tcW w:w="2113" w:type="pct"/>
            <w:tcBorders>
              <w:top w:val="nil"/>
              <w:left w:val="nil"/>
              <w:bottom w:val="single" w:sz="4" w:space="0" w:color="auto"/>
              <w:right w:val="single" w:sz="4" w:space="0" w:color="auto"/>
            </w:tcBorders>
            <w:noWrap/>
            <w:vAlign w:val="center"/>
            <w:hideMark/>
          </w:tcPr>
          <w:p w14:paraId="79B40B3C"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Obese class I-III</w:t>
            </w:r>
          </w:p>
        </w:tc>
        <w:tc>
          <w:tcPr>
            <w:tcW w:w="526" w:type="pct"/>
            <w:tcBorders>
              <w:top w:val="nil"/>
              <w:left w:val="nil"/>
              <w:bottom w:val="single" w:sz="4" w:space="0" w:color="auto"/>
              <w:right w:val="single" w:sz="4" w:space="0" w:color="auto"/>
            </w:tcBorders>
            <w:noWrap/>
            <w:vAlign w:val="center"/>
            <w:hideMark/>
          </w:tcPr>
          <w:p w14:paraId="0B1FEACC"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Surgery</w:t>
            </w:r>
          </w:p>
        </w:tc>
      </w:tr>
      <w:tr w:rsidR="004131F8" w:rsidRPr="004131F8" w14:paraId="0B3471CB" w14:textId="77777777" w:rsidTr="004131F8">
        <w:trPr>
          <w:trHeight w:val="290"/>
        </w:trPr>
        <w:tc>
          <w:tcPr>
            <w:tcW w:w="648" w:type="pct"/>
            <w:tcBorders>
              <w:top w:val="nil"/>
              <w:left w:val="single" w:sz="4" w:space="0" w:color="auto"/>
              <w:bottom w:val="single" w:sz="4" w:space="0" w:color="auto"/>
              <w:right w:val="single" w:sz="4" w:space="0" w:color="auto"/>
            </w:tcBorders>
            <w:noWrap/>
            <w:vAlign w:val="center"/>
            <w:hideMark/>
          </w:tcPr>
          <w:p w14:paraId="480C959D"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Tankou 2021</w:t>
            </w:r>
          </w:p>
        </w:tc>
        <w:tc>
          <w:tcPr>
            <w:tcW w:w="300" w:type="pct"/>
            <w:tcBorders>
              <w:top w:val="nil"/>
              <w:left w:val="nil"/>
              <w:bottom w:val="single" w:sz="4" w:space="0" w:color="auto"/>
              <w:right w:val="single" w:sz="4" w:space="0" w:color="auto"/>
            </w:tcBorders>
            <w:noWrap/>
            <w:vAlign w:val="center"/>
            <w:hideMark/>
          </w:tcPr>
          <w:p w14:paraId="25D47656"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CUA</w:t>
            </w:r>
          </w:p>
        </w:tc>
        <w:tc>
          <w:tcPr>
            <w:tcW w:w="939" w:type="pct"/>
            <w:tcBorders>
              <w:top w:val="nil"/>
              <w:left w:val="nil"/>
              <w:bottom w:val="single" w:sz="4" w:space="0" w:color="auto"/>
              <w:right w:val="single" w:sz="4" w:space="0" w:color="auto"/>
            </w:tcBorders>
            <w:noWrap/>
            <w:vAlign w:val="center"/>
            <w:hideMark/>
          </w:tcPr>
          <w:p w14:paraId="62CC93F6"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Markov</w:t>
            </w:r>
          </w:p>
        </w:tc>
        <w:tc>
          <w:tcPr>
            <w:tcW w:w="474" w:type="pct"/>
            <w:tcBorders>
              <w:top w:val="nil"/>
              <w:left w:val="nil"/>
              <w:bottom w:val="single" w:sz="4" w:space="0" w:color="auto"/>
              <w:right w:val="single" w:sz="4" w:space="0" w:color="auto"/>
            </w:tcBorders>
            <w:noWrap/>
            <w:vAlign w:val="center"/>
            <w:hideMark/>
          </w:tcPr>
          <w:p w14:paraId="5D553296"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US</w:t>
            </w:r>
          </w:p>
        </w:tc>
        <w:tc>
          <w:tcPr>
            <w:tcW w:w="2113" w:type="pct"/>
            <w:tcBorders>
              <w:top w:val="nil"/>
              <w:left w:val="nil"/>
              <w:bottom w:val="single" w:sz="4" w:space="0" w:color="auto"/>
              <w:right w:val="single" w:sz="4" w:space="0" w:color="auto"/>
            </w:tcBorders>
            <w:noWrap/>
            <w:vAlign w:val="center"/>
            <w:hideMark/>
          </w:tcPr>
          <w:p w14:paraId="288285C0"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Obese</w:t>
            </w:r>
          </w:p>
        </w:tc>
        <w:tc>
          <w:tcPr>
            <w:tcW w:w="526" w:type="pct"/>
            <w:tcBorders>
              <w:top w:val="nil"/>
              <w:left w:val="nil"/>
              <w:bottom w:val="single" w:sz="4" w:space="0" w:color="auto"/>
              <w:right w:val="single" w:sz="4" w:space="0" w:color="auto"/>
            </w:tcBorders>
            <w:noWrap/>
            <w:vAlign w:val="center"/>
            <w:hideMark/>
          </w:tcPr>
          <w:p w14:paraId="3251E7C0"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Surgery</w:t>
            </w:r>
          </w:p>
        </w:tc>
      </w:tr>
      <w:tr w:rsidR="004131F8" w:rsidRPr="004131F8" w14:paraId="76813DFB" w14:textId="77777777" w:rsidTr="004131F8">
        <w:trPr>
          <w:trHeight w:val="290"/>
        </w:trPr>
        <w:tc>
          <w:tcPr>
            <w:tcW w:w="648" w:type="pct"/>
            <w:tcBorders>
              <w:top w:val="nil"/>
              <w:left w:val="single" w:sz="4" w:space="0" w:color="auto"/>
              <w:bottom w:val="single" w:sz="4" w:space="0" w:color="auto"/>
              <w:right w:val="single" w:sz="4" w:space="0" w:color="auto"/>
            </w:tcBorders>
            <w:noWrap/>
            <w:vAlign w:val="center"/>
            <w:hideMark/>
          </w:tcPr>
          <w:p w14:paraId="75FE1F55"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Valdez-Huerta 2022</w:t>
            </w:r>
          </w:p>
        </w:tc>
        <w:tc>
          <w:tcPr>
            <w:tcW w:w="300" w:type="pct"/>
            <w:tcBorders>
              <w:top w:val="nil"/>
              <w:left w:val="nil"/>
              <w:bottom w:val="single" w:sz="4" w:space="0" w:color="auto"/>
              <w:right w:val="single" w:sz="4" w:space="0" w:color="auto"/>
            </w:tcBorders>
            <w:noWrap/>
            <w:vAlign w:val="center"/>
            <w:hideMark/>
          </w:tcPr>
          <w:p w14:paraId="3104EEA0"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CEA</w:t>
            </w:r>
          </w:p>
        </w:tc>
        <w:tc>
          <w:tcPr>
            <w:tcW w:w="939" w:type="pct"/>
            <w:tcBorders>
              <w:top w:val="nil"/>
              <w:left w:val="nil"/>
              <w:bottom w:val="single" w:sz="4" w:space="0" w:color="auto"/>
              <w:right w:val="single" w:sz="4" w:space="0" w:color="auto"/>
            </w:tcBorders>
            <w:noWrap/>
            <w:vAlign w:val="center"/>
            <w:hideMark/>
          </w:tcPr>
          <w:p w14:paraId="25433596"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Discrete event simulation</w:t>
            </w:r>
          </w:p>
        </w:tc>
        <w:tc>
          <w:tcPr>
            <w:tcW w:w="474" w:type="pct"/>
            <w:tcBorders>
              <w:top w:val="nil"/>
              <w:left w:val="nil"/>
              <w:bottom w:val="single" w:sz="4" w:space="0" w:color="auto"/>
              <w:right w:val="single" w:sz="4" w:space="0" w:color="auto"/>
            </w:tcBorders>
            <w:noWrap/>
            <w:vAlign w:val="center"/>
            <w:hideMark/>
          </w:tcPr>
          <w:p w14:paraId="1E6B7D95"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US</w:t>
            </w:r>
          </w:p>
        </w:tc>
        <w:tc>
          <w:tcPr>
            <w:tcW w:w="2113" w:type="pct"/>
            <w:tcBorders>
              <w:top w:val="nil"/>
              <w:left w:val="nil"/>
              <w:bottom w:val="single" w:sz="4" w:space="0" w:color="auto"/>
              <w:right w:val="single" w:sz="4" w:space="0" w:color="auto"/>
            </w:tcBorders>
            <w:noWrap/>
            <w:vAlign w:val="center"/>
            <w:hideMark/>
          </w:tcPr>
          <w:p w14:paraId="1CBD788D"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Obese</w:t>
            </w:r>
          </w:p>
        </w:tc>
        <w:tc>
          <w:tcPr>
            <w:tcW w:w="526" w:type="pct"/>
            <w:tcBorders>
              <w:top w:val="nil"/>
              <w:left w:val="nil"/>
              <w:bottom w:val="single" w:sz="4" w:space="0" w:color="auto"/>
              <w:right w:val="single" w:sz="4" w:space="0" w:color="auto"/>
            </w:tcBorders>
            <w:noWrap/>
            <w:vAlign w:val="center"/>
            <w:hideMark/>
          </w:tcPr>
          <w:p w14:paraId="2BC66E46"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Drug</w:t>
            </w:r>
          </w:p>
        </w:tc>
      </w:tr>
      <w:tr w:rsidR="004131F8" w:rsidRPr="004131F8" w14:paraId="5E1192DC" w14:textId="77777777" w:rsidTr="004131F8">
        <w:trPr>
          <w:trHeight w:val="290"/>
        </w:trPr>
        <w:tc>
          <w:tcPr>
            <w:tcW w:w="648" w:type="pct"/>
            <w:tcBorders>
              <w:top w:val="nil"/>
              <w:left w:val="single" w:sz="4" w:space="0" w:color="auto"/>
              <w:bottom w:val="single" w:sz="4" w:space="0" w:color="auto"/>
              <w:right w:val="single" w:sz="4" w:space="0" w:color="auto"/>
            </w:tcBorders>
            <w:noWrap/>
            <w:vAlign w:val="center"/>
            <w:hideMark/>
          </w:tcPr>
          <w:p w14:paraId="5733BC1F" w14:textId="1937603E"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Viratanapanu, 2019</w:t>
            </w:r>
            <w:r w:rsidR="00254B1C" w:rsidRPr="00254B1C">
              <w:rPr>
                <w:rFonts w:ascii="Calibri" w:eastAsia="Times New Roman" w:hAnsi="Calibri" w:cs="Calibri"/>
                <w:noProof/>
                <w:color w:val="000000"/>
                <w:sz w:val="16"/>
                <w:szCs w:val="16"/>
                <w:vertAlign w:val="superscript"/>
                <w:lang w:val="en-IE" w:eastAsia="en-IE"/>
              </w:rPr>
              <w:t>81</w:t>
            </w:r>
          </w:p>
        </w:tc>
        <w:tc>
          <w:tcPr>
            <w:tcW w:w="300" w:type="pct"/>
            <w:tcBorders>
              <w:top w:val="nil"/>
              <w:left w:val="nil"/>
              <w:bottom w:val="single" w:sz="4" w:space="0" w:color="auto"/>
              <w:right w:val="single" w:sz="4" w:space="0" w:color="auto"/>
            </w:tcBorders>
            <w:noWrap/>
            <w:vAlign w:val="center"/>
            <w:hideMark/>
          </w:tcPr>
          <w:p w14:paraId="76C4C780"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CUA and CEA</w:t>
            </w:r>
          </w:p>
        </w:tc>
        <w:tc>
          <w:tcPr>
            <w:tcW w:w="939" w:type="pct"/>
            <w:tcBorders>
              <w:top w:val="nil"/>
              <w:left w:val="nil"/>
              <w:bottom w:val="single" w:sz="4" w:space="0" w:color="auto"/>
              <w:right w:val="single" w:sz="4" w:space="0" w:color="auto"/>
            </w:tcBorders>
            <w:noWrap/>
            <w:vAlign w:val="center"/>
            <w:hideMark/>
          </w:tcPr>
          <w:p w14:paraId="76267C52"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Decision tree followed by Markov</w:t>
            </w:r>
          </w:p>
        </w:tc>
        <w:tc>
          <w:tcPr>
            <w:tcW w:w="474" w:type="pct"/>
            <w:tcBorders>
              <w:top w:val="nil"/>
              <w:left w:val="nil"/>
              <w:bottom w:val="single" w:sz="4" w:space="0" w:color="auto"/>
              <w:right w:val="single" w:sz="4" w:space="0" w:color="auto"/>
            </w:tcBorders>
            <w:noWrap/>
            <w:vAlign w:val="center"/>
            <w:hideMark/>
          </w:tcPr>
          <w:p w14:paraId="3D7C5BB0"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Thailand</w:t>
            </w:r>
          </w:p>
        </w:tc>
        <w:tc>
          <w:tcPr>
            <w:tcW w:w="2113" w:type="pct"/>
            <w:tcBorders>
              <w:top w:val="nil"/>
              <w:left w:val="nil"/>
              <w:bottom w:val="single" w:sz="4" w:space="0" w:color="auto"/>
              <w:right w:val="single" w:sz="4" w:space="0" w:color="auto"/>
            </w:tcBorders>
            <w:noWrap/>
            <w:vAlign w:val="center"/>
            <w:hideMark/>
          </w:tcPr>
          <w:p w14:paraId="66D63930"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Morbid obesity</w:t>
            </w:r>
          </w:p>
        </w:tc>
        <w:tc>
          <w:tcPr>
            <w:tcW w:w="526" w:type="pct"/>
            <w:tcBorders>
              <w:top w:val="nil"/>
              <w:left w:val="nil"/>
              <w:bottom w:val="single" w:sz="4" w:space="0" w:color="auto"/>
              <w:right w:val="single" w:sz="4" w:space="0" w:color="auto"/>
            </w:tcBorders>
            <w:noWrap/>
            <w:vAlign w:val="center"/>
            <w:hideMark/>
          </w:tcPr>
          <w:p w14:paraId="435CE6DD"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Surgery</w:t>
            </w:r>
          </w:p>
        </w:tc>
      </w:tr>
      <w:tr w:rsidR="004131F8" w:rsidRPr="004131F8" w14:paraId="022CE2F6" w14:textId="77777777" w:rsidTr="004131F8">
        <w:trPr>
          <w:trHeight w:val="290"/>
        </w:trPr>
        <w:tc>
          <w:tcPr>
            <w:tcW w:w="648" w:type="pct"/>
            <w:tcBorders>
              <w:top w:val="nil"/>
              <w:left w:val="single" w:sz="4" w:space="0" w:color="auto"/>
              <w:bottom w:val="single" w:sz="4" w:space="0" w:color="auto"/>
              <w:right w:val="single" w:sz="4" w:space="0" w:color="auto"/>
            </w:tcBorders>
            <w:noWrap/>
            <w:vAlign w:val="center"/>
            <w:hideMark/>
          </w:tcPr>
          <w:p w14:paraId="633BF54F" w14:textId="0B8F3740"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Walter 2022</w:t>
            </w:r>
            <w:r w:rsidR="00254B1C" w:rsidRPr="00254B1C">
              <w:rPr>
                <w:rFonts w:ascii="Calibri" w:eastAsia="Times New Roman" w:hAnsi="Calibri" w:cs="Calibri"/>
                <w:noProof/>
                <w:color w:val="000000"/>
                <w:sz w:val="16"/>
                <w:szCs w:val="16"/>
                <w:vertAlign w:val="superscript"/>
                <w:lang w:val="en-IE" w:eastAsia="en-IE"/>
              </w:rPr>
              <w:t>82</w:t>
            </w:r>
          </w:p>
        </w:tc>
        <w:tc>
          <w:tcPr>
            <w:tcW w:w="300" w:type="pct"/>
            <w:tcBorders>
              <w:top w:val="nil"/>
              <w:left w:val="nil"/>
              <w:bottom w:val="single" w:sz="4" w:space="0" w:color="auto"/>
              <w:right w:val="single" w:sz="4" w:space="0" w:color="auto"/>
            </w:tcBorders>
            <w:noWrap/>
            <w:vAlign w:val="center"/>
            <w:hideMark/>
          </w:tcPr>
          <w:p w14:paraId="0E3ECD6A"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CUA and CEA</w:t>
            </w:r>
          </w:p>
        </w:tc>
        <w:tc>
          <w:tcPr>
            <w:tcW w:w="939" w:type="pct"/>
            <w:tcBorders>
              <w:top w:val="nil"/>
              <w:left w:val="nil"/>
              <w:bottom w:val="single" w:sz="4" w:space="0" w:color="auto"/>
              <w:right w:val="single" w:sz="4" w:space="0" w:color="auto"/>
            </w:tcBorders>
            <w:noWrap/>
            <w:vAlign w:val="center"/>
            <w:hideMark/>
          </w:tcPr>
          <w:p w14:paraId="1A5B1CB3"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Markov</w:t>
            </w:r>
          </w:p>
        </w:tc>
        <w:tc>
          <w:tcPr>
            <w:tcW w:w="474" w:type="pct"/>
            <w:tcBorders>
              <w:top w:val="nil"/>
              <w:left w:val="nil"/>
              <w:bottom w:val="single" w:sz="4" w:space="0" w:color="auto"/>
              <w:right w:val="single" w:sz="4" w:space="0" w:color="auto"/>
            </w:tcBorders>
            <w:noWrap/>
            <w:vAlign w:val="center"/>
            <w:hideMark/>
          </w:tcPr>
          <w:p w14:paraId="3468B38E"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Austria</w:t>
            </w:r>
          </w:p>
        </w:tc>
        <w:tc>
          <w:tcPr>
            <w:tcW w:w="2113" w:type="pct"/>
            <w:tcBorders>
              <w:top w:val="nil"/>
              <w:left w:val="nil"/>
              <w:bottom w:val="single" w:sz="4" w:space="0" w:color="auto"/>
              <w:right w:val="single" w:sz="4" w:space="0" w:color="auto"/>
            </w:tcBorders>
            <w:noWrap/>
            <w:vAlign w:val="center"/>
            <w:hideMark/>
          </w:tcPr>
          <w:p w14:paraId="2FBD0EBA"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Obese</w:t>
            </w:r>
          </w:p>
        </w:tc>
        <w:tc>
          <w:tcPr>
            <w:tcW w:w="526" w:type="pct"/>
            <w:tcBorders>
              <w:top w:val="nil"/>
              <w:left w:val="nil"/>
              <w:bottom w:val="single" w:sz="4" w:space="0" w:color="auto"/>
              <w:right w:val="single" w:sz="4" w:space="0" w:color="auto"/>
            </w:tcBorders>
            <w:noWrap/>
            <w:vAlign w:val="center"/>
            <w:hideMark/>
          </w:tcPr>
          <w:p w14:paraId="02EABBA2"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Surgery</w:t>
            </w:r>
          </w:p>
        </w:tc>
      </w:tr>
      <w:tr w:rsidR="004131F8" w:rsidRPr="004131F8" w14:paraId="231EA457" w14:textId="77777777" w:rsidTr="004131F8">
        <w:trPr>
          <w:trHeight w:val="290"/>
        </w:trPr>
        <w:tc>
          <w:tcPr>
            <w:tcW w:w="648" w:type="pct"/>
            <w:tcBorders>
              <w:top w:val="nil"/>
              <w:left w:val="single" w:sz="4" w:space="0" w:color="auto"/>
              <w:bottom w:val="single" w:sz="4" w:space="0" w:color="auto"/>
              <w:right w:val="single" w:sz="4" w:space="0" w:color="auto"/>
            </w:tcBorders>
            <w:noWrap/>
            <w:vAlign w:val="center"/>
            <w:hideMark/>
          </w:tcPr>
          <w:p w14:paraId="0F0BB830" w14:textId="78E2282B"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Wan, 2019</w:t>
            </w:r>
            <w:r w:rsidR="00254B1C" w:rsidRPr="00254B1C">
              <w:rPr>
                <w:rFonts w:ascii="Calibri" w:eastAsia="Times New Roman" w:hAnsi="Calibri" w:cs="Calibri"/>
                <w:noProof/>
                <w:color w:val="000000"/>
                <w:sz w:val="16"/>
                <w:szCs w:val="16"/>
                <w:vertAlign w:val="superscript"/>
                <w:lang w:val="en-IE" w:eastAsia="en-IE"/>
              </w:rPr>
              <w:t>83</w:t>
            </w:r>
          </w:p>
        </w:tc>
        <w:tc>
          <w:tcPr>
            <w:tcW w:w="300" w:type="pct"/>
            <w:tcBorders>
              <w:top w:val="nil"/>
              <w:left w:val="nil"/>
              <w:bottom w:val="single" w:sz="4" w:space="0" w:color="auto"/>
              <w:right w:val="single" w:sz="4" w:space="0" w:color="auto"/>
            </w:tcBorders>
            <w:noWrap/>
            <w:vAlign w:val="center"/>
            <w:hideMark/>
          </w:tcPr>
          <w:p w14:paraId="4FA5B21E"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CUA</w:t>
            </w:r>
          </w:p>
        </w:tc>
        <w:tc>
          <w:tcPr>
            <w:tcW w:w="939" w:type="pct"/>
            <w:tcBorders>
              <w:top w:val="nil"/>
              <w:left w:val="nil"/>
              <w:bottom w:val="single" w:sz="4" w:space="0" w:color="auto"/>
              <w:right w:val="single" w:sz="4" w:space="0" w:color="auto"/>
            </w:tcBorders>
            <w:noWrap/>
            <w:vAlign w:val="center"/>
            <w:hideMark/>
          </w:tcPr>
          <w:p w14:paraId="22AF1351"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Markov</w:t>
            </w:r>
          </w:p>
        </w:tc>
        <w:tc>
          <w:tcPr>
            <w:tcW w:w="474" w:type="pct"/>
            <w:tcBorders>
              <w:top w:val="nil"/>
              <w:left w:val="nil"/>
              <w:bottom w:val="single" w:sz="4" w:space="0" w:color="auto"/>
              <w:right w:val="single" w:sz="4" w:space="0" w:color="auto"/>
            </w:tcBorders>
            <w:noWrap/>
            <w:vAlign w:val="center"/>
            <w:hideMark/>
          </w:tcPr>
          <w:p w14:paraId="3184D9B3"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China</w:t>
            </w:r>
          </w:p>
        </w:tc>
        <w:tc>
          <w:tcPr>
            <w:tcW w:w="2113" w:type="pct"/>
            <w:tcBorders>
              <w:top w:val="nil"/>
              <w:left w:val="nil"/>
              <w:bottom w:val="single" w:sz="4" w:space="0" w:color="auto"/>
              <w:right w:val="single" w:sz="4" w:space="0" w:color="auto"/>
            </w:tcBorders>
            <w:noWrap/>
            <w:vAlign w:val="center"/>
            <w:hideMark/>
          </w:tcPr>
          <w:p w14:paraId="50A0889C"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Obese</w:t>
            </w:r>
          </w:p>
        </w:tc>
        <w:tc>
          <w:tcPr>
            <w:tcW w:w="526" w:type="pct"/>
            <w:tcBorders>
              <w:top w:val="nil"/>
              <w:left w:val="nil"/>
              <w:bottom w:val="single" w:sz="4" w:space="0" w:color="auto"/>
              <w:right w:val="single" w:sz="4" w:space="0" w:color="auto"/>
            </w:tcBorders>
            <w:noWrap/>
            <w:vAlign w:val="center"/>
            <w:hideMark/>
          </w:tcPr>
          <w:p w14:paraId="39A5A7AF"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Surgery</w:t>
            </w:r>
          </w:p>
        </w:tc>
      </w:tr>
      <w:tr w:rsidR="004131F8" w:rsidRPr="004131F8" w14:paraId="4C2FDAC0" w14:textId="77777777" w:rsidTr="004131F8">
        <w:trPr>
          <w:trHeight w:val="290"/>
        </w:trPr>
        <w:tc>
          <w:tcPr>
            <w:tcW w:w="648" w:type="pct"/>
            <w:tcBorders>
              <w:top w:val="nil"/>
              <w:left w:val="single" w:sz="4" w:space="0" w:color="auto"/>
              <w:bottom w:val="single" w:sz="4" w:space="0" w:color="auto"/>
              <w:right w:val="single" w:sz="4" w:space="0" w:color="auto"/>
            </w:tcBorders>
            <w:noWrap/>
            <w:vAlign w:val="center"/>
            <w:hideMark/>
          </w:tcPr>
          <w:p w14:paraId="6993672F" w14:textId="2E43FDD3"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Yu, 2017</w:t>
            </w:r>
            <w:r w:rsidR="00254B1C" w:rsidRPr="00254B1C">
              <w:rPr>
                <w:rFonts w:ascii="Calibri" w:eastAsia="Times New Roman" w:hAnsi="Calibri" w:cs="Calibri"/>
                <w:noProof/>
                <w:color w:val="000000"/>
                <w:sz w:val="16"/>
                <w:szCs w:val="16"/>
                <w:vertAlign w:val="superscript"/>
                <w:lang w:val="en-IE" w:eastAsia="en-IE"/>
              </w:rPr>
              <w:t>84</w:t>
            </w:r>
          </w:p>
        </w:tc>
        <w:tc>
          <w:tcPr>
            <w:tcW w:w="300" w:type="pct"/>
            <w:tcBorders>
              <w:top w:val="nil"/>
              <w:left w:val="nil"/>
              <w:bottom w:val="single" w:sz="4" w:space="0" w:color="auto"/>
              <w:right w:val="single" w:sz="4" w:space="0" w:color="auto"/>
            </w:tcBorders>
            <w:noWrap/>
            <w:vAlign w:val="center"/>
            <w:hideMark/>
          </w:tcPr>
          <w:p w14:paraId="56EA5E26"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CUA</w:t>
            </w:r>
          </w:p>
        </w:tc>
        <w:tc>
          <w:tcPr>
            <w:tcW w:w="939" w:type="pct"/>
            <w:tcBorders>
              <w:top w:val="nil"/>
              <w:left w:val="nil"/>
              <w:bottom w:val="single" w:sz="4" w:space="0" w:color="auto"/>
              <w:right w:val="single" w:sz="4" w:space="0" w:color="auto"/>
            </w:tcBorders>
            <w:noWrap/>
            <w:vAlign w:val="center"/>
            <w:hideMark/>
          </w:tcPr>
          <w:p w14:paraId="782ABD1B"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Markov</w:t>
            </w:r>
          </w:p>
        </w:tc>
        <w:tc>
          <w:tcPr>
            <w:tcW w:w="474" w:type="pct"/>
            <w:tcBorders>
              <w:top w:val="nil"/>
              <w:left w:val="nil"/>
              <w:bottom w:val="single" w:sz="4" w:space="0" w:color="auto"/>
              <w:right w:val="single" w:sz="4" w:space="0" w:color="auto"/>
            </w:tcBorders>
            <w:noWrap/>
            <w:vAlign w:val="center"/>
            <w:hideMark/>
          </w:tcPr>
          <w:p w14:paraId="1AA5A4D4"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US</w:t>
            </w:r>
          </w:p>
        </w:tc>
        <w:tc>
          <w:tcPr>
            <w:tcW w:w="2113" w:type="pct"/>
            <w:tcBorders>
              <w:top w:val="nil"/>
              <w:left w:val="nil"/>
              <w:bottom w:val="single" w:sz="4" w:space="0" w:color="auto"/>
              <w:right w:val="single" w:sz="4" w:space="0" w:color="auto"/>
            </w:tcBorders>
            <w:noWrap/>
            <w:vAlign w:val="center"/>
            <w:hideMark/>
          </w:tcPr>
          <w:p w14:paraId="5FB121C5"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Obese class II-III</w:t>
            </w:r>
          </w:p>
        </w:tc>
        <w:tc>
          <w:tcPr>
            <w:tcW w:w="526" w:type="pct"/>
            <w:tcBorders>
              <w:top w:val="nil"/>
              <w:left w:val="nil"/>
              <w:bottom w:val="single" w:sz="4" w:space="0" w:color="auto"/>
              <w:right w:val="single" w:sz="4" w:space="0" w:color="auto"/>
            </w:tcBorders>
            <w:noWrap/>
            <w:vAlign w:val="center"/>
            <w:hideMark/>
          </w:tcPr>
          <w:p w14:paraId="29696AB8" w14:textId="77777777" w:rsidR="00EE4AB5" w:rsidRPr="00EE4AB5" w:rsidRDefault="00EE4AB5" w:rsidP="00F652D0">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Medical device</w:t>
            </w:r>
          </w:p>
        </w:tc>
      </w:tr>
    </w:tbl>
    <w:p w14:paraId="2154E691" w14:textId="70E112A3" w:rsidR="00795081" w:rsidRDefault="00795081" w:rsidP="00393DCC">
      <w:pPr>
        <w:rPr>
          <w:sz w:val="16"/>
          <w:szCs w:val="16"/>
        </w:rPr>
      </w:pPr>
      <w:r w:rsidRPr="00795081">
        <w:rPr>
          <w:sz w:val="16"/>
          <w:szCs w:val="16"/>
        </w:rPr>
        <w:t>CEA=cost-effectiveness analysis; CUA=costutility analysis; MSM=microsimulation model</w:t>
      </w:r>
    </w:p>
    <w:p w14:paraId="0594F7A5" w14:textId="77777777" w:rsidR="00795081" w:rsidRDefault="00795081">
      <w:pPr>
        <w:rPr>
          <w:sz w:val="16"/>
          <w:szCs w:val="16"/>
        </w:rPr>
      </w:pPr>
      <w:r>
        <w:rPr>
          <w:sz w:val="16"/>
          <w:szCs w:val="16"/>
        </w:rPr>
        <w:br w:type="page"/>
      </w:r>
    </w:p>
    <w:p w14:paraId="05CA1958" w14:textId="3E9EA73B" w:rsidR="00254B1C" w:rsidRDefault="00254B1C" w:rsidP="00254B1C">
      <w:pPr>
        <w:pStyle w:val="Heading2"/>
      </w:pPr>
      <w:r>
        <w:lastRenderedPageBreak/>
        <w:t>Types of events simulated</w:t>
      </w:r>
    </w:p>
    <w:p w14:paraId="58DC442E" w14:textId="1088DA4B" w:rsidR="00CB7A19" w:rsidRDefault="00795081" w:rsidP="003F4759">
      <w:pPr>
        <w:pStyle w:val="Caption"/>
        <w:keepNext/>
      </w:pPr>
      <w:bookmarkStart w:id="18" w:name="_Ref196938716"/>
      <w:r>
        <w:t xml:space="preserve">Table </w:t>
      </w:r>
      <w:r>
        <w:rPr>
          <w:noProof/>
        </w:rPr>
        <w:t>4</w:t>
      </w:r>
      <w:bookmarkEnd w:id="18"/>
      <w:r>
        <w:t xml:space="preserve"> Summary of outcomes simulated</w:t>
      </w:r>
    </w:p>
    <w:tbl>
      <w:tblPr>
        <w:tblW w:w="14560" w:type="dxa"/>
        <w:tblLook w:val="04A0" w:firstRow="1" w:lastRow="0" w:firstColumn="1" w:lastColumn="0" w:noHBand="0" w:noVBand="1"/>
      </w:tblPr>
      <w:tblGrid>
        <w:gridCol w:w="2080"/>
        <w:gridCol w:w="1560"/>
        <w:gridCol w:w="1560"/>
        <w:gridCol w:w="1560"/>
        <w:gridCol w:w="1560"/>
        <w:gridCol w:w="1560"/>
        <w:gridCol w:w="1560"/>
        <w:gridCol w:w="1560"/>
        <w:gridCol w:w="1560"/>
      </w:tblGrid>
      <w:tr w:rsidR="00795081" w:rsidRPr="00795081" w14:paraId="1193D324" w14:textId="77777777" w:rsidTr="003F4759">
        <w:trPr>
          <w:trHeight w:val="210"/>
          <w:tblHeader/>
        </w:trPr>
        <w:tc>
          <w:tcPr>
            <w:tcW w:w="2080" w:type="dxa"/>
            <w:vMerge w:val="restart"/>
            <w:tcBorders>
              <w:top w:val="single" w:sz="4" w:space="0" w:color="auto"/>
              <w:left w:val="single" w:sz="4" w:space="0" w:color="auto"/>
              <w:right w:val="single" w:sz="4" w:space="0" w:color="auto"/>
            </w:tcBorders>
            <w:shd w:val="clear" w:color="auto" w:fill="E7E6E6" w:themeFill="background2"/>
            <w:vAlign w:val="center"/>
            <w:hideMark/>
          </w:tcPr>
          <w:p w14:paraId="5C2E34C4" w14:textId="77777777" w:rsidR="00795081" w:rsidRPr="00795081" w:rsidRDefault="00795081" w:rsidP="00795081">
            <w:pPr>
              <w:spacing w:after="0" w:line="240" w:lineRule="auto"/>
              <w:rPr>
                <w:rFonts w:ascii="Calibri" w:eastAsia="Times New Roman" w:hAnsi="Calibri" w:cs="Calibri"/>
                <w:b/>
                <w:bCs/>
                <w:sz w:val="16"/>
                <w:szCs w:val="16"/>
                <w:lang w:val="en-IE" w:eastAsia="en-IE"/>
              </w:rPr>
            </w:pPr>
            <w:r w:rsidRPr="00795081">
              <w:rPr>
                <w:rFonts w:ascii="Calibri" w:eastAsia="Times New Roman" w:hAnsi="Calibri" w:cs="Calibri"/>
                <w:b/>
                <w:bCs/>
                <w:sz w:val="16"/>
                <w:szCs w:val="16"/>
                <w:lang w:val="en-IE" w:eastAsia="en-IE"/>
              </w:rPr>
              <w:t>Study</w:t>
            </w:r>
          </w:p>
        </w:tc>
        <w:tc>
          <w:tcPr>
            <w:tcW w:w="12480" w:type="dxa"/>
            <w:gridSpan w:val="8"/>
            <w:tcBorders>
              <w:top w:val="single" w:sz="4" w:space="0" w:color="auto"/>
              <w:left w:val="nil"/>
              <w:bottom w:val="single" w:sz="4" w:space="0" w:color="auto"/>
              <w:right w:val="single" w:sz="4" w:space="0" w:color="auto"/>
            </w:tcBorders>
            <w:shd w:val="clear" w:color="auto" w:fill="E7E6E6" w:themeFill="background2"/>
            <w:noWrap/>
            <w:vAlign w:val="center"/>
            <w:hideMark/>
          </w:tcPr>
          <w:p w14:paraId="47B54E90" w14:textId="1E26078A" w:rsidR="00795081" w:rsidRPr="00795081" w:rsidRDefault="00795081" w:rsidP="00795081">
            <w:pPr>
              <w:spacing w:after="0" w:line="240" w:lineRule="auto"/>
              <w:rPr>
                <w:rFonts w:ascii="Calibri" w:eastAsia="Times New Roman" w:hAnsi="Calibri" w:cs="Calibri"/>
                <w:sz w:val="16"/>
                <w:szCs w:val="16"/>
                <w:lang w:val="en-IE" w:eastAsia="en-IE"/>
              </w:rPr>
            </w:pPr>
            <w:r w:rsidRPr="00795081">
              <w:rPr>
                <w:rFonts w:ascii="Calibri" w:eastAsia="Times New Roman" w:hAnsi="Calibri" w:cs="Calibri"/>
                <w:b/>
                <w:bCs/>
                <w:sz w:val="16"/>
                <w:szCs w:val="16"/>
                <w:lang w:val="en-IE" w:eastAsia="en-IE"/>
              </w:rPr>
              <w:t>Types of events simulated</w:t>
            </w:r>
            <w:r w:rsidRPr="00795081">
              <w:rPr>
                <w:rFonts w:ascii="Calibri" w:eastAsia="Times New Roman" w:hAnsi="Calibri" w:cs="Calibri"/>
                <w:sz w:val="16"/>
                <w:szCs w:val="16"/>
                <w:lang w:val="en-IE" w:eastAsia="en-IE"/>
              </w:rPr>
              <w:t> </w:t>
            </w:r>
          </w:p>
        </w:tc>
      </w:tr>
      <w:tr w:rsidR="00795081" w:rsidRPr="00795081" w14:paraId="13D9BA24" w14:textId="77777777" w:rsidTr="003F4759">
        <w:trPr>
          <w:trHeight w:val="210"/>
          <w:tblHeader/>
        </w:trPr>
        <w:tc>
          <w:tcPr>
            <w:tcW w:w="2080" w:type="dxa"/>
            <w:vMerge/>
            <w:tcBorders>
              <w:left w:val="single" w:sz="4" w:space="0" w:color="auto"/>
              <w:bottom w:val="single" w:sz="4" w:space="0" w:color="auto"/>
              <w:right w:val="single" w:sz="4" w:space="0" w:color="auto"/>
            </w:tcBorders>
            <w:shd w:val="clear" w:color="auto" w:fill="E7E6E6" w:themeFill="background2"/>
            <w:vAlign w:val="center"/>
            <w:hideMark/>
          </w:tcPr>
          <w:p w14:paraId="6F17C3F9" w14:textId="404B7B99" w:rsidR="00795081" w:rsidRPr="00795081" w:rsidRDefault="00795081" w:rsidP="00795081">
            <w:pPr>
              <w:spacing w:after="0" w:line="240" w:lineRule="auto"/>
              <w:rPr>
                <w:rFonts w:ascii="Calibri" w:eastAsia="Times New Roman" w:hAnsi="Calibri" w:cs="Calibri"/>
                <w:b/>
                <w:bCs/>
                <w:sz w:val="16"/>
                <w:szCs w:val="16"/>
                <w:lang w:val="en-IE" w:eastAsia="en-IE"/>
              </w:rPr>
            </w:pPr>
          </w:p>
        </w:tc>
        <w:tc>
          <w:tcPr>
            <w:tcW w:w="1560" w:type="dxa"/>
            <w:tcBorders>
              <w:top w:val="nil"/>
              <w:left w:val="nil"/>
              <w:bottom w:val="single" w:sz="4" w:space="0" w:color="auto"/>
              <w:right w:val="single" w:sz="4" w:space="0" w:color="auto"/>
            </w:tcBorders>
            <w:shd w:val="clear" w:color="auto" w:fill="E7E6E6" w:themeFill="background2"/>
            <w:noWrap/>
            <w:vAlign w:val="center"/>
            <w:hideMark/>
          </w:tcPr>
          <w:p w14:paraId="7DC614A0" w14:textId="77777777" w:rsidR="00795081" w:rsidRPr="00795081" w:rsidRDefault="00795081" w:rsidP="00795081">
            <w:pPr>
              <w:spacing w:after="0" w:line="240" w:lineRule="auto"/>
              <w:rPr>
                <w:rFonts w:ascii="Calibri" w:eastAsia="Times New Roman" w:hAnsi="Calibri" w:cs="Calibri"/>
                <w:b/>
                <w:bCs/>
                <w:sz w:val="16"/>
                <w:szCs w:val="16"/>
                <w:lang w:val="en-IE" w:eastAsia="en-IE"/>
              </w:rPr>
            </w:pPr>
            <w:r w:rsidRPr="00795081">
              <w:rPr>
                <w:rFonts w:ascii="Calibri" w:eastAsia="Times New Roman" w:hAnsi="Calibri" w:cs="Calibri"/>
                <w:b/>
                <w:bCs/>
                <w:sz w:val="16"/>
                <w:szCs w:val="16"/>
                <w:lang w:val="en-IE" w:eastAsia="en-IE"/>
              </w:rPr>
              <w:t>T2D</w:t>
            </w:r>
          </w:p>
        </w:tc>
        <w:tc>
          <w:tcPr>
            <w:tcW w:w="1560" w:type="dxa"/>
            <w:tcBorders>
              <w:top w:val="nil"/>
              <w:left w:val="nil"/>
              <w:bottom w:val="single" w:sz="4" w:space="0" w:color="auto"/>
              <w:right w:val="single" w:sz="4" w:space="0" w:color="auto"/>
            </w:tcBorders>
            <w:shd w:val="clear" w:color="auto" w:fill="E7E6E6" w:themeFill="background2"/>
            <w:noWrap/>
            <w:vAlign w:val="center"/>
            <w:hideMark/>
          </w:tcPr>
          <w:p w14:paraId="331230FE" w14:textId="77777777" w:rsidR="00795081" w:rsidRPr="00795081" w:rsidRDefault="00795081" w:rsidP="00795081">
            <w:pPr>
              <w:spacing w:after="0" w:line="240" w:lineRule="auto"/>
              <w:rPr>
                <w:rFonts w:ascii="Calibri" w:eastAsia="Times New Roman" w:hAnsi="Calibri" w:cs="Calibri"/>
                <w:b/>
                <w:bCs/>
                <w:sz w:val="16"/>
                <w:szCs w:val="16"/>
                <w:lang w:val="en-IE" w:eastAsia="en-IE"/>
              </w:rPr>
            </w:pPr>
            <w:r w:rsidRPr="00795081">
              <w:rPr>
                <w:rFonts w:ascii="Calibri" w:eastAsia="Times New Roman" w:hAnsi="Calibri" w:cs="Calibri"/>
                <w:b/>
                <w:bCs/>
                <w:sz w:val="16"/>
                <w:szCs w:val="16"/>
                <w:lang w:val="en-IE" w:eastAsia="en-IE"/>
              </w:rPr>
              <w:t>CHD</w:t>
            </w:r>
          </w:p>
        </w:tc>
        <w:tc>
          <w:tcPr>
            <w:tcW w:w="1560" w:type="dxa"/>
            <w:tcBorders>
              <w:top w:val="nil"/>
              <w:left w:val="nil"/>
              <w:bottom w:val="single" w:sz="4" w:space="0" w:color="auto"/>
              <w:right w:val="single" w:sz="4" w:space="0" w:color="auto"/>
            </w:tcBorders>
            <w:shd w:val="clear" w:color="auto" w:fill="E7E6E6" w:themeFill="background2"/>
            <w:noWrap/>
            <w:vAlign w:val="center"/>
            <w:hideMark/>
          </w:tcPr>
          <w:p w14:paraId="5BEE4548" w14:textId="77777777" w:rsidR="00795081" w:rsidRPr="00795081" w:rsidRDefault="00795081" w:rsidP="00795081">
            <w:pPr>
              <w:spacing w:after="0" w:line="240" w:lineRule="auto"/>
              <w:rPr>
                <w:rFonts w:ascii="Calibri" w:eastAsia="Times New Roman" w:hAnsi="Calibri" w:cs="Calibri"/>
                <w:b/>
                <w:bCs/>
                <w:sz w:val="16"/>
                <w:szCs w:val="16"/>
                <w:lang w:val="en-IE" w:eastAsia="en-IE"/>
              </w:rPr>
            </w:pPr>
            <w:r w:rsidRPr="00795081">
              <w:rPr>
                <w:rFonts w:ascii="Calibri" w:eastAsia="Times New Roman" w:hAnsi="Calibri" w:cs="Calibri"/>
                <w:b/>
                <w:bCs/>
                <w:sz w:val="16"/>
                <w:szCs w:val="16"/>
                <w:lang w:val="en-IE" w:eastAsia="en-IE"/>
              </w:rPr>
              <w:t>Stroke</w:t>
            </w:r>
          </w:p>
        </w:tc>
        <w:tc>
          <w:tcPr>
            <w:tcW w:w="1560" w:type="dxa"/>
            <w:tcBorders>
              <w:top w:val="nil"/>
              <w:left w:val="nil"/>
              <w:bottom w:val="single" w:sz="4" w:space="0" w:color="auto"/>
              <w:right w:val="single" w:sz="4" w:space="0" w:color="auto"/>
            </w:tcBorders>
            <w:shd w:val="clear" w:color="auto" w:fill="E7E6E6" w:themeFill="background2"/>
            <w:noWrap/>
            <w:vAlign w:val="center"/>
            <w:hideMark/>
          </w:tcPr>
          <w:p w14:paraId="5EE4C028" w14:textId="77777777" w:rsidR="00795081" w:rsidRPr="00795081" w:rsidRDefault="00795081" w:rsidP="00795081">
            <w:pPr>
              <w:spacing w:after="0" w:line="240" w:lineRule="auto"/>
              <w:rPr>
                <w:rFonts w:ascii="Calibri" w:eastAsia="Times New Roman" w:hAnsi="Calibri" w:cs="Calibri"/>
                <w:b/>
                <w:bCs/>
                <w:sz w:val="16"/>
                <w:szCs w:val="16"/>
                <w:lang w:val="en-IE" w:eastAsia="en-IE"/>
              </w:rPr>
            </w:pPr>
            <w:r w:rsidRPr="00795081">
              <w:rPr>
                <w:rFonts w:ascii="Calibri" w:eastAsia="Times New Roman" w:hAnsi="Calibri" w:cs="Calibri"/>
                <w:b/>
                <w:bCs/>
                <w:sz w:val="16"/>
                <w:szCs w:val="16"/>
                <w:lang w:val="en-IE" w:eastAsia="en-IE"/>
              </w:rPr>
              <w:t>Myocardial infarction</w:t>
            </w:r>
          </w:p>
        </w:tc>
        <w:tc>
          <w:tcPr>
            <w:tcW w:w="1560" w:type="dxa"/>
            <w:tcBorders>
              <w:top w:val="nil"/>
              <w:left w:val="nil"/>
              <w:bottom w:val="single" w:sz="4" w:space="0" w:color="auto"/>
              <w:right w:val="single" w:sz="4" w:space="0" w:color="auto"/>
            </w:tcBorders>
            <w:shd w:val="clear" w:color="auto" w:fill="E7E6E6" w:themeFill="background2"/>
            <w:noWrap/>
            <w:vAlign w:val="center"/>
            <w:hideMark/>
          </w:tcPr>
          <w:p w14:paraId="08ACB90B" w14:textId="77777777" w:rsidR="00795081" w:rsidRPr="00795081" w:rsidRDefault="00795081" w:rsidP="00795081">
            <w:pPr>
              <w:spacing w:after="0" w:line="240" w:lineRule="auto"/>
              <w:rPr>
                <w:rFonts w:ascii="Calibri" w:eastAsia="Times New Roman" w:hAnsi="Calibri" w:cs="Calibri"/>
                <w:b/>
                <w:bCs/>
                <w:sz w:val="16"/>
                <w:szCs w:val="16"/>
                <w:lang w:val="en-IE" w:eastAsia="en-IE"/>
              </w:rPr>
            </w:pPr>
            <w:r w:rsidRPr="00795081">
              <w:rPr>
                <w:rFonts w:ascii="Calibri" w:eastAsia="Times New Roman" w:hAnsi="Calibri" w:cs="Calibri"/>
                <w:b/>
                <w:bCs/>
                <w:sz w:val="16"/>
                <w:szCs w:val="16"/>
                <w:lang w:val="en-IE" w:eastAsia="en-IE"/>
              </w:rPr>
              <w:t>CVD death</w:t>
            </w:r>
          </w:p>
        </w:tc>
        <w:tc>
          <w:tcPr>
            <w:tcW w:w="1560" w:type="dxa"/>
            <w:tcBorders>
              <w:top w:val="nil"/>
              <w:left w:val="nil"/>
              <w:bottom w:val="single" w:sz="4" w:space="0" w:color="auto"/>
              <w:right w:val="single" w:sz="4" w:space="0" w:color="auto"/>
            </w:tcBorders>
            <w:shd w:val="clear" w:color="auto" w:fill="E7E6E6" w:themeFill="background2"/>
            <w:noWrap/>
            <w:vAlign w:val="center"/>
            <w:hideMark/>
          </w:tcPr>
          <w:p w14:paraId="65438DCC" w14:textId="77777777" w:rsidR="00795081" w:rsidRPr="00795081" w:rsidRDefault="00795081" w:rsidP="00795081">
            <w:pPr>
              <w:spacing w:after="0" w:line="240" w:lineRule="auto"/>
              <w:rPr>
                <w:rFonts w:ascii="Calibri" w:eastAsia="Times New Roman" w:hAnsi="Calibri" w:cs="Calibri"/>
                <w:b/>
                <w:bCs/>
                <w:sz w:val="16"/>
                <w:szCs w:val="16"/>
                <w:lang w:val="en-IE" w:eastAsia="en-IE"/>
              </w:rPr>
            </w:pPr>
            <w:r w:rsidRPr="00795081">
              <w:rPr>
                <w:rFonts w:ascii="Calibri" w:eastAsia="Times New Roman" w:hAnsi="Calibri" w:cs="Calibri"/>
                <w:b/>
                <w:bCs/>
                <w:sz w:val="16"/>
                <w:szCs w:val="16"/>
                <w:lang w:val="en-IE" w:eastAsia="en-IE"/>
              </w:rPr>
              <w:t>Osteoarthritis</w:t>
            </w:r>
          </w:p>
        </w:tc>
        <w:tc>
          <w:tcPr>
            <w:tcW w:w="1560" w:type="dxa"/>
            <w:tcBorders>
              <w:top w:val="nil"/>
              <w:left w:val="nil"/>
              <w:bottom w:val="single" w:sz="4" w:space="0" w:color="auto"/>
              <w:right w:val="single" w:sz="4" w:space="0" w:color="auto"/>
            </w:tcBorders>
            <w:shd w:val="clear" w:color="auto" w:fill="E7E6E6" w:themeFill="background2"/>
            <w:noWrap/>
            <w:vAlign w:val="center"/>
            <w:hideMark/>
          </w:tcPr>
          <w:p w14:paraId="6BA3AACA" w14:textId="77777777" w:rsidR="00795081" w:rsidRPr="00795081" w:rsidRDefault="00795081" w:rsidP="00795081">
            <w:pPr>
              <w:spacing w:after="0" w:line="240" w:lineRule="auto"/>
              <w:rPr>
                <w:rFonts w:ascii="Calibri" w:eastAsia="Times New Roman" w:hAnsi="Calibri" w:cs="Calibri"/>
                <w:b/>
                <w:bCs/>
                <w:sz w:val="16"/>
                <w:szCs w:val="16"/>
                <w:lang w:val="en-IE" w:eastAsia="en-IE"/>
              </w:rPr>
            </w:pPr>
            <w:r w:rsidRPr="00795081">
              <w:rPr>
                <w:rFonts w:ascii="Calibri" w:eastAsia="Times New Roman" w:hAnsi="Calibri" w:cs="Calibri"/>
                <w:b/>
                <w:bCs/>
                <w:sz w:val="16"/>
                <w:szCs w:val="16"/>
                <w:lang w:val="en-IE" w:eastAsia="en-IE"/>
              </w:rPr>
              <w:t>Hyperlipidemia</w:t>
            </w:r>
          </w:p>
        </w:tc>
        <w:tc>
          <w:tcPr>
            <w:tcW w:w="1560" w:type="dxa"/>
            <w:tcBorders>
              <w:top w:val="nil"/>
              <w:left w:val="nil"/>
              <w:bottom w:val="single" w:sz="4" w:space="0" w:color="auto"/>
              <w:right w:val="single" w:sz="4" w:space="0" w:color="auto"/>
            </w:tcBorders>
            <w:shd w:val="clear" w:color="auto" w:fill="E7E6E6" w:themeFill="background2"/>
            <w:noWrap/>
            <w:vAlign w:val="center"/>
            <w:hideMark/>
          </w:tcPr>
          <w:p w14:paraId="00DC05DE" w14:textId="77777777" w:rsidR="00795081" w:rsidRPr="00795081" w:rsidRDefault="00795081" w:rsidP="00795081">
            <w:pPr>
              <w:spacing w:after="0" w:line="240" w:lineRule="auto"/>
              <w:rPr>
                <w:rFonts w:ascii="Calibri" w:eastAsia="Times New Roman" w:hAnsi="Calibri" w:cs="Calibri"/>
                <w:b/>
                <w:bCs/>
                <w:sz w:val="16"/>
                <w:szCs w:val="16"/>
                <w:lang w:val="en-IE" w:eastAsia="en-IE"/>
              </w:rPr>
            </w:pPr>
            <w:r w:rsidRPr="00795081">
              <w:rPr>
                <w:rFonts w:ascii="Calibri" w:eastAsia="Times New Roman" w:hAnsi="Calibri" w:cs="Calibri"/>
                <w:b/>
                <w:bCs/>
                <w:sz w:val="16"/>
                <w:szCs w:val="16"/>
                <w:lang w:val="en-IE" w:eastAsia="en-IE"/>
              </w:rPr>
              <w:t>Hypertension</w:t>
            </w:r>
          </w:p>
        </w:tc>
      </w:tr>
      <w:tr w:rsidR="00254B1C" w:rsidRPr="00795081" w14:paraId="43EC099F" w14:textId="77777777" w:rsidTr="00795081">
        <w:trPr>
          <w:trHeight w:val="210"/>
        </w:trPr>
        <w:tc>
          <w:tcPr>
            <w:tcW w:w="2080" w:type="dxa"/>
            <w:tcBorders>
              <w:top w:val="nil"/>
              <w:left w:val="single" w:sz="4" w:space="0" w:color="auto"/>
              <w:bottom w:val="single" w:sz="4" w:space="0" w:color="auto"/>
              <w:right w:val="single" w:sz="4" w:space="0" w:color="auto"/>
            </w:tcBorders>
            <w:noWrap/>
            <w:vAlign w:val="center"/>
            <w:hideMark/>
          </w:tcPr>
          <w:p w14:paraId="22C6BC2A" w14:textId="4311D72C"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Alsumali, 2018</w:t>
            </w:r>
            <w:r w:rsidRPr="00254B1C">
              <w:rPr>
                <w:rFonts w:ascii="Calibri" w:eastAsia="Times New Roman" w:hAnsi="Calibri" w:cs="Calibri"/>
                <w:noProof/>
                <w:color w:val="000000"/>
                <w:sz w:val="16"/>
                <w:szCs w:val="16"/>
                <w:vertAlign w:val="superscript"/>
                <w:lang w:val="en-IE" w:eastAsia="en-IE"/>
              </w:rPr>
              <w:t>36</w:t>
            </w:r>
          </w:p>
        </w:tc>
        <w:tc>
          <w:tcPr>
            <w:tcW w:w="1560" w:type="dxa"/>
            <w:tcBorders>
              <w:top w:val="nil"/>
              <w:left w:val="nil"/>
              <w:bottom w:val="single" w:sz="4" w:space="0" w:color="auto"/>
              <w:right w:val="single" w:sz="4" w:space="0" w:color="auto"/>
            </w:tcBorders>
            <w:noWrap/>
            <w:vAlign w:val="center"/>
            <w:hideMark/>
          </w:tcPr>
          <w:p w14:paraId="3D2D685E"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1209BCD3"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1A9D9E35"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2BCB0988"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27397BAD"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634A6A72"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38E28602"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653BD876"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r>
      <w:tr w:rsidR="00254B1C" w:rsidRPr="00795081" w14:paraId="4477838C" w14:textId="77777777" w:rsidTr="00795081">
        <w:trPr>
          <w:trHeight w:val="210"/>
        </w:trPr>
        <w:tc>
          <w:tcPr>
            <w:tcW w:w="2080" w:type="dxa"/>
            <w:tcBorders>
              <w:top w:val="nil"/>
              <w:left w:val="single" w:sz="4" w:space="0" w:color="auto"/>
              <w:bottom w:val="single" w:sz="4" w:space="0" w:color="auto"/>
              <w:right w:val="single" w:sz="4" w:space="0" w:color="auto"/>
            </w:tcBorders>
            <w:noWrap/>
            <w:vAlign w:val="center"/>
            <w:hideMark/>
          </w:tcPr>
          <w:p w14:paraId="513A0209" w14:textId="0CA8A2AB"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An, 2020</w:t>
            </w:r>
            <w:r w:rsidRPr="00254B1C">
              <w:rPr>
                <w:rFonts w:ascii="Calibri" w:eastAsia="Times New Roman" w:hAnsi="Calibri" w:cs="Calibri"/>
                <w:noProof/>
                <w:color w:val="000000"/>
                <w:sz w:val="16"/>
                <w:szCs w:val="16"/>
                <w:vertAlign w:val="superscript"/>
                <w:lang w:val="en-IE" w:eastAsia="en-IE"/>
              </w:rPr>
              <w:t>37</w:t>
            </w:r>
          </w:p>
        </w:tc>
        <w:tc>
          <w:tcPr>
            <w:tcW w:w="1560" w:type="dxa"/>
            <w:tcBorders>
              <w:top w:val="nil"/>
              <w:left w:val="nil"/>
              <w:bottom w:val="single" w:sz="4" w:space="0" w:color="auto"/>
              <w:right w:val="single" w:sz="4" w:space="0" w:color="auto"/>
            </w:tcBorders>
            <w:noWrap/>
            <w:vAlign w:val="center"/>
            <w:hideMark/>
          </w:tcPr>
          <w:p w14:paraId="396CF4FA"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Yes</w:t>
            </w:r>
          </w:p>
        </w:tc>
        <w:tc>
          <w:tcPr>
            <w:tcW w:w="1560" w:type="dxa"/>
            <w:tcBorders>
              <w:top w:val="nil"/>
              <w:left w:val="nil"/>
              <w:bottom w:val="single" w:sz="4" w:space="0" w:color="auto"/>
              <w:right w:val="single" w:sz="4" w:space="0" w:color="auto"/>
            </w:tcBorders>
            <w:noWrap/>
            <w:vAlign w:val="center"/>
            <w:hideMark/>
          </w:tcPr>
          <w:p w14:paraId="23FEEF44"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Yes</w:t>
            </w:r>
          </w:p>
        </w:tc>
        <w:tc>
          <w:tcPr>
            <w:tcW w:w="1560" w:type="dxa"/>
            <w:tcBorders>
              <w:top w:val="nil"/>
              <w:left w:val="nil"/>
              <w:bottom w:val="single" w:sz="4" w:space="0" w:color="auto"/>
              <w:right w:val="single" w:sz="4" w:space="0" w:color="auto"/>
            </w:tcBorders>
            <w:noWrap/>
            <w:vAlign w:val="center"/>
            <w:hideMark/>
          </w:tcPr>
          <w:p w14:paraId="062DD262"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Yes</w:t>
            </w:r>
          </w:p>
        </w:tc>
        <w:tc>
          <w:tcPr>
            <w:tcW w:w="1560" w:type="dxa"/>
            <w:tcBorders>
              <w:top w:val="nil"/>
              <w:left w:val="nil"/>
              <w:bottom w:val="single" w:sz="4" w:space="0" w:color="auto"/>
              <w:right w:val="single" w:sz="4" w:space="0" w:color="auto"/>
            </w:tcBorders>
            <w:noWrap/>
            <w:vAlign w:val="center"/>
            <w:hideMark/>
          </w:tcPr>
          <w:p w14:paraId="26ECA270"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5F207C4D"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Yes</w:t>
            </w:r>
          </w:p>
        </w:tc>
        <w:tc>
          <w:tcPr>
            <w:tcW w:w="1560" w:type="dxa"/>
            <w:tcBorders>
              <w:top w:val="nil"/>
              <w:left w:val="nil"/>
              <w:bottom w:val="single" w:sz="4" w:space="0" w:color="auto"/>
              <w:right w:val="single" w:sz="4" w:space="0" w:color="auto"/>
            </w:tcBorders>
            <w:noWrap/>
            <w:vAlign w:val="center"/>
            <w:hideMark/>
          </w:tcPr>
          <w:p w14:paraId="7C4D7919"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432BC033"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Yes</w:t>
            </w:r>
          </w:p>
        </w:tc>
        <w:tc>
          <w:tcPr>
            <w:tcW w:w="1560" w:type="dxa"/>
            <w:tcBorders>
              <w:top w:val="nil"/>
              <w:left w:val="nil"/>
              <w:bottom w:val="single" w:sz="4" w:space="0" w:color="auto"/>
              <w:right w:val="single" w:sz="4" w:space="0" w:color="auto"/>
            </w:tcBorders>
            <w:noWrap/>
            <w:vAlign w:val="center"/>
            <w:hideMark/>
          </w:tcPr>
          <w:p w14:paraId="007931C8"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Yes</w:t>
            </w:r>
          </w:p>
        </w:tc>
      </w:tr>
      <w:tr w:rsidR="00254B1C" w:rsidRPr="00795081" w14:paraId="79779970" w14:textId="77777777" w:rsidTr="00795081">
        <w:trPr>
          <w:trHeight w:val="210"/>
        </w:trPr>
        <w:tc>
          <w:tcPr>
            <w:tcW w:w="2080" w:type="dxa"/>
            <w:tcBorders>
              <w:top w:val="nil"/>
              <w:left w:val="single" w:sz="4" w:space="0" w:color="auto"/>
              <w:bottom w:val="single" w:sz="4" w:space="0" w:color="auto"/>
              <w:right w:val="single" w:sz="4" w:space="0" w:color="auto"/>
            </w:tcBorders>
            <w:noWrap/>
            <w:vAlign w:val="center"/>
            <w:hideMark/>
          </w:tcPr>
          <w:p w14:paraId="37FE6D0D" w14:textId="4227FBD4"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Assumpcao, 2019</w:t>
            </w:r>
            <w:r w:rsidRPr="00254B1C">
              <w:rPr>
                <w:rFonts w:ascii="Calibri" w:eastAsia="Times New Roman" w:hAnsi="Calibri" w:cs="Calibri"/>
                <w:noProof/>
                <w:color w:val="000000"/>
                <w:sz w:val="16"/>
                <w:szCs w:val="16"/>
                <w:vertAlign w:val="superscript"/>
                <w:lang w:val="en-IE" w:eastAsia="en-IE"/>
              </w:rPr>
              <w:t>38</w:t>
            </w:r>
          </w:p>
        </w:tc>
        <w:tc>
          <w:tcPr>
            <w:tcW w:w="1560" w:type="dxa"/>
            <w:tcBorders>
              <w:top w:val="nil"/>
              <w:left w:val="nil"/>
              <w:bottom w:val="single" w:sz="4" w:space="0" w:color="auto"/>
              <w:right w:val="single" w:sz="4" w:space="0" w:color="auto"/>
            </w:tcBorders>
            <w:noWrap/>
            <w:vAlign w:val="center"/>
            <w:hideMark/>
          </w:tcPr>
          <w:p w14:paraId="36AA4CD6"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Yes</w:t>
            </w:r>
          </w:p>
        </w:tc>
        <w:tc>
          <w:tcPr>
            <w:tcW w:w="1560" w:type="dxa"/>
            <w:tcBorders>
              <w:top w:val="nil"/>
              <w:left w:val="nil"/>
              <w:bottom w:val="single" w:sz="4" w:space="0" w:color="auto"/>
              <w:right w:val="single" w:sz="4" w:space="0" w:color="auto"/>
            </w:tcBorders>
            <w:noWrap/>
            <w:vAlign w:val="center"/>
            <w:hideMark/>
          </w:tcPr>
          <w:p w14:paraId="3E5281AA"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7E451B04"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3C2A5480"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Yes</w:t>
            </w:r>
          </w:p>
        </w:tc>
        <w:tc>
          <w:tcPr>
            <w:tcW w:w="1560" w:type="dxa"/>
            <w:tcBorders>
              <w:top w:val="nil"/>
              <w:left w:val="nil"/>
              <w:bottom w:val="single" w:sz="4" w:space="0" w:color="auto"/>
              <w:right w:val="single" w:sz="4" w:space="0" w:color="auto"/>
            </w:tcBorders>
            <w:noWrap/>
            <w:vAlign w:val="center"/>
            <w:hideMark/>
          </w:tcPr>
          <w:p w14:paraId="3EF889A4"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Yes</w:t>
            </w:r>
          </w:p>
        </w:tc>
        <w:tc>
          <w:tcPr>
            <w:tcW w:w="1560" w:type="dxa"/>
            <w:tcBorders>
              <w:top w:val="nil"/>
              <w:left w:val="nil"/>
              <w:bottom w:val="single" w:sz="4" w:space="0" w:color="auto"/>
              <w:right w:val="single" w:sz="4" w:space="0" w:color="auto"/>
            </w:tcBorders>
            <w:noWrap/>
            <w:vAlign w:val="center"/>
            <w:hideMark/>
          </w:tcPr>
          <w:p w14:paraId="5FC53BEE"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 </w:t>
            </w:r>
          </w:p>
        </w:tc>
        <w:tc>
          <w:tcPr>
            <w:tcW w:w="1560" w:type="dxa"/>
            <w:tcBorders>
              <w:top w:val="nil"/>
              <w:left w:val="nil"/>
              <w:bottom w:val="single" w:sz="4" w:space="0" w:color="auto"/>
              <w:right w:val="single" w:sz="4" w:space="0" w:color="auto"/>
            </w:tcBorders>
            <w:noWrap/>
            <w:vAlign w:val="center"/>
            <w:hideMark/>
          </w:tcPr>
          <w:p w14:paraId="2C99141F"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 </w:t>
            </w:r>
          </w:p>
        </w:tc>
        <w:tc>
          <w:tcPr>
            <w:tcW w:w="1560" w:type="dxa"/>
            <w:tcBorders>
              <w:top w:val="nil"/>
              <w:left w:val="nil"/>
              <w:bottom w:val="single" w:sz="4" w:space="0" w:color="auto"/>
              <w:right w:val="single" w:sz="4" w:space="0" w:color="auto"/>
            </w:tcBorders>
            <w:noWrap/>
            <w:vAlign w:val="center"/>
            <w:hideMark/>
          </w:tcPr>
          <w:p w14:paraId="07A5AA01"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 </w:t>
            </w:r>
          </w:p>
        </w:tc>
      </w:tr>
      <w:tr w:rsidR="00254B1C" w:rsidRPr="00795081" w14:paraId="3FE64A88" w14:textId="77777777" w:rsidTr="00795081">
        <w:trPr>
          <w:trHeight w:val="210"/>
        </w:trPr>
        <w:tc>
          <w:tcPr>
            <w:tcW w:w="2080" w:type="dxa"/>
            <w:tcBorders>
              <w:top w:val="nil"/>
              <w:left w:val="single" w:sz="4" w:space="0" w:color="auto"/>
              <w:bottom w:val="single" w:sz="4" w:space="0" w:color="auto"/>
              <w:right w:val="single" w:sz="4" w:space="0" w:color="auto"/>
            </w:tcBorders>
            <w:noWrap/>
            <w:vAlign w:val="center"/>
            <w:hideMark/>
          </w:tcPr>
          <w:p w14:paraId="7C465CEA" w14:textId="4EDAED1D"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Avenell, 2018</w:t>
            </w:r>
            <w:r w:rsidRPr="00254B1C">
              <w:rPr>
                <w:rFonts w:ascii="Calibri" w:eastAsia="Times New Roman" w:hAnsi="Calibri" w:cs="Calibri"/>
                <w:noProof/>
                <w:color w:val="000000"/>
                <w:sz w:val="16"/>
                <w:szCs w:val="16"/>
                <w:vertAlign w:val="superscript"/>
                <w:lang w:val="en-IE" w:eastAsia="en-IE"/>
              </w:rPr>
              <w:t>39</w:t>
            </w:r>
          </w:p>
        </w:tc>
        <w:tc>
          <w:tcPr>
            <w:tcW w:w="1560" w:type="dxa"/>
            <w:tcBorders>
              <w:top w:val="nil"/>
              <w:left w:val="nil"/>
              <w:bottom w:val="single" w:sz="4" w:space="0" w:color="auto"/>
              <w:right w:val="single" w:sz="4" w:space="0" w:color="auto"/>
            </w:tcBorders>
            <w:noWrap/>
            <w:vAlign w:val="center"/>
            <w:hideMark/>
          </w:tcPr>
          <w:p w14:paraId="32676755"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Yes</w:t>
            </w:r>
          </w:p>
        </w:tc>
        <w:tc>
          <w:tcPr>
            <w:tcW w:w="1560" w:type="dxa"/>
            <w:tcBorders>
              <w:top w:val="nil"/>
              <w:left w:val="nil"/>
              <w:bottom w:val="single" w:sz="4" w:space="0" w:color="auto"/>
              <w:right w:val="single" w:sz="4" w:space="0" w:color="auto"/>
            </w:tcBorders>
            <w:noWrap/>
            <w:vAlign w:val="center"/>
            <w:hideMark/>
          </w:tcPr>
          <w:p w14:paraId="43F3F821"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Yes</w:t>
            </w:r>
          </w:p>
        </w:tc>
        <w:tc>
          <w:tcPr>
            <w:tcW w:w="1560" w:type="dxa"/>
            <w:tcBorders>
              <w:top w:val="nil"/>
              <w:left w:val="nil"/>
              <w:bottom w:val="single" w:sz="4" w:space="0" w:color="auto"/>
              <w:right w:val="single" w:sz="4" w:space="0" w:color="auto"/>
            </w:tcBorders>
            <w:noWrap/>
            <w:vAlign w:val="center"/>
            <w:hideMark/>
          </w:tcPr>
          <w:p w14:paraId="0182D213"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Yes</w:t>
            </w:r>
          </w:p>
        </w:tc>
        <w:tc>
          <w:tcPr>
            <w:tcW w:w="1560" w:type="dxa"/>
            <w:tcBorders>
              <w:top w:val="nil"/>
              <w:left w:val="nil"/>
              <w:bottom w:val="single" w:sz="4" w:space="0" w:color="auto"/>
              <w:right w:val="single" w:sz="4" w:space="0" w:color="auto"/>
            </w:tcBorders>
            <w:noWrap/>
            <w:vAlign w:val="center"/>
            <w:hideMark/>
          </w:tcPr>
          <w:p w14:paraId="12C1CC57"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2FC8EA3E"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49CF1A30"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Yes</w:t>
            </w:r>
          </w:p>
        </w:tc>
        <w:tc>
          <w:tcPr>
            <w:tcW w:w="1560" w:type="dxa"/>
            <w:tcBorders>
              <w:top w:val="nil"/>
              <w:left w:val="nil"/>
              <w:bottom w:val="single" w:sz="4" w:space="0" w:color="auto"/>
              <w:right w:val="single" w:sz="4" w:space="0" w:color="auto"/>
            </w:tcBorders>
            <w:noWrap/>
            <w:vAlign w:val="center"/>
            <w:hideMark/>
          </w:tcPr>
          <w:p w14:paraId="292C7479"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297D1DA0"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Yes</w:t>
            </w:r>
          </w:p>
        </w:tc>
      </w:tr>
      <w:tr w:rsidR="00254B1C" w:rsidRPr="00795081" w14:paraId="64153144" w14:textId="77777777" w:rsidTr="00795081">
        <w:trPr>
          <w:trHeight w:val="210"/>
        </w:trPr>
        <w:tc>
          <w:tcPr>
            <w:tcW w:w="2080" w:type="dxa"/>
            <w:tcBorders>
              <w:top w:val="nil"/>
              <w:left w:val="single" w:sz="4" w:space="0" w:color="auto"/>
              <w:bottom w:val="single" w:sz="4" w:space="0" w:color="auto"/>
              <w:right w:val="single" w:sz="4" w:space="0" w:color="auto"/>
            </w:tcBorders>
            <w:noWrap/>
            <w:vAlign w:val="center"/>
            <w:hideMark/>
          </w:tcPr>
          <w:p w14:paraId="00C62138" w14:textId="47428E6C"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Bernard 2021</w:t>
            </w:r>
            <w:r w:rsidRPr="00254B1C">
              <w:rPr>
                <w:rFonts w:ascii="Calibri" w:eastAsia="Times New Roman" w:hAnsi="Calibri" w:cs="Calibri"/>
                <w:noProof/>
                <w:color w:val="000000"/>
                <w:sz w:val="16"/>
                <w:szCs w:val="16"/>
                <w:vertAlign w:val="superscript"/>
                <w:lang w:val="en-IE" w:eastAsia="en-IE"/>
              </w:rPr>
              <w:t>40</w:t>
            </w:r>
          </w:p>
        </w:tc>
        <w:tc>
          <w:tcPr>
            <w:tcW w:w="1560" w:type="dxa"/>
            <w:tcBorders>
              <w:top w:val="nil"/>
              <w:left w:val="nil"/>
              <w:bottom w:val="single" w:sz="4" w:space="0" w:color="auto"/>
              <w:right w:val="single" w:sz="4" w:space="0" w:color="auto"/>
            </w:tcBorders>
            <w:noWrap/>
            <w:vAlign w:val="center"/>
            <w:hideMark/>
          </w:tcPr>
          <w:p w14:paraId="4BF524B4"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168DF28C"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5E9EAC0A"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083AEAE8"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57526FA4"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1091CA9C"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441688F4"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2F90E104"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r>
      <w:tr w:rsidR="00254B1C" w:rsidRPr="00795081" w14:paraId="4D4ECFAD" w14:textId="77777777" w:rsidTr="00795081">
        <w:trPr>
          <w:trHeight w:val="210"/>
        </w:trPr>
        <w:tc>
          <w:tcPr>
            <w:tcW w:w="2080" w:type="dxa"/>
            <w:tcBorders>
              <w:top w:val="nil"/>
              <w:left w:val="single" w:sz="4" w:space="0" w:color="auto"/>
              <w:bottom w:val="single" w:sz="4" w:space="0" w:color="auto"/>
              <w:right w:val="single" w:sz="4" w:space="0" w:color="auto"/>
            </w:tcBorders>
            <w:noWrap/>
            <w:vAlign w:val="center"/>
            <w:hideMark/>
          </w:tcPr>
          <w:p w14:paraId="1C0FDD3D" w14:textId="54287E6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Borisenko, 2018a</w:t>
            </w:r>
            <w:r w:rsidRPr="00254B1C">
              <w:rPr>
                <w:rFonts w:ascii="Calibri" w:eastAsia="Times New Roman" w:hAnsi="Calibri" w:cs="Calibri"/>
                <w:noProof/>
                <w:color w:val="000000"/>
                <w:sz w:val="16"/>
                <w:szCs w:val="16"/>
                <w:vertAlign w:val="superscript"/>
                <w:lang w:val="en-IE" w:eastAsia="en-IE"/>
              </w:rPr>
              <w:t>41</w:t>
            </w:r>
          </w:p>
        </w:tc>
        <w:tc>
          <w:tcPr>
            <w:tcW w:w="1560" w:type="dxa"/>
            <w:tcBorders>
              <w:top w:val="nil"/>
              <w:left w:val="nil"/>
              <w:bottom w:val="single" w:sz="4" w:space="0" w:color="auto"/>
              <w:right w:val="single" w:sz="4" w:space="0" w:color="auto"/>
            </w:tcBorders>
            <w:noWrap/>
            <w:vAlign w:val="center"/>
            <w:hideMark/>
          </w:tcPr>
          <w:p w14:paraId="27A73757"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Yes</w:t>
            </w:r>
          </w:p>
        </w:tc>
        <w:tc>
          <w:tcPr>
            <w:tcW w:w="1560" w:type="dxa"/>
            <w:tcBorders>
              <w:top w:val="nil"/>
              <w:left w:val="nil"/>
              <w:bottom w:val="single" w:sz="4" w:space="0" w:color="auto"/>
              <w:right w:val="single" w:sz="4" w:space="0" w:color="auto"/>
            </w:tcBorders>
            <w:noWrap/>
            <w:vAlign w:val="center"/>
            <w:hideMark/>
          </w:tcPr>
          <w:p w14:paraId="5502D7B3"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6919D8B9"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Yes</w:t>
            </w:r>
          </w:p>
        </w:tc>
        <w:tc>
          <w:tcPr>
            <w:tcW w:w="1560" w:type="dxa"/>
            <w:tcBorders>
              <w:top w:val="nil"/>
              <w:left w:val="nil"/>
              <w:bottom w:val="single" w:sz="4" w:space="0" w:color="auto"/>
              <w:right w:val="single" w:sz="4" w:space="0" w:color="auto"/>
            </w:tcBorders>
            <w:noWrap/>
            <w:vAlign w:val="center"/>
            <w:hideMark/>
          </w:tcPr>
          <w:p w14:paraId="1F9C2439"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Yes</w:t>
            </w:r>
          </w:p>
        </w:tc>
        <w:tc>
          <w:tcPr>
            <w:tcW w:w="1560" w:type="dxa"/>
            <w:tcBorders>
              <w:top w:val="nil"/>
              <w:left w:val="nil"/>
              <w:bottom w:val="single" w:sz="4" w:space="0" w:color="auto"/>
              <w:right w:val="single" w:sz="4" w:space="0" w:color="auto"/>
            </w:tcBorders>
            <w:noWrap/>
            <w:vAlign w:val="center"/>
            <w:hideMark/>
          </w:tcPr>
          <w:p w14:paraId="44267194"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11E01090"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5BE816F6"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71C5D379"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r>
      <w:tr w:rsidR="00254B1C" w:rsidRPr="00795081" w14:paraId="34689024" w14:textId="77777777" w:rsidTr="00795081">
        <w:trPr>
          <w:trHeight w:val="210"/>
        </w:trPr>
        <w:tc>
          <w:tcPr>
            <w:tcW w:w="2080" w:type="dxa"/>
            <w:tcBorders>
              <w:top w:val="nil"/>
              <w:left w:val="single" w:sz="4" w:space="0" w:color="auto"/>
              <w:bottom w:val="single" w:sz="4" w:space="0" w:color="auto"/>
              <w:right w:val="single" w:sz="4" w:space="0" w:color="auto"/>
            </w:tcBorders>
            <w:noWrap/>
            <w:vAlign w:val="center"/>
            <w:hideMark/>
          </w:tcPr>
          <w:p w14:paraId="63821077" w14:textId="148A4D7E"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Borisenko, 2018b</w:t>
            </w:r>
            <w:r w:rsidRPr="00254B1C">
              <w:rPr>
                <w:rFonts w:ascii="Calibri" w:eastAsia="Times New Roman" w:hAnsi="Calibri" w:cs="Calibri"/>
                <w:noProof/>
                <w:color w:val="000000"/>
                <w:sz w:val="16"/>
                <w:szCs w:val="16"/>
                <w:vertAlign w:val="superscript"/>
                <w:lang w:val="en-IE" w:eastAsia="en-IE"/>
              </w:rPr>
              <w:t>42</w:t>
            </w:r>
          </w:p>
        </w:tc>
        <w:tc>
          <w:tcPr>
            <w:tcW w:w="1560" w:type="dxa"/>
            <w:tcBorders>
              <w:top w:val="nil"/>
              <w:left w:val="nil"/>
              <w:bottom w:val="single" w:sz="4" w:space="0" w:color="auto"/>
              <w:right w:val="single" w:sz="4" w:space="0" w:color="auto"/>
            </w:tcBorders>
            <w:noWrap/>
            <w:vAlign w:val="center"/>
            <w:hideMark/>
          </w:tcPr>
          <w:p w14:paraId="0FBE7F4C"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Yes</w:t>
            </w:r>
          </w:p>
        </w:tc>
        <w:tc>
          <w:tcPr>
            <w:tcW w:w="1560" w:type="dxa"/>
            <w:tcBorders>
              <w:top w:val="nil"/>
              <w:left w:val="nil"/>
              <w:bottom w:val="single" w:sz="4" w:space="0" w:color="auto"/>
              <w:right w:val="single" w:sz="4" w:space="0" w:color="auto"/>
            </w:tcBorders>
            <w:noWrap/>
            <w:vAlign w:val="center"/>
            <w:hideMark/>
          </w:tcPr>
          <w:p w14:paraId="1A2646D3"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4977D9AE"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Yes</w:t>
            </w:r>
          </w:p>
        </w:tc>
        <w:tc>
          <w:tcPr>
            <w:tcW w:w="1560" w:type="dxa"/>
            <w:tcBorders>
              <w:top w:val="nil"/>
              <w:left w:val="nil"/>
              <w:bottom w:val="single" w:sz="4" w:space="0" w:color="auto"/>
              <w:right w:val="single" w:sz="4" w:space="0" w:color="auto"/>
            </w:tcBorders>
            <w:noWrap/>
            <w:vAlign w:val="center"/>
            <w:hideMark/>
          </w:tcPr>
          <w:p w14:paraId="15E6B790"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Yes</w:t>
            </w:r>
          </w:p>
        </w:tc>
        <w:tc>
          <w:tcPr>
            <w:tcW w:w="1560" w:type="dxa"/>
            <w:tcBorders>
              <w:top w:val="nil"/>
              <w:left w:val="nil"/>
              <w:bottom w:val="single" w:sz="4" w:space="0" w:color="auto"/>
              <w:right w:val="single" w:sz="4" w:space="0" w:color="auto"/>
            </w:tcBorders>
            <w:noWrap/>
            <w:vAlign w:val="center"/>
            <w:hideMark/>
          </w:tcPr>
          <w:p w14:paraId="4F1CD080"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1F779964"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4A445177"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39F62EA7"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r>
      <w:tr w:rsidR="00254B1C" w:rsidRPr="00795081" w14:paraId="6989DEA2" w14:textId="77777777" w:rsidTr="00795081">
        <w:trPr>
          <w:trHeight w:val="210"/>
        </w:trPr>
        <w:tc>
          <w:tcPr>
            <w:tcW w:w="2080" w:type="dxa"/>
            <w:tcBorders>
              <w:top w:val="nil"/>
              <w:left w:val="single" w:sz="4" w:space="0" w:color="auto"/>
              <w:bottom w:val="single" w:sz="4" w:space="0" w:color="auto"/>
              <w:right w:val="single" w:sz="4" w:space="0" w:color="auto"/>
            </w:tcBorders>
            <w:noWrap/>
            <w:vAlign w:val="center"/>
            <w:hideMark/>
          </w:tcPr>
          <w:p w14:paraId="2A6E75E5" w14:textId="4586A7B1"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Borisenko, 2017a</w:t>
            </w:r>
            <w:r w:rsidRPr="00254B1C">
              <w:rPr>
                <w:rFonts w:ascii="Calibri" w:eastAsia="Times New Roman" w:hAnsi="Calibri" w:cs="Calibri"/>
                <w:noProof/>
                <w:color w:val="000000"/>
                <w:sz w:val="16"/>
                <w:szCs w:val="16"/>
                <w:vertAlign w:val="superscript"/>
                <w:lang w:val="en-IE" w:eastAsia="en-IE"/>
              </w:rPr>
              <w:t>43</w:t>
            </w:r>
          </w:p>
        </w:tc>
        <w:tc>
          <w:tcPr>
            <w:tcW w:w="1560" w:type="dxa"/>
            <w:tcBorders>
              <w:top w:val="nil"/>
              <w:left w:val="nil"/>
              <w:bottom w:val="single" w:sz="4" w:space="0" w:color="auto"/>
              <w:right w:val="single" w:sz="4" w:space="0" w:color="auto"/>
            </w:tcBorders>
            <w:noWrap/>
            <w:vAlign w:val="center"/>
            <w:hideMark/>
          </w:tcPr>
          <w:p w14:paraId="6AAD8A3C"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Yes</w:t>
            </w:r>
          </w:p>
        </w:tc>
        <w:tc>
          <w:tcPr>
            <w:tcW w:w="1560" w:type="dxa"/>
            <w:tcBorders>
              <w:top w:val="nil"/>
              <w:left w:val="nil"/>
              <w:bottom w:val="single" w:sz="4" w:space="0" w:color="auto"/>
              <w:right w:val="single" w:sz="4" w:space="0" w:color="auto"/>
            </w:tcBorders>
            <w:noWrap/>
            <w:vAlign w:val="center"/>
            <w:hideMark/>
          </w:tcPr>
          <w:p w14:paraId="1E9D1AE8"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0C1DFA78"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Yes</w:t>
            </w:r>
          </w:p>
        </w:tc>
        <w:tc>
          <w:tcPr>
            <w:tcW w:w="1560" w:type="dxa"/>
            <w:tcBorders>
              <w:top w:val="nil"/>
              <w:left w:val="nil"/>
              <w:bottom w:val="single" w:sz="4" w:space="0" w:color="auto"/>
              <w:right w:val="single" w:sz="4" w:space="0" w:color="auto"/>
            </w:tcBorders>
            <w:noWrap/>
            <w:vAlign w:val="center"/>
            <w:hideMark/>
          </w:tcPr>
          <w:p w14:paraId="751E8C4E"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Yes</w:t>
            </w:r>
          </w:p>
        </w:tc>
        <w:tc>
          <w:tcPr>
            <w:tcW w:w="1560" w:type="dxa"/>
            <w:tcBorders>
              <w:top w:val="nil"/>
              <w:left w:val="nil"/>
              <w:bottom w:val="single" w:sz="4" w:space="0" w:color="auto"/>
              <w:right w:val="single" w:sz="4" w:space="0" w:color="auto"/>
            </w:tcBorders>
            <w:noWrap/>
            <w:vAlign w:val="center"/>
            <w:hideMark/>
          </w:tcPr>
          <w:p w14:paraId="2FF98DD0"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13C2399C"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1D28CF5E"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41A81DBE"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r>
      <w:tr w:rsidR="00254B1C" w:rsidRPr="00795081" w14:paraId="32851CB6" w14:textId="77777777" w:rsidTr="00795081">
        <w:trPr>
          <w:trHeight w:val="210"/>
        </w:trPr>
        <w:tc>
          <w:tcPr>
            <w:tcW w:w="2080" w:type="dxa"/>
            <w:tcBorders>
              <w:top w:val="nil"/>
              <w:left w:val="single" w:sz="4" w:space="0" w:color="auto"/>
              <w:bottom w:val="single" w:sz="4" w:space="0" w:color="auto"/>
              <w:right w:val="single" w:sz="4" w:space="0" w:color="auto"/>
            </w:tcBorders>
            <w:noWrap/>
            <w:vAlign w:val="center"/>
            <w:hideMark/>
          </w:tcPr>
          <w:p w14:paraId="692EDA2B" w14:textId="34840B43"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Borisenko, 2017b</w:t>
            </w:r>
            <w:r w:rsidRPr="00254B1C">
              <w:rPr>
                <w:rFonts w:ascii="Calibri" w:eastAsia="Times New Roman" w:hAnsi="Calibri" w:cs="Calibri"/>
                <w:noProof/>
                <w:color w:val="000000"/>
                <w:sz w:val="16"/>
                <w:szCs w:val="16"/>
                <w:vertAlign w:val="superscript"/>
                <w:lang w:val="en-IE" w:eastAsia="en-IE"/>
              </w:rPr>
              <w:t>44</w:t>
            </w:r>
          </w:p>
        </w:tc>
        <w:tc>
          <w:tcPr>
            <w:tcW w:w="1560" w:type="dxa"/>
            <w:tcBorders>
              <w:top w:val="nil"/>
              <w:left w:val="nil"/>
              <w:bottom w:val="single" w:sz="4" w:space="0" w:color="auto"/>
              <w:right w:val="single" w:sz="4" w:space="0" w:color="auto"/>
            </w:tcBorders>
            <w:noWrap/>
            <w:vAlign w:val="center"/>
            <w:hideMark/>
          </w:tcPr>
          <w:p w14:paraId="4574A459"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Yes</w:t>
            </w:r>
          </w:p>
        </w:tc>
        <w:tc>
          <w:tcPr>
            <w:tcW w:w="1560" w:type="dxa"/>
            <w:tcBorders>
              <w:top w:val="nil"/>
              <w:left w:val="nil"/>
              <w:bottom w:val="single" w:sz="4" w:space="0" w:color="auto"/>
              <w:right w:val="single" w:sz="4" w:space="0" w:color="auto"/>
            </w:tcBorders>
            <w:noWrap/>
            <w:vAlign w:val="center"/>
            <w:hideMark/>
          </w:tcPr>
          <w:p w14:paraId="26D1C66C"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58B5D9C6"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Yes</w:t>
            </w:r>
          </w:p>
        </w:tc>
        <w:tc>
          <w:tcPr>
            <w:tcW w:w="1560" w:type="dxa"/>
            <w:tcBorders>
              <w:top w:val="nil"/>
              <w:left w:val="nil"/>
              <w:bottom w:val="single" w:sz="4" w:space="0" w:color="auto"/>
              <w:right w:val="single" w:sz="4" w:space="0" w:color="auto"/>
            </w:tcBorders>
            <w:noWrap/>
            <w:vAlign w:val="center"/>
            <w:hideMark/>
          </w:tcPr>
          <w:p w14:paraId="53707824"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Yes</w:t>
            </w:r>
          </w:p>
        </w:tc>
        <w:tc>
          <w:tcPr>
            <w:tcW w:w="1560" w:type="dxa"/>
            <w:tcBorders>
              <w:top w:val="nil"/>
              <w:left w:val="nil"/>
              <w:bottom w:val="single" w:sz="4" w:space="0" w:color="auto"/>
              <w:right w:val="single" w:sz="4" w:space="0" w:color="auto"/>
            </w:tcBorders>
            <w:noWrap/>
            <w:vAlign w:val="center"/>
            <w:hideMark/>
          </w:tcPr>
          <w:p w14:paraId="1CBDD68C"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39DC67B1"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5782B8EE"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4CFD752D"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r>
      <w:tr w:rsidR="00254B1C" w:rsidRPr="00795081" w14:paraId="7A7B6CC5" w14:textId="77777777" w:rsidTr="00795081">
        <w:trPr>
          <w:trHeight w:val="210"/>
        </w:trPr>
        <w:tc>
          <w:tcPr>
            <w:tcW w:w="2080" w:type="dxa"/>
            <w:tcBorders>
              <w:top w:val="nil"/>
              <w:left w:val="single" w:sz="4" w:space="0" w:color="auto"/>
              <w:bottom w:val="single" w:sz="4" w:space="0" w:color="auto"/>
              <w:right w:val="single" w:sz="4" w:space="0" w:color="auto"/>
            </w:tcBorders>
            <w:noWrap/>
            <w:vAlign w:val="center"/>
            <w:hideMark/>
          </w:tcPr>
          <w:p w14:paraId="37AB3208" w14:textId="793248CD"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Borisenko, 2015</w:t>
            </w:r>
            <w:r w:rsidRPr="00254B1C">
              <w:rPr>
                <w:rFonts w:ascii="Calibri" w:eastAsia="Times New Roman" w:hAnsi="Calibri" w:cs="Calibri"/>
                <w:noProof/>
                <w:color w:val="000000"/>
                <w:sz w:val="16"/>
                <w:szCs w:val="16"/>
                <w:vertAlign w:val="superscript"/>
                <w:lang w:val="en-IE" w:eastAsia="en-IE"/>
              </w:rPr>
              <w:t>45</w:t>
            </w:r>
          </w:p>
        </w:tc>
        <w:tc>
          <w:tcPr>
            <w:tcW w:w="1560" w:type="dxa"/>
            <w:tcBorders>
              <w:top w:val="nil"/>
              <w:left w:val="nil"/>
              <w:bottom w:val="single" w:sz="4" w:space="0" w:color="auto"/>
              <w:right w:val="single" w:sz="4" w:space="0" w:color="auto"/>
            </w:tcBorders>
            <w:noWrap/>
            <w:vAlign w:val="center"/>
            <w:hideMark/>
          </w:tcPr>
          <w:p w14:paraId="3DAB346C"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Yes</w:t>
            </w:r>
          </w:p>
        </w:tc>
        <w:tc>
          <w:tcPr>
            <w:tcW w:w="1560" w:type="dxa"/>
            <w:tcBorders>
              <w:top w:val="nil"/>
              <w:left w:val="nil"/>
              <w:bottom w:val="single" w:sz="4" w:space="0" w:color="auto"/>
              <w:right w:val="single" w:sz="4" w:space="0" w:color="auto"/>
            </w:tcBorders>
            <w:noWrap/>
            <w:vAlign w:val="center"/>
            <w:hideMark/>
          </w:tcPr>
          <w:p w14:paraId="6C06F311"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61A7B93A"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Yes</w:t>
            </w:r>
          </w:p>
        </w:tc>
        <w:tc>
          <w:tcPr>
            <w:tcW w:w="1560" w:type="dxa"/>
            <w:tcBorders>
              <w:top w:val="nil"/>
              <w:left w:val="nil"/>
              <w:bottom w:val="single" w:sz="4" w:space="0" w:color="auto"/>
              <w:right w:val="single" w:sz="4" w:space="0" w:color="auto"/>
            </w:tcBorders>
            <w:noWrap/>
            <w:vAlign w:val="center"/>
            <w:hideMark/>
          </w:tcPr>
          <w:p w14:paraId="7A79CF31"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Yes</w:t>
            </w:r>
          </w:p>
        </w:tc>
        <w:tc>
          <w:tcPr>
            <w:tcW w:w="1560" w:type="dxa"/>
            <w:tcBorders>
              <w:top w:val="nil"/>
              <w:left w:val="nil"/>
              <w:bottom w:val="single" w:sz="4" w:space="0" w:color="auto"/>
              <w:right w:val="single" w:sz="4" w:space="0" w:color="auto"/>
            </w:tcBorders>
            <w:noWrap/>
            <w:vAlign w:val="center"/>
            <w:hideMark/>
          </w:tcPr>
          <w:p w14:paraId="2E0E84EF"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7E0EA1A8"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125CAC42"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08492E21"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r>
      <w:tr w:rsidR="00254B1C" w:rsidRPr="00795081" w14:paraId="422DC780" w14:textId="77777777" w:rsidTr="00795081">
        <w:trPr>
          <w:trHeight w:val="210"/>
        </w:trPr>
        <w:tc>
          <w:tcPr>
            <w:tcW w:w="2080" w:type="dxa"/>
            <w:tcBorders>
              <w:top w:val="nil"/>
              <w:left w:val="single" w:sz="4" w:space="0" w:color="auto"/>
              <w:bottom w:val="single" w:sz="4" w:space="0" w:color="auto"/>
              <w:right w:val="single" w:sz="4" w:space="0" w:color="auto"/>
            </w:tcBorders>
            <w:noWrap/>
            <w:vAlign w:val="center"/>
            <w:hideMark/>
          </w:tcPr>
          <w:p w14:paraId="6C08B807" w14:textId="59DCDAEA" w:rsidR="00254B1C" w:rsidRPr="00795081" w:rsidRDefault="00254B1C" w:rsidP="00254B1C">
            <w:pPr>
              <w:spacing w:after="0" w:line="240" w:lineRule="auto"/>
              <w:rPr>
                <w:rFonts w:ascii="Calibri" w:eastAsia="Times New Roman" w:hAnsi="Calibri" w:cs="Calibri"/>
                <w:sz w:val="16"/>
                <w:szCs w:val="16"/>
                <w:lang w:val="en-IE" w:eastAsia="en-IE"/>
              </w:rPr>
            </w:pPr>
            <w:r w:rsidRPr="00EE4AB5">
              <w:rPr>
                <w:rFonts w:ascii="Calibri" w:eastAsia="Times New Roman" w:hAnsi="Calibri" w:cs="Calibri"/>
                <w:sz w:val="16"/>
                <w:szCs w:val="16"/>
                <w:lang w:val="en-IE" w:eastAsia="en-IE"/>
              </w:rPr>
              <w:t>Chen 2017</w:t>
            </w:r>
            <w:r w:rsidRPr="00254B1C">
              <w:rPr>
                <w:rFonts w:ascii="Calibri" w:eastAsia="Times New Roman" w:hAnsi="Calibri" w:cs="Calibri"/>
                <w:noProof/>
                <w:sz w:val="16"/>
                <w:szCs w:val="16"/>
                <w:vertAlign w:val="superscript"/>
                <w:lang w:val="en-IE" w:eastAsia="en-IE"/>
              </w:rPr>
              <w:t>46</w:t>
            </w:r>
          </w:p>
        </w:tc>
        <w:tc>
          <w:tcPr>
            <w:tcW w:w="1560" w:type="dxa"/>
            <w:tcBorders>
              <w:top w:val="nil"/>
              <w:left w:val="nil"/>
              <w:bottom w:val="single" w:sz="4" w:space="0" w:color="auto"/>
              <w:right w:val="single" w:sz="4" w:space="0" w:color="auto"/>
            </w:tcBorders>
            <w:noWrap/>
            <w:vAlign w:val="center"/>
            <w:hideMark/>
          </w:tcPr>
          <w:p w14:paraId="2588C521" w14:textId="77777777" w:rsidR="00254B1C" w:rsidRPr="00795081" w:rsidRDefault="00254B1C" w:rsidP="00254B1C">
            <w:pPr>
              <w:spacing w:after="0" w:line="240" w:lineRule="auto"/>
              <w:rPr>
                <w:rFonts w:ascii="Calibri" w:eastAsia="Times New Roman" w:hAnsi="Calibri" w:cs="Calibri"/>
                <w:sz w:val="16"/>
                <w:szCs w:val="16"/>
                <w:lang w:val="en-IE" w:eastAsia="en-IE"/>
              </w:rPr>
            </w:pPr>
            <w:r w:rsidRPr="00795081">
              <w:rPr>
                <w:rFonts w:ascii="Calibri" w:eastAsia="Times New Roman" w:hAnsi="Calibri" w:cs="Calibri"/>
                <w:sz w:val="16"/>
                <w:szCs w:val="16"/>
                <w:lang w:val="en-IE" w:eastAsia="en-IE"/>
              </w:rPr>
              <w:t>Yes</w:t>
            </w:r>
          </w:p>
        </w:tc>
        <w:tc>
          <w:tcPr>
            <w:tcW w:w="1560" w:type="dxa"/>
            <w:tcBorders>
              <w:top w:val="nil"/>
              <w:left w:val="nil"/>
              <w:bottom w:val="single" w:sz="4" w:space="0" w:color="auto"/>
              <w:right w:val="single" w:sz="4" w:space="0" w:color="auto"/>
            </w:tcBorders>
            <w:noWrap/>
            <w:vAlign w:val="center"/>
            <w:hideMark/>
          </w:tcPr>
          <w:p w14:paraId="0AFF3BB6" w14:textId="77777777" w:rsidR="00254B1C" w:rsidRPr="00795081" w:rsidRDefault="00254B1C" w:rsidP="00254B1C">
            <w:pPr>
              <w:spacing w:after="0" w:line="240" w:lineRule="auto"/>
              <w:rPr>
                <w:rFonts w:ascii="Calibri" w:eastAsia="Times New Roman" w:hAnsi="Calibri" w:cs="Calibri"/>
                <w:sz w:val="16"/>
                <w:szCs w:val="16"/>
                <w:lang w:val="en-IE" w:eastAsia="en-IE"/>
              </w:rPr>
            </w:pPr>
            <w:r w:rsidRPr="00795081">
              <w:rPr>
                <w:rFonts w:ascii="Calibri" w:eastAsia="Times New Roman" w:hAnsi="Calibri" w:cs="Calibri"/>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7CA27BD9" w14:textId="77777777" w:rsidR="00254B1C" w:rsidRPr="00795081" w:rsidRDefault="00254B1C" w:rsidP="00254B1C">
            <w:pPr>
              <w:spacing w:after="0" w:line="240" w:lineRule="auto"/>
              <w:rPr>
                <w:rFonts w:ascii="Calibri" w:eastAsia="Times New Roman" w:hAnsi="Calibri" w:cs="Calibri"/>
                <w:sz w:val="16"/>
                <w:szCs w:val="16"/>
                <w:lang w:val="en-IE" w:eastAsia="en-IE"/>
              </w:rPr>
            </w:pPr>
            <w:r w:rsidRPr="00795081">
              <w:rPr>
                <w:rFonts w:ascii="Calibri" w:eastAsia="Times New Roman" w:hAnsi="Calibri" w:cs="Calibri"/>
                <w:sz w:val="16"/>
                <w:szCs w:val="16"/>
                <w:lang w:val="en-IE" w:eastAsia="en-IE"/>
              </w:rPr>
              <w:t>Yes</w:t>
            </w:r>
          </w:p>
        </w:tc>
        <w:tc>
          <w:tcPr>
            <w:tcW w:w="1560" w:type="dxa"/>
            <w:tcBorders>
              <w:top w:val="nil"/>
              <w:left w:val="nil"/>
              <w:bottom w:val="single" w:sz="4" w:space="0" w:color="auto"/>
              <w:right w:val="single" w:sz="4" w:space="0" w:color="auto"/>
            </w:tcBorders>
            <w:noWrap/>
            <w:vAlign w:val="center"/>
            <w:hideMark/>
          </w:tcPr>
          <w:p w14:paraId="00761FA8" w14:textId="77777777" w:rsidR="00254B1C" w:rsidRPr="00795081" w:rsidRDefault="00254B1C" w:rsidP="00254B1C">
            <w:pPr>
              <w:spacing w:after="0" w:line="240" w:lineRule="auto"/>
              <w:rPr>
                <w:rFonts w:ascii="Calibri" w:eastAsia="Times New Roman" w:hAnsi="Calibri" w:cs="Calibri"/>
                <w:sz w:val="16"/>
                <w:szCs w:val="16"/>
                <w:lang w:val="en-IE" w:eastAsia="en-IE"/>
              </w:rPr>
            </w:pPr>
            <w:r w:rsidRPr="00795081">
              <w:rPr>
                <w:rFonts w:ascii="Calibri" w:eastAsia="Times New Roman" w:hAnsi="Calibri" w:cs="Calibri"/>
                <w:sz w:val="16"/>
                <w:szCs w:val="16"/>
                <w:lang w:val="en-IE" w:eastAsia="en-IE"/>
              </w:rPr>
              <w:t>Yes</w:t>
            </w:r>
          </w:p>
        </w:tc>
        <w:tc>
          <w:tcPr>
            <w:tcW w:w="1560" w:type="dxa"/>
            <w:tcBorders>
              <w:top w:val="nil"/>
              <w:left w:val="nil"/>
              <w:bottom w:val="single" w:sz="4" w:space="0" w:color="auto"/>
              <w:right w:val="single" w:sz="4" w:space="0" w:color="auto"/>
            </w:tcBorders>
            <w:noWrap/>
            <w:vAlign w:val="center"/>
            <w:hideMark/>
          </w:tcPr>
          <w:p w14:paraId="4EA93231" w14:textId="77777777" w:rsidR="00254B1C" w:rsidRPr="00795081" w:rsidRDefault="00254B1C" w:rsidP="00254B1C">
            <w:pPr>
              <w:spacing w:after="0" w:line="240" w:lineRule="auto"/>
              <w:rPr>
                <w:rFonts w:ascii="Calibri" w:eastAsia="Times New Roman" w:hAnsi="Calibri" w:cs="Calibri"/>
                <w:sz w:val="16"/>
                <w:szCs w:val="16"/>
                <w:lang w:val="en-IE" w:eastAsia="en-IE"/>
              </w:rPr>
            </w:pPr>
            <w:r w:rsidRPr="00795081">
              <w:rPr>
                <w:rFonts w:ascii="Calibri" w:eastAsia="Times New Roman" w:hAnsi="Calibri" w:cs="Calibri"/>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4BF76A8D" w14:textId="77777777" w:rsidR="00254B1C" w:rsidRPr="00795081" w:rsidRDefault="00254B1C" w:rsidP="00254B1C">
            <w:pPr>
              <w:spacing w:after="0" w:line="240" w:lineRule="auto"/>
              <w:rPr>
                <w:rFonts w:ascii="Calibri" w:eastAsia="Times New Roman" w:hAnsi="Calibri" w:cs="Calibri"/>
                <w:sz w:val="16"/>
                <w:szCs w:val="16"/>
                <w:lang w:val="en-IE" w:eastAsia="en-IE"/>
              </w:rPr>
            </w:pPr>
            <w:r w:rsidRPr="00795081">
              <w:rPr>
                <w:rFonts w:ascii="Calibri" w:eastAsia="Times New Roman" w:hAnsi="Calibri" w:cs="Calibri"/>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6DBF85FA" w14:textId="77777777" w:rsidR="00254B1C" w:rsidRPr="00795081" w:rsidRDefault="00254B1C" w:rsidP="00254B1C">
            <w:pPr>
              <w:spacing w:after="0" w:line="240" w:lineRule="auto"/>
              <w:rPr>
                <w:rFonts w:ascii="Calibri" w:eastAsia="Times New Roman" w:hAnsi="Calibri" w:cs="Calibri"/>
                <w:sz w:val="16"/>
                <w:szCs w:val="16"/>
                <w:lang w:val="en-IE" w:eastAsia="en-IE"/>
              </w:rPr>
            </w:pPr>
            <w:r w:rsidRPr="00795081">
              <w:rPr>
                <w:rFonts w:ascii="Calibri" w:eastAsia="Times New Roman" w:hAnsi="Calibri" w:cs="Calibri"/>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6783B118" w14:textId="77777777" w:rsidR="00254B1C" w:rsidRPr="00795081" w:rsidRDefault="00254B1C" w:rsidP="00254B1C">
            <w:pPr>
              <w:spacing w:after="0" w:line="240" w:lineRule="auto"/>
              <w:rPr>
                <w:rFonts w:ascii="Calibri" w:eastAsia="Times New Roman" w:hAnsi="Calibri" w:cs="Calibri"/>
                <w:sz w:val="16"/>
                <w:szCs w:val="16"/>
                <w:lang w:val="en-IE" w:eastAsia="en-IE"/>
              </w:rPr>
            </w:pPr>
            <w:r w:rsidRPr="00795081">
              <w:rPr>
                <w:rFonts w:ascii="Calibri" w:eastAsia="Times New Roman" w:hAnsi="Calibri" w:cs="Calibri"/>
                <w:sz w:val="16"/>
                <w:szCs w:val="16"/>
                <w:lang w:val="en-IE" w:eastAsia="en-IE"/>
              </w:rPr>
              <w:t>No</w:t>
            </w:r>
          </w:p>
        </w:tc>
      </w:tr>
      <w:tr w:rsidR="00254B1C" w:rsidRPr="00795081" w14:paraId="72CC8FF4" w14:textId="77777777" w:rsidTr="00795081">
        <w:trPr>
          <w:trHeight w:val="210"/>
        </w:trPr>
        <w:tc>
          <w:tcPr>
            <w:tcW w:w="2080" w:type="dxa"/>
            <w:tcBorders>
              <w:top w:val="nil"/>
              <w:left w:val="single" w:sz="4" w:space="0" w:color="auto"/>
              <w:bottom w:val="single" w:sz="4" w:space="0" w:color="auto"/>
              <w:right w:val="single" w:sz="4" w:space="0" w:color="auto"/>
            </w:tcBorders>
            <w:noWrap/>
            <w:vAlign w:val="center"/>
            <w:hideMark/>
          </w:tcPr>
          <w:p w14:paraId="714B54E9" w14:textId="78A9D741"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Cohen, 2017</w:t>
            </w:r>
            <w:r w:rsidRPr="00254B1C">
              <w:rPr>
                <w:rFonts w:ascii="Calibri" w:eastAsia="Times New Roman" w:hAnsi="Calibri" w:cs="Calibri"/>
                <w:noProof/>
                <w:color w:val="000000"/>
                <w:sz w:val="16"/>
                <w:szCs w:val="16"/>
                <w:vertAlign w:val="superscript"/>
                <w:lang w:val="en-IE" w:eastAsia="en-IE"/>
              </w:rPr>
              <w:t>47</w:t>
            </w:r>
          </w:p>
        </w:tc>
        <w:tc>
          <w:tcPr>
            <w:tcW w:w="1560" w:type="dxa"/>
            <w:tcBorders>
              <w:top w:val="nil"/>
              <w:left w:val="nil"/>
              <w:bottom w:val="single" w:sz="4" w:space="0" w:color="auto"/>
              <w:right w:val="single" w:sz="4" w:space="0" w:color="auto"/>
            </w:tcBorders>
            <w:noWrap/>
            <w:vAlign w:val="center"/>
            <w:hideMark/>
          </w:tcPr>
          <w:p w14:paraId="72055F8F"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Yes</w:t>
            </w:r>
          </w:p>
        </w:tc>
        <w:tc>
          <w:tcPr>
            <w:tcW w:w="1560" w:type="dxa"/>
            <w:tcBorders>
              <w:top w:val="nil"/>
              <w:left w:val="nil"/>
              <w:bottom w:val="single" w:sz="4" w:space="0" w:color="auto"/>
              <w:right w:val="single" w:sz="4" w:space="0" w:color="auto"/>
            </w:tcBorders>
            <w:noWrap/>
            <w:vAlign w:val="center"/>
            <w:hideMark/>
          </w:tcPr>
          <w:p w14:paraId="532FE6F6"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Unclear</w:t>
            </w:r>
          </w:p>
        </w:tc>
        <w:tc>
          <w:tcPr>
            <w:tcW w:w="1560" w:type="dxa"/>
            <w:tcBorders>
              <w:top w:val="nil"/>
              <w:left w:val="nil"/>
              <w:bottom w:val="single" w:sz="4" w:space="0" w:color="auto"/>
              <w:right w:val="single" w:sz="4" w:space="0" w:color="auto"/>
            </w:tcBorders>
            <w:noWrap/>
            <w:vAlign w:val="center"/>
            <w:hideMark/>
          </w:tcPr>
          <w:p w14:paraId="6FBC4880"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Yes</w:t>
            </w:r>
          </w:p>
        </w:tc>
        <w:tc>
          <w:tcPr>
            <w:tcW w:w="1560" w:type="dxa"/>
            <w:tcBorders>
              <w:top w:val="nil"/>
              <w:left w:val="nil"/>
              <w:bottom w:val="single" w:sz="4" w:space="0" w:color="auto"/>
              <w:right w:val="single" w:sz="4" w:space="0" w:color="auto"/>
            </w:tcBorders>
            <w:noWrap/>
            <w:vAlign w:val="center"/>
            <w:hideMark/>
          </w:tcPr>
          <w:p w14:paraId="25364E3D"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2F6437D4"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32BE864D"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5232F9FC"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08AD135D"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r>
      <w:tr w:rsidR="00254B1C" w:rsidRPr="00795081" w14:paraId="32EC1449" w14:textId="77777777" w:rsidTr="00795081">
        <w:trPr>
          <w:trHeight w:val="210"/>
        </w:trPr>
        <w:tc>
          <w:tcPr>
            <w:tcW w:w="2080" w:type="dxa"/>
            <w:tcBorders>
              <w:top w:val="nil"/>
              <w:left w:val="single" w:sz="4" w:space="0" w:color="auto"/>
              <w:bottom w:val="single" w:sz="4" w:space="0" w:color="auto"/>
              <w:right w:val="single" w:sz="4" w:space="0" w:color="auto"/>
            </w:tcBorders>
            <w:noWrap/>
            <w:vAlign w:val="center"/>
            <w:hideMark/>
          </w:tcPr>
          <w:p w14:paraId="2CBB742F" w14:textId="4890152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Daniel 2022</w:t>
            </w:r>
          </w:p>
        </w:tc>
        <w:tc>
          <w:tcPr>
            <w:tcW w:w="1560" w:type="dxa"/>
            <w:tcBorders>
              <w:top w:val="nil"/>
              <w:left w:val="nil"/>
              <w:bottom w:val="single" w:sz="4" w:space="0" w:color="auto"/>
              <w:right w:val="single" w:sz="4" w:space="0" w:color="auto"/>
            </w:tcBorders>
            <w:noWrap/>
            <w:vAlign w:val="center"/>
            <w:hideMark/>
          </w:tcPr>
          <w:p w14:paraId="2E650252"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Yes</w:t>
            </w:r>
          </w:p>
        </w:tc>
        <w:tc>
          <w:tcPr>
            <w:tcW w:w="1560" w:type="dxa"/>
            <w:tcBorders>
              <w:top w:val="nil"/>
              <w:left w:val="nil"/>
              <w:bottom w:val="single" w:sz="4" w:space="0" w:color="auto"/>
              <w:right w:val="single" w:sz="4" w:space="0" w:color="auto"/>
            </w:tcBorders>
            <w:noWrap/>
            <w:vAlign w:val="center"/>
            <w:hideMark/>
          </w:tcPr>
          <w:p w14:paraId="7416D60F"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2B1EE839"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5BBFA667"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625F9322"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079C77C4"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18AB49B6"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7E3784BC"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r>
      <w:tr w:rsidR="00254B1C" w:rsidRPr="00795081" w14:paraId="38A47369" w14:textId="77777777" w:rsidTr="00795081">
        <w:trPr>
          <w:trHeight w:val="210"/>
        </w:trPr>
        <w:tc>
          <w:tcPr>
            <w:tcW w:w="2080" w:type="dxa"/>
            <w:tcBorders>
              <w:top w:val="nil"/>
              <w:left w:val="single" w:sz="4" w:space="0" w:color="auto"/>
              <w:bottom w:val="single" w:sz="4" w:space="0" w:color="auto"/>
              <w:right w:val="single" w:sz="4" w:space="0" w:color="auto"/>
            </w:tcBorders>
            <w:noWrap/>
            <w:vAlign w:val="center"/>
            <w:hideMark/>
          </w:tcPr>
          <w:p w14:paraId="25D31541" w14:textId="585076A8"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Davis, 2020</w:t>
            </w:r>
            <w:r w:rsidRPr="00254B1C">
              <w:rPr>
                <w:rFonts w:ascii="Calibri" w:eastAsia="Times New Roman" w:hAnsi="Calibri" w:cs="Calibri"/>
                <w:noProof/>
                <w:color w:val="000000"/>
                <w:sz w:val="16"/>
                <w:szCs w:val="16"/>
                <w:vertAlign w:val="superscript"/>
                <w:lang w:val="en-IE" w:eastAsia="en-IE"/>
              </w:rPr>
              <w:t>48</w:t>
            </w:r>
          </w:p>
        </w:tc>
        <w:tc>
          <w:tcPr>
            <w:tcW w:w="1560" w:type="dxa"/>
            <w:tcBorders>
              <w:top w:val="nil"/>
              <w:left w:val="nil"/>
              <w:bottom w:val="single" w:sz="4" w:space="0" w:color="auto"/>
              <w:right w:val="single" w:sz="4" w:space="0" w:color="auto"/>
            </w:tcBorders>
            <w:noWrap/>
            <w:vAlign w:val="center"/>
            <w:hideMark/>
          </w:tcPr>
          <w:p w14:paraId="2DE32532"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Yes</w:t>
            </w:r>
          </w:p>
        </w:tc>
        <w:tc>
          <w:tcPr>
            <w:tcW w:w="1560" w:type="dxa"/>
            <w:tcBorders>
              <w:top w:val="nil"/>
              <w:left w:val="nil"/>
              <w:bottom w:val="single" w:sz="4" w:space="0" w:color="auto"/>
              <w:right w:val="single" w:sz="4" w:space="0" w:color="auto"/>
            </w:tcBorders>
            <w:noWrap/>
            <w:vAlign w:val="center"/>
            <w:hideMark/>
          </w:tcPr>
          <w:p w14:paraId="7E16CD0C"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4BC5360D"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67B771C1"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0393DB93"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5A5B3D70"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7950E3E0"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Yes</w:t>
            </w:r>
          </w:p>
        </w:tc>
        <w:tc>
          <w:tcPr>
            <w:tcW w:w="1560" w:type="dxa"/>
            <w:tcBorders>
              <w:top w:val="nil"/>
              <w:left w:val="nil"/>
              <w:bottom w:val="single" w:sz="4" w:space="0" w:color="auto"/>
              <w:right w:val="single" w:sz="4" w:space="0" w:color="auto"/>
            </w:tcBorders>
            <w:noWrap/>
            <w:vAlign w:val="center"/>
            <w:hideMark/>
          </w:tcPr>
          <w:p w14:paraId="2F4301AF"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Yes</w:t>
            </w:r>
          </w:p>
        </w:tc>
      </w:tr>
      <w:tr w:rsidR="00254B1C" w:rsidRPr="00795081" w14:paraId="53BFEC8F" w14:textId="77777777" w:rsidTr="00795081">
        <w:trPr>
          <w:trHeight w:val="210"/>
        </w:trPr>
        <w:tc>
          <w:tcPr>
            <w:tcW w:w="2080" w:type="dxa"/>
            <w:tcBorders>
              <w:top w:val="nil"/>
              <w:left w:val="single" w:sz="4" w:space="0" w:color="auto"/>
              <w:bottom w:val="single" w:sz="4" w:space="0" w:color="auto"/>
              <w:right w:val="single" w:sz="4" w:space="0" w:color="auto"/>
            </w:tcBorders>
            <w:noWrap/>
            <w:vAlign w:val="center"/>
            <w:hideMark/>
          </w:tcPr>
          <w:p w14:paraId="17EC5F02" w14:textId="7A3A3112"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de 2018</w:t>
            </w:r>
          </w:p>
        </w:tc>
        <w:tc>
          <w:tcPr>
            <w:tcW w:w="1560" w:type="dxa"/>
            <w:tcBorders>
              <w:top w:val="nil"/>
              <w:left w:val="nil"/>
              <w:bottom w:val="single" w:sz="4" w:space="0" w:color="auto"/>
              <w:right w:val="single" w:sz="4" w:space="0" w:color="auto"/>
            </w:tcBorders>
            <w:noWrap/>
            <w:vAlign w:val="center"/>
            <w:hideMark/>
          </w:tcPr>
          <w:p w14:paraId="62059DBA"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Yes</w:t>
            </w:r>
          </w:p>
        </w:tc>
        <w:tc>
          <w:tcPr>
            <w:tcW w:w="1560" w:type="dxa"/>
            <w:tcBorders>
              <w:top w:val="nil"/>
              <w:left w:val="nil"/>
              <w:bottom w:val="single" w:sz="4" w:space="0" w:color="auto"/>
              <w:right w:val="single" w:sz="4" w:space="0" w:color="auto"/>
            </w:tcBorders>
            <w:noWrap/>
            <w:vAlign w:val="center"/>
            <w:hideMark/>
          </w:tcPr>
          <w:p w14:paraId="0C80C5C9"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433061FF"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Yes</w:t>
            </w:r>
          </w:p>
        </w:tc>
        <w:tc>
          <w:tcPr>
            <w:tcW w:w="1560" w:type="dxa"/>
            <w:tcBorders>
              <w:top w:val="nil"/>
              <w:left w:val="nil"/>
              <w:bottom w:val="single" w:sz="4" w:space="0" w:color="auto"/>
              <w:right w:val="single" w:sz="4" w:space="0" w:color="auto"/>
            </w:tcBorders>
            <w:noWrap/>
            <w:vAlign w:val="center"/>
            <w:hideMark/>
          </w:tcPr>
          <w:p w14:paraId="322C5365"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698828C6"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27912107"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Yes</w:t>
            </w:r>
          </w:p>
        </w:tc>
        <w:tc>
          <w:tcPr>
            <w:tcW w:w="1560" w:type="dxa"/>
            <w:tcBorders>
              <w:top w:val="nil"/>
              <w:left w:val="nil"/>
              <w:bottom w:val="single" w:sz="4" w:space="0" w:color="auto"/>
              <w:right w:val="single" w:sz="4" w:space="0" w:color="auto"/>
            </w:tcBorders>
            <w:noWrap/>
            <w:vAlign w:val="center"/>
            <w:hideMark/>
          </w:tcPr>
          <w:p w14:paraId="05ACCF01"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518E1B73"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r>
      <w:tr w:rsidR="00254B1C" w:rsidRPr="00795081" w14:paraId="476CE44B" w14:textId="77777777" w:rsidTr="00795081">
        <w:trPr>
          <w:trHeight w:val="210"/>
        </w:trPr>
        <w:tc>
          <w:tcPr>
            <w:tcW w:w="2080" w:type="dxa"/>
            <w:tcBorders>
              <w:top w:val="nil"/>
              <w:left w:val="single" w:sz="4" w:space="0" w:color="auto"/>
              <w:bottom w:val="single" w:sz="4" w:space="0" w:color="auto"/>
              <w:right w:val="single" w:sz="4" w:space="0" w:color="auto"/>
            </w:tcBorders>
            <w:noWrap/>
            <w:vAlign w:val="center"/>
            <w:hideMark/>
          </w:tcPr>
          <w:p w14:paraId="04E3055E" w14:textId="589C68F1"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Dottino 2016</w:t>
            </w:r>
            <w:r w:rsidRPr="00254B1C">
              <w:rPr>
                <w:rFonts w:ascii="Calibri" w:eastAsia="Times New Roman" w:hAnsi="Calibri" w:cs="Calibri"/>
                <w:noProof/>
                <w:color w:val="000000"/>
                <w:sz w:val="16"/>
                <w:szCs w:val="16"/>
                <w:vertAlign w:val="superscript"/>
                <w:lang w:val="en-IE" w:eastAsia="en-IE"/>
              </w:rPr>
              <w:t>49</w:t>
            </w:r>
          </w:p>
        </w:tc>
        <w:tc>
          <w:tcPr>
            <w:tcW w:w="1560" w:type="dxa"/>
            <w:tcBorders>
              <w:top w:val="nil"/>
              <w:left w:val="nil"/>
              <w:bottom w:val="single" w:sz="4" w:space="0" w:color="auto"/>
              <w:right w:val="single" w:sz="4" w:space="0" w:color="auto"/>
            </w:tcBorders>
            <w:noWrap/>
            <w:vAlign w:val="center"/>
            <w:hideMark/>
          </w:tcPr>
          <w:p w14:paraId="14518B58"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175B582F"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2652B2CE"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4DA2575C"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67FE4C0C"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21B84A38"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 </w:t>
            </w:r>
          </w:p>
        </w:tc>
        <w:tc>
          <w:tcPr>
            <w:tcW w:w="1560" w:type="dxa"/>
            <w:tcBorders>
              <w:top w:val="nil"/>
              <w:left w:val="nil"/>
              <w:bottom w:val="single" w:sz="4" w:space="0" w:color="auto"/>
              <w:right w:val="single" w:sz="4" w:space="0" w:color="auto"/>
            </w:tcBorders>
            <w:noWrap/>
            <w:vAlign w:val="center"/>
            <w:hideMark/>
          </w:tcPr>
          <w:p w14:paraId="3604025D"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52DB7038"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r>
      <w:tr w:rsidR="00254B1C" w:rsidRPr="00795081" w14:paraId="60220481" w14:textId="77777777" w:rsidTr="00795081">
        <w:trPr>
          <w:trHeight w:val="210"/>
        </w:trPr>
        <w:tc>
          <w:tcPr>
            <w:tcW w:w="2080" w:type="dxa"/>
            <w:tcBorders>
              <w:top w:val="nil"/>
              <w:left w:val="single" w:sz="4" w:space="0" w:color="auto"/>
              <w:bottom w:val="single" w:sz="4" w:space="0" w:color="auto"/>
              <w:right w:val="single" w:sz="4" w:space="0" w:color="auto"/>
            </w:tcBorders>
            <w:noWrap/>
            <w:vAlign w:val="center"/>
            <w:hideMark/>
          </w:tcPr>
          <w:p w14:paraId="377EE3D1" w14:textId="1B7E7FA4"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Elliot, 2021</w:t>
            </w:r>
            <w:r w:rsidRPr="00254B1C">
              <w:rPr>
                <w:rFonts w:ascii="Calibri" w:eastAsia="Times New Roman" w:hAnsi="Calibri" w:cs="Calibri"/>
                <w:noProof/>
                <w:color w:val="000000"/>
                <w:sz w:val="16"/>
                <w:szCs w:val="16"/>
                <w:vertAlign w:val="superscript"/>
                <w:lang w:val="en-IE" w:eastAsia="en-IE"/>
              </w:rPr>
              <w:t>50</w:t>
            </w:r>
          </w:p>
        </w:tc>
        <w:tc>
          <w:tcPr>
            <w:tcW w:w="1560" w:type="dxa"/>
            <w:tcBorders>
              <w:top w:val="nil"/>
              <w:left w:val="nil"/>
              <w:bottom w:val="single" w:sz="4" w:space="0" w:color="auto"/>
              <w:right w:val="single" w:sz="4" w:space="0" w:color="auto"/>
            </w:tcBorders>
            <w:noWrap/>
            <w:vAlign w:val="center"/>
            <w:hideMark/>
          </w:tcPr>
          <w:p w14:paraId="19F6A936"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26C63FC1"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1E889F5D"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7A567ADD"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62B46672"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3DCB0E7D"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31F79A8B"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02F084C4"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Unclear</w:t>
            </w:r>
          </w:p>
        </w:tc>
      </w:tr>
      <w:tr w:rsidR="00254B1C" w:rsidRPr="00795081" w14:paraId="36D5B0F6" w14:textId="77777777" w:rsidTr="00795081">
        <w:trPr>
          <w:trHeight w:val="210"/>
        </w:trPr>
        <w:tc>
          <w:tcPr>
            <w:tcW w:w="2080" w:type="dxa"/>
            <w:tcBorders>
              <w:top w:val="nil"/>
              <w:left w:val="single" w:sz="4" w:space="0" w:color="auto"/>
              <w:bottom w:val="single" w:sz="4" w:space="0" w:color="auto"/>
              <w:right w:val="single" w:sz="4" w:space="0" w:color="auto"/>
            </w:tcBorders>
            <w:noWrap/>
            <w:vAlign w:val="center"/>
            <w:hideMark/>
          </w:tcPr>
          <w:p w14:paraId="1413B6A3" w14:textId="5679404E"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Galvain 2023</w:t>
            </w:r>
            <w:r w:rsidRPr="00254B1C">
              <w:rPr>
                <w:rFonts w:ascii="Calibri" w:eastAsia="Times New Roman" w:hAnsi="Calibri" w:cs="Calibri"/>
                <w:noProof/>
                <w:color w:val="000000"/>
                <w:sz w:val="16"/>
                <w:szCs w:val="16"/>
                <w:vertAlign w:val="superscript"/>
                <w:lang w:val="en-IE" w:eastAsia="en-IE"/>
              </w:rPr>
              <w:t>51</w:t>
            </w:r>
          </w:p>
        </w:tc>
        <w:tc>
          <w:tcPr>
            <w:tcW w:w="1560" w:type="dxa"/>
            <w:tcBorders>
              <w:top w:val="nil"/>
              <w:left w:val="nil"/>
              <w:bottom w:val="single" w:sz="4" w:space="0" w:color="auto"/>
              <w:right w:val="single" w:sz="4" w:space="0" w:color="auto"/>
            </w:tcBorders>
            <w:noWrap/>
            <w:vAlign w:val="center"/>
            <w:hideMark/>
          </w:tcPr>
          <w:p w14:paraId="535259AA"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Yes</w:t>
            </w:r>
          </w:p>
        </w:tc>
        <w:tc>
          <w:tcPr>
            <w:tcW w:w="1560" w:type="dxa"/>
            <w:tcBorders>
              <w:top w:val="nil"/>
              <w:left w:val="nil"/>
              <w:bottom w:val="single" w:sz="4" w:space="0" w:color="auto"/>
              <w:right w:val="single" w:sz="4" w:space="0" w:color="auto"/>
            </w:tcBorders>
            <w:noWrap/>
            <w:vAlign w:val="center"/>
            <w:hideMark/>
          </w:tcPr>
          <w:p w14:paraId="1946AF6B"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47C45B7C"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Yes</w:t>
            </w:r>
          </w:p>
        </w:tc>
        <w:tc>
          <w:tcPr>
            <w:tcW w:w="1560" w:type="dxa"/>
            <w:tcBorders>
              <w:top w:val="nil"/>
              <w:left w:val="nil"/>
              <w:bottom w:val="single" w:sz="4" w:space="0" w:color="auto"/>
              <w:right w:val="single" w:sz="4" w:space="0" w:color="auto"/>
            </w:tcBorders>
            <w:noWrap/>
            <w:vAlign w:val="center"/>
            <w:hideMark/>
          </w:tcPr>
          <w:p w14:paraId="52F6860D"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Yes</w:t>
            </w:r>
          </w:p>
        </w:tc>
        <w:tc>
          <w:tcPr>
            <w:tcW w:w="1560" w:type="dxa"/>
            <w:tcBorders>
              <w:top w:val="nil"/>
              <w:left w:val="nil"/>
              <w:bottom w:val="single" w:sz="4" w:space="0" w:color="auto"/>
              <w:right w:val="single" w:sz="4" w:space="0" w:color="auto"/>
            </w:tcBorders>
            <w:noWrap/>
            <w:vAlign w:val="center"/>
            <w:hideMark/>
          </w:tcPr>
          <w:p w14:paraId="5681910A"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Yes</w:t>
            </w:r>
          </w:p>
        </w:tc>
        <w:tc>
          <w:tcPr>
            <w:tcW w:w="1560" w:type="dxa"/>
            <w:tcBorders>
              <w:top w:val="nil"/>
              <w:left w:val="nil"/>
              <w:bottom w:val="single" w:sz="4" w:space="0" w:color="auto"/>
              <w:right w:val="single" w:sz="4" w:space="0" w:color="auto"/>
            </w:tcBorders>
            <w:noWrap/>
            <w:vAlign w:val="center"/>
            <w:hideMark/>
          </w:tcPr>
          <w:p w14:paraId="43A61130"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54EE2F22"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Unclear</w:t>
            </w:r>
          </w:p>
        </w:tc>
        <w:tc>
          <w:tcPr>
            <w:tcW w:w="1560" w:type="dxa"/>
            <w:tcBorders>
              <w:top w:val="nil"/>
              <w:left w:val="nil"/>
              <w:bottom w:val="single" w:sz="4" w:space="0" w:color="auto"/>
              <w:right w:val="single" w:sz="4" w:space="0" w:color="auto"/>
            </w:tcBorders>
            <w:noWrap/>
            <w:vAlign w:val="center"/>
            <w:hideMark/>
          </w:tcPr>
          <w:p w14:paraId="50931D3E"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Unclear</w:t>
            </w:r>
          </w:p>
        </w:tc>
      </w:tr>
      <w:tr w:rsidR="00254B1C" w:rsidRPr="00795081" w14:paraId="71B23D25" w14:textId="77777777" w:rsidTr="00795081">
        <w:trPr>
          <w:trHeight w:val="210"/>
        </w:trPr>
        <w:tc>
          <w:tcPr>
            <w:tcW w:w="2080" w:type="dxa"/>
            <w:tcBorders>
              <w:top w:val="nil"/>
              <w:left w:val="single" w:sz="4" w:space="0" w:color="auto"/>
              <w:bottom w:val="single" w:sz="4" w:space="0" w:color="auto"/>
              <w:right w:val="single" w:sz="4" w:space="0" w:color="auto"/>
            </w:tcBorders>
            <w:noWrap/>
            <w:vAlign w:val="center"/>
            <w:hideMark/>
          </w:tcPr>
          <w:p w14:paraId="3EF29440" w14:textId="6217825F"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Galvain 2021</w:t>
            </w:r>
            <w:r w:rsidRPr="00254B1C">
              <w:rPr>
                <w:rFonts w:ascii="Calibri" w:eastAsia="Times New Roman" w:hAnsi="Calibri" w:cs="Calibri"/>
                <w:noProof/>
                <w:color w:val="000000"/>
                <w:sz w:val="16"/>
                <w:szCs w:val="16"/>
                <w:vertAlign w:val="superscript"/>
                <w:lang w:val="en-IE" w:eastAsia="en-IE"/>
              </w:rPr>
              <w:t>52</w:t>
            </w:r>
          </w:p>
        </w:tc>
        <w:tc>
          <w:tcPr>
            <w:tcW w:w="1560" w:type="dxa"/>
            <w:tcBorders>
              <w:top w:val="nil"/>
              <w:left w:val="nil"/>
              <w:bottom w:val="single" w:sz="4" w:space="0" w:color="auto"/>
              <w:right w:val="single" w:sz="4" w:space="0" w:color="auto"/>
            </w:tcBorders>
            <w:noWrap/>
            <w:vAlign w:val="center"/>
            <w:hideMark/>
          </w:tcPr>
          <w:p w14:paraId="7B2E2EA4"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Yes</w:t>
            </w:r>
          </w:p>
        </w:tc>
        <w:tc>
          <w:tcPr>
            <w:tcW w:w="1560" w:type="dxa"/>
            <w:tcBorders>
              <w:top w:val="nil"/>
              <w:left w:val="nil"/>
              <w:bottom w:val="single" w:sz="4" w:space="0" w:color="auto"/>
              <w:right w:val="single" w:sz="4" w:space="0" w:color="auto"/>
            </w:tcBorders>
            <w:noWrap/>
            <w:vAlign w:val="center"/>
            <w:hideMark/>
          </w:tcPr>
          <w:p w14:paraId="35C05026"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2DCFA456"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Yes</w:t>
            </w:r>
          </w:p>
        </w:tc>
        <w:tc>
          <w:tcPr>
            <w:tcW w:w="1560" w:type="dxa"/>
            <w:tcBorders>
              <w:top w:val="nil"/>
              <w:left w:val="nil"/>
              <w:bottom w:val="single" w:sz="4" w:space="0" w:color="auto"/>
              <w:right w:val="single" w:sz="4" w:space="0" w:color="auto"/>
            </w:tcBorders>
            <w:noWrap/>
            <w:vAlign w:val="center"/>
            <w:hideMark/>
          </w:tcPr>
          <w:p w14:paraId="11E04B9D"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Yes</w:t>
            </w:r>
          </w:p>
        </w:tc>
        <w:tc>
          <w:tcPr>
            <w:tcW w:w="1560" w:type="dxa"/>
            <w:tcBorders>
              <w:top w:val="nil"/>
              <w:left w:val="nil"/>
              <w:bottom w:val="single" w:sz="4" w:space="0" w:color="auto"/>
              <w:right w:val="single" w:sz="4" w:space="0" w:color="auto"/>
            </w:tcBorders>
            <w:noWrap/>
            <w:vAlign w:val="center"/>
            <w:hideMark/>
          </w:tcPr>
          <w:p w14:paraId="64C18DBD"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 </w:t>
            </w:r>
          </w:p>
        </w:tc>
        <w:tc>
          <w:tcPr>
            <w:tcW w:w="1560" w:type="dxa"/>
            <w:tcBorders>
              <w:top w:val="nil"/>
              <w:left w:val="nil"/>
              <w:bottom w:val="single" w:sz="4" w:space="0" w:color="auto"/>
              <w:right w:val="single" w:sz="4" w:space="0" w:color="auto"/>
            </w:tcBorders>
            <w:noWrap/>
            <w:vAlign w:val="center"/>
            <w:hideMark/>
          </w:tcPr>
          <w:p w14:paraId="70678557"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 </w:t>
            </w:r>
          </w:p>
        </w:tc>
        <w:tc>
          <w:tcPr>
            <w:tcW w:w="1560" w:type="dxa"/>
            <w:tcBorders>
              <w:top w:val="nil"/>
              <w:left w:val="nil"/>
              <w:bottom w:val="single" w:sz="4" w:space="0" w:color="auto"/>
              <w:right w:val="single" w:sz="4" w:space="0" w:color="auto"/>
            </w:tcBorders>
            <w:noWrap/>
            <w:vAlign w:val="center"/>
            <w:hideMark/>
          </w:tcPr>
          <w:p w14:paraId="4E735A35"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Unclear</w:t>
            </w:r>
          </w:p>
        </w:tc>
        <w:tc>
          <w:tcPr>
            <w:tcW w:w="1560" w:type="dxa"/>
            <w:tcBorders>
              <w:top w:val="nil"/>
              <w:left w:val="nil"/>
              <w:bottom w:val="single" w:sz="4" w:space="0" w:color="auto"/>
              <w:right w:val="single" w:sz="4" w:space="0" w:color="auto"/>
            </w:tcBorders>
            <w:noWrap/>
            <w:vAlign w:val="center"/>
            <w:hideMark/>
          </w:tcPr>
          <w:p w14:paraId="3A5889FB"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Unclear</w:t>
            </w:r>
          </w:p>
        </w:tc>
      </w:tr>
      <w:tr w:rsidR="00254B1C" w:rsidRPr="00795081" w14:paraId="7FA6B82F" w14:textId="77777777" w:rsidTr="00795081">
        <w:trPr>
          <w:trHeight w:val="210"/>
        </w:trPr>
        <w:tc>
          <w:tcPr>
            <w:tcW w:w="2080" w:type="dxa"/>
            <w:tcBorders>
              <w:top w:val="nil"/>
              <w:left w:val="single" w:sz="4" w:space="0" w:color="auto"/>
              <w:bottom w:val="single" w:sz="4" w:space="0" w:color="auto"/>
              <w:right w:val="single" w:sz="4" w:space="0" w:color="auto"/>
            </w:tcBorders>
            <w:noWrap/>
            <w:vAlign w:val="center"/>
            <w:hideMark/>
          </w:tcPr>
          <w:p w14:paraId="5DE0A1E9" w14:textId="46BAB8C0"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Gil-Rojas, 2019</w:t>
            </w:r>
            <w:r w:rsidRPr="00254B1C">
              <w:rPr>
                <w:rFonts w:ascii="Calibri" w:eastAsia="Times New Roman" w:hAnsi="Calibri" w:cs="Calibri"/>
                <w:noProof/>
                <w:color w:val="000000"/>
                <w:sz w:val="16"/>
                <w:szCs w:val="16"/>
                <w:vertAlign w:val="superscript"/>
                <w:lang w:val="en-IE" w:eastAsia="en-IE"/>
              </w:rPr>
              <w:t>53</w:t>
            </w:r>
          </w:p>
        </w:tc>
        <w:tc>
          <w:tcPr>
            <w:tcW w:w="1560" w:type="dxa"/>
            <w:tcBorders>
              <w:top w:val="nil"/>
              <w:left w:val="nil"/>
              <w:bottom w:val="single" w:sz="4" w:space="0" w:color="auto"/>
              <w:right w:val="single" w:sz="4" w:space="0" w:color="auto"/>
            </w:tcBorders>
            <w:noWrap/>
            <w:vAlign w:val="center"/>
            <w:hideMark/>
          </w:tcPr>
          <w:p w14:paraId="0DB05006"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Yes</w:t>
            </w:r>
          </w:p>
        </w:tc>
        <w:tc>
          <w:tcPr>
            <w:tcW w:w="1560" w:type="dxa"/>
            <w:tcBorders>
              <w:top w:val="nil"/>
              <w:left w:val="nil"/>
              <w:bottom w:val="single" w:sz="4" w:space="0" w:color="auto"/>
              <w:right w:val="single" w:sz="4" w:space="0" w:color="auto"/>
            </w:tcBorders>
            <w:noWrap/>
            <w:vAlign w:val="center"/>
            <w:hideMark/>
          </w:tcPr>
          <w:p w14:paraId="3FFAAAA1"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0E70C206"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Yes</w:t>
            </w:r>
          </w:p>
        </w:tc>
        <w:tc>
          <w:tcPr>
            <w:tcW w:w="1560" w:type="dxa"/>
            <w:tcBorders>
              <w:top w:val="nil"/>
              <w:left w:val="nil"/>
              <w:bottom w:val="single" w:sz="4" w:space="0" w:color="auto"/>
              <w:right w:val="single" w:sz="4" w:space="0" w:color="auto"/>
            </w:tcBorders>
            <w:noWrap/>
            <w:vAlign w:val="center"/>
            <w:hideMark/>
          </w:tcPr>
          <w:p w14:paraId="16D02A5D"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Yes</w:t>
            </w:r>
          </w:p>
        </w:tc>
        <w:tc>
          <w:tcPr>
            <w:tcW w:w="1560" w:type="dxa"/>
            <w:tcBorders>
              <w:top w:val="nil"/>
              <w:left w:val="nil"/>
              <w:bottom w:val="single" w:sz="4" w:space="0" w:color="auto"/>
              <w:right w:val="single" w:sz="4" w:space="0" w:color="auto"/>
            </w:tcBorders>
            <w:noWrap/>
            <w:vAlign w:val="center"/>
            <w:hideMark/>
          </w:tcPr>
          <w:p w14:paraId="4AF5DE84"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Yes</w:t>
            </w:r>
          </w:p>
        </w:tc>
        <w:tc>
          <w:tcPr>
            <w:tcW w:w="1560" w:type="dxa"/>
            <w:tcBorders>
              <w:top w:val="nil"/>
              <w:left w:val="nil"/>
              <w:bottom w:val="single" w:sz="4" w:space="0" w:color="auto"/>
              <w:right w:val="single" w:sz="4" w:space="0" w:color="auto"/>
            </w:tcBorders>
            <w:noWrap/>
            <w:vAlign w:val="center"/>
            <w:hideMark/>
          </w:tcPr>
          <w:p w14:paraId="556658A6"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5263CB52"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Yes</w:t>
            </w:r>
          </w:p>
        </w:tc>
        <w:tc>
          <w:tcPr>
            <w:tcW w:w="1560" w:type="dxa"/>
            <w:tcBorders>
              <w:top w:val="nil"/>
              <w:left w:val="nil"/>
              <w:bottom w:val="single" w:sz="4" w:space="0" w:color="auto"/>
              <w:right w:val="single" w:sz="4" w:space="0" w:color="auto"/>
            </w:tcBorders>
            <w:noWrap/>
            <w:vAlign w:val="center"/>
            <w:hideMark/>
          </w:tcPr>
          <w:p w14:paraId="597BDBA9"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Yes</w:t>
            </w:r>
          </w:p>
        </w:tc>
      </w:tr>
      <w:tr w:rsidR="00254B1C" w:rsidRPr="00795081" w14:paraId="3220E965" w14:textId="77777777" w:rsidTr="00795081">
        <w:trPr>
          <w:trHeight w:val="210"/>
        </w:trPr>
        <w:tc>
          <w:tcPr>
            <w:tcW w:w="2080" w:type="dxa"/>
            <w:tcBorders>
              <w:top w:val="nil"/>
              <w:left w:val="single" w:sz="4" w:space="0" w:color="auto"/>
              <w:bottom w:val="single" w:sz="4" w:space="0" w:color="auto"/>
              <w:right w:val="single" w:sz="4" w:space="0" w:color="auto"/>
            </w:tcBorders>
            <w:noWrap/>
            <w:vAlign w:val="center"/>
            <w:hideMark/>
          </w:tcPr>
          <w:p w14:paraId="39F4E274" w14:textId="24B00E75"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Gomez 2023</w:t>
            </w:r>
            <w:r w:rsidRPr="00254B1C">
              <w:rPr>
                <w:rFonts w:ascii="Calibri" w:eastAsia="Times New Roman" w:hAnsi="Calibri" w:cs="Calibri"/>
                <w:noProof/>
                <w:color w:val="000000"/>
                <w:sz w:val="16"/>
                <w:szCs w:val="16"/>
                <w:vertAlign w:val="superscript"/>
                <w:lang w:val="en-IE" w:eastAsia="en-IE"/>
              </w:rPr>
              <w:t>54</w:t>
            </w:r>
          </w:p>
        </w:tc>
        <w:tc>
          <w:tcPr>
            <w:tcW w:w="1560" w:type="dxa"/>
            <w:tcBorders>
              <w:top w:val="nil"/>
              <w:left w:val="nil"/>
              <w:bottom w:val="single" w:sz="4" w:space="0" w:color="auto"/>
              <w:right w:val="single" w:sz="4" w:space="0" w:color="auto"/>
            </w:tcBorders>
            <w:noWrap/>
            <w:vAlign w:val="center"/>
            <w:hideMark/>
          </w:tcPr>
          <w:p w14:paraId="02A04DE4"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Yes</w:t>
            </w:r>
          </w:p>
        </w:tc>
        <w:tc>
          <w:tcPr>
            <w:tcW w:w="1560" w:type="dxa"/>
            <w:tcBorders>
              <w:top w:val="nil"/>
              <w:left w:val="nil"/>
              <w:bottom w:val="single" w:sz="4" w:space="0" w:color="auto"/>
              <w:right w:val="single" w:sz="4" w:space="0" w:color="auto"/>
            </w:tcBorders>
            <w:noWrap/>
            <w:vAlign w:val="center"/>
            <w:hideMark/>
          </w:tcPr>
          <w:p w14:paraId="5AD8DDD2"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Yes</w:t>
            </w:r>
          </w:p>
        </w:tc>
        <w:tc>
          <w:tcPr>
            <w:tcW w:w="1560" w:type="dxa"/>
            <w:tcBorders>
              <w:top w:val="nil"/>
              <w:left w:val="nil"/>
              <w:bottom w:val="single" w:sz="4" w:space="0" w:color="auto"/>
              <w:right w:val="single" w:sz="4" w:space="0" w:color="auto"/>
            </w:tcBorders>
            <w:noWrap/>
            <w:vAlign w:val="center"/>
            <w:hideMark/>
          </w:tcPr>
          <w:p w14:paraId="4CC2B1C2"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Yes</w:t>
            </w:r>
          </w:p>
        </w:tc>
        <w:tc>
          <w:tcPr>
            <w:tcW w:w="1560" w:type="dxa"/>
            <w:tcBorders>
              <w:top w:val="nil"/>
              <w:left w:val="nil"/>
              <w:bottom w:val="single" w:sz="4" w:space="0" w:color="auto"/>
              <w:right w:val="single" w:sz="4" w:space="0" w:color="auto"/>
            </w:tcBorders>
            <w:noWrap/>
            <w:vAlign w:val="center"/>
            <w:hideMark/>
          </w:tcPr>
          <w:p w14:paraId="642A429B"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Yes</w:t>
            </w:r>
          </w:p>
        </w:tc>
        <w:tc>
          <w:tcPr>
            <w:tcW w:w="1560" w:type="dxa"/>
            <w:tcBorders>
              <w:top w:val="nil"/>
              <w:left w:val="nil"/>
              <w:bottom w:val="single" w:sz="4" w:space="0" w:color="auto"/>
              <w:right w:val="single" w:sz="4" w:space="0" w:color="auto"/>
            </w:tcBorders>
            <w:noWrap/>
            <w:vAlign w:val="center"/>
            <w:hideMark/>
          </w:tcPr>
          <w:p w14:paraId="444A1A10"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69D6A4E9"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6A817B53"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04650296"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r>
      <w:tr w:rsidR="00254B1C" w:rsidRPr="00795081" w14:paraId="146272AD" w14:textId="77777777" w:rsidTr="00795081">
        <w:trPr>
          <w:trHeight w:val="210"/>
        </w:trPr>
        <w:tc>
          <w:tcPr>
            <w:tcW w:w="2080" w:type="dxa"/>
            <w:tcBorders>
              <w:top w:val="nil"/>
              <w:left w:val="single" w:sz="4" w:space="0" w:color="auto"/>
              <w:bottom w:val="single" w:sz="4" w:space="0" w:color="auto"/>
              <w:right w:val="single" w:sz="4" w:space="0" w:color="auto"/>
            </w:tcBorders>
            <w:noWrap/>
            <w:vAlign w:val="center"/>
            <w:hideMark/>
          </w:tcPr>
          <w:p w14:paraId="33A6844F" w14:textId="44B7C1C3"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Gulliford, 2017</w:t>
            </w:r>
            <w:r w:rsidRPr="00254B1C">
              <w:rPr>
                <w:rFonts w:ascii="Calibri" w:eastAsia="Times New Roman" w:hAnsi="Calibri" w:cs="Calibri"/>
                <w:noProof/>
                <w:color w:val="000000"/>
                <w:sz w:val="16"/>
                <w:szCs w:val="16"/>
                <w:vertAlign w:val="superscript"/>
                <w:lang w:val="en-IE" w:eastAsia="en-IE"/>
              </w:rPr>
              <w:t>55</w:t>
            </w:r>
          </w:p>
        </w:tc>
        <w:tc>
          <w:tcPr>
            <w:tcW w:w="1560" w:type="dxa"/>
            <w:tcBorders>
              <w:top w:val="nil"/>
              <w:left w:val="nil"/>
              <w:bottom w:val="single" w:sz="4" w:space="0" w:color="auto"/>
              <w:right w:val="single" w:sz="4" w:space="0" w:color="auto"/>
            </w:tcBorders>
            <w:noWrap/>
            <w:vAlign w:val="center"/>
            <w:hideMark/>
          </w:tcPr>
          <w:p w14:paraId="162EA285"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Yes</w:t>
            </w:r>
          </w:p>
        </w:tc>
        <w:tc>
          <w:tcPr>
            <w:tcW w:w="1560" w:type="dxa"/>
            <w:tcBorders>
              <w:top w:val="nil"/>
              <w:left w:val="nil"/>
              <w:bottom w:val="single" w:sz="4" w:space="0" w:color="auto"/>
              <w:right w:val="single" w:sz="4" w:space="0" w:color="auto"/>
            </w:tcBorders>
            <w:noWrap/>
            <w:vAlign w:val="center"/>
            <w:hideMark/>
          </w:tcPr>
          <w:p w14:paraId="161D774D"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Yes</w:t>
            </w:r>
          </w:p>
        </w:tc>
        <w:tc>
          <w:tcPr>
            <w:tcW w:w="1560" w:type="dxa"/>
            <w:tcBorders>
              <w:top w:val="nil"/>
              <w:left w:val="nil"/>
              <w:bottom w:val="single" w:sz="4" w:space="0" w:color="auto"/>
              <w:right w:val="single" w:sz="4" w:space="0" w:color="auto"/>
            </w:tcBorders>
            <w:noWrap/>
            <w:vAlign w:val="center"/>
            <w:hideMark/>
          </w:tcPr>
          <w:p w14:paraId="0376742E"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Yes</w:t>
            </w:r>
          </w:p>
        </w:tc>
        <w:tc>
          <w:tcPr>
            <w:tcW w:w="1560" w:type="dxa"/>
            <w:tcBorders>
              <w:top w:val="nil"/>
              <w:left w:val="nil"/>
              <w:bottom w:val="single" w:sz="4" w:space="0" w:color="auto"/>
              <w:right w:val="single" w:sz="4" w:space="0" w:color="auto"/>
            </w:tcBorders>
            <w:noWrap/>
            <w:vAlign w:val="center"/>
            <w:hideMark/>
          </w:tcPr>
          <w:p w14:paraId="7253CCD1"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13E57267"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64629249"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3492F58E"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 </w:t>
            </w:r>
          </w:p>
        </w:tc>
        <w:tc>
          <w:tcPr>
            <w:tcW w:w="1560" w:type="dxa"/>
            <w:tcBorders>
              <w:top w:val="nil"/>
              <w:left w:val="nil"/>
              <w:bottom w:val="single" w:sz="4" w:space="0" w:color="auto"/>
              <w:right w:val="single" w:sz="4" w:space="0" w:color="auto"/>
            </w:tcBorders>
            <w:noWrap/>
            <w:vAlign w:val="center"/>
            <w:hideMark/>
          </w:tcPr>
          <w:p w14:paraId="04E305CE"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r>
      <w:tr w:rsidR="00254B1C" w:rsidRPr="00795081" w14:paraId="0085B0B8" w14:textId="77777777" w:rsidTr="00795081">
        <w:trPr>
          <w:trHeight w:val="210"/>
        </w:trPr>
        <w:tc>
          <w:tcPr>
            <w:tcW w:w="2080" w:type="dxa"/>
            <w:tcBorders>
              <w:top w:val="nil"/>
              <w:left w:val="single" w:sz="4" w:space="0" w:color="auto"/>
              <w:bottom w:val="single" w:sz="4" w:space="0" w:color="auto"/>
              <w:right w:val="single" w:sz="4" w:space="0" w:color="auto"/>
            </w:tcBorders>
            <w:noWrap/>
            <w:vAlign w:val="center"/>
            <w:hideMark/>
          </w:tcPr>
          <w:p w14:paraId="1FD60B3A" w14:textId="1FE495B8"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Haseeb 2023a</w:t>
            </w:r>
          </w:p>
        </w:tc>
        <w:tc>
          <w:tcPr>
            <w:tcW w:w="1560" w:type="dxa"/>
            <w:tcBorders>
              <w:top w:val="nil"/>
              <w:left w:val="nil"/>
              <w:bottom w:val="single" w:sz="4" w:space="0" w:color="auto"/>
              <w:right w:val="single" w:sz="4" w:space="0" w:color="auto"/>
            </w:tcBorders>
            <w:noWrap/>
            <w:vAlign w:val="center"/>
            <w:hideMark/>
          </w:tcPr>
          <w:p w14:paraId="71796245"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58BBE5BB"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3B6909BB"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47A719C2"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7094049C"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7981CC67"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038B95D1"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1CFF12EC"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r>
      <w:tr w:rsidR="00254B1C" w:rsidRPr="00795081" w14:paraId="19D58E86" w14:textId="77777777" w:rsidTr="00795081">
        <w:trPr>
          <w:trHeight w:val="210"/>
        </w:trPr>
        <w:tc>
          <w:tcPr>
            <w:tcW w:w="2080" w:type="dxa"/>
            <w:tcBorders>
              <w:top w:val="nil"/>
              <w:left w:val="single" w:sz="4" w:space="0" w:color="auto"/>
              <w:bottom w:val="single" w:sz="4" w:space="0" w:color="auto"/>
              <w:right w:val="single" w:sz="4" w:space="0" w:color="auto"/>
            </w:tcBorders>
            <w:noWrap/>
            <w:vAlign w:val="center"/>
            <w:hideMark/>
          </w:tcPr>
          <w:p w14:paraId="23D9332D" w14:textId="6C72D11F"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Haseeb 2023b</w:t>
            </w:r>
          </w:p>
        </w:tc>
        <w:tc>
          <w:tcPr>
            <w:tcW w:w="1560" w:type="dxa"/>
            <w:tcBorders>
              <w:top w:val="nil"/>
              <w:left w:val="nil"/>
              <w:bottom w:val="single" w:sz="4" w:space="0" w:color="auto"/>
              <w:right w:val="single" w:sz="4" w:space="0" w:color="auto"/>
            </w:tcBorders>
            <w:noWrap/>
            <w:vAlign w:val="center"/>
            <w:hideMark/>
          </w:tcPr>
          <w:p w14:paraId="5E8CFEE4"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621B6959"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50A56EDF"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759B3E4B"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5FB1C8EB"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4275BB02"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39941B30"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01E3C3A7"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r>
      <w:tr w:rsidR="00254B1C" w:rsidRPr="00795081" w14:paraId="2A5F3A9A" w14:textId="77777777" w:rsidTr="00795081">
        <w:trPr>
          <w:trHeight w:val="210"/>
        </w:trPr>
        <w:tc>
          <w:tcPr>
            <w:tcW w:w="2080" w:type="dxa"/>
            <w:tcBorders>
              <w:top w:val="nil"/>
              <w:left w:val="single" w:sz="4" w:space="0" w:color="auto"/>
              <w:bottom w:val="single" w:sz="4" w:space="0" w:color="auto"/>
              <w:right w:val="single" w:sz="4" w:space="0" w:color="auto"/>
            </w:tcBorders>
            <w:noWrap/>
            <w:vAlign w:val="center"/>
            <w:hideMark/>
          </w:tcPr>
          <w:p w14:paraId="30C96EA5" w14:textId="643D01CE"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Haseeb 2023c</w:t>
            </w:r>
          </w:p>
        </w:tc>
        <w:tc>
          <w:tcPr>
            <w:tcW w:w="1560" w:type="dxa"/>
            <w:tcBorders>
              <w:top w:val="nil"/>
              <w:left w:val="nil"/>
              <w:bottom w:val="single" w:sz="4" w:space="0" w:color="auto"/>
              <w:right w:val="single" w:sz="4" w:space="0" w:color="auto"/>
            </w:tcBorders>
            <w:noWrap/>
            <w:vAlign w:val="center"/>
            <w:hideMark/>
          </w:tcPr>
          <w:p w14:paraId="3AA670C1"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1E407A86"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2AA93B6D"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395988C8"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3AE145BC"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6F3D1868"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15DE4931"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0BAA9693"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r>
      <w:tr w:rsidR="00254B1C" w:rsidRPr="00795081" w14:paraId="42E9F101" w14:textId="77777777" w:rsidTr="00795081">
        <w:trPr>
          <w:trHeight w:val="210"/>
        </w:trPr>
        <w:tc>
          <w:tcPr>
            <w:tcW w:w="2080" w:type="dxa"/>
            <w:tcBorders>
              <w:top w:val="nil"/>
              <w:left w:val="single" w:sz="4" w:space="0" w:color="auto"/>
              <w:bottom w:val="single" w:sz="4" w:space="0" w:color="auto"/>
              <w:right w:val="single" w:sz="4" w:space="0" w:color="auto"/>
            </w:tcBorders>
            <w:noWrap/>
            <w:vAlign w:val="center"/>
            <w:hideMark/>
          </w:tcPr>
          <w:p w14:paraId="2257FE70" w14:textId="78DDC742"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Haseeb 2023d</w:t>
            </w:r>
          </w:p>
        </w:tc>
        <w:tc>
          <w:tcPr>
            <w:tcW w:w="1560" w:type="dxa"/>
            <w:tcBorders>
              <w:top w:val="nil"/>
              <w:left w:val="nil"/>
              <w:bottom w:val="single" w:sz="4" w:space="0" w:color="auto"/>
              <w:right w:val="single" w:sz="4" w:space="0" w:color="auto"/>
            </w:tcBorders>
            <w:noWrap/>
            <w:vAlign w:val="center"/>
            <w:hideMark/>
          </w:tcPr>
          <w:p w14:paraId="24C8D605"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Yes</w:t>
            </w:r>
          </w:p>
        </w:tc>
        <w:tc>
          <w:tcPr>
            <w:tcW w:w="1560" w:type="dxa"/>
            <w:tcBorders>
              <w:top w:val="nil"/>
              <w:left w:val="nil"/>
              <w:bottom w:val="single" w:sz="4" w:space="0" w:color="auto"/>
              <w:right w:val="single" w:sz="4" w:space="0" w:color="auto"/>
            </w:tcBorders>
            <w:noWrap/>
            <w:vAlign w:val="center"/>
            <w:hideMark/>
          </w:tcPr>
          <w:p w14:paraId="47C754A8"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45079EE0"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5066DC27"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1518A9C6"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6E35D017"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217D0748"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548D119F"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r>
      <w:tr w:rsidR="00254B1C" w:rsidRPr="00795081" w14:paraId="6E8BD724" w14:textId="77777777" w:rsidTr="00795081">
        <w:trPr>
          <w:trHeight w:val="210"/>
        </w:trPr>
        <w:tc>
          <w:tcPr>
            <w:tcW w:w="2080" w:type="dxa"/>
            <w:tcBorders>
              <w:top w:val="nil"/>
              <w:left w:val="single" w:sz="4" w:space="0" w:color="auto"/>
              <w:bottom w:val="single" w:sz="4" w:space="0" w:color="auto"/>
              <w:right w:val="single" w:sz="4" w:space="0" w:color="auto"/>
            </w:tcBorders>
            <w:noWrap/>
            <w:vAlign w:val="center"/>
            <w:hideMark/>
          </w:tcPr>
          <w:p w14:paraId="23CF90F3" w14:textId="74C7182E"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Haseeb 2023e</w:t>
            </w:r>
          </w:p>
        </w:tc>
        <w:tc>
          <w:tcPr>
            <w:tcW w:w="1560" w:type="dxa"/>
            <w:tcBorders>
              <w:top w:val="nil"/>
              <w:left w:val="nil"/>
              <w:bottom w:val="single" w:sz="4" w:space="0" w:color="auto"/>
              <w:right w:val="single" w:sz="4" w:space="0" w:color="auto"/>
            </w:tcBorders>
            <w:noWrap/>
            <w:vAlign w:val="center"/>
            <w:hideMark/>
          </w:tcPr>
          <w:p w14:paraId="6CF88F18"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16967D3D"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264F47D5"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4A837279"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2FCB595C"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272FEA40"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743A6C31"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005596EE"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r>
      <w:tr w:rsidR="00254B1C" w:rsidRPr="00795081" w14:paraId="5D81ABF8" w14:textId="77777777" w:rsidTr="00795081">
        <w:trPr>
          <w:trHeight w:val="210"/>
        </w:trPr>
        <w:tc>
          <w:tcPr>
            <w:tcW w:w="2080" w:type="dxa"/>
            <w:tcBorders>
              <w:top w:val="nil"/>
              <w:left w:val="single" w:sz="4" w:space="0" w:color="auto"/>
              <w:bottom w:val="single" w:sz="4" w:space="0" w:color="auto"/>
              <w:right w:val="single" w:sz="4" w:space="0" w:color="auto"/>
            </w:tcBorders>
            <w:noWrap/>
            <w:vAlign w:val="center"/>
            <w:hideMark/>
          </w:tcPr>
          <w:p w14:paraId="05C96024" w14:textId="091F37FB"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Hu 2022</w:t>
            </w:r>
            <w:r w:rsidRPr="00254B1C">
              <w:rPr>
                <w:rFonts w:ascii="Calibri" w:eastAsia="Times New Roman" w:hAnsi="Calibri" w:cs="Calibri"/>
                <w:noProof/>
                <w:color w:val="000000"/>
                <w:sz w:val="16"/>
                <w:szCs w:val="16"/>
                <w:vertAlign w:val="superscript"/>
                <w:lang w:val="en-IE" w:eastAsia="en-IE"/>
              </w:rPr>
              <w:t>56</w:t>
            </w:r>
          </w:p>
        </w:tc>
        <w:tc>
          <w:tcPr>
            <w:tcW w:w="1560" w:type="dxa"/>
            <w:tcBorders>
              <w:top w:val="nil"/>
              <w:left w:val="nil"/>
              <w:bottom w:val="single" w:sz="4" w:space="0" w:color="auto"/>
              <w:right w:val="single" w:sz="4" w:space="0" w:color="auto"/>
            </w:tcBorders>
            <w:noWrap/>
            <w:vAlign w:val="center"/>
            <w:hideMark/>
          </w:tcPr>
          <w:p w14:paraId="197A01B3"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789FE17A"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289A0107"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37263F30"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5152DF84"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7355A4F0"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37A59129"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65BEA30A"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r>
      <w:tr w:rsidR="00254B1C" w:rsidRPr="00795081" w14:paraId="2E16CCEF" w14:textId="77777777" w:rsidTr="00795081">
        <w:trPr>
          <w:trHeight w:val="210"/>
        </w:trPr>
        <w:tc>
          <w:tcPr>
            <w:tcW w:w="2080" w:type="dxa"/>
            <w:tcBorders>
              <w:top w:val="nil"/>
              <w:left w:val="single" w:sz="4" w:space="0" w:color="auto"/>
              <w:bottom w:val="single" w:sz="4" w:space="0" w:color="auto"/>
              <w:right w:val="single" w:sz="4" w:space="0" w:color="auto"/>
            </w:tcBorders>
            <w:noWrap/>
            <w:vAlign w:val="center"/>
            <w:hideMark/>
          </w:tcPr>
          <w:p w14:paraId="52AF342A" w14:textId="776EE763"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Jacobsen 2019</w:t>
            </w:r>
          </w:p>
        </w:tc>
        <w:tc>
          <w:tcPr>
            <w:tcW w:w="1560" w:type="dxa"/>
            <w:tcBorders>
              <w:top w:val="nil"/>
              <w:left w:val="nil"/>
              <w:bottom w:val="single" w:sz="4" w:space="0" w:color="auto"/>
              <w:right w:val="single" w:sz="4" w:space="0" w:color="auto"/>
            </w:tcBorders>
            <w:noWrap/>
            <w:vAlign w:val="center"/>
            <w:hideMark/>
          </w:tcPr>
          <w:p w14:paraId="26711EC1"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5CB59061"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3C70B0E8"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4A3F7BB0"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0078ECC0"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3A1F451C"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5CAB2853"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2D36E5B3"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r>
      <w:tr w:rsidR="00254B1C" w:rsidRPr="00795081" w14:paraId="09A934B9" w14:textId="77777777" w:rsidTr="00795081">
        <w:trPr>
          <w:trHeight w:val="210"/>
        </w:trPr>
        <w:tc>
          <w:tcPr>
            <w:tcW w:w="2080" w:type="dxa"/>
            <w:tcBorders>
              <w:top w:val="nil"/>
              <w:left w:val="single" w:sz="4" w:space="0" w:color="auto"/>
              <w:bottom w:val="single" w:sz="4" w:space="0" w:color="auto"/>
              <w:right w:val="single" w:sz="4" w:space="0" w:color="auto"/>
            </w:tcBorders>
            <w:noWrap/>
            <w:vAlign w:val="center"/>
            <w:hideMark/>
          </w:tcPr>
          <w:p w14:paraId="3BC0BC8C" w14:textId="1800511F"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James 2017</w:t>
            </w:r>
            <w:r w:rsidRPr="00254B1C">
              <w:rPr>
                <w:rFonts w:ascii="Calibri" w:eastAsia="Times New Roman" w:hAnsi="Calibri" w:cs="Calibri"/>
                <w:noProof/>
                <w:color w:val="000000"/>
                <w:sz w:val="16"/>
                <w:szCs w:val="16"/>
                <w:vertAlign w:val="superscript"/>
                <w:lang w:val="en-IE" w:eastAsia="en-IE"/>
              </w:rPr>
              <w:t>57</w:t>
            </w:r>
          </w:p>
        </w:tc>
        <w:tc>
          <w:tcPr>
            <w:tcW w:w="1560" w:type="dxa"/>
            <w:tcBorders>
              <w:top w:val="nil"/>
              <w:left w:val="nil"/>
              <w:bottom w:val="single" w:sz="4" w:space="0" w:color="auto"/>
              <w:right w:val="single" w:sz="4" w:space="0" w:color="auto"/>
            </w:tcBorders>
            <w:noWrap/>
            <w:vAlign w:val="center"/>
            <w:hideMark/>
          </w:tcPr>
          <w:p w14:paraId="6C0E2AE3"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7690331C"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1505A1B3"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1419127E"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20E723AC"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5E50444A"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4858BDAC"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0F7153D1"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r>
      <w:tr w:rsidR="00254B1C" w:rsidRPr="00795081" w14:paraId="6597DDC3" w14:textId="77777777" w:rsidTr="00795081">
        <w:trPr>
          <w:trHeight w:val="210"/>
        </w:trPr>
        <w:tc>
          <w:tcPr>
            <w:tcW w:w="2080" w:type="dxa"/>
            <w:tcBorders>
              <w:top w:val="nil"/>
              <w:left w:val="single" w:sz="4" w:space="0" w:color="auto"/>
              <w:bottom w:val="single" w:sz="4" w:space="0" w:color="auto"/>
              <w:right w:val="single" w:sz="4" w:space="0" w:color="auto"/>
            </w:tcBorders>
            <w:noWrap/>
            <w:vAlign w:val="center"/>
            <w:hideMark/>
          </w:tcPr>
          <w:p w14:paraId="3B584EBC" w14:textId="3E43B8D6"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Jirapinyo 2018</w:t>
            </w:r>
          </w:p>
        </w:tc>
        <w:tc>
          <w:tcPr>
            <w:tcW w:w="1560" w:type="dxa"/>
            <w:tcBorders>
              <w:top w:val="nil"/>
              <w:left w:val="nil"/>
              <w:bottom w:val="single" w:sz="4" w:space="0" w:color="auto"/>
              <w:right w:val="single" w:sz="4" w:space="0" w:color="auto"/>
            </w:tcBorders>
            <w:noWrap/>
            <w:vAlign w:val="center"/>
            <w:hideMark/>
          </w:tcPr>
          <w:p w14:paraId="45D15E9C"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0C27581F"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5C6C61BF"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44EEB6FA"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14EE5F74"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17D09553"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37FD3CC3"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0910D3BE"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r>
      <w:tr w:rsidR="00254B1C" w:rsidRPr="00795081" w14:paraId="3B032983" w14:textId="77777777" w:rsidTr="00795081">
        <w:trPr>
          <w:trHeight w:val="210"/>
        </w:trPr>
        <w:tc>
          <w:tcPr>
            <w:tcW w:w="2080" w:type="dxa"/>
            <w:tcBorders>
              <w:top w:val="nil"/>
              <w:left w:val="single" w:sz="4" w:space="0" w:color="auto"/>
              <w:bottom w:val="single" w:sz="4" w:space="0" w:color="auto"/>
              <w:right w:val="single" w:sz="4" w:space="0" w:color="auto"/>
            </w:tcBorders>
            <w:noWrap/>
            <w:vAlign w:val="center"/>
            <w:hideMark/>
          </w:tcPr>
          <w:p w14:paraId="0E237575" w14:textId="4C51DFB8"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Jordan 2022</w:t>
            </w:r>
          </w:p>
        </w:tc>
        <w:tc>
          <w:tcPr>
            <w:tcW w:w="1560" w:type="dxa"/>
            <w:tcBorders>
              <w:top w:val="nil"/>
              <w:left w:val="nil"/>
              <w:bottom w:val="single" w:sz="4" w:space="0" w:color="auto"/>
              <w:right w:val="single" w:sz="4" w:space="0" w:color="auto"/>
            </w:tcBorders>
            <w:noWrap/>
            <w:vAlign w:val="center"/>
            <w:hideMark/>
          </w:tcPr>
          <w:p w14:paraId="015DC766"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Unclear</w:t>
            </w:r>
          </w:p>
        </w:tc>
        <w:tc>
          <w:tcPr>
            <w:tcW w:w="1560" w:type="dxa"/>
            <w:tcBorders>
              <w:top w:val="nil"/>
              <w:left w:val="nil"/>
              <w:bottom w:val="single" w:sz="4" w:space="0" w:color="auto"/>
              <w:right w:val="single" w:sz="4" w:space="0" w:color="auto"/>
            </w:tcBorders>
            <w:noWrap/>
            <w:vAlign w:val="center"/>
            <w:hideMark/>
          </w:tcPr>
          <w:p w14:paraId="05B748E2"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6373BBC0"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Yes</w:t>
            </w:r>
          </w:p>
        </w:tc>
        <w:tc>
          <w:tcPr>
            <w:tcW w:w="1560" w:type="dxa"/>
            <w:tcBorders>
              <w:top w:val="nil"/>
              <w:left w:val="nil"/>
              <w:bottom w:val="single" w:sz="4" w:space="0" w:color="auto"/>
              <w:right w:val="single" w:sz="4" w:space="0" w:color="auto"/>
            </w:tcBorders>
            <w:noWrap/>
            <w:vAlign w:val="center"/>
            <w:hideMark/>
          </w:tcPr>
          <w:p w14:paraId="69F69C2E"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Yes</w:t>
            </w:r>
          </w:p>
        </w:tc>
        <w:tc>
          <w:tcPr>
            <w:tcW w:w="1560" w:type="dxa"/>
            <w:tcBorders>
              <w:top w:val="nil"/>
              <w:left w:val="nil"/>
              <w:bottom w:val="single" w:sz="4" w:space="0" w:color="auto"/>
              <w:right w:val="single" w:sz="4" w:space="0" w:color="auto"/>
            </w:tcBorders>
            <w:noWrap/>
            <w:vAlign w:val="center"/>
            <w:hideMark/>
          </w:tcPr>
          <w:p w14:paraId="34D29316"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0D618EEF"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72B5156D"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2803F60D"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r>
      <w:tr w:rsidR="00254B1C" w:rsidRPr="00795081" w14:paraId="230791D1" w14:textId="77777777" w:rsidTr="00795081">
        <w:trPr>
          <w:trHeight w:val="210"/>
        </w:trPr>
        <w:tc>
          <w:tcPr>
            <w:tcW w:w="2080" w:type="dxa"/>
            <w:tcBorders>
              <w:top w:val="nil"/>
              <w:left w:val="single" w:sz="4" w:space="0" w:color="auto"/>
              <w:bottom w:val="single" w:sz="4" w:space="0" w:color="auto"/>
              <w:right w:val="single" w:sz="4" w:space="0" w:color="auto"/>
            </w:tcBorders>
            <w:noWrap/>
            <w:vAlign w:val="center"/>
            <w:hideMark/>
          </w:tcPr>
          <w:p w14:paraId="035C69CD" w14:textId="5E0C99B8"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Kelly, 2023</w:t>
            </w:r>
            <w:r w:rsidRPr="00254B1C">
              <w:rPr>
                <w:rFonts w:ascii="Calibri" w:eastAsia="Times New Roman" w:hAnsi="Calibri" w:cs="Calibri"/>
                <w:noProof/>
                <w:color w:val="000000"/>
                <w:sz w:val="16"/>
                <w:szCs w:val="16"/>
                <w:vertAlign w:val="superscript"/>
                <w:lang w:val="en-IE" w:eastAsia="en-IE"/>
              </w:rPr>
              <w:t>58</w:t>
            </w:r>
          </w:p>
        </w:tc>
        <w:tc>
          <w:tcPr>
            <w:tcW w:w="1560" w:type="dxa"/>
            <w:tcBorders>
              <w:top w:val="nil"/>
              <w:left w:val="nil"/>
              <w:bottom w:val="single" w:sz="4" w:space="0" w:color="auto"/>
              <w:right w:val="single" w:sz="4" w:space="0" w:color="auto"/>
            </w:tcBorders>
            <w:noWrap/>
            <w:vAlign w:val="center"/>
            <w:hideMark/>
          </w:tcPr>
          <w:p w14:paraId="0B537D78"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Yes</w:t>
            </w:r>
          </w:p>
        </w:tc>
        <w:tc>
          <w:tcPr>
            <w:tcW w:w="1560" w:type="dxa"/>
            <w:tcBorders>
              <w:top w:val="nil"/>
              <w:left w:val="nil"/>
              <w:bottom w:val="single" w:sz="4" w:space="0" w:color="auto"/>
              <w:right w:val="single" w:sz="4" w:space="0" w:color="auto"/>
            </w:tcBorders>
            <w:noWrap/>
            <w:vAlign w:val="center"/>
            <w:hideMark/>
          </w:tcPr>
          <w:p w14:paraId="1D012D94"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513E3718"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5AD473A0"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2364AE26"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6879A64B"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1DED77D2"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3A1A6E55"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Yes</w:t>
            </w:r>
          </w:p>
        </w:tc>
      </w:tr>
      <w:tr w:rsidR="00254B1C" w:rsidRPr="00795081" w14:paraId="2F41FBA6" w14:textId="77777777" w:rsidTr="00795081">
        <w:trPr>
          <w:trHeight w:val="210"/>
        </w:trPr>
        <w:tc>
          <w:tcPr>
            <w:tcW w:w="2080" w:type="dxa"/>
            <w:tcBorders>
              <w:top w:val="nil"/>
              <w:left w:val="single" w:sz="4" w:space="0" w:color="auto"/>
              <w:bottom w:val="single" w:sz="4" w:space="0" w:color="auto"/>
              <w:right w:val="single" w:sz="4" w:space="0" w:color="auto"/>
            </w:tcBorders>
            <w:noWrap/>
            <w:vAlign w:val="center"/>
            <w:hideMark/>
          </w:tcPr>
          <w:p w14:paraId="7471B7B8" w14:textId="303C254B"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Kent, 2019</w:t>
            </w:r>
            <w:r w:rsidRPr="00254B1C">
              <w:rPr>
                <w:rFonts w:ascii="Calibri" w:eastAsia="Times New Roman" w:hAnsi="Calibri" w:cs="Calibri"/>
                <w:noProof/>
                <w:color w:val="000000"/>
                <w:sz w:val="16"/>
                <w:szCs w:val="16"/>
                <w:vertAlign w:val="superscript"/>
                <w:lang w:val="en-IE" w:eastAsia="en-IE"/>
              </w:rPr>
              <w:t>59</w:t>
            </w:r>
          </w:p>
        </w:tc>
        <w:tc>
          <w:tcPr>
            <w:tcW w:w="1560" w:type="dxa"/>
            <w:tcBorders>
              <w:top w:val="nil"/>
              <w:left w:val="nil"/>
              <w:bottom w:val="single" w:sz="4" w:space="0" w:color="auto"/>
              <w:right w:val="single" w:sz="4" w:space="0" w:color="auto"/>
            </w:tcBorders>
            <w:noWrap/>
            <w:vAlign w:val="center"/>
            <w:hideMark/>
          </w:tcPr>
          <w:p w14:paraId="49A201E8"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Yes</w:t>
            </w:r>
          </w:p>
        </w:tc>
        <w:tc>
          <w:tcPr>
            <w:tcW w:w="1560" w:type="dxa"/>
            <w:tcBorders>
              <w:top w:val="nil"/>
              <w:left w:val="nil"/>
              <w:bottom w:val="single" w:sz="4" w:space="0" w:color="auto"/>
              <w:right w:val="single" w:sz="4" w:space="0" w:color="auto"/>
            </w:tcBorders>
            <w:noWrap/>
            <w:vAlign w:val="center"/>
            <w:hideMark/>
          </w:tcPr>
          <w:p w14:paraId="6730090E"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Yes</w:t>
            </w:r>
          </w:p>
        </w:tc>
        <w:tc>
          <w:tcPr>
            <w:tcW w:w="1560" w:type="dxa"/>
            <w:tcBorders>
              <w:top w:val="nil"/>
              <w:left w:val="nil"/>
              <w:bottom w:val="single" w:sz="4" w:space="0" w:color="auto"/>
              <w:right w:val="single" w:sz="4" w:space="0" w:color="auto"/>
            </w:tcBorders>
            <w:noWrap/>
            <w:vAlign w:val="center"/>
            <w:hideMark/>
          </w:tcPr>
          <w:p w14:paraId="38D84DE1"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Yes</w:t>
            </w:r>
          </w:p>
        </w:tc>
        <w:tc>
          <w:tcPr>
            <w:tcW w:w="1560" w:type="dxa"/>
            <w:tcBorders>
              <w:top w:val="nil"/>
              <w:left w:val="nil"/>
              <w:bottom w:val="single" w:sz="4" w:space="0" w:color="auto"/>
              <w:right w:val="single" w:sz="4" w:space="0" w:color="auto"/>
            </w:tcBorders>
            <w:noWrap/>
            <w:vAlign w:val="center"/>
            <w:hideMark/>
          </w:tcPr>
          <w:p w14:paraId="5D308AE0"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2A4CA0EC"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58C646A3"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4990D14D"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53BA5B00"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r>
      <w:tr w:rsidR="00254B1C" w:rsidRPr="00795081" w14:paraId="3F7CAA60" w14:textId="77777777" w:rsidTr="00795081">
        <w:trPr>
          <w:trHeight w:val="210"/>
        </w:trPr>
        <w:tc>
          <w:tcPr>
            <w:tcW w:w="2080" w:type="dxa"/>
            <w:tcBorders>
              <w:top w:val="nil"/>
              <w:left w:val="single" w:sz="4" w:space="0" w:color="auto"/>
              <w:bottom w:val="single" w:sz="4" w:space="0" w:color="auto"/>
              <w:right w:val="single" w:sz="4" w:space="0" w:color="auto"/>
            </w:tcBorders>
            <w:noWrap/>
            <w:vAlign w:val="center"/>
            <w:hideMark/>
          </w:tcPr>
          <w:p w14:paraId="115FD152" w14:textId="76D87A8D"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lastRenderedPageBreak/>
              <w:t>Kostic 2023a</w:t>
            </w:r>
            <w:r w:rsidRPr="00254B1C">
              <w:rPr>
                <w:rFonts w:ascii="Calibri" w:eastAsia="Times New Roman" w:hAnsi="Calibri" w:cs="Calibri"/>
                <w:noProof/>
                <w:color w:val="000000"/>
                <w:sz w:val="16"/>
                <w:szCs w:val="16"/>
                <w:vertAlign w:val="superscript"/>
                <w:lang w:val="en-IE" w:eastAsia="en-IE"/>
              </w:rPr>
              <w:t>60</w:t>
            </w:r>
          </w:p>
        </w:tc>
        <w:tc>
          <w:tcPr>
            <w:tcW w:w="1560" w:type="dxa"/>
            <w:tcBorders>
              <w:top w:val="nil"/>
              <w:left w:val="nil"/>
              <w:bottom w:val="single" w:sz="4" w:space="0" w:color="auto"/>
              <w:right w:val="single" w:sz="4" w:space="0" w:color="auto"/>
            </w:tcBorders>
            <w:noWrap/>
            <w:vAlign w:val="center"/>
            <w:hideMark/>
          </w:tcPr>
          <w:p w14:paraId="23EDEB3E"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Yes</w:t>
            </w:r>
          </w:p>
        </w:tc>
        <w:tc>
          <w:tcPr>
            <w:tcW w:w="1560" w:type="dxa"/>
            <w:tcBorders>
              <w:top w:val="nil"/>
              <w:left w:val="nil"/>
              <w:bottom w:val="single" w:sz="4" w:space="0" w:color="auto"/>
              <w:right w:val="single" w:sz="4" w:space="0" w:color="auto"/>
            </w:tcBorders>
            <w:noWrap/>
            <w:vAlign w:val="center"/>
            <w:hideMark/>
          </w:tcPr>
          <w:p w14:paraId="796662B1"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67E510D7"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59C401B6"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4F829BC0"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609DFF85"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28608B4D"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1ACCD7BA"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r>
      <w:tr w:rsidR="00254B1C" w:rsidRPr="00795081" w14:paraId="2A480876" w14:textId="77777777" w:rsidTr="00795081">
        <w:trPr>
          <w:trHeight w:val="210"/>
        </w:trPr>
        <w:tc>
          <w:tcPr>
            <w:tcW w:w="2080" w:type="dxa"/>
            <w:tcBorders>
              <w:top w:val="nil"/>
              <w:left w:val="single" w:sz="4" w:space="0" w:color="auto"/>
              <w:bottom w:val="single" w:sz="4" w:space="0" w:color="auto"/>
              <w:right w:val="single" w:sz="4" w:space="0" w:color="auto"/>
            </w:tcBorders>
            <w:noWrap/>
            <w:vAlign w:val="center"/>
            <w:hideMark/>
          </w:tcPr>
          <w:p w14:paraId="2CA0FA5F" w14:textId="5B455D8F"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Kostic 2023b</w:t>
            </w:r>
            <w:r w:rsidRPr="00254B1C">
              <w:rPr>
                <w:rFonts w:ascii="Calibri" w:eastAsia="Times New Roman" w:hAnsi="Calibri" w:cs="Calibri"/>
                <w:noProof/>
                <w:color w:val="000000"/>
                <w:sz w:val="16"/>
                <w:szCs w:val="16"/>
                <w:vertAlign w:val="superscript"/>
                <w:lang w:val="en-IE" w:eastAsia="en-IE"/>
              </w:rPr>
              <w:t>61</w:t>
            </w:r>
          </w:p>
        </w:tc>
        <w:tc>
          <w:tcPr>
            <w:tcW w:w="1560" w:type="dxa"/>
            <w:tcBorders>
              <w:top w:val="nil"/>
              <w:left w:val="nil"/>
              <w:bottom w:val="single" w:sz="4" w:space="0" w:color="auto"/>
              <w:right w:val="single" w:sz="4" w:space="0" w:color="auto"/>
            </w:tcBorders>
            <w:noWrap/>
            <w:vAlign w:val="center"/>
            <w:hideMark/>
          </w:tcPr>
          <w:p w14:paraId="36B1CBA7"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Yes</w:t>
            </w:r>
          </w:p>
        </w:tc>
        <w:tc>
          <w:tcPr>
            <w:tcW w:w="1560" w:type="dxa"/>
            <w:tcBorders>
              <w:top w:val="nil"/>
              <w:left w:val="nil"/>
              <w:bottom w:val="single" w:sz="4" w:space="0" w:color="auto"/>
              <w:right w:val="single" w:sz="4" w:space="0" w:color="auto"/>
            </w:tcBorders>
            <w:noWrap/>
            <w:vAlign w:val="center"/>
            <w:hideMark/>
          </w:tcPr>
          <w:p w14:paraId="5DDEA7E6"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41DC016A"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302F17B3"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19ACFFDA"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1CE00F29"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5AB25DE0"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07C84D3E"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r>
      <w:tr w:rsidR="00254B1C" w:rsidRPr="00795081" w14:paraId="4DDCCA84" w14:textId="77777777" w:rsidTr="00795081">
        <w:trPr>
          <w:trHeight w:val="210"/>
        </w:trPr>
        <w:tc>
          <w:tcPr>
            <w:tcW w:w="2080" w:type="dxa"/>
            <w:tcBorders>
              <w:top w:val="nil"/>
              <w:left w:val="single" w:sz="4" w:space="0" w:color="auto"/>
              <w:bottom w:val="single" w:sz="4" w:space="0" w:color="auto"/>
              <w:right w:val="single" w:sz="4" w:space="0" w:color="auto"/>
            </w:tcBorders>
            <w:noWrap/>
            <w:vAlign w:val="center"/>
            <w:hideMark/>
          </w:tcPr>
          <w:p w14:paraId="28794E8A" w14:textId="722F367D"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Kostic 2021</w:t>
            </w:r>
          </w:p>
        </w:tc>
        <w:tc>
          <w:tcPr>
            <w:tcW w:w="1560" w:type="dxa"/>
            <w:tcBorders>
              <w:top w:val="nil"/>
              <w:left w:val="nil"/>
              <w:bottom w:val="single" w:sz="4" w:space="0" w:color="auto"/>
              <w:right w:val="single" w:sz="4" w:space="0" w:color="auto"/>
            </w:tcBorders>
            <w:noWrap/>
            <w:vAlign w:val="center"/>
            <w:hideMark/>
          </w:tcPr>
          <w:p w14:paraId="50C6DC66"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Unclear</w:t>
            </w:r>
          </w:p>
        </w:tc>
        <w:tc>
          <w:tcPr>
            <w:tcW w:w="1560" w:type="dxa"/>
            <w:tcBorders>
              <w:top w:val="nil"/>
              <w:left w:val="nil"/>
              <w:bottom w:val="single" w:sz="4" w:space="0" w:color="auto"/>
              <w:right w:val="single" w:sz="4" w:space="0" w:color="auto"/>
            </w:tcBorders>
            <w:noWrap/>
            <w:vAlign w:val="center"/>
            <w:hideMark/>
          </w:tcPr>
          <w:p w14:paraId="78020DD7"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01D9FAAE"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22728535"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1E6D0B3D"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5854EA7E"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4CB4BA9D"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4C6806E1"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r>
      <w:tr w:rsidR="00254B1C" w:rsidRPr="00795081" w14:paraId="3D301D70" w14:textId="77777777" w:rsidTr="00795081">
        <w:trPr>
          <w:trHeight w:val="210"/>
        </w:trPr>
        <w:tc>
          <w:tcPr>
            <w:tcW w:w="2080" w:type="dxa"/>
            <w:tcBorders>
              <w:top w:val="nil"/>
              <w:left w:val="single" w:sz="4" w:space="0" w:color="auto"/>
              <w:bottom w:val="single" w:sz="4" w:space="0" w:color="auto"/>
              <w:right w:val="single" w:sz="4" w:space="0" w:color="auto"/>
            </w:tcBorders>
            <w:noWrap/>
            <w:vAlign w:val="center"/>
            <w:hideMark/>
          </w:tcPr>
          <w:p w14:paraId="2A520F8F" w14:textId="5743B340"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Kovacs 2023</w:t>
            </w:r>
            <w:r w:rsidRPr="00254B1C">
              <w:rPr>
                <w:rFonts w:ascii="Calibri" w:eastAsia="Times New Roman" w:hAnsi="Calibri" w:cs="Calibri"/>
                <w:noProof/>
                <w:color w:val="000000"/>
                <w:sz w:val="16"/>
                <w:szCs w:val="16"/>
                <w:vertAlign w:val="superscript"/>
                <w:lang w:val="en-IE" w:eastAsia="en-IE"/>
              </w:rPr>
              <w:t>62</w:t>
            </w:r>
          </w:p>
        </w:tc>
        <w:tc>
          <w:tcPr>
            <w:tcW w:w="1560" w:type="dxa"/>
            <w:tcBorders>
              <w:top w:val="nil"/>
              <w:left w:val="nil"/>
              <w:bottom w:val="single" w:sz="4" w:space="0" w:color="auto"/>
              <w:right w:val="single" w:sz="4" w:space="0" w:color="auto"/>
            </w:tcBorders>
            <w:noWrap/>
            <w:vAlign w:val="center"/>
            <w:hideMark/>
          </w:tcPr>
          <w:p w14:paraId="292BA01E"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09AA5719"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Yes</w:t>
            </w:r>
          </w:p>
        </w:tc>
        <w:tc>
          <w:tcPr>
            <w:tcW w:w="1560" w:type="dxa"/>
            <w:tcBorders>
              <w:top w:val="nil"/>
              <w:left w:val="nil"/>
              <w:bottom w:val="single" w:sz="4" w:space="0" w:color="auto"/>
              <w:right w:val="single" w:sz="4" w:space="0" w:color="auto"/>
            </w:tcBorders>
            <w:noWrap/>
            <w:vAlign w:val="center"/>
            <w:hideMark/>
          </w:tcPr>
          <w:p w14:paraId="66DC1666"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Yes</w:t>
            </w:r>
          </w:p>
        </w:tc>
        <w:tc>
          <w:tcPr>
            <w:tcW w:w="1560" w:type="dxa"/>
            <w:tcBorders>
              <w:top w:val="nil"/>
              <w:left w:val="nil"/>
              <w:bottom w:val="single" w:sz="4" w:space="0" w:color="auto"/>
              <w:right w:val="single" w:sz="4" w:space="0" w:color="auto"/>
            </w:tcBorders>
            <w:noWrap/>
            <w:vAlign w:val="center"/>
            <w:hideMark/>
          </w:tcPr>
          <w:p w14:paraId="2454295D"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Yes</w:t>
            </w:r>
          </w:p>
        </w:tc>
        <w:tc>
          <w:tcPr>
            <w:tcW w:w="1560" w:type="dxa"/>
            <w:tcBorders>
              <w:top w:val="nil"/>
              <w:left w:val="nil"/>
              <w:bottom w:val="single" w:sz="4" w:space="0" w:color="auto"/>
              <w:right w:val="single" w:sz="4" w:space="0" w:color="auto"/>
            </w:tcBorders>
            <w:noWrap/>
            <w:vAlign w:val="center"/>
            <w:hideMark/>
          </w:tcPr>
          <w:p w14:paraId="4BC39440"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291B2F52"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12F32EFD"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165E5D5B"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r>
      <w:tr w:rsidR="00254B1C" w:rsidRPr="00795081" w14:paraId="4D1935C7" w14:textId="77777777" w:rsidTr="00795081">
        <w:trPr>
          <w:trHeight w:val="210"/>
        </w:trPr>
        <w:tc>
          <w:tcPr>
            <w:tcW w:w="2080" w:type="dxa"/>
            <w:tcBorders>
              <w:top w:val="nil"/>
              <w:left w:val="single" w:sz="4" w:space="0" w:color="auto"/>
              <w:bottom w:val="single" w:sz="4" w:space="0" w:color="auto"/>
              <w:right w:val="single" w:sz="4" w:space="0" w:color="auto"/>
            </w:tcBorders>
            <w:noWrap/>
            <w:vAlign w:val="center"/>
            <w:hideMark/>
          </w:tcPr>
          <w:p w14:paraId="79E6200F" w14:textId="43D43191"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Lauren 2021</w:t>
            </w:r>
            <w:r w:rsidRPr="00254B1C">
              <w:rPr>
                <w:rFonts w:ascii="Calibri" w:eastAsia="Times New Roman" w:hAnsi="Calibri" w:cs="Calibri"/>
                <w:noProof/>
                <w:color w:val="000000"/>
                <w:sz w:val="16"/>
                <w:szCs w:val="16"/>
                <w:vertAlign w:val="superscript"/>
                <w:lang w:val="en-IE" w:eastAsia="en-IE"/>
              </w:rPr>
              <w:t>63</w:t>
            </w:r>
          </w:p>
        </w:tc>
        <w:tc>
          <w:tcPr>
            <w:tcW w:w="1560" w:type="dxa"/>
            <w:tcBorders>
              <w:top w:val="nil"/>
              <w:left w:val="nil"/>
              <w:bottom w:val="single" w:sz="4" w:space="0" w:color="auto"/>
              <w:right w:val="single" w:sz="4" w:space="0" w:color="auto"/>
            </w:tcBorders>
            <w:noWrap/>
            <w:vAlign w:val="center"/>
            <w:hideMark/>
          </w:tcPr>
          <w:p w14:paraId="0C68DF81"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Yes</w:t>
            </w:r>
          </w:p>
        </w:tc>
        <w:tc>
          <w:tcPr>
            <w:tcW w:w="1560" w:type="dxa"/>
            <w:tcBorders>
              <w:top w:val="nil"/>
              <w:left w:val="nil"/>
              <w:bottom w:val="single" w:sz="4" w:space="0" w:color="auto"/>
              <w:right w:val="single" w:sz="4" w:space="0" w:color="auto"/>
            </w:tcBorders>
            <w:noWrap/>
            <w:vAlign w:val="center"/>
            <w:hideMark/>
          </w:tcPr>
          <w:p w14:paraId="2E531BAD"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45597E16"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1546DB5A"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5A59B880"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3F07F82B"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2FC85227"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3304756A"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r>
      <w:tr w:rsidR="00254B1C" w:rsidRPr="00795081" w14:paraId="51C40DBF" w14:textId="77777777" w:rsidTr="00795081">
        <w:trPr>
          <w:trHeight w:val="210"/>
        </w:trPr>
        <w:tc>
          <w:tcPr>
            <w:tcW w:w="2080" w:type="dxa"/>
            <w:tcBorders>
              <w:top w:val="nil"/>
              <w:left w:val="single" w:sz="4" w:space="0" w:color="auto"/>
              <w:bottom w:val="single" w:sz="4" w:space="0" w:color="auto"/>
              <w:right w:val="single" w:sz="4" w:space="0" w:color="auto"/>
            </w:tcBorders>
            <w:noWrap/>
            <w:vAlign w:val="center"/>
            <w:hideMark/>
          </w:tcPr>
          <w:p w14:paraId="5B30FE10" w14:textId="58056E8D"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Lee 2018</w:t>
            </w:r>
          </w:p>
        </w:tc>
        <w:tc>
          <w:tcPr>
            <w:tcW w:w="1560" w:type="dxa"/>
            <w:tcBorders>
              <w:top w:val="nil"/>
              <w:left w:val="nil"/>
              <w:bottom w:val="single" w:sz="4" w:space="0" w:color="auto"/>
              <w:right w:val="single" w:sz="4" w:space="0" w:color="auto"/>
            </w:tcBorders>
            <w:noWrap/>
            <w:vAlign w:val="center"/>
            <w:hideMark/>
          </w:tcPr>
          <w:p w14:paraId="018FA5CD"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Unclear</w:t>
            </w:r>
          </w:p>
        </w:tc>
        <w:tc>
          <w:tcPr>
            <w:tcW w:w="1560" w:type="dxa"/>
            <w:tcBorders>
              <w:top w:val="nil"/>
              <w:left w:val="nil"/>
              <w:bottom w:val="single" w:sz="4" w:space="0" w:color="auto"/>
              <w:right w:val="single" w:sz="4" w:space="0" w:color="auto"/>
            </w:tcBorders>
            <w:noWrap/>
            <w:vAlign w:val="center"/>
            <w:hideMark/>
          </w:tcPr>
          <w:p w14:paraId="7ED851DB"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Unclear</w:t>
            </w:r>
          </w:p>
        </w:tc>
        <w:tc>
          <w:tcPr>
            <w:tcW w:w="1560" w:type="dxa"/>
            <w:tcBorders>
              <w:top w:val="nil"/>
              <w:left w:val="nil"/>
              <w:bottom w:val="single" w:sz="4" w:space="0" w:color="auto"/>
              <w:right w:val="single" w:sz="4" w:space="0" w:color="auto"/>
            </w:tcBorders>
            <w:noWrap/>
            <w:vAlign w:val="center"/>
            <w:hideMark/>
          </w:tcPr>
          <w:p w14:paraId="4BC93B17"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Unclear</w:t>
            </w:r>
          </w:p>
        </w:tc>
        <w:tc>
          <w:tcPr>
            <w:tcW w:w="1560" w:type="dxa"/>
            <w:tcBorders>
              <w:top w:val="nil"/>
              <w:left w:val="nil"/>
              <w:bottom w:val="single" w:sz="4" w:space="0" w:color="auto"/>
              <w:right w:val="single" w:sz="4" w:space="0" w:color="auto"/>
            </w:tcBorders>
            <w:noWrap/>
            <w:vAlign w:val="center"/>
            <w:hideMark/>
          </w:tcPr>
          <w:p w14:paraId="01ECC264"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Unclear</w:t>
            </w:r>
          </w:p>
        </w:tc>
        <w:tc>
          <w:tcPr>
            <w:tcW w:w="1560" w:type="dxa"/>
            <w:tcBorders>
              <w:top w:val="nil"/>
              <w:left w:val="nil"/>
              <w:bottom w:val="single" w:sz="4" w:space="0" w:color="auto"/>
              <w:right w:val="single" w:sz="4" w:space="0" w:color="auto"/>
            </w:tcBorders>
            <w:noWrap/>
            <w:vAlign w:val="center"/>
            <w:hideMark/>
          </w:tcPr>
          <w:p w14:paraId="72EA326B"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Unclear</w:t>
            </w:r>
          </w:p>
        </w:tc>
        <w:tc>
          <w:tcPr>
            <w:tcW w:w="1560" w:type="dxa"/>
            <w:tcBorders>
              <w:top w:val="nil"/>
              <w:left w:val="nil"/>
              <w:bottom w:val="single" w:sz="4" w:space="0" w:color="auto"/>
              <w:right w:val="single" w:sz="4" w:space="0" w:color="auto"/>
            </w:tcBorders>
            <w:noWrap/>
            <w:vAlign w:val="center"/>
            <w:hideMark/>
          </w:tcPr>
          <w:p w14:paraId="1D9D26A4"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Unclear</w:t>
            </w:r>
          </w:p>
        </w:tc>
        <w:tc>
          <w:tcPr>
            <w:tcW w:w="1560" w:type="dxa"/>
            <w:tcBorders>
              <w:top w:val="nil"/>
              <w:left w:val="nil"/>
              <w:bottom w:val="single" w:sz="4" w:space="0" w:color="auto"/>
              <w:right w:val="single" w:sz="4" w:space="0" w:color="auto"/>
            </w:tcBorders>
            <w:noWrap/>
            <w:vAlign w:val="center"/>
            <w:hideMark/>
          </w:tcPr>
          <w:p w14:paraId="30E01E0C"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Unclear</w:t>
            </w:r>
          </w:p>
        </w:tc>
        <w:tc>
          <w:tcPr>
            <w:tcW w:w="1560" w:type="dxa"/>
            <w:tcBorders>
              <w:top w:val="nil"/>
              <w:left w:val="nil"/>
              <w:bottom w:val="single" w:sz="4" w:space="0" w:color="auto"/>
              <w:right w:val="single" w:sz="4" w:space="0" w:color="auto"/>
            </w:tcBorders>
            <w:noWrap/>
            <w:vAlign w:val="center"/>
            <w:hideMark/>
          </w:tcPr>
          <w:p w14:paraId="20ED7C3E"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Unclear</w:t>
            </w:r>
          </w:p>
        </w:tc>
      </w:tr>
      <w:tr w:rsidR="00254B1C" w:rsidRPr="00795081" w14:paraId="5BF70A0D" w14:textId="77777777" w:rsidTr="00795081">
        <w:trPr>
          <w:trHeight w:val="210"/>
        </w:trPr>
        <w:tc>
          <w:tcPr>
            <w:tcW w:w="2080" w:type="dxa"/>
            <w:tcBorders>
              <w:top w:val="nil"/>
              <w:left w:val="single" w:sz="4" w:space="0" w:color="auto"/>
              <w:bottom w:val="single" w:sz="4" w:space="0" w:color="auto"/>
              <w:right w:val="single" w:sz="4" w:space="0" w:color="auto"/>
            </w:tcBorders>
            <w:noWrap/>
            <w:vAlign w:val="center"/>
            <w:hideMark/>
          </w:tcPr>
          <w:p w14:paraId="69502D34" w14:textId="04E23B8D"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Lester, 2021</w:t>
            </w:r>
            <w:r w:rsidRPr="00254B1C">
              <w:rPr>
                <w:rFonts w:ascii="Calibri" w:eastAsia="Times New Roman" w:hAnsi="Calibri" w:cs="Calibri"/>
                <w:noProof/>
                <w:color w:val="000000"/>
                <w:sz w:val="16"/>
                <w:szCs w:val="16"/>
                <w:vertAlign w:val="superscript"/>
                <w:lang w:val="en-IE" w:eastAsia="en-IE"/>
              </w:rPr>
              <w:t>64</w:t>
            </w:r>
          </w:p>
        </w:tc>
        <w:tc>
          <w:tcPr>
            <w:tcW w:w="1560" w:type="dxa"/>
            <w:tcBorders>
              <w:top w:val="nil"/>
              <w:left w:val="nil"/>
              <w:bottom w:val="single" w:sz="4" w:space="0" w:color="auto"/>
              <w:right w:val="single" w:sz="4" w:space="0" w:color="auto"/>
            </w:tcBorders>
            <w:noWrap/>
            <w:vAlign w:val="center"/>
            <w:hideMark/>
          </w:tcPr>
          <w:p w14:paraId="43E31568"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Yes</w:t>
            </w:r>
          </w:p>
        </w:tc>
        <w:tc>
          <w:tcPr>
            <w:tcW w:w="1560" w:type="dxa"/>
            <w:tcBorders>
              <w:top w:val="nil"/>
              <w:left w:val="nil"/>
              <w:bottom w:val="single" w:sz="4" w:space="0" w:color="auto"/>
              <w:right w:val="single" w:sz="4" w:space="0" w:color="auto"/>
            </w:tcBorders>
            <w:noWrap/>
            <w:vAlign w:val="center"/>
            <w:hideMark/>
          </w:tcPr>
          <w:p w14:paraId="79B917BC"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4CD08926"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772A4866"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2C2869D7"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25712F74"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02364086"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7655FDD0"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Yes</w:t>
            </w:r>
          </w:p>
        </w:tc>
      </w:tr>
      <w:tr w:rsidR="00254B1C" w:rsidRPr="00795081" w14:paraId="4CD425C6" w14:textId="77777777" w:rsidTr="00795081">
        <w:trPr>
          <w:trHeight w:val="210"/>
        </w:trPr>
        <w:tc>
          <w:tcPr>
            <w:tcW w:w="2080" w:type="dxa"/>
            <w:tcBorders>
              <w:top w:val="nil"/>
              <w:left w:val="single" w:sz="4" w:space="0" w:color="auto"/>
              <w:bottom w:val="single" w:sz="4" w:space="0" w:color="auto"/>
              <w:right w:val="single" w:sz="4" w:space="0" w:color="auto"/>
            </w:tcBorders>
            <w:noWrap/>
            <w:vAlign w:val="center"/>
            <w:hideMark/>
          </w:tcPr>
          <w:p w14:paraId="2F497E73" w14:textId="026C6B75"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Lin, 2017</w:t>
            </w:r>
            <w:r w:rsidRPr="00254B1C">
              <w:rPr>
                <w:rFonts w:ascii="Calibri" w:eastAsia="Times New Roman" w:hAnsi="Calibri" w:cs="Calibri"/>
                <w:noProof/>
                <w:color w:val="000000"/>
                <w:sz w:val="16"/>
                <w:szCs w:val="16"/>
                <w:vertAlign w:val="superscript"/>
                <w:lang w:val="en-IE" w:eastAsia="en-IE"/>
              </w:rPr>
              <w:t>65</w:t>
            </w:r>
          </w:p>
        </w:tc>
        <w:tc>
          <w:tcPr>
            <w:tcW w:w="1560" w:type="dxa"/>
            <w:tcBorders>
              <w:top w:val="nil"/>
              <w:left w:val="nil"/>
              <w:bottom w:val="single" w:sz="4" w:space="0" w:color="auto"/>
              <w:right w:val="single" w:sz="4" w:space="0" w:color="auto"/>
            </w:tcBorders>
            <w:noWrap/>
            <w:vAlign w:val="center"/>
            <w:hideMark/>
          </w:tcPr>
          <w:p w14:paraId="3184C092"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Yes</w:t>
            </w:r>
          </w:p>
        </w:tc>
        <w:tc>
          <w:tcPr>
            <w:tcW w:w="1560" w:type="dxa"/>
            <w:tcBorders>
              <w:top w:val="nil"/>
              <w:left w:val="nil"/>
              <w:bottom w:val="single" w:sz="4" w:space="0" w:color="auto"/>
              <w:right w:val="single" w:sz="4" w:space="0" w:color="auto"/>
            </w:tcBorders>
            <w:noWrap/>
            <w:vAlign w:val="center"/>
            <w:hideMark/>
          </w:tcPr>
          <w:p w14:paraId="4CDC5CC2"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3CDF4F66"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Yes</w:t>
            </w:r>
          </w:p>
        </w:tc>
        <w:tc>
          <w:tcPr>
            <w:tcW w:w="1560" w:type="dxa"/>
            <w:tcBorders>
              <w:top w:val="nil"/>
              <w:left w:val="nil"/>
              <w:bottom w:val="single" w:sz="4" w:space="0" w:color="auto"/>
              <w:right w:val="single" w:sz="4" w:space="0" w:color="auto"/>
            </w:tcBorders>
            <w:noWrap/>
            <w:vAlign w:val="center"/>
            <w:hideMark/>
          </w:tcPr>
          <w:p w14:paraId="5DF5DC7C"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Yes</w:t>
            </w:r>
          </w:p>
        </w:tc>
        <w:tc>
          <w:tcPr>
            <w:tcW w:w="1560" w:type="dxa"/>
            <w:tcBorders>
              <w:top w:val="nil"/>
              <w:left w:val="nil"/>
              <w:bottom w:val="single" w:sz="4" w:space="0" w:color="auto"/>
              <w:right w:val="single" w:sz="4" w:space="0" w:color="auto"/>
            </w:tcBorders>
            <w:noWrap/>
            <w:vAlign w:val="center"/>
            <w:hideMark/>
          </w:tcPr>
          <w:p w14:paraId="3C18787C"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Unclear</w:t>
            </w:r>
          </w:p>
        </w:tc>
        <w:tc>
          <w:tcPr>
            <w:tcW w:w="1560" w:type="dxa"/>
            <w:tcBorders>
              <w:top w:val="nil"/>
              <w:left w:val="nil"/>
              <w:bottom w:val="single" w:sz="4" w:space="0" w:color="auto"/>
              <w:right w:val="single" w:sz="4" w:space="0" w:color="auto"/>
            </w:tcBorders>
            <w:noWrap/>
            <w:vAlign w:val="center"/>
            <w:hideMark/>
          </w:tcPr>
          <w:p w14:paraId="11D2F50E"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650FE2EA"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2D811A21"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r>
      <w:tr w:rsidR="00254B1C" w:rsidRPr="00795081" w14:paraId="0E0D0771" w14:textId="77777777" w:rsidTr="00795081">
        <w:trPr>
          <w:trHeight w:val="210"/>
        </w:trPr>
        <w:tc>
          <w:tcPr>
            <w:tcW w:w="2080" w:type="dxa"/>
            <w:tcBorders>
              <w:top w:val="nil"/>
              <w:left w:val="single" w:sz="4" w:space="0" w:color="auto"/>
              <w:bottom w:val="single" w:sz="4" w:space="0" w:color="auto"/>
              <w:right w:val="single" w:sz="4" w:space="0" w:color="auto"/>
            </w:tcBorders>
            <w:noWrap/>
            <w:vAlign w:val="center"/>
            <w:hideMark/>
          </w:tcPr>
          <w:p w14:paraId="01BA0935" w14:textId="77C3425A"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Lucchese, 2017</w:t>
            </w:r>
            <w:r w:rsidRPr="00254B1C">
              <w:rPr>
                <w:rFonts w:ascii="Calibri" w:eastAsia="Times New Roman" w:hAnsi="Calibri" w:cs="Calibri"/>
                <w:noProof/>
                <w:color w:val="000000"/>
                <w:sz w:val="16"/>
                <w:szCs w:val="16"/>
                <w:vertAlign w:val="superscript"/>
                <w:lang w:val="en-IE" w:eastAsia="en-IE"/>
              </w:rPr>
              <w:t>66</w:t>
            </w:r>
          </w:p>
        </w:tc>
        <w:tc>
          <w:tcPr>
            <w:tcW w:w="1560" w:type="dxa"/>
            <w:tcBorders>
              <w:top w:val="nil"/>
              <w:left w:val="nil"/>
              <w:bottom w:val="single" w:sz="4" w:space="0" w:color="auto"/>
              <w:right w:val="single" w:sz="4" w:space="0" w:color="auto"/>
            </w:tcBorders>
            <w:noWrap/>
            <w:vAlign w:val="center"/>
            <w:hideMark/>
          </w:tcPr>
          <w:p w14:paraId="58FFD56C"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Yes</w:t>
            </w:r>
          </w:p>
        </w:tc>
        <w:tc>
          <w:tcPr>
            <w:tcW w:w="1560" w:type="dxa"/>
            <w:tcBorders>
              <w:top w:val="nil"/>
              <w:left w:val="nil"/>
              <w:bottom w:val="single" w:sz="4" w:space="0" w:color="auto"/>
              <w:right w:val="single" w:sz="4" w:space="0" w:color="auto"/>
            </w:tcBorders>
            <w:noWrap/>
            <w:vAlign w:val="center"/>
            <w:hideMark/>
          </w:tcPr>
          <w:p w14:paraId="69AB7FA7"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Yes</w:t>
            </w:r>
          </w:p>
        </w:tc>
        <w:tc>
          <w:tcPr>
            <w:tcW w:w="1560" w:type="dxa"/>
            <w:tcBorders>
              <w:top w:val="nil"/>
              <w:left w:val="nil"/>
              <w:bottom w:val="single" w:sz="4" w:space="0" w:color="auto"/>
              <w:right w:val="single" w:sz="4" w:space="0" w:color="auto"/>
            </w:tcBorders>
            <w:noWrap/>
            <w:vAlign w:val="center"/>
            <w:hideMark/>
          </w:tcPr>
          <w:p w14:paraId="734D1E54"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Yes</w:t>
            </w:r>
          </w:p>
        </w:tc>
        <w:tc>
          <w:tcPr>
            <w:tcW w:w="1560" w:type="dxa"/>
            <w:tcBorders>
              <w:top w:val="nil"/>
              <w:left w:val="nil"/>
              <w:bottom w:val="single" w:sz="4" w:space="0" w:color="auto"/>
              <w:right w:val="single" w:sz="4" w:space="0" w:color="auto"/>
            </w:tcBorders>
            <w:noWrap/>
            <w:vAlign w:val="center"/>
            <w:hideMark/>
          </w:tcPr>
          <w:p w14:paraId="70917599"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Yes</w:t>
            </w:r>
          </w:p>
        </w:tc>
        <w:tc>
          <w:tcPr>
            <w:tcW w:w="1560" w:type="dxa"/>
            <w:tcBorders>
              <w:top w:val="nil"/>
              <w:left w:val="nil"/>
              <w:bottom w:val="single" w:sz="4" w:space="0" w:color="auto"/>
              <w:right w:val="single" w:sz="4" w:space="0" w:color="auto"/>
            </w:tcBorders>
            <w:noWrap/>
            <w:vAlign w:val="center"/>
            <w:hideMark/>
          </w:tcPr>
          <w:p w14:paraId="17595CCE"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Yes</w:t>
            </w:r>
          </w:p>
        </w:tc>
        <w:tc>
          <w:tcPr>
            <w:tcW w:w="1560" w:type="dxa"/>
            <w:tcBorders>
              <w:top w:val="nil"/>
              <w:left w:val="nil"/>
              <w:bottom w:val="single" w:sz="4" w:space="0" w:color="auto"/>
              <w:right w:val="single" w:sz="4" w:space="0" w:color="auto"/>
            </w:tcBorders>
            <w:noWrap/>
            <w:vAlign w:val="center"/>
            <w:hideMark/>
          </w:tcPr>
          <w:p w14:paraId="5A4A05CE"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64CD87CD"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3BDFA6C1"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r>
      <w:tr w:rsidR="00254B1C" w:rsidRPr="00795081" w14:paraId="3C5205E4" w14:textId="77777777" w:rsidTr="00795081">
        <w:trPr>
          <w:trHeight w:val="210"/>
        </w:trPr>
        <w:tc>
          <w:tcPr>
            <w:tcW w:w="2080" w:type="dxa"/>
            <w:tcBorders>
              <w:top w:val="nil"/>
              <w:left w:val="single" w:sz="4" w:space="0" w:color="auto"/>
              <w:bottom w:val="single" w:sz="4" w:space="0" w:color="auto"/>
              <w:right w:val="single" w:sz="4" w:space="0" w:color="auto"/>
            </w:tcBorders>
            <w:noWrap/>
            <w:vAlign w:val="center"/>
            <w:hideMark/>
          </w:tcPr>
          <w:p w14:paraId="24E33EE9" w14:textId="462B006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McGlone, 2020</w:t>
            </w:r>
            <w:r w:rsidRPr="00254B1C">
              <w:rPr>
                <w:rFonts w:ascii="Calibri" w:eastAsia="Times New Roman" w:hAnsi="Calibri" w:cs="Calibri"/>
                <w:noProof/>
                <w:color w:val="000000"/>
                <w:sz w:val="16"/>
                <w:szCs w:val="16"/>
                <w:vertAlign w:val="superscript"/>
                <w:lang w:val="en-IE" w:eastAsia="en-IE"/>
              </w:rPr>
              <w:t>67</w:t>
            </w:r>
          </w:p>
        </w:tc>
        <w:tc>
          <w:tcPr>
            <w:tcW w:w="1560" w:type="dxa"/>
            <w:tcBorders>
              <w:top w:val="nil"/>
              <w:left w:val="nil"/>
              <w:bottom w:val="single" w:sz="4" w:space="0" w:color="auto"/>
              <w:right w:val="single" w:sz="4" w:space="0" w:color="auto"/>
            </w:tcBorders>
            <w:noWrap/>
            <w:vAlign w:val="center"/>
            <w:hideMark/>
          </w:tcPr>
          <w:p w14:paraId="3CF147B6"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0F58ED82"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Yes</w:t>
            </w:r>
          </w:p>
        </w:tc>
        <w:tc>
          <w:tcPr>
            <w:tcW w:w="1560" w:type="dxa"/>
            <w:tcBorders>
              <w:top w:val="nil"/>
              <w:left w:val="nil"/>
              <w:bottom w:val="single" w:sz="4" w:space="0" w:color="auto"/>
              <w:right w:val="single" w:sz="4" w:space="0" w:color="auto"/>
            </w:tcBorders>
            <w:noWrap/>
            <w:vAlign w:val="center"/>
            <w:hideMark/>
          </w:tcPr>
          <w:p w14:paraId="619C4647"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Yes</w:t>
            </w:r>
          </w:p>
        </w:tc>
        <w:tc>
          <w:tcPr>
            <w:tcW w:w="1560" w:type="dxa"/>
            <w:tcBorders>
              <w:top w:val="nil"/>
              <w:left w:val="nil"/>
              <w:bottom w:val="single" w:sz="4" w:space="0" w:color="auto"/>
              <w:right w:val="single" w:sz="4" w:space="0" w:color="auto"/>
            </w:tcBorders>
            <w:noWrap/>
            <w:vAlign w:val="center"/>
            <w:hideMark/>
          </w:tcPr>
          <w:p w14:paraId="4340F885"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Yes</w:t>
            </w:r>
          </w:p>
        </w:tc>
        <w:tc>
          <w:tcPr>
            <w:tcW w:w="1560" w:type="dxa"/>
            <w:tcBorders>
              <w:top w:val="nil"/>
              <w:left w:val="nil"/>
              <w:bottom w:val="single" w:sz="4" w:space="0" w:color="auto"/>
              <w:right w:val="single" w:sz="4" w:space="0" w:color="auto"/>
            </w:tcBorders>
            <w:noWrap/>
            <w:vAlign w:val="center"/>
            <w:hideMark/>
          </w:tcPr>
          <w:p w14:paraId="2E8AE148"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20F14E44"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645448A3"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10738F6D"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r>
      <w:tr w:rsidR="00254B1C" w:rsidRPr="00795081" w14:paraId="3C184382" w14:textId="77777777" w:rsidTr="00795081">
        <w:trPr>
          <w:trHeight w:val="210"/>
        </w:trPr>
        <w:tc>
          <w:tcPr>
            <w:tcW w:w="2080" w:type="dxa"/>
            <w:tcBorders>
              <w:top w:val="nil"/>
              <w:left w:val="single" w:sz="4" w:space="0" w:color="auto"/>
              <w:bottom w:val="single" w:sz="4" w:space="0" w:color="auto"/>
              <w:right w:val="single" w:sz="4" w:space="0" w:color="auto"/>
            </w:tcBorders>
            <w:noWrap/>
            <w:vAlign w:val="center"/>
            <w:hideMark/>
          </w:tcPr>
          <w:p w14:paraId="31B8C5A2" w14:textId="1D5E3D6F"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McLawhorn, 2016</w:t>
            </w:r>
            <w:r w:rsidRPr="00254B1C">
              <w:rPr>
                <w:rFonts w:ascii="Calibri" w:eastAsia="Times New Roman" w:hAnsi="Calibri" w:cs="Calibri"/>
                <w:noProof/>
                <w:color w:val="000000"/>
                <w:sz w:val="16"/>
                <w:szCs w:val="16"/>
                <w:vertAlign w:val="superscript"/>
                <w:lang w:val="en-IE" w:eastAsia="en-IE"/>
              </w:rPr>
              <w:t>68</w:t>
            </w:r>
          </w:p>
        </w:tc>
        <w:tc>
          <w:tcPr>
            <w:tcW w:w="1560" w:type="dxa"/>
            <w:tcBorders>
              <w:top w:val="nil"/>
              <w:left w:val="nil"/>
              <w:bottom w:val="single" w:sz="4" w:space="0" w:color="auto"/>
              <w:right w:val="single" w:sz="4" w:space="0" w:color="auto"/>
            </w:tcBorders>
            <w:noWrap/>
            <w:vAlign w:val="center"/>
            <w:hideMark/>
          </w:tcPr>
          <w:p w14:paraId="1882AE79"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686C0A88"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13DCF48D"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1E9E8357"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42216A56"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16F934E5"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Yes</w:t>
            </w:r>
          </w:p>
        </w:tc>
        <w:tc>
          <w:tcPr>
            <w:tcW w:w="1560" w:type="dxa"/>
            <w:tcBorders>
              <w:top w:val="nil"/>
              <w:left w:val="nil"/>
              <w:bottom w:val="single" w:sz="4" w:space="0" w:color="auto"/>
              <w:right w:val="single" w:sz="4" w:space="0" w:color="auto"/>
            </w:tcBorders>
            <w:noWrap/>
            <w:vAlign w:val="center"/>
            <w:hideMark/>
          </w:tcPr>
          <w:p w14:paraId="716EEBE3"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475C543B"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r>
      <w:tr w:rsidR="00254B1C" w:rsidRPr="00795081" w14:paraId="441AF5EB" w14:textId="77777777" w:rsidTr="00795081">
        <w:trPr>
          <w:trHeight w:val="210"/>
        </w:trPr>
        <w:tc>
          <w:tcPr>
            <w:tcW w:w="2080" w:type="dxa"/>
            <w:tcBorders>
              <w:top w:val="nil"/>
              <w:left w:val="single" w:sz="4" w:space="0" w:color="auto"/>
              <w:bottom w:val="single" w:sz="4" w:space="0" w:color="auto"/>
              <w:right w:val="single" w:sz="4" w:space="0" w:color="auto"/>
            </w:tcBorders>
            <w:noWrap/>
            <w:vAlign w:val="center"/>
            <w:hideMark/>
          </w:tcPr>
          <w:p w14:paraId="09E2B789" w14:textId="0F3252F8"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Mital, 2021</w:t>
            </w:r>
            <w:r w:rsidRPr="00254B1C">
              <w:rPr>
                <w:rFonts w:ascii="Calibri" w:eastAsia="Times New Roman" w:hAnsi="Calibri" w:cs="Calibri"/>
                <w:noProof/>
                <w:color w:val="000000"/>
                <w:sz w:val="16"/>
                <w:szCs w:val="16"/>
                <w:vertAlign w:val="superscript"/>
                <w:lang w:val="en-IE" w:eastAsia="en-IE"/>
              </w:rPr>
              <w:t>69</w:t>
            </w:r>
          </w:p>
        </w:tc>
        <w:tc>
          <w:tcPr>
            <w:tcW w:w="1560" w:type="dxa"/>
            <w:tcBorders>
              <w:top w:val="nil"/>
              <w:left w:val="nil"/>
              <w:bottom w:val="single" w:sz="4" w:space="0" w:color="auto"/>
              <w:right w:val="single" w:sz="4" w:space="0" w:color="auto"/>
            </w:tcBorders>
            <w:noWrap/>
            <w:vAlign w:val="center"/>
            <w:hideMark/>
          </w:tcPr>
          <w:p w14:paraId="59A7A60F"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0F9A7C7F"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34A6CEF5"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7E5E5708"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043DB96F"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4EFF7D9D"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3A82C2E8"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457C1413"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r>
      <w:tr w:rsidR="00254B1C" w:rsidRPr="00795081" w14:paraId="078405B4" w14:textId="77777777" w:rsidTr="00795081">
        <w:trPr>
          <w:trHeight w:val="210"/>
        </w:trPr>
        <w:tc>
          <w:tcPr>
            <w:tcW w:w="2080" w:type="dxa"/>
            <w:tcBorders>
              <w:top w:val="nil"/>
              <w:left w:val="single" w:sz="4" w:space="0" w:color="auto"/>
              <w:bottom w:val="single" w:sz="4" w:space="0" w:color="auto"/>
              <w:right w:val="single" w:sz="4" w:space="0" w:color="auto"/>
            </w:tcBorders>
            <w:noWrap/>
            <w:vAlign w:val="center"/>
            <w:hideMark/>
          </w:tcPr>
          <w:p w14:paraId="59590A1E" w14:textId="757F76EC"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Neff 2015</w:t>
            </w:r>
            <w:r w:rsidRPr="00254B1C">
              <w:rPr>
                <w:rFonts w:ascii="Calibri" w:eastAsia="Times New Roman" w:hAnsi="Calibri" w:cs="Calibri"/>
                <w:noProof/>
                <w:color w:val="000000"/>
                <w:sz w:val="16"/>
                <w:szCs w:val="16"/>
                <w:vertAlign w:val="superscript"/>
                <w:lang w:val="en-IE" w:eastAsia="en-IE"/>
              </w:rPr>
              <w:t>70</w:t>
            </w:r>
          </w:p>
        </w:tc>
        <w:tc>
          <w:tcPr>
            <w:tcW w:w="1560" w:type="dxa"/>
            <w:tcBorders>
              <w:top w:val="nil"/>
              <w:left w:val="nil"/>
              <w:bottom w:val="single" w:sz="4" w:space="0" w:color="auto"/>
              <w:right w:val="single" w:sz="4" w:space="0" w:color="auto"/>
            </w:tcBorders>
            <w:noWrap/>
            <w:vAlign w:val="center"/>
            <w:hideMark/>
          </w:tcPr>
          <w:p w14:paraId="47E60142"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5DCB0B14"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5174F0C1"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0E450AF0"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09C13F1B"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559E9ED6"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41406224"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5E01D638"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r>
      <w:tr w:rsidR="00254B1C" w:rsidRPr="00795081" w14:paraId="1BD4BD4E" w14:textId="77777777" w:rsidTr="00795081">
        <w:trPr>
          <w:trHeight w:val="210"/>
        </w:trPr>
        <w:tc>
          <w:tcPr>
            <w:tcW w:w="2080" w:type="dxa"/>
            <w:tcBorders>
              <w:top w:val="nil"/>
              <w:left w:val="single" w:sz="4" w:space="0" w:color="auto"/>
              <w:bottom w:val="single" w:sz="4" w:space="0" w:color="auto"/>
              <w:right w:val="single" w:sz="4" w:space="0" w:color="auto"/>
            </w:tcBorders>
            <w:noWrap/>
            <w:vAlign w:val="center"/>
            <w:hideMark/>
          </w:tcPr>
          <w:p w14:paraId="6EDB7852" w14:textId="187F3638"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Nuijten 2021</w:t>
            </w:r>
            <w:r w:rsidRPr="00254B1C">
              <w:rPr>
                <w:rFonts w:ascii="Calibri" w:eastAsia="Times New Roman" w:hAnsi="Calibri" w:cs="Calibri"/>
                <w:noProof/>
                <w:color w:val="000000"/>
                <w:sz w:val="16"/>
                <w:szCs w:val="16"/>
                <w:vertAlign w:val="superscript"/>
                <w:lang w:val="en-IE" w:eastAsia="en-IE"/>
              </w:rPr>
              <w:t>71</w:t>
            </w:r>
          </w:p>
        </w:tc>
        <w:tc>
          <w:tcPr>
            <w:tcW w:w="1560" w:type="dxa"/>
            <w:tcBorders>
              <w:top w:val="nil"/>
              <w:left w:val="nil"/>
              <w:bottom w:val="single" w:sz="4" w:space="0" w:color="auto"/>
              <w:right w:val="single" w:sz="4" w:space="0" w:color="auto"/>
            </w:tcBorders>
            <w:noWrap/>
            <w:vAlign w:val="center"/>
            <w:hideMark/>
          </w:tcPr>
          <w:p w14:paraId="74A3C8E3"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Yes</w:t>
            </w:r>
          </w:p>
        </w:tc>
        <w:tc>
          <w:tcPr>
            <w:tcW w:w="1560" w:type="dxa"/>
            <w:tcBorders>
              <w:top w:val="nil"/>
              <w:left w:val="nil"/>
              <w:bottom w:val="single" w:sz="4" w:space="0" w:color="auto"/>
              <w:right w:val="single" w:sz="4" w:space="0" w:color="auto"/>
            </w:tcBorders>
            <w:noWrap/>
            <w:vAlign w:val="center"/>
            <w:hideMark/>
          </w:tcPr>
          <w:p w14:paraId="4A5EAA45"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Yes</w:t>
            </w:r>
          </w:p>
        </w:tc>
        <w:tc>
          <w:tcPr>
            <w:tcW w:w="1560" w:type="dxa"/>
            <w:tcBorders>
              <w:top w:val="nil"/>
              <w:left w:val="nil"/>
              <w:bottom w:val="single" w:sz="4" w:space="0" w:color="auto"/>
              <w:right w:val="single" w:sz="4" w:space="0" w:color="auto"/>
            </w:tcBorders>
            <w:noWrap/>
            <w:vAlign w:val="center"/>
            <w:hideMark/>
          </w:tcPr>
          <w:p w14:paraId="2CB6F202"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Yes</w:t>
            </w:r>
          </w:p>
        </w:tc>
        <w:tc>
          <w:tcPr>
            <w:tcW w:w="1560" w:type="dxa"/>
            <w:tcBorders>
              <w:top w:val="nil"/>
              <w:left w:val="nil"/>
              <w:bottom w:val="single" w:sz="4" w:space="0" w:color="auto"/>
              <w:right w:val="single" w:sz="4" w:space="0" w:color="auto"/>
            </w:tcBorders>
            <w:noWrap/>
            <w:vAlign w:val="center"/>
            <w:hideMark/>
          </w:tcPr>
          <w:p w14:paraId="016F0182"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Yes</w:t>
            </w:r>
          </w:p>
        </w:tc>
        <w:tc>
          <w:tcPr>
            <w:tcW w:w="1560" w:type="dxa"/>
            <w:tcBorders>
              <w:top w:val="nil"/>
              <w:left w:val="nil"/>
              <w:bottom w:val="single" w:sz="4" w:space="0" w:color="auto"/>
              <w:right w:val="single" w:sz="4" w:space="0" w:color="auto"/>
            </w:tcBorders>
            <w:noWrap/>
            <w:vAlign w:val="center"/>
            <w:hideMark/>
          </w:tcPr>
          <w:p w14:paraId="1A999658"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Unclear</w:t>
            </w:r>
          </w:p>
        </w:tc>
        <w:tc>
          <w:tcPr>
            <w:tcW w:w="1560" w:type="dxa"/>
            <w:tcBorders>
              <w:top w:val="nil"/>
              <w:left w:val="nil"/>
              <w:bottom w:val="single" w:sz="4" w:space="0" w:color="auto"/>
              <w:right w:val="single" w:sz="4" w:space="0" w:color="auto"/>
            </w:tcBorders>
            <w:noWrap/>
            <w:vAlign w:val="center"/>
            <w:hideMark/>
          </w:tcPr>
          <w:p w14:paraId="112977B4"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7EE1E92D"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3BBB4F0F"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Yes</w:t>
            </w:r>
          </w:p>
        </w:tc>
      </w:tr>
      <w:tr w:rsidR="00254B1C" w:rsidRPr="00795081" w14:paraId="225E670E" w14:textId="77777777" w:rsidTr="00795081">
        <w:trPr>
          <w:trHeight w:val="210"/>
        </w:trPr>
        <w:tc>
          <w:tcPr>
            <w:tcW w:w="2080" w:type="dxa"/>
            <w:tcBorders>
              <w:top w:val="nil"/>
              <w:left w:val="single" w:sz="4" w:space="0" w:color="auto"/>
              <w:bottom w:val="single" w:sz="4" w:space="0" w:color="auto"/>
              <w:right w:val="single" w:sz="4" w:space="0" w:color="auto"/>
            </w:tcBorders>
            <w:noWrap/>
            <w:vAlign w:val="center"/>
            <w:hideMark/>
          </w:tcPr>
          <w:p w14:paraId="4B6F1E6B" w14:textId="601FB306"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Nuijten 2019</w:t>
            </w:r>
          </w:p>
        </w:tc>
        <w:tc>
          <w:tcPr>
            <w:tcW w:w="1560" w:type="dxa"/>
            <w:tcBorders>
              <w:top w:val="nil"/>
              <w:left w:val="nil"/>
              <w:bottom w:val="single" w:sz="4" w:space="0" w:color="auto"/>
              <w:right w:val="single" w:sz="4" w:space="0" w:color="auto"/>
            </w:tcBorders>
            <w:noWrap/>
            <w:vAlign w:val="center"/>
            <w:hideMark/>
          </w:tcPr>
          <w:p w14:paraId="00EEDAD9"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Unclear</w:t>
            </w:r>
          </w:p>
        </w:tc>
        <w:tc>
          <w:tcPr>
            <w:tcW w:w="1560" w:type="dxa"/>
            <w:tcBorders>
              <w:top w:val="nil"/>
              <w:left w:val="nil"/>
              <w:bottom w:val="single" w:sz="4" w:space="0" w:color="auto"/>
              <w:right w:val="single" w:sz="4" w:space="0" w:color="auto"/>
            </w:tcBorders>
            <w:noWrap/>
            <w:vAlign w:val="center"/>
            <w:hideMark/>
          </w:tcPr>
          <w:p w14:paraId="664E607D"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Unclear</w:t>
            </w:r>
          </w:p>
        </w:tc>
        <w:tc>
          <w:tcPr>
            <w:tcW w:w="1560" w:type="dxa"/>
            <w:tcBorders>
              <w:top w:val="nil"/>
              <w:left w:val="nil"/>
              <w:bottom w:val="single" w:sz="4" w:space="0" w:color="auto"/>
              <w:right w:val="single" w:sz="4" w:space="0" w:color="auto"/>
            </w:tcBorders>
            <w:noWrap/>
            <w:vAlign w:val="center"/>
            <w:hideMark/>
          </w:tcPr>
          <w:p w14:paraId="67D89B50"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Unclear</w:t>
            </w:r>
          </w:p>
        </w:tc>
        <w:tc>
          <w:tcPr>
            <w:tcW w:w="1560" w:type="dxa"/>
            <w:tcBorders>
              <w:top w:val="nil"/>
              <w:left w:val="nil"/>
              <w:bottom w:val="single" w:sz="4" w:space="0" w:color="auto"/>
              <w:right w:val="single" w:sz="4" w:space="0" w:color="auto"/>
            </w:tcBorders>
            <w:noWrap/>
            <w:vAlign w:val="center"/>
            <w:hideMark/>
          </w:tcPr>
          <w:p w14:paraId="7BCB33AF"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Unclear</w:t>
            </w:r>
          </w:p>
        </w:tc>
        <w:tc>
          <w:tcPr>
            <w:tcW w:w="1560" w:type="dxa"/>
            <w:tcBorders>
              <w:top w:val="nil"/>
              <w:left w:val="nil"/>
              <w:bottom w:val="single" w:sz="4" w:space="0" w:color="auto"/>
              <w:right w:val="single" w:sz="4" w:space="0" w:color="auto"/>
            </w:tcBorders>
            <w:noWrap/>
            <w:vAlign w:val="center"/>
            <w:hideMark/>
          </w:tcPr>
          <w:p w14:paraId="3D8AC8CB"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Unclear</w:t>
            </w:r>
          </w:p>
        </w:tc>
        <w:tc>
          <w:tcPr>
            <w:tcW w:w="1560" w:type="dxa"/>
            <w:tcBorders>
              <w:top w:val="nil"/>
              <w:left w:val="nil"/>
              <w:bottom w:val="single" w:sz="4" w:space="0" w:color="auto"/>
              <w:right w:val="single" w:sz="4" w:space="0" w:color="auto"/>
            </w:tcBorders>
            <w:noWrap/>
            <w:vAlign w:val="center"/>
            <w:hideMark/>
          </w:tcPr>
          <w:p w14:paraId="1045F648"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Unclear</w:t>
            </w:r>
          </w:p>
        </w:tc>
        <w:tc>
          <w:tcPr>
            <w:tcW w:w="1560" w:type="dxa"/>
            <w:tcBorders>
              <w:top w:val="nil"/>
              <w:left w:val="nil"/>
              <w:bottom w:val="single" w:sz="4" w:space="0" w:color="auto"/>
              <w:right w:val="single" w:sz="4" w:space="0" w:color="auto"/>
            </w:tcBorders>
            <w:noWrap/>
            <w:vAlign w:val="center"/>
            <w:hideMark/>
          </w:tcPr>
          <w:p w14:paraId="6705D629"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Unclear</w:t>
            </w:r>
          </w:p>
        </w:tc>
        <w:tc>
          <w:tcPr>
            <w:tcW w:w="1560" w:type="dxa"/>
            <w:tcBorders>
              <w:top w:val="nil"/>
              <w:left w:val="nil"/>
              <w:bottom w:val="single" w:sz="4" w:space="0" w:color="auto"/>
              <w:right w:val="single" w:sz="4" w:space="0" w:color="auto"/>
            </w:tcBorders>
            <w:noWrap/>
            <w:vAlign w:val="center"/>
            <w:hideMark/>
          </w:tcPr>
          <w:p w14:paraId="65F5D0F6"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Unclear</w:t>
            </w:r>
          </w:p>
        </w:tc>
      </w:tr>
      <w:tr w:rsidR="00254B1C" w:rsidRPr="00795081" w14:paraId="383AF255" w14:textId="77777777" w:rsidTr="00795081">
        <w:trPr>
          <w:trHeight w:val="210"/>
        </w:trPr>
        <w:tc>
          <w:tcPr>
            <w:tcW w:w="2080" w:type="dxa"/>
            <w:tcBorders>
              <w:top w:val="nil"/>
              <w:left w:val="single" w:sz="4" w:space="0" w:color="auto"/>
              <w:bottom w:val="single" w:sz="4" w:space="0" w:color="auto"/>
              <w:right w:val="single" w:sz="4" w:space="0" w:color="auto"/>
            </w:tcBorders>
            <w:noWrap/>
            <w:vAlign w:val="center"/>
            <w:hideMark/>
          </w:tcPr>
          <w:p w14:paraId="1AA436F7" w14:textId="1E2D5B19"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Nuijten, 2018</w:t>
            </w:r>
            <w:r w:rsidRPr="00254B1C">
              <w:rPr>
                <w:rFonts w:ascii="Calibri" w:eastAsia="Times New Roman" w:hAnsi="Calibri" w:cs="Calibri"/>
                <w:noProof/>
                <w:color w:val="000000"/>
                <w:sz w:val="16"/>
                <w:szCs w:val="16"/>
                <w:vertAlign w:val="superscript"/>
                <w:lang w:val="en-IE" w:eastAsia="en-IE"/>
              </w:rPr>
              <w:t>72</w:t>
            </w:r>
          </w:p>
        </w:tc>
        <w:tc>
          <w:tcPr>
            <w:tcW w:w="1560" w:type="dxa"/>
            <w:tcBorders>
              <w:top w:val="nil"/>
              <w:left w:val="nil"/>
              <w:bottom w:val="single" w:sz="4" w:space="0" w:color="auto"/>
              <w:right w:val="single" w:sz="4" w:space="0" w:color="auto"/>
            </w:tcBorders>
            <w:noWrap/>
            <w:vAlign w:val="center"/>
            <w:hideMark/>
          </w:tcPr>
          <w:p w14:paraId="28DD6205"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Yes</w:t>
            </w:r>
          </w:p>
        </w:tc>
        <w:tc>
          <w:tcPr>
            <w:tcW w:w="1560" w:type="dxa"/>
            <w:tcBorders>
              <w:top w:val="nil"/>
              <w:left w:val="nil"/>
              <w:bottom w:val="single" w:sz="4" w:space="0" w:color="auto"/>
              <w:right w:val="single" w:sz="4" w:space="0" w:color="auto"/>
            </w:tcBorders>
            <w:noWrap/>
            <w:vAlign w:val="center"/>
            <w:hideMark/>
          </w:tcPr>
          <w:p w14:paraId="50062DCF"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Yes</w:t>
            </w:r>
          </w:p>
        </w:tc>
        <w:tc>
          <w:tcPr>
            <w:tcW w:w="1560" w:type="dxa"/>
            <w:tcBorders>
              <w:top w:val="nil"/>
              <w:left w:val="nil"/>
              <w:bottom w:val="single" w:sz="4" w:space="0" w:color="auto"/>
              <w:right w:val="single" w:sz="4" w:space="0" w:color="auto"/>
            </w:tcBorders>
            <w:noWrap/>
            <w:vAlign w:val="center"/>
            <w:hideMark/>
          </w:tcPr>
          <w:p w14:paraId="18184FCB"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Yes</w:t>
            </w:r>
          </w:p>
        </w:tc>
        <w:tc>
          <w:tcPr>
            <w:tcW w:w="1560" w:type="dxa"/>
            <w:tcBorders>
              <w:top w:val="nil"/>
              <w:left w:val="nil"/>
              <w:bottom w:val="single" w:sz="4" w:space="0" w:color="auto"/>
              <w:right w:val="single" w:sz="4" w:space="0" w:color="auto"/>
            </w:tcBorders>
            <w:noWrap/>
            <w:vAlign w:val="center"/>
            <w:hideMark/>
          </w:tcPr>
          <w:p w14:paraId="77B9E04E"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Yes</w:t>
            </w:r>
          </w:p>
        </w:tc>
        <w:tc>
          <w:tcPr>
            <w:tcW w:w="1560" w:type="dxa"/>
            <w:tcBorders>
              <w:top w:val="nil"/>
              <w:left w:val="nil"/>
              <w:bottom w:val="single" w:sz="4" w:space="0" w:color="auto"/>
              <w:right w:val="single" w:sz="4" w:space="0" w:color="auto"/>
            </w:tcBorders>
            <w:noWrap/>
            <w:vAlign w:val="center"/>
            <w:hideMark/>
          </w:tcPr>
          <w:p w14:paraId="30DF0E11"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Unclear</w:t>
            </w:r>
          </w:p>
        </w:tc>
        <w:tc>
          <w:tcPr>
            <w:tcW w:w="1560" w:type="dxa"/>
            <w:tcBorders>
              <w:top w:val="nil"/>
              <w:left w:val="nil"/>
              <w:bottom w:val="single" w:sz="4" w:space="0" w:color="auto"/>
              <w:right w:val="single" w:sz="4" w:space="0" w:color="auto"/>
            </w:tcBorders>
            <w:noWrap/>
            <w:vAlign w:val="center"/>
            <w:hideMark/>
          </w:tcPr>
          <w:p w14:paraId="782B7438"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Yes</w:t>
            </w:r>
          </w:p>
        </w:tc>
        <w:tc>
          <w:tcPr>
            <w:tcW w:w="1560" w:type="dxa"/>
            <w:tcBorders>
              <w:top w:val="nil"/>
              <w:left w:val="nil"/>
              <w:bottom w:val="single" w:sz="4" w:space="0" w:color="auto"/>
              <w:right w:val="single" w:sz="4" w:space="0" w:color="auto"/>
            </w:tcBorders>
            <w:noWrap/>
            <w:vAlign w:val="center"/>
            <w:hideMark/>
          </w:tcPr>
          <w:p w14:paraId="36168493"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18E8DB8A"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Yes</w:t>
            </w:r>
          </w:p>
        </w:tc>
      </w:tr>
      <w:tr w:rsidR="00254B1C" w:rsidRPr="00795081" w14:paraId="4085CE1E" w14:textId="77777777" w:rsidTr="00795081">
        <w:trPr>
          <w:trHeight w:val="210"/>
        </w:trPr>
        <w:tc>
          <w:tcPr>
            <w:tcW w:w="2080" w:type="dxa"/>
            <w:tcBorders>
              <w:top w:val="nil"/>
              <w:left w:val="single" w:sz="4" w:space="0" w:color="auto"/>
              <w:bottom w:val="single" w:sz="4" w:space="0" w:color="auto"/>
              <w:right w:val="single" w:sz="4" w:space="0" w:color="auto"/>
            </w:tcBorders>
            <w:noWrap/>
            <w:vAlign w:val="center"/>
            <w:hideMark/>
          </w:tcPr>
          <w:p w14:paraId="486F7F5E" w14:textId="32380D43"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Olivieri 2022</w:t>
            </w:r>
          </w:p>
        </w:tc>
        <w:tc>
          <w:tcPr>
            <w:tcW w:w="1560" w:type="dxa"/>
            <w:tcBorders>
              <w:top w:val="nil"/>
              <w:left w:val="nil"/>
              <w:bottom w:val="single" w:sz="4" w:space="0" w:color="auto"/>
              <w:right w:val="single" w:sz="4" w:space="0" w:color="auto"/>
            </w:tcBorders>
            <w:noWrap/>
            <w:vAlign w:val="center"/>
            <w:hideMark/>
          </w:tcPr>
          <w:p w14:paraId="787626D7"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Unclear</w:t>
            </w:r>
          </w:p>
        </w:tc>
        <w:tc>
          <w:tcPr>
            <w:tcW w:w="1560" w:type="dxa"/>
            <w:tcBorders>
              <w:top w:val="nil"/>
              <w:left w:val="nil"/>
              <w:bottom w:val="single" w:sz="4" w:space="0" w:color="auto"/>
              <w:right w:val="single" w:sz="4" w:space="0" w:color="auto"/>
            </w:tcBorders>
            <w:noWrap/>
            <w:vAlign w:val="center"/>
            <w:hideMark/>
          </w:tcPr>
          <w:p w14:paraId="67BD034F"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Unclear</w:t>
            </w:r>
          </w:p>
        </w:tc>
        <w:tc>
          <w:tcPr>
            <w:tcW w:w="1560" w:type="dxa"/>
            <w:tcBorders>
              <w:top w:val="nil"/>
              <w:left w:val="nil"/>
              <w:bottom w:val="single" w:sz="4" w:space="0" w:color="auto"/>
              <w:right w:val="single" w:sz="4" w:space="0" w:color="auto"/>
            </w:tcBorders>
            <w:noWrap/>
            <w:vAlign w:val="center"/>
            <w:hideMark/>
          </w:tcPr>
          <w:p w14:paraId="5934DB9E"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Unclear</w:t>
            </w:r>
          </w:p>
        </w:tc>
        <w:tc>
          <w:tcPr>
            <w:tcW w:w="1560" w:type="dxa"/>
            <w:tcBorders>
              <w:top w:val="nil"/>
              <w:left w:val="nil"/>
              <w:bottom w:val="single" w:sz="4" w:space="0" w:color="auto"/>
              <w:right w:val="single" w:sz="4" w:space="0" w:color="auto"/>
            </w:tcBorders>
            <w:noWrap/>
            <w:vAlign w:val="center"/>
            <w:hideMark/>
          </w:tcPr>
          <w:p w14:paraId="5BDA2825"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Unclear</w:t>
            </w:r>
          </w:p>
        </w:tc>
        <w:tc>
          <w:tcPr>
            <w:tcW w:w="1560" w:type="dxa"/>
            <w:tcBorders>
              <w:top w:val="nil"/>
              <w:left w:val="nil"/>
              <w:bottom w:val="single" w:sz="4" w:space="0" w:color="auto"/>
              <w:right w:val="single" w:sz="4" w:space="0" w:color="auto"/>
            </w:tcBorders>
            <w:noWrap/>
            <w:vAlign w:val="center"/>
            <w:hideMark/>
          </w:tcPr>
          <w:p w14:paraId="5B42F4EC"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Unclear</w:t>
            </w:r>
          </w:p>
        </w:tc>
        <w:tc>
          <w:tcPr>
            <w:tcW w:w="1560" w:type="dxa"/>
            <w:tcBorders>
              <w:top w:val="nil"/>
              <w:left w:val="nil"/>
              <w:bottom w:val="single" w:sz="4" w:space="0" w:color="auto"/>
              <w:right w:val="single" w:sz="4" w:space="0" w:color="auto"/>
            </w:tcBorders>
            <w:noWrap/>
            <w:vAlign w:val="center"/>
            <w:hideMark/>
          </w:tcPr>
          <w:p w14:paraId="32BAE7A3"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Unclear</w:t>
            </w:r>
          </w:p>
        </w:tc>
        <w:tc>
          <w:tcPr>
            <w:tcW w:w="1560" w:type="dxa"/>
            <w:tcBorders>
              <w:top w:val="nil"/>
              <w:left w:val="nil"/>
              <w:bottom w:val="single" w:sz="4" w:space="0" w:color="auto"/>
              <w:right w:val="single" w:sz="4" w:space="0" w:color="auto"/>
            </w:tcBorders>
            <w:noWrap/>
            <w:vAlign w:val="center"/>
            <w:hideMark/>
          </w:tcPr>
          <w:p w14:paraId="47553341"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Unclear</w:t>
            </w:r>
          </w:p>
        </w:tc>
        <w:tc>
          <w:tcPr>
            <w:tcW w:w="1560" w:type="dxa"/>
            <w:tcBorders>
              <w:top w:val="nil"/>
              <w:left w:val="nil"/>
              <w:bottom w:val="single" w:sz="4" w:space="0" w:color="auto"/>
              <w:right w:val="single" w:sz="4" w:space="0" w:color="auto"/>
            </w:tcBorders>
            <w:noWrap/>
            <w:vAlign w:val="center"/>
            <w:hideMark/>
          </w:tcPr>
          <w:p w14:paraId="2A9C12B1"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Unclear</w:t>
            </w:r>
          </w:p>
        </w:tc>
      </w:tr>
      <w:tr w:rsidR="00254B1C" w:rsidRPr="00795081" w14:paraId="7078C781" w14:textId="77777777" w:rsidTr="00795081">
        <w:trPr>
          <w:trHeight w:val="210"/>
        </w:trPr>
        <w:tc>
          <w:tcPr>
            <w:tcW w:w="2080" w:type="dxa"/>
            <w:tcBorders>
              <w:top w:val="nil"/>
              <w:left w:val="single" w:sz="4" w:space="0" w:color="auto"/>
              <w:bottom w:val="single" w:sz="4" w:space="0" w:color="auto"/>
              <w:right w:val="single" w:sz="4" w:space="0" w:color="auto"/>
            </w:tcBorders>
            <w:noWrap/>
            <w:vAlign w:val="center"/>
            <w:hideMark/>
          </w:tcPr>
          <w:p w14:paraId="6841291E" w14:textId="3318AE99"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Ontario Health 2023</w:t>
            </w:r>
            <w:r w:rsidRPr="00254B1C">
              <w:rPr>
                <w:rFonts w:ascii="Calibri" w:eastAsia="Times New Roman" w:hAnsi="Calibri" w:cs="Calibri"/>
                <w:noProof/>
                <w:color w:val="000000"/>
                <w:sz w:val="16"/>
                <w:szCs w:val="16"/>
                <w:vertAlign w:val="superscript"/>
                <w:lang w:val="en-IE" w:eastAsia="en-IE"/>
              </w:rPr>
              <w:t>73</w:t>
            </w:r>
          </w:p>
        </w:tc>
        <w:tc>
          <w:tcPr>
            <w:tcW w:w="1560" w:type="dxa"/>
            <w:tcBorders>
              <w:top w:val="nil"/>
              <w:left w:val="nil"/>
              <w:bottom w:val="single" w:sz="4" w:space="0" w:color="auto"/>
              <w:right w:val="single" w:sz="4" w:space="0" w:color="auto"/>
            </w:tcBorders>
            <w:noWrap/>
            <w:vAlign w:val="center"/>
            <w:hideMark/>
          </w:tcPr>
          <w:p w14:paraId="26D34409"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Yes</w:t>
            </w:r>
          </w:p>
        </w:tc>
        <w:tc>
          <w:tcPr>
            <w:tcW w:w="1560" w:type="dxa"/>
            <w:tcBorders>
              <w:top w:val="nil"/>
              <w:left w:val="nil"/>
              <w:bottom w:val="single" w:sz="4" w:space="0" w:color="auto"/>
              <w:right w:val="single" w:sz="4" w:space="0" w:color="auto"/>
            </w:tcBorders>
            <w:noWrap/>
            <w:vAlign w:val="center"/>
            <w:hideMark/>
          </w:tcPr>
          <w:p w14:paraId="11E5C279"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Yes</w:t>
            </w:r>
          </w:p>
        </w:tc>
        <w:tc>
          <w:tcPr>
            <w:tcW w:w="1560" w:type="dxa"/>
            <w:tcBorders>
              <w:top w:val="nil"/>
              <w:left w:val="nil"/>
              <w:bottom w:val="single" w:sz="4" w:space="0" w:color="auto"/>
              <w:right w:val="single" w:sz="4" w:space="0" w:color="auto"/>
            </w:tcBorders>
            <w:noWrap/>
            <w:vAlign w:val="center"/>
            <w:hideMark/>
          </w:tcPr>
          <w:p w14:paraId="36624E16"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Yes</w:t>
            </w:r>
          </w:p>
        </w:tc>
        <w:tc>
          <w:tcPr>
            <w:tcW w:w="1560" w:type="dxa"/>
            <w:tcBorders>
              <w:top w:val="nil"/>
              <w:left w:val="nil"/>
              <w:bottom w:val="single" w:sz="4" w:space="0" w:color="auto"/>
              <w:right w:val="single" w:sz="4" w:space="0" w:color="auto"/>
            </w:tcBorders>
            <w:noWrap/>
            <w:vAlign w:val="center"/>
            <w:hideMark/>
          </w:tcPr>
          <w:p w14:paraId="745A6952"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Yes</w:t>
            </w:r>
          </w:p>
        </w:tc>
        <w:tc>
          <w:tcPr>
            <w:tcW w:w="1560" w:type="dxa"/>
            <w:tcBorders>
              <w:top w:val="nil"/>
              <w:left w:val="nil"/>
              <w:bottom w:val="single" w:sz="4" w:space="0" w:color="auto"/>
              <w:right w:val="single" w:sz="4" w:space="0" w:color="auto"/>
            </w:tcBorders>
            <w:noWrap/>
            <w:vAlign w:val="center"/>
            <w:hideMark/>
          </w:tcPr>
          <w:p w14:paraId="4B876BFE"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2546DD32"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2AA08C8D"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6C3CB857"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r>
      <w:tr w:rsidR="00254B1C" w:rsidRPr="00795081" w14:paraId="216D4262" w14:textId="77777777" w:rsidTr="00795081">
        <w:trPr>
          <w:trHeight w:val="210"/>
        </w:trPr>
        <w:tc>
          <w:tcPr>
            <w:tcW w:w="2080" w:type="dxa"/>
            <w:tcBorders>
              <w:top w:val="nil"/>
              <w:left w:val="single" w:sz="4" w:space="0" w:color="auto"/>
              <w:bottom w:val="single" w:sz="4" w:space="0" w:color="auto"/>
              <w:right w:val="single" w:sz="4" w:space="0" w:color="auto"/>
            </w:tcBorders>
            <w:noWrap/>
            <w:vAlign w:val="center"/>
            <w:hideMark/>
          </w:tcPr>
          <w:p w14:paraId="648AA143" w14:textId="40305196"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Paranjape 2021</w:t>
            </w:r>
            <w:r w:rsidRPr="00254B1C">
              <w:rPr>
                <w:rFonts w:ascii="Calibri" w:eastAsia="Times New Roman" w:hAnsi="Calibri" w:cs="Calibri"/>
                <w:noProof/>
                <w:color w:val="000000"/>
                <w:sz w:val="16"/>
                <w:szCs w:val="16"/>
                <w:vertAlign w:val="superscript"/>
                <w:lang w:val="en-IE" w:eastAsia="en-IE"/>
              </w:rPr>
              <w:t>74</w:t>
            </w:r>
          </w:p>
        </w:tc>
        <w:tc>
          <w:tcPr>
            <w:tcW w:w="1560" w:type="dxa"/>
            <w:tcBorders>
              <w:top w:val="nil"/>
              <w:left w:val="nil"/>
              <w:bottom w:val="single" w:sz="4" w:space="0" w:color="auto"/>
              <w:right w:val="single" w:sz="4" w:space="0" w:color="auto"/>
            </w:tcBorders>
            <w:noWrap/>
            <w:vAlign w:val="center"/>
            <w:hideMark/>
          </w:tcPr>
          <w:p w14:paraId="35597BDB"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Unclear</w:t>
            </w:r>
          </w:p>
        </w:tc>
        <w:tc>
          <w:tcPr>
            <w:tcW w:w="1560" w:type="dxa"/>
            <w:tcBorders>
              <w:top w:val="nil"/>
              <w:left w:val="nil"/>
              <w:bottom w:val="single" w:sz="4" w:space="0" w:color="auto"/>
              <w:right w:val="single" w:sz="4" w:space="0" w:color="auto"/>
            </w:tcBorders>
            <w:noWrap/>
            <w:vAlign w:val="center"/>
            <w:hideMark/>
          </w:tcPr>
          <w:p w14:paraId="44F14558"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Unclear</w:t>
            </w:r>
          </w:p>
        </w:tc>
        <w:tc>
          <w:tcPr>
            <w:tcW w:w="1560" w:type="dxa"/>
            <w:tcBorders>
              <w:top w:val="nil"/>
              <w:left w:val="nil"/>
              <w:bottom w:val="single" w:sz="4" w:space="0" w:color="auto"/>
              <w:right w:val="single" w:sz="4" w:space="0" w:color="auto"/>
            </w:tcBorders>
            <w:noWrap/>
            <w:vAlign w:val="center"/>
            <w:hideMark/>
          </w:tcPr>
          <w:p w14:paraId="76FE1110"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Unclear</w:t>
            </w:r>
          </w:p>
        </w:tc>
        <w:tc>
          <w:tcPr>
            <w:tcW w:w="1560" w:type="dxa"/>
            <w:tcBorders>
              <w:top w:val="nil"/>
              <w:left w:val="nil"/>
              <w:bottom w:val="single" w:sz="4" w:space="0" w:color="auto"/>
              <w:right w:val="single" w:sz="4" w:space="0" w:color="auto"/>
            </w:tcBorders>
            <w:noWrap/>
            <w:vAlign w:val="center"/>
            <w:hideMark/>
          </w:tcPr>
          <w:p w14:paraId="0BE199B0"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Unclear</w:t>
            </w:r>
          </w:p>
        </w:tc>
        <w:tc>
          <w:tcPr>
            <w:tcW w:w="1560" w:type="dxa"/>
            <w:tcBorders>
              <w:top w:val="nil"/>
              <w:left w:val="nil"/>
              <w:bottom w:val="single" w:sz="4" w:space="0" w:color="auto"/>
              <w:right w:val="single" w:sz="4" w:space="0" w:color="auto"/>
            </w:tcBorders>
            <w:noWrap/>
            <w:vAlign w:val="center"/>
            <w:hideMark/>
          </w:tcPr>
          <w:p w14:paraId="68D1A69D"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Unclear</w:t>
            </w:r>
          </w:p>
        </w:tc>
        <w:tc>
          <w:tcPr>
            <w:tcW w:w="1560" w:type="dxa"/>
            <w:tcBorders>
              <w:top w:val="nil"/>
              <w:left w:val="nil"/>
              <w:bottom w:val="single" w:sz="4" w:space="0" w:color="auto"/>
              <w:right w:val="single" w:sz="4" w:space="0" w:color="auto"/>
            </w:tcBorders>
            <w:noWrap/>
            <w:vAlign w:val="center"/>
            <w:hideMark/>
          </w:tcPr>
          <w:p w14:paraId="4DF1BF48"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Unclear</w:t>
            </w:r>
          </w:p>
        </w:tc>
        <w:tc>
          <w:tcPr>
            <w:tcW w:w="1560" w:type="dxa"/>
            <w:tcBorders>
              <w:top w:val="nil"/>
              <w:left w:val="nil"/>
              <w:bottom w:val="single" w:sz="4" w:space="0" w:color="auto"/>
              <w:right w:val="single" w:sz="4" w:space="0" w:color="auto"/>
            </w:tcBorders>
            <w:noWrap/>
            <w:vAlign w:val="center"/>
            <w:hideMark/>
          </w:tcPr>
          <w:p w14:paraId="4E441CB9"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Unclear</w:t>
            </w:r>
          </w:p>
        </w:tc>
        <w:tc>
          <w:tcPr>
            <w:tcW w:w="1560" w:type="dxa"/>
            <w:tcBorders>
              <w:top w:val="nil"/>
              <w:left w:val="nil"/>
              <w:bottom w:val="single" w:sz="4" w:space="0" w:color="auto"/>
              <w:right w:val="single" w:sz="4" w:space="0" w:color="auto"/>
            </w:tcBorders>
            <w:noWrap/>
            <w:vAlign w:val="center"/>
            <w:hideMark/>
          </w:tcPr>
          <w:p w14:paraId="260ED0CE"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Unclear</w:t>
            </w:r>
          </w:p>
        </w:tc>
      </w:tr>
      <w:tr w:rsidR="00254B1C" w:rsidRPr="00795081" w14:paraId="7CA73317" w14:textId="77777777" w:rsidTr="00795081">
        <w:trPr>
          <w:trHeight w:val="210"/>
        </w:trPr>
        <w:tc>
          <w:tcPr>
            <w:tcW w:w="2080" w:type="dxa"/>
            <w:tcBorders>
              <w:top w:val="nil"/>
              <w:left w:val="single" w:sz="4" w:space="0" w:color="auto"/>
              <w:bottom w:val="single" w:sz="4" w:space="0" w:color="auto"/>
              <w:right w:val="single" w:sz="4" w:space="0" w:color="auto"/>
            </w:tcBorders>
            <w:noWrap/>
            <w:vAlign w:val="center"/>
            <w:hideMark/>
          </w:tcPr>
          <w:p w14:paraId="77987161" w14:textId="79826F8F"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Paw 2019</w:t>
            </w:r>
          </w:p>
        </w:tc>
        <w:tc>
          <w:tcPr>
            <w:tcW w:w="1560" w:type="dxa"/>
            <w:tcBorders>
              <w:top w:val="nil"/>
              <w:left w:val="nil"/>
              <w:bottom w:val="single" w:sz="4" w:space="0" w:color="auto"/>
              <w:right w:val="single" w:sz="4" w:space="0" w:color="auto"/>
            </w:tcBorders>
            <w:noWrap/>
            <w:vAlign w:val="center"/>
            <w:hideMark/>
          </w:tcPr>
          <w:p w14:paraId="2E4296E4"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Unclear</w:t>
            </w:r>
          </w:p>
        </w:tc>
        <w:tc>
          <w:tcPr>
            <w:tcW w:w="1560" w:type="dxa"/>
            <w:tcBorders>
              <w:top w:val="nil"/>
              <w:left w:val="nil"/>
              <w:bottom w:val="single" w:sz="4" w:space="0" w:color="auto"/>
              <w:right w:val="single" w:sz="4" w:space="0" w:color="auto"/>
            </w:tcBorders>
            <w:noWrap/>
            <w:vAlign w:val="center"/>
            <w:hideMark/>
          </w:tcPr>
          <w:p w14:paraId="4BA37E05"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Unclear</w:t>
            </w:r>
          </w:p>
        </w:tc>
        <w:tc>
          <w:tcPr>
            <w:tcW w:w="1560" w:type="dxa"/>
            <w:tcBorders>
              <w:top w:val="nil"/>
              <w:left w:val="nil"/>
              <w:bottom w:val="single" w:sz="4" w:space="0" w:color="auto"/>
              <w:right w:val="single" w:sz="4" w:space="0" w:color="auto"/>
            </w:tcBorders>
            <w:noWrap/>
            <w:vAlign w:val="center"/>
            <w:hideMark/>
          </w:tcPr>
          <w:p w14:paraId="5A2673CF"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Unclear</w:t>
            </w:r>
          </w:p>
        </w:tc>
        <w:tc>
          <w:tcPr>
            <w:tcW w:w="1560" w:type="dxa"/>
            <w:tcBorders>
              <w:top w:val="nil"/>
              <w:left w:val="nil"/>
              <w:bottom w:val="single" w:sz="4" w:space="0" w:color="auto"/>
              <w:right w:val="single" w:sz="4" w:space="0" w:color="auto"/>
            </w:tcBorders>
            <w:noWrap/>
            <w:vAlign w:val="center"/>
            <w:hideMark/>
          </w:tcPr>
          <w:p w14:paraId="1035BEEB"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Unclear</w:t>
            </w:r>
          </w:p>
        </w:tc>
        <w:tc>
          <w:tcPr>
            <w:tcW w:w="1560" w:type="dxa"/>
            <w:tcBorders>
              <w:top w:val="nil"/>
              <w:left w:val="nil"/>
              <w:bottom w:val="single" w:sz="4" w:space="0" w:color="auto"/>
              <w:right w:val="single" w:sz="4" w:space="0" w:color="auto"/>
            </w:tcBorders>
            <w:noWrap/>
            <w:vAlign w:val="center"/>
            <w:hideMark/>
          </w:tcPr>
          <w:p w14:paraId="78E9F45E"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Unclear</w:t>
            </w:r>
          </w:p>
        </w:tc>
        <w:tc>
          <w:tcPr>
            <w:tcW w:w="1560" w:type="dxa"/>
            <w:tcBorders>
              <w:top w:val="nil"/>
              <w:left w:val="nil"/>
              <w:bottom w:val="single" w:sz="4" w:space="0" w:color="auto"/>
              <w:right w:val="single" w:sz="4" w:space="0" w:color="auto"/>
            </w:tcBorders>
            <w:noWrap/>
            <w:vAlign w:val="center"/>
            <w:hideMark/>
          </w:tcPr>
          <w:p w14:paraId="4250A06D"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Unclear</w:t>
            </w:r>
          </w:p>
        </w:tc>
        <w:tc>
          <w:tcPr>
            <w:tcW w:w="1560" w:type="dxa"/>
            <w:tcBorders>
              <w:top w:val="nil"/>
              <w:left w:val="nil"/>
              <w:bottom w:val="single" w:sz="4" w:space="0" w:color="auto"/>
              <w:right w:val="single" w:sz="4" w:space="0" w:color="auto"/>
            </w:tcBorders>
            <w:noWrap/>
            <w:vAlign w:val="center"/>
            <w:hideMark/>
          </w:tcPr>
          <w:p w14:paraId="2A274D31"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Unclear</w:t>
            </w:r>
          </w:p>
        </w:tc>
        <w:tc>
          <w:tcPr>
            <w:tcW w:w="1560" w:type="dxa"/>
            <w:tcBorders>
              <w:top w:val="nil"/>
              <w:left w:val="nil"/>
              <w:bottom w:val="single" w:sz="4" w:space="0" w:color="auto"/>
              <w:right w:val="single" w:sz="4" w:space="0" w:color="auto"/>
            </w:tcBorders>
            <w:noWrap/>
            <w:vAlign w:val="center"/>
            <w:hideMark/>
          </w:tcPr>
          <w:p w14:paraId="40C9113D"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Unclear</w:t>
            </w:r>
          </w:p>
        </w:tc>
      </w:tr>
      <w:tr w:rsidR="00254B1C" w:rsidRPr="00795081" w14:paraId="49F519E0" w14:textId="77777777" w:rsidTr="00795081">
        <w:trPr>
          <w:trHeight w:val="210"/>
        </w:trPr>
        <w:tc>
          <w:tcPr>
            <w:tcW w:w="2080" w:type="dxa"/>
            <w:tcBorders>
              <w:top w:val="nil"/>
              <w:left w:val="single" w:sz="4" w:space="0" w:color="auto"/>
              <w:bottom w:val="single" w:sz="4" w:space="0" w:color="auto"/>
              <w:right w:val="single" w:sz="4" w:space="0" w:color="auto"/>
            </w:tcBorders>
            <w:noWrap/>
            <w:vAlign w:val="center"/>
            <w:hideMark/>
          </w:tcPr>
          <w:p w14:paraId="355FE2B5" w14:textId="13A73090"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Pollack 2021</w:t>
            </w:r>
          </w:p>
        </w:tc>
        <w:tc>
          <w:tcPr>
            <w:tcW w:w="1560" w:type="dxa"/>
            <w:tcBorders>
              <w:top w:val="nil"/>
              <w:left w:val="nil"/>
              <w:bottom w:val="single" w:sz="4" w:space="0" w:color="auto"/>
              <w:right w:val="single" w:sz="4" w:space="0" w:color="auto"/>
            </w:tcBorders>
            <w:noWrap/>
            <w:vAlign w:val="center"/>
            <w:hideMark/>
          </w:tcPr>
          <w:p w14:paraId="3A88FC37"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Yes</w:t>
            </w:r>
          </w:p>
        </w:tc>
        <w:tc>
          <w:tcPr>
            <w:tcW w:w="1560" w:type="dxa"/>
            <w:tcBorders>
              <w:top w:val="nil"/>
              <w:left w:val="nil"/>
              <w:bottom w:val="single" w:sz="4" w:space="0" w:color="auto"/>
              <w:right w:val="single" w:sz="4" w:space="0" w:color="auto"/>
            </w:tcBorders>
            <w:noWrap/>
            <w:vAlign w:val="center"/>
            <w:hideMark/>
          </w:tcPr>
          <w:p w14:paraId="3440A83E"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Yes</w:t>
            </w:r>
          </w:p>
        </w:tc>
        <w:tc>
          <w:tcPr>
            <w:tcW w:w="1560" w:type="dxa"/>
            <w:tcBorders>
              <w:top w:val="nil"/>
              <w:left w:val="nil"/>
              <w:bottom w:val="single" w:sz="4" w:space="0" w:color="auto"/>
              <w:right w:val="single" w:sz="4" w:space="0" w:color="auto"/>
            </w:tcBorders>
            <w:noWrap/>
            <w:vAlign w:val="center"/>
            <w:hideMark/>
          </w:tcPr>
          <w:p w14:paraId="2F831955"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Yes</w:t>
            </w:r>
          </w:p>
        </w:tc>
        <w:tc>
          <w:tcPr>
            <w:tcW w:w="1560" w:type="dxa"/>
            <w:tcBorders>
              <w:top w:val="nil"/>
              <w:left w:val="nil"/>
              <w:bottom w:val="single" w:sz="4" w:space="0" w:color="auto"/>
              <w:right w:val="single" w:sz="4" w:space="0" w:color="auto"/>
            </w:tcBorders>
            <w:noWrap/>
            <w:vAlign w:val="center"/>
            <w:hideMark/>
          </w:tcPr>
          <w:p w14:paraId="536F9E4E"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7C18FAA9"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65552DE9"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0FCF420D"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1D25B09C"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Yes</w:t>
            </w:r>
          </w:p>
        </w:tc>
      </w:tr>
      <w:tr w:rsidR="00254B1C" w:rsidRPr="00795081" w14:paraId="4DCCE434" w14:textId="77777777" w:rsidTr="00795081">
        <w:trPr>
          <w:trHeight w:val="210"/>
        </w:trPr>
        <w:tc>
          <w:tcPr>
            <w:tcW w:w="2080" w:type="dxa"/>
            <w:tcBorders>
              <w:top w:val="nil"/>
              <w:left w:val="single" w:sz="4" w:space="0" w:color="auto"/>
              <w:bottom w:val="single" w:sz="4" w:space="0" w:color="auto"/>
              <w:right w:val="single" w:sz="4" w:space="0" w:color="auto"/>
            </w:tcBorders>
            <w:noWrap/>
            <w:vAlign w:val="center"/>
            <w:hideMark/>
          </w:tcPr>
          <w:p w14:paraId="5AEE91F9" w14:textId="4617A872"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Premkumar, 2020</w:t>
            </w:r>
            <w:r w:rsidRPr="00254B1C">
              <w:rPr>
                <w:rFonts w:ascii="Calibri" w:eastAsia="Times New Roman" w:hAnsi="Calibri" w:cs="Calibri"/>
                <w:noProof/>
                <w:color w:val="000000"/>
                <w:sz w:val="16"/>
                <w:szCs w:val="16"/>
                <w:vertAlign w:val="superscript"/>
                <w:lang w:val="en-IE" w:eastAsia="en-IE"/>
              </w:rPr>
              <w:t>75</w:t>
            </w:r>
          </w:p>
        </w:tc>
        <w:tc>
          <w:tcPr>
            <w:tcW w:w="1560" w:type="dxa"/>
            <w:tcBorders>
              <w:top w:val="nil"/>
              <w:left w:val="nil"/>
              <w:bottom w:val="single" w:sz="4" w:space="0" w:color="auto"/>
              <w:right w:val="single" w:sz="4" w:space="0" w:color="auto"/>
            </w:tcBorders>
            <w:noWrap/>
            <w:vAlign w:val="center"/>
            <w:hideMark/>
          </w:tcPr>
          <w:p w14:paraId="0D62D101"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22F8DB26"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3FFBF4BB"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3FE87F0D"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555EFCC0"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38132239"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Yes</w:t>
            </w:r>
          </w:p>
        </w:tc>
        <w:tc>
          <w:tcPr>
            <w:tcW w:w="1560" w:type="dxa"/>
            <w:tcBorders>
              <w:top w:val="nil"/>
              <w:left w:val="nil"/>
              <w:bottom w:val="single" w:sz="4" w:space="0" w:color="auto"/>
              <w:right w:val="single" w:sz="4" w:space="0" w:color="auto"/>
            </w:tcBorders>
            <w:noWrap/>
            <w:vAlign w:val="center"/>
            <w:hideMark/>
          </w:tcPr>
          <w:p w14:paraId="5114C1B1"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24578D1A"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r>
      <w:tr w:rsidR="00254B1C" w:rsidRPr="00795081" w14:paraId="65F93E48" w14:textId="77777777" w:rsidTr="00795081">
        <w:trPr>
          <w:trHeight w:val="210"/>
        </w:trPr>
        <w:tc>
          <w:tcPr>
            <w:tcW w:w="2080" w:type="dxa"/>
            <w:tcBorders>
              <w:top w:val="nil"/>
              <w:left w:val="single" w:sz="4" w:space="0" w:color="auto"/>
              <w:bottom w:val="single" w:sz="4" w:space="0" w:color="auto"/>
              <w:right w:val="single" w:sz="4" w:space="0" w:color="auto"/>
            </w:tcBorders>
            <w:noWrap/>
            <w:vAlign w:val="center"/>
            <w:hideMark/>
          </w:tcPr>
          <w:p w14:paraId="485B7CDA" w14:textId="0390199C"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Retat 2019b</w:t>
            </w:r>
          </w:p>
        </w:tc>
        <w:tc>
          <w:tcPr>
            <w:tcW w:w="1560" w:type="dxa"/>
            <w:tcBorders>
              <w:top w:val="nil"/>
              <w:left w:val="nil"/>
              <w:bottom w:val="single" w:sz="4" w:space="0" w:color="auto"/>
              <w:right w:val="single" w:sz="4" w:space="0" w:color="auto"/>
            </w:tcBorders>
            <w:noWrap/>
            <w:vAlign w:val="center"/>
            <w:hideMark/>
          </w:tcPr>
          <w:p w14:paraId="78D1887D"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Unclear</w:t>
            </w:r>
          </w:p>
        </w:tc>
        <w:tc>
          <w:tcPr>
            <w:tcW w:w="1560" w:type="dxa"/>
            <w:tcBorders>
              <w:top w:val="nil"/>
              <w:left w:val="nil"/>
              <w:bottom w:val="single" w:sz="4" w:space="0" w:color="auto"/>
              <w:right w:val="single" w:sz="4" w:space="0" w:color="auto"/>
            </w:tcBorders>
            <w:noWrap/>
            <w:vAlign w:val="center"/>
            <w:hideMark/>
          </w:tcPr>
          <w:p w14:paraId="196E26B0"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Unclear</w:t>
            </w:r>
          </w:p>
        </w:tc>
        <w:tc>
          <w:tcPr>
            <w:tcW w:w="1560" w:type="dxa"/>
            <w:tcBorders>
              <w:top w:val="nil"/>
              <w:left w:val="nil"/>
              <w:bottom w:val="single" w:sz="4" w:space="0" w:color="auto"/>
              <w:right w:val="single" w:sz="4" w:space="0" w:color="auto"/>
            </w:tcBorders>
            <w:noWrap/>
            <w:vAlign w:val="center"/>
            <w:hideMark/>
          </w:tcPr>
          <w:p w14:paraId="31CEEA68"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Unclear</w:t>
            </w:r>
          </w:p>
        </w:tc>
        <w:tc>
          <w:tcPr>
            <w:tcW w:w="1560" w:type="dxa"/>
            <w:tcBorders>
              <w:top w:val="nil"/>
              <w:left w:val="nil"/>
              <w:bottom w:val="single" w:sz="4" w:space="0" w:color="auto"/>
              <w:right w:val="single" w:sz="4" w:space="0" w:color="auto"/>
            </w:tcBorders>
            <w:noWrap/>
            <w:vAlign w:val="center"/>
            <w:hideMark/>
          </w:tcPr>
          <w:p w14:paraId="6A0361A9"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Unclear</w:t>
            </w:r>
          </w:p>
        </w:tc>
        <w:tc>
          <w:tcPr>
            <w:tcW w:w="1560" w:type="dxa"/>
            <w:tcBorders>
              <w:top w:val="nil"/>
              <w:left w:val="nil"/>
              <w:bottom w:val="single" w:sz="4" w:space="0" w:color="auto"/>
              <w:right w:val="single" w:sz="4" w:space="0" w:color="auto"/>
            </w:tcBorders>
            <w:noWrap/>
            <w:vAlign w:val="center"/>
            <w:hideMark/>
          </w:tcPr>
          <w:p w14:paraId="1EC66DFB"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Unclear</w:t>
            </w:r>
          </w:p>
        </w:tc>
        <w:tc>
          <w:tcPr>
            <w:tcW w:w="1560" w:type="dxa"/>
            <w:tcBorders>
              <w:top w:val="nil"/>
              <w:left w:val="nil"/>
              <w:bottom w:val="single" w:sz="4" w:space="0" w:color="auto"/>
              <w:right w:val="single" w:sz="4" w:space="0" w:color="auto"/>
            </w:tcBorders>
            <w:noWrap/>
            <w:vAlign w:val="center"/>
            <w:hideMark/>
          </w:tcPr>
          <w:p w14:paraId="3D760B01"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Unclear</w:t>
            </w:r>
          </w:p>
        </w:tc>
        <w:tc>
          <w:tcPr>
            <w:tcW w:w="1560" w:type="dxa"/>
            <w:tcBorders>
              <w:top w:val="nil"/>
              <w:left w:val="nil"/>
              <w:bottom w:val="single" w:sz="4" w:space="0" w:color="auto"/>
              <w:right w:val="single" w:sz="4" w:space="0" w:color="auto"/>
            </w:tcBorders>
            <w:noWrap/>
            <w:vAlign w:val="center"/>
            <w:hideMark/>
          </w:tcPr>
          <w:p w14:paraId="7490F083"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Unclear</w:t>
            </w:r>
          </w:p>
        </w:tc>
        <w:tc>
          <w:tcPr>
            <w:tcW w:w="1560" w:type="dxa"/>
            <w:tcBorders>
              <w:top w:val="nil"/>
              <w:left w:val="nil"/>
              <w:bottom w:val="single" w:sz="4" w:space="0" w:color="auto"/>
              <w:right w:val="single" w:sz="4" w:space="0" w:color="auto"/>
            </w:tcBorders>
            <w:noWrap/>
            <w:vAlign w:val="center"/>
            <w:hideMark/>
          </w:tcPr>
          <w:p w14:paraId="7767D8E8"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Unclear</w:t>
            </w:r>
          </w:p>
        </w:tc>
      </w:tr>
      <w:tr w:rsidR="00254B1C" w:rsidRPr="00795081" w14:paraId="2292F265" w14:textId="77777777" w:rsidTr="00795081">
        <w:trPr>
          <w:trHeight w:val="210"/>
        </w:trPr>
        <w:tc>
          <w:tcPr>
            <w:tcW w:w="2080" w:type="dxa"/>
            <w:tcBorders>
              <w:top w:val="nil"/>
              <w:left w:val="single" w:sz="4" w:space="0" w:color="auto"/>
              <w:bottom w:val="single" w:sz="4" w:space="0" w:color="auto"/>
              <w:right w:val="single" w:sz="4" w:space="0" w:color="auto"/>
            </w:tcBorders>
            <w:noWrap/>
            <w:vAlign w:val="center"/>
            <w:hideMark/>
          </w:tcPr>
          <w:p w14:paraId="25D72FB1" w14:textId="2E83D1D0"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Retat, 2019a</w:t>
            </w:r>
            <w:r w:rsidRPr="00254B1C">
              <w:rPr>
                <w:rFonts w:ascii="Calibri" w:eastAsia="Times New Roman" w:hAnsi="Calibri" w:cs="Calibri"/>
                <w:noProof/>
                <w:color w:val="000000"/>
                <w:sz w:val="16"/>
                <w:szCs w:val="16"/>
                <w:vertAlign w:val="superscript"/>
                <w:lang w:val="en-IE" w:eastAsia="en-IE"/>
              </w:rPr>
              <w:t>76</w:t>
            </w:r>
          </w:p>
        </w:tc>
        <w:tc>
          <w:tcPr>
            <w:tcW w:w="1560" w:type="dxa"/>
            <w:tcBorders>
              <w:top w:val="nil"/>
              <w:left w:val="nil"/>
              <w:bottom w:val="single" w:sz="4" w:space="0" w:color="auto"/>
              <w:right w:val="single" w:sz="4" w:space="0" w:color="auto"/>
            </w:tcBorders>
            <w:noWrap/>
            <w:vAlign w:val="center"/>
            <w:hideMark/>
          </w:tcPr>
          <w:p w14:paraId="4B4D637B"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Yes</w:t>
            </w:r>
          </w:p>
        </w:tc>
        <w:tc>
          <w:tcPr>
            <w:tcW w:w="1560" w:type="dxa"/>
            <w:tcBorders>
              <w:top w:val="nil"/>
              <w:left w:val="nil"/>
              <w:bottom w:val="single" w:sz="4" w:space="0" w:color="auto"/>
              <w:right w:val="single" w:sz="4" w:space="0" w:color="auto"/>
            </w:tcBorders>
            <w:noWrap/>
            <w:vAlign w:val="center"/>
            <w:hideMark/>
          </w:tcPr>
          <w:p w14:paraId="72EE38C7"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Yes</w:t>
            </w:r>
          </w:p>
        </w:tc>
        <w:tc>
          <w:tcPr>
            <w:tcW w:w="1560" w:type="dxa"/>
            <w:tcBorders>
              <w:top w:val="nil"/>
              <w:left w:val="nil"/>
              <w:bottom w:val="single" w:sz="4" w:space="0" w:color="auto"/>
              <w:right w:val="single" w:sz="4" w:space="0" w:color="auto"/>
            </w:tcBorders>
            <w:noWrap/>
            <w:vAlign w:val="center"/>
            <w:hideMark/>
          </w:tcPr>
          <w:p w14:paraId="380514FE"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Yes</w:t>
            </w:r>
          </w:p>
        </w:tc>
        <w:tc>
          <w:tcPr>
            <w:tcW w:w="1560" w:type="dxa"/>
            <w:tcBorders>
              <w:top w:val="nil"/>
              <w:left w:val="nil"/>
              <w:bottom w:val="single" w:sz="4" w:space="0" w:color="auto"/>
              <w:right w:val="single" w:sz="4" w:space="0" w:color="auto"/>
            </w:tcBorders>
            <w:noWrap/>
            <w:vAlign w:val="center"/>
            <w:hideMark/>
          </w:tcPr>
          <w:p w14:paraId="360320ED"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3112F6F8"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3F995DE3"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Yes</w:t>
            </w:r>
          </w:p>
        </w:tc>
        <w:tc>
          <w:tcPr>
            <w:tcW w:w="1560" w:type="dxa"/>
            <w:tcBorders>
              <w:top w:val="nil"/>
              <w:left w:val="nil"/>
              <w:bottom w:val="single" w:sz="4" w:space="0" w:color="auto"/>
              <w:right w:val="single" w:sz="4" w:space="0" w:color="auto"/>
            </w:tcBorders>
            <w:noWrap/>
            <w:vAlign w:val="center"/>
            <w:hideMark/>
          </w:tcPr>
          <w:p w14:paraId="79B3A67A"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7C068E6D"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Yes</w:t>
            </w:r>
          </w:p>
        </w:tc>
      </w:tr>
      <w:tr w:rsidR="00254B1C" w:rsidRPr="00795081" w14:paraId="411357C8" w14:textId="77777777" w:rsidTr="00795081">
        <w:trPr>
          <w:trHeight w:val="210"/>
        </w:trPr>
        <w:tc>
          <w:tcPr>
            <w:tcW w:w="2080" w:type="dxa"/>
            <w:tcBorders>
              <w:top w:val="nil"/>
              <w:left w:val="single" w:sz="4" w:space="0" w:color="auto"/>
              <w:bottom w:val="single" w:sz="4" w:space="0" w:color="auto"/>
              <w:right w:val="single" w:sz="4" w:space="0" w:color="auto"/>
            </w:tcBorders>
            <w:noWrap/>
            <w:vAlign w:val="center"/>
            <w:hideMark/>
          </w:tcPr>
          <w:p w14:paraId="7A69DDD6" w14:textId="7304816F"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Rieder 2016</w:t>
            </w:r>
          </w:p>
        </w:tc>
        <w:tc>
          <w:tcPr>
            <w:tcW w:w="1560" w:type="dxa"/>
            <w:tcBorders>
              <w:top w:val="nil"/>
              <w:left w:val="nil"/>
              <w:bottom w:val="single" w:sz="4" w:space="0" w:color="auto"/>
              <w:right w:val="single" w:sz="4" w:space="0" w:color="auto"/>
            </w:tcBorders>
            <w:noWrap/>
            <w:vAlign w:val="center"/>
            <w:hideMark/>
          </w:tcPr>
          <w:p w14:paraId="4A705014"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Unclear</w:t>
            </w:r>
          </w:p>
        </w:tc>
        <w:tc>
          <w:tcPr>
            <w:tcW w:w="1560" w:type="dxa"/>
            <w:tcBorders>
              <w:top w:val="nil"/>
              <w:left w:val="nil"/>
              <w:bottom w:val="single" w:sz="4" w:space="0" w:color="auto"/>
              <w:right w:val="single" w:sz="4" w:space="0" w:color="auto"/>
            </w:tcBorders>
            <w:noWrap/>
            <w:vAlign w:val="center"/>
            <w:hideMark/>
          </w:tcPr>
          <w:p w14:paraId="51BCFA7D"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Unclear</w:t>
            </w:r>
          </w:p>
        </w:tc>
        <w:tc>
          <w:tcPr>
            <w:tcW w:w="1560" w:type="dxa"/>
            <w:tcBorders>
              <w:top w:val="nil"/>
              <w:left w:val="nil"/>
              <w:bottom w:val="single" w:sz="4" w:space="0" w:color="auto"/>
              <w:right w:val="single" w:sz="4" w:space="0" w:color="auto"/>
            </w:tcBorders>
            <w:noWrap/>
            <w:vAlign w:val="center"/>
            <w:hideMark/>
          </w:tcPr>
          <w:p w14:paraId="59E2647A"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Unclear</w:t>
            </w:r>
          </w:p>
        </w:tc>
        <w:tc>
          <w:tcPr>
            <w:tcW w:w="1560" w:type="dxa"/>
            <w:tcBorders>
              <w:top w:val="nil"/>
              <w:left w:val="nil"/>
              <w:bottom w:val="single" w:sz="4" w:space="0" w:color="auto"/>
              <w:right w:val="single" w:sz="4" w:space="0" w:color="auto"/>
            </w:tcBorders>
            <w:noWrap/>
            <w:vAlign w:val="center"/>
            <w:hideMark/>
          </w:tcPr>
          <w:p w14:paraId="5D3578B5"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Unclear</w:t>
            </w:r>
          </w:p>
        </w:tc>
        <w:tc>
          <w:tcPr>
            <w:tcW w:w="1560" w:type="dxa"/>
            <w:tcBorders>
              <w:top w:val="nil"/>
              <w:left w:val="nil"/>
              <w:bottom w:val="single" w:sz="4" w:space="0" w:color="auto"/>
              <w:right w:val="single" w:sz="4" w:space="0" w:color="auto"/>
            </w:tcBorders>
            <w:noWrap/>
            <w:vAlign w:val="center"/>
            <w:hideMark/>
          </w:tcPr>
          <w:p w14:paraId="6764902B"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Unclear</w:t>
            </w:r>
          </w:p>
        </w:tc>
        <w:tc>
          <w:tcPr>
            <w:tcW w:w="1560" w:type="dxa"/>
            <w:tcBorders>
              <w:top w:val="nil"/>
              <w:left w:val="nil"/>
              <w:bottom w:val="single" w:sz="4" w:space="0" w:color="auto"/>
              <w:right w:val="single" w:sz="4" w:space="0" w:color="auto"/>
            </w:tcBorders>
            <w:noWrap/>
            <w:vAlign w:val="center"/>
            <w:hideMark/>
          </w:tcPr>
          <w:p w14:paraId="17FBA85A"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Unclear</w:t>
            </w:r>
          </w:p>
        </w:tc>
        <w:tc>
          <w:tcPr>
            <w:tcW w:w="1560" w:type="dxa"/>
            <w:tcBorders>
              <w:top w:val="nil"/>
              <w:left w:val="nil"/>
              <w:bottom w:val="single" w:sz="4" w:space="0" w:color="auto"/>
              <w:right w:val="single" w:sz="4" w:space="0" w:color="auto"/>
            </w:tcBorders>
            <w:noWrap/>
            <w:vAlign w:val="center"/>
            <w:hideMark/>
          </w:tcPr>
          <w:p w14:paraId="2C76394C"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Unclear</w:t>
            </w:r>
          </w:p>
        </w:tc>
        <w:tc>
          <w:tcPr>
            <w:tcW w:w="1560" w:type="dxa"/>
            <w:tcBorders>
              <w:top w:val="nil"/>
              <w:left w:val="nil"/>
              <w:bottom w:val="single" w:sz="4" w:space="0" w:color="auto"/>
              <w:right w:val="single" w:sz="4" w:space="0" w:color="auto"/>
            </w:tcBorders>
            <w:noWrap/>
            <w:vAlign w:val="center"/>
            <w:hideMark/>
          </w:tcPr>
          <w:p w14:paraId="4E80DFB7"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Unclear</w:t>
            </w:r>
          </w:p>
        </w:tc>
      </w:tr>
      <w:tr w:rsidR="00254B1C" w:rsidRPr="00795081" w14:paraId="4EFC4A16" w14:textId="77777777" w:rsidTr="00795081">
        <w:trPr>
          <w:trHeight w:val="210"/>
        </w:trPr>
        <w:tc>
          <w:tcPr>
            <w:tcW w:w="2080" w:type="dxa"/>
            <w:tcBorders>
              <w:top w:val="nil"/>
              <w:left w:val="single" w:sz="4" w:space="0" w:color="auto"/>
              <w:bottom w:val="single" w:sz="4" w:space="0" w:color="auto"/>
              <w:right w:val="single" w:sz="4" w:space="0" w:color="auto"/>
            </w:tcBorders>
            <w:noWrap/>
            <w:vAlign w:val="center"/>
            <w:hideMark/>
          </w:tcPr>
          <w:p w14:paraId="1E1B6781" w14:textId="64C69EC0"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Rognoni, 2020</w:t>
            </w:r>
            <w:r w:rsidRPr="00254B1C">
              <w:rPr>
                <w:rFonts w:ascii="Calibri" w:eastAsia="Times New Roman" w:hAnsi="Calibri" w:cs="Calibri"/>
                <w:noProof/>
                <w:color w:val="000000"/>
                <w:sz w:val="16"/>
                <w:szCs w:val="16"/>
                <w:vertAlign w:val="superscript"/>
                <w:lang w:val="en-IE" w:eastAsia="en-IE"/>
              </w:rPr>
              <w:t>77</w:t>
            </w:r>
          </w:p>
        </w:tc>
        <w:tc>
          <w:tcPr>
            <w:tcW w:w="1560" w:type="dxa"/>
            <w:tcBorders>
              <w:top w:val="nil"/>
              <w:left w:val="nil"/>
              <w:bottom w:val="single" w:sz="4" w:space="0" w:color="auto"/>
              <w:right w:val="single" w:sz="4" w:space="0" w:color="auto"/>
            </w:tcBorders>
            <w:noWrap/>
            <w:vAlign w:val="center"/>
            <w:hideMark/>
          </w:tcPr>
          <w:p w14:paraId="1C5E7D28"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Yes</w:t>
            </w:r>
          </w:p>
        </w:tc>
        <w:tc>
          <w:tcPr>
            <w:tcW w:w="1560" w:type="dxa"/>
            <w:tcBorders>
              <w:top w:val="nil"/>
              <w:left w:val="nil"/>
              <w:bottom w:val="single" w:sz="4" w:space="0" w:color="auto"/>
              <w:right w:val="single" w:sz="4" w:space="0" w:color="auto"/>
            </w:tcBorders>
            <w:noWrap/>
            <w:vAlign w:val="center"/>
            <w:hideMark/>
          </w:tcPr>
          <w:p w14:paraId="6FF43155"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061586DD"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Yes</w:t>
            </w:r>
          </w:p>
        </w:tc>
        <w:tc>
          <w:tcPr>
            <w:tcW w:w="1560" w:type="dxa"/>
            <w:tcBorders>
              <w:top w:val="nil"/>
              <w:left w:val="nil"/>
              <w:bottom w:val="single" w:sz="4" w:space="0" w:color="auto"/>
              <w:right w:val="single" w:sz="4" w:space="0" w:color="auto"/>
            </w:tcBorders>
            <w:noWrap/>
            <w:vAlign w:val="center"/>
            <w:hideMark/>
          </w:tcPr>
          <w:p w14:paraId="02E37EDE"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Yes</w:t>
            </w:r>
          </w:p>
        </w:tc>
        <w:tc>
          <w:tcPr>
            <w:tcW w:w="1560" w:type="dxa"/>
            <w:tcBorders>
              <w:top w:val="nil"/>
              <w:left w:val="nil"/>
              <w:bottom w:val="single" w:sz="4" w:space="0" w:color="auto"/>
              <w:right w:val="single" w:sz="4" w:space="0" w:color="auto"/>
            </w:tcBorders>
            <w:noWrap/>
            <w:vAlign w:val="center"/>
            <w:hideMark/>
          </w:tcPr>
          <w:p w14:paraId="6C86AF10"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Yes</w:t>
            </w:r>
          </w:p>
        </w:tc>
        <w:tc>
          <w:tcPr>
            <w:tcW w:w="1560" w:type="dxa"/>
            <w:tcBorders>
              <w:top w:val="nil"/>
              <w:left w:val="nil"/>
              <w:bottom w:val="single" w:sz="4" w:space="0" w:color="auto"/>
              <w:right w:val="single" w:sz="4" w:space="0" w:color="auto"/>
            </w:tcBorders>
            <w:noWrap/>
            <w:vAlign w:val="center"/>
            <w:hideMark/>
          </w:tcPr>
          <w:p w14:paraId="05F6DD4C"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6A9466FA"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5A3F71C4"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r>
      <w:tr w:rsidR="00254B1C" w:rsidRPr="00795081" w14:paraId="6287F6C6" w14:textId="77777777" w:rsidTr="00795081">
        <w:trPr>
          <w:trHeight w:val="210"/>
        </w:trPr>
        <w:tc>
          <w:tcPr>
            <w:tcW w:w="2080" w:type="dxa"/>
            <w:tcBorders>
              <w:top w:val="nil"/>
              <w:left w:val="single" w:sz="4" w:space="0" w:color="auto"/>
              <w:bottom w:val="single" w:sz="4" w:space="0" w:color="auto"/>
              <w:right w:val="single" w:sz="4" w:space="0" w:color="auto"/>
            </w:tcBorders>
            <w:noWrap/>
            <w:vAlign w:val="center"/>
            <w:hideMark/>
          </w:tcPr>
          <w:p w14:paraId="3FB31EAF" w14:textId="0B69B5B6"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Sanchez-Santos, 2018</w:t>
            </w:r>
            <w:r w:rsidRPr="00254B1C">
              <w:rPr>
                <w:rFonts w:ascii="Calibri" w:eastAsia="Times New Roman" w:hAnsi="Calibri" w:cs="Calibri"/>
                <w:noProof/>
                <w:color w:val="000000"/>
                <w:sz w:val="16"/>
                <w:szCs w:val="16"/>
                <w:vertAlign w:val="superscript"/>
                <w:lang w:val="en-IE" w:eastAsia="en-IE"/>
              </w:rPr>
              <w:t>78</w:t>
            </w:r>
          </w:p>
        </w:tc>
        <w:tc>
          <w:tcPr>
            <w:tcW w:w="1560" w:type="dxa"/>
            <w:tcBorders>
              <w:top w:val="nil"/>
              <w:left w:val="nil"/>
              <w:bottom w:val="single" w:sz="4" w:space="0" w:color="auto"/>
              <w:right w:val="single" w:sz="4" w:space="0" w:color="auto"/>
            </w:tcBorders>
            <w:noWrap/>
            <w:vAlign w:val="center"/>
            <w:hideMark/>
          </w:tcPr>
          <w:p w14:paraId="55AD009B"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Yes</w:t>
            </w:r>
          </w:p>
        </w:tc>
        <w:tc>
          <w:tcPr>
            <w:tcW w:w="1560" w:type="dxa"/>
            <w:tcBorders>
              <w:top w:val="nil"/>
              <w:left w:val="nil"/>
              <w:bottom w:val="single" w:sz="4" w:space="0" w:color="auto"/>
              <w:right w:val="single" w:sz="4" w:space="0" w:color="auto"/>
            </w:tcBorders>
            <w:noWrap/>
            <w:vAlign w:val="center"/>
            <w:hideMark/>
          </w:tcPr>
          <w:p w14:paraId="68FD1CC3"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Yes</w:t>
            </w:r>
          </w:p>
        </w:tc>
        <w:tc>
          <w:tcPr>
            <w:tcW w:w="1560" w:type="dxa"/>
            <w:tcBorders>
              <w:top w:val="nil"/>
              <w:left w:val="nil"/>
              <w:bottom w:val="single" w:sz="4" w:space="0" w:color="auto"/>
              <w:right w:val="single" w:sz="4" w:space="0" w:color="auto"/>
            </w:tcBorders>
            <w:noWrap/>
            <w:vAlign w:val="center"/>
            <w:hideMark/>
          </w:tcPr>
          <w:p w14:paraId="5145589A"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Yes</w:t>
            </w:r>
          </w:p>
        </w:tc>
        <w:tc>
          <w:tcPr>
            <w:tcW w:w="1560" w:type="dxa"/>
            <w:tcBorders>
              <w:top w:val="nil"/>
              <w:left w:val="nil"/>
              <w:bottom w:val="single" w:sz="4" w:space="0" w:color="auto"/>
              <w:right w:val="single" w:sz="4" w:space="0" w:color="auto"/>
            </w:tcBorders>
            <w:noWrap/>
            <w:vAlign w:val="center"/>
            <w:hideMark/>
          </w:tcPr>
          <w:p w14:paraId="6C64FE22"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Yes</w:t>
            </w:r>
          </w:p>
        </w:tc>
        <w:tc>
          <w:tcPr>
            <w:tcW w:w="1560" w:type="dxa"/>
            <w:tcBorders>
              <w:top w:val="nil"/>
              <w:left w:val="nil"/>
              <w:bottom w:val="single" w:sz="4" w:space="0" w:color="auto"/>
              <w:right w:val="single" w:sz="4" w:space="0" w:color="auto"/>
            </w:tcBorders>
            <w:noWrap/>
            <w:vAlign w:val="center"/>
            <w:hideMark/>
          </w:tcPr>
          <w:p w14:paraId="797657A8"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4C0DCB3B"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483A725F"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05427B7C"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r>
      <w:tr w:rsidR="00254B1C" w:rsidRPr="00795081" w14:paraId="0FEA88BD" w14:textId="77777777" w:rsidTr="00795081">
        <w:trPr>
          <w:trHeight w:val="210"/>
        </w:trPr>
        <w:tc>
          <w:tcPr>
            <w:tcW w:w="2080" w:type="dxa"/>
            <w:tcBorders>
              <w:top w:val="nil"/>
              <w:left w:val="single" w:sz="4" w:space="0" w:color="auto"/>
              <w:bottom w:val="single" w:sz="4" w:space="0" w:color="auto"/>
              <w:right w:val="single" w:sz="4" w:space="0" w:color="auto"/>
            </w:tcBorders>
            <w:noWrap/>
            <w:vAlign w:val="center"/>
            <w:hideMark/>
          </w:tcPr>
          <w:p w14:paraId="1512E2A6" w14:textId="61A33806"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Sandhu, 2023</w:t>
            </w:r>
            <w:r w:rsidRPr="00254B1C">
              <w:rPr>
                <w:rFonts w:ascii="Calibri" w:eastAsia="Times New Roman" w:hAnsi="Calibri" w:cs="Calibri"/>
                <w:noProof/>
                <w:color w:val="000000"/>
                <w:sz w:val="16"/>
                <w:szCs w:val="16"/>
                <w:vertAlign w:val="superscript"/>
                <w:lang w:val="en-IE" w:eastAsia="en-IE"/>
              </w:rPr>
              <w:t>79</w:t>
            </w:r>
          </w:p>
        </w:tc>
        <w:tc>
          <w:tcPr>
            <w:tcW w:w="1560" w:type="dxa"/>
            <w:tcBorders>
              <w:top w:val="nil"/>
              <w:left w:val="nil"/>
              <w:bottom w:val="single" w:sz="4" w:space="0" w:color="auto"/>
              <w:right w:val="single" w:sz="4" w:space="0" w:color="auto"/>
            </w:tcBorders>
            <w:noWrap/>
            <w:vAlign w:val="center"/>
            <w:hideMark/>
          </w:tcPr>
          <w:p w14:paraId="108DB02E"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Yes</w:t>
            </w:r>
          </w:p>
        </w:tc>
        <w:tc>
          <w:tcPr>
            <w:tcW w:w="1560" w:type="dxa"/>
            <w:tcBorders>
              <w:top w:val="nil"/>
              <w:left w:val="nil"/>
              <w:bottom w:val="single" w:sz="4" w:space="0" w:color="auto"/>
              <w:right w:val="single" w:sz="4" w:space="0" w:color="auto"/>
            </w:tcBorders>
            <w:noWrap/>
            <w:vAlign w:val="center"/>
            <w:hideMark/>
          </w:tcPr>
          <w:p w14:paraId="26AC9F31"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Yes</w:t>
            </w:r>
          </w:p>
        </w:tc>
        <w:tc>
          <w:tcPr>
            <w:tcW w:w="1560" w:type="dxa"/>
            <w:tcBorders>
              <w:top w:val="nil"/>
              <w:left w:val="nil"/>
              <w:bottom w:val="single" w:sz="4" w:space="0" w:color="auto"/>
              <w:right w:val="single" w:sz="4" w:space="0" w:color="auto"/>
            </w:tcBorders>
            <w:noWrap/>
            <w:vAlign w:val="center"/>
            <w:hideMark/>
          </w:tcPr>
          <w:p w14:paraId="4763E368"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Yes</w:t>
            </w:r>
          </w:p>
        </w:tc>
        <w:tc>
          <w:tcPr>
            <w:tcW w:w="1560" w:type="dxa"/>
            <w:tcBorders>
              <w:top w:val="nil"/>
              <w:left w:val="nil"/>
              <w:bottom w:val="single" w:sz="4" w:space="0" w:color="auto"/>
              <w:right w:val="single" w:sz="4" w:space="0" w:color="auto"/>
            </w:tcBorders>
            <w:noWrap/>
            <w:vAlign w:val="center"/>
            <w:hideMark/>
          </w:tcPr>
          <w:p w14:paraId="5E17E6FE"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Yes</w:t>
            </w:r>
          </w:p>
        </w:tc>
        <w:tc>
          <w:tcPr>
            <w:tcW w:w="1560" w:type="dxa"/>
            <w:tcBorders>
              <w:top w:val="nil"/>
              <w:left w:val="nil"/>
              <w:bottom w:val="single" w:sz="4" w:space="0" w:color="auto"/>
              <w:right w:val="single" w:sz="4" w:space="0" w:color="auto"/>
            </w:tcBorders>
            <w:noWrap/>
            <w:vAlign w:val="center"/>
            <w:hideMark/>
          </w:tcPr>
          <w:p w14:paraId="560592C9"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Yes</w:t>
            </w:r>
          </w:p>
        </w:tc>
        <w:tc>
          <w:tcPr>
            <w:tcW w:w="1560" w:type="dxa"/>
            <w:tcBorders>
              <w:top w:val="nil"/>
              <w:left w:val="nil"/>
              <w:bottom w:val="single" w:sz="4" w:space="0" w:color="auto"/>
              <w:right w:val="single" w:sz="4" w:space="0" w:color="auto"/>
            </w:tcBorders>
            <w:noWrap/>
            <w:vAlign w:val="center"/>
            <w:hideMark/>
          </w:tcPr>
          <w:p w14:paraId="2EDD142B"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Unclear</w:t>
            </w:r>
          </w:p>
        </w:tc>
        <w:tc>
          <w:tcPr>
            <w:tcW w:w="1560" w:type="dxa"/>
            <w:tcBorders>
              <w:top w:val="nil"/>
              <w:left w:val="nil"/>
              <w:bottom w:val="single" w:sz="4" w:space="0" w:color="auto"/>
              <w:right w:val="single" w:sz="4" w:space="0" w:color="auto"/>
            </w:tcBorders>
            <w:noWrap/>
            <w:vAlign w:val="center"/>
            <w:hideMark/>
          </w:tcPr>
          <w:p w14:paraId="725B85B7"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Unclear</w:t>
            </w:r>
          </w:p>
        </w:tc>
        <w:tc>
          <w:tcPr>
            <w:tcW w:w="1560" w:type="dxa"/>
            <w:tcBorders>
              <w:top w:val="nil"/>
              <w:left w:val="nil"/>
              <w:bottom w:val="single" w:sz="4" w:space="0" w:color="auto"/>
              <w:right w:val="single" w:sz="4" w:space="0" w:color="auto"/>
            </w:tcBorders>
            <w:noWrap/>
            <w:vAlign w:val="center"/>
            <w:hideMark/>
          </w:tcPr>
          <w:p w14:paraId="3C25C45A"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Unclear</w:t>
            </w:r>
          </w:p>
        </w:tc>
      </w:tr>
      <w:tr w:rsidR="00254B1C" w:rsidRPr="00795081" w14:paraId="0C2A2016" w14:textId="77777777" w:rsidTr="00795081">
        <w:trPr>
          <w:trHeight w:val="210"/>
        </w:trPr>
        <w:tc>
          <w:tcPr>
            <w:tcW w:w="2080" w:type="dxa"/>
            <w:tcBorders>
              <w:top w:val="nil"/>
              <w:left w:val="single" w:sz="4" w:space="0" w:color="auto"/>
              <w:bottom w:val="single" w:sz="4" w:space="0" w:color="auto"/>
              <w:right w:val="single" w:sz="4" w:space="0" w:color="auto"/>
            </w:tcBorders>
            <w:noWrap/>
            <w:vAlign w:val="center"/>
            <w:hideMark/>
          </w:tcPr>
          <w:p w14:paraId="338C7E8C" w14:textId="575F77BA"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Saumoy 2023a</w:t>
            </w:r>
            <w:r w:rsidRPr="00254B1C">
              <w:rPr>
                <w:rFonts w:ascii="Calibri" w:eastAsia="Times New Roman" w:hAnsi="Calibri" w:cs="Calibri"/>
                <w:noProof/>
                <w:color w:val="000000"/>
                <w:sz w:val="16"/>
                <w:szCs w:val="16"/>
                <w:vertAlign w:val="superscript"/>
                <w:lang w:val="en-IE" w:eastAsia="en-IE"/>
              </w:rPr>
              <w:t>80</w:t>
            </w:r>
          </w:p>
        </w:tc>
        <w:tc>
          <w:tcPr>
            <w:tcW w:w="1560" w:type="dxa"/>
            <w:tcBorders>
              <w:top w:val="nil"/>
              <w:left w:val="nil"/>
              <w:bottom w:val="single" w:sz="4" w:space="0" w:color="auto"/>
              <w:right w:val="single" w:sz="4" w:space="0" w:color="auto"/>
            </w:tcBorders>
            <w:noWrap/>
            <w:vAlign w:val="center"/>
            <w:hideMark/>
          </w:tcPr>
          <w:p w14:paraId="2FDF8A11"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2DC07369"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4B1856B0"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7FC28C14"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6584DBEA"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34F59B91"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4D5DD14F"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2333900E"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r>
      <w:tr w:rsidR="00254B1C" w:rsidRPr="00795081" w14:paraId="6AF8C900" w14:textId="77777777" w:rsidTr="00795081">
        <w:trPr>
          <w:trHeight w:val="210"/>
        </w:trPr>
        <w:tc>
          <w:tcPr>
            <w:tcW w:w="2080" w:type="dxa"/>
            <w:tcBorders>
              <w:top w:val="nil"/>
              <w:left w:val="single" w:sz="4" w:space="0" w:color="auto"/>
              <w:bottom w:val="single" w:sz="4" w:space="0" w:color="auto"/>
              <w:right w:val="single" w:sz="4" w:space="0" w:color="auto"/>
            </w:tcBorders>
            <w:noWrap/>
            <w:vAlign w:val="center"/>
            <w:hideMark/>
          </w:tcPr>
          <w:p w14:paraId="471DABE8" w14:textId="5F7DA7F0"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Saumoy 2023b</w:t>
            </w:r>
          </w:p>
        </w:tc>
        <w:tc>
          <w:tcPr>
            <w:tcW w:w="1560" w:type="dxa"/>
            <w:tcBorders>
              <w:top w:val="nil"/>
              <w:left w:val="nil"/>
              <w:bottom w:val="single" w:sz="4" w:space="0" w:color="auto"/>
              <w:right w:val="single" w:sz="4" w:space="0" w:color="auto"/>
            </w:tcBorders>
            <w:noWrap/>
            <w:vAlign w:val="center"/>
            <w:hideMark/>
          </w:tcPr>
          <w:p w14:paraId="5858BACC"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Unclear</w:t>
            </w:r>
          </w:p>
        </w:tc>
        <w:tc>
          <w:tcPr>
            <w:tcW w:w="1560" w:type="dxa"/>
            <w:tcBorders>
              <w:top w:val="nil"/>
              <w:left w:val="nil"/>
              <w:bottom w:val="single" w:sz="4" w:space="0" w:color="auto"/>
              <w:right w:val="single" w:sz="4" w:space="0" w:color="auto"/>
            </w:tcBorders>
            <w:noWrap/>
            <w:vAlign w:val="center"/>
            <w:hideMark/>
          </w:tcPr>
          <w:p w14:paraId="5F0303F1"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Unclear</w:t>
            </w:r>
          </w:p>
        </w:tc>
        <w:tc>
          <w:tcPr>
            <w:tcW w:w="1560" w:type="dxa"/>
            <w:tcBorders>
              <w:top w:val="nil"/>
              <w:left w:val="nil"/>
              <w:bottom w:val="single" w:sz="4" w:space="0" w:color="auto"/>
              <w:right w:val="single" w:sz="4" w:space="0" w:color="auto"/>
            </w:tcBorders>
            <w:noWrap/>
            <w:vAlign w:val="center"/>
            <w:hideMark/>
          </w:tcPr>
          <w:p w14:paraId="11BB1A9B"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Unclear</w:t>
            </w:r>
          </w:p>
        </w:tc>
        <w:tc>
          <w:tcPr>
            <w:tcW w:w="1560" w:type="dxa"/>
            <w:tcBorders>
              <w:top w:val="nil"/>
              <w:left w:val="nil"/>
              <w:bottom w:val="single" w:sz="4" w:space="0" w:color="auto"/>
              <w:right w:val="single" w:sz="4" w:space="0" w:color="auto"/>
            </w:tcBorders>
            <w:noWrap/>
            <w:vAlign w:val="center"/>
            <w:hideMark/>
          </w:tcPr>
          <w:p w14:paraId="51F86EEB"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Unclear</w:t>
            </w:r>
          </w:p>
        </w:tc>
        <w:tc>
          <w:tcPr>
            <w:tcW w:w="1560" w:type="dxa"/>
            <w:tcBorders>
              <w:top w:val="nil"/>
              <w:left w:val="nil"/>
              <w:bottom w:val="single" w:sz="4" w:space="0" w:color="auto"/>
              <w:right w:val="single" w:sz="4" w:space="0" w:color="auto"/>
            </w:tcBorders>
            <w:noWrap/>
            <w:vAlign w:val="center"/>
            <w:hideMark/>
          </w:tcPr>
          <w:p w14:paraId="42C41991"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Unclear</w:t>
            </w:r>
          </w:p>
        </w:tc>
        <w:tc>
          <w:tcPr>
            <w:tcW w:w="1560" w:type="dxa"/>
            <w:tcBorders>
              <w:top w:val="nil"/>
              <w:left w:val="nil"/>
              <w:bottom w:val="single" w:sz="4" w:space="0" w:color="auto"/>
              <w:right w:val="single" w:sz="4" w:space="0" w:color="auto"/>
            </w:tcBorders>
            <w:noWrap/>
            <w:vAlign w:val="center"/>
            <w:hideMark/>
          </w:tcPr>
          <w:p w14:paraId="7815B49A"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Unclear</w:t>
            </w:r>
          </w:p>
        </w:tc>
        <w:tc>
          <w:tcPr>
            <w:tcW w:w="1560" w:type="dxa"/>
            <w:tcBorders>
              <w:top w:val="nil"/>
              <w:left w:val="nil"/>
              <w:bottom w:val="single" w:sz="4" w:space="0" w:color="auto"/>
              <w:right w:val="single" w:sz="4" w:space="0" w:color="auto"/>
            </w:tcBorders>
            <w:noWrap/>
            <w:vAlign w:val="center"/>
            <w:hideMark/>
          </w:tcPr>
          <w:p w14:paraId="73BE6B7B"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Unclear</w:t>
            </w:r>
          </w:p>
        </w:tc>
        <w:tc>
          <w:tcPr>
            <w:tcW w:w="1560" w:type="dxa"/>
            <w:tcBorders>
              <w:top w:val="nil"/>
              <w:left w:val="nil"/>
              <w:bottom w:val="single" w:sz="4" w:space="0" w:color="auto"/>
              <w:right w:val="single" w:sz="4" w:space="0" w:color="auto"/>
            </w:tcBorders>
            <w:noWrap/>
            <w:vAlign w:val="center"/>
            <w:hideMark/>
          </w:tcPr>
          <w:p w14:paraId="6B2E517B"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Unclear</w:t>
            </w:r>
          </w:p>
        </w:tc>
      </w:tr>
      <w:tr w:rsidR="00254B1C" w:rsidRPr="00795081" w14:paraId="650C8920" w14:textId="77777777" w:rsidTr="00795081">
        <w:trPr>
          <w:trHeight w:val="210"/>
        </w:trPr>
        <w:tc>
          <w:tcPr>
            <w:tcW w:w="2080" w:type="dxa"/>
            <w:tcBorders>
              <w:top w:val="nil"/>
              <w:left w:val="single" w:sz="4" w:space="0" w:color="auto"/>
              <w:bottom w:val="single" w:sz="4" w:space="0" w:color="auto"/>
              <w:right w:val="single" w:sz="4" w:space="0" w:color="auto"/>
            </w:tcBorders>
            <w:noWrap/>
            <w:vAlign w:val="center"/>
            <w:hideMark/>
          </w:tcPr>
          <w:p w14:paraId="654405CD" w14:textId="14FBE51A"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Schmidt 2020</w:t>
            </w:r>
          </w:p>
        </w:tc>
        <w:tc>
          <w:tcPr>
            <w:tcW w:w="1560" w:type="dxa"/>
            <w:tcBorders>
              <w:top w:val="nil"/>
              <w:left w:val="nil"/>
              <w:bottom w:val="single" w:sz="4" w:space="0" w:color="auto"/>
              <w:right w:val="single" w:sz="4" w:space="0" w:color="auto"/>
            </w:tcBorders>
            <w:noWrap/>
            <w:vAlign w:val="center"/>
            <w:hideMark/>
          </w:tcPr>
          <w:p w14:paraId="7D9F6C99"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Yes</w:t>
            </w:r>
          </w:p>
        </w:tc>
        <w:tc>
          <w:tcPr>
            <w:tcW w:w="1560" w:type="dxa"/>
            <w:tcBorders>
              <w:top w:val="nil"/>
              <w:left w:val="nil"/>
              <w:bottom w:val="single" w:sz="4" w:space="0" w:color="auto"/>
              <w:right w:val="single" w:sz="4" w:space="0" w:color="auto"/>
            </w:tcBorders>
            <w:noWrap/>
            <w:vAlign w:val="center"/>
            <w:hideMark/>
          </w:tcPr>
          <w:p w14:paraId="681635B2"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Unclear</w:t>
            </w:r>
          </w:p>
        </w:tc>
        <w:tc>
          <w:tcPr>
            <w:tcW w:w="1560" w:type="dxa"/>
            <w:tcBorders>
              <w:top w:val="nil"/>
              <w:left w:val="nil"/>
              <w:bottom w:val="single" w:sz="4" w:space="0" w:color="auto"/>
              <w:right w:val="single" w:sz="4" w:space="0" w:color="auto"/>
            </w:tcBorders>
            <w:noWrap/>
            <w:vAlign w:val="center"/>
            <w:hideMark/>
          </w:tcPr>
          <w:p w14:paraId="3716E147"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Unclear</w:t>
            </w:r>
          </w:p>
        </w:tc>
        <w:tc>
          <w:tcPr>
            <w:tcW w:w="1560" w:type="dxa"/>
            <w:tcBorders>
              <w:top w:val="nil"/>
              <w:left w:val="nil"/>
              <w:bottom w:val="single" w:sz="4" w:space="0" w:color="auto"/>
              <w:right w:val="single" w:sz="4" w:space="0" w:color="auto"/>
            </w:tcBorders>
            <w:noWrap/>
            <w:vAlign w:val="center"/>
            <w:hideMark/>
          </w:tcPr>
          <w:p w14:paraId="03CD450D"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Unclear</w:t>
            </w:r>
          </w:p>
        </w:tc>
        <w:tc>
          <w:tcPr>
            <w:tcW w:w="1560" w:type="dxa"/>
            <w:tcBorders>
              <w:top w:val="nil"/>
              <w:left w:val="nil"/>
              <w:bottom w:val="single" w:sz="4" w:space="0" w:color="auto"/>
              <w:right w:val="single" w:sz="4" w:space="0" w:color="auto"/>
            </w:tcBorders>
            <w:noWrap/>
            <w:vAlign w:val="center"/>
            <w:hideMark/>
          </w:tcPr>
          <w:p w14:paraId="74DEB88B"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Unclear</w:t>
            </w:r>
          </w:p>
        </w:tc>
        <w:tc>
          <w:tcPr>
            <w:tcW w:w="1560" w:type="dxa"/>
            <w:tcBorders>
              <w:top w:val="nil"/>
              <w:left w:val="nil"/>
              <w:bottom w:val="single" w:sz="4" w:space="0" w:color="auto"/>
              <w:right w:val="single" w:sz="4" w:space="0" w:color="auto"/>
            </w:tcBorders>
            <w:noWrap/>
            <w:vAlign w:val="center"/>
            <w:hideMark/>
          </w:tcPr>
          <w:p w14:paraId="1F5AAEE0"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Unclear</w:t>
            </w:r>
          </w:p>
        </w:tc>
        <w:tc>
          <w:tcPr>
            <w:tcW w:w="1560" w:type="dxa"/>
            <w:tcBorders>
              <w:top w:val="nil"/>
              <w:left w:val="nil"/>
              <w:bottom w:val="single" w:sz="4" w:space="0" w:color="auto"/>
              <w:right w:val="single" w:sz="4" w:space="0" w:color="auto"/>
            </w:tcBorders>
            <w:noWrap/>
            <w:vAlign w:val="center"/>
            <w:hideMark/>
          </w:tcPr>
          <w:p w14:paraId="74F37CF2"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Unclear</w:t>
            </w:r>
          </w:p>
        </w:tc>
        <w:tc>
          <w:tcPr>
            <w:tcW w:w="1560" w:type="dxa"/>
            <w:tcBorders>
              <w:top w:val="nil"/>
              <w:left w:val="nil"/>
              <w:bottom w:val="single" w:sz="4" w:space="0" w:color="auto"/>
              <w:right w:val="single" w:sz="4" w:space="0" w:color="auto"/>
            </w:tcBorders>
            <w:noWrap/>
            <w:vAlign w:val="center"/>
            <w:hideMark/>
          </w:tcPr>
          <w:p w14:paraId="3C0D4B3F"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Unclear</w:t>
            </w:r>
          </w:p>
        </w:tc>
      </w:tr>
      <w:tr w:rsidR="00254B1C" w:rsidRPr="00795081" w14:paraId="459A3CD0" w14:textId="77777777" w:rsidTr="00795081">
        <w:trPr>
          <w:trHeight w:val="210"/>
        </w:trPr>
        <w:tc>
          <w:tcPr>
            <w:tcW w:w="2080" w:type="dxa"/>
            <w:tcBorders>
              <w:top w:val="nil"/>
              <w:left w:val="single" w:sz="4" w:space="0" w:color="auto"/>
              <w:bottom w:val="single" w:sz="4" w:space="0" w:color="auto"/>
              <w:right w:val="single" w:sz="4" w:space="0" w:color="auto"/>
            </w:tcBorders>
            <w:noWrap/>
            <w:vAlign w:val="center"/>
            <w:hideMark/>
          </w:tcPr>
          <w:p w14:paraId="2CF57747" w14:textId="348AE9CD"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Shah 2023</w:t>
            </w:r>
          </w:p>
        </w:tc>
        <w:tc>
          <w:tcPr>
            <w:tcW w:w="1560" w:type="dxa"/>
            <w:tcBorders>
              <w:top w:val="nil"/>
              <w:left w:val="nil"/>
              <w:bottom w:val="single" w:sz="4" w:space="0" w:color="auto"/>
              <w:right w:val="single" w:sz="4" w:space="0" w:color="auto"/>
            </w:tcBorders>
            <w:noWrap/>
            <w:vAlign w:val="center"/>
            <w:hideMark/>
          </w:tcPr>
          <w:p w14:paraId="5FEDB2C9"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Yes</w:t>
            </w:r>
          </w:p>
        </w:tc>
        <w:tc>
          <w:tcPr>
            <w:tcW w:w="1560" w:type="dxa"/>
            <w:tcBorders>
              <w:top w:val="nil"/>
              <w:left w:val="nil"/>
              <w:bottom w:val="single" w:sz="4" w:space="0" w:color="auto"/>
              <w:right w:val="single" w:sz="4" w:space="0" w:color="auto"/>
            </w:tcBorders>
            <w:noWrap/>
            <w:vAlign w:val="center"/>
            <w:hideMark/>
          </w:tcPr>
          <w:p w14:paraId="3CF0BA9D"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Yes</w:t>
            </w:r>
          </w:p>
        </w:tc>
        <w:tc>
          <w:tcPr>
            <w:tcW w:w="1560" w:type="dxa"/>
            <w:tcBorders>
              <w:top w:val="nil"/>
              <w:left w:val="nil"/>
              <w:bottom w:val="single" w:sz="4" w:space="0" w:color="auto"/>
              <w:right w:val="single" w:sz="4" w:space="0" w:color="auto"/>
            </w:tcBorders>
            <w:noWrap/>
            <w:vAlign w:val="center"/>
            <w:hideMark/>
          </w:tcPr>
          <w:p w14:paraId="7A33DA98"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Yes</w:t>
            </w:r>
          </w:p>
        </w:tc>
        <w:tc>
          <w:tcPr>
            <w:tcW w:w="1560" w:type="dxa"/>
            <w:tcBorders>
              <w:top w:val="nil"/>
              <w:left w:val="nil"/>
              <w:bottom w:val="single" w:sz="4" w:space="0" w:color="auto"/>
              <w:right w:val="single" w:sz="4" w:space="0" w:color="auto"/>
            </w:tcBorders>
            <w:noWrap/>
            <w:vAlign w:val="center"/>
            <w:hideMark/>
          </w:tcPr>
          <w:p w14:paraId="3255F6F3"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Yes</w:t>
            </w:r>
          </w:p>
        </w:tc>
        <w:tc>
          <w:tcPr>
            <w:tcW w:w="1560" w:type="dxa"/>
            <w:tcBorders>
              <w:top w:val="nil"/>
              <w:left w:val="nil"/>
              <w:bottom w:val="single" w:sz="4" w:space="0" w:color="auto"/>
              <w:right w:val="single" w:sz="4" w:space="0" w:color="auto"/>
            </w:tcBorders>
            <w:noWrap/>
            <w:vAlign w:val="center"/>
            <w:hideMark/>
          </w:tcPr>
          <w:p w14:paraId="26EF9A53"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Unclear</w:t>
            </w:r>
          </w:p>
        </w:tc>
        <w:tc>
          <w:tcPr>
            <w:tcW w:w="1560" w:type="dxa"/>
            <w:tcBorders>
              <w:top w:val="nil"/>
              <w:left w:val="nil"/>
              <w:bottom w:val="single" w:sz="4" w:space="0" w:color="auto"/>
              <w:right w:val="single" w:sz="4" w:space="0" w:color="auto"/>
            </w:tcBorders>
            <w:noWrap/>
            <w:vAlign w:val="center"/>
            <w:hideMark/>
          </w:tcPr>
          <w:p w14:paraId="51003805"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Unclear</w:t>
            </w:r>
          </w:p>
        </w:tc>
        <w:tc>
          <w:tcPr>
            <w:tcW w:w="1560" w:type="dxa"/>
            <w:tcBorders>
              <w:top w:val="nil"/>
              <w:left w:val="nil"/>
              <w:bottom w:val="single" w:sz="4" w:space="0" w:color="auto"/>
              <w:right w:val="single" w:sz="4" w:space="0" w:color="auto"/>
            </w:tcBorders>
            <w:noWrap/>
            <w:vAlign w:val="center"/>
            <w:hideMark/>
          </w:tcPr>
          <w:p w14:paraId="1071F7CE"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Unclear</w:t>
            </w:r>
          </w:p>
        </w:tc>
        <w:tc>
          <w:tcPr>
            <w:tcW w:w="1560" w:type="dxa"/>
            <w:tcBorders>
              <w:top w:val="nil"/>
              <w:left w:val="nil"/>
              <w:bottom w:val="single" w:sz="4" w:space="0" w:color="auto"/>
              <w:right w:val="single" w:sz="4" w:space="0" w:color="auto"/>
            </w:tcBorders>
            <w:noWrap/>
            <w:vAlign w:val="center"/>
            <w:hideMark/>
          </w:tcPr>
          <w:p w14:paraId="7F3C4118"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Unclear</w:t>
            </w:r>
          </w:p>
        </w:tc>
      </w:tr>
      <w:tr w:rsidR="00254B1C" w:rsidRPr="00795081" w14:paraId="3C8235AD" w14:textId="77777777" w:rsidTr="00795081">
        <w:trPr>
          <w:trHeight w:val="210"/>
        </w:trPr>
        <w:tc>
          <w:tcPr>
            <w:tcW w:w="2080" w:type="dxa"/>
            <w:tcBorders>
              <w:top w:val="nil"/>
              <w:left w:val="single" w:sz="4" w:space="0" w:color="auto"/>
              <w:bottom w:val="single" w:sz="4" w:space="0" w:color="auto"/>
              <w:right w:val="single" w:sz="4" w:space="0" w:color="auto"/>
            </w:tcBorders>
            <w:noWrap/>
            <w:vAlign w:val="center"/>
            <w:hideMark/>
          </w:tcPr>
          <w:p w14:paraId="491BE495" w14:textId="18B73DD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Sharaiha 2023</w:t>
            </w:r>
          </w:p>
        </w:tc>
        <w:tc>
          <w:tcPr>
            <w:tcW w:w="1560" w:type="dxa"/>
            <w:tcBorders>
              <w:top w:val="nil"/>
              <w:left w:val="nil"/>
              <w:bottom w:val="single" w:sz="4" w:space="0" w:color="auto"/>
              <w:right w:val="single" w:sz="4" w:space="0" w:color="auto"/>
            </w:tcBorders>
            <w:noWrap/>
            <w:vAlign w:val="center"/>
            <w:hideMark/>
          </w:tcPr>
          <w:p w14:paraId="4E1D0CFB"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Yes</w:t>
            </w:r>
          </w:p>
        </w:tc>
        <w:tc>
          <w:tcPr>
            <w:tcW w:w="1560" w:type="dxa"/>
            <w:tcBorders>
              <w:top w:val="nil"/>
              <w:left w:val="nil"/>
              <w:bottom w:val="single" w:sz="4" w:space="0" w:color="auto"/>
              <w:right w:val="single" w:sz="4" w:space="0" w:color="auto"/>
            </w:tcBorders>
            <w:noWrap/>
            <w:vAlign w:val="center"/>
            <w:hideMark/>
          </w:tcPr>
          <w:p w14:paraId="4B87E5C1"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Unclear</w:t>
            </w:r>
          </w:p>
        </w:tc>
        <w:tc>
          <w:tcPr>
            <w:tcW w:w="1560" w:type="dxa"/>
            <w:tcBorders>
              <w:top w:val="nil"/>
              <w:left w:val="nil"/>
              <w:bottom w:val="single" w:sz="4" w:space="0" w:color="auto"/>
              <w:right w:val="single" w:sz="4" w:space="0" w:color="auto"/>
            </w:tcBorders>
            <w:noWrap/>
            <w:vAlign w:val="center"/>
            <w:hideMark/>
          </w:tcPr>
          <w:p w14:paraId="3785FE85"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Unclear</w:t>
            </w:r>
          </w:p>
        </w:tc>
        <w:tc>
          <w:tcPr>
            <w:tcW w:w="1560" w:type="dxa"/>
            <w:tcBorders>
              <w:top w:val="nil"/>
              <w:left w:val="nil"/>
              <w:bottom w:val="single" w:sz="4" w:space="0" w:color="auto"/>
              <w:right w:val="single" w:sz="4" w:space="0" w:color="auto"/>
            </w:tcBorders>
            <w:noWrap/>
            <w:vAlign w:val="center"/>
            <w:hideMark/>
          </w:tcPr>
          <w:p w14:paraId="2A821341"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Unclear</w:t>
            </w:r>
          </w:p>
        </w:tc>
        <w:tc>
          <w:tcPr>
            <w:tcW w:w="1560" w:type="dxa"/>
            <w:tcBorders>
              <w:top w:val="nil"/>
              <w:left w:val="nil"/>
              <w:bottom w:val="single" w:sz="4" w:space="0" w:color="auto"/>
              <w:right w:val="single" w:sz="4" w:space="0" w:color="auto"/>
            </w:tcBorders>
            <w:noWrap/>
            <w:vAlign w:val="center"/>
            <w:hideMark/>
          </w:tcPr>
          <w:p w14:paraId="5B295D68"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Unclear</w:t>
            </w:r>
          </w:p>
        </w:tc>
        <w:tc>
          <w:tcPr>
            <w:tcW w:w="1560" w:type="dxa"/>
            <w:tcBorders>
              <w:top w:val="nil"/>
              <w:left w:val="nil"/>
              <w:bottom w:val="single" w:sz="4" w:space="0" w:color="auto"/>
              <w:right w:val="single" w:sz="4" w:space="0" w:color="auto"/>
            </w:tcBorders>
            <w:noWrap/>
            <w:vAlign w:val="center"/>
            <w:hideMark/>
          </w:tcPr>
          <w:p w14:paraId="5CF152D8"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Unclear</w:t>
            </w:r>
          </w:p>
        </w:tc>
        <w:tc>
          <w:tcPr>
            <w:tcW w:w="1560" w:type="dxa"/>
            <w:tcBorders>
              <w:top w:val="nil"/>
              <w:left w:val="nil"/>
              <w:bottom w:val="single" w:sz="4" w:space="0" w:color="auto"/>
              <w:right w:val="single" w:sz="4" w:space="0" w:color="auto"/>
            </w:tcBorders>
            <w:noWrap/>
            <w:vAlign w:val="center"/>
            <w:hideMark/>
          </w:tcPr>
          <w:p w14:paraId="3104102C"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Unclear</w:t>
            </w:r>
          </w:p>
        </w:tc>
        <w:tc>
          <w:tcPr>
            <w:tcW w:w="1560" w:type="dxa"/>
            <w:tcBorders>
              <w:top w:val="nil"/>
              <w:left w:val="nil"/>
              <w:bottom w:val="single" w:sz="4" w:space="0" w:color="auto"/>
              <w:right w:val="single" w:sz="4" w:space="0" w:color="auto"/>
            </w:tcBorders>
            <w:noWrap/>
            <w:vAlign w:val="center"/>
            <w:hideMark/>
          </w:tcPr>
          <w:p w14:paraId="03ED2A73"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Unclear</w:t>
            </w:r>
          </w:p>
        </w:tc>
      </w:tr>
      <w:tr w:rsidR="00254B1C" w:rsidRPr="00795081" w14:paraId="0137B4F0" w14:textId="77777777" w:rsidTr="00795081">
        <w:trPr>
          <w:trHeight w:val="210"/>
        </w:trPr>
        <w:tc>
          <w:tcPr>
            <w:tcW w:w="2080" w:type="dxa"/>
            <w:tcBorders>
              <w:top w:val="nil"/>
              <w:left w:val="single" w:sz="4" w:space="0" w:color="auto"/>
              <w:bottom w:val="single" w:sz="4" w:space="0" w:color="auto"/>
              <w:right w:val="single" w:sz="4" w:space="0" w:color="auto"/>
            </w:tcBorders>
            <w:noWrap/>
            <w:vAlign w:val="center"/>
            <w:hideMark/>
          </w:tcPr>
          <w:p w14:paraId="6A51F4A7" w14:textId="58D9A2D1"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Tankou 2021</w:t>
            </w:r>
          </w:p>
        </w:tc>
        <w:tc>
          <w:tcPr>
            <w:tcW w:w="1560" w:type="dxa"/>
            <w:tcBorders>
              <w:top w:val="nil"/>
              <w:left w:val="nil"/>
              <w:bottom w:val="single" w:sz="4" w:space="0" w:color="auto"/>
              <w:right w:val="single" w:sz="4" w:space="0" w:color="auto"/>
            </w:tcBorders>
            <w:noWrap/>
            <w:vAlign w:val="center"/>
            <w:hideMark/>
          </w:tcPr>
          <w:p w14:paraId="65239D75"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Unclear</w:t>
            </w:r>
          </w:p>
        </w:tc>
        <w:tc>
          <w:tcPr>
            <w:tcW w:w="1560" w:type="dxa"/>
            <w:tcBorders>
              <w:top w:val="nil"/>
              <w:left w:val="nil"/>
              <w:bottom w:val="single" w:sz="4" w:space="0" w:color="auto"/>
              <w:right w:val="single" w:sz="4" w:space="0" w:color="auto"/>
            </w:tcBorders>
            <w:noWrap/>
            <w:vAlign w:val="center"/>
            <w:hideMark/>
          </w:tcPr>
          <w:p w14:paraId="225C75D6"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Unclear</w:t>
            </w:r>
          </w:p>
        </w:tc>
        <w:tc>
          <w:tcPr>
            <w:tcW w:w="1560" w:type="dxa"/>
            <w:tcBorders>
              <w:top w:val="nil"/>
              <w:left w:val="nil"/>
              <w:bottom w:val="single" w:sz="4" w:space="0" w:color="auto"/>
              <w:right w:val="single" w:sz="4" w:space="0" w:color="auto"/>
            </w:tcBorders>
            <w:noWrap/>
            <w:vAlign w:val="center"/>
            <w:hideMark/>
          </w:tcPr>
          <w:p w14:paraId="50214E89"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Unclear</w:t>
            </w:r>
          </w:p>
        </w:tc>
        <w:tc>
          <w:tcPr>
            <w:tcW w:w="1560" w:type="dxa"/>
            <w:tcBorders>
              <w:top w:val="nil"/>
              <w:left w:val="nil"/>
              <w:bottom w:val="single" w:sz="4" w:space="0" w:color="auto"/>
              <w:right w:val="single" w:sz="4" w:space="0" w:color="auto"/>
            </w:tcBorders>
            <w:noWrap/>
            <w:vAlign w:val="center"/>
            <w:hideMark/>
          </w:tcPr>
          <w:p w14:paraId="28CEB5AA"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Unclear</w:t>
            </w:r>
          </w:p>
        </w:tc>
        <w:tc>
          <w:tcPr>
            <w:tcW w:w="1560" w:type="dxa"/>
            <w:tcBorders>
              <w:top w:val="nil"/>
              <w:left w:val="nil"/>
              <w:bottom w:val="single" w:sz="4" w:space="0" w:color="auto"/>
              <w:right w:val="single" w:sz="4" w:space="0" w:color="auto"/>
            </w:tcBorders>
            <w:noWrap/>
            <w:vAlign w:val="center"/>
            <w:hideMark/>
          </w:tcPr>
          <w:p w14:paraId="1D1BF0B5"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Unclear</w:t>
            </w:r>
          </w:p>
        </w:tc>
        <w:tc>
          <w:tcPr>
            <w:tcW w:w="1560" w:type="dxa"/>
            <w:tcBorders>
              <w:top w:val="nil"/>
              <w:left w:val="nil"/>
              <w:bottom w:val="single" w:sz="4" w:space="0" w:color="auto"/>
              <w:right w:val="single" w:sz="4" w:space="0" w:color="auto"/>
            </w:tcBorders>
            <w:noWrap/>
            <w:vAlign w:val="center"/>
            <w:hideMark/>
          </w:tcPr>
          <w:p w14:paraId="53EE2133"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Unclear</w:t>
            </w:r>
          </w:p>
        </w:tc>
        <w:tc>
          <w:tcPr>
            <w:tcW w:w="1560" w:type="dxa"/>
            <w:tcBorders>
              <w:top w:val="nil"/>
              <w:left w:val="nil"/>
              <w:bottom w:val="single" w:sz="4" w:space="0" w:color="auto"/>
              <w:right w:val="single" w:sz="4" w:space="0" w:color="auto"/>
            </w:tcBorders>
            <w:noWrap/>
            <w:vAlign w:val="center"/>
            <w:hideMark/>
          </w:tcPr>
          <w:p w14:paraId="717C8C5F"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Unclear</w:t>
            </w:r>
          </w:p>
        </w:tc>
        <w:tc>
          <w:tcPr>
            <w:tcW w:w="1560" w:type="dxa"/>
            <w:tcBorders>
              <w:top w:val="nil"/>
              <w:left w:val="nil"/>
              <w:bottom w:val="single" w:sz="4" w:space="0" w:color="auto"/>
              <w:right w:val="single" w:sz="4" w:space="0" w:color="auto"/>
            </w:tcBorders>
            <w:noWrap/>
            <w:vAlign w:val="center"/>
            <w:hideMark/>
          </w:tcPr>
          <w:p w14:paraId="52221976"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Unclear</w:t>
            </w:r>
          </w:p>
        </w:tc>
      </w:tr>
      <w:tr w:rsidR="00254B1C" w:rsidRPr="00795081" w14:paraId="0229EA38" w14:textId="77777777" w:rsidTr="00795081">
        <w:trPr>
          <w:trHeight w:val="210"/>
        </w:trPr>
        <w:tc>
          <w:tcPr>
            <w:tcW w:w="2080" w:type="dxa"/>
            <w:tcBorders>
              <w:top w:val="nil"/>
              <w:left w:val="single" w:sz="4" w:space="0" w:color="auto"/>
              <w:bottom w:val="single" w:sz="4" w:space="0" w:color="auto"/>
              <w:right w:val="single" w:sz="4" w:space="0" w:color="auto"/>
            </w:tcBorders>
            <w:noWrap/>
            <w:vAlign w:val="center"/>
            <w:hideMark/>
          </w:tcPr>
          <w:p w14:paraId="51251256" w14:textId="5725F575"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Valdez-Huerta 2022</w:t>
            </w:r>
          </w:p>
        </w:tc>
        <w:tc>
          <w:tcPr>
            <w:tcW w:w="1560" w:type="dxa"/>
            <w:tcBorders>
              <w:top w:val="nil"/>
              <w:left w:val="nil"/>
              <w:bottom w:val="single" w:sz="4" w:space="0" w:color="auto"/>
              <w:right w:val="single" w:sz="4" w:space="0" w:color="auto"/>
            </w:tcBorders>
            <w:noWrap/>
            <w:vAlign w:val="center"/>
            <w:hideMark/>
          </w:tcPr>
          <w:p w14:paraId="163D3B19"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Unclear</w:t>
            </w:r>
          </w:p>
        </w:tc>
        <w:tc>
          <w:tcPr>
            <w:tcW w:w="1560" w:type="dxa"/>
            <w:tcBorders>
              <w:top w:val="nil"/>
              <w:left w:val="nil"/>
              <w:bottom w:val="single" w:sz="4" w:space="0" w:color="auto"/>
              <w:right w:val="single" w:sz="4" w:space="0" w:color="auto"/>
            </w:tcBorders>
            <w:noWrap/>
            <w:vAlign w:val="center"/>
            <w:hideMark/>
          </w:tcPr>
          <w:p w14:paraId="4610E275"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Unclear</w:t>
            </w:r>
          </w:p>
        </w:tc>
        <w:tc>
          <w:tcPr>
            <w:tcW w:w="1560" w:type="dxa"/>
            <w:tcBorders>
              <w:top w:val="nil"/>
              <w:left w:val="nil"/>
              <w:bottom w:val="single" w:sz="4" w:space="0" w:color="auto"/>
              <w:right w:val="single" w:sz="4" w:space="0" w:color="auto"/>
            </w:tcBorders>
            <w:noWrap/>
            <w:vAlign w:val="center"/>
            <w:hideMark/>
          </w:tcPr>
          <w:p w14:paraId="10CC7B13"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Unclear</w:t>
            </w:r>
          </w:p>
        </w:tc>
        <w:tc>
          <w:tcPr>
            <w:tcW w:w="1560" w:type="dxa"/>
            <w:tcBorders>
              <w:top w:val="nil"/>
              <w:left w:val="nil"/>
              <w:bottom w:val="single" w:sz="4" w:space="0" w:color="auto"/>
              <w:right w:val="single" w:sz="4" w:space="0" w:color="auto"/>
            </w:tcBorders>
            <w:noWrap/>
            <w:vAlign w:val="center"/>
            <w:hideMark/>
          </w:tcPr>
          <w:p w14:paraId="0F9A2FD8"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Unclear</w:t>
            </w:r>
          </w:p>
        </w:tc>
        <w:tc>
          <w:tcPr>
            <w:tcW w:w="1560" w:type="dxa"/>
            <w:tcBorders>
              <w:top w:val="nil"/>
              <w:left w:val="nil"/>
              <w:bottom w:val="single" w:sz="4" w:space="0" w:color="auto"/>
              <w:right w:val="single" w:sz="4" w:space="0" w:color="auto"/>
            </w:tcBorders>
            <w:noWrap/>
            <w:vAlign w:val="center"/>
            <w:hideMark/>
          </w:tcPr>
          <w:p w14:paraId="292A1DD4"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Unclear</w:t>
            </w:r>
          </w:p>
        </w:tc>
        <w:tc>
          <w:tcPr>
            <w:tcW w:w="1560" w:type="dxa"/>
            <w:tcBorders>
              <w:top w:val="nil"/>
              <w:left w:val="nil"/>
              <w:bottom w:val="single" w:sz="4" w:space="0" w:color="auto"/>
              <w:right w:val="single" w:sz="4" w:space="0" w:color="auto"/>
            </w:tcBorders>
            <w:noWrap/>
            <w:vAlign w:val="center"/>
            <w:hideMark/>
          </w:tcPr>
          <w:p w14:paraId="4FC715DF"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Unclear</w:t>
            </w:r>
          </w:p>
        </w:tc>
        <w:tc>
          <w:tcPr>
            <w:tcW w:w="1560" w:type="dxa"/>
            <w:tcBorders>
              <w:top w:val="nil"/>
              <w:left w:val="nil"/>
              <w:bottom w:val="single" w:sz="4" w:space="0" w:color="auto"/>
              <w:right w:val="single" w:sz="4" w:space="0" w:color="auto"/>
            </w:tcBorders>
            <w:noWrap/>
            <w:vAlign w:val="center"/>
            <w:hideMark/>
          </w:tcPr>
          <w:p w14:paraId="239EED45"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Unclear</w:t>
            </w:r>
          </w:p>
        </w:tc>
        <w:tc>
          <w:tcPr>
            <w:tcW w:w="1560" w:type="dxa"/>
            <w:tcBorders>
              <w:top w:val="nil"/>
              <w:left w:val="nil"/>
              <w:bottom w:val="single" w:sz="4" w:space="0" w:color="auto"/>
              <w:right w:val="single" w:sz="4" w:space="0" w:color="auto"/>
            </w:tcBorders>
            <w:noWrap/>
            <w:vAlign w:val="center"/>
            <w:hideMark/>
          </w:tcPr>
          <w:p w14:paraId="23014111"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Unclear</w:t>
            </w:r>
          </w:p>
        </w:tc>
      </w:tr>
      <w:tr w:rsidR="00254B1C" w:rsidRPr="00795081" w14:paraId="2C119CDB" w14:textId="77777777" w:rsidTr="00795081">
        <w:trPr>
          <w:trHeight w:val="210"/>
        </w:trPr>
        <w:tc>
          <w:tcPr>
            <w:tcW w:w="2080" w:type="dxa"/>
            <w:tcBorders>
              <w:top w:val="nil"/>
              <w:left w:val="single" w:sz="4" w:space="0" w:color="auto"/>
              <w:bottom w:val="single" w:sz="4" w:space="0" w:color="auto"/>
              <w:right w:val="single" w:sz="4" w:space="0" w:color="auto"/>
            </w:tcBorders>
            <w:noWrap/>
            <w:vAlign w:val="center"/>
            <w:hideMark/>
          </w:tcPr>
          <w:p w14:paraId="1D0B0CEF" w14:textId="0D9CA171"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Viratanapanu, 2019</w:t>
            </w:r>
            <w:r w:rsidRPr="00254B1C">
              <w:rPr>
                <w:rFonts w:ascii="Calibri" w:eastAsia="Times New Roman" w:hAnsi="Calibri" w:cs="Calibri"/>
                <w:noProof/>
                <w:color w:val="000000"/>
                <w:sz w:val="16"/>
                <w:szCs w:val="16"/>
                <w:vertAlign w:val="superscript"/>
                <w:lang w:val="en-IE" w:eastAsia="en-IE"/>
              </w:rPr>
              <w:t>81</w:t>
            </w:r>
          </w:p>
        </w:tc>
        <w:tc>
          <w:tcPr>
            <w:tcW w:w="1560" w:type="dxa"/>
            <w:tcBorders>
              <w:top w:val="nil"/>
              <w:left w:val="nil"/>
              <w:bottom w:val="single" w:sz="4" w:space="0" w:color="auto"/>
              <w:right w:val="single" w:sz="4" w:space="0" w:color="auto"/>
            </w:tcBorders>
            <w:noWrap/>
            <w:vAlign w:val="center"/>
            <w:hideMark/>
          </w:tcPr>
          <w:p w14:paraId="4BFBF535"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Yes</w:t>
            </w:r>
          </w:p>
        </w:tc>
        <w:tc>
          <w:tcPr>
            <w:tcW w:w="1560" w:type="dxa"/>
            <w:tcBorders>
              <w:top w:val="nil"/>
              <w:left w:val="nil"/>
              <w:bottom w:val="single" w:sz="4" w:space="0" w:color="auto"/>
              <w:right w:val="single" w:sz="4" w:space="0" w:color="auto"/>
            </w:tcBorders>
            <w:noWrap/>
            <w:vAlign w:val="center"/>
            <w:hideMark/>
          </w:tcPr>
          <w:p w14:paraId="1BFACE91"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7FD3621F"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6B682A1B"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16244EEA"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09F4194A"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747ADAC9"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282845FC"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r>
      <w:tr w:rsidR="00254B1C" w:rsidRPr="00795081" w14:paraId="33446F02" w14:textId="77777777" w:rsidTr="00795081">
        <w:trPr>
          <w:trHeight w:val="210"/>
        </w:trPr>
        <w:tc>
          <w:tcPr>
            <w:tcW w:w="2080" w:type="dxa"/>
            <w:tcBorders>
              <w:top w:val="nil"/>
              <w:left w:val="single" w:sz="4" w:space="0" w:color="auto"/>
              <w:bottom w:val="single" w:sz="4" w:space="0" w:color="auto"/>
              <w:right w:val="single" w:sz="4" w:space="0" w:color="auto"/>
            </w:tcBorders>
            <w:noWrap/>
            <w:vAlign w:val="center"/>
            <w:hideMark/>
          </w:tcPr>
          <w:p w14:paraId="3ABB3BE6" w14:textId="140A22FF"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Walter 2022</w:t>
            </w:r>
            <w:r w:rsidRPr="00254B1C">
              <w:rPr>
                <w:rFonts w:ascii="Calibri" w:eastAsia="Times New Roman" w:hAnsi="Calibri" w:cs="Calibri"/>
                <w:noProof/>
                <w:color w:val="000000"/>
                <w:sz w:val="16"/>
                <w:szCs w:val="16"/>
                <w:vertAlign w:val="superscript"/>
                <w:lang w:val="en-IE" w:eastAsia="en-IE"/>
              </w:rPr>
              <w:t>82</w:t>
            </w:r>
          </w:p>
        </w:tc>
        <w:tc>
          <w:tcPr>
            <w:tcW w:w="1560" w:type="dxa"/>
            <w:tcBorders>
              <w:top w:val="nil"/>
              <w:left w:val="nil"/>
              <w:bottom w:val="single" w:sz="4" w:space="0" w:color="auto"/>
              <w:right w:val="single" w:sz="4" w:space="0" w:color="auto"/>
            </w:tcBorders>
            <w:noWrap/>
            <w:vAlign w:val="center"/>
            <w:hideMark/>
          </w:tcPr>
          <w:p w14:paraId="3BF5C531"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Yes</w:t>
            </w:r>
          </w:p>
        </w:tc>
        <w:tc>
          <w:tcPr>
            <w:tcW w:w="1560" w:type="dxa"/>
            <w:tcBorders>
              <w:top w:val="nil"/>
              <w:left w:val="nil"/>
              <w:bottom w:val="single" w:sz="4" w:space="0" w:color="auto"/>
              <w:right w:val="single" w:sz="4" w:space="0" w:color="auto"/>
            </w:tcBorders>
            <w:noWrap/>
            <w:vAlign w:val="center"/>
            <w:hideMark/>
          </w:tcPr>
          <w:p w14:paraId="5E9AAC16"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Yes</w:t>
            </w:r>
          </w:p>
        </w:tc>
        <w:tc>
          <w:tcPr>
            <w:tcW w:w="1560" w:type="dxa"/>
            <w:tcBorders>
              <w:top w:val="nil"/>
              <w:left w:val="nil"/>
              <w:bottom w:val="single" w:sz="4" w:space="0" w:color="auto"/>
              <w:right w:val="single" w:sz="4" w:space="0" w:color="auto"/>
            </w:tcBorders>
            <w:noWrap/>
            <w:vAlign w:val="center"/>
            <w:hideMark/>
          </w:tcPr>
          <w:p w14:paraId="6EC8A62D"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Yes</w:t>
            </w:r>
          </w:p>
        </w:tc>
        <w:tc>
          <w:tcPr>
            <w:tcW w:w="1560" w:type="dxa"/>
            <w:tcBorders>
              <w:top w:val="nil"/>
              <w:left w:val="nil"/>
              <w:bottom w:val="single" w:sz="4" w:space="0" w:color="auto"/>
              <w:right w:val="single" w:sz="4" w:space="0" w:color="auto"/>
            </w:tcBorders>
            <w:noWrap/>
            <w:vAlign w:val="center"/>
            <w:hideMark/>
          </w:tcPr>
          <w:p w14:paraId="229BF28D"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Yes</w:t>
            </w:r>
          </w:p>
        </w:tc>
        <w:tc>
          <w:tcPr>
            <w:tcW w:w="1560" w:type="dxa"/>
            <w:tcBorders>
              <w:top w:val="nil"/>
              <w:left w:val="nil"/>
              <w:bottom w:val="single" w:sz="4" w:space="0" w:color="auto"/>
              <w:right w:val="single" w:sz="4" w:space="0" w:color="auto"/>
            </w:tcBorders>
            <w:noWrap/>
            <w:vAlign w:val="center"/>
            <w:hideMark/>
          </w:tcPr>
          <w:p w14:paraId="53B4DBC5"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5C5FF885"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68CDEBFE"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Yes</w:t>
            </w:r>
          </w:p>
        </w:tc>
        <w:tc>
          <w:tcPr>
            <w:tcW w:w="1560" w:type="dxa"/>
            <w:tcBorders>
              <w:top w:val="nil"/>
              <w:left w:val="nil"/>
              <w:bottom w:val="single" w:sz="4" w:space="0" w:color="auto"/>
              <w:right w:val="single" w:sz="4" w:space="0" w:color="auto"/>
            </w:tcBorders>
            <w:noWrap/>
            <w:vAlign w:val="center"/>
            <w:hideMark/>
          </w:tcPr>
          <w:p w14:paraId="3EE35BC5"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Yes</w:t>
            </w:r>
          </w:p>
        </w:tc>
      </w:tr>
      <w:tr w:rsidR="00254B1C" w:rsidRPr="00795081" w14:paraId="051DC249" w14:textId="77777777" w:rsidTr="00795081">
        <w:trPr>
          <w:trHeight w:val="210"/>
        </w:trPr>
        <w:tc>
          <w:tcPr>
            <w:tcW w:w="2080" w:type="dxa"/>
            <w:tcBorders>
              <w:top w:val="nil"/>
              <w:left w:val="single" w:sz="4" w:space="0" w:color="auto"/>
              <w:bottom w:val="single" w:sz="4" w:space="0" w:color="auto"/>
              <w:right w:val="single" w:sz="4" w:space="0" w:color="auto"/>
            </w:tcBorders>
            <w:noWrap/>
            <w:vAlign w:val="center"/>
            <w:hideMark/>
          </w:tcPr>
          <w:p w14:paraId="63635C6B" w14:textId="37DEA406"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t>Wan, 2019</w:t>
            </w:r>
            <w:r w:rsidRPr="00254B1C">
              <w:rPr>
                <w:rFonts w:ascii="Calibri" w:eastAsia="Times New Roman" w:hAnsi="Calibri" w:cs="Calibri"/>
                <w:noProof/>
                <w:color w:val="000000"/>
                <w:sz w:val="16"/>
                <w:szCs w:val="16"/>
                <w:vertAlign w:val="superscript"/>
                <w:lang w:val="en-IE" w:eastAsia="en-IE"/>
              </w:rPr>
              <w:t>83</w:t>
            </w:r>
          </w:p>
        </w:tc>
        <w:tc>
          <w:tcPr>
            <w:tcW w:w="1560" w:type="dxa"/>
            <w:tcBorders>
              <w:top w:val="nil"/>
              <w:left w:val="nil"/>
              <w:bottom w:val="single" w:sz="4" w:space="0" w:color="auto"/>
              <w:right w:val="single" w:sz="4" w:space="0" w:color="auto"/>
            </w:tcBorders>
            <w:noWrap/>
            <w:vAlign w:val="center"/>
            <w:hideMark/>
          </w:tcPr>
          <w:p w14:paraId="75DD53A7"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Yes</w:t>
            </w:r>
          </w:p>
        </w:tc>
        <w:tc>
          <w:tcPr>
            <w:tcW w:w="1560" w:type="dxa"/>
            <w:tcBorders>
              <w:top w:val="nil"/>
              <w:left w:val="nil"/>
              <w:bottom w:val="single" w:sz="4" w:space="0" w:color="auto"/>
              <w:right w:val="single" w:sz="4" w:space="0" w:color="auto"/>
            </w:tcBorders>
            <w:noWrap/>
            <w:vAlign w:val="center"/>
            <w:hideMark/>
          </w:tcPr>
          <w:p w14:paraId="46DF2541"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79A5048E"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4AACA289"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5BE451C9"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61227B10"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02D7F600"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320501AB"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r>
      <w:tr w:rsidR="00254B1C" w:rsidRPr="00795081" w14:paraId="023637FF" w14:textId="77777777" w:rsidTr="00795081">
        <w:trPr>
          <w:trHeight w:val="210"/>
        </w:trPr>
        <w:tc>
          <w:tcPr>
            <w:tcW w:w="2080" w:type="dxa"/>
            <w:tcBorders>
              <w:top w:val="nil"/>
              <w:left w:val="single" w:sz="4" w:space="0" w:color="auto"/>
              <w:bottom w:val="single" w:sz="4" w:space="0" w:color="auto"/>
              <w:right w:val="single" w:sz="4" w:space="0" w:color="auto"/>
            </w:tcBorders>
            <w:noWrap/>
            <w:vAlign w:val="center"/>
            <w:hideMark/>
          </w:tcPr>
          <w:p w14:paraId="61B327BC" w14:textId="3553D33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EE4AB5">
              <w:rPr>
                <w:rFonts w:ascii="Calibri" w:eastAsia="Times New Roman" w:hAnsi="Calibri" w:cs="Calibri"/>
                <w:color w:val="000000"/>
                <w:sz w:val="16"/>
                <w:szCs w:val="16"/>
                <w:lang w:val="en-IE" w:eastAsia="en-IE"/>
              </w:rPr>
              <w:lastRenderedPageBreak/>
              <w:t>Yu, 2017</w:t>
            </w:r>
            <w:r w:rsidRPr="00254B1C">
              <w:rPr>
                <w:rFonts w:ascii="Calibri" w:eastAsia="Times New Roman" w:hAnsi="Calibri" w:cs="Calibri"/>
                <w:noProof/>
                <w:color w:val="000000"/>
                <w:sz w:val="16"/>
                <w:szCs w:val="16"/>
                <w:vertAlign w:val="superscript"/>
                <w:lang w:val="en-IE" w:eastAsia="en-IE"/>
              </w:rPr>
              <w:t>84</w:t>
            </w:r>
          </w:p>
        </w:tc>
        <w:tc>
          <w:tcPr>
            <w:tcW w:w="1560" w:type="dxa"/>
            <w:tcBorders>
              <w:top w:val="nil"/>
              <w:left w:val="nil"/>
              <w:bottom w:val="single" w:sz="4" w:space="0" w:color="auto"/>
              <w:right w:val="single" w:sz="4" w:space="0" w:color="auto"/>
            </w:tcBorders>
            <w:noWrap/>
            <w:vAlign w:val="center"/>
            <w:hideMark/>
          </w:tcPr>
          <w:p w14:paraId="3108407F"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Yes</w:t>
            </w:r>
          </w:p>
        </w:tc>
        <w:tc>
          <w:tcPr>
            <w:tcW w:w="1560" w:type="dxa"/>
            <w:tcBorders>
              <w:top w:val="nil"/>
              <w:left w:val="nil"/>
              <w:bottom w:val="single" w:sz="4" w:space="0" w:color="auto"/>
              <w:right w:val="single" w:sz="4" w:space="0" w:color="auto"/>
            </w:tcBorders>
            <w:noWrap/>
            <w:vAlign w:val="center"/>
            <w:hideMark/>
          </w:tcPr>
          <w:p w14:paraId="249F22E0"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0809C3F2"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79AEC2D9"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4075F7EB"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08B4BA3B"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18592454"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c>
          <w:tcPr>
            <w:tcW w:w="1560" w:type="dxa"/>
            <w:tcBorders>
              <w:top w:val="nil"/>
              <w:left w:val="nil"/>
              <w:bottom w:val="single" w:sz="4" w:space="0" w:color="auto"/>
              <w:right w:val="single" w:sz="4" w:space="0" w:color="auto"/>
            </w:tcBorders>
            <w:noWrap/>
            <w:vAlign w:val="center"/>
            <w:hideMark/>
          </w:tcPr>
          <w:p w14:paraId="2ED37B84" w14:textId="77777777" w:rsidR="00254B1C" w:rsidRPr="00795081" w:rsidRDefault="00254B1C" w:rsidP="00254B1C">
            <w:pPr>
              <w:spacing w:after="0" w:line="240" w:lineRule="auto"/>
              <w:rPr>
                <w:rFonts w:ascii="Calibri" w:eastAsia="Times New Roman" w:hAnsi="Calibri" w:cs="Calibri"/>
                <w:color w:val="000000"/>
                <w:sz w:val="16"/>
                <w:szCs w:val="16"/>
                <w:lang w:val="en-IE" w:eastAsia="en-IE"/>
              </w:rPr>
            </w:pPr>
            <w:r w:rsidRPr="00795081">
              <w:rPr>
                <w:rFonts w:ascii="Calibri" w:eastAsia="Times New Roman" w:hAnsi="Calibri" w:cs="Calibri"/>
                <w:color w:val="000000"/>
                <w:sz w:val="16"/>
                <w:szCs w:val="16"/>
                <w:lang w:val="en-IE" w:eastAsia="en-IE"/>
              </w:rPr>
              <w:t>No</w:t>
            </w:r>
          </w:p>
        </w:tc>
      </w:tr>
    </w:tbl>
    <w:p w14:paraId="5FEE13DB" w14:textId="116AB725" w:rsidR="00CB7A19" w:rsidRPr="0050512C" w:rsidRDefault="003F4759" w:rsidP="00393DCC">
      <w:pPr>
        <w:rPr>
          <w:sz w:val="16"/>
          <w:szCs w:val="16"/>
        </w:rPr>
      </w:pPr>
      <w:r w:rsidRPr="0050512C">
        <w:rPr>
          <w:sz w:val="16"/>
          <w:szCs w:val="16"/>
        </w:rPr>
        <w:t xml:space="preserve">CHD=coronary heart disease; </w:t>
      </w:r>
      <w:r w:rsidR="0050512C" w:rsidRPr="0050512C">
        <w:rPr>
          <w:sz w:val="16"/>
          <w:szCs w:val="16"/>
        </w:rPr>
        <w:t>CVD=cardiovascular disease</w:t>
      </w:r>
    </w:p>
    <w:p w14:paraId="5440792B" w14:textId="77777777" w:rsidR="003F4759" w:rsidRPr="00393DCC" w:rsidRDefault="003F4759" w:rsidP="00393DCC"/>
    <w:bookmarkEnd w:id="2"/>
    <w:p w14:paraId="620342BD" w14:textId="641B589D" w:rsidR="008E1068" w:rsidRDefault="008E1068" w:rsidP="002C4F66"/>
    <w:sectPr w:rsidR="008E1068" w:rsidSect="007A2F0C">
      <w:type w:val="continuous"/>
      <w:pgSz w:w="16838" w:h="11906" w:orient="landscape"/>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804687A" w14:textId="77777777" w:rsidR="009E032A" w:rsidRDefault="009E032A" w:rsidP="001B338A">
      <w:pPr>
        <w:spacing w:after="0" w:line="240" w:lineRule="auto"/>
      </w:pPr>
      <w:r>
        <w:separator/>
      </w:r>
    </w:p>
  </w:endnote>
  <w:endnote w:type="continuationSeparator" w:id="0">
    <w:p w14:paraId="32BB5CFB" w14:textId="77777777" w:rsidR="009E032A" w:rsidRDefault="009E032A" w:rsidP="001B338A">
      <w:pPr>
        <w:spacing w:after="0" w:line="240" w:lineRule="auto"/>
      </w:pPr>
      <w:r>
        <w:continuationSeparator/>
      </w:r>
    </w:p>
  </w:endnote>
  <w:endnote w:type="continuationNotice" w:id="1">
    <w:p w14:paraId="45031B23" w14:textId="77777777" w:rsidR="009E032A" w:rsidRDefault="009E032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DengXian Light">
    <w:charset w:val="86"/>
    <w:family w:val="auto"/>
    <w:pitch w:val="variable"/>
    <w:sig w:usb0="A00002BF" w:usb1="38CF7CFA" w:usb2="00000016" w:usb3="00000000" w:csb0="0004000F" w:csb1="00000000"/>
  </w:font>
  <w:font w:name="DengXian">
    <w:altName w:val="等线"/>
    <w:charset w:val="86"/>
    <w:family w:val="auto"/>
    <w:pitch w:val="variable"/>
    <w:sig w:usb0="A00002BF" w:usb1="38CF7CFA" w:usb2="00000016" w:usb3="00000000" w:csb0="0004000F" w:csb1="00000000"/>
  </w:font>
  <w:font w:name="Invention">
    <w:altName w:val="Calibri"/>
    <w:charset w:val="00"/>
    <w:family w:val="swiss"/>
    <w:pitch w:val="variable"/>
    <w:sig w:usb0="A000006F" w:usb1="4000004B" w:usb2="00000000" w:usb3="00000000" w:csb0="00000013" w:csb1="00000000"/>
  </w:font>
  <w:font w:name="MS Mincho">
    <w:altName w:val="MS Gothic"/>
    <w:panose1 w:val="02020609040205080304"/>
    <w:charset w:val="80"/>
    <w:family w:val="roman"/>
    <w:notTrueType/>
    <w:pitch w:val="fixed"/>
    <w:sig w:usb0="00000000"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E73CD7B" w14:textId="77777777" w:rsidR="009E032A" w:rsidRDefault="009E032A" w:rsidP="001B338A">
      <w:pPr>
        <w:spacing w:after="0" w:line="240" w:lineRule="auto"/>
      </w:pPr>
      <w:r>
        <w:separator/>
      </w:r>
    </w:p>
  </w:footnote>
  <w:footnote w:type="continuationSeparator" w:id="0">
    <w:p w14:paraId="5883AB8A" w14:textId="77777777" w:rsidR="009E032A" w:rsidRDefault="009E032A" w:rsidP="001B338A">
      <w:pPr>
        <w:spacing w:after="0" w:line="240" w:lineRule="auto"/>
      </w:pPr>
      <w:r>
        <w:continuationSeparator/>
      </w:r>
    </w:p>
  </w:footnote>
  <w:footnote w:type="continuationNotice" w:id="1">
    <w:p w14:paraId="3944190E" w14:textId="77777777" w:rsidR="009E032A" w:rsidRDefault="009E032A">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3E67ED0" w14:textId="0B038757" w:rsidR="001B338A" w:rsidRDefault="001B338A" w:rsidP="001B338A">
    <w:pPr>
      <w:pStyle w:val="Heade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FB9AF90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5AB2B07"/>
    <w:multiLevelType w:val="hybridMultilevel"/>
    <w:tmpl w:val="036CA4F2"/>
    <w:lvl w:ilvl="0" w:tplc="08090001">
      <w:start w:val="1"/>
      <w:numFmt w:val="bullet"/>
      <w:lvlText w:val=""/>
      <w:lvlJc w:val="left"/>
      <w:pPr>
        <w:ind w:left="360" w:hanging="360"/>
      </w:pPr>
      <w:rPr>
        <w:rFonts w:ascii="Symbol" w:hAnsi="Symbol" w:hint="default"/>
      </w:rPr>
    </w:lvl>
    <w:lvl w:ilvl="1" w:tplc="673CC5CC">
      <w:numFmt w:val="bullet"/>
      <w:lvlText w:val="•"/>
      <w:lvlJc w:val="left"/>
      <w:pPr>
        <w:ind w:left="1440" w:hanging="720"/>
      </w:pPr>
      <w:rPr>
        <w:rFonts w:ascii="Calibri" w:eastAsiaTheme="minorHAnsi" w:hAnsi="Calibri" w:cs="Calibri"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71F4DE5"/>
    <w:multiLevelType w:val="hybridMultilevel"/>
    <w:tmpl w:val="2744D6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C25159A"/>
    <w:multiLevelType w:val="hybridMultilevel"/>
    <w:tmpl w:val="C66007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46C161D"/>
    <w:multiLevelType w:val="hybridMultilevel"/>
    <w:tmpl w:val="EEDC0A1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4EB2665"/>
    <w:multiLevelType w:val="multilevel"/>
    <w:tmpl w:val="432E87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69F0D08"/>
    <w:multiLevelType w:val="hybridMultilevel"/>
    <w:tmpl w:val="2D5A1E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18B7CD2"/>
    <w:multiLevelType w:val="hybridMultilevel"/>
    <w:tmpl w:val="3CD07B8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69C66A5"/>
    <w:multiLevelType w:val="multilevel"/>
    <w:tmpl w:val="283E4C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7940B53"/>
    <w:multiLevelType w:val="hybridMultilevel"/>
    <w:tmpl w:val="22322C52"/>
    <w:lvl w:ilvl="0" w:tplc="08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2AF95009"/>
    <w:multiLevelType w:val="hybridMultilevel"/>
    <w:tmpl w:val="71F08A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1001A91"/>
    <w:multiLevelType w:val="multilevel"/>
    <w:tmpl w:val="C9E034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10E1B6B"/>
    <w:multiLevelType w:val="hybridMultilevel"/>
    <w:tmpl w:val="642ED75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32896541"/>
    <w:multiLevelType w:val="hybridMultilevel"/>
    <w:tmpl w:val="69D0D8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7E348DB"/>
    <w:multiLevelType w:val="hybridMultilevel"/>
    <w:tmpl w:val="9984C1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CA41FB4"/>
    <w:multiLevelType w:val="multilevel"/>
    <w:tmpl w:val="CD40BA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D400F0F"/>
    <w:multiLevelType w:val="hybridMultilevel"/>
    <w:tmpl w:val="BE02FD58"/>
    <w:lvl w:ilvl="0" w:tplc="6036812C">
      <w:start w:val="1"/>
      <w:numFmt w:val="decimal"/>
      <w:lvlText w:val="Task %1."/>
      <w:lvlJc w:val="left"/>
      <w:pPr>
        <w:ind w:left="4329"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F776C7A"/>
    <w:multiLevelType w:val="hybridMultilevel"/>
    <w:tmpl w:val="8AC8AF4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A782FDA"/>
    <w:multiLevelType w:val="hybridMultilevel"/>
    <w:tmpl w:val="1232888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AB07FCF"/>
    <w:multiLevelType w:val="hybridMultilevel"/>
    <w:tmpl w:val="EEC24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B234815"/>
    <w:multiLevelType w:val="hybridMultilevel"/>
    <w:tmpl w:val="326821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DCA7743"/>
    <w:multiLevelType w:val="hybridMultilevel"/>
    <w:tmpl w:val="2EC8065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15:restartNumberingAfterBreak="0">
    <w:nsid w:val="50453957"/>
    <w:multiLevelType w:val="hybridMultilevel"/>
    <w:tmpl w:val="1BE2F596"/>
    <w:lvl w:ilvl="0" w:tplc="08090001">
      <w:start w:val="1"/>
      <w:numFmt w:val="bullet"/>
      <w:lvlText w:val=""/>
      <w:lvlJc w:val="left"/>
      <w:pPr>
        <w:ind w:left="1724" w:hanging="360"/>
      </w:pPr>
      <w:rPr>
        <w:rFonts w:ascii="Symbol" w:hAnsi="Symbol" w:hint="default"/>
      </w:rPr>
    </w:lvl>
    <w:lvl w:ilvl="1" w:tplc="08090003" w:tentative="1">
      <w:start w:val="1"/>
      <w:numFmt w:val="bullet"/>
      <w:lvlText w:val="o"/>
      <w:lvlJc w:val="left"/>
      <w:pPr>
        <w:ind w:left="2444" w:hanging="360"/>
      </w:pPr>
      <w:rPr>
        <w:rFonts w:ascii="Courier New" w:hAnsi="Courier New" w:cs="Courier New" w:hint="default"/>
      </w:rPr>
    </w:lvl>
    <w:lvl w:ilvl="2" w:tplc="08090005" w:tentative="1">
      <w:start w:val="1"/>
      <w:numFmt w:val="bullet"/>
      <w:lvlText w:val=""/>
      <w:lvlJc w:val="left"/>
      <w:pPr>
        <w:ind w:left="3164" w:hanging="360"/>
      </w:pPr>
      <w:rPr>
        <w:rFonts w:ascii="Wingdings" w:hAnsi="Wingdings" w:hint="default"/>
      </w:rPr>
    </w:lvl>
    <w:lvl w:ilvl="3" w:tplc="08090001" w:tentative="1">
      <w:start w:val="1"/>
      <w:numFmt w:val="bullet"/>
      <w:lvlText w:val=""/>
      <w:lvlJc w:val="left"/>
      <w:pPr>
        <w:ind w:left="3884" w:hanging="360"/>
      </w:pPr>
      <w:rPr>
        <w:rFonts w:ascii="Symbol" w:hAnsi="Symbol" w:hint="default"/>
      </w:rPr>
    </w:lvl>
    <w:lvl w:ilvl="4" w:tplc="08090003" w:tentative="1">
      <w:start w:val="1"/>
      <w:numFmt w:val="bullet"/>
      <w:lvlText w:val="o"/>
      <w:lvlJc w:val="left"/>
      <w:pPr>
        <w:ind w:left="4604" w:hanging="360"/>
      </w:pPr>
      <w:rPr>
        <w:rFonts w:ascii="Courier New" w:hAnsi="Courier New" w:cs="Courier New" w:hint="default"/>
      </w:rPr>
    </w:lvl>
    <w:lvl w:ilvl="5" w:tplc="08090005" w:tentative="1">
      <w:start w:val="1"/>
      <w:numFmt w:val="bullet"/>
      <w:lvlText w:val=""/>
      <w:lvlJc w:val="left"/>
      <w:pPr>
        <w:ind w:left="5324" w:hanging="360"/>
      </w:pPr>
      <w:rPr>
        <w:rFonts w:ascii="Wingdings" w:hAnsi="Wingdings" w:hint="default"/>
      </w:rPr>
    </w:lvl>
    <w:lvl w:ilvl="6" w:tplc="08090001" w:tentative="1">
      <w:start w:val="1"/>
      <w:numFmt w:val="bullet"/>
      <w:lvlText w:val=""/>
      <w:lvlJc w:val="left"/>
      <w:pPr>
        <w:ind w:left="6044" w:hanging="360"/>
      </w:pPr>
      <w:rPr>
        <w:rFonts w:ascii="Symbol" w:hAnsi="Symbol" w:hint="default"/>
      </w:rPr>
    </w:lvl>
    <w:lvl w:ilvl="7" w:tplc="08090003" w:tentative="1">
      <w:start w:val="1"/>
      <w:numFmt w:val="bullet"/>
      <w:lvlText w:val="o"/>
      <w:lvlJc w:val="left"/>
      <w:pPr>
        <w:ind w:left="6764" w:hanging="360"/>
      </w:pPr>
      <w:rPr>
        <w:rFonts w:ascii="Courier New" w:hAnsi="Courier New" w:cs="Courier New" w:hint="default"/>
      </w:rPr>
    </w:lvl>
    <w:lvl w:ilvl="8" w:tplc="08090005" w:tentative="1">
      <w:start w:val="1"/>
      <w:numFmt w:val="bullet"/>
      <w:lvlText w:val=""/>
      <w:lvlJc w:val="left"/>
      <w:pPr>
        <w:ind w:left="7484" w:hanging="360"/>
      </w:pPr>
      <w:rPr>
        <w:rFonts w:ascii="Wingdings" w:hAnsi="Wingdings" w:hint="default"/>
      </w:rPr>
    </w:lvl>
  </w:abstractNum>
  <w:abstractNum w:abstractNumId="23" w15:restartNumberingAfterBreak="0">
    <w:nsid w:val="56AD7078"/>
    <w:multiLevelType w:val="hybridMultilevel"/>
    <w:tmpl w:val="F16A1F7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60D80A56"/>
    <w:multiLevelType w:val="hybridMultilevel"/>
    <w:tmpl w:val="9DA2F7AA"/>
    <w:lvl w:ilvl="0" w:tplc="FFFFFFFF">
      <w:start w:val="1"/>
      <w:numFmt w:val="decimal"/>
      <w:lvlText w:val="Task %1."/>
      <w:lvlJc w:val="left"/>
      <w:pPr>
        <w:ind w:left="360" w:hanging="360"/>
      </w:pPr>
      <w:rPr>
        <w:rFonts w:hint="default"/>
      </w:rPr>
    </w:lvl>
    <w:lvl w:ilvl="1" w:tplc="FFFFFFFF">
      <w:start w:val="1"/>
      <w:numFmt w:val="lowerLetter"/>
      <w:lvlText w:val="%2."/>
      <w:lvlJc w:val="left"/>
      <w:pPr>
        <w:ind w:left="-2529" w:hanging="360"/>
      </w:pPr>
    </w:lvl>
    <w:lvl w:ilvl="2" w:tplc="FFFFFFFF" w:tentative="1">
      <w:start w:val="1"/>
      <w:numFmt w:val="lowerRoman"/>
      <w:lvlText w:val="%3."/>
      <w:lvlJc w:val="right"/>
      <w:pPr>
        <w:ind w:left="-1809" w:hanging="180"/>
      </w:pPr>
    </w:lvl>
    <w:lvl w:ilvl="3" w:tplc="FFFFFFFF" w:tentative="1">
      <w:start w:val="1"/>
      <w:numFmt w:val="decimal"/>
      <w:lvlText w:val="%4."/>
      <w:lvlJc w:val="left"/>
      <w:pPr>
        <w:ind w:left="-1089" w:hanging="360"/>
      </w:pPr>
    </w:lvl>
    <w:lvl w:ilvl="4" w:tplc="FFFFFFFF" w:tentative="1">
      <w:start w:val="1"/>
      <w:numFmt w:val="lowerLetter"/>
      <w:lvlText w:val="%5."/>
      <w:lvlJc w:val="left"/>
      <w:pPr>
        <w:ind w:left="-369" w:hanging="360"/>
      </w:pPr>
    </w:lvl>
    <w:lvl w:ilvl="5" w:tplc="FFFFFFFF" w:tentative="1">
      <w:start w:val="1"/>
      <w:numFmt w:val="lowerRoman"/>
      <w:lvlText w:val="%6."/>
      <w:lvlJc w:val="right"/>
      <w:pPr>
        <w:ind w:left="351" w:hanging="180"/>
      </w:pPr>
    </w:lvl>
    <w:lvl w:ilvl="6" w:tplc="FFFFFFFF" w:tentative="1">
      <w:start w:val="1"/>
      <w:numFmt w:val="decimal"/>
      <w:lvlText w:val="%7."/>
      <w:lvlJc w:val="left"/>
      <w:pPr>
        <w:ind w:left="1071" w:hanging="360"/>
      </w:pPr>
    </w:lvl>
    <w:lvl w:ilvl="7" w:tplc="FFFFFFFF" w:tentative="1">
      <w:start w:val="1"/>
      <w:numFmt w:val="lowerLetter"/>
      <w:lvlText w:val="%8."/>
      <w:lvlJc w:val="left"/>
      <w:pPr>
        <w:ind w:left="1791" w:hanging="360"/>
      </w:pPr>
    </w:lvl>
    <w:lvl w:ilvl="8" w:tplc="FFFFFFFF" w:tentative="1">
      <w:start w:val="1"/>
      <w:numFmt w:val="lowerRoman"/>
      <w:lvlText w:val="%9."/>
      <w:lvlJc w:val="right"/>
      <w:pPr>
        <w:ind w:left="2511" w:hanging="180"/>
      </w:pPr>
    </w:lvl>
  </w:abstractNum>
  <w:abstractNum w:abstractNumId="25" w15:restartNumberingAfterBreak="0">
    <w:nsid w:val="610C4FF0"/>
    <w:multiLevelType w:val="hybridMultilevel"/>
    <w:tmpl w:val="E30A77E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6190160E"/>
    <w:multiLevelType w:val="multilevel"/>
    <w:tmpl w:val="A9D62980"/>
    <w:lvl w:ilvl="0">
      <w:start w:val="1"/>
      <w:numFmt w:val="bullet"/>
      <w:lvlText w:val=""/>
      <w:lvlJc w:val="left"/>
      <w:pPr>
        <w:tabs>
          <w:tab w:val="num" w:pos="-416"/>
        </w:tabs>
        <w:ind w:left="-416" w:hanging="360"/>
      </w:pPr>
      <w:rPr>
        <w:rFonts w:ascii="Symbol" w:hAnsi="Symbol" w:hint="default"/>
        <w:sz w:val="20"/>
      </w:rPr>
    </w:lvl>
    <w:lvl w:ilvl="1" w:tentative="1">
      <w:start w:val="1"/>
      <w:numFmt w:val="bullet"/>
      <w:lvlText w:val=""/>
      <w:lvlJc w:val="left"/>
      <w:pPr>
        <w:tabs>
          <w:tab w:val="num" w:pos="304"/>
        </w:tabs>
        <w:ind w:left="304" w:hanging="360"/>
      </w:pPr>
      <w:rPr>
        <w:rFonts w:ascii="Symbol" w:hAnsi="Symbol" w:hint="default"/>
        <w:sz w:val="20"/>
      </w:rPr>
    </w:lvl>
    <w:lvl w:ilvl="2" w:tentative="1">
      <w:start w:val="1"/>
      <w:numFmt w:val="bullet"/>
      <w:lvlText w:val=""/>
      <w:lvlJc w:val="left"/>
      <w:pPr>
        <w:tabs>
          <w:tab w:val="num" w:pos="1024"/>
        </w:tabs>
        <w:ind w:left="1024" w:hanging="360"/>
      </w:pPr>
      <w:rPr>
        <w:rFonts w:ascii="Symbol" w:hAnsi="Symbol" w:hint="default"/>
        <w:sz w:val="20"/>
      </w:rPr>
    </w:lvl>
    <w:lvl w:ilvl="3" w:tentative="1">
      <w:start w:val="1"/>
      <w:numFmt w:val="bullet"/>
      <w:lvlText w:val=""/>
      <w:lvlJc w:val="left"/>
      <w:pPr>
        <w:tabs>
          <w:tab w:val="num" w:pos="1744"/>
        </w:tabs>
        <w:ind w:left="1744" w:hanging="360"/>
      </w:pPr>
      <w:rPr>
        <w:rFonts w:ascii="Symbol" w:hAnsi="Symbol" w:hint="default"/>
        <w:sz w:val="20"/>
      </w:rPr>
    </w:lvl>
    <w:lvl w:ilvl="4" w:tentative="1">
      <w:start w:val="1"/>
      <w:numFmt w:val="bullet"/>
      <w:lvlText w:val=""/>
      <w:lvlJc w:val="left"/>
      <w:pPr>
        <w:tabs>
          <w:tab w:val="num" w:pos="2464"/>
        </w:tabs>
        <w:ind w:left="2464" w:hanging="360"/>
      </w:pPr>
      <w:rPr>
        <w:rFonts w:ascii="Symbol" w:hAnsi="Symbol" w:hint="default"/>
        <w:sz w:val="20"/>
      </w:rPr>
    </w:lvl>
    <w:lvl w:ilvl="5" w:tentative="1">
      <w:start w:val="1"/>
      <w:numFmt w:val="bullet"/>
      <w:lvlText w:val=""/>
      <w:lvlJc w:val="left"/>
      <w:pPr>
        <w:tabs>
          <w:tab w:val="num" w:pos="3184"/>
        </w:tabs>
        <w:ind w:left="3184" w:hanging="360"/>
      </w:pPr>
      <w:rPr>
        <w:rFonts w:ascii="Symbol" w:hAnsi="Symbol" w:hint="default"/>
        <w:sz w:val="20"/>
      </w:rPr>
    </w:lvl>
    <w:lvl w:ilvl="6" w:tentative="1">
      <w:start w:val="1"/>
      <w:numFmt w:val="bullet"/>
      <w:lvlText w:val=""/>
      <w:lvlJc w:val="left"/>
      <w:pPr>
        <w:tabs>
          <w:tab w:val="num" w:pos="3904"/>
        </w:tabs>
        <w:ind w:left="3904" w:hanging="360"/>
      </w:pPr>
      <w:rPr>
        <w:rFonts w:ascii="Symbol" w:hAnsi="Symbol" w:hint="default"/>
        <w:sz w:val="20"/>
      </w:rPr>
    </w:lvl>
    <w:lvl w:ilvl="7" w:tentative="1">
      <w:start w:val="1"/>
      <w:numFmt w:val="bullet"/>
      <w:lvlText w:val=""/>
      <w:lvlJc w:val="left"/>
      <w:pPr>
        <w:tabs>
          <w:tab w:val="num" w:pos="4624"/>
        </w:tabs>
        <w:ind w:left="4624" w:hanging="360"/>
      </w:pPr>
      <w:rPr>
        <w:rFonts w:ascii="Symbol" w:hAnsi="Symbol" w:hint="default"/>
        <w:sz w:val="20"/>
      </w:rPr>
    </w:lvl>
    <w:lvl w:ilvl="8" w:tentative="1">
      <w:start w:val="1"/>
      <w:numFmt w:val="bullet"/>
      <w:lvlText w:val=""/>
      <w:lvlJc w:val="left"/>
      <w:pPr>
        <w:tabs>
          <w:tab w:val="num" w:pos="5344"/>
        </w:tabs>
        <w:ind w:left="5344" w:hanging="360"/>
      </w:pPr>
      <w:rPr>
        <w:rFonts w:ascii="Symbol" w:hAnsi="Symbol" w:hint="default"/>
        <w:sz w:val="20"/>
      </w:rPr>
    </w:lvl>
  </w:abstractNum>
  <w:abstractNum w:abstractNumId="27" w15:restartNumberingAfterBreak="0">
    <w:nsid w:val="630F7B93"/>
    <w:multiLevelType w:val="hybridMultilevel"/>
    <w:tmpl w:val="2BFCD89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63BB2E2D"/>
    <w:multiLevelType w:val="hybridMultilevel"/>
    <w:tmpl w:val="2F0E8CF6"/>
    <w:lvl w:ilvl="0" w:tplc="502E636C">
      <w:start w:val="1"/>
      <w:numFmt w:val="bullet"/>
      <w:lvlText w:val=""/>
      <w:lvlJc w:val="left"/>
      <w:pPr>
        <w:ind w:left="720" w:hanging="360"/>
      </w:pPr>
      <w:rPr>
        <w:rFonts w:ascii="Symbol" w:hAnsi="Symbol" w:hint="default"/>
      </w:rPr>
    </w:lvl>
    <w:lvl w:ilvl="1" w:tplc="822EA73C">
      <w:start w:val="1"/>
      <w:numFmt w:val="bullet"/>
      <w:lvlText w:val="o"/>
      <w:lvlJc w:val="left"/>
      <w:pPr>
        <w:ind w:left="1080" w:hanging="360"/>
      </w:pPr>
      <w:rPr>
        <w:rFonts w:ascii="Courier New" w:hAnsi="Courier New" w:hint="default"/>
      </w:rPr>
    </w:lvl>
    <w:lvl w:ilvl="2" w:tplc="2E7C9040">
      <w:start w:val="1"/>
      <w:numFmt w:val="bullet"/>
      <w:lvlText w:val=""/>
      <w:lvlJc w:val="left"/>
      <w:pPr>
        <w:ind w:left="2160" w:hanging="360"/>
      </w:pPr>
      <w:rPr>
        <w:rFonts w:ascii="Wingdings" w:hAnsi="Wingdings" w:hint="default"/>
      </w:rPr>
    </w:lvl>
    <w:lvl w:ilvl="3" w:tplc="81C042BE">
      <w:start w:val="1"/>
      <w:numFmt w:val="bullet"/>
      <w:lvlText w:val=""/>
      <w:lvlJc w:val="left"/>
      <w:pPr>
        <w:ind w:left="2880" w:hanging="360"/>
      </w:pPr>
      <w:rPr>
        <w:rFonts w:ascii="Symbol" w:hAnsi="Symbol" w:hint="default"/>
      </w:rPr>
    </w:lvl>
    <w:lvl w:ilvl="4" w:tplc="F3247668">
      <w:start w:val="1"/>
      <w:numFmt w:val="bullet"/>
      <w:lvlText w:val="o"/>
      <w:lvlJc w:val="left"/>
      <w:pPr>
        <w:ind w:left="3600" w:hanging="360"/>
      </w:pPr>
      <w:rPr>
        <w:rFonts w:ascii="Courier New" w:hAnsi="Courier New" w:hint="default"/>
      </w:rPr>
    </w:lvl>
    <w:lvl w:ilvl="5" w:tplc="19066556">
      <w:start w:val="1"/>
      <w:numFmt w:val="bullet"/>
      <w:lvlText w:val=""/>
      <w:lvlJc w:val="left"/>
      <w:pPr>
        <w:ind w:left="4320" w:hanging="360"/>
      </w:pPr>
      <w:rPr>
        <w:rFonts w:ascii="Wingdings" w:hAnsi="Wingdings" w:hint="default"/>
      </w:rPr>
    </w:lvl>
    <w:lvl w:ilvl="6" w:tplc="EB84B7F2">
      <w:start w:val="1"/>
      <w:numFmt w:val="bullet"/>
      <w:lvlText w:val=""/>
      <w:lvlJc w:val="left"/>
      <w:pPr>
        <w:ind w:left="5040" w:hanging="360"/>
      </w:pPr>
      <w:rPr>
        <w:rFonts w:ascii="Symbol" w:hAnsi="Symbol" w:hint="default"/>
      </w:rPr>
    </w:lvl>
    <w:lvl w:ilvl="7" w:tplc="2DF2F7A6">
      <w:start w:val="1"/>
      <w:numFmt w:val="bullet"/>
      <w:lvlText w:val="o"/>
      <w:lvlJc w:val="left"/>
      <w:pPr>
        <w:ind w:left="5760" w:hanging="360"/>
      </w:pPr>
      <w:rPr>
        <w:rFonts w:ascii="Courier New" w:hAnsi="Courier New" w:hint="default"/>
      </w:rPr>
    </w:lvl>
    <w:lvl w:ilvl="8" w:tplc="67D4BF40">
      <w:start w:val="1"/>
      <w:numFmt w:val="bullet"/>
      <w:lvlText w:val=""/>
      <w:lvlJc w:val="left"/>
      <w:pPr>
        <w:ind w:left="6480" w:hanging="360"/>
      </w:pPr>
      <w:rPr>
        <w:rFonts w:ascii="Wingdings" w:hAnsi="Wingdings" w:hint="default"/>
      </w:rPr>
    </w:lvl>
  </w:abstractNum>
  <w:abstractNum w:abstractNumId="29" w15:restartNumberingAfterBreak="0">
    <w:nsid w:val="684C00F7"/>
    <w:multiLevelType w:val="hybridMultilevel"/>
    <w:tmpl w:val="68C26B7C"/>
    <w:lvl w:ilvl="0" w:tplc="08090001">
      <w:start w:val="1"/>
      <w:numFmt w:val="bullet"/>
      <w:lvlText w:val=""/>
      <w:lvlJc w:val="left"/>
      <w:pPr>
        <w:ind w:left="770" w:hanging="360"/>
      </w:pPr>
      <w:rPr>
        <w:rFonts w:ascii="Symbol" w:hAnsi="Symbol" w:hint="default"/>
      </w:rPr>
    </w:lvl>
    <w:lvl w:ilvl="1" w:tplc="08090003">
      <w:start w:val="1"/>
      <w:numFmt w:val="bullet"/>
      <w:lvlText w:val="o"/>
      <w:lvlJc w:val="left"/>
      <w:pPr>
        <w:ind w:left="1490" w:hanging="360"/>
      </w:pPr>
      <w:rPr>
        <w:rFonts w:ascii="Courier New" w:hAnsi="Courier New" w:cs="Courier New" w:hint="default"/>
      </w:rPr>
    </w:lvl>
    <w:lvl w:ilvl="2" w:tplc="08090005">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30" w15:restartNumberingAfterBreak="0">
    <w:nsid w:val="6B9A414A"/>
    <w:multiLevelType w:val="hybridMultilevel"/>
    <w:tmpl w:val="098ED87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4F65527"/>
    <w:multiLevelType w:val="hybridMultilevel"/>
    <w:tmpl w:val="DDB051D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7B6E7457"/>
    <w:multiLevelType w:val="hybridMultilevel"/>
    <w:tmpl w:val="10AC10FC"/>
    <w:lvl w:ilvl="0" w:tplc="83FA8CA4">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DFB4760"/>
    <w:multiLevelType w:val="hybridMultilevel"/>
    <w:tmpl w:val="D950558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13"/>
  </w:num>
  <w:num w:numId="2">
    <w:abstractNumId w:val="16"/>
  </w:num>
  <w:num w:numId="3">
    <w:abstractNumId w:val="17"/>
  </w:num>
  <w:num w:numId="4">
    <w:abstractNumId w:val="20"/>
  </w:num>
  <w:num w:numId="5">
    <w:abstractNumId w:val="24"/>
  </w:num>
  <w:num w:numId="6">
    <w:abstractNumId w:val="32"/>
  </w:num>
  <w:num w:numId="7">
    <w:abstractNumId w:val="0"/>
  </w:num>
  <w:num w:numId="8">
    <w:abstractNumId w:val="21"/>
  </w:num>
  <w:num w:numId="9">
    <w:abstractNumId w:val="14"/>
  </w:num>
  <w:num w:numId="10">
    <w:abstractNumId w:val="9"/>
  </w:num>
  <w:num w:numId="11">
    <w:abstractNumId w:val="0"/>
  </w:num>
  <w:num w:numId="12">
    <w:abstractNumId w:val="2"/>
  </w:num>
  <w:num w:numId="13">
    <w:abstractNumId w:val="18"/>
  </w:num>
  <w:num w:numId="14">
    <w:abstractNumId w:val="6"/>
  </w:num>
  <w:num w:numId="15">
    <w:abstractNumId w:val="33"/>
  </w:num>
  <w:num w:numId="16">
    <w:abstractNumId w:val="12"/>
  </w:num>
  <w:num w:numId="17">
    <w:abstractNumId w:val="1"/>
  </w:num>
  <w:num w:numId="18">
    <w:abstractNumId w:val="4"/>
  </w:num>
  <w:num w:numId="19">
    <w:abstractNumId w:val="30"/>
  </w:num>
  <w:num w:numId="20">
    <w:abstractNumId w:val="31"/>
  </w:num>
  <w:num w:numId="21">
    <w:abstractNumId w:val="7"/>
  </w:num>
  <w:num w:numId="22">
    <w:abstractNumId w:val="25"/>
  </w:num>
  <w:num w:numId="23">
    <w:abstractNumId w:val="11"/>
  </w:num>
  <w:num w:numId="24">
    <w:abstractNumId w:val="19"/>
  </w:num>
  <w:num w:numId="25">
    <w:abstractNumId w:val="5"/>
  </w:num>
  <w:num w:numId="26">
    <w:abstractNumId w:val="15"/>
  </w:num>
  <w:num w:numId="27">
    <w:abstractNumId w:val="8"/>
  </w:num>
  <w:num w:numId="28">
    <w:abstractNumId w:val="26"/>
  </w:num>
  <w:num w:numId="29">
    <w:abstractNumId w:val="23"/>
  </w:num>
  <w:num w:numId="30">
    <w:abstractNumId w:val="22"/>
  </w:num>
  <w:num w:numId="31">
    <w:abstractNumId w:val="27"/>
  </w:num>
  <w:num w:numId="32">
    <w:abstractNumId w:val="3"/>
  </w:num>
  <w:num w:numId="33">
    <w:abstractNumId w:val="10"/>
  </w:num>
  <w:num w:numId="34">
    <w:abstractNumId w:val="28"/>
  </w:num>
  <w:num w:numId="35">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0&lt;/Enabled&gt;&lt;ScanUnformatted&gt;1&lt;/ScanUnformatted&gt;&lt;ScanChanges&gt;1&lt;/ScanChanges&gt;&lt;Suspended&gt;0&lt;/Suspended&gt;&lt;/ENInstantFormat&gt;"/>
    <w:docVar w:name="EN.Layout" w:val="&lt;ENLayout&gt;&lt;Style&gt;BMJ&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9txdr0wsara2zoefvr0v90f1d0wfvtrxfzsd&quot;&gt;Temp NN obesity validation&lt;record-ids&gt;&lt;item&gt;1&lt;/item&gt;&lt;item&gt;2&lt;/item&gt;&lt;item&gt;3&lt;/item&gt;&lt;item&gt;4&lt;/item&gt;&lt;item&gt;5&lt;/item&gt;&lt;item&gt;7&lt;/item&gt;&lt;item&gt;8&lt;/item&gt;&lt;item&gt;9&lt;/item&gt;&lt;item&gt;10&lt;/item&gt;&lt;item&gt;11&lt;/item&gt;&lt;item&gt;12&lt;/item&gt;&lt;item&gt;13&lt;/item&gt;&lt;item&gt;14&lt;/item&gt;&lt;item&gt;15&lt;/item&gt;&lt;item&gt;16&lt;/item&gt;&lt;item&gt;17&lt;/item&gt;&lt;item&gt;18&lt;/item&gt;&lt;item&gt;19&lt;/item&gt;&lt;item&gt;20&lt;/item&gt;&lt;item&gt;21&lt;/item&gt;&lt;item&gt;22&lt;/item&gt;&lt;item&gt;23&lt;/item&gt;&lt;item&gt;24&lt;/item&gt;&lt;item&gt;25&lt;/item&gt;&lt;item&gt;26&lt;/item&gt;&lt;item&gt;27&lt;/item&gt;&lt;item&gt;28&lt;/item&gt;&lt;item&gt;29&lt;/item&gt;&lt;item&gt;30&lt;/item&gt;&lt;item&gt;31&lt;/item&gt;&lt;item&gt;32&lt;/item&gt;&lt;item&gt;33&lt;/item&gt;&lt;item&gt;34&lt;/item&gt;&lt;item&gt;35&lt;/item&gt;&lt;item&gt;36&lt;/item&gt;&lt;item&gt;37&lt;/item&gt;&lt;item&gt;38&lt;/item&gt;&lt;item&gt;39&lt;/item&gt;&lt;item&gt;40&lt;/item&gt;&lt;item&gt;41&lt;/item&gt;&lt;item&gt;42&lt;/item&gt;&lt;item&gt;43&lt;/item&gt;&lt;item&gt;44&lt;/item&gt;&lt;item&gt;45&lt;/item&gt;&lt;item&gt;46&lt;/item&gt;&lt;item&gt;47&lt;/item&gt;&lt;item&gt;48&lt;/item&gt;&lt;item&gt;49&lt;/item&gt;&lt;item&gt;50&lt;/item&gt;&lt;/record-ids&gt;&lt;/item&gt;&lt;/Libraries&gt;"/>
  </w:docVars>
  <w:rsids>
    <w:rsidRoot w:val="00040CFE"/>
    <w:rsid w:val="00002235"/>
    <w:rsid w:val="00003FF4"/>
    <w:rsid w:val="00004B10"/>
    <w:rsid w:val="000062E9"/>
    <w:rsid w:val="0000654A"/>
    <w:rsid w:val="000070E9"/>
    <w:rsid w:val="00007255"/>
    <w:rsid w:val="00012F87"/>
    <w:rsid w:val="00013031"/>
    <w:rsid w:val="00013638"/>
    <w:rsid w:val="0001421C"/>
    <w:rsid w:val="000145F8"/>
    <w:rsid w:val="00015910"/>
    <w:rsid w:val="00016A67"/>
    <w:rsid w:val="00017711"/>
    <w:rsid w:val="00020430"/>
    <w:rsid w:val="0002045B"/>
    <w:rsid w:val="000228A1"/>
    <w:rsid w:val="00023F84"/>
    <w:rsid w:val="0002783F"/>
    <w:rsid w:val="00035EBB"/>
    <w:rsid w:val="00036C2C"/>
    <w:rsid w:val="000373FC"/>
    <w:rsid w:val="00040CFE"/>
    <w:rsid w:val="000416A7"/>
    <w:rsid w:val="000419DA"/>
    <w:rsid w:val="0004359B"/>
    <w:rsid w:val="000445FE"/>
    <w:rsid w:val="00044A4E"/>
    <w:rsid w:val="00050143"/>
    <w:rsid w:val="00050DED"/>
    <w:rsid w:val="000511CA"/>
    <w:rsid w:val="00051434"/>
    <w:rsid w:val="00051ED3"/>
    <w:rsid w:val="00052A35"/>
    <w:rsid w:val="000545CA"/>
    <w:rsid w:val="000561E3"/>
    <w:rsid w:val="00057CB7"/>
    <w:rsid w:val="000621D3"/>
    <w:rsid w:val="00062BBD"/>
    <w:rsid w:val="0006347C"/>
    <w:rsid w:val="00067E9B"/>
    <w:rsid w:val="0007086B"/>
    <w:rsid w:val="000711E7"/>
    <w:rsid w:val="00081BE3"/>
    <w:rsid w:val="00082B32"/>
    <w:rsid w:val="00082B68"/>
    <w:rsid w:val="000862E8"/>
    <w:rsid w:val="00086E96"/>
    <w:rsid w:val="00091243"/>
    <w:rsid w:val="00092197"/>
    <w:rsid w:val="000933C1"/>
    <w:rsid w:val="000963D8"/>
    <w:rsid w:val="00096D0D"/>
    <w:rsid w:val="0009738F"/>
    <w:rsid w:val="00097C23"/>
    <w:rsid w:val="00097EC1"/>
    <w:rsid w:val="000A00D5"/>
    <w:rsid w:val="000A0113"/>
    <w:rsid w:val="000A099D"/>
    <w:rsid w:val="000B3DE9"/>
    <w:rsid w:val="000B4543"/>
    <w:rsid w:val="000B4F22"/>
    <w:rsid w:val="000B5615"/>
    <w:rsid w:val="000B5BB2"/>
    <w:rsid w:val="000B62D1"/>
    <w:rsid w:val="000C175E"/>
    <w:rsid w:val="000C1C73"/>
    <w:rsid w:val="000C3169"/>
    <w:rsid w:val="000C383E"/>
    <w:rsid w:val="000C3CE0"/>
    <w:rsid w:val="000C4DB6"/>
    <w:rsid w:val="000C5059"/>
    <w:rsid w:val="000C5310"/>
    <w:rsid w:val="000C5F3C"/>
    <w:rsid w:val="000C7151"/>
    <w:rsid w:val="000C7484"/>
    <w:rsid w:val="000D0101"/>
    <w:rsid w:val="000D0750"/>
    <w:rsid w:val="000D11A3"/>
    <w:rsid w:val="000D1576"/>
    <w:rsid w:val="000D16DA"/>
    <w:rsid w:val="000D1B78"/>
    <w:rsid w:val="000D4887"/>
    <w:rsid w:val="000D5CCA"/>
    <w:rsid w:val="000D7646"/>
    <w:rsid w:val="000D7DB4"/>
    <w:rsid w:val="000E423D"/>
    <w:rsid w:val="000F0200"/>
    <w:rsid w:val="000F04EE"/>
    <w:rsid w:val="000F3744"/>
    <w:rsid w:val="000F386C"/>
    <w:rsid w:val="000F3C61"/>
    <w:rsid w:val="000F5820"/>
    <w:rsid w:val="000F7842"/>
    <w:rsid w:val="001026AA"/>
    <w:rsid w:val="00103B3C"/>
    <w:rsid w:val="00103B5B"/>
    <w:rsid w:val="00111C69"/>
    <w:rsid w:val="001158DB"/>
    <w:rsid w:val="00115F33"/>
    <w:rsid w:val="00116771"/>
    <w:rsid w:val="001232CD"/>
    <w:rsid w:val="00124D4E"/>
    <w:rsid w:val="001275B7"/>
    <w:rsid w:val="00127676"/>
    <w:rsid w:val="00131C60"/>
    <w:rsid w:val="00131D7B"/>
    <w:rsid w:val="00133215"/>
    <w:rsid w:val="00140A4B"/>
    <w:rsid w:val="0014168F"/>
    <w:rsid w:val="00143A21"/>
    <w:rsid w:val="00143C5D"/>
    <w:rsid w:val="00144EE4"/>
    <w:rsid w:val="0015164A"/>
    <w:rsid w:val="00153B2F"/>
    <w:rsid w:val="00154E34"/>
    <w:rsid w:val="00155B61"/>
    <w:rsid w:val="00155C21"/>
    <w:rsid w:val="001564EE"/>
    <w:rsid w:val="001566B3"/>
    <w:rsid w:val="00160401"/>
    <w:rsid w:val="00161053"/>
    <w:rsid w:val="00161724"/>
    <w:rsid w:val="00161D68"/>
    <w:rsid w:val="00161F0E"/>
    <w:rsid w:val="00162979"/>
    <w:rsid w:val="00164FEB"/>
    <w:rsid w:val="00165451"/>
    <w:rsid w:val="00165D91"/>
    <w:rsid w:val="00170E74"/>
    <w:rsid w:val="00177507"/>
    <w:rsid w:val="00180BC4"/>
    <w:rsid w:val="00181454"/>
    <w:rsid w:val="00182AB4"/>
    <w:rsid w:val="00183D56"/>
    <w:rsid w:val="001847CF"/>
    <w:rsid w:val="001858EF"/>
    <w:rsid w:val="00185C83"/>
    <w:rsid w:val="00186227"/>
    <w:rsid w:val="001901F9"/>
    <w:rsid w:val="00190688"/>
    <w:rsid w:val="001930E6"/>
    <w:rsid w:val="00193265"/>
    <w:rsid w:val="00193ED3"/>
    <w:rsid w:val="001A1B6D"/>
    <w:rsid w:val="001A23A3"/>
    <w:rsid w:val="001A7890"/>
    <w:rsid w:val="001B0781"/>
    <w:rsid w:val="001B331E"/>
    <w:rsid w:val="001B338A"/>
    <w:rsid w:val="001B39CA"/>
    <w:rsid w:val="001B6C43"/>
    <w:rsid w:val="001C0358"/>
    <w:rsid w:val="001C1859"/>
    <w:rsid w:val="001C26D0"/>
    <w:rsid w:val="001C3317"/>
    <w:rsid w:val="001C3340"/>
    <w:rsid w:val="001C480A"/>
    <w:rsid w:val="001C4873"/>
    <w:rsid w:val="001C6723"/>
    <w:rsid w:val="001C78A6"/>
    <w:rsid w:val="001D00CF"/>
    <w:rsid w:val="001D3192"/>
    <w:rsid w:val="001D32D8"/>
    <w:rsid w:val="001D5C68"/>
    <w:rsid w:val="001E2119"/>
    <w:rsid w:val="001E49ED"/>
    <w:rsid w:val="001E55AF"/>
    <w:rsid w:val="001F52E7"/>
    <w:rsid w:val="001F789A"/>
    <w:rsid w:val="001F7B02"/>
    <w:rsid w:val="00200350"/>
    <w:rsid w:val="00201E32"/>
    <w:rsid w:val="0020262A"/>
    <w:rsid w:val="002029C9"/>
    <w:rsid w:val="00204BA6"/>
    <w:rsid w:val="00205765"/>
    <w:rsid w:val="00205B42"/>
    <w:rsid w:val="002063CE"/>
    <w:rsid w:val="0020694A"/>
    <w:rsid w:val="00207B09"/>
    <w:rsid w:val="00210A13"/>
    <w:rsid w:val="00212312"/>
    <w:rsid w:val="0021260A"/>
    <w:rsid w:val="0021437C"/>
    <w:rsid w:val="0021457C"/>
    <w:rsid w:val="00224007"/>
    <w:rsid w:val="0022625B"/>
    <w:rsid w:val="00226C9A"/>
    <w:rsid w:val="00231A9C"/>
    <w:rsid w:val="0023239C"/>
    <w:rsid w:val="00232518"/>
    <w:rsid w:val="00235B19"/>
    <w:rsid w:val="00236406"/>
    <w:rsid w:val="00237D25"/>
    <w:rsid w:val="00241347"/>
    <w:rsid w:val="00245B8B"/>
    <w:rsid w:val="0024672B"/>
    <w:rsid w:val="00247FC7"/>
    <w:rsid w:val="002506E3"/>
    <w:rsid w:val="00251697"/>
    <w:rsid w:val="00253331"/>
    <w:rsid w:val="00254B1C"/>
    <w:rsid w:val="00254EB5"/>
    <w:rsid w:val="00255D32"/>
    <w:rsid w:val="002635B6"/>
    <w:rsid w:val="002646B7"/>
    <w:rsid w:val="0026474B"/>
    <w:rsid w:val="00265F98"/>
    <w:rsid w:val="00271A86"/>
    <w:rsid w:val="00271CA9"/>
    <w:rsid w:val="0027341B"/>
    <w:rsid w:val="00273DAB"/>
    <w:rsid w:val="002773ED"/>
    <w:rsid w:val="00283937"/>
    <w:rsid w:val="0028517B"/>
    <w:rsid w:val="002867C5"/>
    <w:rsid w:val="0029097B"/>
    <w:rsid w:val="00292802"/>
    <w:rsid w:val="00296A77"/>
    <w:rsid w:val="00297A36"/>
    <w:rsid w:val="002A0949"/>
    <w:rsid w:val="002A2EA7"/>
    <w:rsid w:val="002A3B80"/>
    <w:rsid w:val="002A4822"/>
    <w:rsid w:val="002A4AEC"/>
    <w:rsid w:val="002A6806"/>
    <w:rsid w:val="002A6E49"/>
    <w:rsid w:val="002A7D22"/>
    <w:rsid w:val="002B0A7F"/>
    <w:rsid w:val="002B331B"/>
    <w:rsid w:val="002B5888"/>
    <w:rsid w:val="002B62F3"/>
    <w:rsid w:val="002B6D34"/>
    <w:rsid w:val="002B6E05"/>
    <w:rsid w:val="002C2511"/>
    <w:rsid w:val="002C2ED7"/>
    <w:rsid w:val="002C4280"/>
    <w:rsid w:val="002C4F66"/>
    <w:rsid w:val="002C551E"/>
    <w:rsid w:val="002C59F1"/>
    <w:rsid w:val="002C71D2"/>
    <w:rsid w:val="002D0ADB"/>
    <w:rsid w:val="002D0F89"/>
    <w:rsid w:val="002D1B24"/>
    <w:rsid w:val="002D2769"/>
    <w:rsid w:val="002D40CF"/>
    <w:rsid w:val="002D4EA5"/>
    <w:rsid w:val="002D6669"/>
    <w:rsid w:val="002D6FF6"/>
    <w:rsid w:val="002D7B76"/>
    <w:rsid w:val="002E292B"/>
    <w:rsid w:val="002E4472"/>
    <w:rsid w:val="002E6645"/>
    <w:rsid w:val="002F23FD"/>
    <w:rsid w:val="002F4A1D"/>
    <w:rsid w:val="002F51A2"/>
    <w:rsid w:val="002F6310"/>
    <w:rsid w:val="002F6E6A"/>
    <w:rsid w:val="002F6FF8"/>
    <w:rsid w:val="002F7370"/>
    <w:rsid w:val="00300468"/>
    <w:rsid w:val="00303D25"/>
    <w:rsid w:val="00305D17"/>
    <w:rsid w:val="003069F6"/>
    <w:rsid w:val="00306BD6"/>
    <w:rsid w:val="003072A0"/>
    <w:rsid w:val="003076D9"/>
    <w:rsid w:val="003141B6"/>
    <w:rsid w:val="003160D7"/>
    <w:rsid w:val="003175CB"/>
    <w:rsid w:val="003205B2"/>
    <w:rsid w:val="003217B5"/>
    <w:rsid w:val="00323A08"/>
    <w:rsid w:val="00324CD2"/>
    <w:rsid w:val="00326399"/>
    <w:rsid w:val="0032735B"/>
    <w:rsid w:val="00330C27"/>
    <w:rsid w:val="00333427"/>
    <w:rsid w:val="003339AC"/>
    <w:rsid w:val="00333A9D"/>
    <w:rsid w:val="003356ED"/>
    <w:rsid w:val="00335B8A"/>
    <w:rsid w:val="00336521"/>
    <w:rsid w:val="00336695"/>
    <w:rsid w:val="00344C0E"/>
    <w:rsid w:val="00345896"/>
    <w:rsid w:val="00346168"/>
    <w:rsid w:val="00346938"/>
    <w:rsid w:val="00346CF8"/>
    <w:rsid w:val="003470BC"/>
    <w:rsid w:val="00347B96"/>
    <w:rsid w:val="003505C1"/>
    <w:rsid w:val="003513FB"/>
    <w:rsid w:val="003524ED"/>
    <w:rsid w:val="00352D3D"/>
    <w:rsid w:val="0035376D"/>
    <w:rsid w:val="00356D52"/>
    <w:rsid w:val="00356D6C"/>
    <w:rsid w:val="00360094"/>
    <w:rsid w:val="00363975"/>
    <w:rsid w:val="003642D5"/>
    <w:rsid w:val="00364371"/>
    <w:rsid w:val="003647FB"/>
    <w:rsid w:val="00364EA2"/>
    <w:rsid w:val="0036787A"/>
    <w:rsid w:val="0036CF1B"/>
    <w:rsid w:val="0037115A"/>
    <w:rsid w:val="003713C8"/>
    <w:rsid w:val="00371F34"/>
    <w:rsid w:val="00373512"/>
    <w:rsid w:val="003737BB"/>
    <w:rsid w:val="00373A61"/>
    <w:rsid w:val="00373EB9"/>
    <w:rsid w:val="00374050"/>
    <w:rsid w:val="003763AD"/>
    <w:rsid w:val="00376A0C"/>
    <w:rsid w:val="00380C3B"/>
    <w:rsid w:val="00380F53"/>
    <w:rsid w:val="00381171"/>
    <w:rsid w:val="00383C26"/>
    <w:rsid w:val="003841FF"/>
    <w:rsid w:val="003858A7"/>
    <w:rsid w:val="00385D5F"/>
    <w:rsid w:val="0039153C"/>
    <w:rsid w:val="00392613"/>
    <w:rsid w:val="0039366D"/>
    <w:rsid w:val="00393DCC"/>
    <w:rsid w:val="003972C0"/>
    <w:rsid w:val="003A153B"/>
    <w:rsid w:val="003A219B"/>
    <w:rsid w:val="003A24DC"/>
    <w:rsid w:val="003A33BB"/>
    <w:rsid w:val="003A589E"/>
    <w:rsid w:val="003A64CF"/>
    <w:rsid w:val="003A70E3"/>
    <w:rsid w:val="003A79A4"/>
    <w:rsid w:val="003B0673"/>
    <w:rsid w:val="003B0B4F"/>
    <w:rsid w:val="003B0EFA"/>
    <w:rsid w:val="003B2FBF"/>
    <w:rsid w:val="003B3927"/>
    <w:rsid w:val="003B3D96"/>
    <w:rsid w:val="003B60A0"/>
    <w:rsid w:val="003C208C"/>
    <w:rsid w:val="003C29F9"/>
    <w:rsid w:val="003C2E67"/>
    <w:rsid w:val="003C329D"/>
    <w:rsid w:val="003D0C6A"/>
    <w:rsid w:val="003D12C5"/>
    <w:rsid w:val="003D1313"/>
    <w:rsid w:val="003D1983"/>
    <w:rsid w:val="003D27F1"/>
    <w:rsid w:val="003D32E6"/>
    <w:rsid w:val="003D4E72"/>
    <w:rsid w:val="003E0602"/>
    <w:rsid w:val="003E1E3A"/>
    <w:rsid w:val="003E4D99"/>
    <w:rsid w:val="003E6F80"/>
    <w:rsid w:val="003E7D6B"/>
    <w:rsid w:val="003F0CE2"/>
    <w:rsid w:val="003F166B"/>
    <w:rsid w:val="003F3088"/>
    <w:rsid w:val="003F44F6"/>
    <w:rsid w:val="003F4759"/>
    <w:rsid w:val="003F4834"/>
    <w:rsid w:val="003F6B66"/>
    <w:rsid w:val="003F6FB3"/>
    <w:rsid w:val="0040579A"/>
    <w:rsid w:val="00405CC3"/>
    <w:rsid w:val="00405E76"/>
    <w:rsid w:val="004107A1"/>
    <w:rsid w:val="004109D5"/>
    <w:rsid w:val="004118B2"/>
    <w:rsid w:val="00412EBE"/>
    <w:rsid w:val="004131F8"/>
    <w:rsid w:val="00413CA7"/>
    <w:rsid w:val="0041444E"/>
    <w:rsid w:val="004149CA"/>
    <w:rsid w:val="00414B4D"/>
    <w:rsid w:val="00416485"/>
    <w:rsid w:val="00416923"/>
    <w:rsid w:val="004223DA"/>
    <w:rsid w:val="00422C3D"/>
    <w:rsid w:val="00422E71"/>
    <w:rsid w:val="00424747"/>
    <w:rsid w:val="00425B45"/>
    <w:rsid w:val="00427859"/>
    <w:rsid w:val="00430130"/>
    <w:rsid w:val="00430752"/>
    <w:rsid w:val="004315E3"/>
    <w:rsid w:val="00433488"/>
    <w:rsid w:val="00433A2C"/>
    <w:rsid w:val="00433BDD"/>
    <w:rsid w:val="0043402D"/>
    <w:rsid w:val="0043447D"/>
    <w:rsid w:val="00434F19"/>
    <w:rsid w:val="00435BB3"/>
    <w:rsid w:val="004361EC"/>
    <w:rsid w:val="0043626E"/>
    <w:rsid w:val="00437E8E"/>
    <w:rsid w:val="00440F6D"/>
    <w:rsid w:val="00441C83"/>
    <w:rsid w:val="004437ED"/>
    <w:rsid w:val="004448B0"/>
    <w:rsid w:val="00446C38"/>
    <w:rsid w:val="00452312"/>
    <w:rsid w:val="004527F1"/>
    <w:rsid w:val="0045368C"/>
    <w:rsid w:val="004551BC"/>
    <w:rsid w:val="00457107"/>
    <w:rsid w:val="00460ABC"/>
    <w:rsid w:val="00460FC3"/>
    <w:rsid w:val="0046366A"/>
    <w:rsid w:val="004645DE"/>
    <w:rsid w:val="004661E0"/>
    <w:rsid w:val="00467581"/>
    <w:rsid w:val="004676EA"/>
    <w:rsid w:val="00470693"/>
    <w:rsid w:val="004717C9"/>
    <w:rsid w:val="004728A6"/>
    <w:rsid w:val="00474641"/>
    <w:rsid w:val="0047718F"/>
    <w:rsid w:val="00477485"/>
    <w:rsid w:val="0047793A"/>
    <w:rsid w:val="00477FCC"/>
    <w:rsid w:val="0048000B"/>
    <w:rsid w:val="00480582"/>
    <w:rsid w:val="00480D42"/>
    <w:rsid w:val="004817B3"/>
    <w:rsid w:val="00481BA2"/>
    <w:rsid w:val="00481FB9"/>
    <w:rsid w:val="004831BE"/>
    <w:rsid w:val="00483E40"/>
    <w:rsid w:val="004844C2"/>
    <w:rsid w:val="00487CBC"/>
    <w:rsid w:val="004903EF"/>
    <w:rsid w:val="00490D19"/>
    <w:rsid w:val="00490F11"/>
    <w:rsid w:val="004926CA"/>
    <w:rsid w:val="00492BFF"/>
    <w:rsid w:val="004969FF"/>
    <w:rsid w:val="004A1414"/>
    <w:rsid w:val="004A2D97"/>
    <w:rsid w:val="004A5BB7"/>
    <w:rsid w:val="004A605D"/>
    <w:rsid w:val="004A62E2"/>
    <w:rsid w:val="004A7FA3"/>
    <w:rsid w:val="004B25FC"/>
    <w:rsid w:val="004B3CFD"/>
    <w:rsid w:val="004B5300"/>
    <w:rsid w:val="004B64D4"/>
    <w:rsid w:val="004B6C4E"/>
    <w:rsid w:val="004C0657"/>
    <w:rsid w:val="004C2E77"/>
    <w:rsid w:val="004C31AB"/>
    <w:rsid w:val="004D1432"/>
    <w:rsid w:val="004D1C91"/>
    <w:rsid w:val="004D387F"/>
    <w:rsid w:val="004D4466"/>
    <w:rsid w:val="004E1A68"/>
    <w:rsid w:val="004E2495"/>
    <w:rsid w:val="004E408B"/>
    <w:rsid w:val="004E59FD"/>
    <w:rsid w:val="004E6866"/>
    <w:rsid w:val="004E7921"/>
    <w:rsid w:val="004F0FE4"/>
    <w:rsid w:val="004F18B4"/>
    <w:rsid w:val="004F1CA2"/>
    <w:rsid w:val="00500D66"/>
    <w:rsid w:val="00501D6E"/>
    <w:rsid w:val="00504BFD"/>
    <w:rsid w:val="0050512C"/>
    <w:rsid w:val="00505AF5"/>
    <w:rsid w:val="00505B02"/>
    <w:rsid w:val="00511F64"/>
    <w:rsid w:val="00512786"/>
    <w:rsid w:val="00513A44"/>
    <w:rsid w:val="0051568F"/>
    <w:rsid w:val="00515FA2"/>
    <w:rsid w:val="00517989"/>
    <w:rsid w:val="00521D7B"/>
    <w:rsid w:val="0052228B"/>
    <w:rsid w:val="00522948"/>
    <w:rsid w:val="00525C4E"/>
    <w:rsid w:val="00533900"/>
    <w:rsid w:val="00533B1E"/>
    <w:rsid w:val="00534670"/>
    <w:rsid w:val="00535F5B"/>
    <w:rsid w:val="005429D3"/>
    <w:rsid w:val="00547E34"/>
    <w:rsid w:val="00550884"/>
    <w:rsid w:val="00552047"/>
    <w:rsid w:val="00552679"/>
    <w:rsid w:val="00552735"/>
    <w:rsid w:val="00553BEC"/>
    <w:rsid w:val="0055486A"/>
    <w:rsid w:val="00555E5E"/>
    <w:rsid w:val="0056446D"/>
    <w:rsid w:val="00567DEA"/>
    <w:rsid w:val="00570735"/>
    <w:rsid w:val="00570E22"/>
    <w:rsid w:val="00571FC3"/>
    <w:rsid w:val="00573BE6"/>
    <w:rsid w:val="0057403D"/>
    <w:rsid w:val="0057645A"/>
    <w:rsid w:val="00576715"/>
    <w:rsid w:val="00580830"/>
    <w:rsid w:val="005867FD"/>
    <w:rsid w:val="00587067"/>
    <w:rsid w:val="00591AD7"/>
    <w:rsid w:val="005928D6"/>
    <w:rsid w:val="00594D8C"/>
    <w:rsid w:val="005B2FC0"/>
    <w:rsid w:val="005B3C9D"/>
    <w:rsid w:val="005B4416"/>
    <w:rsid w:val="005B4436"/>
    <w:rsid w:val="005B5CE9"/>
    <w:rsid w:val="005B6823"/>
    <w:rsid w:val="005C01CD"/>
    <w:rsid w:val="005C2AEF"/>
    <w:rsid w:val="005C3B24"/>
    <w:rsid w:val="005C5C48"/>
    <w:rsid w:val="005C6B51"/>
    <w:rsid w:val="005C782C"/>
    <w:rsid w:val="005D1309"/>
    <w:rsid w:val="005D1739"/>
    <w:rsid w:val="005D2BAE"/>
    <w:rsid w:val="005D2E34"/>
    <w:rsid w:val="005D78FE"/>
    <w:rsid w:val="005E0296"/>
    <w:rsid w:val="005E393A"/>
    <w:rsid w:val="005E5506"/>
    <w:rsid w:val="005E60F5"/>
    <w:rsid w:val="005E655F"/>
    <w:rsid w:val="005E7CEB"/>
    <w:rsid w:val="005F1725"/>
    <w:rsid w:val="005F1B32"/>
    <w:rsid w:val="005F34BD"/>
    <w:rsid w:val="005F3643"/>
    <w:rsid w:val="005F5B75"/>
    <w:rsid w:val="005F6CA1"/>
    <w:rsid w:val="005F7A9B"/>
    <w:rsid w:val="006000F7"/>
    <w:rsid w:val="00601D1C"/>
    <w:rsid w:val="00602CF8"/>
    <w:rsid w:val="00604B1B"/>
    <w:rsid w:val="006052D2"/>
    <w:rsid w:val="00606C10"/>
    <w:rsid w:val="00610A4B"/>
    <w:rsid w:val="006112C0"/>
    <w:rsid w:val="00614636"/>
    <w:rsid w:val="006153A8"/>
    <w:rsid w:val="006200EC"/>
    <w:rsid w:val="00620BE6"/>
    <w:rsid w:val="00621F4F"/>
    <w:rsid w:val="00626678"/>
    <w:rsid w:val="00626878"/>
    <w:rsid w:val="00626A24"/>
    <w:rsid w:val="00630654"/>
    <w:rsid w:val="006327D8"/>
    <w:rsid w:val="00633168"/>
    <w:rsid w:val="0063556F"/>
    <w:rsid w:val="0063670D"/>
    <w:rsid w:val="0064256B"/>
    <w:rsid w:val="00642685"/>
    <w:rsid w:val="00643B23"/>
    <w:rsid w:val="00644BC3"/>
    <w:rsid w:val="00647AA6"/>
    <w:rsid w:val="00650608"/>
    <w:rsid w:val="0065522D"/>
    <w:rsid w:val="006565E0"/>
    <w:rsid w:val="006600A3"/>
    <w:rsid w:val="006607DC"/>
    <w:rsid w:val="00663C22"/>
    <w:rsid w:val="0066725B"/>
    <w:rsid w:val="00676592"/>
    <w:rsid w:val="00676AE5"/>
    <w:rsid w:val="00677073"/>
    <w:rsid w:val="00677808"/>
    <w:rsid w:val="0068114E"/>
    <w:rsid w:val="0068192E"/>
    <w:rsid w:val="00681F16"/>
    <w:rsid w:val="00685566"/>
    <w:rsid w:val="00691F55"/>
    <w:rsid w:val="00694DE7"/>
    <w:rsid w:val="006951DB"/>
    <w:rsid w:val="00695800"/>
    <w:rsid w:val="00697D23"/>
    <w:rsid w:val="006A098C"/>
    <w:rsid w:val="006B00EE"/>
    <w:rsid w:val="006B0E57"/>
    <w:rsid w:val="006B6294"/>
    <w:rsid w:val="006B6AB9"/>
    <w:rsid w:val="006B7E43"/>
    <w:rsid w:val="006C2EF9"/>
    <w:rsid w:val="006C3EE0"/>
    <w:rsid w:val="006C4056"/>
    <w:rsid w:val="006C5221"/>
    <w:rsid w:val="006C6CD3"/>
    <w:rsid w:val="006C7477"/>
    <w:rsid w:val="006C7B66"/>
    <w:rsid w:val="006D002C"/>
    <w:rsid w:val="006D1A40"/>
    <w:rsid w:val="006D2C45"/>
    <w:rsid w:val="006D3D69"/>
    <w:rsid w:val="006D49AD"/>
    <w:rsid w:val="006D50E1"/>
    <w:rsid w:val="006D67CC"/>
    <w:rsid w:val="006D7E56"/>
    <w:rsid w:val="006D7FC4"/>
    <w:rsid w:val="006E11EB"/>
    <w:rsid w:val="006E1B24"/>
    <w:rsid w:val="006E3C3F"/>
    <w:rsid w:val="006E471E"/>
    <w:rsid w:val="006E5600"/>
    <w:rsid w:val="006E7665"/>
    <w:rsid w:val="006F184E"/>
    <w:rsid w:val="006F2FC7"/>
    <w:rsid w:val="006F4C1B"/>
    <w:rsid w:val="006F63CD"/>
    <w:rsid w:val="00700B60"/>
    <w:rsid w:val="0070169A"/>
    <w:rsid w:val="007026FF"/>
    <w:rsid w:val="0071049F"/>
    <w:rsid w:val="00710954"/>
    <w:rsid w:val="0072027D"/>
    <w:rsid w:val="00722C68"/>
    <w:rsid w:val="00722E02"/>
    <w:rsid w:val="00723FFE"/>
    <w:rsid w:val="00724099"/>
    <w:rsid w:val="0072429C"/>
    <w:rsid w:val="00724B6E"/>
    <w:rsid w:val="00726311"/>
    <w:rsid w:val="00726338"/>
    <w:rsid w:val="00730899"/>
    <w:rsid w:val="007326C2"/>
    <w:rsid w:val="00733654"/>
    <w:rsid w:val="007347AF"/>
    <w:rsid w:val="00734DAD"/>
    <w:rsid w:val="00735590"/>
    <w:rsid w:val="0074029B"/>
    <w:rsid w:val="007420D7"/>
    <w:rsid w:val="007427D5"/>
    <w:rsid w:val="0074381F"/>
    <w:rsid w:val="00744799"/>
    <w:rsid w:val="0075064C"/>
    <w:rsid w:val="00757035"/>
    <w:rsid w:val="0076052A"/>
    <w:rsid w:val="007628A0"/>
    <w:rsid w:val="007630BA"/>
    <w:rsid w:val="00764E60"/>
    <w:rsid w:val="00765BE7"/>
    <w:rsid w:val="0076750F"/>
    <w:rsid w:val="00770572"/>
    <w:rsid w:val="007731D3"/>
    <w:rsid w:val="00773376"/>
    <w:rsid w:val="007738E5"/>
    <w:rsid w:val="007829FF"/>
    <w:rsid w:val="007849AC"/>
    <w:rsid w:val="00784FE5"/>
    <w:rsid w:val="00785A52"/>
    <w:rsid w:val="00785F94"/>
    <w:rsid w:val="00791A13"/>
    <w:rsid w:val="00795081"/>
    <w:rsid w:val="00795A26"/>
    <w:rsid w:val="0079774A"/>
    <w:rsid w:val="007A2F0C"/>
    <w:rsid w:val="007A6E45"/>
    <w:rsid w:val="007A6F6D"/>
    <w:rsid w:val="007A7109"/>
    <w:rsid w:val="007A730E"/>
    <w:rsid w:val="007B0621"/>
    <w:rsid w:val="007B2F94"/>
    <w:rsid w:val="007B683C"/>
    <w:rsid w:val="007C11E7"/>
    <w:rsid w:val="007C1A08"/>
    <w:rsid w:val="007C3C66"/>
    <w:rsid w:val="007C507F"/>
    <w:rsid w:val="007D1FDD"/>
    <w:rsid w:val="007D5949"/>
    <w:rsid w:val="007D747E"/>
    <w:rsid w:val="007E0D67"/>
    <w:rsid w:val="007E1939"/>
    <w:rsid w:val="007E2B23"/>
    <w:rsid w:val="007E32AB"/>
    <w:rsid w:val="007E6232"/>
    <w:rsid w:val="007E62DB"/>
    <w:rsid w:val="007E7202"/>
    <w:rsid w:val="007E72BB"/>
    <w:rsid w:val="007F06D9"/>
    <w:rsid w:val="007F27EF"/>
    <w:rsid w:val="007F4762"/>
    <w:rsid w:val="007F68A1"/>
    <w:rsid w:val="007F6B35"/>
    <w:rsid w:val="007F6E76"/>
    <w:rsid w:val="007F73D0"/>
    <w:rsid w:val="007F76FC"/>
    <w:rsid w:val="00803425"/>
    <w:rsid w:val="00803F30"/>
    <w:rsid w:val="008049C7"/>
    <w:rsid w:val="008058B0"/>
    <w:rsid w:val="00805C4E"/>
    <w:rsid w:val="00806102"/>
    <w:rsid w:val="008064F0"/>
    <w:rsid w:val="00806920"/>
    <w:rsid w:val="00806E07"/>
    <w:rsid w:val="00810079"/>
    <w:rsid w:val="008108AD"/>
    <w:rsid w:val="00811017"/>
    <w:rsid w:val="00812076"/>
    <w:rsid w:val="0081382F"/>
    <w:rsid w:val="00813DA2"/>
    <w:rsid w:val="00820001"/>
    <w:rsid w:val="00821101"/>
    <w:rsid w:val="00821D92"/>
    <w:rsid w:val="008229CE"/>
    <w:rsid w:val="00822ECD"/>
    <w:rsid w:val="00823097"/>
    <w:rsid w:val="00826A2F"/>
    <w:rsid w:val="00826C8B"/>
    <w:rsid w:val="00830ADA"/>
    <w:rsid w:val="0083131D"/>
    <w:rsid w:val="008317A5"/>
    <w:rsid w:val="00831AC7"/>
    <w:rsid w:val="00833A86"/>
    <w:rsid w:val="008352BF"/>
    <w:rsid w:val="00835509"/>
    <w:rsid w:val="00836727"/>
    <w:rsid w:val="0084176D"/>
    <w:rsid w:val="0084209F"/>
    <w:rsid w:val="00842648"/>
    <w:rsid w:val="00843E28"/>
    <w:rsid w:val="00844156"/>
    <w:rsid w:val="008442E0"/>
    <w:rsid w:val="00845D2A"/>
    <w:rsid w:val="00850F8F"/>
    <w:rsid w:val="00851B8F"/>
    <w:rsid w:val="00851DB4"/>
    <w:rsid w:val="00852DB1"/>
    <w:rsid w:val="00855FCC"/>
    <w:rsid w:val="00856ED2"/>
    <w:rsid w:val="008570F9"/>
    <w:rsid w:val="00857542"/>
    <w:rsid w:val="00857B51"/>
    <w:rsid w:val="00860EA1"/>
    <w:rsid w:val="008624DB"/>
    <w:rsid w:val="00864D7C"/>
    <w:rsid w:val="00866391"/>
    <w:rsid w:val="00867B4D"/>
    <w:rsid w:val="0087096B"/>
    <w:rsid w:val="0087241B"/>
    <w:rsid w:val="008731C2"/>
    <w:rsid w:val="008733F6"/>
    <w:rsid w:val="0087528F"/>
    <w:rsid w:val="00875FFF"/>
    <w:rsid w:val="008807CA"/>
    <w:rsid w:val="008821B6"/>
    <w:rsid w:val="0088296F"/>
    <w:rsid w:val="0088433C"/>
    <w:rsid w:val="008851E4"/>
    <w:rsid w:val="00885276"/>
    <w:rsid w:val="008862EA"/>
    <w:rsid w:val="0089346E"/>
    <w:rsid w:val="0089411C"/>
    <w:rsid w:val="00896596"/>
    <w:rsid w:val="008979E3"/>
    <w:rsid w:val="008A09EB"/>
    <w:rsid w:val="008A20B0"/>
    <w:rsid w:val="008A4394"/>
    <w:rsid w:val="008A4EA5"/>
    <w:rsid w:val="008A588A"/>
    <w:rsid w:val="008A5E0F"/>
    <w:rsid w:val="008A6037"/>
    <w:rsid w:val="008B37BE"/>
    <w:rsid w:val="008B399C"/>
    <w:rsid w:val="008B4A5A"/>
    <w:rsid w:val="008B613D"/>
    <w:rsid w:val="008B68D3"/>
    <w:rsid w:val="008B6FA7"/>
    <w:rsid w:val="008C1D4D"/>
    <w:rsid w:val="008C2384"/>
    <w:rsid w:val="008C3511"/>
    <w:rsid w:val="008C3A5D"/>
    <w:rsid w:val="008C3AEB"/>
    <w:rsid w:val="008C45EC"/>
    <w:rsid w:val="008C4658"/>
    <w:rsid w:val="008C5F33"/>
    <w:rsid w:val="008C6484"/>
    <w:rsid w:val="008C661E"/>
    <w:rsid w:val="008D01CF"/>
    <w:rsid w:val="008D3828"/>
    <w:rsid w:val="008D3A4D"/>
    <w:rsid w:val="008D3D0C"/>
    <w:rsid w:val="008D75AF"/>
    <w:rsid w:val="008E05D6"/>
    <w:rsid w:val="008E1068"/>
    <w:rsid w:val="008E18CE"/>
    <w:rsid w:val="008E4BE3"/>
    <w:rsid w:val="008E6E3C"/>
    <w:rsid w:val="008E7D9E"/>
    <w:rsid w:val="008F0C5D"/>
    <w:rsid w:val="008F1C9F"/>
    <w:rsid w:val="008F4E09"/>
    <w:rsid w:val="008F519D"/>
    <w:rsid w:val="008F605A"/>
    <w:rsid w:val="008F6D1E"/>
    <w:rsid w:val="0090298A"/>
    <w:rsid w:val="00912772"/>
    <w:rsid w:val="00914352"/>
    <w:rsid w:val="00914714"/>
    <w:rsid w:val="00915380"/>
    <w:rsid w:val="0091632C"/>
    <w:rsid w:val="0091659E"/>
    <w:rsid w:val="00917B7B"/>
    <w:rsid w:val="00920942"/>
    <w:rsid w:val="009223A1"/>
    <w:rsid w:val="0092557A"/>
    <w:rsid w:val="00926E47"/>
    <w:rsid w:val="00933681"/>
    <w:rsid w:val="0093627E"/>
    <w:rsid w:val="00941425"/>
    <w:rsid w:val="00943752"/>
    <w:rsid w:val="00943BE9"/>
    <w:rsid w:val="009448C8"/>
    <w:rsid w:val="00951CFE"/>
    <w:rsid w:val="00951DA1"/>
    <w:rsid w:val="00952F85"/>
    <w:rsid w:val="00954B46"/>
    <w:rsid w:val="00954BB1"/>
    <w:rsid w:val="00956078"/>
    <w:rsid w:val="00962810"/>
    <w:rsid w:val="0096497D"/>
    <w:rsid w:val="00965110"/>
    <w:rsid w:val="00966180"/>
    <w:rsid w:val="009676B3"/>
    <w:rsid w:val="00967E18"/>
    <w:rsid w:val="00970C4C"/>
    <w:rsid w:val="00970F91"/>
    <w:rsid w:val="00973D64"/>
    <w:rsid w:val="009754A4"/>
    <w:rsid w:val="009763F7"/>
    <w:rsid w:val="0097769D"/>
    <w:rsid w:val="00981332"/>
    <w:rsid w:val="00983BD4"/>
    <w:rsid w:val="00984012"/>
    <w:rsid w:val="0098641F"/>
    <w:rsid w:val="00986837"/>
    <w:rsid w:val="00987C61"/>
    <w:rsid w:val="00990C2B"/>
    <w:rsid w:val="00993714"/>
    <w:rsid w:val="00995A11"/>
    <w:rsid w:val="00997B22"/>
    <w:rsid w:val="009A00FD"/>
    <w:rsid w:val="009A1B73"/>
    <w:rsid w:val="009A3E81"/>
    <w:rsid w:val="009A4C16"/>
    <w:rsid w:val="009A5814"/>
    <w:rsid w:val="009A7D82"/>
    <w:rsid w:val="009B0AAB"/>
    <w:rsid w:val="009B141C"/>
    <w:rsid w:val="009B148F"/>
    <w:rsid w:val="009B2331"/>
    <w:rsid w:val="009B44C7"/>
    <w:rsid w:val="009B4934"/>
    <w:rsid w:val="009B4F67"/>
    <w:rsid w:val="009B7331"/>
    <w:rsid w:val="009C156F"/>
    <w:rsid w:val="009C4CEE"/>
    <w:rsid w:val="009C4DDD"/>
    <w:rsid w:val="009C5311"/>
    <w:rsid w:val="009C6498"/>
    <w:rsid w:val="009C7D23"/>
    <w:rsid w:val="009D1290"/>
    <w:rsid w:val="009D17DD"/>
    <w:rsid w:val="009D1D75"/>
    <w:rsid w:val="009E032A"/>
    <w:rsid w:val="009E2B6C"/>
    <w:rsid w:val="009E385A"/>
    <w:rsid w:val="009E7A3F"/>
    <w:rsid w:val="009F18BA"/>
    <w:rsid w:val="009F2801"/>
    <w:rsid w:val="009F2898"/>
    <w:rsid w:val="009F3E47"/>
    <w:rsid w:val="009F487A"/>
    <w:rsid w:val="009F6D17"/>
    <w:rsid w:val="009F78DC"/>
    <w:rsid w:val="00A01BCB"/>
    <w:rsid w:val="00A01D5A"/>
    <w:rsid w:val="00A01E75"/>
    <w:rsid w:val="00A02759"/>
    <w:rsid w:val="00A03EE0"/>
    <w:rsid w:val="00A06366"/>
    <w:rsid w:val="00A06912"/>
    <w:rsid w:val="00A12D57"/>
    <w:rsid w:val="00A1483B"/>
    <w:rsid w:val="00A14E16"/>
    <w:rsid w:val="00A15B3A"/>
    <w:rsid w:val="00A15DBC"/>
    <w:rsid w:val="00A1683F"/>
    <w:rsid w:val="00A20379"/>
    <w:rsid w:val="00A2215D"/>
    <w:rsid w:val="00A25453"/>
    <w:rsid w:val="00A267CC"/>
    <w:rsid w:val="00A3092F"/>
    <w:rsid w:val="00A31DCD"/>
    <w:rsid w:val="00A33CEF"/>
    <w:rsid w:val="00A34148"/>
    <w:rsid w:val="00A34F67"/>
    <w:rsid w:val="00A35F14"/>
    <w:rsid w:val="00A3607D"/>
    <w:rsid w:val="00A3790F"/>
    <w:rsid w:val="00A40211"/>
    <w:rsid w:val="00A406AB"/>
    <w:rsid w:val="00A4131C"/>
    <w:rsid w:val="00A43F2D"/>
    <w:rsid w:val="00A45D04"/>
    <w:rsid w:val="00A4611A"/>
    <w:rsid w:val="00A46230"/>
    <w:rsid w:val="00A47BEC"/>
    <w:rsid w:val="00A500E0"/>
    <w:rsid w:val="00A53B99"/>
    <w:rsid w:val="00A56287"/>
    <w:rsid w:val="00A57B65"/>
    <w:rsid w:val="00A57D58"/>
    <w:rsid w:val="00A60268"/>
    <w:rsid w:val="00A64846"/>
    <w:rsid w:val="00A6555D"/>
    <w:rsid w:val="00A65B3C"/>
    <w:rsid w:val="00A66969"/>
    <w:rsid w:val="00A674D4"/>
    <w:rsid w:val="00A67BC9"/>
    <w:rsid w:val="00A67EF7"/>
    <w:rsid w:val="00A70D82"/>
    <w:rsid w:val="00A772A4"/>
    <w:rsid w:val="00A774D7"/>
    <w:rsid w:val="00A778A8"/>
    <w:rsid w:val="00A81C75"/>
    <w:rsid w:val="00A82B92"/>
    <w:rsid w:val="00A82D26"/>
    <w:rsid w:val="00A8323C"/>
    <w:rsid w:val="00A84AFD"/>
    <w:rsid w:val="00A86216"/>
    <w:rsid w:val="00A86E3A"/>
    <w:rsid w:val="00A87CA0"/>
    <w:rsid w:val="00A87E24"/>
    <w:rsid w:val="00A87E5F"/>
    <w:rsid w:val="00A90298"/>
    <w:rsid w:val="00A90C8D"/>
    <w:rsid w:val="00A922AF"/>
    <w:rsid w:val="00A92460"/>
    <w:rsid w:val="00A96136"/>
    <w:rsid w:val="00A964F4"/>
    <w:rsid w:val="00AA0673"/>
    <w:rsid w:val="00AA0795"/>
    <w:rsid w:val="00AA1CF1"/>
    <w:rsid w:val="00AA2AE4"/>
    <w:rsid w:val="00AA68DE"/>
    <w:rsid w:val="00AA7F3B"/>
    <w:rsid w:val="00AB0431"/>
    <w:rsid w:val="00AB2558"/>
    <w:rsid w:val="00AB2C53"/>
    <w:rsid w:val="00AB4C75"/>
    <w:rsid w:val="00AB55C8"/>
    <w:rsid w:val="00AB5817"/>
    <w:rsid w:val="00AB7165"/>
    <w:rsid w:val="00AC0345"/>
    <w:rsid w:val="00AC3075"/>
    <w:rsid w:val="00AC455B"/>
    <w:rsid w:val="00AD11C6"/>
    <w:rsid w:val="00AD3CE0"/>
    <w:rsid w:val="00AD46FB"/>
    <w:rsid w:val="00AD49BF"/>
    <w:rsid w:val="00AD6BFD"/>
    <w:rsid w:val="00AD7269"/>
    <w:rsid w:val="00AE00A7"/>
    <w:rsid w:val="00AE1E0D"/>
    <w:rsid w:val="00AE21BF"/>
    <w:rsid w:val="00AE28E8"/>
    <w:rsid w:val="00AE34A1"/>
    <w:rsid w:val="00AE3F8C"/>
    <w:rsid w:val="00AE586E"/>
    <w:rsid w:val="00AE77EE"/>
    <w:rsid w:val="00AF145B"/>
    <w:rsid w:val="00AF53E8"/>
    <w:rsid w:val="00AF5BC8"/>
    <w:rsid w:val="00AF770F"/>
    <w:rsid w:val="00B00B73"/>
    <w:rsid w:val="00B00FEA"/>
    <w:rsid w:val="00B01CBA"/>
    <w:rsid w:val="00B028DB"/>
    <w:rsid w:val="00B03606"/>
    <w:rsid w:val="00B105C8"/>
    <w:rsid w:val="00B21BB7"/>
    <w:rsid w:val="00B2402C"/>
    <w:rsid w:val="00B24612"/>
    <w:rsid w:val="00B30949"/>
    <w:rsid w:val="00B30A58"/>
    <w:rsid w:val="00B360B5"/>
    <w:rsid w:val="00B36C44"/>
    <w:rsid w:val="00B442B5"/>
    <w:rsid w:val="00B46C49"/>
    <w:rsid w:val="00B478E3"/>
    <w:rsid w:val="00B500F4"/>
    <w:rsid w:val="00B5149B"/>
    <w:rsid w:val="00B55FE1"/>
    <w:rsid w:val="00B56139"/>
    <w:rsid w:val="00B56EB8"/>
    <w:rsid w:val="00B607D7"/>
    <w:rsid w:val="00B616D3"/>
    <w:rsid w:val="00B61AD4"/>
    <w:rsid w:val="00B62195"/>
    <w:rsid w:val="00B626C2"/>
    <w:rsid w:val="00B63183"/>
    <w:rsid w:val="00B645B8"/>
    <w:rsid w:val="00B667F6"/>
    <w:rsid w:val="00B67912"/>
    <w:rsid w:val="00B75196"/>
    <w:rsid w:val="00B76309"/>
    <w:rsid w:val="00B77DDE"/>
    <w:rsid w:val="00B80403"/>
    <w:rsid w:val="00B80CFF"/>
    <w:rsid w:val="00B828D9"/>
    <w:rsid w:val="00B83AE5"/>
    <w:rsid w:val="00B83CE9"/>
    <w:rsid w:val="00B85182"/>
    <w:rsid w:val="00B853ED"/>
    <w:rsid w:val="00B866E4"/>
    <w:rsid w:val="00B86D54"/>
    <w:rsid w:val="00B9001A"/>
    <w:rsid w:val="00B91A8E"/>
    <w:rsid w:val="00B96232"/>
    <w:rsid w:val="00B973F2"/>
    <w:rsid w:val="00BA0922"/>
    <w:rsid w:val="00BA18BF"/>
    <w:rsid w:val="00BA4565"/>
    <w:rsid w:val="00BA47AF"/>
    <w:rsid w:val="00BA5460"/>
    <w:rsid w:val="00BA64FE"/>
    <w:rsid w:val="00BB1AD8"/>
    <w:rsid w:val="00BB2A9D"/>
    <w:rsid w:val="00BB2C47"/>
    <w:rsid w:val="00BB3415"/>
    <w:rsid w:val="00BB3B4B"/>
    <w:rsid w:val="00BB4435"/>
    <w:rsid w:val="00BB538A"/>
    <w:rsid w:val="00BB7B24"/>
    <w:rsid w:val="00BC0264"/>
    <w:rsid w:val="00BC0B24"/>
    <w:rsid w:val="00BC24D7"/>
    <w:rsid w:val="00BC65BD"/>
    <w:rsid w:val="00BC794F"/>
    <w:rsid w:val="00BD4352"/>
    <w:rsid w:val="00BD4C76"/>
    <w:rsid w:val="00BD7D91"/>
    <w:rsid w:val="00BE0AE6"/>
    <w:rsid w:val="00BE1DE1"/>
    <w:rsid w:val="00BE2219"/>
    <w:rsid w:val="00BE297A"/>
    <w:rsid w:val="00BE2FA6"/>
    <w:rsid w:val="00BE3EB1"/>
    <w:rsid w:val="00BE606D"/>
    <w:rsid w:val="00BE6130"/>
    <w:rsid w:val="00BE6366"/>
    <w:rsid w:val="00BE6BC3"/>
    <w:rsid w:val="00BE6E00"/>
    <w:rsid w:val="00BF053C"/>
    <w:rsid w:val="00BF1655"/>
    <w:rsid w:val="00BF1832"/>
    <w:rsid w:val="00BF317E"/>
    <w:rsid w:val="00BF62E0"/>
    <w:rsid w:val="00BF7630"/>
    <w:rsid w:val="00C02285"/>
    <w:rsid w:val="00C02923"/>
    <w:rsid w:val="00C03190"/>
    <w:rsid w:val="00C04CA4"/>
    <w:rsid w:val="00C055F5"/>
    <w:rsid w:val="00C06F55"/>
    <w:rsid w:val="00C07AEB"/>
    <w:rsid w:val="00C112E1"/>
    <w:rsid w:val="00C114EE"/>
    <w:rsid w:val="00C11F06"/>
    <w:rsid w:val="00C137C5"/>
    <w:rsid w:val="00C141F0"/>
    <w:rsid w:val="00C15A32"/>
    <w:rsid w:val="00C22789"/>
    <w:rsid w:val="00C23B52"/>
    <w:rsid w:val="00C260D4"/>
    <w:rsid w:val="00C26CE1"/>
    <w:rsid w:val="00C3282C"/>
    <w:rsid w:val="00C34D2F"/>
    <w:rsid w:val="00C40FCC"/>
    <w:rsid w:val="00C416A1"/>
    <w:rsid w:val="00C43597"/>
    <w:rsid w:val="00C44A10"/>
    <w:rsid w:val="00C453A9"/>
    <w:rsid w:val="00C45683"/>
    <w:rsid w:val="00C45D10"/>
    <w:rsid w:val="00C462A8"/>
    <w:rsid w:val="00C50B78"/>
    <w:rsid w:val="00C51C57"/>
    <w:rsid w:val="00C52663"/>
    <w:rsid w:val="00C52CE3"/>
    <w:rsid w:val="00C53181"/>
    <w:rsid w:val="00C547B3"/>
    <w:rsid w:val="00C5503A"/>
    <w:rsid w:val="00C5503B"/>
    <w:rsid w:val="00C55776"/>
    <w:rsid w:val="00C57E3B"/>
    <w:rsid w:val="00C57E6A"/>
    <w:rsid w:val="00C62C85"/>
    <w:rsid w:val="00C63CE8"/>
    <w:rsid w:val="00C65596"/>
    <w:rsid w:val="00C65D18"/>
    <w:rsid w:val="00C65D65"/>
    <w:rsid w:val="00C66D44"/>
    <w:rsid w:val="00C72369"/>
    <w:rsid w:val="00C737AE"/>
    <w:rsid w:val="00C74427"/>
    <w:rsid w:val="00C74BCB"/>
    <w:rsid w:val="00C74F16"/>
    <w:rsid w:val="00C75C62"/>
    <w:rsid w:val="00C75D1D"/>
    <w:rsid w:val="00C77C22"/>
    <w:rsid w:val="00C810C5"/>
    <w:rsid w:val="00C82B50"/>
    <w:rsid w:val="00C85DCF"/>
    <w:rsid w:val="00C9123B"/>
    <w:rsid w:val="00C940F3"/>
    <w:rsid w:val="00C95D79"/>
    <w:rsid w:val="00C963F8"/>
    <w:rsid w:val="00C97BE7"/>
    <w:rsid w:val="00CA2ACC"/>
    <w:rsid w:val="00CA373A"/>
    <w:rsid w:val="00CA4943"/>
    <w:rsid w:val="00CA6D66"/>
    <w:rsid w:val="00CB0096"/>
    <w:rsid w:val="00CB293A"/>
    <w:rsid w:val="00CB7901"/>
    <w:rsid w:val="00CB7A19"/>
    <w:rsid w:val="00CC0768"/>
    <w:rsid w:val="00CC139F"/>
    <w:rsid w:val="00CC47AB"/>
    <w:rsid w:val="00CC4AFA"/>
    <w:rsid w:val="00CC4B95"/>
    <w:rsid w:val="00CC5020"/>
    <w:rsid w:val="00CC56EA"/>
    <w:rsid w:val="00CD25A9"/>
    <w:rsid w:val="00CD3F17"/>
    <w:rsid w:val="00CD5A49"/>
    <w:rsid w:val="00CD5BAD"/>
    <w:rsid w:val="00CD68A0"/>
    <w:rsid w:val="00CE2AFB"/>
    <w:rsid w:val="00CE2B5D"/>
    <w:rsid w:val="00CE2BFD"/>
    <w:rsid w:val="00CE4370"/>
    <w:rsid w:val="00CE4B71"/>
    <w:rsid w:val="00CE7835"/>
    <w:rsid w:val="00CF0148"/>
    <w:rsid w:val="00CF086F"/>
    <w:rsid w:val="00CF0FBC"/>
    <w:rsid w:val="00CF195D"/>
    <w:rsid w:val="00CF33E7"/>
    <w:rsid w:val="00CF378A"/>
    <w:rsid w:val="00CF3D5F"/>
    <w:rsid w:val="00D0289D"/>
    <w:rsid w:val="00D02FAA"/>
    <w:rsid w:val="00D03C61"/>
    <w:rsid w:val="00D03D62"/>
    <w:rsid w:val="00D05836"/>
    <w:rsid w:val="00D06672"/>
    <w:rsid w:val="00D067D5"/>
    <w:rsid w:val="00D07DD9"/>
    <w:rsid w:val="00D114A4"/>
    <w:rsid w:val="00D11BFE"/>
    <w:rsid w:val="00D11C3F"/>
    <w:rsid w:val="00D13622"/>
    <w:rsid w:val="00D15112"/>
    <w:rsid w:val="00D162C9"/>
    <w:rsid w:val="00D16666"/>
    <w:rsid w:val="00D20237"/>
    <w:rsid w:val="00D2270B"/>
    <w:rsid w:val="00D239D8"/>
    <w:rsid w:val="00D247A9"/>
    <w:rsid w:val="00D32E83"/>
    <w:rsid w:val="00D37BCF"/>
    <w:rsid w:val="00D419C5"/>
    <w:rsid w:val="00D425DE"/>
    <w:rsid w:val="00D42E66"/>
    <w:rsid w:val="00D43991"/>
    <w:rsid w:val="00D4606D"/>
    <w:rsid w:val="00D50DD9"/>
    <w:rsid w:val="00D53B24"/>
    <w:rsid w:val="00D54331"/>
    <w:rsid w:val="00D54493"/>
    <w:rsid w:val="00D559AA"/>
    <w:rsid w:val="00D55D7B"/>
    <w:rsid w:val="00D56E73"/>
    <w:rsid w:val="00D619BC"/>
    <w:rsid w:val="00D63266"/>
    <w:rsid w:val="00D63D36"/>
    <w:rsid w:val="00D65E2D"/>
    <w:rsid w:val="00D70328"/>
    <w:rsid w:val="00D77195"/>
    <w:rsid w:val="00D77D45"/>
    <w:rsid w:val="00D80304"/>
    <w:rsid w:val="00D824FD"/>
    <w:rsid w:val="00D8605F"/>
    <w:rsid w:val="00D87179"/>
    <w:rsid w:val="00D9002D"/>
    <w:rsid w:val="00D9030C"/>
    <w:rsid w:val="00D90586"/>
    <w:rsid w:val="00D909AE"/>
    <w:rsid w:val="00D92A31"/>
    <w:rsid w:val="00D93C9F"/>
    <w:rsid w:val="00D969D1"/>
    <w:rsid w:val="00DA0812"/>
    <w:rsid w:val="00DA321A"/>
    <w:rsid w:val="00DA4232"/>
    <w:rsid w:val="00DA4E54"/>
    <w:rsid w:val="00DB049C"/>
    <w:rsid w:val="00DB0E59"/>
    <w:rsid w:val="00DB1A51"/>
    <w:rsid w:val="00DB31F8"/>
    <w:rsid w:val="00DB3735"/>
    <w:rsid w:val="00DB41E7"/>
    <w:rsid w:val="00DB7F67"/>
    <w:rsid w:val="00DC01D3"/>
    <w:rsid w:val="00DC06E0"/>
    <w:rsid w:val="00DC0F16"/>
    <w:rsid w:val="00DC2F15"/>
    <w:rsid w:val="00DC3551"/>
    <w:rsid w:val="00DC435E"/>
    <w:rsid w:val="00DC52DA"/>
    <w:rsid w:val="00DC5AA6"/>
    <w:rsid w:val="00DC7B12"/>
    <w:rsid w:val="00DC7F31"/>
    <w:rsid w:val="00DD1403"/>
    <w:rsid w:val="00DD1A97"/>
    <w:rsid w:val="00DD2E0D"/>
    <w:rsid w:val="00DD5783"/>
    <w:rsid w:val="00DE122A"/>
    <w:rsid w:val="00DE3A82"/>
    <w:rsid w:val="00DE4087"/>
    <w:rsid w:val="00DE5CC2"/>
    <w:rsid w:val="00DE6134"/>
    <w:rsid w:val="00DE771D"/>
    <w:rsid w:val="00DF0ED8"/>
    <w:rsid w:val="00DF227C"/>
    <w:rsid w:val="00DF279A"/>
    <w:rsid w:val="00DF3189"/>
    <w:rsid w:val="00DF3637"/>
    <w:rsid w:val="00DF4617"/>
    <w:rsid w:val="00DF645A"/>
    <w:rsid w:val="00DF7112"/>
    <w:rsid w:val="00E02A9E"/>
    <w:rsid w:val="00E07953"/>
    <w:rsid w:val="00E07BDE"/>
    <w:rsid w:val="00E115D8"/>
    <w:rsid w:val="00E1389D"/>
    <w:rsid w:val="00E14683"/>
    <w:rsid w:val="00E1494B"/>
    <w:rsid w:val="00E14CE9"/>
    <w:rsid w:val="00E14F7E"/>
    <w:rsid w:val="00E15EF5"/>
    <w:rsid w:val="00E20FE0"/>
    <w:rsid w:val="00E24059"/>
    <w:rsid w:val="00E25312"/>
    <w:rsid w:val="00E277E8"/>
    <w:rsid w:val="00E27E44"/>
    <w:rsid w:val="00E3007D"/>
    <w:rsid w:val="00E32468"/>
    <w:rsid w:val="00E33A0B"/>
    <w:rsid w:val="00E35542"/>
    <w:rsid w:val="00E36B06"/>
    <w:rsid w:val="00E41DFD"/>
    <w:rsid w:val="00E427F3"/>
    <w:rsid w:val="00E429A9"/>
    <w:rsid w:val="00E43E40"/>
    <w:rsid w:val="00E50006"/>
    <w:rsid w:val="00E515A2"/>
    <w:rsid w:val="00E515F0"/>
    <w:rsid w:val="00E51CD7"/>
    <w:rsid w:val="00E528B9"/>
    <w:rsid w:val="00E541CA"/>
    <w:rsid w:val="00E56A0F"/>
    <w:rsid w:val="00E5748D"/>
    <w:rsid w:val="00E601B6"/>
    <w:rsid w:val="00E652FC"/>
    <w:rsid w:val="00E6549A"/>
    <w:rsid w:val="00E669A5"/>
    <w:rsid w:val="00E70A1D"/>
    <w:rsid w:val="00E70DC8"/>
    <w:rsid w:val="00E732E3"/>
    <w:rsid w:val="00E73AA2"/>
    <w:rsid w:val="00E7411B"/>
    <w:rsid w:val="00E74A83"/>
    <w:rsid w:val="00E74F5C"/>
    <w:rsid w:val="00E76D95"/>
    <w:rsid w:val="00E76F7B"/>
    <w:rsid w:val="00E80924"/>
    <w:rsid w:val="00E8184B"/>
    <w:rsid w:val="00E82561"/>
    <w:rsid w:val="00E847B1"/>
    <w:rsid w:val="00E85DE0"/>
    <w:rsid w:val="00E86B5A"/>
    <w:rsid w:val="00E91D68"/>
    <w:rsid w:val="00E92B79"/>
    <w:rsid w:val="00E95919"/>
    <w:rsid w:val="00E9665C"/>
    <w:rsid w:val="00E96A28"/>
    <w:rsid w:val="00E96D7B"/>
    <w:rsid w:val="00E976E7"/>
    <w:rsid w:val="00EA14D2"/>
    <w:rsid w:val="00EA2607"/>
    <w:rsid w:val="00EA2D1B"/>
    <w:rsid w:val="00EA3296"/>
    <w:rsid w:val="00EA4D14"/>
    <w:rsid w:val="00EA5222"/>
    <w:rsid w:val="00EA5359"/>
    <w:rsid w:val="00EA5737"/>
    <w:rsid w:val="00EA5CF2"/>
    <w:rsid w:val="00EA5D76"/>
    <w:rsid w:val="00EB21AB"/>
    <w:rsid w:val="00EB2687"/>
    <w:rsid w:val="00EB4A61"/>
    <w:rsid w:val="00EB5FA2"/>
    <w:rsid w:val="00EB7F35"/>
    <w:rsid w:val="00EC1B44"/>
    <w:rsid w:val="00EC2780"/>
    <w:rsid w:val="00EC450C"/>
    <w:rsid w:val="00EC4AF8"/>
    <w:rsid w:val="00EC504C"/>
    <w:rsid w:val="00ED0273"/>
    <w:rsid w:val="00ED12F9"/>
    <w:rsid w:val="00ED193B"/>
    <w:rsid w:val="00ED1DAA"/>
    <w:rsid w:val="00ED2817"/>
    <w:rsid w:val="00ED284B"/>
    <w:rsid w:val="00ED411E"/>
    <w:rsid w:val="00ED466E"/>
    <w:rsid w:val="00ED51CE"/>
    <w:rsid w:val="00EE1C89"/>
    <w:rsid w:val="00EE4AB5"/>
    <w:rsid w:val="00EE740F"/>
    <w:rsid w:val="00EE741F"/>
    <w:rsid w:val="00EF0535"/>
    <w:rsid w:val="00EF1152"/>
    <w:rsid w:val="00EF1C74"/>
    <w:rsid w:val="00EF1D0B"/>
    <w:rsid w:val="00EF3163"/>
    <w:rsid w:val="00EF3C2E"/>
    <w:rsid w:val="00EF645A"/>
    <w:rsid w:val="00F0081C"/>
    <w:rsid w:val="00F01464"/>
    <w:rsid w:val="00F020E2"/>
    <w:rsid w:val="00F035D9"/>
    <w:rsid w:val="00F0515E"/>
    <w:rsid w:val="00F0717E"/>
    <w:rsid w:val="00F07D3B"/>
    <w:rsid w:val="00F1061B"/>
    <w:rsid w:val="00F134AA"/>
    <w:rsid w:val="00F14092"/>
    <w:rsid w:val="00F14CB5"/>
    <w:rsid w:val="00F15671"/>
    <w:rsid w:val="00F1574C"/>
    <w:rsid w:val="00F15A60"/>
    <w:rsid w:val="00F15ADA"/>
    <w:rsid w:val="00F177CE"/>
    <w:rsid w:val="00F2059D"/>
    <w:rsid w:val="00F21EE3"/>
    <w:rsid w:val="00F250DF"/>
    <w:rsid w:val="00F254E7"/>
    <w:rsid w:val="00F27915"/>
    <w:rsid w:val="00F30578"/>
    <w:rsid w:val="00F31067"/>
    <w:rsid w:val="00F3125C"/>
    <w:rsid w:val="00F332CB"/>
    <w:rsid w:val="00F343B1"/>
    <w:rsid w:val="00F35234"/>
    <w:rsid w:val="00F354A3"/>
    <w:rsid w:val="00F4241C"/>
    <w:rsid w:val="00F42F97"/>
    <w:rsid w:val="00F44FA2"/>
    <w:rsid w:val="00F45C2D"/>
    <w:rsid w:val="00F50AA4"/>
    <w:rsid w:val="00F50D2A"/>
    <w:rsid w:val="00F52864"/>
    <w:rsid w:val="00F52BC2"/>
    <w:rsid w:val="00F5573D"/>
    <w:rsid w:val="00F56783"/>
    <w:rsid w:val="00F57047"/>
    <w:rsid w:val="00F61F41"/>
    <w:rsid w:val="00F620CE"/>
    <w:rsid w:val="00F62FB7"/>
    <w:rsid w:val="00F63451"/>
    <w:rsid w:val="00F637B9"/>
    <w:rsid w:val="00F64D46"/>
    <w:rsid w:val="00F652D0"/>
    <w:rsid w:val="00F66160"/>
    <w:rsid w:val="00F677C3"/>
    <w:rsid w:val="00F724B6"/>
    <w:rsid w:val="00F75AFB"/>
    <w:rsid w:val="00F80030"/>
    <w:rsid w:val="00F80077"/>
    <w:rsid w:val="00F82DA8"/>
    <w:rsid w:val="00F831C7"/>
    <w:rsid w:val="00F83B68"/>
    <w:rsid w:val="00F86ED1"/>
    <w:rsid w:val="00F91156"/>
    <w:rsid w:val="00F9289B"/>
    <w:rsid w:val="00F9DC25"/>
    <w:rsid w:val="00FA0754"/>
    <w:rsid w:val="00FA3C7B"/>
    <w:rsid w:val="00FA575F"/>
    <w:rsid w:val="00FA6DE1"/>
    <w:rsid w:val="00FA7EEA"/>
    <w:rsid w:val="00FB0A7F"/>
    <w:rsid w:val="00FC1C54"/>
    <w:rsid w:val="00FC47B8"/>
    <w:rsid w:val="00FC4DCE"/>
    <w:rsid w:val="00FC4F4E"/>
    <w:rsid w:val="00FC5420"/>
    <w:rsid w:val="00FC5F72"/>
    <w:rsid w:val="00FD569A"/>
    <w:rsid w:val="00FD5C1F"/>
    <w:rsid w:val="00FD7A35"/>
    <w:rsid w:val="00FE021D"/>
    <w:rsid w:val="00FE194C"/>
    <w:rsid w:val="00FE22A0"/>
    <w:rsid w:val="00FE3A2B"/>
    <w:rsid w:val="00FE4817"/>
    <w:rsid w:val="00FE55B1"/>
    <w:rsid w:val="00FE7B73"/>
    <w:rsid w:val="00FF0141"/>
    <w:rsid w:val="00FF0201"/>
    <w:rsid w:val="00FF307E"/>
    <w:rsid w:val="017D8428"/>
    <w:rsid w:val="01B3B166"/>
    <w:rsid w:val="01C623F8"/>
    <w:rsid w:val="01EAAB3F"/>
    <w:rsid w:val="01F85CAB"/>
    <w:rsid w:val="026D37DE"/>
    <w:rsid w:val="0283D2E9"/>
    <w:rsid w:val="028B4167"/>
    <w:rsid w:val="02E3E86B"/>
    <w:rsid w:val="02E43218"/>
    <w:rsid w:val="03658F1C"/>
    <w:rsid w:val="03A3E118"/>
    <w:rsid w:val="03AEB40A"/>
    <w:rsid w:val="03FECB6F"/>
    <w:rsid w:val="0407C1E0"/>
    <w:rsid w:val="041446BA"/>
    <w:rsid w:val="04A9C258"/>
    <w:rsid w:val="04C270BF"/>
    <w:rsid w:val="050BB6BF"/>
    <w:rsid w:val="052FB989"/>
    <w:rsid w:val="05616E23"/>
    <w:rsid w:val="05F76E1B"/>
    <w:rsid w:val="061A908C"/>
    <w:rsid w:val="061DA3DA"/>
    <w:rsid w:val="06481A0B"/>
    <w:rsid w:val="065EBB10"/>
    <w:rsid w:val="069AC362"/>
    <w:rsid w:val="06CB89EA"/>
    <w:rsid w:val="06DBF9E5"/>
    <w:rsid w:val="071666E1"/>
    <w:rsid w:val="0739D0C8"/>
    <w:rsid w:val="07F55523"/>
    <w:rsid w:val="0818CFC6"/>
    <w:rsid w:val="081DF713"/>
    <w:rsid w:val="08578058"/>
    <w:rsid w:val="08654C95"/>
    <w:rsid w:val="08679E2F"/>
    <w:rsid w:val="08C64902"/>
    <w:rsid w:val="0914F0AD"/>
    <w:rsid w:val="09D758E5"/>
    <w:rsid w:val="09DFCB2B"/>
    <w:rsid w:val="0A08288A"/>
    <w:rsid w:val="0A154A6E"/>
    <w:rsid w:val="0A36A443"/>
    <w:rsid w:val="0A46AAAA"/>
    <w:rsid w:val="0A71A45B"/>
    <w:rsid w:val="0AB0F7BA"/>
    <w:rsid w:val="0AC90FA9"/>
    <w:rsid w:val="0B3974D3"/>
    <w:rsid w:val="0B642ECC"/>
    <w:rsid w:val="0B81EAF2"/>
    <w:rsid w:val="0BABB090"/>
    <w:rsid w:val="0BD9F3E3"/>
    <w:rsid w:val="0BE27B0B"/>
    <w:rsid w:val="0C4BB4FB"/>
    <w:rsid w:val="0C6CCD90"/>
    <w:rsid w:val="0C96C545"/>
    <w:rsid w:val="0CA416B6"/>
    <w:rsid w:val="0CA4E3FC"/>
    <w:rsid w:val="0CC55174"/>
    <w:rsid w:val="0D38D58B"/>
    <w:rsid w:val="0D6C8008"/>
    <w:rsid w:val="0D8E4CBB"/>
    <w:rsid w:val="0D9CFA22"/>
    <w:rsid w:val="0E0ED592"/>
    <w:rsid w:val="0E509A25"/>
    <w:rsid w:val="0E55DC4B"/>
    <w:rsid w:val="0E6042FB"/>
    <w:rsid w:val="0E60F9CB"/>
    <w:rsid w:val="0ED8B0B3"/>
    <w:rsid w:val="0F300FB0"/>
    <w:rsid w:val="0F3A9519"/>
    <w:rsid w:val="0F7CEF94"/>
    <w:rsid w:val="0FBDEC3F"/>
    <w:rsid w:val="0FFCCA2C"/>
    <w:rsid w:val="10A420CA"/>
    <w:rsid w:val="116A96BA"/>
    <w:rsid w:val="11FC0B6D"/>
    <w:rsid w:val="121EC648"/>
    <w:rsid w:val="12D4218E"/>
    <w:rsid w:val="13BF8AA1"/>
    <w:rsid w:val="13ED8CF0"/>
    <w:rsid w:val="13EFFC53"/>
    <w:rsid w:val="14949F78"/>
    <w:rsid w:val="15218AC6"/>
    <w:rsid w:val="15D16F6A"/>
    <w:rsid w:val="15E71DE6"/>
    <w:rsid w:val="16522C83"/>
    <w:rsid w:val="16D941FA"/>
    <w:rsid w:val="178F7115"/>
    <w:rsid w:val="17A792B1"/>
    <w:rsid w:val="17AF8037"/>
    <w:rsid w:val="17C8EDB0"/>
    <w:rsid w:val="17E3DAB2"/>
    <w:rsid w:val="17EE9DC7"/>
    <w:rsid w:val="1819B9B0"/>
    <w:rsid w:val="187F92F9"/>
    <w:rsid w:val="18891FE7"/>
    <w:rsid w:val="18893FD3"/>
    <w:rsid w:val="19843D0B"/>
    <w:rsid w:val="198F7797"/>
    <w:rsid w:val="19CFE2F2"/>
    <w:rsid w:val="19DF87E6"/>
    <w:rsid w:val="1A1F362E"/>
    <w:rsid w:val="1A4F720B"/>
    <w:rsid w:val="1A56AA9A"/>
    <w:rsid w:val="1A82E275"/>
    <w:rsid w:val="1AC10850"/>
    <w:rsid w:val="1AF6106E"/>
    <w:rsid w:val="1B0541C2"/>
    <w:rsid w:val="1B408CA6"/>
    <w:rsid w:val="1B4EB559"/>
    <w:rsid w:val="1B77F3B0"/>
    <w:rsid w:val="1BBAB701"/>
    <w:rsid w:val="1BBCF76B"/>
    <w:rsid w:val="1C040A34"/>
    <w:rsid w:val="1C539731"/>
    <w:rsid w:val="1C91E0CF"/>
    <w:rsid w:val="1CDA943D"/>
    <w:rsid w:val="1CFE9CDB"/>
    <w:rsid w:val="1D63B74B"/>
    <w:rsid w:val="1DAE5A0B"/>
    <w:rsid w:val="1DD138B7"/>
    <w:rsid w:val="1DD34491"/>
    <w:rsid w:val="1DF77C17"/>
    <w:rsid w:val="1DF8A912"/>
    <w:rsid w:val="1E033899"/>
    <w:rsid w:val="1E1EC1BB"/>
    <w:rsid w:val="1E46D98D"/>
    <w:rsid w:val="1E5B6269"/>
    <w:rsid w:val="1E7F0B1B"/>
    <w:rsid w:val="1E915859"/>
    <w:rsid w:val="1EC2D313"/>
    <w:rsid w:val="1ED5AC20"/>
    <w:rsid w:val="1EDE7BFE"/>
    <w:rsid w:val="1F13A2DD"/>
    <w:rsid w:val="1F4B8BD8"/>
    <w:rsid w:val="1F9C65D7"/>
    <w:rsid w:val="1FA17AA7"/>
    <w:rsid w:val="1FD9ADCC"/>
    <w:rsid w:val="20104351"/>
    <w:rsid w:val="20DB3C8A"/>
    <w:rsid w:val="219D684C"/>
    <w:rsid w:val="220AAAA3"/>
    <w:rsid w:val="221C04DC"/>
    <w:rsid w:val="22219A6E"/>
    <w:rsid w:val="224237EA"/>
    <w:rsid w:val="22BC768B"/>
    <w:rsid w:val="23010FD5"/>
    <w:rsid w:val="23A5BC4E"/>
    <w:rsid w:val="23F74358"/>
    <w:rsid w:val="24644824"/>
    <w:rsid w:val="2471B23A"/>
    <w:rsid w:val="24B7C89D"/>
    <w:rsid w:val="24D5F515"/>
    <w:rsid w:val="2554D1CF"/>
    <w:rsid w:val="2560B04F"/>
    <w:rsid w:val="25C042DF"/>
    <w:rsid w:val="25CC65A3"/>
    <w:rsid w:val="25F9708C"/>
    <w:rsid w:val="260CF7C0"/>
    <w:rsid w:val="2629D3A0"/>
    <w:rsid w:val="2637ED70"/>
    <w:rsid w:val="266B9CA8"/>
    <w:rsid w:val="266F1A02"/>
    <w:rsid w:val="26E56454"/>
    <w:rsid w:val="2715A90D"/>
    <w:rsid w:val="274850C9"/>
    <w:rsid w:val="27F73643"/>
    <w:rsid w:val="2825ED61"/>
    <w:rsid w:val="28825216"/>
    <w:rsid w:val="29184986"/>
    <w:rsid w:val="29766DDF"/>
    <w:rsid w:val="297CA680"/>
    <w:rsid w:val="299306A4"/>
    <w:rsid w:val="29A7E9B5"/>
    <w:rsid w:val="29FA349F"/>
    <w:rsid w:val="2A395E68"/>
    <w:rsid w:val="2AF62871"/>
    <w:rsid w:val="2B0C21BA"/>
    <w:rsid w:val="2B123E40"/>
    <w:rsid w:val="2B38D0DD"/>
    <w:rsid w:val="2B56D87E"/>
    <w:rsid w:val="2B70A492"/>
    <w:rsid w:val="2B960500"/>
    <w:rsid w:val="2BA42E62"/>
    <w:rsid w:val="2BACCF68"/>
    <w:rsid w:val="2C71059A"/>
    <w:rsid w:val="2C724FB1"/>
    <w:rsid w:val="2C8BA4C4"/>
    <w:rsid w:val="2CC799C4"/>
    <w:rsid w:val="2CCD0FFB"/>
    <w:rsid w:val="2CEA6807"/>
    <w:rsid w:val="2D7069EA"/>
    <w:rsid w:val="2D98B007"/>
    <w:rsid w:val="2E002176"/>
    <w:rsid w:val="2E24C4C5"/>
    <w:rsid w:val="2E49DF02"/>
    <w:rsid w:val="2E5AF3D4"/>
    <w:rsid w:val="2E62275B"/>
    <w:rsid w:val="2EAB0FC1"/>
    <w:rsid w:val="2ECFDC3F"/>
    <w:rsid w:val="2F2E6B95"/>
    <w:rsid w:val="2F44E745"/>
    <w:rsid w:val="2FA94943"/>
    <w:rsid w:val="2FDF92DD"/>
    <w:rsid w:val="300DC877"/>
    <w:rsid w:val="30446E32"/>
    <w:rsid w:val="307EBE8C"/>
    <w:rsid w:val="30A53C17"/>
    <w:rsid w:val="30B85C73"/>
    <w:rsid w:val="31540C3C"/>
    <w:rsid w:val="31817FC4"/>
    <w:rsid w:val="31929496"/>
    <w:rsid w:val="319FA903"/>
    <w:rsid w:val="31E1E8D1"/>
    <w:rsid w:val="31E41CFB"/>
    <w:rsid w:val="32346B18"/>
    <w:rsid w:val="326F2342"/>
    <w:rsid w:val="327FB6B4"/>
    <w:rsid w:val="32D14584"/>
    <w:rsid w:val="33089B40"/>
    <w:rsid w:val="33113ED8"/>
    <w:rsid w:val="3317339F"/>
    <w:rsid w:val="332B764C"/>
    <w:rsid w:val="333F765C"/>
    <w:rsid w:val="3355431D"/>
    <w:rsid w:val="337E80E4"/>
    <w:rsid w:val="3384FD00"/>
    <w:rsid w:val="33B65F4E"/>
    <w:rsid w:val="33C63691"/>
    <w:rsid w:val="33C68B5F"/>
    <w:rsid w:val="341ABA78"/>
    <w:rsid w:val="34275333"/>
    <w:rsid w:val="346D1808"/>
    <w:rsid w:val="34B30400"/>
    <w:rsid w:val="34B92086"/>
    <w:rsid w:val="34D28356"/>
    <w:rsid w:val="34EBDD30"/>
    <w:rsid w:val="3501405F"/>
    <w:rsid w:val="357EC19F"/>
    <w:rsid w:val="35A5DD52"/>
    <w:rsid w:val="36325439"/>
    <w:rsid w:val="364EB40E"/>
    <w:rsid w:val="3663170E"/>
    <w:rsid w:val="366B6290"/>
    <w:rsid w:val="36721035"/>
    <w:rsid w:val="36A4A827"/>
    <w:rsid w:val="36E281FE"/>
    <w:rsid w:val="374592C0"/>
    <w:rsid w:val="376759A7"/>
    <w:rsid w:val="3795087B"/>
    <w:rsid w:val="37BF56A9"/>
    <w:rsid w:val="382231FE"/>
    <w:rsid w:val="38D1947F"/>
    <w:rsid w:val="38DE7A33"/>
    <w:rsid w:val="394044AC"/>
    <w:rsid w:val="394D10A2"/>
    <w:rsid w:val="39529175"/>
    <w:rsid w:val="39E78B7F"/>
    <w:rsid w:val="39EDC268"/>
    <w:rsid w:val="39F7300C"/>
    <w:rsid w:val="39F9021D"/>
    <w:rsid w:val="39FAC774"/>
    <w:rsid w:val="3A30F864"/>
    <w:rsid w:val="3A390A65"/>
    <w:rsid w:val="3A47CFA7"/>
    <w:rsid w:val="3A5DE942"/>
    <w:rsid w:val="3A9E2B30"/>
    <w:rsid w:val="3AB27C22"/>
    <w:rsid w:val="3AC346BE"/>
    <w:rsid w:val="3B8992C9"/>
    <w:rsid w:val="3BA5A4D7"/>
    <w:rsid w:val="3BCFBB38"/>
    <w:rsid w:val="3BD04973"/>
    <w:rsid w:val="3BFB870B"/>
    <w:rsid w:val="3CF1CD06"/>
    <w:rsid w:val="3CFE8619"/>
    <w:rsid w:val="3D1F4EC2"/>
    <w:rsid w:val="3D70AB27"/>
    <w:rsid w:val="3D89D384"/>
    <w:rsid w:val="3E257074"/>
    <w:rsid w:val="3E506624"/>
    <w:rsid w:val="3E5211A1"/>
    <w:rsid w:val="3E66236D"/>
    <w:rsid w:val="3E7C99C9"/>
    <w:rsid w:val="3EA039E8"/>
    <w:rsid w:val="3ECE05C6"/>
    <w:rsid w:val="3EF76148"/>
    <w:rsid w:val="3F0B449E"/>
    <w:rsid w:val="3F1E586F"/>
    <w:rsid w:val="3FF9193F"/>
    <w:rsid w:val="4043DB8F"/>
    <w:rsid w:val="40589697"/>
    <w:rsid w:val="406778F2"/>
    <w:rsid w:val="4096072A"/>
    <w:rsid w:val="40ADDC81"/>
    <w:rsid w:val="40D063BB"/>
    <w:rsid w:val="4139F94C"/>
    <w:rsid w:val="41475C1B"/>
    <w:rsid w:val="41837B45"/>
    <w:rsid w:val="41AFEBE7"/>
    <w:rsid w:val="41D1F73C"/>
    <w:rsid w:val="41DFABF0"/>
    <w:rsid w:val="41ECB0FC"/>
    <w:rsid w:val="41F36918"/>
    <w:rsid w:val="424AF5B3"/>
    <w:rsid w:val="4259B137"/>
    <w:rsid w:val="42AD8CB8"/>
    <w:rsid w:val="42BE1C31"/>
    <w:rsid w:val="42FAA983"/>
    <w:rsid w:val="431A9ADA"/>
    <w:rsid w:val="4341EA65"/>
    <w:rsid w:val="4361015D"/>
    <w:rsid w:val="43724FAF"/>
    <w:rsid w:val="437B7C51"/>
    <w:rsid w:val="43CAD26B"/>
    <w:rsid w:val="4408F75E"/>
    <w:rsid w:val="44495D19"/>
    <w:rsid w:val="449CAFB2"/>
    <w:rsid w:val="44C1766E"/>
    <w:rsid w:val="44E20A61"/>
    <w:rsid w:val="44E951A6"/>
    <w:rsid w:val="44EF7A2F"/>
    <w:rsid w:val="456E6DA7"/>
    <w:rsid w:val="457FC7E0"/>
    <w:rsid w:val="45DBB172"/>
    <w:rsid w:val="45F4261C"/>
    <w:rsid w:val="462DA5A6"/>
    <w:rsid w:val="4656EC68"/>
    <w:rsid w:val="468B4A90"/>
    <w:rsid w:val="470A31C6"/>
    <w:rsid w:val="4723456A"/>
    <w:rsid w:val="47299978"/>
    <w:rsid w:val="47B26E21"/>
    <w:rsid w:val="47F2BCC9"/>
    <w:rsid w:val="48B49F67"/>
    <w:rsid w:val="48BA2F9F"/>
    <w:rsid w:val="48BB4B54"/>
    <w:rsid w:val="48C569D9"/>
    <w:rsid w:val="48E13BC4"/>
    <w:rsid w:val="4912F05E"/>
    <w:rsid w:val="491BE8E4"/>
    <w:rsid w:val="493D3279"/>
    <w:rsid w:val="49506FF1"/>
    <w:rsid w:val="4968AAFF"/>
    <w:rsid w:val="4A31E30E"/>
    <w:rsid w:val="4A700B7B"/>
    <w:rsid w:val="4AE2BFB9"/>
    <w:rsid w:val="4B078EB3"/>
    <w:rsid w:val="4B47BA46"/>
    <w:rsid w:val="4B4E070F"/>
    <w:rsid w:val="4B8BF49A"/>
    <w:rsid w:val="4BDF8283"/>
    <w:rsid w:val="4C19206A"/>
    <w:rsid w:val="4CDC2735"/>
    <w:rsid w:val="4D3E3979"/>
    <w:rsid w:val="4DAEC008"/>
    <w:rsid w:val="4DCBC31E"/>
    <w:rsid w:val="4DCD3924"/>
    <w:rsid w:val="4E0EDA0F"/>
    <w:rsid w:val="4E232696"/>
    <w:rsid w:val="4E77D6F1"/>
    <w:rsid w:val="4F32D433"/>
    <w:rsid w:val="4F44B162"/>
    <w:rsid w:val="4F4AA4A6"/>
    <w:rsid w:val="4F9367DE"/>
    <w:rsid w:val="4FAA8D99"/>
    <w:rsid w:val="4FCDBFE2"/>
    <w:rsid w:val="503E6799"/>
    <w:rsid w:val="50CE975C"/>
    <w:rsid w:val="50E31D3C"/>
    <w:rsid w:val="50EE750B"/>
    <w:rsid w:val="510F2E29"/>
    <w:rsid w:val="511426A7"/>
    <w:rsid w:val="51347C05"/>
    <w:rsid w:val="5135F9E2"/>
    <w:rsid w:val="5152C97E"/>
    <w:rsid w:val="515A9487"/>
    <w:rsid w:val="52359BAA"/>
    <w:rsid w:val="528A456C"/>
    <w:rsid w:val="52968815"/>
    <w:rsid w:val="530827A1"/>
    <w:rsid w:val="531E9494"/>
    <w:rsid w:val="5373208A"/>
    <w:rsid w:val="538ECB1A"/>
    <w:rsid w:val="539CF526"/>
    <w:rsid w:val="539F75AE"/>
    <w:rsid w:val="53FDFDFB"/>
    <w:rsid w:val="54EE4397"/>
    <w:rsid w:val="55358FD8"/>
    <w:rsid w:val="555F13D7"/>
    <w:rsid w:val="558293A5"/>
    <w:rsid w:val="55A6966F"/>
    <w:rsid w:val="55ADB54D"/>
    <w:rsid w:val="55CE28D7"/>
    <w:rsid w:val="55D4D8EE"/>
    <w:rsid w:val="56256358"/>
    <w:rsid w:val="562E05AA"/>
    <w:rsid w:val="563CD904"/>
    <w:rsid w:val="567DDD05"/>
    <w:rsid w:val="568E0874"/>
    <w:rsid w:val="5693971F"/>
    <w:rsid w:val="56977C5D"/>
    <w:rsid w:val="578422C7"/>
    <w:rsid w:val="57CDB2EF"/>
    <w:rsid w:val="57F6264F"/>
    <w:rsid w:val="588922F7"/>
    <w:rsid w:val="589E97FC"/>
    <w:rsid w:val="58AE721D"/>
    <w:rsid w:val="592F71B9"/>
    <w:rsid w:val="596E6199"/>
    <w:rsid w:val="597CB700"/>
    <w:rsid w:val="5984AE53"/>
    <w:rsid w:val="59E1F214"/>
    <w:rsid w:val="5A35E9FD"/>
    <w:rsid w:val="5AB4CCAA"/>
    <w:rsid w:val="5AECF359"/>
    <w:rsid w:val="5B2AD24F"/>
    <w:rsid w:val="5BB73D30"/>
    <w:rsid w:val="5BDACD43"/>
    <w:rsid w:val="5BEDC6FC"/>
    <w:rsid w:val="5C2DBD69"/>
    <w:rsid w:val="5C3738BC"/>
    <w:rsid w:val="5C84A119"/>
    <w:rsid w:val="5D1443E2"/>
    <w:rsid w:val="5D6E8298"/>
    <w:rsid w:val="5D7EC798"/>
    <w:rsid w:val="5D93209C"/>
    <w:rsid w:val="5DB1EC38"/>
    <w:rsid w:val="5DB3BD38"/>
    <w:rsid w:val="5DC98DCA"/>
    <w:rsid w:val="5DE35CEE"/>
    <w:rsid w:val="5DFE56C4"/>
    <w:rsid w:val="5E245C71"/>
    <w:rsid w:val="5E997520"/>
    <w:rsid w:val="5EB3A74A"/>
    <w:rsid w:val="5F8A9EE2"/>
    <w:rsid w:val="5F90F8B3"/>
    <w:rsid w:val="5FCA92ED"/>
    <w:rsid w:val="5FFE4372"/>
    <w:rsid w:val="60D42705"/>
    <w:rsid w:val="60EE5C5B"/>
    <w:rsid w:val="611AFDB0"/>
    <w:rsid w:val="6178A5D7"/>
    <w:rsid w:val="62034D22"/>
    <w:rsid w:val="62190423"/>
    <w:rsid w:val="62365758"/>
    <w:rsid w:val="62EBA9F7"/>
    <w:rsid w:val="6365C571"/>
    <w:rsid w:val="63C1645E"/>
    <w:rsid w:val="6416B866"/>
    <w:rsid w:val="6424BBCC"/>
    <w:rsid w:val="6428D75E"/>
    <w:rsid w:val="647BD962"/>
    <w:rsid w:val="64B04699"/>
    <w:rsid w:val="64BE5ACD"/>
    <w:rsid w:val="652D7601"/>
    <w:rsid w:val="6563DC17"/>
    <w:rsid w:val="6642D540"/>
    <w:rsid w:val="66502887"/>
    <w:rsid w:val="668A8CBC"/>
    <w:rsid w:val="66F9FC42"/>
    <w:rsid w:val="67384F26"/>
    <w:rsid w:val="675A9F7E"/>
    <w:rsid w:val="67833612"/>
    <w:rsid w:val="67D3C07C"/>
    <w:rsid w:val="67EC3BE4"/>
    <w:rsid w:val="67F5B70B"/>
    <w:rsid w:val="6800FA56"/>
    <w:rsid w:val="68284AC3"/>
    <w:rsid w:val="68837360"/>
    <w:rsid w:val="688A9A0B"/>
    <w:rsid w:val="68AAE714"/>
    <w:rsid w:val="68B64958"/>
    <w:rsid w:val="69141047"/>
    <w:rsid w:val="695DBD24"/>
    <w:rsid w:val="6968972B"/>
    <w:rsid w:val="69DE9033"/>
    <w:rsid w:val="6A431E9B"/>
    <w:rsid w:val="6A47A4C9"/>
    <w:rsid w:val="6AD55ACB"/>
    <w:rsid w:val="6AF98D85"/>
    <w:rsid w:val="6AF9BF5B"/>
    <w:rsid w:val="6B1D98E2"/>
    <w:rsid w:val="6B1DFC91"/>
    <w:rsid w:val="6B48E39F"/>
    <w:rsid w:val="6B6EC62B"/>
    <w:rsid w:val="6BF31144"/>
    <w:rsid w:val="6C7979CF"/>
    <w:rsid w:val="6C99813D"/>
    <w:rsid w:val="6CD95AE4"/>
    <w:rsid w:val="6CEFA14C"/>
    <w:rsid w:val="6D2C2AB1"/>
    <w:rsid w:val="6D2E28BB"/>
    <w:rsid w:val="6D68DE87"/>
    <w:rsid w:val="6DB69147"/>
    <w:rsid w:val="6DCC789E"/>
    <w:rsid w:val="6DED9133"/>
    <w:rsid w:val="6ED24677"/>
    <w:rsid w:val="6F2D51AC"/>
    <w:rsid w:val="70405E77"/>
    <w:rsid w:val="70588AB5"/>
    <w:rsid w:val="70BDCB4C"/>
    <w:rsid w:val="70BDF72E"/>
    <w:rsid w:val="70FF7F6B"/>
    <w:rsid w:val="718AFF1D"/>
    <w:rsid w:val="71B96943"/>
    <w:rsid w:val="71DC2ED8"/>
    <w:rsid w:val="720C760F"/>
    <w:rsid w:val="722D88C3"/>
    <w:rsid w:val="7265FFA0"/>
    <w:rsid w:val="72674763"/>
    <w:rsid w:val="727E5A70"/>
    <w:rsid w:val="72F1DE87"/>
    <w:rsid w:val="7353F584"/>
    <w:rsid w:val="735ACB7E"/>
    <w:rsid w:val="7375D7D7"/>
    <w:rsid w:val="7377FF39"/>
    <w:rsid w:val="738DBD4D"/>
    <w:rsid w:val="73CB2C5C"/>
    <w:rsid w:val="7461B640"/>
    <w:rsid w:val="74B9D875"/>
    <w:rsid w:val="74C9C0DF"/>
    <w:rsid w:val="74E5E862"/>
    <w:rsid w:val="7504E025"/>
    <w:rsid w:val="75257CCE"/>
    <w:rsid w:val="7541EC72"/>
    <w:rsid w:val="75BE6226"/>
    <w:rsid w:val="764F7827"/>
    <w:rsid w:val="77602406"/>
    <w:rsid w:val="77896346"/>
    <w:rsid w:val="77B5799B"/>
    <w:rsid w:val="78377E21"/>
    <w:rsid w:val="7840EFCF"/>
    <w:rsid w:val="78612E70"/>
    <w:rsid w:val="78C41752"/>
    <w:rsid w:val="7A1EBB7B"/>
    <w:rsid w:val="7A8B08EB"/>
    <w:rsid w:val="7B4B0A86"/>
    <w:rsid w:val="7C1D58F0"/>
    <w:rsid w:val="7C3B52AC"/>
    <w:rsid w:val="7C4EBC3F"/>
    <w:rsid w:val="7C8AD39B"/>
    <w:rsid w:val="7CA66149"/>
    <w:rsid w:val="7D00CCA3"/>
    <w:rsid w:val="7D0FF20A"/>
    <w:rsid w:val="7D1ADC19"/>
    <w:rsid w:val="7D8C307A"/>
    <w:rsid w:val="7D911389"/>
    <w:rsid w:val="7DE1C090"/>
    <w:rsid w:val="7DE3CAF1"/>
    <w:rsid w:val="7DEA8CA0"/>
    <w:rsid w:val="7E1C0FFF"/>
    <w:rsid w:val="7EA6BFA5"/>
    <w:rsid w:val="7EFD7DC0"/>
    <w:rsid w:val="7FFC7179"/>
    <w:rsid w:val="7FFE5342"/>
  </w:rsids>
  <m:mathPr>
    <m:mathFont m:val="Cambria Math"/>
    <m:brkBin m:val="before"/>
    <m:brkBinSub m:val="--"/>
    <m:smallFrac m:val="0"/>
    <m:dispDef/>
    <m:lMargin m:val="0"/>
    <m:rMargin m:val="0"/>
    <m:defJc m:val="centerGroup"/>
    <m:wrapIndent m:val="1440"/>
    <m:intLim m:val="subSup"/>
    <m:naryLim m:val="undOvr"/>
  </m:mathPr>
  <w:themeFontLang w:val="en-GB" w:eastAsia="zh-CN"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486226"/>
  <w15:chartTrackingRefBased/>
  <w15:docId w15:val="{A0CA68EB-B68C-4946-BFA8-0020431C75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C4DDD"/>
  </w:style>
  <w:style w:type="paragraph" w:styleId="Heading1">
    <w:name w:val="heading 1"/>
    <w:basedOn w:val="Normal"/>
    <w:next w:val="Normal"/>
    <w:link w:val="Heading1Char"/>
    <w:uiPriority w:val="9"/>
    <w:qFormat/>
    <w:rsid w:val="00F07D3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C416A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C416A1"/>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9B44C7"/>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9B44C7"/>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BibliographyTitle">
    <w:name w:val="EndNote Bibliography Title"/>
    <w:basedOn w:val="Normal"/>
    <w:link w:val="EndNoteBibliographyTitleChar"/>
    <w:rsid w:val="00AF5BC8"/>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AF5BC8"/>
    <w:rPr>
      <w:rFonts w:ascii="Calibri" w:hAnsi="Calibri" w:cs="Calibri"/>
      <w:noProof/>
      <w:lang w:val="en-US"/>
    </w:rPr>
  </w:style>
  <w:style w:type="paragraph" w:customStyle="1" w:styleId="EndNoteBibliography">
    <w:name w:val="EndNote Bibliography"/>
    <w:basedOn w:val="Normal"/>
    <w:link w:val="EndNoteBibliographyChar"/>
    <w:rsid w:val="00AF5BC8"/>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AF5BC8"/>
    <w:rPr>
      <w:rFonts w:ascii="Calibri" w:hAnsi="Calibri" w:cs="Calibri"/>
      <w:noProof/>
      <w:lang w:val="en-US"/>
    </w:rPr>
  </w:style>
  <w:style w:type="character" w:styleId="Hyperlink">
    <w:name w:val="Hyperlink"/>
    <w:basedOn w:val="DefaultParagraphFont"/>
    <w:uiPriority w:val="99"/>
    <w:unhideWhenUsed/>
    <w:rsid w:val="00AF5BC8"/>
    <w:rPr>
      <w:color w:val="0563C1" w:themeColor="hyperlink"/>
      <w:u w:val="single"/>
    </w:rPr>
  </w:style>
  <w:style w:type="character" w:customStyle="1" w:styleId="UnresolvedMention">
    <w:name w:val="Unresolved Mention"/>
    <w:basedOn w:val="DefaultParagraphFont"/>
    <w:uiPriority w:val="99"/>
    <w:semiHidden/>
    <w:unhideWhenUsed/>
    <w:rsid w:val="00AF5BC8"/>
    <w:rPr>
      <w:color w:val="605E5C"/>
      <w:shd w:val="clear" w:color="auto" w:fill="E1DFDD"/>
    </w:rPr>
  </w:style>
  <w:style w:type="character" w:styleId="CommentReference">
    <w:name w:val="annotation reference"/>
    <w:basedOn w:val="DefaultParagraphFont"/>
    <w:uiPriority w:val="99"/>
    <w:unhideWhenUsed/>
    <w:rsid w:val="00AF5BC8"/>
    <w:rPr>
      <w:sz w:val="16"/>
      <w:szCs w:val="16"/>
    </w:rPr>
  </w:style>
  <w:style w:type="paragraph" w:styleId="CommentText">
    <w:name w:val="annotation text"/>
    <w:basedOn w:val="Normal"/>
    <w:link w:val="CommentTextChar"/>
    <w:uiPriority w:val="99"/>
    <w:unhideWhenUsed/>
    <w:rsid w:val="00AF5BC8"/>
    <w:pPr>
      <w:spacing w:line="240" w:lineRule="auto"/>
    </w:pPr>
    <w:rPr>
      <w:sz w:val="20"/>
      <w:szCs w:val="20"/>
    </w:rPr>
  </w:style>
  <w:style w:type="character" w:customStyle="1" w:styleId="CommentTextChar">
    <w:name w:val="Comment Text Char"/>
    <w:basedOn w:val="DefaultParagraphFont"/>
    <w:link w:val="CommentText"/>
    <w:uiPriority w:val="99"/>
    <w:rsid w:val="00AF5BC8"/>
    <w:rPr>
      <w:sz w:val="20"/>
      <w:szCs w:val="20"/>
    </w:rPr>
  </w:style>
  <w:style w:type="paragraph" w:styleId="CommentSubject">
    <w:name w:val="annotation subject"/>
    <w:basedOn w:val="CommentText"/>
    <w:next w:val="CommentText"/>
    <w:link w:val="CommentSubjectChar"/>
    <w:uiPriority w:val="99"/>
    <w:semiHidden/>
    <w:unhideWhenUsed/>
    <w:rsid w:val="00AF5BC8"/>
    <w:rPr>
      <w:b/>
      <w:bCs/>
    </w:rPr>
  </w:style>
  <w:style w:type="character" w:customStyle="1" w:styleId="CommentSubjectChar">
    <w:name w:val="Comment Subject Char"/>
    <w:basedOn w:val="CommentTextChar"/>
    <w:link w:val="CommentSubject"/>
    <w:uiPriority w:val="99"/>
    <w:semiHidden/>
    <w:rsid w:val="00AF5BC8"/>
    <w:rPr>
      <w:b/>
      <w:bCs/>
      <w:sz w:val="20"/>
      <w:szCs w:val="20"/>
    </w:rPr>
  </w:style>
  <w:style w:type="character" w:customStyle="1" w:styleId="Heading2Char">
    <w:name w:val="Heading 2 Char"/>
    <w:basedOn w:val="DefaultParagraphFont"/>
    <w:link w:val="Heading2"/>
    <w:uiPriority w:val="9"/>
    <w:rsid w:val="00C416A1"/>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C416A1"/>
    <w:rPr>
      <w:rFonts w:asciiTheme="majorHAnsi" w:eastAsiaTheme="majorEastAsia" w:hAnsiTheme="majorHAnsi" w:cstheme="majorBidi"/>
      <w:color w:val="1F3763" w:themeColor="accent1" w:themeShade="7F"/>
      <w:sz w:val="24"/>
      <w:szCs w:val="24"/>
    </w:rPr>
  </w:style>
  <w:style w:type="character" w:customStyle="1" w:styleId="Heading1Char">
    <w:name w:val="Heading 1 Char"/>
    <w:basedOn w:val="DefaultParagraphFont"/>
    <w:link w:val="Heading1"/>
    <w:uiPriority w:val="9"/>
    <w:rsid w:val="00F07D3B"/>
    <w:rPr>
      <w:rFonts w:asciiTheme="majorHAnsi" w:eastAsiaTheme="majorEastAsia" w:hAnsiTheme="majorHAnsi" w:cstheme="majorBidi"/>
      <w:color w:val="2F5496" w:themeColor="accent1" w:themeShade="BF"/>
      <w:sz w:val="32"/>
      <w:szCs w:val="32"/>
    </w:rPr>
  </w:style>
  <w:style w:type="paragraph" w:styleId="NoSpacing">
    <w:name w:val="No Spacing"/>
    <w:uiPriority w:val="1"/>
    <w:qFormat/>
    <w:rsid w:val="00F07D3B"/>
    <w:pPr>
      <w:spacing w:after="0" w:line="240" w:lineRule="auto"/>
    </w:pPr>
  </w:style>
  <w:style w:type="paragraph" w:styleId="ListParagraph">
    <w:name w:val="List Paragraph"/>
    <w:basedOn w:val="Normal"/>
    <w:uiPriority w:val="34"/>
    <w:qFormat/>
    <w:rsid w:val="00002235"/>
    <w:pPr>
      <w:ind w:left="720"/>
      <w:contextualSpacing/>
    </w:pPr>
  </w:style>
  <w:style w:type="paragraph" w:styleId="Header">
    <w:name w:val="header"/>
    <w:basedOn w:val="Normal"/>
    <w:link w:val="HeaderChar"/>
    <w:uiPriority w:val="99"/>
    <w:unhideWhenUsed/>
    <w:rsid w:val="001B338A"/>
    <w:pPr>
      <w:tabs>
        <w:tab w:val="center" w:pos="4513"/>
        <w:tab w:val="right" w:pos="9026"/>
      </w:tabs>
      <w:spacing w:after="0" w:line="240" w:lineRule="auto"/>
    </w:pPr>
  </w:style>
  <w:style w:type="character" w:customStyle="1" w:styleId="HeaderChar">
    <w:name w:val="Header Char"/>
    <w:basedOn w:val="DefaultParagraphFont"/>
    <w:link w:val="Header"/>
    <w:uiPriority w:val="99"/>
    <w:rsid w:val="001B338A"/>
  </w:style>
  <w:style w:type="paragraph" w:styleId="Footer">
    <w:name w:val="footer"/>
    <w:basedOn w:val="Normal"/>
    <w:link w:val="FooterChar"/>
    <w:uiPriority w:val="99"/>
    <w:unhideWhenUsed/>
    <w:rsid w:val="001B338A"/>
    <w:pPr>
      <w:tabs>
        <w:tab w:val="center" w:pos="4513"/>
        <w:tab w:val="right" w:pos="9026"/>
      </w:tabs>
      <w:spacing w:after="0" w:line="240" w:lineRule="auto"/>
    </w:pPr>
  </w:style>
  <w:style w:type="character" w:customStyle="1" w:styleId="FooterChar">
    <w:name w:val="Footer Char"/>
    <w:basedOn w:val="DefaultParagraphFont"/>
    <w:link w:val="Footer"/>
    <w:uiPriority w:val="99"/>
    <w:rsid w:val="001B338A"/>
  </w:style>
  <w:style w:type="paragraph" w:styleId="Revision">
    <w:name w:val="Revision"/>
    <w:hidden/>
    <w:uiPriority w:val="99"/>
    <w:semiHidden/>
    <w:rsid w:val="00BE3EB1"/>
    <w:pPr>
      <w:spacing w:after="0" w:line="240" w:lineRule="auto"/>
    </w:pPr>
  </w:style>
  <w:style w:type="character" w:styleId="FollowedHyperlink">
    <w:name w:val="FollowedHyperlink"/>
    <w:basedOn w:val="DefaultParagraphFont"/>
    <w:uiPriority w:val="99"/>
    <w:semiHidden/>
    <w:unhideWhenUsed/>
    <w:rsid w:val="00BE3EB1"/>
    <w:rPr>
      <w:color w:val="954F72" w:themeColor="followedHyperlink"/>
      <w:u w:val="single"/>
    </w:rPr>
  </w:style>
  <w:style w:type="table" w:styleId="TableGrid">
    <w:name w:val="Table Grid"/>
    <w:basedOn w:val="TableNormal"/>
    <w:uiPriority w:val="39"/>
    <w:rsid w:val="00DF31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ABodyText">
    <w:name w:val="VA: Body Text"/>
    <w:basedOn w:val="Normal"/>
    <w:qFormat/>
    <w:rsid w:val="00587067"/>
    <w:pPr>
      <w:spacing w:after="240" w:line="240" w:lineRule="auto"/>
      <w:ind w:left="357"/>
    </w:pPr>
    <w:rPr>
      <w:rFonts w:ascii="Arial" w:eastAsiaTheme="minorEastAsia" w:hAnsi="Arial"/>
      <w:color w:val="000000" w:themeColor="text1"/>
      <w:sz w:val="24"/>
      <w:szCs w:val="24"/>
    </w:rPr>
  </w:style>
  <w:style w:type="paragraph" w:styleId="ListBullet">
    <w:name w:val="List Bullet"/>
    <w:basedOn w:val="Normal"/>
    <w:link w:val="ListBulletChar"/>
    <w:qFormat/>
    <w:rsid w:val="005D78FE"/>
    <w:pPr>
      <w:numPr>
        <w:numId w:val="7"/>
      </w:numPr>
      <w:spacing w:before="120" w:after="120" w:line="264" w:lineRule="auto"/>
    </w:pPr>
    <w:rPr>
      <w:rFonts w:ascii="Invention" w:eastAsia="MS Mincho" w:hAnsi="Invention" w:cs="Times New Roman"/>
      <w:szCs w:val="24"/>
      <w:lang w:val="en-US" w:eastAsia="ja-JP"/>
    </w:rPr>
  </w:style>
  <w:style w:type="character" w:customStyle="1" w:styleId="ListBulletChar">
    <w:name w:val="List Bullet Char"/>
    <w:basedOn w:val="DefaultParagraphFont"/>
    <w:link w:val="ListBullet"/>
    <w:rsid w:val="005D78FE"/>
    <w:rPr>
      <w:rFonts w:ascii="Invention" w:eastAsia="MS Mincho" w:hAnsi="Invention" w:cs="Times New Roman"/>
      <w:szCs w:val="24"/>
      <w:lang w:val="en-US" w:eastAsia="ja-JP"/>
    </w:rPr>
  </w:style>
  <w:style w:type="paragraph" w:styleId="TOCHeading">
    <w:name w:val="TOC Heading"/>
    <w:basedOn w:val="Heading1"/>
    <w:next w:val="Normal"/>
    <w:uiPriority w:val="39"/>
    <w:unhideWhenUsed/>
    <w:qFormat/>
    <w:rsid w:val="0039366D"/>
    <w:pPr>
      <w:outlineLvl w:val="9"/>
    </w:pPr>
    <w:rPr>
      <w:lang w:val="en-US"/>
    </w:rPr>
  </w:style>
  <w:style w:type="paragraph" w:styleId="TOC1">
    <w:name w:val="toc 1"/>
    <w:basedOn w:val="Normal"/>
    <w:next w:val="Normal"/>
    <w:autoRedefine/>
    <w:uiPriority w:val="39"/>
    <w:unhideWhenUsed/>
    <w:rsid w:val="0039366D"/>
    <w:pPr>
      <w:spacing w:after="100"/>
    </w:pPr>
  </w:style>
  <w:style w:type="paragraph" w:styleId="TOC2">
    <w:name w:val="toc 2"/>
    <w:basedOn w:val="Normal"/>
    <w:next w:val="Normal"/>
    <w:autoRedefine/>
    <w:uiPriority w:val="39"/>
    <w:unhideWhenUsed/>
    <w:rsid w:val="0039366D"/>
    <w:pPr>
      <w:spacing w:after="100"/>
      <w:ind w:left="220"/>
    </w:pPr>
  </w:style>
  <w:style w:type="paragraph" w:styleId="TOC3">
    <w:name w:val="toc 3"/>
    <w:basedOn w:val="Normal"/>
    <w:next w:val="Normal"/>
    <w:autoRedefine/>
    <w:uiPriority w:val="39"/>
    <w:unhideWhenUsed/>
    <w:rsid w:val="0039366D"/>
    <w:pPr>
      <w:spacing w:after="100"/>
      <w:ind w:left="440"/>
    </w:pPr>
  </w:style>
  <w:style w:type="character" w:customStyle="1" w:styleId="Mention">
    <w:name w:val="Mention"/>
    <w:basedOn w:val="DefaultParagraphFont"/>
    <w:uiPriority w:val="99"/>
    <w:unhideWhenUsed/>
    <w:rPr>
      <w:color w:val="2B579A"/>
      <w:shd w:val="clear" w:color="auto" w:fill="E6E6E6"/>
    </w:rPr>
  </w:style>
  <w:style w:type="paragraph" w:styleId="Caption">
    <w:name w:val="caption"/>
    <w:basedOn w:val="Normal"/>
    <w:next w:val="Normal"/>
    <w:uiPriority w:val="35"/>
    <w:unhideWhenUsed/>
    <w:qFormat/>
    <w:rsid w:val="002E4472"/>
    <w:pPr>
      <w:spacing w:after="200" w:line="240" w:lineRule="auto"/>
    </w:pPr>
    <w:rPr>
      <w:i/>
      <w:iCs/>
      <w:color w:val="44546A" w:themeColor="text2"/>
      <w:sz w:val="18"/>
      <w:szCs w:val="18"/>
    </w:rPr>
  </w:style>
  <w:style w:type="character" w:customStyle="1" w:styleId="Heading4Char">
    <w:name w:val="Heading 4 Char"/>
    <w:basedOn w:val="DefaultParagraphFont"/>
    <w:link w:val="Heading4"/>
    <w:uiPriority w:val="9"/>
    <w:rsid w:val="009B44C7"/>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rsid w:val="009B44C7"/>
    <w:rPr>
      <w:rFonts w:asciiTheme="majorHAnsi" w:eastAsiaTheme="majorEastAsia" w:hAnsiTheme="majorHAnsi" w:cstheme="majorBidi"/>
      <w:color w:val="2F5496" w:themeColor="accent1" w:themeShade="BF"/>
    </w:rPr>
  </w:style>
  <w:style w:type="character" w:customStyle="1" w:styleId="normaltextrun">
    <w:name w:val="normaltextrun"/>
    <w:basedOn w:val="DefaultParagraphFont"/>
    <w:rsid w:val="00A3092F"/>
  </w:style>
  <w:style w:type="character" w:customStyle="1" w:styleId="eop">
    <w:name w:val="eop"/>
    <w:basedOn w:val="DefaultParagraphFont"/>
    <w:rsid w:val="00A3092F"/>
  </w:style>
  <w:style w:type="paragraph" w:customStyle="1" w:styleId="paragraph">
    <w:name w:val="paragraph"/>
    <w:basedOn w:val="Normal"/>
    <w:rsid w:val="00A3092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dvancedproofingissue">
    <w:name w:val="advancedproofingissue"/>
    <w:basedOn w:val="DefaultParagraphFont"/>
    <w:rsid w:val="00A3092F"/>
  </w:style>
  <w:style w:type="character" w:customStyle="1" w:styleId="spellingerror">
    <w:name w:val="spellingerror"/>
    <w:basedOn w:val="DefaultParagraphFont"/>
    <w:rsid w:val="003175CB"/>
  </w:style>
  <w:style w:type="paragraph" w:styleId="BodyText">
    <w:name w:val="Body Text"/>
    <w:basedOn w:val="Normal"/>
    <w:link w:val="BodyTextChar"/>
    <w:uiPriority w:val="99"/>
    <w:unhideWhenUsed/>
    <w:rsid w:val="00207B09"/>
    <w:pPr>
      <w:spacing w:after="120" w:line="276" w:lineRule="auto"/>
    </w:pPr>
    <w:rPr>
      <w:rFonts w:ascii="Invention" w:eastAsia="Calibri" w:hAnsi="Invention" w:cs="Calibri"/>
      <w:szCs w:val="20"/>
      <w:lang w:val="en-AU"/>
    </w:rPr>
  </w:style>
  <w:style w:type="character" w:customStyle="1" w:styleId="BodyTextChar">
    <w:name w:val="Body Text Char"/>
    <w:basedOn w:val="DefaultParagraphFont"/>
    <w:link w:val="BodyText"/>
    <w:uiPriority w:val="99"/>
    <w:rsid w:val="00207B09"/>
    <w:rPr>
      <w:rFonts w:ascii="Invention" w:eastAsia="Calibri" w:hAnsi="Invention" w:cs="Calibri"/>
      <w:szCs w:val="20"/>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029425">
      <w:bodyDiv w:val="1"/>
      <w:marLeft w:val="0"/>
      <w:marRight w:val="0"/>
      <w:marTop w:val="0"/>
      <w:marBottom w:val="0"/>
      <w:divBdr>
        <w:top w:val="none" w:sz="0" w:space="0" w:color="auto"/>
        <w:left w:val="none" w:sz="0" w:space="0" w:color="auto"/>
        <w:bottom w:val="none" w:sz="0" w:space="0" w:color="auto"/>
        <w:right w:val="none" w:sz="0" w:space="0" w:color="auto"/>
      </w:divBdr>
      <w:divsChild>
        <w:div w:id="705980927">
          <w:marLeft w:val="0"/>
          <w:marRight w:val="0"/>
          <w:marTop w:val="0"/>
          <w:marBottom w:val="0"/>
          <w:divBdr>
            <w:top w:val="none" w:sz="0" w:space="0" w:color="auto"/>
            <w:left w:val="none" w:sz="0" w:space="0" w:color="auto"/>
            <w:bottom w:val="none" w:sz="0" w:space="0" w:color="auto"/>
            <w:right w:val="none" w:sz="0" w:space="0" w:color="auto"/>
          </w:divBdr>
          <w:divsChild>
            <w:div w:id="1721173818">
              <w:marLeft w:val="0"/>
              <w:marRight w:val="0"/>
              <w:marTop w:val="0"/>
              <w:marBottom w:val="0"/>
              <w:divBdr>
                <w:top w:val="none" w:sz="0" w:space="0" w:color="auto"/>
                <w:left w:val="none" w:sz="0" w:space="0" w:color="auto"/>
                <w:bottom w:val="none" w:sz="0" w:space="0" w:color="auto"/>
                <w:right w:val="none" w:sz="0" w:space="0" w:color="auto"/>
              </w:divBdr>
            </w:div>
          </w:divsChild>
        </w:div>
        <w:div w:id="994069537">
          <w:marLeft w:val="0"/>
          <w:marRight w:val="0"/>
          <w:marTop w:val="0"/>
          <w:marBottom w:val="0"/>
          <w:divBdr>
            <w:top w:val="none" w:sz="0" w:space="0" w:color="auto"/>
            <w:left w:val="none" w:sz="0" w:space="0" w:color="auto"/>
            <w:bottom w:val="none" w:sz="0" w:space="0" w:color="auto"/>
            <w:right w:val="none" w:sz="0" w:space="0" w:color="auto"/>
          </w:divBdr>
          <w:divsChild>
            <w:div w:id="2011176409">
              <w:marLeft w:val="0"/>
              <w:marRight w:val="0"/>
              <w:marTop w:val="0"/>
              <w:marBottom w:val="0"/>
              <w:divBdr>
                <w:top w:val="none" w:sz="0" w:space="0" w:color="auto"/>
                <w:left w:val="none" w:sz="0" w:space="0" w:color="auto"/>
                <w:bottom w:val="none" w:sz="0" w:space="0" w:color="auto"/>
                <w:right w:val="none" w:sz="0" w:space="0" w:color="auto"/>
              </w:divBdr>
            </w:div>
          </w:divsChild>
        </w:div>
        <w:div w:id="1311129303">
          <w:marLeft w:val="0"/>
          <w:marRight w:val="0"/>
          <w:marTop w:val="0"/>
          <w:marBottom w:val="0"/>
          <w:divBdr>
            <w:top w:val="none" w:sz="0" w:space="0" w:color="auto"/>
            <w:left w:val="none" w:sz="0" w:space="0" w:color="auto"/>
            <w:bottom w:val="none" w:sz="0" w:space="0" w:color="auto"/>
            <w:right w:val="none" w:sz="0" w:space="0" w:color="auto"/>
          </w:divBdr>
        </w:div>
        <w:div w:id="2004701692">
          <w:marLeft w:val="0"/>
          <w:marRight w:val="0"/>
          <w:marTop w:val="0"/>
          <w:marBottom w:val="0"/>
          <w:divBdr>
            <w:top w:val="none" w:sz="0" w:space="0" w:color="auto"/>
            <w:left w:val="none" w:sz="0" w:space="0" w:color="auto"/>
            <w:bottom w:val="none" w:sz="0" w:space="0" w:color="auto"/>
            <w:right w:val="none" w:sz="0" w:space="0" w:color="auto"/>
          </w:divBdr>
          <w:divsChild>
            <w:div w:id="1741519339">
              <w:marLeft w:val="0"/>
              <w:marRight w:val="0"/>
              <w:marTop w:val="0"/>
              <w:marBottom w:val="0"/>
              <w:divBdr>
                <w:top w:val="none" w:sz="0" w:space="0" w:color="auto"/>
                <w:left w:val="none" w:sz="0" w:space="0" w:color="auto"/>
                <w:bottom w:val="none" w:sz="0" w:space="0" w:color="auto"/>
                <w:right w:val="none" w:sz="0" w:space="0" w:color="auto"/>
              </w:divBdr>
            </w:div>
          </w:divsChild>
        </w:div>
        <w:div w:id="1393651582">
          <w:marLeft w:val="0"/>
          <w:marRight w:val="0"/>
          <w:marTop w:val="0"/>
          <w:marBottom w:val="0"/>
          <w:divBdr>
            <w:top w:val="none" w:sz="0" w:space="0" w:color="auto"/>
            <w:left w:val="none" w:sz="0" w:space="0" w:color="auto"/>
            <w:bottom w:val="none" w:sz="0" w:space="0" w:color="auto"/>
            <w:right w:val="none" w:sz="0" w:space="0" w:color="auto"/>
          </w:divBdr>
          <w:divsChild>
            <w:div w:id="1582712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698554">
      <w:bodyDiv w:val="1"/>
      <w:marLeft w:val="0"/>
      <w:marRight w:val="0"/>
      <w:marTop w:val="0"/>
      <w:marBottom w:val="0"/>
      <w:divBdr>
        <w:top w:val="none" w:sz="0" w:space="0" w:color="auto"/>
        <w:left w:val="none" w:sz="0" w:space="0" w:color="auto"/>
        <w:bottom w:val="none" w:sz="0" w:space="0" w:color="auto"/>
        <w:right w:val="none" w:sz="0" w:space="0" w:color="auto"/>
      </w:divBdr>
    </w:div>
    <w:div w:id="84034592">
      <w:bodyDiv w:val="1"/>
      <w:marLeft w:val="0"/>
      <w:marRight w:val="0"/>
      <w:marTop w:val="0"/>
      <w:marBottom w:val="0"/>
      <w:divBdr>
        <w:top w:val="none" w:sz="0" w:space="0" w:color="auto"/>
        <w:left w:val="none" w:sz="0" w:space="0" w:color="auto"/>
        <w:bottom w:val="none" w:sz="0" w:space="0" w:color="auto"/>
        <w:right w:val="none" w:sz="0" w:space="0" w:color="auto"/>
      </w:divBdr>
    </w:div>
    <w:div w:id="108479779">
      <w:bodyDiv w:val="1"/>
      <w:marLeft w:val="0"/>
      <w:marRight w:val="0"/>
      <w:marTop w:val="0"/>
      <w:marBottom w:val="0"/>
      <w:divBdr>
        <w:top w:val="none" w:sz="0" w:space="0" w:color="auto"/>
        <w:left w:val="none" w:sz="0" w:space="0" w:color="auto"/>
        <w:bottom w:val="none" w:sz="0" w:space="0" w:color="auto"/>
        <w:right w:val="none" w:sz="0" w:space="0" w:color="auto"/>
      </w:divBdr>
      <w:divsChild>
        <w:div w:id="380792627">
          <w:marLeft w:val="0"/>
          <w:marRight w:val="0"/>
          <w:marTop w:val="0"/>
          <w:marBottom w:val="0"/>
          <w:divBdr>
            <w:top w:val="none" w:sz="0" w:space="0" w:color="auto"/>
            <w:left w:val="none" w:sz="0" w:space="0" w:color="auto"/>
            <w:bottom w:val="none" w:sz="0" w:space="0" w:color="auto"/>
            <w:right w:val="none" w:sz="0" w:space="0" w:color="auto"/>
          </w:divBdr>
          <w:divsChild>
            <w:div w:id="558595502">
              <w:marLeft w:val="0"/>
              <w:marRight w:val="0"/>
              <w:marTop w:val="0"/>
              <w:marBottom w:val="0"/>
              <w:divBdr>
                <w:top w:val="none" w:sz="0" w:space="0" w:color="auto"/>
                <w:left w:val="none" w:sz="0" w:space="0" w:color="auto"/>
                <w:bottom w:val="none" w:sz="0" w:space="0" w:color="auto"/>
                <w:right w:val="none" w:sz="0" w:space="0" w:color="auto"/>
              </w:divBdr>
            </w:div>
          </w:divsChild>
        </w:div>
        <w:div w:id="544146319">
          <w:marLeft w:val="0"/>
          <w:marRight w:val="0"/>
          <w:marTop w:val="0"/>
          <w:marBottom w:val="0"/>
          <w:divBdr>
            <w:top w:val="none" w:sz="0" w:space="0" w:color="auto"/>
            <w:left w:val="none" w:sz="0" w:space="0" w:color="auto"/>
            <w:bottom w:val="none" w:sz="0" w:space="0" w:color="auto"/>
            <w:right w:val="none" w:sz="0" w:space="0" w:color="auto"/>
          </w:divBdr>
          <w:divsChild>
            <w:div w:id="861868311">
              <w:marLeft w:val="0"/>
              <w:marRight w:val="0"/>
              <w:marTop w:val="0"/>
              <w:marBottom w:val="0"/>
              <w:divBdr>
                <w:top w:val="none" w:sz="0" w:space="0" w:color="auto"/>
                <w:left w:val="none" w:sz="0" w:space="0" w:color="auto"/>
                <w:bottom w:val="none" w:sz="0" w:space="0" w:color="auto"/>
                <w:right w:val="none" w:sz="0" w:space="0" w:color="auto"/>
              </w:divBdr>
            </w:div>
            <w:div w:id="2067685065">
              <w:marLeft w:val="0"/>
              <w:marRight w:val="0"/>
              <w:marTop w:val="0"/>
              <w:marBottom w:val="0"/>
              <w:divBdr>
                <w:top w:val="none" w:sz="0" w:space="0" w:color="auto"/>
                <w:left w:val="none" w:sz="0" w:space="0" w:color="auto"/>
                <w:bottom w:val="none" w:sz="0" w:space="0" w:color="auto"/>
                <w:right w:val="none" w:sz="0" w:space="0" w:color="auto"/>
              </w:divBdr>
            </w:div>
          </w:divsChild>
        </w:div>
        <w:div w:id="1933321657">
          <w:marLeft w:val="0"/>
          <w:marRight w:val="0"/>
          <w:marTop w:val="0"/>
          <w:marBottom w:val="0"/>
          <w:divBdr>
            <w:top w:val="none" w:sz="0" w:space="0" w:color="auto"/>
            <w:left w:val="none" w:sz="0" w:space="0" w:color="auto"/>
            <w:bottom w:val="none" w:sz="0" w:space="0" w:color="auto"/>
            <w:right w:val="none" w:sz="0" w:space="0" w:color="auto"/>
          </w:divBdr>
          <w:divsChild>
            <w:div w:id="364140013">
              <w:marLeft w:val="0"/>
              <w:marRight w:val="0"/>
              <w:marTop w:val="0"/>
              <w:marBottom w:val="0"/>
              <w:divBdr>
                <w:top w:val="none" w:sz="0" w:space="0" w:color="auto"/>
                <w:left w:val="none" w:sz="0" w:space="0" w:color="auto"/>
                <w:bottom w:val="none" w:sz="0" w:space="0" w:color="auto"/>
                <w:right w:val="none" w:sz="0" w:space="0" w:color="auto"/>
              </w:divBdr>
            </w:div>
          </w:divsChild>
        </w:div>
        <w:div w:id="563568754">
          <w:marLeft w:val="0"/>
          <w:marRight w:val="0"/>
          <w:marTop w:val="0"/>
          <w:marBottom w:val="0"/>
          <w:divBdr>
            <w:top w:val="none" w:sz="0" w:space="0" w:color="auto"/>
            <w:left w:val="none" w:sz="0" w:space="0" w:color="auto"/>
            <w:bottom w:val="none" w:sz="0" w:space="0" w:color="auto"/>
            <w:right w:val="none" w:sz="0" w:space="0" w:color="auto"/>
          </w:divBdr>
          <w:divsChild>
            <w:div w:id="951402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9888462">
      <w:bodyDiv w:val="1"/>
      <w:marLeft w:val="0"/>
      <w:marRight w:val="0"/>
      <w:marTop w:val="0"/>
      <w:marBottom w:val="0"/>
      <w:divBdr>
        <w:top w:val="none" w:sz="0" w:space="0" w:color="auto"/>
        <w:left w:val="none" w:sz="0" w:space="0" w:color="auto"/>
        <w:bottom w:val="none" w:sz="0" w:space="0" w:color="auto"/>
        <w:right w:val="none" w:sz="0" w:space="0" w:color="auto"/>
      </w:divBdr>
    </w:div>
    <w:div w:id="444733778">
      <w:bodyDiv w:val="1"/>
      <w:marLeft w:val="0"/>
      <w:marRight w:val="0"/>
      <w:marTop w:val="0"/>
      <w:marBottom w:val="0"/>
      <w:divBdr>
        <w:top w:val="none" w:sz="0" w:space="0" w:color="auto"/>
        <w:left w:val="none" w:sz="0" w:space="0" w:color="auto"/>
        <w:bottom w:val="none" w:sz="0" w:space="0" w:color="auto"/>
        <w:right w:val="none" w:sz="0" w:space="0" w:color="auto"/>
      </w:divBdr>
    </w:div>
    <w:div w:id="454444769">
      <w:bodyDiv w:val="1"/>
      <w:marLeft w:val="0"/>
      <w:marRight w:val="0"/>
      <w:marTop w:val="0"/>
      <w:marBottom w:val="0"/>
      <w:divBdr>
        <w:top w:val="none" w:sz="0" w:space="0" w:color="auto"/>
        <w:left w:val="none" w:sz="0" w:space="0" w:color="auto"/>
        <w:bottom w:val="none" w:sz="0" w:space="0" w:color="auto"/>
        <w:right w:val="none" w:sz="0" w:space="0" w:color="auto"/>
      </w:divBdr>
    </w:div>
    <w:div w:id="458838065">
      <w:bodyDiv w:val="1"/>
      <w:marLeft w:val="0"/>
      <w:marRight w:val="0"/>
      <w:marTop w:val="0"/>
      <w:marBottom w:val="0"/>
      <w:divBdr>
        <w:top w:val="none" w:sz="0" w:space="0" w:color="auto"/>
        <w:left w:val="none" w:sz="0" w:space="0" w:color="auto"/>
        <w:bottom w:val="none" w:sz="0" w:space="0" w:color="auto"/>
        <w:right w:val="none" w:sz="0" w:space="0" w:color="auto"/>
      </w:divBdr>
    </w:div>
    <w:div w:id="522014227">
      <w:bodyDiv w:val="1"/>
      <w:marLeft w:val="0"/>
      <w:marRight w:val="0"/>
      <w:marTop w:val="0"/>
      <w:marBottom w:val="0"/>
      <w:divBdr>
        <w:top w:val="none" w:sz="0" w:space="0" w:color="auto"/>
        <w:left w:val="none" w:sz="0" w:space="0" w:color="auto"/>
        <w:bottom w:val="none" w:sz="0" w:space="0" w:color="auto"/>
        <w:right w:val="none" w:sz="0" w:space="0" w:color="auto"/>
      </w:divBdr>
    </w:div>
    <w:div w:id="667560996">
      <w:bodyDiv w:val="1"/>
      <w:marLeft w:val="0"/>
      <w:marRight w:val="0"/>
      <w:marTop w:val="0"/>
      <w:marBottom w:val="0"/>
      <w:divBdr>
        <w:top w:val="none" w:sz="0" w:space="0" w:color="auto"/>
        <w:left w:val="none" w:sz="0" w:space="0" w:color="auto"/>
        <w:bottom w:val="none" w:sz="0" w:space="0" w:color="auto"/>
        <w:right w:val="none" w:sz="0" w:space="0" w:color="auto"/>
      </w:divBdr>
    </w:div>
    <w:div w:id="694384025">
      <w:bodyDiv w:val="1"/>
      <w:marLeft w:val="0"/>
      <w:marRight w:val="0"/>
      <w:marTop w:val="0"/>
      <w:marBottom w:val="0"/>
      <w:divBdr>
        <w:top w:val="none" w:sz="0" w:space="0" w:color="auto"/>
        <w:left w:val="none" w:sz="0" w:space="0" w:color="auto"/>
        <w:bottom w:val="none" w:sz="0" w:space="0" w:color="auto"/>
        <w:right w:val="none" w:sz="0" w:space="0" w:color="auto"/>
      </w:divBdr>
    </w:div>
    <w:div w:id="721294131">
      <w:bodyDiv w:val="1"/>
      <w:marLeft w:val="0"/>
      <w:marRight w:val="0"/>
      <w:marTop w:val="0"/>
      <w:marBottom w:val="0"/>
      <w:divBdr>
        <w:top w:val="none" w:sz="0" w:space="0" w:color="auto"/>
        <w:left w:val="none" w:sz="0" w:space="0" w:color="auto"/>
        <w:bottom w:val="none" w:sz="0" w:space="0" w:color="auto"/>
        <w:right w:val="none" w:sz="0" w:space="0" w:color="auto"/>
      </w:divBdr>
    </w:div>
    <w:div w:id="895243654">
      <w:bodyDiv w:val="1"/>
      <w:marLeft w:val="0"/>
      <w:marRight w:val="0"/>
      <w:marTop w:val="0"/>
      <w:marBottom w:val="0"/>
      <w:divBdr>
        <w:top w:val="none" w:sz="0" w:space="0" w:color="auto"/>
        <w:left w:val="none" w:sz="0" w:space="0" w:color="auto"/>
        <w:bottom w:val="none" w:sz="0" w:space="0" w:color="auto"/>
        <w:right w:val="none" w:sz="0" w:space="0" w:color="auto"/>
      </w:divBdr>
    </w:div>
    <w:div w:id="914783398">
      <w:bodyDiv w:val="1"/>
      <w:marLeft w:val="0"/>
      <w:marRight w:val="0"/>
      <w:marTop w:val="0"/>
      <w:marBottom w:val="0"/>
      <w:divBdr>
        <w:top w:val="none" w:sz="0" w:space="0" w:color="auto"/>
        <w:left w:val="none" w:sz="0" w:space="0" w:color="auto"/>
        <w:bottom w:val="none" w:sz="0" w:space="0" w:color="auto"/>
        <w:right w:val="none" w:sz="0" w:space="0" w:color="auto"/>
      </w:divBdr>
    </w:div>
    <w:div w:id="1069614679">
      <w:bodyDiv w:val="1"/>
      <w:marLeft w:val="0"/>
      <w:marRight w:val="0"/>
      <w:marTop w:val="0"/>
      <w:marBottom w:val="0"/>
      <w:divBdr>
        <w:top w:val="none" w:sz="0" w:space="0" w:color="auto"/>
        <w:left w:val="none" w:sz="0" w:space="0" w:color="auto"/>
        <w:bottom w:val="none" w:sz="0" w:space="0" w:color="auto"/>
        <w:right w:val="none" w:sz="0" w:space="0" w:color="auto"/>
      </w:divBdr>
    </w:div>
    <w:div w:id="1084499928">
      <w:bodyDiv w:val="1"/>
      <w:marLeft w:val="0"/>
      <w:marRight w:val="0"/>
      <w:marTop w:val="0"/>
      <w:marBottom w:val="0"/>
      <w:divBdr>
        <w:top w:val="none" w:sz="0" w:space="0" w:color="auto"/>
        <w:left w:val="none" w:sz="0" w:space="0" w:color="auto"/>
        <w:bottom w:val="none" w:sz="0" w:space="0" w:color="auto"/>
        <w:right w:val="none" w:sz="0" w:space="0" w:color="auto"/>
      </w:divBdr>
    </w:div>
    <w:div w:id="1291133979">
      <w:bodyDiv w:val="1"/>
      <w:marLeft w:val="0"/>
      <w:marRight w:val="0"/>
      <w:marTop w:val="0"/>
      <w:marBottom w:val="0"/>
      <w:divBdr>
        <w:top w:val="none" w:sz="0" w:space="0" w:color="auto"/>
        <w:left w:val="none" w:sz="0" w:space="0" w:color="auto"/>
        <w:bottom w:val="none" w:sz="0" w:space="0" w:color="auto"/>
        <w:right w:val="none" w:sz="0" w:space="0" w:color="auto"/>
      </w:divBdr>
    </w:div>
    <w:div w:id="1654095381">
      <w:bodyDiv w:val="1"/>
      <w:marLeft w:val="0"/>
      <w:marRight w:val="0"/>
      <w:marTop w:val="0"/>
      <w:marBottom w:val="0"/>
      <w:divBdr>
        <w:top w:val="none" w:sz="0" w:space="0" w:color="auto"/>
        <w:left w:val="none" w:sz="0" w:space="0" w:color="auto"/>
        <w:bottom w:val="none" w:sz="0" w:space="0" w:color="auto"/>
        <w:right w:val="none" w:sz="0" w:space="0" w:color="auto"/>
      </w:divBdr>
    </w:div>
    <w:div w:id="1928999622">
      <w:bodyDiv w:val="1"/>
      <w:marLeft w:val="0"/>
      <w:marRight w:val="0"/>
      <w:marTop w:val="0"/>
      <w:marBottom w:val="0"/>
      <w:divBdr>
        <w:top w:val="none" w:sz="0" w:space="0" w:color="auto"/>
        <w:left w:val="none" w:sz="0" w:space="0" w:color="auto"/>
        <w:bottom w:val="none" w:sz="0" w:space="0" w:color="auto"/>
        <w:right w:val="none" w:sz="0" w:space="0" w:color="auto"/>
      </w:divBdr>
    </w:div>
    <w:div w:id="2011643289">
      <w:bodyDiv w:val="1"/>
      <w:marLeft w:val="0"/>
      <w:marRight w:val="0"/>
      <w:marTop w:val="0"/>
      <w:marBottom w:val="0"/>
      <w:divBdr>
        <w:top w:val="none" w:sz="0" w:space="0" w:color="auto"/>
        <w:left w:val="none" w:sz="0" w:space="0" w:color="auto"/>
        <w:bottom w:val="none" w:sz="0" w:space="0" w:color="auto"/>
        <w:right w:val="none" w:sz="0" w:space="0" w:color="auto"/>
      </w:divBdr>
      <w:divsChild>
        <w:div w:id="1433889616">
          <w:marLeft w:val="0"/>
          <w:marRight w:val="0"/>
          <w:marTop w:val="0"/>
          <w:marBottom w:val="0"/>
          <w:divBdr>
            <w:top w:val="none" w:sz="0" w:space="0" w:color="auto"/>
            <w:left w:val="none" w:sz="0" w:space="0" w:color="auto"/>
            <w:bottom w:val="none" w:sz="0" w:space="0" w:color="auto"/>
            <w:right w:val="none" w:sz="0" w:space="0" w:color="auto"/>
          </w:divBdr>
          <w:divsChild>
            <w:div w:id="1985893220">
              <w:marLeft w:val="0"/>
              <w:marRight w:val="0"/>
              <w:marTop w:val="0"/>
              <w:marBottom w:val="0"/>
              <w:divBdr>
                <w:top w:val="none" w:sz="0" w:space="0" w:color="auto"/>
                <w:left w:val="none" w:sz="0" w:space="0" w:color="auto"/>
                <w:bottom w:val="none" w:sz="0" w:space="0" w:color="auto"/>
                <w:right w:val="none" w:sz="0" w:space="0" w:color="auto"/>
              </w:divBdr>
              <w:divsChild>
                <w:div w:id="1951663544">
                  <w:marLeft w:val="0"/>
                  <w:marRight w:val="0"/>
                  <w:marTop w:val="0"/>
                  <w:marBottom w:val="0"/>
                  <w:divBdr>
                    <w:top w:val="none" w:sz="0" w:space="0" w:color="auto"/>
                    <w:left w:val="none" w:sz="0" w:space="0" w:color="auto"/>
                    <w:bottom w:val="none" w:sz="0" w:space="0" w:color="auto"/>
                    <w:right w:val="none" w:sz="0" w:space="0" w:color="auto"/>
                  </w:divBdr>
                </w:div>
              </w:divsChild>
            </w:div>
            <w:div w:id="1827361375">
              <w:marLeft w:val="0"/>
              <w:marRight w:val="0"/>
              <w:marTop w:val="0"/>
              <w:marBottom w:val="0"/>
              <w:divBdr>
                <w:top w:val="none" w:sz="0" w:space="0" w:color="auto"/>
                <w:left w:val="none" w:sz="0" w:space="0" w:color="auto"/>
                <w:bottom w:val="none" w:sz="0" w:space="0" w:color="auto"/>
                <w:right w:val="none" w:sz="0" w:space="0" w:color="auto"/>
              </w:divBdr>
              <w:divsChild>
                <w:div w:id="1299217856">
                  <w:marLeft w:val="0"/>
                  <w:marRight w:val="0"/>
                  <w:marTop w:val="0"/>
                  <w:marBottom w:val="0"/>
                  <w:divBdr>
                    <w:top w:val="none" w:sz="0" w:space="0" w:color="auto"/>
                    <w:left w:val="none" w:sz="0" w:space="0" w:color="auto"/>
                    <w:bottom w:val="none" w:sz="0" w:space="0" w:color="auto"/>
                    <w:right w:val="none" w:sz="0" w:space="0" w:color="auto"/>
                  </w:divBdr>
                </w:div>
              </w:divsChild>
            </w:div>
            <w:div w:id="1840271045">
              <w:marLeft w:val="0"/>
              <w:marRight w:val="0"/>
              <w:marTop w:val="0"/>
              <w:marBottom w:val="0"/>
              <w:divBdr>
                <w:top w:val="none" w:sz="0" w:space="0" w:color="auto"/>
                <w:left w:val="none" w:sz="0" w:space="0" w:color="auto"/>
                <w:bottom w:val="none" w:sz="0" w:space="0" w:color="auto"/>
                <w:right w:val="none" w:sz="0" w:space="0" w:color="auto"/>
              </w:divBdr>
              <w:divsChild>
                <w:div w:id="632710371">
                  <w:marLeft w:val="0"/>
                  <w:marRight w:val="0"/>
                  <w:marTop w:val="0"/>
                  <w:marBottom w:val="0"/>
                  <w:divBdr>
                    <w:top w:val="none" w:sz="0" w:space="0" w:color="auto"/>
                    <w:left w:val="none" w:sz="0" w:space="0" w:color="auto"/>
                    <w:bottom w:val="none" w:sz="0" w:space="0" w:color="auto"/>
                    <w:right w:val="none" w:sz="0" w:space="0" w:color="auto"/>
                  </w:divBdr>
                </w:div>
                <w:div w:id="1946767785">
                  <w:marLeft w:val="0"/>
                  <w:marRight w:val="0"/>
                  <w:marTop w:val="0"/>
                  <w:marBottom w:val="0"/>
                  <w:divBdr>
                    <w:top w:val="none" w:sz="0" w:space="0" w:color="auto"/>
                    <w:left w:val="none" w:sz="0" w:space="0" w:color="auto"/>
                    <w:bottom w:val="none" w:sz="0" w:space="0" w:color="auto"/>
                    <w:right w:val="none" w:sz="0" w:space="0" w:color="auto"/>
                  </w:divBdr>
                </w:div>
              </w:divsChild>
            </w:div>
            <w:div w:id="1331832383">
              <w:marLeft w:val="0"/>
              <w:marRight w:val="0"/>
              <w:marTop w:val="0"/>
              <w:marBottom w:val="0"/>
              <w:divBdr>
                <w:top w:val="none" w:sz="0" w:space="0" w:color="auto"/>
                <w:left w:val="none" w:sz="0" w:space="0" w:color="auto"/>
                <w:bottom w:val="none" w:sz="0" w:space="0" w:color="auto"/>
                <w:right w:val="none" w:sz="0" w:space="0" w:color="auto"/>
              </w:divBdr>
              <w:divsChild>
                <w:div w:id="2035114139">
                  <w:marLeft w:val="0"/>
                  <w:marRight w:val="0"/>
                  <w:marTop w:val="0"/>
                  <w:marBottom w:val="0"/>
                  <w:divBdr>
                    <w:top w:val="none" w:sz="0" w:space="0" w:color="auto"/>
                    <w:left w:val="none" w:sz="0" w:space="0" w:color="auto"/>
                    <w:bottom w:val="none" w:sz="0" w:space="0" w:color="auto"/>
                    <w:right w:val="none" w:sz="0" w:space="0" w:color="auto"/>
                  </w:divBdr>
                </w:div>
              </w:divsChild>
            </w:div>
            <w:div w:id="1484272475">
              <w:marLeft w:val="0"/>
              <w:marRight w:val="0"/>
              <w:marTop w:val="0"/>
              <w:marBottom w:val="0"/>
              <w:divBdr>
                <w:top w:val="none" w:sz="0" w:space="0" w:color="auto"/>
                <w:left w:val="none" w:sz="0" w:space="0" w:color="auto"/>
                <w:bottom w:val="none" w:sz="0" w:space="0" w:color="auto"/>
                <w:right w:val="none" w:sz="0" w:space="0" w:color="auto"/>
              </w:divBdr>
              <w:divsChild>
                <w:div w:id="1319529548">
                  <w:marLeft w:val="0"/>
                  <w:marRight w:val="0"/>
                  <w:marTop w:val="0"/>
                  <w:marBottom w:val="0"/>
                  <w:divBdr>
                    <w:top w:val="none" w:sz="0" w:space="0" w:color="auto"/>
                    <w:left w:val="none" w:sz="0" w:space="0" w:color="auto"/>
                    <w:bottom w:val="none" w:sz="0" w:space="0" w:color="auto"/>
                    <w:right w:val="none" w:sz="0" w:space="0" w:color="auto"/>
                  </w:divBdr>
                </w:div>
              </w:divsChild>
            </w:div>
            <w:div w:id="600651117">
              <w:marLeft w:val="0"/>
              <w:marRight w:val="0"/>
              <w:marTop w:val="0"/>
              <w:marBottom w:val="0"/>
              <w:divBdr>
                <w:top w:val="none" w:sz="0" w:space="0" w:color="auto"/>
                <w:left w:val="none" w:sz="0" w:space="0" w:color="auto"/>
                <w:bottom w:val="none" w:sz="0" w:space="0" w:color="auto"/>
                <w:right w:val="none" w:sz="0" w:space="0" w:color="auto"/>
              </w:divBdr>
              <w:divsChild>
                <w:div w:id="1089429875">
                  <w:marLeft w:val="0"/>
                  <w:marRight w:val="0"/>
                  <w:marTop w:val="0"/>
                  <w:marBottom w:val="0"/>
                  <w:divBdr>
                    <w:top w:val="none" w:sz="0" w:space="0" w:color="auto"/>
                    <w:left w:val="none" w:sz="0" w:space="0" w:color="auto"/>
                    <w:bottom w:val="none" w:sz="0" w:space="0" w:color="auto"/>
                    <w:right w:val="none" w:sz="0" w:space="0" w:color="auto"/>
                  </w:divBdr>
                </w:div>
              </w:divsChild>
            </w:div>
            <w:div w:id="99421849">
              <w:marLeft w:val="0"/>
              <w:marRight w:val="0"/>
              <w:marTop w:val="0"/>
              <w:marBottom w:val="0"/>
              <w:divBdr>
                <w:top w:val="none" w:sz="0" w:space="0" w:color="auto"/>
                <w:left w:val="none" w:sz="0" w:space="0" w:color="auto"/>
                <w:bottom w:val="none" w:sz="0" w:space="0" w:color="auto"/>
                <w:right w:val="none" w:sz="0" w:space="0" w:color="auto"/>
              </w:divBdr>
              <w:divsChild>
                <w:div w:id="808982646">
                  <w:marLeft w:val="0"/>
                  <w:marRight w:val="0"/>
                  <w:marTop w:val="0"/>
                  <w:marBottom w:val="0"/>
                  <w:divBdr>
                    <w:top w:val="none" w:sz="0" w:space="0" w:color="auto"/>
                    <w:left w:val="none" w:sz="0" w:space="0" w:color="auto"/>
                    <w:bottom w:val="none" w:sz="0" w:space="0" w:color="auto"/>
                    <w:right w:val="none" w:sz="0" w:space="0" w:color="auto"/>
                  </w:divBdr>
                </w:div>
              </w:divsChild>
            </w:div>
            <w:div w:id="17699529">
              <w:marLeft w:val="0"/>
              <w:marRight w:val="0"/>
              <w:marTop w:val="0"/>
              <w:marBottom w:val="0"/>
              <w:divBdr>
                <w:top w:val="none" w:sz="0" w:space="0" w:color="auto"/>
                <w:left w:val="none" w:sz="0" w:space="0" w:color="auto"/>
                <w:bottom w:val="none" w:sz="0" w:space="0" w:color="auto"/>
                <w:right w:val="none" w:sz="0" w:space="0" w:color="auto"/>
              </w:divBdr>
              <w:divsChild>
                <w:div w:id="1347706056">
                  <w:marLeft w:val="0"/>
                  <w:marRight w:val="0"/>
                  <w:marTop w:val="0"/>
                  <w:marBottom w:val="0"/>
                  <w:divBdr>
                    <w:top w:val="none" w:sz="0" w:space="0" w:color="auto"/>
                    <w:left w:val="none" w:sz="0" w:space="0" w:color="auto"/>
                    <w:bottom w:val="none" w:sz="0" w:space="0" w:color="auto"/>
                    <w:right w:val="none" w:sz="0" w:space="0" w:color="auto"/>
                  </w:divBdr>
                </w:div>
              </w:divsChild>
            </w:div>
            <w:div w:id="1054699667">
              <w:marLeft w:val="0"/>
              <w:marRight w:val="0"/>
              <w:marTop w:val="0"/>
              <w:marBottom w:val="0"/>
              <w:divBdr>
                <w:top w:val="none" w:sz="0" w:space="0" w:color="auto"/>
                <w:left w:val="none" w:sz="0" w:space="0" w:color="auto"/>
                <w:bottom w:val="none" w:sz="0" w:space="0" w:color="auto"/>
                <w:right w:val="none" w:sz="0" w:space="0" w:color="auto"/>
              </w:divBdr>
              <w:divsChild>
                <w:div w:id="624195777">
                  <w:marLeft w:val="0"/>
                  <w:marRight w:val="0"/>
                  <w:marTop w:val="0"/>
                  <w:marBottom w:val="0"/>
                  <w:divBdr>
                    <w:top w:val="none" w:sz="0" w:space="0" w:color="auto"/>
                    <w:left w:val="none" w:sz="0" w:space="0" w:color="auto"/>
                    <w:bottom w:val="none" w:sz="0" w:space="0" w:color="auto"/>
                    <w:right w:val="none" w:sz="0" w:space="0" w:color="auto"/>
                  </w:divBdr>
                </w:div>
              </w:divsChild>
            </w:div>
            <w:div w:id="199635332">
              <w:marLeft w:val="0"/>
              <w:marRight w:val="0"/>
              <w:marTop w:val="0"/>
              <w:marBottom w:val="0"/>
              <w:divBdr>
                <w:top w:val="none" w:sz="0" w:space="0" w:color="auto"/>
                <w:left w:val="none" w:sz="0" w:space="0" w:color="auto"/>
                <w:bottom w:val="none" w:sz="0" w:space="0" w:color="auto"/>
                <w:right w:val="none" w:sz="0" w:space="0" w:color="auto"/>
              </w:divBdr>
              <w:divsChild>
                <w:div w:id="1790780280">
                  <w:marLeft w:val="0"/>
                  <w:marRight w:val="0"/>
                  <w:marTop w:val="0"/>
                  <w:marBottom w:val="0"/>
                  <w:divBdr>
                    <w:top w:val="none" w:sz="0" w:space="0" w:color="auto"/>
                    <w:left w:val="none" w:sz="0" w:space="0" w:color="auto"/>
                    <w:bottom w:val="none" w:sz="0" w:space="0" w:color="auto"/>
                    <w:right w:val="none" w:sz="0" w:space="0" w:color="auto"/>
                  </w:divBdr>
                </w:div>
                <w:div w:id="914585111">
                  <w:marLeft w:val="0"/>
                  <w:marRight w:val="0"/>
                  <w:marTop w:val="0"/>
                  <w:marBottom w:val="0"/>
                  <w:divBdr>
                    <w:top w:val="none" w:sz="0" w:space="0" w:color="auto"/>
                    <w:left w:val="none" w:sz="0" w:space="0" w:color="auto"/>
                    <w:bottom w:val="none" w:sz="0" w:space="0" w:color="auto"/>
                    <w:right w:val="none" w:sz="0" w:space="0" w:color="auto"/>
                  </w:divBdr>
                </w:div>
              </w:divsChild>
            </w:div>
            <w:div w:id="1798601583">
              <w:marLeft w:val="0"/>
              <w:marRight w:val="0"/>
              <w:marTop w:val="0"/>
              <w:marBottom w:val="0"/>
              <w:divBdr>
                <w:top w:val="none" w:sz="0" w:space="0" w:color="auto"/>
                <w:left w:val="none" w:sz="0" w:space="0" w:color="auto"/>
                <w:bottom w:val="none" w:sz="0" w:space="0" w:color="auto"/>
                <w:right w:val="none" w:sz="0" w:space="0" w:color="auto"/>
              </w:divBdr>
              <w:divsChild>
                <w:div w:id="948968783">
                  <w:marLeft w:val="0"/>
                  <w:marRight w:val="0"/>
                  <w:marTop w:val="0"/>
                  <w:marBottom w:val="0"/>
                  <w:divBdr>
                    <w:top w:val="none" w:sz="0" w:space="0" w:color="auto"/>
                    <w:left w:val="none" w:sz="0" w:space="0" w:color="auto"/>
                    <w:bottom w:val="none" w:sz="0" w:space="0" w:color="auto"/>
                    <w:right w:val="none" w:sz="0" w:space="0" w:color="auto"/>
                  </w:divBdr>
                </w:div>
              </w:divsChild>
            </w:div>
            <w:div w:id="952906335">
              <w:marLeft w:val="0"/>
              <w:marRight w:val="0"/>
              <w:marTop w:val="0"/>
              <w:marBottom w:val="0"/>
              <w:divBdr>
                <w:top w:val="none" w:sz="0" w:space="0" w:color="auto"/>
                <w:left w:val="none" w:sz="0" w:space="0" w:color="auto"/>
                <w:bottom w:val="none" w:sz="0" w:space="0" w:color="auto"/>
                <w:right w:val="none" w:sz="0" w:space="0" w:color="auto"/>
              </w:divBdr>
              <w:divsChild>
                <w:div w:id="1816605625">
                  <w:marLeft w:val="0"/>
                  <w:marRight w:val="0"/>
                  <w:marTop w:val="0"/>
                  <w:marBottom w:val="0"/>
                  <w:divBdr>
                    <w:top w:val="none" w:sz="0" w:space="0" w:color="auto"/>
                    <w:left w:val="none" w:sz="0" w:space="0" w:color="auto"/>
                    <w:bottom w:val="none" w:sz="0" w:space="0" w:color="auto"/>
                    <w:right w:val="none" w:sz="0" w:space="0" w:color="auto"/>
                  </w:divBdr>
                </w:div>
                <w:div w:id="1662274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emf"/><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78bb782-63ba-463e-8f20-4b904dabb392">
      <Terms xmlns="http://schemas.microsoft.com/office/infopath/2007/PartnerControls"/>
    </lcf76f155ced4ddcb4097134ff3c332f>
    <TaxCatchAll xmlns="41bdd423-71f2-4e9f-bd6f-14429de436ba" xsi:nil="true"/>
    <SharedWithUsers xmlns="41bdd423-71f2-4e9f-bd6f-14429de436ba">
      <UserInfo>
        <DisplayName>SharingLinks.90430970-f240-44f5-ad84-ef2c97983c89.OrganizationEdit.d3ec4b0b-130f-4672-a3d6-d53e0e64076c</DisplayName>
        <AccountId>71</AccountId>
        <AccountType/>
      </UserInfo>
      <UserInfo>
        <DisplayName>Chris Fawsitt</DisplayName>
        <AccountId>16</AccountId>
        <AccountType/>
      </UserInfo>
      <UserInfo>
        <DisplayName>Edna Keeney</DisplayName>
        <AccountId>20</AccountId>
        <AccountType/>
      </UserInfo>
      <UserInfo>
        <DisplayName>Alexander Jarde</DisplayName>
        <AccountId>149</AccountId>
        <AccountType/>
      </UserInfo>
      <UserInfo>
        <DisplayName>Edward Kayongo</DisplayName>
        <AccountId>30</AccountId>
        <AccountType/>
      </UserInfo>
      <UserInfo>
        <DisplayName>Howard Thom</DisplayName>
        <AccountId>12</AccountId>
        <AccountType/>
      </UserInfo>
    </SharedWithUsers>
    <Comments xmlns="278bb782-63ba-463e-8f20-4b904dabb39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DFD501D13FF2B4BB787086D104B1330" ma:contentTypeVersion="17" ma:contentTypeDescription="Create a new document." ma:contentTypeScope="" ma:versionID="32745ed938d76d6a461d7ef5a34dc692">
  <xsd:schema xmlns:xsd="http://www.w3.org/2001/XMLSchema" xmlns:xs="http://www.w3.org/2001/XMLSchema" xmlns:p="http://schemas.microsoft.com/office/2006/metadata/properties" xmlns:ns2="278bb782-63ba-463e-8f20-4b904dabb392" xmlns:ns3="41bdd423-71f2-4e9f-bd6f-14429de436ba" targetNamespace="http://schemas.microsoft.com/office/2006/metadata/properties" ma:root="true" ma:fieldsID="03a9a5b4be1283fde76504964bffa76b" ns2:_="" ns3:_="">
    <xsd:import namespace="278bb782-63ba-463e-8f20-4b904dabb392"/>
    <xsd:import namespace="41bdd423-71f2-4e9f-bd6f-14429de436ba"/>
    <xsd:element name="properties">
      <xsd:complexType>
        <xsd:sequence>
          <xsd:element name="documentManagement">
            <xsd:complexType>
              <xsd:all>
                <xsd:element ref="ns2:MediaServiceMetadata" minOccurs="0"/>
                <xsd:element ref="ns2:MediaServiceFastMetadata" minOccurs="0"/>
                <xsd:element ref="ns3:TaxCatchAll" minOccurs="0"/>
                <xsd:element ref="ns2:MediaServiceOCR" minOccurs="0"/>
                <xsd:element ref="ns2:MediaServiceGenerationTime" minOccurs="0"/>
                <xsd:element ref="ns2:MediaServiceEventHashCode" minOccurs="0"/>
                <xsd:element ref="ns2:lcf76f155ced4ddcb4097134ff3c332f" minOccurs="0"/>
                <xsd:element ref="ns3:SharedWithUsers" minOccurs="0"/>
                <xsd:element ref="ns3:SharedWithDetails" minOccurs="0"/>
                <xsd:element ref="ns2:MediaServiceDateTaken" minOccurs="0"/>
                <xsd:element ref="ns2:MediaLengthInSeconds" minOccurs="0"/>
                <xsd:element ref="ns2:MediaServiceObjectDetectorVersions" minOccurs="0"/>
                <xsd:element ref="ns2:MediaServiceSearchProperties" minOccurs="0"/>
                <xsd:element ref="ns2:Comme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8bb782-63ba-463e-8f20-4b904dabb39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59a9a7f0-925c-4bc7-b03e-6ed16a573f1c"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Comments" ma:index="22" nillable="true" ma:displayName="Comments" ma:description="Add a comment if needed" ma:format="Dropdown" ma:internalName="Comment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1bdd423-71f2-4e9f-bd6f-14429de436ba"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c35868ca-db5d-48c6-8284-5b0f9e76ddf7}" ma:internalName="TaxCatchAll" ma:showField="CatchAllData" ma:web="41bdd423-71f2-4e9f-bd6f-14429de436ba">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E01805-27F9-418A-9757-520317096234}">
  <ds:schemaRefs>
    <ds:schemaRef ds:uri="http://schemas.microsoft.com/office/2006/metadata/properties"/>
    <ds:schemaRef ds:uri="http://schemas.microsoft.com/office/infopath/2007/PartnerControls"/>
    <ds:schemaRef ds:uri="278bb782-63ba-463e-8f20-4b904dabb392"/>
    <ds:schemaRef ds:uri="41bdd423-71f2-4e9f-bd6f-14429de436ba"/>
  </ds:schemaRefs>
</ds:datastoreItem>
</file>

<file path=customXml/itemProps2.xml><?xml version="1.0" encoding="utf-8"?>
<ds:datastoreItem xmlns:ds="http://schemas.openxmlformats.org/officeDocument/2006/customXml" ds:itemID="{B4A47790-DA65-4002-B104-DA88B136BDCA}">
  <ds:schemaRefs>
    <ds:schemaRef ds:uri="http://schemas.microsoft.com/sharepoint/v3/contenttype/forms"/>
  </ds:schemaRefs>
</ds:datastoreItem>
</file>

<file path=customXml/itemProps3.xml><?xml version="1.0" encoding="utf-8"?>
<ds:datastoreItem xmlns:ds="http://schemas.openxmlformats.org/officeDocument/2006/customXml" ds:itemID="{3E76D6F2-6A4B-4F0C-8233-8D24C7D558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8bb782-63ba-463e-8f20-4b904dabb392"/>
    <ds:schemaRef ds:uri="41bdd423-71f2-4e9f-bd6f-14429de436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27317A6-7F4B-4DFF-8B19-E1184B8B20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25</Pages>
  <Words>7944</Words>
  <Characters>45287</Characters>
  <Application>Microsoft Office Word</Application>
  <DocSecurity>0</DocSecurity>
  <Lines>377</Lines>
  <Paragraphs>106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53125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Howard Thom</dc:creator>
  <cp:keywords/>
  <dc:description/>
  <cp:lastModifiedBy>Ananthi Shiyamala</cp:lastModifiedBy>
  <cp:revision>177</cp:revision>
  <dcterms:created xsi:type="dcterms:W3CDTF">2025-04-30T14:49:00Z</dcterms:created>
  <dcterms:modified xsi:type="dcterms:W3CDTF">2025-10-24T02:51:00Z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c56a699-e9bd-437a-8412-901342082749_Enabled">
    <vt:lpwstr>true</vt:lpwstr>
  </property>
  <property fmtid="{D5CDD505-2E9C-101B-9397-08002B2CF9AE}" pid="3" name="MSIP_Label_2c56a699-e9bd-437a-8412-901342082749_SetDate">
    <vt:lpwstr>2023-03-09T16:25:58Z</vt:lpwstr>
  </property>
  <property fmtid="{D5CDD505-2E9C-101B-9397-08002B2CF9AE}" pid="4" name="MSIP_Label_2c56a699-e9bd-437a-8412-901342082749_Method">
    <vt:lpwstr>Privileged</vt:lpwstr>
  </property>
  <property fmtid="{D5CDD505-2E9C-101B-9397-08002B2CF9AE}" pid="5" name="MSIP_Label_2c56a699-e9bd-437a-8412-901342082749_Name">
    <vt:lpwstr>2c56a699-e9bd-437a-8412-901342082749</vt:lpwstr>
  </property>
  <property fmtid="{D5CDD505-2E9C-101B-9397-08002B2CF9AE}" pid="6" name="MSIP_Label_2c56a699-e9bd-437a-8412-901342082749_SiteId">
    <vt:lpwstr>a00de4ec-48a8-43a6-be74-e31274e2060d</vt:lpwstr>
  </property>
  <property fmtid="{D5CDD505-2E9C-101B-9397-08002B2CF9AE}" pid="7" name="MSIP_Label_2c56a699-e9bd-437a-8412-901342082749_ActionId">
    <vt:lpwstr>5f18ff12-aa17-4538-a77f-0845f1426b23</vt:lpwstr>
  </property>
  <property fmtid="{D5CDD505-2E9C-101B-9397-08002B2CF9AE}" pid="8" name="MSIP_Label_2c56a699-e9bd-437a-8412-901342082749_ContentBits">
    <vt:lpwstr>1</vt:lpwstr>
  </property>
  <property fmtid="{D5CDD505-2E9C-101B-9397-08002B2CF9AE}" pid="9" name="MerckAIPLabel">
    <vt:lpwstr>Confidential</vt:lpwstr>
  </property>
  <property fmtid="{D5CDD505-2E9C-101B-9397-08002B2CF9AE}" pid="10" name="MerckAIPDataExchange">
    <vt:lpwstr>!MRKMIP@Confidential</vt:lpwstr>
  </property>
  <property fmtid="{D5CDD505-2E9C-101B-9397-08002B2CF9AE}" pid="11" name="ContentTypeId">
    <vt:lpwstr>0x010100BDFD501D13FF2B4BB787086D104B1330</vt:lpwstr>
  </property>
  <property fmtid="{D5CDD505-2E9C-101B-9397-08002B2CF9AE}" pid="12" name="_NewReviewCycle">
    <vt:lpwstr/>
  </property>
  <property fmtid="{D5CDD505-2E9C-101B-9397-08002B2CF9AE}" pid="13" name="MediaServiceImageTags">
    <vt:lpwstr/>
  </property>
  <property fmtid="{D5CDD505-2E9C-101B-9397-08002B2CF9AE}" pid="14" name="GrammarlyDocumentId">
    <vt:lpwstr>78f11c8deee0527efa54394126b490901acc135e850f39967e8599592bc2f370</vt:lpwstr>
  </property>
</Properties>
</file>