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DC574" w14:textId="6E3C37C5" w:rsidR="004775BC" w:rsidRPr="007E56D0" w:rsidRDefault="00F96226">
      <w:pPr>
        <w:rPr>
          <w:rFonts w:asciiTheme="majorHAnsi" w:hAnsiTheme="majorHAnsi" w:cstheme="majorHAnsi"/>
          <w:b/>
          <w:bCs/>
          <w:sz w:val="24"/>
          <w:szCs w:val="24"/>
          <w:lang w:val="en-US"/>
        </w:rPr>
      </w:pPr>
      <w:r w:rsidRPr="007E56D0">
        <w:rPr>
          <w:rFonts w:asciiTheme="majorHAnsi" w:hAnsiTheme="majorHAnsi" w:cstheme="majorHAnsi"/>
          <w:b/>
          <w:bCs/>
          <w:sz w:val="24"/>
          <w:szCs w:val="24"/>
          <w:lang w:val="en-US"/>
        </w:rPr>
        <w:t xml:space="preserve">Supplementary </w:t>
      </w:r>
      <w:r w:rsidR="001D79B8">
        <w:rPr>
          <w:rFonts w:asciiTheme="majorHAnsi" w:hAnsiTheme="majorHAnsi" w:cstheme="majorHAnsi"/>
          <w:b/>
          <w:bCs/>
          <w:sz w:val="24"/>
          <w:szCs w:val="24"/>
          <w:lang w:val="en-US"/>
        </w:rPr>
        <w:t>F</w:t>
      </w:r>
      <w:r w:rsidRPr="007E56D0">
        <w:rPr>
          <w:rFonts w:asciiTheme="majorHAnsi" w:hAnsiTheme="majorHAnsi" w:cstheme="majorHAnsi"/>
          <w:b/>
          <w:bCs/>
          <w:sz w:val="24"/>
          <w:szCs w:val="24"/>
          <w:lang w:val="en-US"/>
        </w:rPr>
        <w:t xml:space="preserve">ile for </w:t>
      </w:r>
      <w:r w:rsidR="0021268B">
        <w:rPr>
          <w:rFonts w:asciiTheme="majorHAnsi" w:hAnsiTheme="majorHAnsi" w:cstheme="majorHAnsi"/>
          <w:b/>
          <w:bCs/>
          <w:sz w:val="24"/>
          <w:szCs w:val="24"/>
          <w:lang w:val="en-US"/>
        </w:rPr>
        <w:t>“</w:t>
      </w:r>
      <w:r w:rsidRPr="007E56D0">
        <w:rPr>
          <w:rFonts w:asciiTheme="majorHAnsi" w:hAnsiTheme="majorHAnsi" w:cstheme="majorHAnsi"/>
          <w:b/>
          <w:bCs/>
          <w:sz w:val="24"/>
          <w:szCs w:val="24"/>
          <w:lang w:val="en-US"/>
        </w:rPr>
        <w:t>Endovascular Treatment for Acute Ischemic Stroke: A Methodological Systematic Review of Health-Economic Decision Modelling Studies</w:t>
      </w:r>
      <w:r w:rsidR="0021268B">
        <w:rPr>
          <w:rFonts w:asciiTheme="majorHAnsi" w:hAnsiTheme="majorHAnsi" w:cstheme="majorHAnsi"/>
          <w:b/>
          <w:bCs/>
          <w:sz w:val="24"/>
          <w:szCs w:val="24"/>
          <w:lang w:val="en-US"/>
        </w:rPr>
        <w:t>”</w:t>
      </w:r>
    </w:p>
    <w:p w14:paraId="4CB5BF90" w14:textId="7382DE90" w:rsidR="004775BC" w:rsidRPr="007E56D0" w:rsidRDefault="004775BC">
      <w:pPr>
        <w:rPr>
          <w:rFonts w:asciiTheme="majorHAnsi" w:hAnsiTheme="majorHAnsi" w:cstheme="majorHAnsi"/>
          <w:lang w:val="en-US"/>
        </w:rPr>
      </w:pPr>
    </w:p>
    <w:p w14:paraId="27D3AC95" w14:textId="724D83B5" w:rsidR="00DF4925" w:rsidRPr="00DF4925" w:rsidRDefault="00DF4925" w:rsidP="00DF4925">
      <w:pPr>
        <w:spacing w:after="120" w:line="240" w:lineRule="auto"/>
        <w:rPr>
          <w:rFonts w:asciiTheme="majorHAnsi" w:eastAsia="Times New Roman" w:hAnsiTheme="majorHAnsi" w:cstheme="majorHAnsi"/>
          <w:b/>
          <w:i/>
          <w:iCs/>
          <w:color w:val="333333"/>
          <w:sz w:val="24"/>
          <w:szCs w:val="24"/>
          <w:lang w:val="en-GB" w:eastAsia="de-DE"/>
        </w:rPr>
      </w:pPr>
      <w:r w:rsidRPr="007E56D0">
        <w:rPr>
          <w:rFonts w:asciiTheme="majorHAnsi" w:hAnsiTheme="majorHAnsi" w:cstheme="majorHAnsi"/>
          <w:b/>
          <w:bCs/>
          <w:sz w:val="24"/>
          <w:szCs w:val="24"/>
          <w:lang w:val="en-US"/>
        </w:rPr>
        <w:t xml:space="preserve">Supplementary </w:t>
      </w:r>
      <w:r w:rsidR="0050139C">
        <w:rPr>
          <w:rFonts w:asciiTheme="majorHAnsi" w:hAnsiTheme="majorHAnsi" w:cstheme="majorHAnsi"/>
          <w:b/>
          <w:bCs/>
          <w:sz w:val="24"/>
          <w:szCs w:val="24"/>
          <w:lang w:val="en-US"/>
        </w:rPr>
        <w:t>T</w:t>
      </w:r>
      <w:r w:rsidRPr="00DF4925">
        <w:rPr>
          <w:rFonts w:asciiTheme="majorHAnsi" w:eastAsia="Times New Roman" w:hAnsiTheme="majorHAnsi" w:cstheme="majorHAnsi"/>
          <w:b/>
          <w:color w:val="333333"/>
          <w:sz w:val="24"/>
          <w:szCs w:val="24"/>
          <w:lang w:val="en-GB" w:eastAsia="de-DE"/>
        </w:rPr>
        <w:t xml:space="preserve">able </w:t>
      </w:r>
      <w:r w:rsidRPr="007E56D0">
        <w:rPr>
          <w:rFonts w:asciiTheme="majorHAnsi" w:eastAsia="Times New Roman" w:hAnsiTheme="majorHAnsi" w:cstheme="majorHAnsi"/>
          <w:b/>
          <w:color w:val="333333"/>
          <w:sz w:val="24"/>
          <w:szCs w:val="24"/>
          <w:lang w:val="en-GB" w:eastAsia="de-DE"/>
        </w:rPr>
        <w:t>S</w:t>
      </w:r>
      <w:r w:rsidRPr="00DF4925">
        <w:rPr>
          <w:rFonts w:asciiTheme="majorHAnsi" w:eastAsia="Times New Roman" w:hAnsiTheme="majorHAnsi" w:cstheme="majorHAnsi"/>
          <w:b/>
          <w:color w:val="333333"/>
          <w:sz w:val="24"/>
          <w:szCs w:val="24"/>
          <w:lang w:val="en-GB" w:eastAsia="de-DE"/>
        </w:rPr>
        <w:t>1</w:t>
      </w:r>
      <w:r w:rsidRPr="00DF4925">
        <w:rPr>
          <w:rFonts w:asciiTheme="majorHAnsi" w:eastAsia="Times New Roman" w:hAnsiTheme="majorHAnsi" w:cstheme="majorHAnsi"/>
          <w:b/>
          <w:i/>
          <w:iCs/>
          <w:color w:val="333333"/>
          <w:sz w:val="24"/>
          <w:szCs w:val="24"/>
          <w:lang w:val="en-GB" w:eastAsia="de-DE"/>
        </w:rPr>
        <w:t xml:space="preserve"> </w:t>
      </w:r>
      <w:r w:rsidRPr="00DF4925">
        <w:rPr>
          <w:rFonts w:asciiTheme="majorHAnsi" w:eastAsia="Times New Roman" w:hAnsiTheme="majorHAnsi" w:cstheme="majorHAnsi"/>
          <w:bCs/>
          <w:i/>
          <w:iCs/>
          <w:color w:val="333333"/>
          <w:sz w:val="24"/>
          <w:szCs w:val="24"/>
          <w:lang w:val="en-GB" w:eastAsia="de-DE"/>
        </w:rPr>
        <w:t>Search terms</w:t>
      </w:r>
    </w:p>
    <w:tbl>
      <w:tblPr>
        <w:tblStyle w:val="Tabellenrast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10"/>
        <w:gridCol w:w="1818"/>
        <w:gridCol w:w="2340"/>
        <w:gridCol w:w="4500"/>
      </w:tblGrid>
      <w:tr w:rsidR="001D79B8" w:rsidRPr="00DF4925" w14:paraId="23610EC4" w14:textId="77777777" w:rsidTr="001D79B8">
        <w:tc>
          <w:tcPr>
            <w:tcW w:w="810" w:type="dxa"/>
            <w:tcBorders>
              <w:top w:val="single" w:sz="4" w:space="0" w:color="auto"/>
              <w:bottom w:val="single" w:sz="4" w:space="0" w:color="auto"/>
            </w:tcBorders>
          </w:tcPr>
          <w:p w14:paraId="7E90A59E" w14:textId="77777777" w:rsidR="00DF4925" w:rsidRPr="00DF4925" w:rsidRDefault="00DF4925" w:rsidP="001F39C2">
            <w:pPr>
              <w:spacing w:after="120"/>
              <w:rPr>
                <w:rFonts w:asciiTheme="majorHAnsi" w:hAnsiTheme="majorHAnsi" w:cstheme="majorHAnsi"/>
                <w:b/>
                <w:lang w:val="en-GB"/>
              </w:rPr>
            </w:pPr>
          </w:p>
        </w:tc>
        <w:tc>
          <w:tcPr>
            <w:tcW w:w="1818" w:type="dxa"/>
            <w:tcBorders>
              <w:top w:val="single" w:sz="4" w:space="0" w:color="auto"/>
              <w:bottom w:val="single" w:sz="4" w:space="0" w:color="auto"/>
            </w:tcBorders>
          </w:tcPr>
          <w:p w14:paraId="0E2EA845" w14:textId="77777777" w:rsidR="00DF4925" w:rsidRPr="00DF4925" w:rsidRDefault="00DF4925" w:rsidP="001F39C2">
            <w:pPr>
              <w:spacing w:after="120"/>
              <w:rPr>
                <w:rFonts w:asciiTheme="majorHAnsi" w:hAnsiTheme="majorHAnsi" w:cstheme="majorHAnsi"/>
                <w:b/>
                <w:lang w:val="en-GB"/>
              </w:rPr>
            </w:pPr>
            <w:r w:rsidRPr="00DF4925">
              <w:rPr>
                <w:rFonts w:asciiTheme="majorHAnsi" w:hAnsiTheme="majorHAnsi" w:cstheme="majorHAnsi"/>
                <w:b/>
                <w:lang w:val="en-GB"/>
              </w:rPr>
              <w:t>Topic</w:t>
            </w:r>
          </w:p>
        </w:tc>
        <w:tc>
          <w:tcPr>
            <w:tcW w:w="2340" w:type="dxa"/>
            <w:tcBorders>
              <w:top w:val="single" w:sz="4" w:space="0" w:color="auto"/>
              <w:bottom w:val="single" w:sz="4" w:space="0" w:color="auto"/>
            </w:tcBorders>
          </w:tcPr>
          <w:p w14:paraId="2EFA1AEF" w14:textId="77777777" w:rsidR="00DF4925" w:rsidRPr="00DF4925" w:rsidRDefault="00DF4925" w:rsidP="001F39C2">
            <w:pPr>
              <w:spacing w:after="120"/>
              <w:rPr>
                <w:rFonts w:asciiTheme="majorHAnsi" w:hAnsiTheme="majorHAnsi" w:cstheme="majorHAnsi"/>
                <w:b/>
                <w:lang w:val="en-GB"/>
              </w:rPr>
            </w:pPr>
            <w:r w:rsidRPr="00DF4925">
              <w:rPr>
                <w:rFonts w:asciiTheme="majorHAnsi" w:hAnsiTheme="majorHAnsi" w:cstheme="majorHAnsi"/>
                <w:b/>
                <w:lang w:val="en-GB"/>
              </w:rPr>
              <w:t>Items</w:t>
            </w:r>
          </w:p>
        </w:tc>
        <w:tc>
          <w:tcPr>
            <w:tcW w:w="4500" w:type="dxa"/>
            <w:tcBorders>
              <w:top w:val="single" w:sz="4" w:space="0" w:color="auto"/>
              <w:bottom w:val="single" w:sz="4" w:space="0" w:color="auto"/>
            </w:tcBorders>
          </w:tcPr>
          <w:p w14:paraId="4BE821AF" w14:textId="77777777" w:rsidR="00DF4925" w:rsidRPr="00DF4925" w:rsidRDefault="00DF4925" w:rsidP="001F39C2">
            <w:pPr>
              <w:spacing w:after="120"/>
              <w:rPr>
                <w:rFonts w:asciiTheme="majorHAnsi" w:hAnsiTheme="majorHAnsi" w:cstheme="majorHAnsi"/>
                <w:b/>
                <w:lang w:val="en-GB"/>
              </w:rPr>
            </w:pPr>
            <w:r w:rsidRPr="00DF4925">
              <w:rPr>
                <w:rFonts w:asciiTheme="majorHAnsi" w:hAnsiTheme="majorHAnsi" w:cstheme="majorHAnsi"/>
                <w:b/>
                <w:lang w:val="en-GB"/>
              </w:rPr>
              <w:t>Search Terms</w:t>
            </w:r>
          </w:p>
        </w:tc>
      </w:tr>
      <w:tr w:rsidR="001D79B8" w:rsidRPr="00DF4925" w14:paraId="709E5FCA" w14:textId="77777777" w:rsidTr="001D79B8">
        <w:tc>
          <w:tcPr>
            <w:tcW w:w="810" w:type="dxa"/>
            <w:tcBorders>
              <w:top w:val="single" w:sz="4" w:space="0" w:color="auto"/>
            </w:tcBorders>
          </w:tcPr>
          <w:p w14:paraId="5D804706"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1</w:t>
            </w:r>
          </w:p>
        </w:tc>
        <w:tc>
          <w:tcPr>
            <w:tcW w:w="1818" w:type="dxa"/>
            <w:tcBorders>
              <w:top w:val="single" w:sz="4" w:space="0" w:color="auto"/>
            </w:tcBorders>
          </w:tcPr>
          <w:p w14:paraId="1D319882"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Disease pattern +</w:t>
            </w:r>
          </w:p>
        </w:tc>
        <w:tc>
          <w:tcPr>
            <w:tcW w:w="2340" w:type="dxa"/>
            <w:tcBorders>
              <w:top w:val="single" w:sz="4" w:space="0" w:color="auto"/>
            </w:tcBorders>
          </w:tcPr>
          <w:p w14:paraId="12B47936"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“Stroke”</w:t>
            </w:r>
          </w:p>
          <w:p w14:paraId="309AD91F"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“Transient Ischemic Attack“</w:t>
            </w:r>
          </w:p>
        </w:tc>
        <w:tc>
          <w:tcPr>
            <w:tcW w:w="4500" w:type="dxa"/>
            <w:tcBorders>
              <w:top w:val="single" w:sz="4" w:space="0" w:color="auto"/>
            </w:tcBorders>
          </w:tcPr>
          <w:p w14:paraId="3F883F32" w14:textId="77777777" w:rsidR="00DF4925" w:rsidRPr="00DF4925" w:rsidRDefault="00DF4925" w:rsidP="00871587">
            <w:pPr>
              <w:numPr>
                <w:ilvl w:val="0"/>
                <w:numId w:val="27"/>
              </w:numPr>
              <w:spacing w:after="0"/>
              <w:rPr>
                <w:rFonts w:asciiTheme="majorHAnsi" w:hAnsiTheme="majorHAnsi" w:cstheme="majorHAnsi"/>
                <w:lang w:val="en-GB"/>
              </w:rPr>
            </w:pPr>
            <w:r w:rsidRPr="00DF4925">
              <w:rPr>
                <w:rFonts w:asciiTheme="majorHAnsi" w:hAnsiTheme="majorHAnsi" w:cstheme="majorHAnsi"/>
                <w:lang w:val="en-GB"/>
              </w:rPr>
              <w:t>“Stroke” [MeSH]</w:t>
            </w:r>
          </w:p>
          <w:p w14:paraId="68ED3F32" w14:textId="77777777" w:rsidR="00DF4925" w:rsidRPr="00DF4925" w:rsidRDefault="00DF4925" w:rsidP="00871587">
            <w:pPr>
              <w:numPr>
                <w:ilvl w:val="0"/>
                <w:numId w:val="27"/>
              </w:numPr>
              <w:spacing w:after="0"/>
              <w:rPr>
                <w:rFonts w:asciiTheme="majorHAnsi" w:hAnsiTheme="majorHAnsi" w:cstheme="majorHAnsi"/>
                <w:lang w:val="en-GB"/>
              </w:rPr>
            </w:pPr>
            <w:r w:rsidRPr="00DF4925">
              <w:rPr>
                <w:rFonts w:asciiTheme="majorHAnsi" w:hAnsiTheme="majorHAnsi" w:cstheme="majorHAnsi"/>
                <w:lang w:val="en-GB"/>
              </w:rPr>
              <w:t xml:space="preserve"> “Ischemic Attack, Transient” [MeSH]</w:t>
            </w:r>
          </w:p>
        </w:tc>
      </w:tr>
      <w:tr w:rsidR="00DF4925" w:rsidRPr="00DF4925" w14:paraId="0E49F433" w14:textId="77777777" w:rsidTr="001D79B8">
        <w:tc>
          <w:tcPr>
            <w:tcW w:w="810" w:type="dxa"/>
          </w:tcPr>
          <w:p w14:paraId="06CDC78A"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2</w:t>
            </w:r>
          </w:p>
        </w:tc>
        <w:tc>
          <w:tcPr>
            <w:tcW w:w="1818" w:type="dxa"/>
          </w:tcPr>
          <w:p w14:paraId="1F6CB60D"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Disease pattern -</w:t>
            </w:r>
          </w:p>
        </w:tc>
        <w:tc>
          <w:tcPr>
            <w:tcW w:w="2340" w:type="dxa"/>
          </w:tcPr>
          <w:p w14:paraId="2890DE0D" w14:textId="77777777" w:rsidR="00DF4925" w:rsidRPr="00DF4925" w:rsidRDefault="00DF4925" w:rsidP="00871587">
            <w:pPr>
              <w:spacing w:after="0"/>
              <w:rPr>
                <w:rFonts w:asciiTheme="majorHAnsi" w:hAnsiTheme="majorHAnsi" w:cstheme="majorHAnsi"/>
                <w:lang w:val="en-GB"/>
              </w:rPr>
            </w:pPr>
          </w:p>
        </w:tc>
        <w:tc>
          <w:tcPr>
            <w:tcW w:w="4500" w:type="dxa"/>
          </w:tcPr>
          <w:p w14:paraId="58A35D95" w14:textId="77777777" w:rsidR="00DF4925" w:rsidRPr="00DF4925" w:rsidRDefault="00DF4925" w:rsidP="00871587">
            <w:pPr>
              <w:spacing w:after="0"/>
              <w:ind w:left="720"/>
              <w:rPr>
                <w:rFonts w:asciiTheme="majorHAnsi" w:hAnsiTheme="majorHAnsi" w:cstheme="majorHAnsi"/>
                <w:i/>
                <w:lang w:val="en-GB"/>
              </w:rPr>
            </w:pPr>
          </w:p>
        </w:tc>
      </w:tr>
      <w:tr w:rsidR="00DF4925" w:rsidRPr="00DF4925" w14:paraId="5FAC0BB6" w14:textId="77777777" w:rsidTr="001D79B8">
        <w:trPr>
          <w:trHeight w:val="4108"/>
        </w:trPr>
        <w:tc>
          <w:tcPr>
            <w:tcW w:w="810" w:type="dxa"/>
          </w:tcPr>
          <w:p w14:paraId="4629FE8D"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3</w:t>
            </w:r>
          </w:p>
        </w:tc>
        <w:tc>
          <w:tcPr>
            <w:tcW w:w="1818" w:type="dxa"/>
          </w:tcPr>
          <w:p w14:paraId="54173FA3"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Hypothesis +</w:t>
            </w:r>
          </w:p>
        </w:tc>
        <w:tc>
          <w:tcPr>
            <w:tcW w:w="2340" w:type="dxa"/>
          </w:tcPr>
          <w:p w14:paraId="1AF136F2"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“Economic evaluation*”</w:t>
            </w:r>
          </w:p>
          <w:p w14:paraId="32D59684"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“cost-effectivenes*”</w:t>
            </w:r>
          </w:p>
          <w:p w14:paraId="46FC0D0F"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“cost-benefit*”</w:t>
            </w:r>
          </w:p>
          <w:p w14:paraId="4E8DE0C0"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 xml:space="preserve"> “cost-utilit*”</w:t>
            </w:r>
          </w:p>
          <w:p w14:paraId="33F3F999"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“cost-consequence”</w:t>
            </w:r>
            <w:r w:rsidRPr="00DF4925">
              <w:rPr>
                <w:rFonts w:asciiTheme="majorHAnsi" w:hAnsiTheme="majorHAnsi" w:cstheme="majorHAnsi"/>
                <w:lang w:val="en-GB"/>
              </w:rPr>
              <w:br/>
            </w:r>
            <w:r w:rsidRPr="00DF4925">
              <w:rPr>
                <w:rFonts w:asciiTheme="majorHAnsi" w:hAnsiTheme="majorHAnsi" w:cstheme="majorHAnsi"/>
                <w:lang w:val="en-GB"/>
              </w:rPr>
              <w:br/>
              <w:t>“Decision analys*”</w:t>
            </w:r>
          </w:p>
          <w:p w14:paraId="31BB1FE0"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“health care model*”</w:t>
            </w:r>
          </w:p>
          <w:p w14:paraId="72C29E2D"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“Markov model*”</w:t>
            </w:r>
          </w:p>
          <w:p w14:paraId="2F3B2154"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“Discret event simulation*”</w:t>
            </w:r>
          </w:p>
          <w:p w14:paraId="0A7A6C76"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“QALY*”</w:t>
            </w:r>
          </w:p>
        </w:tc>
        <w:tc>
          <w:tcPr>
            <w:tcW w:w="4500" w:type="dxa"/>
          </w:tcPr>
          <w:p w14:paraId="159F8F49" w14:textId="007CCE5F" w:rsidR="00DF4925" w:rsidRPr="002A734F" w:rsidRDefault="00DF4925" w:rsidP="00871587">
            <w:pPr>
              <w:numPr>
                <w:ilvl w:val="0"/>
                <w:numId w:val="27"/>
              </w:numPr>
              <w:spacing w:after="0"/>
              <w:rPr>
                <w:rFonts w:asciiTheme="majorHAnsi" w:hAnsiTheme="majorHAnsi" w:cstheme="majorHAnsi"/>
                <w:lang w:val="en-GB"/>
              </w:rPr>
            </w:pPr>
            <w:r w:rsidRPr="002A734F">
              <w:rPr>
                <w:rFonts w:asciiTheme="majorHAnsi" w:hAnsiTheme="majorHAnsi" w:cstheme="majorHAnsi"/>
                <w:lang w:val="en-US"/>
              </w:rPr>
              <w:t>"cost-benefit analysis"[MeSH Major Topic]</w:t>
            </w:r>
          </w:p>
          <w:p w14:paraId="2548A1A3" w14:textId="77777777" w:rsidR="00DF4925" w:rsidRPr="00DF4925" w:rsidRDefault="00DF4925" w:rsidP="00871587">
            <w:pPr>
              <w:numPr>
                <w:ilvl w:val="0"/>
                <w:numId w:val="27"/>
              </w:numPr>
              <w:spacing w:after="0"/>
              <w:rPr>
                <w:rFonts w:asciiTheme="majorHAnsi" w:hAnsiTheme="majorHAnsi" w:cstheme="majorHAnsi"/>
                <w:lang w:val="en-GB"/>
              </w:rPr>
            </w:pPr>
            <w:r w:rsidRPr="00DF4925">
              <w:rPr>
                <w:rFonts w:asciiTheme="majorHAnsi" w:hAnsiTheme="majorHAnsi" w:cstheme="majorHAnsi"/>
                <w:lang w:val="en-GB"/>
              </w:rPr>
              <w:t>“cost-effectiveness analysis” [MeSH Major Topic]</w:t>
            </w:r>
          </w:p>
          <w:p w14:paraId="6E6DB3F1" w14:textId="77777777" w:rsidR="00DF4925" w:rsidRPr="00DF4925" w:rsidRDefault="00DF4925" w:rsidP="00871587">
            <w:pPr>
              <w:numPr>
                <w:ilvl w:val="0"/>
                <w:numId w:val="27"/>
              </w:numPr>
              <w:spacing w:after="0"/>
              <w:rPr>
                <w:rFonts w:asciiTheme="majorHAnsi" w:hAnsiTheme="majorHAnsi" w:cstheme="majorHAnsi"/>
                <w:lang w:val="en-GB"/>
              </w:rPr>
            </w:pPr>
            <w:r w:rsidRPr="00DF4925">
              <w:rPr>
                <w:rFonts w:asciiTheme="majorHAnsi" w:hAnsiTheme="majorHAnsi" w:cstheme="majorHAnsi"/>
                <w:lang w:val="en-GB"/>
              </w:rPr>
              <w:t xml:space="preserve"> “cost-minimi*ation” [ti,ab]</w:t>
            </w:r>
          </w:p>
          <w:p w14:paraId="019D1A91" w14:textId="77777777" w:rsidR="00DF4925" w:rsidRPr="00DF4925" w:rsidRDefault="00DF4925" w:rsidP="00871587">
            <w:pPr>
              <w:numPr>
                <w:ilvl w:val="0"/>
                <w:numId w:val="27"/>
              </w:numPr>
              <w:spacing w:after="0"/>
              <w:rPr>
                <w:rFonts w:asciiTheme="majorHAnsi" w:hAnsiTheme="majorHAnsi" w:cstheme="majorHAnsi"/>
                <w:lang w:val="en-GB"/>
              </w:rPr>
            </w:pPr>
            <w:r w:rsidRPr="00DF4925">
              <w:rPr>
                <w:rFonts w:asciiTheme="majorHAnsi" w:hAnsiTheme="majorHAnsi" w:cstheme="majorHAnsi"/>
                <w:lang w:val="en-GB"/>
              </w:rPr>
              <w:t>“cost-consequence*” [ti,ab]</w:t>
            </w:r>
          </w:p>
          <w:p w14:paraId="0310E374" w14:textId="77777777" w:rsidR="00DF4925" w:rsidRPr="00DF4925" w:rsidRDefault="00DF4925" w:rsidP="00871587">
            <w:pPr>
              <w:numPr>
                <w:ilvl w:val="0"/>
                <w:numId w:val="27"/>
              </w:numPr>
              <w:spacing w:after="0"/>
              <w:rPr>
                <w:rFonts w:asciiTheme="majorHAnsi" w:hAnsiTheme="majorHAnsi" w:cstheme="majorHAnsi"/>
                <w:lang w:val="en-GB"/>
              </w:rPr>
            </w:pPr>
            <w:r w:rsidRPr="00DF4925">
              <w:rPr>
                <w:rFonts w:asciiTheme="majorHAnsi" w:hAnsiTheme="majorHAnsi" w:cstheme="majorHAnsi"/>
                <w:lang w:val="en-GB"/>
              </w:rPr>
              <w:t>“decision support techniques"[MeSH]</w:t>
            </w:r>
          </w:p>
          <w:p w14:paraId="39F28427" w14:textId="77777777" w:rsidR="00DF4925" w:rsidRPr="00DF4925" w:rsidRDefault="00DF4925" w:rsidP="00871587">
            <w:pPr>
              <w:numPr>
                <w:ilvl w:val="0"/>
                <w:numId w:val="29"/>
              </w:numPr>
              <w:spacing w:after="0"/>
              <w:rPr>
                <w:rFonts w:asciiTheme="majorHAnsi" w:hAnsiTheme="majorHAnsi" w:cstheme="majorHAnsi"/>
                <w:lang w:val="en-GB"/>
              </w:rPr>
            </w:pPr>
            <w:r w:rsidRPr="00DF4925">
              <w:rPr>
                <w:rFonts w:asciiTheme="majorHAnsi" w:hAnsiTheme="majorHAnsi" w:cstheme="majorHAnsi"/>
                <w:lang w:val="en-GB"/>
              </w:rPr>
              <w:t>“decision analys*” [ti,ab]</w:t>
            </w:r>
          </w:p>
          <w:p w14:paraId="27C4952F" w14:textId="77777777" w:rsidR="00DF4925" w:rsidRPr="00DF4925" w:rsidRDefault="00DF4925" w:rsidP="00871587">
            <w:pPr>
              <w:numPr>
                <w:ilvl w:val="0"/>
                <w:numId w:val="29"/>
              </w:numPr>
              <w:spacing w:after="0"/>
              <w:rPr>
                <w:rFonts w:asciiTheme="majorHAnsi" w:hAnsiTheme="majorHAnsi" w:cstheme="majorHAnsi"/>
                <w:lang w:val="en-GB"/>
              </w:rPr>
            </w:pPr>
            <w:r w:rsidRPr="00DF4925">
              <w:rPr>
                <w:rFonts w:asciiTheme="majorHAnsi" w:hAnsiTheme="majorHAnsi" w:cstheme="majorHAnsi"/>
                <w:lang w:val="en-GB"/>
              </w:rPr>
              <w:t>“decision-analytic*” [ti,ab]</w:t>
            </w:r>
          </w:p>
          <w:p w14:paraId="3B9C0278" w14:textId="77777777" w:rsidR="00DF4925" w:rsidRPr="00DF4925" w:rsidRDefault="00DF4925" w:rsidP="00871587">
            <w:pPr>
              <w:numPr>
                <w:ilvl w:val="0"/>
                <w:numId w:val="29"/>
              </w:numPr>
              <w:spacing w:after="0"/>
              <w:rPr>
                <w:rFonts w:asciiTheme="majorHAnsi" w:hAnsiTheme="majorHAnsi" w:cstheme="majorHAnsi"/>
                <w:lang w:val="en-GB"/>
              </w:rPr>
            </w:pPr>
            <w:r w:rsidRPr="00DF4925">
              <w:rPr>
                <w:rFonts w:asciiTheme="majorHAnsi" w:hAnsiTheme="majorHAnsi" w:cstheme="majorHAnsi"/>
                <w:lang w:val="en-GB"/>
              </w:rPr>
              <w:t>“decision model*“[ti,ab]</w:t>
            </w:r>
          </w:p>
          <w:p w14:paraId="6B1779A0" w14:textId="77777777" w:rsidR="00DF4925" w:rsidRPr="00DF4925" w:rsidRDefault="00DF4925" w:rsidP="00871587">
            <w:pPr>
              <w:numPr>
                <w:ilvl w:val="0"/>
                <w:numId w:val="29"/>
              </w:numPr>
              <w:spacing w:after="0"/>
              <w:rPr>
                <w:rFonts w:asciiTheme="majorHAnsi" w:hAnsiTheme="majorHAnsi" w:cstheme="majorHAnsi"/>
                <w:lang w:val="en-GB"/>
              </w:rPr>
            </w:pPr>
            <w:r w:rsidRPr="00DF4925">
              <w:rPr>
                <w:rFonts w:asciiTheme="majorHAnsi" w:hAnsiTheme="majorHAnsi" w:cstheme="majorHAnsi"/>
                <w:lang w:val="en-GB"/>
              </w:rPr>
              <w:t>“decision tree*” [ti,ab]</w:t>
            </w:r>
          </w:p>
          <w:p w14:paraId="7EA1ECA0" w14:textId="77777777" w:rsidR="00DF4925" w:rsidRPr="00DF4925" w:rsidRDefault="00DF4925" w:rsidP="00871587">
            <w:pPr>
              <w:numPr>
                <w:ilvl w:val="0"/>
                <w:numId w:val="29"/>
              </w:numPr>
              <w:spacing w:after="0"/>
              <w:rPr>
                <w:rFonts w:asciiTheme="majorHAnsi" w:hAnsiTheme="majorHAnsi" w:cstheme="majorHAnsi"/>
                <w:lang w:val="en-GB"/>
              </w:rPr>
            </w:pPr>
            <w:r w:rsidRPr="00DF4925">
              <w:rPr>
                <w:rFonts w:asciiTheme="majorHAnsi" w:hAnsiTheme="majorHAnsi" w:cstheme="majorHAnsi"/>
                <w:lang w:val="en-GB"/>
              </w:rPr>
              <w:t>“health care model*” [ti,ab]</w:t>
            </w:r>
          </w:p>
          <w:p w14:paraId="24FFBFEC" w14:textId="77777777" w:rsidR="00DF4925" w:rsidRPr="00DF4925" w:rsidRDefault="00DF4925" w:rsidP="00871587">
            <w:pPr>
              <w:numPr>
                <w:ilvl w:val="0"/>
                <w:numId w:val="29"/>
              </w:numPr>
              <w:spacing w:after="0"/>
              <w:rPr>
                <w:rFonts w:asciiTheme="majorHAnsi" w:hAnsiTheme="majorHAnsi" w:cstheme="majorHAnsi"/>
                <w:lang w:val="en-GB"/>
              </w:rPr>
            </w:pPr>
            <w:r w:rsidRPr="00DF4925">
              <w:rPr>
                <w:rFonts w:asciiTheme="majorHAnsi" w:hAnsiTheme="majorHAnsi" w:cstheme="majorHAnsi"/>
                <w:lang w:val="en-GB"/>
              </w:rPr>
              <w:t>“health care evaluation model*” [ti,ab]</w:t>
            </w:r>
          </w:p>
          <w:p w14:paraId="027275B6" w14:textId="77777777" w:rsidR="00DF4925" w:rsidRPr="00DF4925" w:rsidRDefault="00DF4925" w:rsidP="00871587">
            <w:pPr>
              <w:numPr>
                <w:ilvl w:val="0"/>
                <w:numId w:val="29"/>
              </w:numPr>
              <w:spacing w:after="0"/>
              <w:rPr>
                <w:rFonts w:asciiTheme="majorHAnsi" w:hAnsiTheme="majorHAnsi" w:cstheme="majorHAnsi"/>
                <w:lang w:val="en-GB"/>
              </w:rPr>
            </w:pPr>
            <w:r w:rsidRPr="00DF4925">
              <w:rPr>
                <w:rFonts w:asciiTheme="majorHAnsi" w:hAnsiTheme="majorHAnsi" w:cstheme="majorHAnsi"/>
                <w:lang w:val="en-GB"/>
              </w:rPr>
              <w:t>“Markov model*” [ti,ab]</w:t>
            </w:r>
          </w:p>
          <w:p w14:paraId="7C1A8AB3" w14:textId="77777777" w:rsidR="00DF4925" w:rsidRPr="00DF4925" w:rsidRDefault="00DF4925" w:rsidP="00871587">
            <w:pPr>
              <w:numPr>
                <w:ilvl w:val="0"/>
                <w:numId w:val="29"/>
              </w:numPr>
              <w:spacing w:after="0"/>
              <w:rPr>
                <w:rFonts w:asciiTheme="majorHAnsi" w:hAnsiTheme="majorHAnsi" w:cstheme="majorHAnsi"/>
                <w:lang w:val="en-GB"/>
              </w:rPr>
            </w:pPr>
            <w:r w:rsidRPr="00DF4925">
              <w:rPr>
                <w:rFonts w:asciiTheme="majorHAnsi" w:hAnsiTheme="majorHAnsi" w:cstheme="majorHAnsi"/>
                <w:lang w:val="en-GB"/>
              </w:rPr>
              <w:t>“Discrete event simulation*” [ti,ab]</w:t>
            </w:r>
          </w:p>
          <w:p w14:paraId="2147EF17" w14:textId="77777777" w:rsidR="00DF4925" w:rsidRPr="00DF4925" w:rsidRDefault="00DF4925" w:rsidP="00871587">
            <w:pPr>
              <w:numPr>
                <w:ilvl w:val="0"/>
                <w:numId w:val="29"/>
              </w:numPr>
              <w:spacing w:after="0"/>
              <w:rPr>
                <w:rFonts w:asciiTheme="majorHAnsi" w:hAnsiTheme="majorHAnsi" w:cstheme="majorHAnsi"/>
                <w:lang w:val="en-GB"/>
              </w:rPr>
            </w:pPr>
            <w:r w:rsidRPr="00DF4925">
              <w:rPr>
                <w:rFonts w:asciiTheme="majorHAnsi" w:hAnsiTheme="majorHAnsi" w:cstheme="majorHAnsi"/>
                <w:lang w:val="en-GB"/>
              </w:rPr>
              <w:t>“QALY*” [ti,ab]</w:t>
            </w:r>
          </w:p>
        </w:tc>
      </w:tr>
      <w:tr w:rsidR="00DF4925" w:rsidRPr="00DF4925" w14:paraId="34BD9A9F" w14:textId="77777777" w:rsidTr="001D79B8">
        <w:tc>
          <w:tcPr>
            <w:tcW w:w="810" w:type="dxa"/>
          </w:tcPr>
          <w:p w14:paraId="664A3475"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4</w:t>
            </w:r>
          </w:p>
        </w:tc>
        <w:tc>
          <w:tcPr>
            <w:tcW w:w="1818" w:type="dxa"/>
          </w:tcPr>
          <w:p w14:paraId="47CB698F"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Hypothesis -</w:t>
            </w:r>
          </w:p>
        </w:tc>
        <w:tc>
          <w:tcPr>
            <w:tcW w:w="2340" w:type="dxa"/>
          </w:tcPr>
          <w:p w14:paraId="619D72DB" w14:textId="77777777" w:rsidR="00DF4925" w:rsidRPr="00DF4925" w:rsidRDefault="00DF4925" w:rsidP="00871587">
            <w:pPr>
              <w:spacing w:after="0"/>
              <w:rPr>
                <w:rFonts w:asciiTheme="majorHAnsi" w:hAnsiTheme="majorHAnsi" w:cstheme="majorHAnsi"/>
                <w:i/>
                <w:lang w:val="en-GB"/>
              </w:rPr>
            </w:pPr>
            <w:r w:rsidRPr="00DF4925">
              <w:rPr>
                <w:rFonts w:asciiTheme="majorHAnsi" w:hAnsiTheme="majorHAnsi" w:cstheme="majorHAnsi"/>
                <w:i/>
                <w:lang w:val="en-GB"/>
              </w:rPr>
              <w:t>none</w:t>
            </w:r>
          </w:p>
        </w:tc>
        <w:tc>
          <w:tcPr>
            <w:tcW w:w="4500" w:type="dxa"/>
          </w:tcPr>
          <w:p w14:paraId="704C2894" w14:textId="77777777" w:rsidR="00DF4925" w:rsidRPr="00DF4925" w:rsidRDefault="00DF4925" w:rsidP="00871587">
            <w:pPr>
              <w:spacing w:after="0"/>
              <w:ind w:left="360"/>
              <w:rPr>
                <w:rFonts w:asciiTheme="majorHAnsi" w:hAnsiTheme="majorHAnsi" w:cstheme="majorHAnsi"/>
                <w:lang w:val="en-GB"/>
              </w:rPr>
            </w:pPr>
          </w:p>
        </w:tc>
      </w:tr>
      <w:tr w:rsidR="00DF4925" w:rsidRPr="00DF4925" w14:paraId="3441DAE7" w14:textId="77777777" w:rsidTr="001D79B8">
        <w:tc>
          <w:tcPr>
            <w:tcW w:w="810" w:type="dxa"/>
          </w:tcPr>
          <w:p w14:paraId="68E18C1E"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5</w:t>
            </w:r>
          </w:p>
        </w:tc>
        <w:tc>
          <w:tcPr>
            <w:tcW w:w="1818" w:type="dxa"/>
          </w:tcPr>
          <w:p w14:paraId="2FC94A3E"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Study design / Publication type +</w:t>
            </w:r>
          </w:p>
        </w:tc>
        <w:tc>
          <w:tcPr>
            <w:tcW w:w="2340" w:type="dxa"/>
          </w:tcPr>
          <w:p w14:paraId="58320337" w14:textId="77777777" w:rsidR="00DF4925" w:rsidRPr="00DF4925" w:rsidRDefault="00DF4925" w:rsidP="00871587">
            <w:pPr>
              <w:spacing w:after="0"/>
              <w:rPr>
                <w:rFonts w:asciiTheme="majorHAnsi" w:hAnsiTheme="majorHAnsi" w:cstheme="majorHAnsi"/>
                <w:i/>
                <w:lang w:val="en-GB"/>
              </w:rPr>
            </w:pPr>
            <w:r w:rsidRPr="00DF4925">
              <w:rPr>
                <w:rFonts w:asciiTheme="majorHAnsi" w:hAnsiTheme="majorHAnsi" w:cstheme="majorHAnsi"/>
                <w:i/>
                <w:lang w:val="en-GB"/>
              </w:rPr>
              <w:t>all</w:t>
            </w:r>
          </w:p>
          <w:p w14:paraId="11B234E4" w14:textId="77777777" w:rsidR="00DF4925" w:rsidRPr="00DF4925" w:rsidRDefault="00DF4925" w:rsidP="00871587">
            <w:pPr>
              <w:spacing w:after="0"/>
              <w:rPr>
                <w:rFonts w:asciiTheme="majorHAnsi" w:hAnsiTheme="majorHAnsi" w:cstheme="majorHAnsi"/>
                <w:lang w:val="en-GB"/>
              </w:rPr>
            </w:pPr>
          </w:p>
        </w:tc>
        <w:tc>
          <w:tcPr>
            <w:tcW w:w="4500" w:type="dxa"/>
          </w:tcPr>
          <w:p w14:paraId="7CA3D57B" w14:textId="77777777" w:rsidR="00DF4925" w:rsidRPr="00DF4925" w:rsidRDefault="00DF4925" w:rsidP="00871587">
            <w:pPr>
              <w:spacing w:after="0"/>
              <w:rPr>
                <w:rFonts w:asciiTheme="majorHAnsi" w:hAnsiTheme="majorHAnsi" w:cstheme="majorHAnsi"/>
                <w:lang w:val="en-GB"/>
              </w:rPr>
            </w:pPr>
          </w:p>
        </w:tc>
      </w:tr>
      <w:tr w:rsidR="00DF4925" w:rsidRPr="00DF4925" w14:paraId="22383825" w14:textId="77777777" w:rsidTr="001D79B8">
        <w:tc>
          <w:tcPr>
            <w:tcW w:w="810" w:type="dxa"/>
          </w:tcPr>
          <w:p w14:paraId="5D779646"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6</w:t>
            </w:r>
          </w:p>
        </w:tc>
        <w:tc>
          <w:tcPr>
            <w:tcW w:w="1818" w:type="dxa"/>
          </w:tcPr>
          <w:p w14:paraId="4FCCEAC6"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Study design / Publication type -</w:t>
            </w:r>
          </w:p>
        </w:tc>
        <w:tc>
          <w:tcPr>
            <w:tcW w:w="2340" w:type="dxa"/>
          </w:tcPr>
          <w:p w14:paraId="035784A0"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i/>
                <w:lang w:val="en-GB"/>
              </w:rPr>
              <w:t>none</w:t>
            </w:r>
          </w:p>
        </w:tc>
        <w:tc>
          <w:tcPr>
            <w:tcW w:w="4500" w:type="dxa"/>
          </w:tcPr>
          <w:p w14:paraId="4F87A7AB" w14:textId="77777777" w:rsidR="00DF4925" w:rsidRPr="00DF4925" w:rsidRDefault="00DF4925" w:rsidP="00871587">
            <w:pPr>
              <w:spacing w:after="0"/>
              <w:ind w:left="360"/>
              <w:rPr>
                <w:rFonts w:asciiTheme="majorHAnsi" w:hAnsiTheme="majorHAnsi" w:cstheme="majorHAnsi"/>
                <w:lang w:val="en-GB"/>
              </w:rPr>
            </w:pPr>
          </w:p>
        </w:tc>
      </w:tr>
      <w:tr w:rsidR="00DF4925" w:rsidRPr="00DF4925" w14:paraId="41F1BCCC" w14:textId="77777777" w:rsidTr="001D79B8">
        <w:tc>
          <w:tcPr>
            <w:tcW w:w="810" w:type="dxa"/>
          </w:tcPr>
          <w:p w14:paraId="61CEA1EE"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7</w:t>
            </w:r>
          </w:p>
        </w:tc>
        <w:tc>
          <w:tcPr>
            <w:tcW w:w="1818" w:type="dxa"/>
          </w:tcPr>
          <w:p w14:paraId="4F271408"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Population +</w:t>
            </w:r>
          </w:p>
        </w:tc>
        <w:tc>
          <w:tcPr>
            <w:tcW w:w="2340" w:type="dxa"/>
          </w:tcPr>
          <w:p w14:paraId="29385851"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i/>
                <w:lang w:val="en-GB"/>
              </w:rPr>
              <w:t>none</w:t>
            </w:r>
          </w:p>
        </w:tc>
        <w:tc>
          <w:tcPr>
            <w:tcW w:w="4500" w:type="dxa"/>
          </w:tcPr>
          <w:p w14:paraId="71A0D3FE" w14:textId="77777777" w:rsidR="00DF4925" w:rsidRPr="00DF4925" w:rsidRDefault="00DF4925" w:rsidP="00871587">
            <w:pPr>
              <w:spacing w:after="0"/>
              <w:rPr>
                <w:rFonts w:asciiTheme="majorHAnsi" w:hAnsiTheme="majorHAnsi" w:cstheme="majorHAnsi"/>
                <w:lang w:val="en-GB"/>
              </w:rPr>
            </w:pPr>
          </w:p>
        </w:tc>
      </w:tr>
      <w:tr w:rsidR="00315F4D" w:rsidRPr="001E2D03" w14:paraId="19FA59B3" w14:textId="77777777" w:rsidTr="00315F4D">
        <w:tc>
          <w:tcPr>
            <w:tcW w:w="810" w:type="dxa"/>
          </w:tcPr>
          <w:p w14:paraId="71E4ABF5"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8</w:t>
            </w:r>
          </w:p>
        </w:tc>
        <w:tc>
          <w:tcPr>
            <w:tcW w:w="1818" w:type="dxa"/>
          </w:tcPr>
          <w:p w14:paraId="6CA5CBA4"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Publication language</w:t>
            </w:r>
          </w:p>
        </w:tc>
        <w:tc>
          <w:tcPr>
            <w:tcW w:w="2340" w:type="dxa"/>
          </w:tcPr>
          <w:p w14:paraId="2F823350"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“English” OR “German”</w:t>
            </w:r>
          </w:p>
        </w:tc>
        <w:tc>
          <w:tcPr>
            <w:tcW w:w="4500" w:type="dxa"/>
          </w:tcPr>
          <w:p w14:paraId="30F74AB9" w14:textId="0C328164" w:rsidR="00DF4925" w:rsidRPr="00DF4925" w:rsidRDefault="00DF4925" w:rsidP="00871587">
            <w:pPr>
              <w:numPr>
                <w:ilvl w:val="0"/>
                <w:numId w:val="28"/>
              </w:numPr>
              <w:spacing w:after="0"/>
              <w:rPr>
                <w:rFonts w:asciiTheme="majorHAnsi" w:hAnsiTheme="majorHAnsi" w:cstheme="majorHAnsi"/>
                <w:lang w:val="en-GB"/>
              </w:rPr>
            </w:pPr>
            <w:r w:rsidRPr="00DF4925">
              <w:rPr>
                <w:rFonts w:asciiTheme="majorHAnsi" w:hAnsiTheme="majorHAnsi" w:cstheme="majorHAnsi"/>
                <w:lang w:val="en-GB"/>
              </w:rPr>
              <w:t>“English”[Language]</w:t>
            </w:r>
            <w:r w:rsidR="000F38C0">
              <w:rPr>
                <w:rFonts w:asciiTheme="majorHAnsi" w:hAnsiTheme="majorHAnsi" w:cstheme="majorHAnsi"/>
                <w:lang w:val="en-GB"/>
              </w:rPr>
              <w:t xml:space="preserve"> </w:t>
            </w:r>
            <w:r w:rsidRPr="00DF4925">
              <w:rPr>
                <w:rFonts w:asciiTheme="majorHAnsi" w:hAnsiTheme="majorHAnsi" w:cstheme="majorHAnsi"/>
                <w:lang w:val="en-GB"/>
              </w:rPr>
              <w:t>OR “German”[Language]</w:t>
            </w:r>
          </w:p>
        </w:tc>
      </w:tr>
      <w:tr w:rsidR="00DF4925" w:rsidRPr="00DF4925" w14:paraId="054EA816" w14:textId="77777777" w:rsidTr="00315F4D">
        <w:tc>
          <w:tcPr>
            <w:tcW w:w="810" w:type="dxa"/>
            <w:tcBorders>
              <w:bottom w:val="single" w:sz="4" w:space="0" w:color="auto"/>
            </w:tcBorders>
          </w:tcPr>
          <w:p w14:paraId="344FEE3C"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9</w:t>
            </w:r>
          </w:p>
        </w:tc>
        <w:tc>
          <w:tcPr>
            <w:tcW w:w="1818" w:type="dxa"/>
            <w:tcBorders>
              <w:bottom w:val="single" w:sz="4" w:space="0" w:color="auto"/>
            </w:tcBorders>
          </w:tcPr>
          <w:p w14:paraId="79735533"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Publication date</w:t>
            </w:r>
          </w:p>
        </w:tc>
        <w:tc>
          <w:tcPr>
            <w:tcW w:w="2340" w:type="dxa"/>
            <w:tcBorders>
              <w:bottom w:val="single" w:sz="4" w:space="0" w:color="auto"/>
            </w:tcBorders>
          </w:tcPr>
          <w:p w14:paraId="58988AD3" w14:textId="77777777" w:rsidR="00DF4925" w:rsidRPr="00DF4925" w:rsidRDefault="00DF4925" w:rsidP="00871587">
            <w:pPr>
              <w:spacing w:after="0"/>
              <w:rPr>
                <w:rFonts w:asciiTheme="majorHAnsi" w:hAnsiTheme="majorHAnsi" w:cstheme="majorHAnsi"/>
                <w:lang w:val="en-GB"/>
              </w:rPr>
            </w:pPr>
            <w:r w:rsidRPr="00DF4925">
              <w:rPr>
                <w:rFonts w:asciiTheme="majorHAnsi" w:hAnsiTheme="majorHAnsi" w:cstheme="majorHAnsi"/>
                <w:lang w:val="en-GB"/>
              </w:rPr>
              <w:t>01.01.2008-31.12.2024</w:t>
            </w:r>
          </w:p>
        </w:tc>
        <w:tc>
          <w:tcPr>
            <w:tcW w:w="4500" w:type="dxa"/>
            <w:tcBorders>
              <w:bottom w:val="single" w:sz="4" w:space="0" w:color="auto"/>
            </w:tcBorders>
          </w:tcPr>
          <w:p w14:paraId="388C9C22" w14:textId="37860979" w:rsidR="00DF4925" w:rsidRPr="00315F4D" w:rsidRDefault="00DF4925" w:rsidP="00871587">
            <w:pPr>
              <w:pStyle w:val="Listenabsatz"/>
              <w:numPr>
                <w:ilvl w:val="0"/>
                <w:numId w:val="32"/>
              </w:numPr>
              <w:spacing w:after="0"/>
              <w:rPr>
                <w:rFonts w:asciiTheme="majorHAnsi" w:hAnsiTheme="majorHAnsi" w:cstheme="majorHAnsi"/>
              </w:rPr>
            </w:pPr>
            <w:r w:rsidRPr="002A734F">
              <w:rPr>
                <w:rFonts w:asciiTheme="majorHAnsi" w:hAnsiTheme="majorHAnsi" w:cstheme="majorHAnsi"/>
              </w:rPr>
              <w:t>"2008/01/01"[Date - Publication]:"2025/01/13"[Date - Publication]</w:t>
            </w:r>
          </w:p>
        </w:tc>
      </w:tr>
    </w:tbl>
    <w:p w14:paraId="3592FE67" w14:textId="77777777" w:rsidR="00DF4925" w:rsidRPr="00DF4925" w:rsidRDefault="00DF4925" w:rsidP="00DF4925">
      <w:pPr>
        <w:spacing w:after="120" w:line="240" w:lineRule="auto"/>
        <w:rPr>
          <w:rFonts w:asciiTheme="majorHAnsi" w:eastAsia="Times New Roman" w:hAnsiTheme="majorHAnsi" w:cstheme="majorHAnsi"/>
          <w:color w:val="333333"/>
          <w:sz w:val="20"/>
          <w:szCs w:val="20"/>
          <w:lang w:val="en-US" w:eastAsia="de-DE"/>
        </w:rPr>
      </w:pPr>
    </w:p>
    <w:p w14:paraId="633687EA" w14:textId="77777777" w:rsidR="00DF4925" w:rsidRPr="00DF4925" w:rsidRDefault="00DF4925" w:rsidP="00DF4925">
      <w:pPr>
        <w:spacing w:after="120" w:line="240" w:lineRule="auto"/>
        <w:rPr>
          <w:rFonts w:asciiTheme="majorHAnsi" w:eastAsia="Times New Roman" w:hAnsiTheme="majorHAnsi" w:cstheme="majorHAnsi"/>
          <w:color w:val="333333"/>
          <w:sz w:val="20"/>
          <w:szCs w:val="20"/>
          <w:lang w:val="en-US" w:eastAsia="de-DE"/>
        </w:rPr>
      </w:pPr>
    </w:p>
    <w:p w14:paraId="3E08F553" w14:textId="77777777" w:rsidR="00DF4925" w:rsidRPr="00DF4925" w:rsidRDefault="00DF4925" w:rsidP="00DF4925">
      <w:pPr>
        <w:spacing w:after="120" w:line="240" w:lineRule="auto"/>
        <w:rPr>
          <w:rFonts w:asciiTheme="majorHAnsi" w:eastAsia="Times New Roman" w:hAnsiTheme="majorHAnsi" w:cstheme="majorHAnsi"/>
          <w:color w:val="333333"/>
          <w:sz w:val="20"/>
          <w:szCs w:val="20"/>
          <w:lang w:val="en-US" w:eastAsia="de-DE"/>
        </w:rPr>
      </w:pPr>
    </w:p>
    <w:p w14:paraId="78B83868" w14:textId="77777777" w:rsidR="00DF4925" w:rsidRPr="00DF4925" w:rsidRDefault="00DF4925" w:rsidP="00DF4925">
      <w:pPr>
        <w:spacing w:after="120" w:line="240" w:lineRule="auto"/>
        <w:rPr>
          <w:rFonts w:asciiTheme="majorHAnsi" w:eastAsia="Times New Roman" w:hAnsiTheme="majorHAnsi" w:cstheme="majorHAnsi"/>
          <w:color w:val="333333"/>
          <w:sz w:val="20"/>
          <w:szCs w:val="20"/>
          <w:lang w:val="en-US" w:eastAsia="de-DE"/>
        </w:rPr>
      </w:pPr>
    </w:p>
    <w:p w14:paraId="4E58E404" w14:textId="347F7A0C" w:rsidR="00DF4925" w:rsidRPr="007E56D0" w:rsidRDefault="00DF4925" w:rsidP="00DF4925">
      <w:pPr>
        <w:spacing w:after="120" w:line="240" w:lineRule="auto"/>
        <w:rPr>
          <w:rFonts w:asciiTheme="majorHAnsi" w:eastAsia="Times New Roman" w:hAnsiTheme="majorHAnsi" w:cstheme="majorHAnsi"/>
          <w:b/>
          <w:bCs/>
          <w:i/>
          <w:iCs/>
          <w:color w:val="333333"/>
          <w:sz w:val="20"/>
          <w:szCs w:val="20"/>
          <w:lang w:eastAsia="de-DE"/>
        </w:rPr>
      </w:pPr>
    </w:p>
    <w:p w14:paraId="1979E0E6" w14:textId="22C2B22A" w:rsidR="00DF4925" w:rsidRDefault="00DF4925" w:rsidP="00DF4925">
      <w:pPr>
        <w:spacing w:after="120" w:line="240" w:lineRule="auto"/>
        <w:rPr>
          <w:rFonts w:asciiTheme="majorHAnsi" w:eastAsia="Times New Roman" w:hAnsiTheme="majorHAnsi" w:cstheme="majorHAnsi"/>
          <w:b/>
          <w:bCs/>
          <w:i/>
          <w:iCs/>
          <w:color w:val="333333"/>
          <w:sz w:val="20"/>
          <w:szCs w:val="20"/>
          <w:lang w:eastAsia="de-DE"/>
        </w:rPr>
      </w:pPr>
    </w:p>
    <w:p w14:paraId="2239AF08" w14:textId="77777777" w:rsidR="00947FFC" w:rsidRPr="007E56D0" w:rsidRDefault="00947FFC" w:rsidP="00DF4925">
      <w:pPr>
        <w:spacing w:after="120" w:line="240" w:lineRule="auto"/>
        <w:rPr>
          <w:rFonts w:asciiTheme="majorHAnsi" w:eastAsia="Times New Roman" w:hAnsiTheme="majorHAnsi" w:cstheme="majorHAnsi"/>
          <w:b/>
          <w:bCs/>
          <w:i/>
          <w:iCs/>
          <w:color w:val="333333"/>
          <w:sz w:val="20"/>
          <w:szCs w:val="20"/>
          <w:lang w:eastAsia="de-DE"/>
        </w:rPr>
      </w:pPr>
    </w:p>
    <w:p w14:paraId="18586FEC" w14:textId="32F85065" w:rsidR="00DF4925" w:rsidRDefault="00DF4925" w:rsidP="00DF4925">
      <w:pPr>
        <w:spacing w:after="120" w:line="240" w:lineRule="auto"/>
        <w:rPr>
          <w:rFonts w:asciiTheme="majorHAnsi" w:eastAsia="Times New Roman" w:hAnsiTheme="majorHAnsi" w:cstheme="majorHAnsi"/>
          <w:b/>
          <w:bCs/>
          <w:i/>
          <w:iCs/>
          <w:color w:val="333333"/>
          <w:sz w:val="20"/>
          <w:szCs w:val="20"/>
          <w:lang w:eastAsia="de-DE"/>
        </w:rPr>
      </w:pPr>
    </w:p>
    <w:p w14:paraId="7B310F60" w14:textId="2427CA2A" w:rsidR="00871587" w:rsidRDefault="00871587" w:rsidP="00DF4925">
      <w:pPr>
        <w:spacing w:after="120" w:line="240" w:lineRule="auto"/>
        <w:rPr>
          <w:rFonts w:asciiTheme="majorHAnsi" w:eastAsia="Times New Roman" w:hAnsiTheme="majorHAnsi" w:cstheme="majorHAnsi"/>
          <w:b/>
          <w:bCs/>
          <w:i/>
          <w:iCs/>
          <w:color w:val="333333"/>
          <w:sz w:val="20"/>
          <w:szCs w:val="20"/>
          <w:lang w:eastAsia="de-DE"/>
        </w:rPr>
      </w:pPr>
    </w:p>
    <w:p w14:paraId="25838381" w14:textId="4158A1F6" w:rsidR="00871587" w:rsidRDefault="00871587" w:rsidP="00DF4925">
      <w:pPr>
        <w:spacing w:after="120" w:line="240" w:lineRule="auto"/>
        <w:rPr>
          <w:rFonts w:asciiTheme="majorHAnsi" w:eastAsia="Times New Roman" w:hAnsiTheme="majorHAnsi" w:cstheme="majorHAnsi"/>
          <w:b/>
          <w:bCs/>
          <w:i/>
          <w:iCs/>
          <w:color w:val="333333"/>
          <w:sz w:val="20"/>
          <w:szCs w:val="20"/>
          <w:lang w:eastAsia="de-DE"/>
        </w:rPr>
      </w:pPr>
    </w:p>
    <w:p w14:paraId="004A39C1" w14:textId="3A965D5B" w:rsidR="00871587" w:rsidRDefault="00871587" w:rsidP="00DF4925">
      <w:pPr>
        <w:spacing w:after="120" w:line="240" w:lineRule="auto"/>
        <w:rPr>
          <w:rFonts w:asciiTheme="majorHAnsi" w:eastAsia="Times New Roman" w:hAnsiTheme="majorHAnsi" w:cstheme="majorHAnsi"/>
          <w:b/>
          <w:bCs/>
          <w:i/>
          <w:iCs/>
          <w:color w:val="333333"/>
          <w:sz w:val="20"/>
          <w:szCs w:val="20"/>
          <w:lang w:eastAsia="de-DE"/>
        </w:rPr>
      </w:pPr>
    </w:p>
    <w:p w14:paraId="35884766" w14:textId="77777777" w:rsidR="00871587" w:rsidRPr="00DF4925" w:rsidRDefault="00871587" w:rsidP="00DF4925">
      <w:pPr>
        <w:spacing w:after="120" w:line="240" w:lineRule="auto"/>
        <w:rPr>
          <w:rFonts w:asciiTheme="majorHAnsi" w:eastAsia="Times New Roman" w:hAnsiTheme="majorHAnsi" w:cstheme="majorHAnsi"/>
          <w:b/>
          <w:bCs/>
          <w:i/>
          <w:iCs/>
          <w:color w:val="333333"/>
          <w:sz w:val="20"/>
          <w:szCs w:val="20"/>
          <w:lang w:eastAsia="de-DE"/>
        </w:rPr>
      </w:pPr>
    </w:p>
    <w:p w14:paraId="31CF3004" w14:textId="19FC7B1C" w:rsidR="00DF4925" w:rsidRPr="00DF4925" w:rsidRDefault="00DF4925" w:rsidP="00DF4925">
      <w:pPr>
        <w:spacing w:after="120" w:line="240" w:lineRule="auto"/>
        <w:rPr>
          <w:rFonts w:asciiTheme="majorHAnsi" w:eastAsia="Times New Roman" w:hAnsiTheme="majorHAnsi" w:cstheme="majorHAnsi"/>
          <w:b/>
          <w:bCs/>
          <w:i/>
          <w:iCs/>
          <w:color w:val="333333"/>
          <w:sz w:val="24"/>
          <w:szCs w:val="24"/>
          <w:lang w:eastAsia="de-DE"/>
        </w:rPr>
      </w:pPr>
      <w:r w:rsidRPr="00DB7CEF">
        <w:rPr>
          <w:rFonts w:asciiTheme="majorHAnsi" w:hAnsiTheme="majorHAnsi" w:cstheme="majorHAnsi"/>
          <w:b/>
          <w:bCs/>
          <w:sz w:val="24"/>
          <w:szCs w:val="24"/>
          <w:lang w:val="en-US"/>
        </w:rPr>
        <w:lastRenderedPageBreak/>
        <w:t xml:space="preserve">Supplementary </w:t>
      </w:r>
      <w:r w:rsidR="0050139C" w:rsidRPr="00DB7CEF">
        <w:rPr>
          <w:rFonts w:asciiTheme="majorHAnsi" w:hAnsiTheme="majorHAnsi" w:cstheme="majorHAnsi"/>
          <w:b/>
          <w:bCs/>
          <w:sz w:val="24"/>
          <w:szCs w:val="24"/>
          <w:lang w:val="en-US"/>
        </w:rPr>
        <w:t>T</w:t>
      </w:r>
      <w:r w:rsidRPr="00DF4925">
        <w:rPr>
          <w:rFonts w:asciiTheme="majorHAnsi" w:eastAsia="Times New Roman" w:hAnsiTheme="majorHAnsi" w:cstheme="majorHAnsi"/>
          <w:b/>
          <w:color w:val="333333"/>
          <w:sz w:val="24"/>
          <w:szCs w:val="24"/>
          <w:lang w:val="en-GB" w:eastAsia="de-DE"/>
        </w:rPr>
        <w:t xml:space="preserve">able </w:t>
      </w:r>
      <w:r w:rsidRPr="00DB7CEF">
        <w:rPr>
          <w:rFonts w:asciiTheme="majorHAnsi" w:eastAsia="Times New Roman" w:hAnsiTheme="majorHAnsi" w:cstheme="majorHAnsi"/>
          <w:b/>
          <w:color w:val="333333"/>
          <w:sz w:val="24"/>
          <w:szCs w:val="24"/>
          <w:lang w:val="en-GB" w:eastAsia="de-DE"/>
        </w:rPr>
        <w:t>S</w:t>
      </w:r>
      <w:r w:rsidRPr="00DF4925">
        <w:rPr>
          <w:rFonts w:asciiTheme="majorHAnsi" w:eastAsia="Times New Roman" w:hAnsiTheme="majorHAnsi" w:cstheme="majorHAnsi"/>
          <w:b/>
          <w:bCs/>
          <w:color w:val="333333"/>
          <w:sz w:val="24"/>
          <w:szCs w:val="24"/>
          <w:lang w:eastAsia="de-DE"/>
        </w:rPr>
        <w:t>2</w:t>
      </w:r>
      <w:r w:rsidRPr="00DF4925">
        <w:rPr>
          <w:rFonts w:asciiTheme="majorHAnsi" w:eastAsia="Times New Roman" w:hAnsiTheme="majorHAnsi" w:cstheme="majorHAnsi"/>
          <w:i/>
          <w:iCs/>
          <w:color w:val="333333"/>
          <w:sz w:val="24"/>
          <w:szCs w:val="24"/>
          <w:lang w:eastAsia="de-DE"/>
        </w:rPr>
        <w:t xml:space="preserve"> Databases</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
        <w:gridCol w:w="8165"/>
      </w:tblGrid>
      <w:tr w:rsidR="00147D4A" w:rsidRPr="00315F4D" w14:paraId="749E93D4" w14:textId="77777777" w:rsidTr="00B509E8">
        <w:trPr>
          <w:trHeight w:val="128"/>
        </w:trPr>
        <w:tc>
          <w:tcPr>
            <w:tcW w:w="0" w:type="auto"/>
            <w:gridSpan w:val="2"/>
            <w:tcBorders>
              <w:top w:val="single" w:sz="4" w:space="0" w:color="auto"/>
            </w:tcBorders>
            <w:vAlign w:val="bottom"/>
          </w:tcPr>
          <w:p w14:paraId="7A2B9275" w14:textId="77777777" w:rsidR="00147D4A" w:rsidRPr="00DF4925" w:rsidRDefault="00147D4A" w:rsidP="00DF4925">
            <w:pPr>
              <w:spacing w:after="120"/>
              <w:rPr>
                <w:rFonts w:asciiTheme="majorHAnsi" w:hAnsiTheme="majorHAnsi" w:cstheme="majorHAnsi"/>
                <w:b/>
                <w:color w:val="333333"/>
                <w:lang w:val="en-US"/>
              </w:rPr>
            </w:pPr>
          </w:p>
        </w:tc>
      </w:tr>
      <w:tr w:rsidR="00A9555F" w:rsidRPr="00315F4D" w14:paraId="61DE437B" w14:textId="77777777" w:rsidTr="00147D4A">
        <w:trPr>
          <w:trHeight w:val="634"/>
        </w:trPr>
        <w:tc>
          <w:tcPr>
            <w:tcW w:w="0" w:type="auto"/>
            <w:gridSpan w:val="2"/>
            <w:tcBorders>
              <w:bottom w:val="single" w:sz="4" w:space="0" w:color="auto"/>
            </w:tcBorders>
            <w:vAlign w:val="bottom"/>
          </w:tcPr>
          <w:p w14:paraId="5137B9C3" w14:textId="77777777" w:rsidR="00A9555F" w:rsidRPr="00DF4925" w:rsidRDefault="00A9555F" w:rsidP="00DF4925">
            <w:pPr>
              <w:spacing w:after="120"/>
              <w:rPr>
                <w:rFonts w:asciiTheme="majorHAnsi" w:hAnsiTheme="majorHAnsi" w:cstheme="majorHAnsi"/>
                <w:b/>
                <w:color w:val="333333"/>
                <w:lang w:val="en-US"/>
              </w:rPr>
            </w:pPr>
            <w:r w:rsidRPr="00DF4925">
              <w:rPr>
                <w:rFonts w:asciiTheme="majorHAnsi" w:hAnsiTheme="majorHAnsi" w:cstheme="majorHAnsi"/>
                <w:b/>
                <w:color w:val="333333"/>
                <w:lang w:val="en-US"/>
              </w:rPr>
              <w:t>PubMed</w:t>
            </w:r>
          </w:p>
        </w:tc>
      </w:tr>
      <w:tr w:rsidR="00DF4925" w:rsidRPr="001E2D03" w14:paraId="6B3D06A4" w14:textId="77777777" w:rsidTr="001D79B8">
        <w:tc>
          <w:tcPr>
            <w:tcW w:w="0" w:type="auto"/>
            <w:tcBorders>
              <w:top w:val="single" w:sz="4" w:space="0" w:color="auto"/>
            </w:tcBorders>
          </w:tcPr>
          <w:p w14:paraId="26CFB720" w14:textId="77777777" w:rsidR="00DF4925" w:rsidRPr="00DF4925" w:rsidRDefault="00DF4925" w:rsidP="00A02E4B">
            <w:pPr>
              <w:spacing w:after="0"/>
              <w:rPr>
                <w:rFonts w:asciiTheme="majorHAnsi" w:hAnsiTheme="majorHAnsi" w:cstheme="majorHAnsi"/>
                <w:color w:val="333333"/>
                <w:lang w:val="en-US"/>
              </w:rPr>
            </w:pPr>
            <w:r w:rsidRPr="00DF4925">
              <w:rPr>
                <w:rFonts w:asciiTheme="majorHAnsi" w:hAnsiTheme="majorHAnsi" w:cstheme="majorHAnsi"/>
                <w:color w:val="333333"/>
                <w:lang w:val="en-US"/>
              </w:rPr>
              <w:t>Access</w:t>
            </w:r>
          </w:p>
        </w:tc>
        <w:tc>
          <w:tcPr>
            <w:tcW w:w="0" w:type="auto"/>
            <w:tcBorders>
              <w:top w:val="single" w:sz="4" w:space="0" w:color="auto"/>
            </w:tcBorders>
          </w:tcPr>
          <w:p w14:paraId="09B1209E" w14:textId="77777777" w:rsidR="00DF4925" w:rsidRPr="00DF4925" w:rsidRDefault="00DF4925" w:rsidP="00A02E4B">
            <w:pPr>
              <w:spacing w:after="0"/>
              <w:rPr>
                <w:rFonts w:asciiTheme="majorHAnsi" w:hAnsiTheme="majorHAnsi" w:cstheme="majorHAnsi"/>
                <w:color w:val="333333"/>
                <w:lang w:val="en-US"/>
              </w:rPr>
            </w:pPr>
            <w:r w:rsidRPr="00DF4925">
              <w:rPr>
                <w:rFonts w:asciiTheme="majorHAnsi" w:hAnsiTheme="majorHAnsi" w:cstheme="majorHAnsi"/>
                <w:color w:val="333333"/>
                <w:lang w:val="en-US"/>
              </w:rPr>
              <w:t>https://pubmed.ncbi.nlm.nih.gov/</w:t>
            </w:r>
          </w:p>
        </w:tc>
      </w:tr>
      <w:tr w:rsidR="00DF4925" w:rsidRPr="00DF4925" w14:paraId="4DA43F75" w14:textId="77777777" w:rsidTr="001D79B8">
        <w:tc>
          <w:tcPr>
            <w:tcW w:w="0" w:type="auto"/>
          </w:tcPr>
          <w:p w14:paraId="1F34B917" w14:textId="77777777" w:rsidR="00DF4925" w:rsidRPr="00DF4925" w:rsidRDefault="00DF4925" w:rsidP="00A02E4B">
            <w:pPr>
              <w:spacing w:after="0"/>
              <w:rPr>
                <w:rFonts w:asciiTheme="majorHAnsi" w:hAnsiTheme="majorHAnsi" w:cstheme="majorHAnsi"/>
                <w:color w:val="333333"/>
                <w:lang w:val="en-US"/>
              </w:rPr>
            </w:pPr>
            <w:r w:rsidRPr="00DF4925">
              <w:rPr>
                <w:rFonts w:asciiTheme="majorHAnsi" w:hAnsiTheme="majorHAnsi" w:cstheme="majorHAnsi"/>
                <w:color w:val="333333"/>
                <w:lang w:val="en-US"/>
              </w:rPr>
              <w:t>Date</w:t>
            </w:r>
          </w:p>
        </w:tc>
        <w:tc>
          <w:tcPr>
            <w:tcW w:w="0" w:type="auto"/>
          </w:tcPr>
          <w:p w14:paraId="44AD7668" w14:textId="77777777" w:rsidR="00DF4925" w:rsidRPr="00DF4925" w:rsidRDefault="00DF4925" w:rsidP="00A02E4B">
            <w:pPr>
              <w:spacing w:after="0"/>
              <w:rPr>
                <w:rFonts w:asciiTheme="majorHAnsi" w:hAnsiTheme="majorHAnsi" w:cstheme="majorHAnsi"/>
                <w:color w:val="333333"/>
                <w:lang w:val="en-US"/>
              </w:rPr>
            </w:pPr>
            <w:r w:rsidRPr="00DF4925">
              <w:rPr>
                <w:rFonts w:asciiTheme="majorHAnsi" w:hAnsiTheme="majorHAnsi" w:cstheme="majorHAnsi"/>
                <w:color w:val="333333"/>
                <w:lang w:val="en-US"/>
              </w:rPr>
              <w:t>13th January 2025</w:t>
            </w:r>
          </w:p>
        </w:tc>
      </w:tr>
      <w:tr w:rsidR="00DF4925" w:rsidRPr="001E2D03" w14:paraId="35BCC162" w14:textId="77777777" w:rsidTr="001D79B8">
        <w:tc>
          <w:tcPr>
            <w:tcW w:w="0" w:type="auto"/>
          </w:tcPr>
          <w:p w14:paraId="312356E1" w14:textId="77777777" w:rsidR="00DF4925" w:rsidRPr="00315F4D" w:rsidRDefault="00DF4925" w:rsidP="00A02E4B">
            <w:pPr>
              <w:spacing w:after="0"/>
              <w:rPr>
                <w:rFonts w:asciiTheme="majorHAnsi" w:hAnsiTheme="majorHAnsi" w:cstheme="majorHAnsi"/>
              </w:rPr>
            </w:pPr>
            <w:r w:rsidRPr="00315F4D">
              <w:rPr>
                <w:rFonts w:asciiTheme="majorHAnsi" w:hAnsiTheme="majorHAnsi" w:cstheme="majorHAnsi"/>
              </w:rPr>
              <w:t>Search-string</w:t>
            </w:r>
          </w:p>
        </w:tc>
        <w:tc>
          <w:tcPr>
            <w:tcW w:w="0" w:type="auto"/>
            <w:shd w:val="clear" w:color="auto" w:fill="FFFFFF" w:themeFill="background1"/>
          </w:tcPr>
          <w:p w14:paraId="33C8B461" w14:textId="77777777" w:rsidR="00DF4925" w:rsidRPr="00FE6C5C" w:rsidRDefault="00DF4925" w:rsidP="00A02E4B">
            <w:pPr>
              <w:spacing w:after="0"/>
              <w:rPr>
                <w:rFonts w:asciiTheme="majorHAnsi" w:hAnsiTheme="majorHAnsi" w:cstheme="majorHAnsi"/>
                <w:lang w:val="en-US"/>
              </w:rPr>
            </w:pPr>
            <w:r w:rsidRPr="00FE6C5C">
              <w:rPr>
                <w:rFonts w:asciiTheme="majorHAnsi" w:hAnsiTheme="majorHAnsi" w:cstheme="majorHAnsi"/>
                <w:lang w:val="en-US"/>
              </w:rPr>
              <w:t xml:space="preserve"> ("Stroke"[MeSH Terms] OR "Ischemic Attack, Transient"[MeSH Terms]) AND ("cost-benefit analysis"[MeSH Major Topic] OR “cost-effectiveness analysis” [MeSH Major Topic] OR "cost-minimi*ation*"[Title/Abstract] OR "cost-consequence*"[Title/Abstract] OR "decision support techniques"[MeSH Terms] OR "decision analys*"[Title/Abstract] OR "decision-analytic*"[Title/Abstract] OR "decision model*"[Title/Abstract] OR "health care model*"[Title/Abstract] OR “health care evaluation model*”[Title/Abstract] OR "decision tree*"[Title/Abstract] OR "markov model*"[Title/Abstract] OR "discrete event simulation*"[Title/Abstract] OR "QALY*"[Title/Abstract]) AND ("2008/01/01"[Date - Publication] : "2024/12/31"[Date - Publication]) AND (“English”[Language] OR “German”[Language])</w:t>
            </w:r>
          </w:p>
        </w:tc>
      </w:tr>
      <w:tr w:rsidR="00DF4925" w:rsidRPr="00DF4925" w14:paraId="6938EF94" w14:textId="77777777" w:rsidTr="007B07F4">
        <w:tc>
          <w:tcPr>
            <w:tcW w:w="0" w:type="auto"/>
          </w:tcPr>
          <w:p w14:paraId="2553A5C5" w14:textId="77777777" w:rsidR="00DF4925" w:rsidRPr="00315F4D" w:rsidRDefault="00DF4925" w:rsidP="00A02E4B">
            <w:pPr>
              <w:spacing w:after="0"/>
              <w:rPr>
                <w:rFonts w:asciiTheme="majorHAnsi" w:hAnsiTheme="majorHAnsi" w:cstheme="majorHAnsi"/>
              </w:rPr>
            </w:pPr>
            <w:r w:rsidRPr="00315F4D">
              <w:rPr>
                <w:rFonts w:asciiTheme="majorHAnsi" w:hAnsiTheme="majorHAnsi" w:cstheme="majorHAnsi"/>
              </w:rPr>
              <w:t>Titles</w:t>
            </w:r>
          </w:p>
        </w:tc>
        <w:tc>
          <w:tcPr>
            <w:tcW w:w="0" w:type="auto"/>
          </w:tcPr>
          <w:p w14:paraId="150B2FE4" w14:textId="77777777" w:rsidR="00DF4925" w:rsidRPr="00315F4D" w:rsidRDefault="00DF4925" w:rsidP="00A02E4B">
            <w:pPr>
              <w:spacing w:after="0"/>
              <w:rPr>
                <w:rFonts w:asciiTheme="majorHAnsi" w:hAnsiTheme="majorHAnsi" w:cstheme="majorHAnsi"/>
              </w:rPr>
            </w:pPr>
            <w:r w:rsidRPr="00315F4D">
              <w:rPr>
                <w:rFonts w:asciiTheme="majorHAnsi" w:hAnsiTheme="majorHAnsi" w:cstheme="majorHAnsi"/>
              </w:rPr>
              <w:t>1734</w:t>
            </w:r>
          </w:p>
        </w:tc>
      </w:tr>
      <w:tr w:rsidR="00E27545" w:rsidRPr="00315F4D" w14:paraId="67739649" w14:textId="77777777" w:rsidTr="007B07F4">
        <w:trPr>
          <w:trHeight w:val="738"/>
        </w:trPr>
        <w:tc>
          <w:tcPr>
            <w:tcW w:w="0" w:type="auto"/>
            <w:gridSpan w:val="2"/>
            <w:tcBorders>
              <w:bottom w:val="single" w:sz="4" w:space="0" w:color="auto"/>
            </w:tcBorders>
            <w:vAlign w:val="bottom"/>
          </w:tcPr>
          <w:p w14:paraId="1BCB75D1" w14:textId="7EA8F726" w:rsidR="00E27545" w:rsidRPr="00315F4D" w:rsidRDefault="00E27545" w:rsidP="00FD2ACE">
            <w:pPr>
              <w:spacing w:after="120"/>
              <w:rPr>
                <w:rFonts w:asciiTheme="majorHAnsi" w:hAnsiTheme="majorHAnsi" w:cstheme="majorHAnsi"/>
                <w:color w:val="212121"/>
                <w:shd w:val="clear" w:color="auto" w:fill="F6F6F6"/>
                <w:lang w:val="en-US"/>
              </w:rPr>
            </w:pPr>
            <w:r w:rsidRPr="00DF4925">
              <w:rPr>
                <w:rFonts w:asciiTheme="majorHAnsi" w:hAnsiTheme="majorHAnsi" w:cstheme="majorHAnsi"/>
                <w:b/>
                <w:color w:val="333333"/>
                <w:lang w:val="en-US"/>
              </w:rPr>
              <w:t>EconLit</w:t>
            </w:r>
          </w:p>
        </w:tc>
      </w:tr>
      <w:tr w:rsidR="00FD2ACE" w:rsidRPr="001E2D03" w14:paraId="3EADB0C2" w14:textId="77777777" w:rsidTr="007B07F4">
        <w:tc>
          <w:tcPr>
            <w:tcW w:w="0" w:type="auto"/>
            <w:tcBorders>
              <w:top w:val="single" w:sz="4" w:space="0" w:color="auto"/>
            </w:tcBorders>
          </w:tcPr>
          <w:p w14:paraId="631C6A17" w14:textId="2862C850" w:rsidR="00FD2ACE" w:rsidRPr="00315F4D" w:rsidRDefault="00FD2ACE" w:rsidP="00A02E4B">
            <w:pPr>
              <w:spacing w:after="0"/>
              <w:rPr>
                <w:rFonts w:asciiTheme="majorHAnsi" w:hAnsiTheme="majorHAnsi" w:cstheme="majorHAnsi"/>
                <w:color w:val="333333"/>
                <w:lang w:val="en-US"/>
              </w:rPr>
            </w:pPr>
            <w:r w:rsidRPr="00DF4925">
              <w:rPr>
                <w:rFonts w:asciiTheme="majorHAnsi" w:hAnsiTheme="majorHAnsi" w:cstheme="majorHAnsi"/>
                <w:color w:val="333333"/>
                <w:lang w:val="en-US"/>
              </w:rPr>
              <w:t>Access</w:t>
            </w:r>
          </w:p>
        </w:tc>
        <w:tc>
          <w:tcPr>
            <w:tcW w:w="0" w:type="auto"/>
            <w:tcBorders>
              <w:top w:val="single" w:sz="4" w:space="0" w:color="auto"/>
            </w:tcBorders>
          </w:tcPr>
          <w:p w14:paraId="541EDA68" w14:textId="70AB63A0" w:rsidR="00FD2ACE" w:rsidRPr="00315F4D" w:rsidRDefault="00FD2ACE" w:rsidP="00A02E4B">
            <w:pPr>
              <w:spacing w:after="0"/>
              <w:rPr>
                <w:rFonts w:asciiTheme="majorHAnsi" w:hAnsiTheme="majorHAnsi" w:cstheme="majorHAnsi"/>
                <w:bCs/>
                <w:color w:val="333333"/>
                <w:lang w:val="en-US"/>
              </w:rPr>
            </w:pPr>
            <w:r w:rsidRPr="00DF4925">
              <w:rPr>
                <w:rFonts w:asciiTheme="majorHAnsi" w:hAnsiTheme="majorHAnsi" w:cstheme="majorHAnsi"/>
                <w:color w:val="333333"/>
                <w:lang w:val="en-US"/>
              </w:rPr>
              <w:t>https://web-1p-1ebscohost-1com-10056a08v04aa.emedien3.sub.uni-hamburg.de/ehost/search/advanced?vid=1&amp;sid=529d62eb-5fc1-4d33-abe7-24b0b6dc9218%40redis</w:t>
            </w:r>
          </w:p>
        </w:tc>
      </w:tr>
      <w:tr w:rsidR="00FD2ACE" w:rsidRPr="00315F4D" w14:paraId="08CBFD37" w14:textId="77777777" w:rsidTr="001D79B8">
        <w:tc>
          <w:tcPr>
            <w:tcW w:w="0" w:type="auto"/>
          </w:tcPr>
          <w:p w14:paraId="4093E41F" w14:textId="14BDE387" w:rsidR="00FD2ACE" w:rsidRPr="00315F4D" w:rsidRDefault="00FD2ACE" w:rsidP="00A02E4B">
            <w:pPr>
              <w:spacing w:after="0"/>
              <w:rPr>
                <w:rFonts w:asciiTheme="majorHAnsi" w:hAnsiTheme="majorHAnsi" w:cstheme="majorHAnsi"/>
                <w:color w:val="333333"/>
                <w:lang w:val="en-US"/>
              </w:rPr>
            </w:pPr>
            <w:r w:rsidRPr="00DF4925">
              <w:rPr>
                <w:rFonts w:asciiTheme="majorHAnsi" w:hAnsiTheme="majorHAnsi" w:cstheme="majorHAnsi"/>
                <w:color w:val="333333"/>
                <w:lang w:val="en-US"/>
              </w:rPr>
              <w:t>Date</w:t>
            </w:r>
          </w:p>
        </w:tc>
        <w:tc>
          <w:tcPr>
            <w:tcW w:w="0" w:type="auto"/>
          </w:tcPr>
          <w:p w14:paraId="04A353A1" w14:textId="53CE5C87" w:rsidR="00FD2ACE" w:rsidRPr="00315F4D" w:rsidRDefault="00FD2ACE" w:rsidP="00A02E4B">
            <w:pPr>
              <w:spacing w:after="0"/>
              <w:rPr>
                <w:rFonts w:asciiTheme="majorHAnsi" w:hAnsiTheme="majorHAnsi" w:cstheme="majorHAnsi"/>
                <w:color w:val="333333"/>
                <w:lang w:val="en-US"/>
              </w:rPr>
            </w:pPr>
            <w:r w:rsidRPr="00DF4925">
              <w:rPr>
                <w:rFonts w:asciiTheme="majorHAnsi" w:hAnsiTheme="majorHAnsi" w:cstheme="majorHAnsi"/>
                <w:color w:val="333333"/>
                <w:lang w:val="en-US"/>
              </w:rPr>
              <w:t>13th January 2025</w:t>
            </w:r>
          </w:p>
        </w:tc>
      </w:tr>
      <w:tr w:rsidR="00FD2ACE" w:rsidRPr="001E2D03" w14:paraId="5B74405C" w14:textId="77777777" w:rsidTr="001D79B8">
        <w:tc>
          <w:tcPr>
            <w:tcW w:w="0" w:type="auto"/>
          </w:tcPr>
          <w:p w14:paraId="155E86DE" w14:textId="15D5EFB4" w:rsidR="00FD2ACE" w:rsidRPr="00315F4D" w:rsidRDefault="00FD2ACE" w:rsidP="00A02E4B">
            <w:pPr>
              <w:spacing w:after="0"/>
              <w:rPr>
                <w:rFonts w:asciiTheme="majorHAnsi" w:hAnsiTheme="majorHAnsi" w:cstheme="majorHAnsi"/>
              </w:rPr>
            </w:pPr>
            <w:r w:rsidRPr="00315F4D">
              <w:rPr>
                <w:rFonts w:asciiTheme="majorHAnsi" w:hAnsiTheme="majorHAnsi" w:cstheme="majorHAnsi"/>
              </w:rPr>
              <w:t>Search-string</w:t>
            </w:r>
          </w:p>
        </w:tc>
        <w:tc>
          <w:tcPr>
            <w:tcW w:w="0" w:type="auto"/>
          </w:tcPr>
          <w:p w14:paraId="6668BF00" w14:textId="4B597D8B" w:rsidR="00FD2ACE" w:rsidRPr="00FE6C5C" w:rsidRDefault="00FD2ACE" w:rsidP="00A02E4B">
            <w:pPr>
              <w:spacing w:after="0"/>
              <w:rPr>
                <w:rFonts w:asciiTheme="majorHAnsi" w:hAnsiTheme="majorHAnsi" w:cstheme="majorHAnsi"/>
                <w:lang w:val="en-US"/>
              </w:rPr>
            </w:pPr>
            <w:r w:rsidRPr="00FE6C5C">
              <w:rPr>
                <w:rFonts w:asciiTheme="majorHAnsi" w:hAnsiTheme="majorHAnsi" w:cstheme="majorHAnsi"/>
                <w:lang w:val="en-US"/>
              </w:rPr>
              <w:t>(TI(stroke*) OR TI("transient ischemic attack*") OR AB(stroke*) OR AB("transient ischemic attack*")) AND ((“economic evaluation*“ OR “cost-benefit*” OR “cost-effectivenes*” OR “cost-util*” OR “decision support technique*”) OR TI(“cost-consequence*”) OR AB(“cost-consequence*”) OR TI(“cost-minimi*ation*”) OR AB(“cost-minimi*ation*”) OR TI(“decision analys*”) OR AB(“decision analys*”) OR TI(“decision-analytic*”) OR AB(“decision-analytic*”) OR TI(“decision model*”) OR AB(“decision model*”) OR TI(“health care model*”) OR AB (“health care model*”) OR TI(“health care evaluation model*”) OR AB(“health care evaluation model*”) OR TI(“decision tree*”) OR AB(“decision tree*”) OR TI(“markov model*”) OR AB(“markov model*”) OR TI(“discrete event simulation*”) OR AB(“discrete event simulation*”) OR TI(“QALY*”) OR AB(“QALY*”)) AND LA (English OR German)</w:t>
            </w:r>
          </w:p>
        </w:tc>
      </w:tr>
      <w:tr w:rsidR="00FD2ACE" w:rsidRPr="00315F4D" w14:paraId="5BA3234C" w14:textId="77777777" w:rsidTr="001D79B8">
        <w:tc>
          <w:tcPr>
            <w:tcW w:w="0" w:type="auto"/>
          </w:tcPr>
          <w:p w14:paraId="208E74A7" w14:textId="1C8E0A08" w:rsidR="00FD2ACE" w:rsidRPr="00315F4D" w:rsidRDefault="00FD2ACE" w:rsidP="00A02E4B">
            <w:pPr>
              <w:spacing w:after="0"/>
              <w:rPr>
                <w:rFonts w:asciiTheme="majorHAnsi" w:hAnsiTheme="majorHAnsi" w:cstheme="majorHAnsi"/>
              </w:rPr>
            </w:pPr>
            <w:r w:rsidRPr="00315F4D">
              <w:rPr>
                <w:rFonts w:asciiTheme="majorHAnsi" w:hAnsiTheme="majorHAnsi" w:cstheme="majorHAnsi"/>
              </w:rPr>
              <w:t>Limiters</w:t>
            </w:r>
          </w:p>
        </w:tc>
        <w:tc>
          <w:tcPr>
            <w:tcW w:w="0" w:type="auto"/>
          </w:tcPr>
          <w:p w14:paraId="141DF094" w14:textId="10238C35" w:rsidR="00FD2ACE" w:rsidRPr="00315F4D" w:rsidRDefault="00FD2ACE" w:rsidP="00A02E4B">
            <w:pPr>
              <w:spacing w:after="0"/>
              <w:rPr>
                <w:rFonts w:asciiTheme="majorHAnsi" w:hAnsiTheme="majorHAnsi" w:cstheme="majorHAnsi"/>
                <w:color w:val="212121"/>
                <w:shd w:val="clear" w:color="auto" w:fill="F6F6F6"/>
                <w:lang w:val="en-US"/>
              </w:rPr>
            </w:pPr>
            <w:r w:rsidRPr="00DF4925">
              <w:rPr>
                <w:rFonts w:asciiTheme="majorHAnsi" w:hAnsiTheme="majorHAnsi" w:cstheme="majorHAnsi"/>
                <w:color w:val="333333"/>
                <w:shd w:val="clear" w:color="auto" w:fill="FFFFFF"/>
              </w:rPr>
              <w:t>Publication Date: 20080101-20241231</w:t>
            </w:r>
          </w:p>
        </w:tc>
      </w:tr>
      <w:tr w:rsidR="00FD2ACE" w:rsidRPr="00315F4D" w14:paraId="676483F5" w14:textId="77777777" w:rsidTr="007B07F4">
        <w:tc>
          <w:tcPr>
            <w:tcW w:w="0" w:type="auto"/>
          </w:tcPr>
          <w:p w14:paraId="12656FDC" w14:textId="162741B2" w:rsidR="00FD2ACE" w:rsidRPr="00315F4D" w:rsidRDefault="00FD2ACE" w:rsidP="00A02E4B">
            <w:pPr>
              <w:spacing w:after="0"/>
              <w:rPr>
                <w:rFonts w:asciiTheme="majorHAnsi" w:hAnsiTheme="majorHAnsi" w:cstheme="majorHAnsi"/>
              </w:rPr>
            </w:pPr>
            <w:r w:rsidRPr="00315F4D">
              <w:rPr>
                <w:rFonts w:asciiTheme="majorHAnsi" w:hAnsiTheme="majorHAnsi" w:cstheme="majorHAnsi"/>
              </w:rPr>
              <w:t>Titles</w:t>
            </w:r>
          </w:p>
        </w:tc>
        <w:tc>
          <w:tcPr>
            <w:tcW w:w="0" w:type="auto"/>
          </w:tcPr>
          <w:p w14:paraId="5880FC86" w14:textId="7B100E85" w:rsidR="00FD2ACE" w:rsidRPr="00315F4D" w:rsidRDefault="00FD2ACE" w:rsidP="00A02E4B">
            <w:pPr>
              <w:spacing w:after="0"/>
              <w:rPr>
                <w:rFonts w:asciiTheme="majorHAnsi" w:hAnsiTheme="majorHAnsi" w:cstheme="majorHAnsi"/>
                <w:color w:val="333333"/>
                <w:shd w:val="clear" w:color="auto" w:fill="FFFFFF"/>
              </w:rPr>
            </w:pPr>
            <w:r w:rsidRPr="00DF4925">
              <w:rPr>
                <w:rFonts w:asciiTheme="majorHAnsi" w:hAnsiTheme="majorHAnsi" w:cstheme="majorHAnsi"/>
                <w:color w:val="333333"/>
                <w:shd w:val="clear" w:color="auto" w:fill="FFFFFF"/>
              </w:rPr>
              <w:t>35, of which 7 duplicates</w:t>
            </w:r>
          </w:p>
        </w:tc>
      </w:tr>
      <w:tr w:rsidR="00E27545" w:rsidRPr="001E2D03" w14:paraId="4AE5C084" w14:textId="77777777" w:rsidTr="007B07F4">
        <w:trPr>
          <w:trHeight w:val="738"/>
        </w:trPr>
        <w:tc>
          <w:tcPr>
            <w:tcW w:w="0" w:type="auto"/>
            <w:gridSpan w:val="2"/>
            <w:tcBorders>
              <w:bottom w:val="single" w:sz="4" w:space="0" w:color="auto"/>
            </w:tcBorders>
            <w:vAlign w:val="bottom"/>
          </w:tcPr>
          <w:p w14:paraId="20AA9368" w14:textId="23576575" w:rsidR="00E27545" w:rsidRPr="00315F4D" w:rsidRDefault="00E27545" w:rsidP="00CC79D2">
            <w:pPr>
              <w:spacing w:after="120"/>
              <w:rPr>
                <w:rFonts w:asciiTheme="majorHAnsi" w:hAnsiTheme="majorHAnsi" w:cstheme="majorHAnsi"/>
                <w:color w:val="333333"/>
                <w:shd w:val="clear" w:color="auto" w:fill="FFFFFF"/>
                <w:lang w:val="en-US"/>
              </w:rPr>
            </w:pPr>
            <w:r w:rsidRPr="00DF4925">
              <w:rPr>
                <w:rFonts w:asciiTheme="majorHAnsi" w:hAnsiTheme="majorHAnsi" w:cstheme="majorHAnsi"/>
                <w:b/>
                <w:color w:val="333333"/>
                <w:lang w:val="en-US"/>
              </w:rPr>
              <w:t>Cochrane Database of Systematic Reviews</w:t>
            </w:r>
          </w:p>
        </w:tc>
      </w:tr>
      <w:tr w:rsidR="00CC79D2" w:rsidRPr="001E2D03" w14:paraId="07B1FADA" w14:textId="77777777" w:rsidTr="007B07F4">
        <w:tc>
          <w:tcPr>
            <w:tcW w:w="0" w:type="auto"/>
            <w:tcBorders>
              <w:top w:val="single" w:sz="4" w:space="0" w:color="auto"/>
            </w:tcBorders>
          </w:tcPr>
          <w:p w14:paraId="04890AF6" w14:textId="51F1288F" w:rsidR="00CC79D2" w:rsidRPr="00315F4D" w:rsidRDefault="00CC79D2" w:rsidP="00A02E4B">
            <w:pPr>
              <w:spacing w:after="0"/>
              <w:rPr>
                <w:rFonts w:asciiTheme="majorHAnsi" w:hAnsiTheme="majorHAnsi" w:cstheme="majorHAnsi"/>
                <w:color w:val="333333"/>
                <w:lang w:val="en-US"/>
              </w:rPr>
            </w:pPr>
            <w:r w:rsidRPr="00DF4925">
              <w:rPr>
                <w:rFonts w:asciiTheme="majorHAnsi" w:hAnsiTheme="majorHAnsi" w:cstheme="majorHAnsi"/>
                <w:color w:val="333333"/>
                <w:lang w:val="en-US"/>
              </w:rPr>
              <w:t>Access</w:t>
            </w:r>
          </w:p>
        </w:tc>
        <w:tc>
          <w:tcPr>
            <w:tcW w:w="0" w:type="auto"/>
            <w:tcBorders>
              <w:top w:val="single" w:sz="4" w:space="0" w:color="auto"/>
            </w:tcBorders>
          </w:tcPr>
          <w:p w14:paraId="1876268F" w14:textId="2BADDE28" w:rsidR="00CC79D2" w:rsidRPr="00315F4D" w:rsidRDefault="00CC79D2" w:rsidP="00A02E4B">
            <w:pPr>
              <w:spacing w:after="0"/>
              <w:rPr>
                <w:rFonts w:asciiTheme="majorHAnsi" w:hAnsiTheme="majorHAnsi" w:cstheme="majorHAnsi"/>
                <w:bCs/>
                <w:color w:val="333333"/>
                <w:lang w:val="en-US"/>
              </w:rPr>
            </w:pPr>
            <w:r w:rsidRPr="00DF4925">
              <w:rPr>
                <w:rFonts w:asciiTheme="majorHAnsi" w:hAnsiTheme="majorHAnsi" w:cstheme="majorHAnsi"/>
                <w:color w:val="333333"/>
                <w:lang w:val="en-US"/>
              </w:rPr>
              <w:t>https://www.cochranelibrary.com/cdsr/reviews</w:t>
            </w:r>
          </w:p>
        </w:tc>
      </w:tr>
      <w:tr w:rsidR="00CC79D2" w:rsidRPr="00315F4D" w14:paraId="336A7E2A" w14:textId="77777777" w:rsidTr="001D79B8">
        <w:tc>
          <w:tcPr>
            <w:tcW w:w="0" w:type="auto"/>
          </w:tcPr>
          <w:p w14:paraId="2A60C7E6" w14:textId="1776F152" w:rsidR="00CC79D2" w:rsidRPr="00315F4D" w:rsidRDefault="00CC79D2" w:rsidP="00A02E4B">
            <w:pPr>
              <w:spacing w:after="0"/>
              <w:rPr>
                <w:rFonts w:asciiTheme="majorHAnsi" w:hAnsiTheme="majorHAnsi" w:cstheme="majorHAnsi"/>
                <w:color w:val="333333"/>
                <w:lang w:val="en-US"/>
              </w:rPr>
            </w:pPr>
            <w:r w:rsidRPr="00DF4925">
              <w:rPr>
                <w:rFonts w:asciiTheme="majorHAnsi" w:hAnsiTheme="majorHAnsi" w:cstheme="majorHAnsi"/>
                <w:color w:val="333333"/>
                <w:lang w:val="en-US"/>
              </w:rPr>
              <w:t>Date</w:t>
            </w:r>
          </w:p>
        </w:tc>
        <w:tc>
          <w:tcPr>
            <w:tcW w:w="0" w:type="auto"/>
          </w:tcPr>
          <w:p w14:paraId="5DE19DAA" w14:textId="49148505" w:rsidR="00CC79D2" w:rsidRPr="00315F4D" w:rsidRDefault="00CC79D2" w:rsidP="00A02E4B">
            <w:pPr>
              <w:spacing w:after="0"/>
              <w:rPr>
                <w:rFonts w:asciiTheme="majorHAnsi" w:hAnsiTheme="majorHAnsi" w:cstheme="majorHAnsi"/>
                <w:color w:val="333333"/>
                <w:lang w:val="en-US"/>
              </w:rPr>
            </w:pPr>
            <w:r w:rsidRPr="00DF4925">
              <w:rPr>
                <w:rFonts w:asciiTheme="majorHAnsi" w:hAnsiTheme="majorHAnsi" w:cstheme="majorHAnsi"/>
                <w:color w:val="333333"/>
                <w:lang w:val="en-US"/>
              </w:rPr>
              <w:t>13th January 2025</w:t>
            </w:r>
          </w:p>
        </w:tc>
      </w:tr>
      <w:tr w:rsidR="00CC79D2" w:rsidRPr="001E2D03" w14:paraId="0D2B9A83" w14:textId="77777777" w:rsidTr="001D79B8">
        <w:tc>
          <w:tcPr>
            <w:tcW w:w="0" w:type="auto"/>
          </w:tcPr>
          <w:p w14:paraId="0EC720BD" w14:textId="5CD33E13" w:rsidR="00CC79D2" w:rsidRPr="00315F4D" w:rsidRDefault="00CC79D2" w:rsidP="00A02E4B">
            <w:pPr>
              <w:spacing w:after="0"/>
              <w:rPr>
                <w:rFonts w:asciiTheme="majorHAnsi" w:hAnsiTheme="majorHAnsi" w:cstheme="majorHAnsi"/>
              </w:rPr>
            </w:pPr>
            <w:r w:rsidRPr="00315F4D">
              <w:rPr>
                <w:rFonts w:asciiTheme="majorHAnsi" w:hAnsiTheme="majorHAnsi" w:cstheme="majorHAnsi"/>
              </w:rPr>
              <w:t>Search-string</w:t>
            </w:r>
          </w:p>
        </w:tc>
        <w:tc>
          <w:tcPr>
            <w:tcW w:w="0" w:type="auto"/>
          </w:tcPr>
          <w:p w14:paraId="2F01385E" w14:textId="77777777" w:rsidR="00CC79D2" w:rsidRPr="00FE6C5C" w:rsidRDefault="00CC79D2" w:rsidP="00A02E4B">
            <w:pPr>
              <w:spacing w:after="0"/>
              <w:rPr>
                <w:rFonts w:asciiTheme="majorHAnsi" w:hAnsiTheme="majorHAnsi" w:cstheme="majorHAnsi"/>
                <w:lang w:val="en-US"/>
              </w:rPr>
            </w:pPr>
            <w:r w:rsidRPr="00FE6C5C">
              <w:rPr>
                <w:rFonts w:asciiTheme="majorHAnsi" w:hAnsiTheme="majorHAnsi" w:cstheme="majorHAnsi"/>
                <w:lang w:val="en-US"/>
              </w:rPr>
              <w:t>#1: MeSH descriptor: [Stroke]</w:t>
            </w:r>
          </w:p>
          <w:p w14:paraId="5CDC4357" w14:textId="77777777" w:rsidR="00CC79D2" w:rsidRPr="00FE6C5C" w:rsidRDefault="00CC79D2" w:rsidP="00A02E4B">
            <w:pPr>
              <w:spacing w:after="0"/>
              <w:rPr>
                <w:rFonts w:asciiTheme="majorHAnsi" w:hAnsiTheme="majorHAnsi" w:cstheme="majorHAnsi"/>
                <w:lang w:val="en-US"/>
              </w:rPr>
            </w:pPr>
            <w:r w:rsidRPr="00FE6C5C">
              <w:rPr>
                <w:rFonts w:asciiTheme="majorHAnsi" w:hAnsiTheme="majorHAnsi" w:cstheme="majorHAnsi"/>
                <w:lang w:val="en-US"/>
              </w:rPr>
              <w:t>#2: MeSH descriptor: [Ischemic Attack, Transient]</w:t>
            </w:r>
          </w:p>
          <w:p w14:paraId="09104E9B" w14:textId="77777777" w:rsidR="00CC79D2" w:rsidRPr="00FE6C5C" w:rsidRDefault="00CC79D2" w:rsidP="00A02E4B">
            <w:pPr>
              <w:spacing w:after="0"/>
              <w:rPr>
                <w:rFonts w:asciiTheme="majorHAnsi" w:hAnsiTheme="majorHAnsi" w:cstheme="majorHAnsi"/>
                <w:lang w:val="en-US"/>
              </w:rPr>
            </w:pPr>
            <w:r w:rsidRPr="00FE6C5C">
              <w:rPr>
                <w:rFonts w:asciiTheme="majorHAnsi" w:hAnsiTheme="majorHAnsi" w:cstheme="majorHAnsi"/>
                <w:lang w:val="en-US"/>
              </w:rPr>
              <w:t>#3: MeSH descriptor: [Cost-Benefit Analysis]</w:t>
            </w:r>
          </w:p>
          <w:p w14:paraId="51A4364C" w14:textId="77777777" w:rsidR="00CC79D2" w:rsidRPr="00FE6C5C" w:rsidRDefault="00CC79D2" w:rsidP="00A02E4B">
            <w:pPr>
              <w:spacing w:after="0"/>
              <w:rPr>
                <w:rFonts w:asciiTheme="majorHAnsi" w:hAnsiTheme="majorHAnsi" w:cstheme="majorHAnsi"/>
                <w:lang w:val="en-US"/>
              </w:rPr>
            </w:pPr>
            <w:r w:rsidRPr="00FE6C5C">
              <w:rPr>
                <w:rFonts w:asciiTheme="majorHAnsi" w:hAnsiTheme="majorHAnsi" w:cstheme="majorHAnsi"/>
                <w:lang w:val="en-US"/>
              </w:rPr>
              <w:t>#4: MeSH descriptor: [Cost-Effectiveness Analysis]</w:t>
            </w:r>
          </w:p>
          <w:p w14:paraId="23C3DEF9" w14:textId="77777777" w:rsidR="00CC79D2" w:rsidRPr="00FE6C5C" w:rsidRDefault="00CC79D2" w:rsidP="00A02E4B">
            <w:pPr>
              <w:spacing w:after="0"/>
              <w:rPr>
                <w:rFonts w:asciiTheme="majorHAnsi" w:hAnsiTheme="majorHAnsi" w:cstheme="majorHAnsi"/>
                <w:lang w:val="en-US"/>
              </w:rPr>
            </w:pPr>
            <w:r w:rsidRPr="00FE6C5C">
              <w:rPr>
                <w:rFonts w:asciiTheme="majorHAnsi" w:hAnsiTheme="majorHAnsi" w:cstheme="majorHAnsi"/>
                <w:lang w:val="en-US"/>
              </w:rPr>
              <w:t>#5: MeSH descriptor: [Decision Support Techniques]</w:t>
            </w:r>
          </w:p>
          <w:p w14:paraId="2C4DB65F" w14:textId="77777777" w:rsidR="00CC79D2" w:rsidRPr="00826F7E" w:rsidRDefault="00CC79D2" w:rsidP="00A02E4B">
            <w:pPr>
              <w:spacing w:after="0"/>
              <w:rPr>
                <w:rFonts w:asciiTheme="majorHAnsi" w:hAnsiTheme="majorHAnsi" w:cstheme="majorHAnsi"/>
                <w:lang w:val="en-US"/>
              </w:rPr>
            </w:pPr>
            <w:r w:rsidRPr="00826F7E">
              <w:rPr>
                <w:rFonts w:asciiTheme="majorHAnsi" w:hAnsiTheme="majorHAnsi" w:cstheme="majorHAnsi"/>
                <w:lang w:val="en-US"/>
              </w:rPr>
              <w:t>#6: ("cost-minimisation"):ti,ab,kw OR ("cost-minimization"):ti,ab,kw OR ("decision analysis"):ti,ab,kw OR ("decision analyses"):ti,ab,kw OR ("decision-analytical"):ti,ab,kw</w:t>
            </w:r>
          </w:p>
          <w:p w14:paraId="3C5A3207" w14:textId="77777777" w:rsidR="00CC79D2" w:rsidRPr="00826F7E" w:rsidRDefault="00CC79D2" w:rsidP="00A02E4B">
            <w:pPr>
              <w:spacing w:after="0"/>
              <w:rPr>
                <w:rFonts w:asciiTheme="majorHAnsi" w:hAnsiTheme="majorHAnsi" w:cstheme="majorHAnsi"/>
                <w:lang w:val="en-US"/>
              </w:rPr>
            </w:pPr>
            <w:r w:rsidRPr="00826F7E">
              <w:rPr>
                <w:rFonts w:asciiTheme="majorHAnsi" w:hAnsiTheme="majorHAnsi" w:cstheme="majorHAnsi"/>
                <w:lang w:val="en-US"/>
              </w:rPr>
              <w:t>#7: ("decision-analytic"):ti,ab,kw OR ("decision model"):ti,ab,kw OR ("decision models"):ti,ab,kw OR ("health care models"):ti,ab,kw OR ("health care model"):ti,ab,kw</w:t>
            </w:r>
          </w:p>
          <w:p w14:paraId="6B3E1660" w14:textId="77777777" w:rsidR="00CC79D2" w:rsidRPr="00826F7E" w:rsidRDefault="00CC79D2" w:rsidP="00A02E4B">
            <w:pPr>
              <w:spacing w:after="0"/>
              <w:rPr>
                <w:rFonts w:asciiTheme="majorHAnsi" w:hAnsiTheme="majorHAnsi" w:cstheme="majorHAnsi"/>
                <w:lang w:val="en-US"/>
              </w:rPr>
            </w:pPr>
            <w:r w:rsidRPr="00826F7E">
              <w:rPr>
                <w:rFonts w:asciiTheme="majorHAnsi" w:hAnsiTheme="majorHAnsi" w:cstheme="majorHAnsi"/>
                <w:lang w:val="en-US"/>
              </w:rPr>
              <w:t>#8: ("health care evaluation model"):ti,ab,kw OR ("health care evaluation models"):ti,ab,kw OR ("decision tree"):ti,ab,kw OR ("decision trees"):ti,ab,kw OR ("markov model"):ti,ab,kw</w:t>
            </w:r>
          </w:p>
          <w:p w14:paraId="47ED46ED" w14:textId="77777777" w:rsidR="00CC79D2" w:rsidRPr="00826F7E" w:rsidRDefault="00CC79D2" w:rsidP="00A02E4B">
            <w:pPr>
              <w:spacing w:after="0"/>
              <w:rPr>
                <w:rFonts w:asciiTheme="majorHAnsi" w:hAnsiTheme="majorHAnsi" w:cstheme="majorHAnsi"/>
                <w:lang w:val="en-US"/>
              </w:rPr>
            </w:pPr>
            <w:r w:rsidRPr="00826F7E">
              <w:rPr>
                <w:rFonts w:asciiTheme="majorHAnsi" w:hAnsiTheme="majorHAnsi" w:cstheme="majorHAnsi"/>
                <w:lang w:val="en-US"/>
              </w:rPr>
              <w:t>#9: ("markov models"):ti,ab,kw OR ("discrete event simulation"):ti,ab,kw OR ("discrete event simulations"):ti,ab,kw OR ("QALY"):ti,ab,kw OR ("QALYS"):ti,ab,kw</w:t>
            </w:r>
          </w:p>
          <w:p w14:paraId="74C6DB38" w14:textId="77777777" w:rsidR="00CC79D2" w:rsidRPr="00FE6C5C" w:rsidRDefault="00CC79D2" w:rsidP="00A02E4B">
            <w:pPr>
              <w:spacing w:after="0"/>
              <w:rPr>
                <w:rFonts w:asciiTheme="majorHAnsi" w:hAnsiTheme="majorHAnsi" w:cstheme="majorHAnsi"/>
                <w:lang w:val="en-US"/>
              </w:rPr>
            </w:pPr>
            <w:r w:rsidRPr="00FE6C5C">
              <w:rPr>
                <w:rFonts w:asciiTheme="majorHAnsi" w:hAnsiTheme="majorHAnsi" w:cstheme="majorHAnsi"/>
                <w:lang w:val="en-US"/>
              </w:rPr>
              <w:t>#10: English:la OR German:la</w:t>
            </w:r>
          </w:p>
          <w:p w14:paraId="083FA863" w14:textId="0BD4ED7B" w:rsidR="00CC79D2" w:rsidRPr="00FE6C5C" w:rsidRDefault="00CC79D2" w:rsidP="00A02E4B">
            <w:pPr>
              <w:spacing w:after="0"/>
              <w:rPr>
                <w:rFonts w:asciiTheme="majorHAnsi" w:hAnsiTheme="majorHAnsi" w:cstheme="majorHAnsi"/>
                <w:lang w:val="en-US"/>
              </w:rPr>
            </w:pPr>
            <w:r w:rsidRPr="00FE6C5C">
              <w:rPr>
                <w:rFonts w:asciiTheme="majorHAnsi" w:hAnsiTheme="majorHAnsi" w:cstheme="majorHAnsi"/>
                <w:lang w:val="en-US"/>
              </w:rPr>
              <w:t>#11: {OR #1, #2} AND {OR #3-#9} AND #10</w:t>
            </w:r>
          </w:p>
        </w:tc>
      </w:tr>
      <w:tr w:rsidR="00CC79D2" w:rsidRPr="00315F4D" w14:paraId="71DD3939" w14:textId="77777777" w:rsidTr="001D79B8">
        <w:tc>
          <w:tcPr>
            <w:tcW w:w="0" w:type="auto"/>
          </w:tcPr>
          <w:p w14:paraId="0D66D0B3" w14:textId="4EE946A7" w:rsidR="00CC79D2" w:rsidRPr="00315F4D" w:rsidRDefault="00CC79D2" w:rsidP="00A02E4B">
            <w:pPr>
              <w:spacing w:after="0"/>
              <w:rPr>
                <w:rFonts w:asciiTheme="majorHAnsi" w:hAnsiTheme="majorHAnsi" w:cstheme="majorHAnsi"/>
              </w:rPr>
            </w:pPr>
            <w:r w:rsidRPr="00315F4D">
              <w:rPr>
                <w:rFonts w:asciiTheme="majorHAnsi" w:hAnsiTheme="majorHAnsi" w:cstheme="majorHAnsi"/>
              </w:rPr>
              <w:t>Limiters</w:t>
            </w:r>
          </w:p>
        </w:tc>
        <w:tc>
          <w:tcPr>
            <w:tcW w:w="0" w:type="auto"/>
          </w:tcPr>
          <w:p w14:paraId="1C1678EE" w14:textId="089A8C6F" w:rsidR="00006174" w:rsidRPr="00DF4925" w:rsidRDefault="00CC79D2" w:rsidP="00A02E4B">
            <w:pPr>
              <w:numPr>
                <w:ilvl w:val="0"/>
                <w:numId w:val="30"/>
              </w:numPr>
              <w:spacing w:after="0"/>
              <w:contextualSpacing/>
              <w:rPr>
                <w:rFonts w:asciiTheme="majorHAnsi" w:hAnsiTheme="majorHAnsi" w:cstheme="majorHAnsi"/>
                <w:color w:val="212121"/>
                <w:shd w:val="clear" w:color="auto" w:fill="F6F6F6"/>
                <w:lang w:val="en-US"/>
              </w:rPr>
            </w:pPr>
            <w:r w:rsidRPr="00DF4925">
              <w:rPr>
                <w:rFonts w:asciiTheme="majorHAnsi" w:hAnsiTheme="majorHAnsi" w:cstheme="majorHAnsi"/>
                <w:color w:val="333333"/>
                <w:shd w:val="clear" w:color="auto" w:fill="FFFFFF"/>
                <w:lang w:val="en-US"/>
              </w:rPr>
              <w:t>Cochrane Library publication date from Jan 2008 to Dec 2024</w:t>
            </w:r>
          </w:p>
          <w:p w14:paraId="3C610A84" w14:textId="7FC1D9D8" w:rsidR="00CC79D2" w:rsidRPr="00315F4D" w:rsidRDefault="00CC79D2" w:rsidP="00A02E4B">
            <w:pPr>
              <w:numPr>
                <w:ilvl w:val="0"/>
                <w:numId w:val="30"/>
              </w:numPr>
              <w:spacing w:after="0"/>
              <w:contextualSpacing/>
              <w:rPr>
                <w:rFonts w:asciiTheme="majorHAnsi" w:hAnsiTheme="majorHAnsi" w:cstheme="majorHAnsi"/>
                <w:color w:val="212121"/>
                <w:shd w:val="clear" w:color="auto" w:fill="F6F6F6"/>
                <w:lang w:val="en-US"/>
              </w:rPr>
            </w:pPr>
            <w:r w:rsidRPr="00315F4D">
              <w:rPr>
                <w:rFonts w:asciiTheme="majorHAnsi" w:hAnsiTheme="majorHAnsi" w:cstheme="majorHAnsi"/>
                <w:color w:val="333333"/>
                <w:shd w:val="clear" w:color="auto" w:fill="FFFFFF"/>
                <w:lang w:val="en-US"/>
              </w:rPr>
              <w:lastRenderedPageBreak/>
              <w:t>Type: Trials</w:t>
            </w:r>
          </w:p>
        </w:tc>
      </w:tr>
      <w:tr w:rsidR="00CC79D2" w:rsidRPr="00315F4D" w14:paraId="752F2DF4" w14:textId="77777777" w:rsidTr="007B07F4">
        <w:tc>
          <w:tcPr>
            <w:tcW w:w="0" w:type="auto"/>
          </w:tcPr>
          <w:p w14:paraId="4A307888" w14:textId="2E02DC0F" w:rsidR="00CC79D2" w:rsidRPr="00315F4D" w:rsidRDefault="00CC79D2" w:rsidP="00A02E4B">
            <w:pPr>
              <w:spacing w:after="0"/>
              <w:rPr>
                <w:rFonts w:asciiTheme="majorHAnsi" w:hAnsiTheme="majorHAnsi" w:cstheme="majorHAnsi"/>
              </w:rPr>
            </w:pPr>
            <w:r w:rsidRPr="00315F4D">
              <w:rPr>
                <w:rFonts w:asciiTheme="majorHAnsi" w:hAnsiTheme="majorHAnsi" w:cstheme="majorHAnsi"/>
              </w:rPr>
              <w:lastRenderedPageBreak/>
              <w:t>Titles</w:t>
            </w:r>
          </w:p>
        </w:tc>
        <w:tc>
          <w:tcPr>
            <w:tcW w:w="0" w:type="auto"/>
          </w:tcPr>
          <w:p w14:paraId="408CD0B3" w14:textId="3EC0ED03" w:rsidR="00CC79D2" w:rsidRPr="00315F4D" w:rsidRDefault="00CC79D2" w:rsidP="00A02E4B">
            <w:pPr>
              <w:spacing w:after="0"/>
              <w:contextualSpacing/>
              <w:rPr>
                <w:rFonts w:asciiTheme="majorHAnsi" w:hAnsiTheme="majorHAnsi" w:cstheme="majorHAnsi"/>
                <w:color w:val="333333"/>
                <w:shd w:val="clear" w:color="auto" w:fill="FFFFFF"/>
                <w:lang w:val="en-US"/>
              </w:rPr>
            </w:pPr>
            <w:r w:rsidRPr="00DF4925">
              <w:rPr>
                <w:rFonts w:asciiTheme="majorHAnsi" w:hAnsiTheme="majorHAnsi" w:cstheme="majorHAnsi"/>
                <w:color w:val="333333"/>
                <w:shd w:val="clear" w:color="auto" w:fill="FFFFFF"/>
                <w:lang w:val="en-US"/>
              </w:rPr>
              <w:t>349, of which 166 duplicates</w:t>
            </w:r>
          </w:p>
        </w:tc>
      </w:tr>
      <w:tr w:rsidR="005450EF" w:rsidRPr="001E2D03" w14:paraId="76CF84D3" w14:textId="77777777" w:rsidTr="007B07F4">
        <w:trPr>
          <w:trHeight w:val="1391"/>
        </w:trPr>
        <w:tc>
          <w:tcPr>
            <w:tcW w:w="0" w:type="auto"/>
            <w:gridSpan w:val="2"/>
            <w:tcBorders>
              <w:bottom w:val="single" w:sz="4" w:space="0" w:color="auto"/>
            </w:tcBorders>
            <w:vAlign w:val="bottom"/>
          </w:tcPr>
          <w:p w14:paraId="11E6A87F" w14:textId="77777777" w:rsidR="005450EF" w:rsidRPr="00DF4925" w:rsidRDefault="005450EF" w:rsidP="00947FFC">
            <w:pPr>
              <w:spacing w:after="120"/>
              <w:contextualSpacing/>
              <w:rPr>
                <w:rFonts w:asciiTheme="majorHAnsi" w:hAnsiTheme="majorHAnsi" w:cstheme="majorHAnsi"/>
                <w:b/>
                <w:color w:val="333333"/>
                <w:lang w:val="en-US"/>
              </w:rPr>
            </w:pPr>
            <w:r w:rsidRPr="00DF4925">
              <w:rPr>
                <w:rFonts w:asciiTheme="majorHAnsi" w:hAnsiTheme="majorHAnsi" w:cstheme="majorHAnsi"/>
                <w:b/>
                <w:color w:val="333333"/>
                <w:lang w:val="en-US"/>
              </w:rPr>
              <w:t>DARE (Database of Abstracts of Reviews of Effectiveness</w:t>
            </w:r>
          </w:p>
          <w:p w14:paraId="58DADA77" w14:textId="77777777" w:rsidR="005450EF" w:rsidRPr="00DF4925" w:rsidRDefault="005450EF" w:rsidP="00947FFC">
            <w:pPr>
              <w:spacing w:after="120"/>
              <w:contextualSpacing/>
              <w:rPr>
                <w:rFonts w:asciiTheme="majorHAnsi" w:hAnsiTheme="majorHAnsi" w:cstheme="majorHAnsi"/>
                <w:b/>
                <w:color w:val="333333"/>
                <w:lang w:val="en-US"/>
              </w:rPr>
            </w:pPr>
            <w:r w:rsidRPr="00DF4925">
              <w:rPr>
                <w:rFonts w:asciiTheme="majorHAnsi" w:hAnsiTheme="majorHAnsi" w:cstheme="majorHAnsi"/>
                <w:b/>
                <w:color w:val="333333"/>
                <w:lang w:val="en-US"/>
              </w:rPr>
              <w:t>NHS EED (Economic Evaluation Database)</w:t>
            </w:r>
          </w:p>
          <w:p w14:paraId="5FB9D28E" w14:textId="5EFBE843" w:rsidR="005450EF" w:rsidRPr="00315F4D" w:rsidRDefault="005450EF" w:rsidP="00947FFC">
            <w:pPr>
              <w:spacing w:after="120"/>
              <w:contextualSpacing/>
              <w:rPr>
                <w:rFonts w:asciiTheme="majorHAnsi" w:hAnsiTheme="majorHAnsi" w:cstheme="majorHAnsi"/>
                <w:color w:val="333333"/>
                <w:shd w:val="clear" w:color="auto" w:fill="FFFFFF"/>
                <w:lang w:val="en-US"/>
              </w:rPr>
            </w:pPr>
            <w:r w:rsidRPr="00DF4925">
              <w:rPr>
                <w:rFonts w:asciiTheme="majorHAnsi" w:hAnsiTheme="majorHAnsi" w:cstheme="majorHAnsi"/>
                <w:b/>
                <w:color w:val="333333"/>
                <w:lang w:val="en-US"/>
              </w:rPr>
              <w:t xml:space="preserve">NHS HTA (Health Technology Assessment) of the UK NHS Centre for Review and Dissemination </w:t>
            </w:r>
          </w:p>
        </w:tc>
      </w:tr>
      <w:tr w:rsidR="008E69CE" w:rsidRPr="001E2D03" w14:paraId="17418FC1" w14:textId="77777777" w:rsidTr="007B07F4">
        <w:tc>
          <w:tcPr>
            <w:tcW w:w="0" w:type="auto"/>
            <w:tcBorders>
              <w:top w:val="single" w:sz="4" w:space="0" w:color="auto"/>
            </w:tcBorders>
          </w:tcPr>
          <w:p w14:paraId="5796E6DD" w14:textId="493496B6" w:rsidR="008E69CE" w:rsidRPr="00315F4D" w:rsidRDefault="008E69CE" w:rsidP="00064809">
            <w:pPr>
              <w:spacing w:after="0"/>
              <w:rPr>
                <w:rFonts w:asciiTheme="majorHAnsi" w:hAnsiTheme="majorHAnsi" w:cstheme="majorHAnsi"/>
                <w:color w:val="333333"/>
                <w:lang w:val="en-US"/>
              </w:rPr>
            </w:pPr>
            <w:r w:rsidRPr="00DF4925">
              <w:rPr>
                <w:rFonts w:asciiTheme="majorHAnsi" w:hAnsiTheme="majorHAnsi" w:cstheme="majorHAnsi"/>
                <w:color w:val="333333"/>
                <w:lang w:val="en-US"/>
              </w:rPr>
              <w:t>Access</w:t>
            </w:r>
          </w:p>
        </w:tc>
        <w:tc>
          <w:tcPr>
            <w:tcW w:w="0" w:type="auto"/>
            <w:tcBorders>
              <w:top w:val="single" w:sz="4" w:space="0" w:color="auto"/>
            </w:tcBorders>
          </w:tcPr>
          <w:p w14:paraId="53239615" w14:textId="2529F890" w:rsidR="008E69CE" w:rsidRPr="00315F4D" w:rsidRDefault="008E69CE" w:rsidP="00064809">
            <w:pPr>
              <w:spacing w:after="0"/>
              <w:contextualSpacing/>
              <w:rPr>
                <w:rFonts w:asciiTheme="majorHAnsi" w:hAnsiTheme="majorHAnsi" w:cstheme="majorHAnsi"/>
                <w:bCs/>
                <w:color w:val="333333"/>
                <w:lang w:val="en-US"/>
              </w:rPr>
            </w:pPr>
            <w:r w:rsidRPr="00DF4925">
              <w:rPr>
                <w:rFonts w:asciiTheme="majorHAnsi" w:hAnsiTheme="majorHAnsi" w:cstheme="majorHAnsi"/>
                <w:color w:val="333333"/>
                <w:lang w:val="en-US"/>
              </w:rPr>
              <w:t>https://www.crd.york.ac.uk/CRDWeb/</w:t>
            </w:r>
          </w:p>
        </w:tc>
      </w:tr>
      <w:tr w:rsidR="008E69CE" w:rsidRPr="00315F4D" w14:paraId="16323FA4" w14:textId="77777777" w:rsidTr="001D79B8">
        <w:tc>
          <w:tcPr>
            <w:tcW w:w="0" w:type="auto"/>
          </w:tcPr>
          <w:p w14:paraId="3E290DC6" w14:textId="20C03FA3" w:rsidR="008E69CE" w:rsidRPr="00315F4D" w:rsidRDefault="008E69CE" w:rsidP="00064809">
            <w:pPr>
              <w:spacing w:after="0"/>
              <w:rPr>
                <w:rFonts w:asciiTheme="majorHAnsi" w:hAnsiTheme="majorHAnsi" w:cstheme="majorHAnsi"/>
                <w:color w:val="333333"/>
                <w:lang w:val="en-US"/>
              </w:rPr>
            </w:pPr>
            <w:r w:rsidRPr="00DF4925">
              <w:rPr>
                <w:rFonts w:asciiTheme="majorHAnsi" w:hAnsiTheme="majorHAnsi" w:cstheme="majorHAnsi"/>
                <w:color w:val="333333"/>
                <w:lang w:val="en-US"/>
              </w:rPr>
              <w:t>Date</w:t>
            </w:r>
          </w:p>
        </w:tc>
        <w:tc>
          <w:tcPr>
            <w:tcW w:w="0" w:type="auto"/>
          </w:tcPr>
          <w:p w14:paraId="48022AD6" w14:textId="0A560784" w:rsidR="008E69CE" w:rsidRPr="00315F4D" w:rsidRDefault="008E69CE" w:rsidP="00064809">
            <w:pPr>
              <w:spacing w:after="0"/>
              <w:contextualSpacing/>
              <w:rPr>
                <w:rFonts w:asciiTheme="majorHAnsi" w:hAnsiTheme="majorHAnsi" w:cstheme="majorHAnsi"/>
                <w:color w:val="333333"/>
                <w:lang w:val="en-US"/>
              </w:rPr>
            </w:pPr>
            <w:r w:rsidRPr="00DF4925">
              <w:rPr>
                <w:rFonts w:asciiTheme="majorHAnsi" w:hAnsiTheme="majorHAnsi" w:cstheme="majorHAnsi"/>
                <w:color w:val="333333"/>
                <w:lang w:val="en-US"/>
              </w:rPr>
              <w:t>13th January 2025</w:t>
            </w:r>
          </w:p>
        </w:tc>
      </w:tr>
      <w:tr w:rsidR="008E69CE" w:rsidRPr="00232E59" w14:paraId="7960B018" w14:textId="77777777" w:rsidTr="001D79B8">
        <w:tc>
          <w:tcPr>
            <w:tcW w:w="0" w:type="auto"/>
          </w:tcPr>
          <w:p w14:paraId="3BD49066" w14:textId="0D507C69" w:rsidR="008E69CE" w:rsidRPr="00315F4D" w:rsidRDefault="008E69CE" w:rsidP="00064809">
            <w:pPr>
              <w:spacing w:after="0"/>
              <w:rPr>
                <w:rFonts w:asciiTheme="majorHAnsi" w:hAnsiTheme="majorHAnsi" w:cstheme="majorHAnsi"/>
              </w:rPr>
            </w:pPr>
            <w:r w:rsidRPr="00315F4D">
              <w:rPr>
                <w:rFonts w:asciiTheme="majorHAnsi" w:hAnsiTheme="majorHAnsi" w:cstheme="majorHAnsi"/>
              </w:rPr>
              <w:t>Search-string</w:t>
            </w:r>
          </w:p>
        </w:tc>
        <w:tc>
          <w:tcPr>
            <w:tcW w:w="0" w:type="auto"/>
          </w:tcPr>
          <w:p w14:paraId="63C18D00" w14:textId="77777777" w:rsidR="008E69CE" w:rsidRPr="00FE6C5C" w:rsidRDefault="008E69CE" w:rsidP="00064809">
            <w:pPr>
              <w:spacing w:after="0"/>
              <w:rPr>
                <w:rFonts w:asciiTheme="majorHAnsi" w:hAnsiTheme="majorHAnsi" w:cstheme="majorHAnsi"/>
                <w:lang w:val="en-US"/>
              </w:rPr>
            </w:pPr>
            <w:r w:rsidRPr="00FE6C5C">
              <w:rPr>
                <w:rFonts w:asciiTheme="majorHAnsi" w:hAnsiTheme="majorHAnsi" w:cstheme="majorHAnsi"/>
                <w:lang w:val="en-US"/>
              </w:rPr>
              <w:t>#1: MeSH DESCRIPTOR Ischemic Attack, Transient EXPLODE ALL TREES</w:t>
            </w:r>
          </w:p>
          <w:p w14:paraId="134B366F" w14:textId="77777777" w:rsidR="008E69CE" w:rsidRPr="00FE6C5C" w:rsidRDefault="008E69CE" w:rsidP="00064809">
            <w:pPr>
              <w:spacing w:after="0"/>
              <w:rPr>
                <w:rFonts w:asciiTheme="majorHAnsi" w:hAnsiTheme="majorHAnsi" w:cstheme="majorHAnsi"/>
                <w:lang w:val="en-US"/>
              </w:rPr>
            </w:pPr>
            <w:r w:rsidRPr="00FE6C5C">
              <w:rPr>
                <w:rFonts w:asciiTheme="majorHAnsi" w:hAnsiTheme="majorHAnsi" w:cstheme="majorHAnsi"/>
                <w:lang w:val="en-US"/>
              </w:rPr>
              <w:t>#2: MeSH DESCRIPTOR Stroke EXPLODE ALL TREES</w:t>
            </w:r>
          </w:p>
          <w:p w14:paraId="4773F659" w14:textId="77777777" w:rsidR="008E69CE" w:rsidRPr="00FE6C5C" w:rsidRDefault="008E69CE" w:rsidP="00064809">
            <w:pPr>
              <w:spacing w:after="0"/>
              <w:rPr>
                <w:rFonts w:asciiTheme="majorHAnsi" w:hAnsiTheme="majorHAnsi" w:cstheme="majorHAnsi"/>
                <w:lang w:val="en-US"/>
              </w:rPr>
            </w:pPr>
            <w:r w:rsidRPr="00FE6C5C">
              <w:rPr>
                <w:rFonts w:asciiTheme="majorHAnsi" w:hAnsiTheme="majorHAnsi" w:cstheme="majorHAnsi"/>
                <w:lang w:val="en-US"/>
              </w:rPr>
              <w:t>#3: (cost*)</w:t>
            </w:r>
          </w:p>
          <w:p w14:paraId="46BE8CBF" w14:textId="77777777" w:rsidR="008E69CE" w:rsidRPr="00FE6C5C" w:rsidRDefault="008E69CE" w:rsidP="00064809">
            <w:pPr>
              <w:spacing w:after="0"/>
              <w:rPr>
                <w:rFonts w:asciiTheme="majorHAnsi" w:hAnsiTheme="majorHAnsi" w:cstheme="majorHAnsi"/>
                <w:lang w:val="en-US"/>
              </w:rPr>
            </w:pPr>
            <w:r w:rsidRPr="00FE6C5C">
              <w:rPr>
                <w:rFonts w:asciiTheme="majorHAnsi" w:hAnsiTheme="majorHAnsi" w:cstheme="majorHAnsi"/>
                <w:lang w:val="en-US"/>
              </w:rPr>
              <w:t>#4: #1 OR #2</w:t>
            </w:r>
          </w:p>
          <w:p w14:paraId="172A621E" w14:textId="77777777" w:rsidR="008E69CE" w:rsidRPr="00FE6C5C" w:rsidRDefault="008E69CE" w:rsidP="00064809">
            <w:pPr>
              <w:spacing w:after="0"/>
              <w:rPr>
                <w:rFonts w:asciiTheme="majorHAnsi" w:hAnsiTheme="majorHAnsi" w:cstheme="majorHAnsi"/>
                <w:lang w:val="en-US"/>
              </w:rPr>
            </w:pPr>
            <w:r w:rsidRPr="00FE6C5C">
              <w:rPr>
                <w:rFonts w:asciiTheme="majorHAnsi" w:hAnsiTheme="majorHAnsi" w:cstheme="majorHAnsi"/>
                <w:lang w:val="en-US"/>
              </w:rPr>
              <w:t>#5: #3 AND #4</w:t>
            </w:r>
          </w:p>
          <w:p w14:paraId="5002CD7F" w14:textId="77777777" w:rsidR="008E69CE" w:rsidRPr="00FE6C5C" w:rsidRDefault="008E69CE" w:rsidP="00064809">
            <w:pPr>
              <w:spacing w:after="0"/>
              <w:rPr>
                <w:rFonts w:asciiTheme="majorHAnsi" w:hAnsiTheme="majorHAnsi" w:cstheme="majorHAnsi"/>
                <w:lang w:val="en-US"/>
              </w:rPr>
            </w:pPr>
            <w:r w:rsidRPr="00FE6C5C">
              <w:rPr>
                <w:rFonts w:asciiTheme="majorHAnsi" w:hAnsiTheme="majorHAnsi" w:cstheme="majorHAnsi"/>
                <w:lang w:val="en-US"/>
              </w:rPr>
              <w:t>#6: *  WHERE LPD FROM 01/01/2008 TO 31/12/2024</w:t>
            </w:r>
          </w:p>
          <w:p w14:paraId="64B47105" w14:textId="16926E9C" w:rsidR="008E69CE" w:rsidRPr="00F0318F" w:rsidRDefault="008E69CE" w:rsidP="00064809">
            <w:pPr>
              <w:spacing w:after="0"/>
              <w:rPr>
                <w:rFonts w:asciiTheme="majorHAnsi" w:hAnsiTheme="majorHAnsi" w:cstheme="majorHAnsi"/>
                <w:lang w:val="en-US"/>
              </w:rPr>
            </w:pPr>
            <w:r w:rsidRPr="00F0318F">
              <w:rPr>
                <w:rFonts w:asciiTheme="majorHAnsi" w:hAnsiTheme="majorHAnsi" w:cstheme="majorHAnsi"/>
                <w:lang w:val="en-US"/>
              </w:rPr>
              <w:t>#7: #5 AND #6</w:t>
            </w:r>
          </w:p>
        </w:tc>
      </w:tr>
      <w:tr w:rsidR="008E69CE" w:rsidRPr="00315F4D" w14:paraId="263E3FF0" w14:textId="77777777" w:rsidTr="001D79B8">
        <w:tc>
          <w:tcPr>
            <w:tcW w:w="0" w:type="auto"/>
          </w:tcPr>
          <w:p w14:paraId="3244679C" w14:textId="3D27B321" w:rsidR="008E69CE" w:rsidRPr="00315F4D" w:rsidRDefault="008E69CE" w:rsidP="00064809">
            <w:pPr>
              <w:spacing w:after="0"/>
              <w:rPr>
                <w:rFonts w:asciiTheme="majorHAnsi" w:hAnsiTheme="majorHAnsi" w:cstheme="majorHAnsi"/>
              </w:rPr>
            </w:pPr>
            <w:r w:rsidRPr="00315F4D">
              <w:rPr>
                <w:rFonts w:asciiTheme="majorHAnsi" w:hAnsiTheme="majorHAnsi" w:cstheme="majorHAnsi"/>
              </w:rPr>
              <w:t>Limiters</w:t>
            </w:r>
          </w:p>
        </w:tc>
        <w:tc>
          <w:tcPr>
            <w:tcW w:w="0" w:type="auto"/>
          </w:tcPr>
          <w:p w14:paraId="0547957B" w14:textId="7787198C" w:rsidR="008E69CE" w:rsidRPr="00315F4D" w:rsidRDefault="008E69CE" w:rsidP="00064809">
            <w:pPr>
              <w:spacing w:after="0"/>
              <w:rPr>
                <w:rFonts w:asciiTheme="majorHAnsi" w:hAnsiTheme="majorHAnsi" w:cstheme="majorHAnsi"/>
                <w:color w:val="212121"/>
                <w:shd w:val="clear" w:color="auto" w:fill="F6F6F6"/>
                <w:lang w:val="en-US"/>
              </w:rPr>
            </w:pPr>
            <w:r w:rsidRPr="00315F4D">
              <w:rPr>
                <w:rFonts w:asciiTheme="majorHAnsi" w:hAnsiTheme="majorHAnsi" w:cstheme="majorHAnsi"/>
                <w:color w:val="333333"/>
                <w:shd w:val="clear" w:color="auto" w:fill="FFFFFF"/>
                <w:lang w:val="en-US"/>
              </w:rPr>
              <w:t>Download “Brief”-form</w:t>
            </w:r>
          </w:p>
        </w:tc>
      </w:tr>
      <w:tr w:rsidR="008E69CE" w:rsidRPr="001E2D03" w14:paraId="3DA34B13" w14:textId="77777777" w:rsidTr="00B509E8">
        <w:tc>
          <w:tcPr>
            <w:tcW w:w="0" w:type="auto"/>
          </w:tcPr>
          <w:p w14:paraId="640300FC" w14:textId="3C83FFE7" w:rsidR="008E69CE" w:rsidRPr="00315F4D" w:rsidRDefault="008E69CE" w:rsidP="00064809">
            <w:pPr>
              <w:spacing w:after="0"/>
              <w:rPr>
                <w:rFonts w:asciiTheme="majorHAnsi" w:hAnsiTheme="majorHAnsi" w:cstheme="majorHAnsi"/>
              </w:rPr>
            </w:pPr>
            <w:r w:rsidRPr="00315F4D">
              <w:rPr>
                <w:rFonts w:asciiTheme="majorHAnsi" w:hAnsiTheme="majorHAnsi" w:cstheme="majorHAnsi"/>
              </w:rPr>
              <w:t>Titles</w:t>
            </w:r>
          </w:p>
        </w:tc>
        <w:tc>
          <w:tcPr>
            <w:tcW w:w="0" w:type="auto"/>
          </w:tcPr>
          <w:p w14:paraId="0CF31226" w14:textId="77777777" w:rsidR="0050139C" w:rsidRPr="00315F4D" w:rsidRDefault="008E69CE" w:rsidP="00064809">
            <w:pPr>
              <w:numPr>
                <w:ilvl w:val="0"/>
                <w:numId w:val="30"/>
              </w:numPr>
              <w:spacing w:after="0"/>
              <w:contextualSpacing/>
              <w:rPr>
                <w:rFonts w:asciiTheme="majorHAnsi" w:hAnsiTheme="majorHAnsi" w:cstheme="majorHAnsi"/>
                <w:color w:val="333333"/>
                <w:shd w:val="clear" w:color="auto" w:fill="FFFFFF"/>
                <w:lang w:val="en-US"/>
              </w:rPr>
            </w:pPr>
            <w:r w:rsidRPr="00DF4925">
              <w:rPr>
                <w:rFonts w:asciiTheme="majorHAnsi" w:hAnsiTheme="majorHAnsi" w:cstheme="majorHAnsi"/>
                <w:color w:val="333333"/>
                <w:shd w:val="clear" w:color="auto" w:fill="FFFFFF"/>
                <w:lang w:val="en-US"/>
              </w:rPr>
              <w:t>“Full”-Type: 273, of which 116 duplicates</w:t>
            </w:r>
          </w:p>
          <w:p w14:paraId="6249A09B" w14:textId="240C750C" w:rsidR="008E69CE" w:rsidRPr="00315F4D" w:rsidRDefault="008E69CE" w:rsidP="00064809">
            <w:pPr>
              <w:numPr>
                <w:ilvl w:val="0"/>
                <w:numId w:val="30"/>
              </w:numPr>
              <w:spacing w:after="0"/>
              <w:contextualSpacing/>
              <w:rPr>
                <w:rFonts w:asciiTheme="majorHAnsi" w:hAnsiTheme="majorHAnsi" w:cstheme="majorHAnsi"/>
                <w:color w:val="333333"/>
                <w:shd w:val="clear" w:color="auto" w:fill="FFFFFF"/>
                <w:lang w:val="en-US"/>
              </w:rPr>
            </w:pPr>
            <w:r w:rsidRPr="00DF4925">
              <w:rPr>
                <w:rFonts w:asciiTheme="majorHAnsi" w:hAnsiTheme="majorHAnsi" w:cstheme="majorHAnsi"/>
                <w:color w:val="333333"/>
                <w:shd w:val="clear" w:color="auto" w:fill="FFFFFF"/>
                <w:lang w:val="en-US"/>
              </w:rPr>
              <w:t>“Brief”-Type: 282, of which 269 duplicates</w:t>
            </w:r>
          </w:p>
        </w:tc>
      </w:tr>
      <w:tr w:rsidR="00064809" w:rsidRPr="001E2D03" w14:paraId="05D25E2C" w14:textId="77777777" w:rsidTr="00B509E8">
        <w:tc>
          <w:tcPr>
            <w:tcW w:w="0" w:type="auto"/>
          </w:tcPr>
          <w:p w14:paraId="22F8887C" w14:textId="77777777" w:rsidR="00064809" w:rsidRPr="00FE6C5C" w:rsidRDefault="00064809" w:rsidP="00064809">
            <w:pPr>
              <w:spacing w:after="0"/>
              <w:rPr>
                <w:rFonts w:asciiTheme="majorHAnsi" w:hAnsiTheme="majorHAnsi" w:cstheme="majorHAnsi"/>
                <w:lang w:val="en-US"/>
              </w:rPr>
            </w:pPr>
          </w:p>
        </w:tc>
        <w:tc>
          <w:tcPr>
            <w:tcW w:w="0" w:type="auto"/>
          </w:tcPr>
          <w:p w14:paraId="3398BE89" w14:textId="77777777" w:rsidR="00064809" w:rsidRPr="00DF4925" w:rsidRDefault="00064809" w:rsidP="00064809">
            <w:pPr>
              <w:spacing w:after="0"/>
              <w:contextualSpacing/>
              <w:rPr>
                <w:rFonts w:asciiTheme="majorHAnsi" w:hAnsiTheme="majorHAnsi" w:cstheme="majorHAnsi"/>
                <w:color w:val="333333"/>
                <w:shd w:val="clear" w:color="auto" w:fill="FFFFFF"/>
                <w:lang w:val="en-US"/>
              </w:rPr>
            </w:pPr>
          </w:p>
        </w:tc>
      </w:tr>
      <w:tr w:rsidR="00064809" w:rsidRPr="001E2D03" w14:paraId="1935EC1C" w14:textId="77777777" w:rsidTr="00B509E8">
        <w:tc>
          <w:tcPr>
            <w:tcW w:w="0" w:type="auto"/>
            <w:tcBorders>
              <w:bottom w:val="single" w:sz="4" w:space="0" w:color="auto"/>
            </w:tcBorders>
          </w:tcPr>
          <w:p w14:paraId="6A3FA82C" w14:textId="77777777" w:rsidR="00064809" w:rsidRPr="00FE6C5C" w:rsidRDefault="00064809" w:rsidP="00064809">
            <w:pPr>
              <w:spacing w:after="0"/>
              <w:rPr>
                <w:rFonts w:asciiTheme="majorHAnsi" w:hAnsiTheme="majorHAnsi" w:cstheme="majorHAnsi"/>
                <w:lang w:val="en-US"/>
              </w:rPr>
            </w:pPr>
          </w:p>
        </w:tc>
        <w:tc>
          <w:tcPr>
            <w:tcW w:w="0" w:type="auto"/>
            <w:tcBorders>
              <w:bottom w:val="single" w:sz="4" w:space="0" w:color="auto"/>
            </w:tcBorders>
          </w:tcPr>
          <w:p w14:paraId="27238870" w14:textId="77777777" w:rsidR="00064809" w:rsidRPr="00DF4925" w:rsidRDefault="00064809" w:rsidP="00064809">
            <w:pPr>
              <w:spacing w:after="0"/>
              <w:contextualSpacing/>
              <w:rPr>
                <w:rFonts w:asciiTheme="majorHAnsi" w:hAnsiTheme="majorHAnsi" w:cstheme="majorHAnsi"/>
                <w:color w:val="333333"/>
                <w:shd w:val="clear" w:color="auto" w:fill="FFFFFF"/>
                <w:lang w:val="en-US"/>
              </w:rPr>
            </w:pPr>
          </w:p>
        </w:tc>
      </w:tr>
    </w:tbl>
    <w:p w14:paraId="484BF1FB" w14:textId="77777777" w:rsidR="00DF4925" w:rsidRPr="00DF4925" w:rsidRDefault="00DF4925" w:rsidP="00DF4925">
      <w:pPr>
        <w:spacing w:after="240" w:line="240" w:lineRule="auto"/>
        <w:jc w:val="both"/>
        <w:rPr>
          <w:rFonts w:asciiTheme="majorHAnsi" w:eastAsia="Times New Roman" w:hAnsiTheme="majorHAnsi" w:cstheme="majorHAnsi"/>
          <w:color w:val="333333"/>
          <w:sz w:val="20"/>
          <w:szCs w:val="20"/>
          <w:lang w:val="en-US" w:eastAsia="de-DE"/>
        </w:rPr>
      </w:pPr>
    </w:p>
    <w:p w14:paraId="248F15A2" w14:textId="77777777" w:rsidR="00DF4925" w:rsidRPr="00DF4925" w:rsidRDefault="00DF4925" w:rsidP="00DF4925">
      <w:pPr>
        <w:spacing w:after="240" w:line="240" w:lineRule="auto"/>
        <w:jc w:val="both"/>
        <w:rPr>
          <w:rFonts w:asciiTheme="majorHAnsi" w:eastAsia="Times New Roman" w:hAnsiTheme="majorHAnsi" w:cstheme="majorHAnsi"/>
          <w:color w:val="333333"/>
          <w:sz w:val="20"/>
          <w:szCs w:val="20"/>
          <w:lang w:val="en-US" w:eastAsia="de-DE"/>
        </w:rPr>
      </w:pPr>
    </w:p>
    <w:p w14:paraId="4BAB8C5B" w14:textId="77777777" w:rsidR="00DF4925" w:rsidRPr="00DF4925" w:rsidRDefault="00DF4925" w:rsidP="00DF4925">
      <w:pPr>
        <w:spacing w:after="240" w:line="240" w:lineRule="auto"/>
        <w:jc w:val="both"/>
        <w:rPr>
          <w:rFonts w:asciiTheme="majorHAnsi" w:eastAsia="Times New Roman" w:hAnsiTheme="majorHAnsi" w:cstheme="majorHAnsi"/>
          <w:color w:val="333333"/>
          <w:sz w:val="20"/>
          <w:szCs w:val="20"/>
          <w:lang w:val="en-US" w:eastAsia="de-DE"/>
        </w:rPr>
      </w:pPr>
    </w:p>
    <w:p w14:paraId="0F3453F5" w14:textId="77777777" w:rsidR="00DF4925" w:rsidRPr="00DF4925" w:rsidRDefault="00DF4925" w:rsidP="00DF4925">
      <w:pPr>
        <w:spacing w:after="240" w:line="240" w:lineRule="auto"/>
        <w:jc w:val="both"/>
        <w:rPr>
          <w:rFonts w:asciiTheme="majorHAnsi" w:eastAsia="Times New Roman" w:hAnsiTheme="majorHAnsi" w:cstheme="majorHAnsi"/>
          <w:color w:val="333333"/>
          <w:sz w:val="20"/>
          <w:szCs w:val="20"/>
          <w:lang w:val="en-US" w:eastAsia="de-DE"/>
        </w:rPr>
      </w:pPr>
    </w:p>
    <w:p w14:paraId="28ACA05B" w14:textId="77777777" w:rsidR="00F369D9" w:rsidRPr="007E56D0" w:rsidRDefault="00F369D9">
      <w:pPr>
        <w:rPr>
          <w:rFonts w:asciiTheme="majorHAnsi" w:hAnsiTheme="majorHAnsi" w:cstheme="majorHAnsi"/>
          <w:lang w:val="en-US"/>
        </w:rPr>
        <w:sectPr w:rsidR="00F369D9" w:rsidRPr="007E56D0" w:rsidSect="00F05F0A">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pPr>
    </w:p>
    <w:p w14:paraId="4B488CFA" w14:textId="1ED94A83" w:rsidR="00425D8D" w:rsidRPr="009879CF" w:rsidRDefault="009879CF" w:rsidP="009879CF">
      <w:pPr>
        <w:spacing w:after="0" w:line="240" w:lineRule="auto"/>
        <w:rPr>
          <w:rFonts w:asciiTheme="majorHAnsi" w:hAnsiTheme="majorHAnsi" w:cstheme="majorHAnsi"/>
          <w:color w:val="000000"/>
          <w:sz w:val="24"/>
          <w:szCs w:val="24"/>
          <w:lang w:val="en-US"/>
        </w:rPr>
      </w:pPr>
      <w:r w:rsidRPr="007E56D0">
        <w:rPr>
          <w:rFonts w:asciiTheme="majorHAnsi" w:hAnsiTheme="majorHAnsi" w:cstheme="majorHAnsi"/>
          <w:b/>
          <w:bCs/>
          <w:color w:val="000000"/>
          <w:sz w:val="24"/>
          <w:szCs w:val="24"/>
          <w:lang w:val="en-US"/>
        </w:rPr>
        <w:lastRenderedPageBreak/>
        <w:t>Supplementary table S</w:t>
      </w:r>
      <w:r>
        <w:rPr>
          <w:rFonts w:asciiTheme="majorHAnsi" w:hAnsiTheme="majorHAnsi" w:cstheme="majorHAnsi"/>
          <w:b/>
          <w:bCs/>
          <w:color w:val="000000"/>
          <w:sz w:val="24"/>
          <w:szCs w:val="24"/>
          <w:lang w:val="en-US"/>
        </w:rPr>
        <w:t>3</w:t>
      </w:r>
      <w:r w:rsidRPr="007E56D0">
        <w:rPr>
          <w:rFonts w:asciiTheme="majorHAnsi" w:hAnsiTheme="majorHAnsi" w:cstheme="majorHAnsi"/>
          <w:color w:val="000000"/>
          <w:sz w:val="24"/>
          <w:szCs w:val="24"/>
          <w:lang w:val="en-US"/>
        </w:rPr>
        <w:t xml:space="preserve"> General Study Information, Model Design, Uncertainty and Validation</w:t>
      </w:r>
      <w:r>
        <w:rPr>
          <w:rFonts w:asciiTheme="majorHAnsi" w:hAnsiTheme="majorHAnsi" w:cstheme="majorHAnsi"/>
          <w:color w:val="000000"/>
          <w:sz w:val="24"/>
          <w:szCs w:val="24"/>
          <w:lang w:val="en-US"/>
        </w:rPr>
        <w:t xml:space="preserve"> Details</w:t>
      </w:r>
    </w:p>
    <w:tbl>
      <w:tblPr>
        <w:tblpPr w:leftFromText="142" w:rightFromText="142" w:vertAnchor="page" w:tblpXSpec="center" w:tblpY="1815"/>
        <w:tblOverlap w:val="never"/>
        <w:tblW w:w="14678" w:type="dxa"/>
        <w:tblCellSpacing w:w="85" w:type="dxa"/>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1312"/>
        <w:gridCol w:w="1073"/>
        <w:gridCol w:w="1159"/>
        <w:gridCol w:w="978"/>
        <w:gridCol w:w="1195"/>
        <w:gridCol w:w="2238"/>
        <w:gridCol w:w="1454"/>
        <w:gridCol w:w="1454"/>
        <w:gridCol w:w="1611"/>
        <w:gridCol w:w="1134"/>
        <w:gridCol w:w="1070"/>
      </w:tblGrid>
      <w:tr w:rsidR="002554B8" w:rsidRPr="007E56D0" w14:paraId="1CB5E42B" w14:textId="77777777" w:rsidTr="004515C5">
        <w:trPr>
          <w:tblHeader/>
          <w:tblCellSpacing w:w="85" w:type="dxa"/>
        </w:trPr>
        <w:tc>
          <w:tcPr>
            <w:tcW w:w="1057" w:type="dxa"/>
            <w:tcBorders>
              <w:top w:val="nil"/>
              <w:bottom w:val="single" w:sz="4" w:space="0" w:color="auto"/>
            </w:tcBorders>
            <w:shd w:val="clear" w:color="auto" w:fill="auto"/>
            <w:hideMark/>
          </w:tcPr>
          <w:p w14:paraId="6CC23A18" w14:textId="77777777" w:rsidR="002554B8" w:rsidRPr="007E56D0" w:rsidRDefault="002554B8" w:rsidP="009879CF">
            <w:pPr>
              <w:spacing w:after="0" w:line="240" w:lineRule="auto"/>
              <w:rPr>
                <w:rFonts w:asciiTheme="majorHAnsi" w:eastAsia="Times New Roman" w:hAnsiTheme="majorHAnsi" w:cstheme="majorHAnsi"/>
                <w:b/>
                <w:bCs/>
                <w:color w:val="000000"/>
                <w:sz w:val="16"/>
                <w:szCs w:val="16"/>
                <w:lang w:val="en-US" w:eastAsia="de-DE"/>
              </w:rPr>
            </w:pPr>
            <w:bookmarkStart w:id="0" w:name="_Hlk216443545"/>
            <w:bookmarkStart w:id="1" w:name="_Hlk229129974"/>
            <w:r w:rsidRPr="007E56D0">
              <w:rPr>
                <w:rFonts w:asciiTheme="majorHAnsi" w:eastAsia="Times New Roman" w:hAnsiTheme="majorHAnsi" w:cstheme="majorHAnsi"/>
                <w:b/>
                <w:bCs/>
                <w:color w:val="000000"/>
                <w:sz w:val="16"/>
                <w:szCs w:val="16"/>
                <w:lang w:val="en-US" w:eastAsia="de-DE"/>
              </w:rPr>
              <w:t>Author, setting, funding</w:t>
            </w:r>
          </w:p>
        </w:tc>
        <w:tc>
          <w:tcPr>
            <w:tcW w:w="903" w:type="dxa"/>
            <w:tcBorders>
              <w:top w:val="nil"/>
              <w:bottom w:val="single" w:sz="4" w:space="0" w:color="auto"/>
            </w:tcBorders>
          </w:tcPr>
          <w:p w14:paraId="44BCB1F4" w14:textId="52362F77" w:rsidR="002554B8" w:rsidRPr="007E56D0" w:rsidRDefault="00D55D46" w:rsidP="009879CF">
            <w:pPr>
              <w:spacing w:after="0" w:line="240" w:lineRule="auto"/>
              <w:rPr>
                <w:rFonts w:asciiTheme="majorHAnsi" w:eastAsia="Times New Roman" w:hAnsiTheme="majorHAnsi" w:cstheme="majorHAnsi"/>
                <w:b/>
                <w:bCs/>
                <w:color w:val="000000"/>
                <w:sz w:val="16"/>
                <w:szCs w:val="16"/>
                <w:lang w:val="en-US" w:eastAsia="de-DE"/>
              </w:rPr>
            </w:pPr>
            <w:r w:rsidRPr="007E56D0">
              <w:rPr>
                <w:rFonts w:asciiTheme="majorHAnsi" w:eastAsia="Times New Roman" w:hAnsiTheme="majorHAnsi" w:cstheme="majorHAnsi"/>
                <w:b/>
                <w:bCs/>
                <w:color w:val="000000"/>
                <w:sz w:val="16"/>
                <w:szCs w:val="16"/>
                <w:lang w:val="en-US" w:eastAsia="de-DE"/>
              </w:rPr>
              <w:t>C</w:t>
            </w:r>
            <w:r w:rsidR="002554B8" w:rsidRPr="007E56D0">
              <w:rPr>
                <w:rFonts w:asciiTheme="majorHAnsi" w:eastAsia="Times New Roman" w:hAnsiTheme="majorHAnsi" w:cstheme="majorHAnsi"/>
                <w:b/>
                <w:bCs/>
                <w:color w:val="000000"/>
                <w:sz w:val="16"/>
                <w:szCs w:val="16"/>
                <w:lang w:val="en-US" w:eastAsia="de-DE"/>
              </w:rPr>
              <w:t>omparators (C), outcome measure (O)</w:t>
            </w:r>
          </w:p>
        </w:tc>
        <w:tc>
          <w:tcPr>
            <w:tcW w:w="989" w:type="dxa"/>
            <w:tcBorders>
              <w:top w:val="nil"/>
              <w:bottom w:val="single" w:sz="4" w:space="0" w:color="auto"/>
            </w:tcBorders>
            <w:shd w:val="clear" w:color="auto" w:fill="auto"/>
            <w:noWrap/>
            <w:hideMark/>
          </w:tcPr>
          <w:p w14:paraId="7139699B" w14:textId="77777777" w:rsidR="002554B8" w:rsidRPr="007E56D0" w:rsidRDefault="002554B8" w:rsidP="009879CF">
            <w:pPr>
              <w:spacing w:after="0" w:line="240" w:lineRule="auto"/>
              <w:rPr>
                <w:rFonts w:asciiTheme="majorHAnsi" w:eastAsia="Times New Roman" w:hAnsiTheme="majorHAnsi" w:cstheme="majorHAnsi"/>
                <w:b/>
                <w:bCs/>
                <w:color w:val="000000"/>
                <w:sz w:val="16"/>
                <w:szCs w:val="16"/>
                <w:lang w:val="en-US" w:eastAsia="de-DE"/>
              </w:rPr>
            </w:pPr>
            <w:r w:rsidRPr="007E56D0">
              <w:rPr>
                <w:rFonts w:asciiTheme="majorHAnsi" w:eastAsia="Times New Roman" w:hAnsiTheme="majorHAnsi" w:cstheme="majorHAnsi"/>
                <w:b/>
                <w:bCs/>
                <w:color w:val="000000"/>
                <w:sz w:val="16"/>
                <w:szCs w:val="16"/>
                <w:lang w:val="en-US" w:eastAsia="de-DE"/>
              </w:rPr>
              <w:t>Perspective</w:t>
            </w:r>
          </w:p>
        </w:tc>
        <w:tc>
          <w:tcPr>
            <w:tcW w:w="808" w:type="dxa"/>
            <w:tcBorders>
              <w:top w:val="nil"/>
              <w:bottom w:val="single" w:sz="4" w:space="0" w:color="auto"/>
            </w:tcBorders>
            <w:shd w:val="clear" w:color="auto" w:fill="auto"/>
            <w:hideMark/>
          </w:tcPr>
          <w:p w14:paraId="42955792" w14:textId="07515205" w:rsidR="002554B8" w:rsidRPr="007E56D0" w:rsidRDefault="002554B8" w:rsidP="009879CF">
            <w:pPr>
              <w:spacing w:after="0" w:line="240" w:lineRule="auto"/>
              <w:rPr>
                <w:rFonts w:asciiTheme="majorHAnsi" w:eastAsia="Times New Roman" w:hAnsiTheme="majorHAnsi" w:cstheme="majorHAnsi"/>
                <w:b/>
                <w:bCs/>
                <w:color w:val="000000"/>
                <w:sz w:val="16"/>
                <w:szCs w:val="16"/>
                <w:lang w:val="en-US" w:eastAsia="de-DE"/>
              </w:rPr>
            </w:pPr>
            <w:r w:rsidRPr="007E56D0">
              <w:rPr>
                <w:rFonts w:asciiTheme="majorHAnsi" w:eastAsia="Times New Roman" w:hAnsiTheme="majorHAnsi" w:cstheme="majorHAnsi"/>
                <w:b/>
                <w:bCs/>
                <w:color w:val="000000"/>
                <w:sz w:val="16"/>
                <w:szCs w:val="16"/>
                <w:lang w:val="en-US" w:eastAsia="de-DE"/>
              </w:rPr>
              <w:t xml:space="preserve">Target population: </w:t>
            </w:r>
            <w:r w:rsidR="006F123C" w:rsidRPr="007E56D0">
              <w:rPr>
                <w:rFonts w:asciiTheme="majorHAnsi" w:eastAsia="Times New Roman" w:hAnsiTheme="majorHAnsi" w:cstheme="majorHAnsi"/>
                <w:b/>
                <w:bCs/>
                <w:color w:val="000000"/>
                <w:sz w:val="16"/>
                <w:szCs w:val="16"/>
                <w:lang w:val="en-US" w:eastAsia="de-DE"/>
              </w:rPr>
              <w:t>A</w:t>
            </w:r>
            <w:r w:rsidRPr="007E56D0">
              <w:rPr>
                <w:rFonts w:asciiTheme="majorHAnsi" w:eastAsia="Times New Roman" w:hAnsiTheme="majorHAnsi" w:cstheme="majorHAnsi"/>
                <w:b/>
                <w:bCs/>
                <w:color w:val="000000"/>
                <w:sz w:val="16"/>
                <w:szCs w:val="16"/>
                <w:lang w:val="en-US" w:eastAsia="de-DE"/>
              </w:rPr>
              <w:t>ge (A), gender (G), disease severity (DS)</w:t>
            </w:r>
          </w:p>
        </w:tc>
        <w:tc>
          <w:tcPr>
            <w:tcW w:w="1025" w:type="dxa"/>
            <w:tcBorders>
              <w:top w:val="nil"/>
              <w:bottom w:val="single" w:sz="4" w:space="0" w:color="auto"/>
            </w:tcBorders>
            <w:shd w:val="clear" w:color="auto" w:fill="auto"/>
            <w:hideMark/>
          </w:tcPr>
          <w:p w14:paraId="764D440B" w14:textId="4B966EBC" w:rsidR="002554B8" w:rsidRPr="007E56D0" w:rsidRDefault="002554B8" w:rsidP="009879CF">
            <w:pPr>
              <w:spacing w:after="0" w:line="240" w:lineRule="auto"/>
              <w:rPr>
                <w:rFonts w:asciiTheme="majorHAnsi" w:eastAsia="Times New Roman" w:hAnsiTheme="majorHAnsi" w:cstheme="majorHAnsi"/>
                <w:b/>
                <w:bCs/>
                <w:color w:val="000000"/>
                <w:sz w:val="16"/>
                <w:szCs w:val="16"/>
                <w:lang w:val="en-US" w:eastAsia="de-DE"/>
              </w:rPr>
            </w:pPr>
            <w:r w:rsidRPr="007E56D0">
              <w:rPr>
                <w:rFonts w:asciiTheme="majorHAnsi" w:eastAsia="Times New Roman" w:hAnsiTheme="majorHAnsi" w:cstheme="majorHAnsi"/>
                <w:b/>
                <w:bCs/>
                <w:color w:val="000000"/>
                <w:sz w:val="16"/>
                <w:szCs w:val="16"/>
                <w:lang w:val="en-US" w:eastAsia="de-DE"/>
              </w:rPr>
              <w:t>Long-term model cycle length (CL),</w:t>
            </w:r>
            <w:r w:rsidR="0096760C" w:rsidRPr="007E56D0">
              <w:rPr>
                <w:rFonts w:asciiTheme="majorHAnsi" w:eastAsia="Times New Roman" w:hAnsiTheme="majorHAnsi" w:cstheme="majorHAnsi"/>
                <w:b/>
                <w:bCs/>
                <w:color w:val="000000"/>
                <w:sz w:val="16"/>
                <w:szCs w:val="16"/>
                <w:lang w:val="en-US" w:eastAsia="de-DE"/>
              </w:rPr>
              <w:t xml:space="preserve"> </w:t>
            </w:r>
            <w:r w:rsidRPr="007E56D0">
              <w:rPr>
                <w:rFonts w:asciiTheme="majorHAnsi" w:eastAsia="Times New Roman" w:hAnsiTheme="majorHAnsi" w:cstheme="majorHAnsi"/>
                <w:b/>
                <w:bCs/>
                <w:color w:val="000000"/>
                <w:sz w:val="16"/>
                <w:szCs w:val="16"/>
                <w:lang w:val="en-US" w:eastAsia="de-DE"/>
              </w:rPr>
              <w:t>time horizon (TH), discount rate (D)</w:t>
            </w:r>
          </w:p>
        </w:tc>
        <w:tc>
          <w:tcPr>
            <w:tcW w:w="2068" w:type="dxa"/>
            <w:tcBorders>
              <w:top w:val="nil"/>
              <w:bottom w:val="single" w:sz="4" w:space="0" w:color="auto"/>
            </w:tcBorders>
          </w:tcPr>
          <w:p w14:paraId="33DDBE58" w14:textId="2C94C5AE" w:rsidR="002554B8" w:rsidRPr="007E56D0" w:rsidRDefault="002554B8" w:rsidP="009879CF">
            <w:pPr>
              <w:spacing w:after="0" w:line="240" w:lineRule="auto"/>
              <w:rPr>
                <w:rFonts w:asciiTheme="majorHAnsi" w:eastAsia="Times New Roman" w:hAnsiTheme="majorHAnsi" w:cstheme="majorHAnsi"/>
                <w:b/>
                <w:bCs/>
                <w:color w:val="000000"/>
                <w:sz w:val="16"/>
                <w:szCs w:val="16"/>
                <w:lang w:val="en-US" w:eastAsia="de-DE"/>
              </w:rPr>
            </w:pPr>
            <w:r w:rsidRPr="007E56D0">
              <w:rPr>
                <w:rFonts w:asciiTheme="majorHAnsi" w:eastAsia="Times New Roman" w:hAnsiTheme="majorHAnsi" w:cstheme="majorHAnsi"/>
                <w:b/>
                <w:bCs/>
                <w:color w:val="000000"/>
                <w:sz w:val="16"/>
                <w:szCs w:val="16"/>
                <w:lang w:val="en-US" w:eastAsia="de-DE"/>
              </w:rPr>
              <w:t>Model description</w:t>
            </w:r>
          </w:p>
        </w:tc>
        <w:tc>
          <w:tcPr>
            <w:tcW w:w="1284" w:type="dxa"/>
            <w:tcBorders>
              <w:top w:val="nil"/>
              <w:bottom w:val="single" w:sz="4" w:space="0" w:color="auto"/>
            </w:tcBorders>
          </w:tcPr>
          <w:p w14:paraId="74C0127C" w14:textId="1F80F631" w:rsidR="002554B8" w:rsidRPr="007E56D0" w:rsidRDefault="002554B8" w:rsidP="009879CF">
            <w:pPr>
              <w:spacing w:after="0" w:line="240" w:lineRule="auto"/>
              <w:rPr>
                <w:rFonts w:asciiTheme="majorHAnsi" w:eastAsia="Times New Roman" w:hAnsiTheme="majorHAnsi" w:cstheme="majorHAnsi"/>
                <w:b/>
                <w:bCs/>
                <w:color w:val="000000"/>
                <w:sz w:val="16"/>
                <w:szCs w:val="16"/>
                <w:lang w:val="en-US" w:eastAsia="de-DE"/>
              </w:rPr>
            </w:pPr>
            <w:r w:rsidRPr="007E56D0">
              <w:rPr>
                <w:rFonts w:asciiTheme="majorHAnsi" w:eastAsia="Times New Roman" w:hAnsiTheme="majorHAnsi" w:cstheme="majorHAnsi"/>
                <w:b/>
                <w:bCs/>
                <w:color w:val="000000"/>
                <w:sz w:val="16"/>
                <w:szCs w:val="16"/>
                <w:lang w:val="en-US" w:eastAsia="de-DE"/>
              </w:rPr>
              <w:t xml:space="preserve">Additional </w:t>
            </w:r>
            <w:r w:rsidR="009143DA" w:rsidRPr="007E56D0">
              <w:rPr>
                <w:rFonts w:asciiTheme="majorHAnsi" w:eastAsia="Times New Roman" w:hAnsiTheme="majorHAnsi" w:cstheme="majorHAnsi"/>
                <w:b/>
                <w:bCs/>
                <w:color w:val="000000"/>
                <w:sz w:val="16"/>
                <w:szCs w:val="16"/>
                <w:lang w:val="en-US" w:eastAsia="de-DE"/>
              </w:rPr>
              <w:t xml:space="preserve">model </w:t>
            </w:r>
            <w:r w:rsidRPr="007E56D0">
              <w:rPr>
                <w:rFonts w:asciiTheme="majorHAnsi" w:eastAsia="Times New Roman" w:hAnsiTheme="majorHAnsi" w:cstheme="majorHAnsi"/>
                <w:b/>
                <w:bCs/>
                <w:color w:val="000000"/>
                <w:sz w:val="16"/>
                <w:szCs w:val="16"/>
                <w:lang w:val="en-US" w:eastAsia="de-DE"/>
              </w:rPr>
              <w:t>information and important assumptions</w:t>
            </w:r>
          </w:p>
        </w:tc>
        <w:tc>
          <w:tcPr>
            <w:tcW w:w="1284" w:type="dxa"/>
            <w:tcBorders>
              <w:top w:val="nil"/>
              <w:bottom w:val="single" w:sz="4" w:space="0" w:color="auto"/>
            </w:tcBorders>
            <w:shd w:val="clear" w:color="auto" w:fill="auto"/>
            <w:hideMark/>
          </w:tcPr>
          <w:p w14:paraId="544820BC" w14:textId="621C6707" w:rsidR="002554B8" w:rsidRPr="007E56D0" w:rsidRDefault="002554B8" w:rsidP="009879CF">
            <w:pPr>
              <w:spacing w:after="0" w:line="240" w:lineRule="auto"/>
              <w:rPr>
                <w:rFonts w:asciiTheme="majorHAnsi" w:eastAsia="Times New Roman" w:hAnsiTheme="majorHAnsi" w:cstheme="majorHAnsi"/>
                <w:b/>
                <w:bCs/>
                <w:color w:val="000000"/>
                <w:sz w:val="16"/>
                <w:szCs w:val="16"/>
                <w:lang w:val="en-US" w:eastAsia="de-DE"/>
              </w:rPr>
            </w:pPr>
            <w:r w:rsidRPr="007E56D0">
              <w:rPr>
                <w:rFonts w:asciiTheme="majorHAnsi" w:eastAsia="Times New Roman" w:hAnsiTheme="majorHAnsi" w:cstheme="majorHAnsi"/>
                <w:b/>
                <w:bCs/>
                <w:color w:val="000000"/>
                <w:sz w:val="16"/>
                <w:szCs w:val="16"/>
                <w:lang w:val="en-US" w:eastAsia="de-DE"/>
              </w:rPr>
              <w:t>Base-case statistical analysis (A), Uncertainty (U)</w:t>
            </w:r>
          </w:p>
        </w:tc>
        <w:tc>
          <w:tcPr>
            <w:tcW w:w="1441" w:type="dxa"/>
            <w:tcBorders>
              <w:top w:val="nil"/>
              <w:bottom w:val="single" w:sz="4" w:space="0" w:color="auto"/>
            </w:tcBorders>
            <w:shd w:val="clear" w:color="auto" w:fill="auto"/>
            <w:hideMark/>
          </w:tcPr>
          <w:p w14:paraId="6E1CB891" w14:textId="63BC03D1" w:rsidR="002554B8" w:rsidRPr="007E56D0" w:rsidRDefault="002554B8" w:rsidP="009879CF">
            <w:pPr>
              <w:spacing w:after="0" w:line="240" w:lineRule="auto"/>
              <w:rPr>
                <w:rFonts w:asciiTheme="majorHAnsi" w:eastAsia="Times New Roman" w:hAnsiTheme="majorHAnsi" w:cstheme="majorHAnsi"/>
                <w:b/>
                <w:bCs/>
                <w:color w:val="000000"/>
                <w:sz w:val="16"/>
                <w:szCs w:val="16"/>
                <w:lang w:val="en-US" w:eastAsia="de-DE"/>
              </w:rPr>
            </w:pPr>
            <w:r w:rsidRPr="007E56D0">
              <w:rPr>
                <w:rFonts w:asciiTheme="majorHAnsi" w:eastAsia="Times New Roman" w:hAnsiTheme="majorHAnsi" w:cstheme="majorHAnsi"/>
                <w:b/>
                <w:bCs/>
                <w:color w:val="000000"/>
                <w:sz w:val="16"/>
                <w:szCs w:val="16"/>
                <w:lang w:val="en-US" w:eastAsia="de-DE"/>
              </w:rPr>
              <w:t>DSA/scenarios</w:t>
            </w:r>
            <w:r w:rsidR="006D1CA3" w:rsidRPr="007E56D0">
              <w:rPr>
                <w:rFonts w:asciiTheme="majorHAnsi" w:eastAsia="Times New Roman" w:hAnsiTheme="majorHAnsi" w:cstheme="majorHAnsi"/>
                <w:b/>
                <w:bCs/>
                <w:color w:val="000000"/>
                <w:sz w:val="16"/>
                <w:szCs w:val="16"/>
                <w:lang w:val="en-US" w:eastAsia="de-DE"/>
              </w:rPr>
              <w:t>/sub</w:t>
            </w:r>
            <w:r w:rsidR="00E85C54">
              <w:rPr>
                <w:rFonts w:asciiTheme="majorHAnsi" w:eastAsia="Times New Roman" w:hAnsiTheme="majorHAnsi" w:cstheme="majorHAnsi"/>
                <w:b/>
                <w:bCs/>
                <w:color w:val="000000"/>
                <w:sz w:val="16"/>
                <w:szCs w:val="16"/>
                <w:lang w:val="en-US" w:eastAsia="de-DE"/>
              </w:rPr>
              <w:t xml:space="preserve"> </w:t>
            </w:r>
            <w:r w:rsidR="006D1CA3" w:rsidRPr="007E56D0">
              <w:rPr>
                <w:rFonts w:asciiTheme="majorHAnsi" w:eastAsia="Times New Roman" w:hAnsiTheme="majorHAnsi" w:cstheme="majorHAnsi"/>
                <w:b/>
                <w:bCs/>
                <w:color w:val="000000"/>
                <w:sz w:val="16"/>
                <w:szCs w:val="16"/>
                <w:lang w:val="en-US" w:eastAsia="de-DE"/>
              </w:rPr>
              <w:t>groups</w:t>
            </w:r>
            <w:r w:rsidRPr="007E56D0">
              <w:rPr>
                <w:rFonts w:asciiTheme="majorHAnsi" w:eastAsia="Times New Roman" w:hAnsiTheme="majorHAnsi" w:cstheme="majorHAnsi"/>
                <w:b/>
                <w:bCs/>
                <w:color w:val="000000"/>
                <w:sz w:val="16"/>
                <w:szCs w:val="16"/>
                <w:lang w:val="en-US" w:eastAsia="de-DE"/>
              </w:rPr>
              <w:t xml:space="preserve">: Included </w:t>
            </w:r>
            <w:r w:rsidR="006F6EA7" w:rsidRPr="007E56D0">
              <w:rPr>
                <w:rFonts w:asciiTheme="majorHAnsi" w:eastAsia="Times New Roman" w:hAnsiTheme="majorHAnsi" w:cstheme="majorHAnsi"/>
                <w:b/>
                <w:bCs/>
                <w:color w:val="000000"/>
                <w:sz w:val="16"/>
                <w:szCs w:val="16"/>
                <w:lang w:val="en-US" w:eastAsia="de-DE"/>
              </w:rPr>
              <w:t>parameters (</w:t>
            </w:r>
            <w:r w:rsidR="00576D8A">
              <w:rPr>
                <w:rFonts w:asciiTheme="majorHAnsi" w:eastAsia="Times New Roman" w:hAnsiTheme="majorHAnsi" w:cstheme="majorHAnsi"/>
                <w:b/>
                <w:bCs/>
                <w:color w:val="000000"/>
                <w:sz w:val="16"/>
                <w:szCs w:val="16"/>
                <w:lang w:val="en-US" w:eastAsia="de-DE"/>
              </w:rPr>
              <w:t>P</w:t>
            </w:r>
            <w:r w:rsidR="006F6EA7" w:rsidRPr="007E56D0">
              <w:rPr>
                <w:rFonts w:asciiTheme="majorHAnsi" w:eastAsia="Times New Roman" w:hAnsiTheme="majorHAnsi" w:cstheme="majorHAnsi"/>
                <w:b/>
                <w:bCs/>
                <w:color w:val="000000"/>
                <w:sz w:val="16"/>
                <w:szCs w:val="16"/>
                <w:lang w:val="en-US" w:eastAsia="de-DE"/>
              </w:rPr>
              <w:t xml:space="preserve">) </w:t>
            </w:r>
            <w:r w:rsidRPr="007E56D0">
              <w:rPr>
                <w:rFonts w:asciiTheme="majorHAnsi" w:eastAsia="Times New Roman" w:hAnsiTheme="majorHAnsi" w:cstheme="majorHAnsi"/>
                <w:b/>
                <w:bCs/>
                <w:color w:val="000000"/>
                <w:sz w:val="16"/>
                <w:szCs w:val="16"/>
                <w:lang w:val="en-US" w:eastAsia="de-DE"/>
              </w:rPr>
              <w:t xml:space="preserve">and </w:t>
            </w:r>
            <w:r w:rsidR="008F0E0E" w:rsidRPr="007E56D0">
              <w:rPr>
                <w:rFonts w:asciiTheme="majorHAnsi" w:eastAsia="Times New Roman" w:hAnsiTheme="majorHAnsi" w:cstheme="majorHAnsi"/>
                <w:b/>
                <w:bCs/>
                <w:color w:val="000000"/>
                <w:sz w:val="16"/>
                <w:szCs w:val="16"/>
                <w:lang w:val="en-US" w:eastAsia="de-DE"/>
              </w:rPr>
              <w:t xml:space="preserve">used </w:t>
            </w:r>
            <w:r w:rsidRPr="007E56D0">
              <w:rPr>
                <w:rFonts w:asciiTheme="majorHAnsi" w:eastAsia="Times New Roman" w:hAnsiTheme="majorHAnsi" w:cstheme="majorHAnsi"/>
                <w:b/>
                <w:bCs/>
                <w:color w:val="000000"/>
                <w:sz w:val="16"/>
                <w:szCs w:val="16"/>
                <w:lang w:val="en-US" w:eastAsia="de-DE"/>
              </w:rPr>
              <w:t>percentage ranges</w:t>
            </w:r>
            <w:r w:rsidR="006F6EA7" w:rsidRPr="007E56D0">
              <w:rPr>
                <w:rFonts w:asciiTheme="majorHAnsi" w:eastAsia="Times New Roman" w:hAnsiTheme="majorHAnsi" w:cstheme="majorHAnsi"/>
                <w:b/>
                <w:bCs/>
                <w:color w:val="000000"/>
                <w:sz w:val="16"/>
                <w:szCs w:val="16"/>
                <w:lang w:val="en-US" w:eastAsia="de-DE"/>
              </w:rPr>
              <w:t xml:space="preserve"> (</w:t>
            </w:r>
            <w:r w:rsidR="00576D8A">
              <w:rPr>
                <w:rFonts w:asciiTheme="majorHAnsi" w:eastAsia="Times New Roman" w:hAnsiTheme="majorHAnsi" w:cstheme="majorHAnsi"/>
                <w:b/>
                <w:bCs/>
                <w:color w:val="000000"/>
                <w:sz w:val="16"/>
                <w:szCs w:val="16"/>
                <w:lang w:val="en-US" w:eastAsia="de-DE"/>
              </w:rPr>
              <w:t>R</w:t>
            </w:r>
            <w:r w:rsidR="006F6EA7" w:rsidRPr="007E56D0">
              <w:rPr>
                <w:rFonts w:asciiTheme="majorHAnsi" w:eastAsia="Times New Roman" w:hAnsiTheme="majorHAnsi" w:cstheme="majorHAnsi"/>
                <w:b/>
                <w:bCs/>
                <w:color w:val="000000"/>
                <w:sz w:val="16"/>
                <w:szCs w:val="16"/>
                <w:lang w:val="en-US" w:eastAsia="de-DE"/>
              </w:rPr>
              <w:t>)</w:t>
            </w:r>
          </w:p>
        </w:tc>
        <w:tc>
          <w:tcPr>
            <w:tcW w:w="964" w:type="dxa"/>
            <w:tcBorders>
              <w:top w:val="nil"/>
              <w:bottom w:val="single" w:sz="4" w:space="0" w:color="auto"/>
            </w:tcBorders>
            <w:shd w:val="clear" w:color="auto" w:fill="auto"/>
            <w:hideMark/>
          </w:tcPr>
          <w:p w14:paraId="5EE17E92" w14:textId="70C40FAD" w:rsidR="002554B8" w:rsidRPr="007E56D0" w:rsidRDefault="002554B8" w:rsidP="009879CF">
            <w:pPr>
              <w:spacing w:after="0" w:line="240" w:lineRule="auto"/>
              <w:rPr>
                <w:rFonts w:asciiTheme="majorHAnsi" w:eastAsia="Times New Roman" w:hAnsiTheme="majorHAnsi" w:cstheme="majorHAnsi"/>
                <w:b/>
                <w:bCs/>
                <w:color w:val="000000"/>
                <w:sz w:val="16"/>
                <w:szCs w:val="16"/>
                <w:lang w:val="en-US" w:eastAsia="de-DE"/>
              </w:rPr>
            </w:pPr>
            <w:r w:rsidRPr="007E56D0">
              <w:rPr>
                <w:rFonts w:asciiTheme="majorHAnsi" w:eastAsia="Times New Roman" w:hAnsiTheme="majorHAnsi" w:cstheme="majorHAnsi"/>
                <w:b/>
                <w:bCs/>
                <w:color w:val="000000"/>
                <w:sz w:val="16"/>
                <w:szCs w:val="16"/>
                <w:lang w:val="en-US" w:eastAsia="de-DE"/>
              </w:rPr>
              <w:t>PSA: Included parameters and assumed distributions</w:t>
            </w:r>
          </w:p>
        </w:tc>
        <w:tc>
          <w:tcPr>
            <w:tcW w:w="815" w:type="dxa"/>
            <w:tcBorders>
              <w:top w:val="nil"/>
              <w:bottom w:val="single" w:sz="4" w:space="0" w:color="auto"/>
            </w:tcBorders>
            <w:shd w:val="clear" w:color="000000" w:fill="FFFFFF"/>
            <w:hideMark/>
          </w:tcPr>
          <w:p w14:paraId="0BC19676" w14:textId="77777777" w:rsidR="002554B8" w:rsidRPr="007E56D0" w:rsidRDefault="002554B8" w:rsidP="009879CF">
            <w:pPr>
              <w:spacing w:after="0" w:line="240" w:lineRule="auto"/>
              <w:rPr>
                <w:rFonts w:asciiTheme="majorHAnsi" w:eastAsia="Times New Roman" w:hAnsiTheme="majorHAnsi" w:cstheme="majorHAnsi"/>
                <w:b/>
                <w:bCs/>
                <w:color w:val="000000"/>
                <w:sz w:val="16"/>
                <w:szCs w:val="16"/>
                <w:lang w:val="en-US" w:eastAsia="de-DE"/>
              </w:rPr>
            </w:pPr>
            <w:r w:rsidRPr="007E56D0">
              <w:rPr>
                <w:rFonts w:asciiTheme="majorHAnsi" w:eastAsia="Times New Roman" w:hAnsiTheme="majorHAnsi" w:cstheme="majorHAnsi"/>
                <w:b/>
                <w:bCs/>
                <w:color w:val="000000"/>
                <w:sz w:val="16"/>
                <w:szCs w:val="16"/>
                <w:lang w:val="en-US" w:eastAsia="de-DE"/>
              </w:rPr>
              <w:t>Validation</w:t>
            </w:r>
          </w:p>
        </w:tc>
      </w:tr>
      <w:bookmarkEnd w:id="0"/>
      <w:tr w:rsidR="00795DAB" w:rsidRPr="004515C5" w14:paraId="07216D5D" w14:textId="77777777" w:rsidTr="004515C5">
        <w:trPr>
          <w:tblCellSpacing w:w="85" w:type="dxa"/>
        </w:trPr>
        <w:tc>
          <w:tcPr>
            <w:tcW w:w="1057" w:type="dxa"/>
            <w:shd w:val="clear" w:color="auto" w:fill="auto"/>
            <w:noWrap/>
            <w:hideMark/>
          </w:tcPr>
          <w:p w14:paraId="21405EBE" w14:textId="5D3963A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Patil et al. (2009), USA, public funding </w:t>
            </w:r>
            <w:r w:rsidR="00215B90">
              <w:rPr>
                <w:rFonts w:asciiTheme="majorHAnsi" w:eastAsia="Times New Roman" w:hAnsiTheme="majorHAnsi" w:cstheme="majorHAnsi"/>
                <w:color w:val="000000"/>
                <w:sz w:val="16"/>
                <w:szCs w:val="16"/>
                <w:lang w:val="en-US" w:eastAsia="de-DE"/>
              </w:rPr>
              <w:t>[1]</w:t>
            </w:r>
            <w:hyperlink w:anchor="_CTVL001bb7998c9fe2e4e4b8bbcbf6e3233f07e" w:tooltip="Patil, C. G., Long, E. F., and Lansberg, M. G. 2009. Cost-effectiveness analysis of mechanical thrombectomy in acute ischemic stroke. J Neurosurg 110,…" w:history="1"/>
          </w:p>
        </w:tc>
        <w:tc>
          <w:tcPr>
            <w:tcW w:w="903" w:type="dxa"/>
          </w:tcPr>
          <w:p w14:paraId="21030063" w14:textId="6CD4DFD3"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MT vs. SMT </w:t>
            </w:r>
            <w:r w:rsidR="006D759C"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t xml:space="preserve">antiplatelets/supportive care, </w:t>
            </w:r>
            <w:r w:rsidR="006D759C" w:rsidRPr="007E56D0">
              <w:rPr>
                <w:rFonts w:asciiTheme="majorHAnsi" w:eastAsia="Times New Roman" w:hAnsiTheme="majorHAnsi" w:cstheme="majorHAnsi"/>
                <w:color w:val="000000"/>
                <w:sz w:val="16"/>
                <w:szCs w:val="16"/>
                <w:lang w:val="en-US" w:eastAsia="de-DE"/>
              </w:rPr>
              <w:t xml:space="preserve">no </w:t>
            </w:r>
            <w:r w:rsidRPr="007E56D0">
              <w:rPr>
                <w:rFonts w:asciiTheme="majorHAnsi" w:eastAsia="Times New Roman" w:hAnsiTheme="majorHAnsi" w:cstheme="majorHAnsi"/>
                <w:color w:val="000000"/>
                <w:sz w:val="16"/>
                <w:szCs w:val="16"/>
                <w:lang w:val="en-US" w:eastAsia="de-DE"/>
              </w:rPr>
              <w:t>thrombolytics</w:t>
            </w:r>
            <w:r w:rsidR="006D759C"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w:t>
            </w:r>
          </w:p>
        </w:tc>
        <w:tc>
          <w:tcPr>
            <w:tcW w:w="989" w:type="dxa"/>
            <w:shd w:val="clear" w:color="auto" w:fill="auto"/>
            <w:hideMark/>
          </w:tcPr>
          <w:p w14:paraId="5BBD2571" w14:textId="27AF4D0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Societal perspective (without indirect costs)</w:t>
            </w:r>
          </w:p>
        </w:tc>
        <w:tc>
          <w:tcPr>
            <w:tcW w:w="808" w:type="dxa"/>
            <w:shd w:val="clear" w:color="auto" w:fill="auto"/>
            <w:hideMark/>
          </w:tcPr>
          <w:p w14:paraId="02524C54" w14:textId="6364A7B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67 years</w:t>
            </w:r>
            <w:r w:rsidRPr="007E56D0">
              <w:rPr>
                <w:rFonts w:asciiTheme="majorHAnsi" w:hAnsiTheme="majorHAnsi" w:cstheme="majorHAnsi"/>
                <w:color w:val="000000"/>
                <w:sz w:val="16"/>
                <w:szCs w:val="16"/>
                <w:lang w:val="en-US"/>
              </w:rPr>
              <w:br/>
              <w:t xml:space="preserve">G: </w:t>
            </w:r>
            <w:r w:rsidR="00646A94" w:rsidRPr="007E56D0">
              <w:rPr>
                <w:rFonts w:asciiTheme="majorHAnsi" w:hAnsiTheme="majorHAnsi" w:cstheme="majorHAnsi"/>
                <w:color w:val="000000"/>
                <w:sz w:val="16"/>
                <w:szCs w:val="16"/>
                <w:lang w:val="en-US"/>
              </w:rPr>
              <w:t>Not reported</w:t>
            </w:r>
            <w:r w:rsidRPr="007E56D0">
              <w:rPr>
                <w:rFonts w:asciiTheme="majorHAnsi" w:hAnsiTheme="majorHAnsi" w:cstheme="majorHAnsi"/>
                <w:color w:val="000000"/>
                <w:sz w:val="16"/>
                <w:szCs w:val="16"/>
                <w:lang w:val="en-US"/>
              </w:rPr>
              <w:br/>
              <w:t>DS: Large vessel</w:t>
            </w:r>
            <w:r w:rsidR="00845535" w:rsidRPr="007E56D0">
              <w:rPr>
                <w:rFonts w:asciiTheme="majorHAnsi" w:hAnsiTheme="majorHAnsi" w:cstheme="majorHAnsi"/>
                <w:color w:val="000000"/>
                <w:sz w:val="16"/>
                <w:szCs w:val="16"/>
                <w:lang w:val="en-US"/>
              </w:rPr>
              <w:t xml:space="preserve"> occlusion</w:t>
            </w:r>
            <w:r w:rsidRPr="007E56D0">
              <w:rPr>
                <w:rFonts w:asciiTheme="majorHAnsi" w:hAnsiTheme="majorHAnsi" w:cstheme="majorHAnsi"/>
                <w:color w:val="000000"/>
                <w:sz w:val="16"/>
                <w:szCs w:val="16"/>
                <w:lang w:val="en-US"/>
              </w:rPr>
              <w:br/>
            </w:r>
          </w:p>
        </w:tc>
        <w:tc>
          <w:tcPr>
            <w:tcW w:w="1025" w:type="dxa"/>
            <w:shd w:val="clear" w:color="auto" w:fill="auto"/>
            <w:hideMark/>
          </w:tcPr>
          <w:p w14:paraId="2A46D1B0" w14:textId="7129D45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20 years</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74261C67" w14:textId="6E4D001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Decision tree between the two treatments, followed by recanalization vs. no recanalization and by sICH vs. no sICH. 90 days after stroke, Markov model with 3 health states: independence (mRS 0-2), disability (mRS 3-5), death (mRS 6). Patients could experience a stroke recurrence and due to this deteriorate in health state.</w:t>
            </w:r>
          </w:p>
        </w:tc>
        <w:tc>
          <w:tcPr>
            <w:tcW w:w="1284" w:type="dxa"/>
          </w:tcPr>
          <w:p w14:paraId="66048C96" w14:textId="51B40B5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only deterioration after recurrence possible</w:t>
            </w:r>
            <w:r w:rsidRPr="007E56D0">
              <w:rPr>
                <w:rFonts w:asciiTheme="majorHAnsi" w:eastAsia="Times New Roman" w:hAnsiTheme="majorHAnsi" w:cstheme="majorHAnsi"/>
                <w:color w:val="000000"/>
                <w:sz w:val="16"/>
                <w:szCs w:val="16"/>
                <w:lang w:val="en-US" w:eastAsia="de-DE"/>
              </w:rPr>
              <w:br/>
              <w:t>- patients assumed to remain in same health state for entire first year</w:t>
            </w:r>
          </w:p>
        </w:tc>
        <w:tc>
          <w:tcPr>
            <w:tcW w:w="1284" w:type="dxa"/>
            <w:shd w:val="clear" w:color="auto" w:fill="auto"/>
            <w:hideMark/>
          </w:tcPr>
          <w:p w14:paraId="21132DA6" w14:textId="7211BA3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w:t>
            </w:r>
          </w:p>
        </w:tc>
        <w:tc>
          <w:tcPr>
            <w:tcW w:w="1441" w:type="dxa"/>
            <w:shd w:val="clear" w:color="auto" w:fill="auto"/>
            <w:hideMark/>
          </w:tcPr>
          <w:p w14:paraId="43685299" w14:textId="67863029"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w:t>
            </w:r>
            <w:r w:rsidR="00A03653" w:rsidRPr="007E56D0">
              <w:rPr>
                <w:rFonts w:asciiTheme="majorHAnsi" w:eastAsia="Times New Roman" w:hAnsiTheme="majorHAnsi" w:cstheme="majorHAnsi"/>
                <w:color w:val="000000"/>
                <w:sz w:val="16"/>
                <w:szCs w:val="16"/>
                <w:lang w:val="en-US" w:eastAsia="de-DE"/>
              </w:rPr>
              <w:t xml:space="preserve"> </w:t>
            </w:r>
            <w:r w:rsidR="00851388" w:rsidRPr="007E56D0">
              <w:rPr>
                <w:rFonts w:asciiTheme="majorHAnsi" w:eastAsia="Times New Roman" w:hAnsiTheme="majorHAnsi" w:cstheme="majorHAnsi"/>
                <w:color w:val="000000"/>
                <w:sz w:val="16"/>
                <w:szCs w:val="16"/>
                <w:lang w:val="en-US" w:eastAsia="de-DE"/>
              </w:rPr>
              <w:t>incl</w:t>
            </w:r>
            <w:r w:rsidR="00A03653" w:rsidRPr="007E56D0">
              <w:rPr>
                <w:rFonts w:asciiTheme="majorHAnsi" w:eastAsia="Times New Roman" w:hAnsiTheme="majorHAnsi" w:cstheme="majorHAnsi"/>
                <w:color w:val="000000"/>
                <w:sz w:val="16"/>
                <w:szCs w:val="16"/>
                <w:lang w:val="en-US" w:eastAsia="de-DE"/>
              </w:rPr>
              <w:t>.</w:t>
            </w:r>
            <w:r w:rsidR="00795DAB" w:rsidRPr="007E56D0">
              <w:rPr>
                <w:rFonts w:asciiTheme="majorHAnsi" w:eastAsia="Times New Roman" w:hAnsiTheme="majorHAnsi" w:cstheme="majorHAnsi"/>
                <w:color w:val="000000"/>
                <w:sz w:val="16"/>
                <w:szCs w:val="16"/>
                <w:lang w:val="en-US" w:eastAsia="de-DE"/>
              </w:rPr>
              <w:t xml:space="preserve"> long-term TPs incl. recurrence), utilities, costs, starting age</w:t>
            </w:r>
            <w:r w:rsidR="00795DAB" w:rsidRPr="007E56D0">
              <w:rPr>
                <w:rFonts w:asciiTheme="majorHAnsi" w:eastAsia="Times New Roman" w:hAnsiTheme="majorHAnsi" w:cstheme="majorHAnsi"/>
                <w:color w:val="000000"/>
                <w:sz w:val="16"/>
                <w:szCs w:val="16"/>
                <w:lang w:val="en-US" w:eastAsia="de-DE"/>
              </w:rPr>
              <w:br/>
            </w:r>
            <w:r w:rsidR="00576D8A">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±25% for all parameters if no literature available</w:t>
            </w:r>
          </w:p>
        </w:tc>
        <w:tc>
          <w:tcPr>
            <w:tcW w:w="964" w:type="dxa"/>
            <w:shd w:val="clear" w:color="auto" w:fill="auto"/>
            <w:hideMark/>
          </w:tcPr>
          <w:p w14:paraId="14359253" w14:textId="1D85213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Not </w:t>
            </w:r>
            <w:r w:rsidR="009D412D" w:rsidRPr="007E56D0">
              <w:rPr>
                <w:rFonts w:asciiTheme="majorHAnsi" w:eastAsia="Times New Roman" w:hAnsiTheme="majorHAnsi" w:cstheme="majorHAnsi"/>
                <w:color w:val="000000"/>
                <w:sz w:val="16"/>
                <w:szCs w:val="16"/>
                <w:lang w:val="en-US" w:eastAsia="de-DE"/>
              </w:rPr>
              <w:t>assessed</w:t>
            </w:r>
          </w:p>
        </w:tc>
        <w:tc>
          <w:tcPr>
            <w:tcW w:w="815" w:type="dxa"/>
            <w:shd w:val="clear" w:color="000000" w:fill="FFFFFF"/>
            <w:hideMark/>
          </w:tcPr>
          <w:p w14:paraId="663B2C5A"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1E2D03" w14:paraId="6B69AF5B" w14:textId="77777777" w:rsidTr="004515C5">
        <w:trPr>
          <w:tblCellSpacing w:w="85" w:type="dxa"/>
        </w:trPr>
        <w:tc>
          <w:tcPr>
            <w:tcW w:w="1057" w:type="dxa"/>
            <w:shd w:val="clear" w:color="auto" w:fill="auto"/>
            <w:noWrap/>
            <w:hideMark/>
          </w:tcPr>
          <w:p w14:paraId="286D3525" w14:textId="4D3B7CC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Kim et al. (2011), USA, none declared </w:t>
            </w:r>
            <w:r w:rsidR="00215B90">
              <w:rPr>
                <w:rFonts w:asciiTheme="majorHAnsi" w:eastAsia="Times New Roman" w:hAnsiTheme="majorHAnsi" w:cstheme="majorHAnsi"/>
                <w:color w:val="000000"/>
                <w:sz w:val="16"/>
                <w:szCs w:val="16"/>
                <w:lang w:val="en-US" w:eastAsia="de-DE"/>
              </w:rPr>
              <w:t>[2]</w:t>
            </w:r>
            <w:hyperlink w:anchor="_CTVL0019ee4155a8bfe48259965971ec5b40674" w:tooltip="Kim, A. S., Nguyen-Huynh, M., and Johnston, S. C. 2011. A cost-utility analysis of mechanical thrombectomy as an adjunct to intravenous tissue-type pl…" w:history="1"/>
          </w:p>
        </w:tc>
        <w:tc>
          <w:tcPr>
            <w:tcW w:w="903" w:type="dxa"/>
          </w:tcPr>
          <w:p w14:paraId="2DD519F5" w14:textId="3D9B9DF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MT </w:t>
            </w:r>
            <w:r w:rsidR="00967B3D" w:rsidRPr="007E56D0">
              <w:rPr>
                <w:rFonts w:asciiTheme="majorHAnsi" w:eastAsia="Times New Roman" w:hAnsiTheme="majorHAnsi" w:cstheme="majorHAnsi"/>
                <w:color w:val="000000"/>
                <w:sz w:val="16"/>
                <w:szCs w:val="16"/>
                <w:lang w:val="en-US" w:eastAsia="de-DE"/>
              </w:rPr>
              <w:t>incl. IV-tPA</w:t>
            </w:r>
            <w:r w:rsidRPr="007E56D0">
              <w:rPr>
                <w:rFonts w:asciiTheme="majorHAnsi" w:eastAsia="Times New Roman" w:hAnsiTheme="majorHAnsi" w:cstheme="majorHAnsi"/>
                <w:color w:val="000000"/>
                <w:sz w:val="16"/>
                <w:szCs w:val="16"/>
                <w:lang w:val="en-US" w:eastAsia="de-DE"/>
              </w:rPr>
              <w:t xml:space="preserve"> (+ potentially IAT or angioplasty) vs.  </w:t>
            </w:r>
            <w:r w:rsidR="00851388" w:rsidRPr="007E56D0">
              <w:rPr>
                <w:rFonts w:asciiTheme="majorHAnsi" w:eastAsia="Times New Roman" w:hAnsiTheme="majorHAnsi" w:cstheme="majorHAnsi"/>
                <w:color w:val="000000"/>
                <w:sz w:val="16"/>
                <w:szCs w:val="16"/>
                <w:lang w:val="en-US" w:eastAsia="de-DE"/>
              </w:rPr>
              <w:t xml:space="preserve"> IV-tPA </w:t>
            </w:r>
            <w:r w:rsidRPr="007E56D0">
              <w:rPr>
                <w:rFonts w:asciiTheme="majorHAnsi" w:eastAsia="Times New Roman" w:hAnsiTheme="majorHAnsi" w:cstheme="majorHAnsi"/>
                <w:color w:val="000000"/>
                <w:sz w:val="16"/>
                <w:szCs w:val="16"/>
                <w:lang w:val="en-US" w:eastAsia="de-DE"/>
              </w:rPr>
              <w:t>alone (IV-tPA administered within 3h after stroke onset)</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w:t>
            </w:r>
          </w:p>
        </w:tc>
        <w:tc>
          <w:tcPr>
            <w:tcW w:w="989" w:type="dxa"/>
            <w:shd w:val="clear" w:color="auto" w:fill="auto"/>
            <w:hideMark/>
          </w:tcPr>
          <w:p w14:paraId="11F208DF"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Societal perspective</w:t>
            </w:r>
          </w:p>
        </w:tc>
        <w:tc>
          <w:tcPr>
            <w:tcW w:w="808" w:type="dxa"/>
            <w:shd w:val="clear" w:color="auto" w:fill="auto"/>
            <w:hideMark/>
          </w:tcPr>
          <w:p w14:paraId="0D4AFDA7" w14:textId="779ED304"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68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DS:</w:t>
            </w:r>
            <w:r w:rsidR="00845535" w:rsidRPr="007E56D0">
              <w:rPr>
                <w:rFonts w:asciiTheme="majorHAnsi" w:hAnsiTheme="majorHAnsi" w:cstheme="majorHAnsi"/>
                <w:color w:val="000000"/>
                <w:sz w:val="16"/>
                <w:szCs w:val="16"/>
                <w:lang w:val="en-US"/>
              </w:rPr>
              <w:t xml:space="preserve"> Large vessel occlusion</w:t>
            </w:r>
          </w:p>
        </w:tc>
        <w:tc>
          <w:tcPr>
            <w:tcW w:w="1025" w:type="dxa"/>
            <w:shd w:val="clear" w:color="auto" w:fill="auto"/>
            <w:hideMark/>
          </w:tcPr>
          <w:p w14:paraId="10F195D9" w14:textId="4B6C13E3"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CL: 1 year </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61B3E0BC" w14:textId="1B09F948" w:rsidR="00824B82"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Decision tree between the two treatments</w:t>
            </w:r>
            <w:r w:rsidRPr="007E56D0">
              <w:rPr>
                <w:rFonts w:asciiTheme="majorHAnsi" w:eastAsia="Times New Roman" w:hAnsiTheme="majorHAnsi" w:cstheme="majorHAnsi"/>
                <w:sz w:val="16"/>
                <w:szCs w:val="16"/>
                <w:lang w:val="en-US" w:eastAsia="de-DE"/>
              </w:rPr>
              <w:t>, followed by</w:t>
            </w:r>
            <w:r w:rsidRPr="007E56D0">
              <w:rPr>
                <w:rFonts w:asciiTheme="majorHAnsi" w:eastAsia="Times New Roman" w:hAnsiTheme="majorHAnsi" w:cstheme="majorHAnsi"/>
                <w:color w:val="000000"/>
                <w:sz w:val="16"/>
                <w:szCs w:val="16"/>
                <w:lang w:val="en-US" w:eastAsia="de-DE"/>
              </w:rPr>
              <w:t xml:space="preserve"> "vessel open on initial angiogram" or "vessel occluded on initial angiogram" for MT. If occluded, patients could either have "successful recanalization" or not and could either get "ICH" or not.  For medical strategy, patients could either have "successful recanalization" or not and could either get "ICH" or not.</w:t>
            </w:r>
            <w:r w:rsidR="00381F3C" w:rsidRPr="007E56D0">
              <w:rPr>
                <w:rFonts w:asciiTheme="majorHAnsi" w:eastAsia="Times New Roman" w:hAnsiTheme="majorHAnsi" w:cstheme="majorHAnsi"/>
                <w:color w:val="000000"/>
                <w:sz w:val="16"/>
                <w:szCs w:val="16"/>
                <w:lang w:val="en-US" w:eastAsia="de-DE"/>
              </w:rPr>
              <w:t xml:space="preserve"> </w:t>
            </w:r>
            <w:r w:rsidRPr="007E56D0">
              <w:rPr>
                <w:rFonts w:asciiTheme="majorHAnsi" w:eastAsia="Times New Roman" w:hAnsiTheme="majorHAnsi" w:cstheme="majorHAnsi"/>
                <w:color w:val="000000"/>
                <w:sz w:val="16"/>
                <w:szCs w:val="16"/>
                <w:lang w:val="en-US" w:eastAsia="de-DE"/>
              </w:rPr>
              <w:t xml:space="preserve">90 days after stroke, Markov model with 3 health states: independence (mRS 0-2), disability (mRS 3-5), death (mRS 6). </w:t>
            </w:r>
          </w:p>
        </w:tc>
        <w:tc>
          <w:tcPr>
            <w:tcW w:w="1284" w:type="dxa"/>
          </w:tcPr>
          <w:p w14:paraId="1FE48C94" w14:textId="03243B1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not clear if keeping health state possible in long-term model</w:t>
            </w:r>
          </w:p>
        </w:tc>
        <w:tc>
          <w:tcPr>
            <w:tcW w:w="1284" w:type="dxa"/>
            <w:shd w:val="clear" w:color="auto" w:fill="auto"/>
            <w:hideMark/>
          </w:tcPr>
          <w:p w14:paraId="04D90EE9" w14:textId="5F42E233"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 PSA</w:t>
            </w:r>
          </w:p>
        </w:tc>
        <w:tc>
          <w:tcPr>
            <w:tcW w:w="1441" w:type="dxa"/>
            <w:shd w:val="clear" w:color="auto" w:fill="auto"/>
            <w:hideMark/>
          </w:tcPr>
          <w:p w14:paraId="0F4FCB72" w14:textId="6DD0E57B"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 long-term TPs), utilities, costs, starting age</w:t>
            </w:r>
            <w:r w:rsidR="00795DAB" w:rsidRPr="007E56D0">
              <w:rPr>
                <w:rFonts w:asciiTheme="majorHAnsi" w:eastAsia="Times New Roman" w:hAnsiTheme="majorHAnsi" w:cstheme="majorHAnsi"/>
                <w:color w:val="000000"/>
                <w:sz w:val="16"/>
                <w:szCs w:val="16"/>
                <w:lang w:val="en-US" w:eastAsia="de-DE"/>
              </w:rPr>
              <w:br/>
            </w:r>
            <w:r w:rsidR="00576D8A">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±20% for some outcomes, ±50%/±20% for some cost categories, -10%/-55% for age </w:t>
            </w:r>
          </w:p>
        </w:tc>
        <w:tc>
          <w:tcPr>
            <w:tcW w:w="964" w:type="dxa"/>
            <w:shd w:val="clear" w:color="auto" w:fill="auto"/>
            <w:hideMark/>
          </w:tcPr>
          <w:p w14:paraId="44C16816" w14:textId="56ABA20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TPs (effectiveness + long-term TPs): beta, </w:t>
            </w:r>
          </w:p>
          <w:p w14:paraId="033C9498" w14:textId="07C8F79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utilities: triangular, costs: triangular</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461D4194"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cross and external validation</w:t>
            </w:r>
          </w:p>
        </w:tc>
      </w:tr>
      <w:tr w:rsidR="00795DAB" w:rsidRPr="004515C5" w14:paraId="184422C5" w14:textId="77777777" w:rsidTr="004515C5">
        <w:trPr>
          <w:tblCellSpacing w:w="85" w:type="dxa"/>
        </w:trPr>
        <w:tc>
          <w:tcPr>
            <w:tcW w:w="1057" w:type="dxa"/>
            <w:shd w:val="clear" w:color="auto" w:fill="auto"/>
            <w:hideMark/>
          </w:tcPr>
          <w:p w14:paraId="50793463" w14:textId="447A046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xml:space="preserve">Nguyen-Huynh &amp; Johnson (2011), USA, manufacturer funding </w:t>
            </w:r>
            <w:r w:rsidR="00215B90">
              <w:rPr>
                <w:rFonts w:asciiTheme="majorHAnsi" w:eastAsia="Times New Roman" w:hAnsiTheme="majorHAnsi" w:cstheme="majorHAnsi"/>
                <w:color w:val="000000"/>
                <w:sz w:val="16"/>
                <w:szCs w:val="16"/>
                <w:lang w:val="en-US" w:eastAsia="de-DE"/>
              </w:rPr>
              <w:t>[3]</w:t>
            </w:r>
            <w:hyperlink w:anchor="_CTVL001d42af0ea1960416a9a53be4dbe3e02e1" w:tooltip="Nguyen-Huynh, M. N. and Johnston, S. C. 2011. Is mechanical clot removal or disruption a cost-effective treatment for acute stroke? AJNR Am J Neurorad…" w:history="1"/>
          </w:p>
        </w:tc>
        <w:tc>
          <w:tcPr>
            <w:tcW w:w="903" w:type="dxa"/>
          </w:tcPr>
          <w:p w14:paraId="49CDB542" w14:textId="68AD012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w:t>
            </w:r>
            <w:r w:rsidR="00791B94" w:rsidRPr="007E56D0">
              <w:rPr>
                <w:rFonts w:asciiTheme="majorHAnsi" w:eastAsia="Times New Roman" w:hAnsiTheme="majorHAnsi" w:cstheme="majorHAnsi"/>
                <w:color w:val="000000"/>
                <w:sz w:val="16"/>
                <w:szCs w:val="16"/>
                <w:lang w:val="en-US" w:eastAsia="de-DE"/>
              </w:rPr>
              <w:t xml:space="preserve"> </w:t>
            </w:r>
            <w:r w:rsidR="001C5EAC" w:rsidRPr="007E56D0">
              <w:rPr>
                <w:rFonts w:asciiTheme="majorHAnsi" w:eastAsia="Times New Roman" w:hAnsiTheme="majorHAnsi" w:cstheme="majorHAnsi"/>
                <w:color w:val="000000"/>
                <w:sz w:val="16"/>
                <w:szCs w:val="16"/>
                <w:lang w:val="en-US" w:eastAsia="de-DE"/>
              </w:rPr>
              <w:t>Mechanical</w:t>
            </w:r>
            <w:r w:rsidRPr="007E56D0">
              <w:rPr>
                <w:rFonts w:asciiTheme="majorHAnsi" w:eastAsia="Times New Roman" w:hAnsiTheme="majorHAnsi" w:cstheme="majorHAnsi"/>
                <w:color w:val="000000"/>
                <w:sz w:val="16"/>
                <w:szCs w:val="16"/>
                <w:lang w:val="en-US" w:eastAsia="de-DE"/>
              </w:rPr>
              <w:t xml:space="preserve"> clot removal</w:t>
            </w:r>
            <w:r w:rsidR="001C5EAC"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t>angioplasty</w:t>
            </w:r>
            <w:r w:rsidR="001C5EAC"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t>clot disruption) vs. BMT (</w:t>
            </w:r>
            <w:r w:rsidR="003446C3" w:rsidRPr="007E56D0">
              <w:rPr>
                <w:rFonts w:asciiTheme="majorHAnsi" w:eastAsia="Times New Roman" w:hAnsiTheme="majorHAnsi" w:cstheme="majorHAnsi"/>
                <w:color w:val="000000"/>
                <w:sz w:val="16"/>
                <w:szCs w:val="16"/>
                <w:lang w:val="en-US" w:eastAsia="de-DE"/>
              </w:rPr>
              <w:t>antiplatelets/supportive care</w:t>
            </w:r>
            <w:r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w:t>
            </w:r>
          </w:p>
        </w:tc>
        <w:tc>
          <w:tcPr>
            <w:tcW w:w="989" w:type="dxa"/>
            <w:shd w:val="clear" w:color="auto" w:fill="auto"/>
            <w:hideMark/>
          </w:tcPr>
          <w:p w14:paraId="0241A1A0" w14:textId="2F5CCCF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Societal perspective</w:t>
            </w:r>
          </w:p>
        </w:tc>
        <w:tc>
          <w:tcPr>
            <w:tcW w:w="808" w:type="dxa"/>
            <w:shd w:val="clear" w:color="auto" w:fill="auto"/>
            <w:hideMark/>
          </w:tcPr>
          <w:p w14:paraId="2AE22894" w14:textId="0EC5B91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65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DS:</w:t>
            </w:r>
            <w:r w:rsidR="006D04DF" w:rsidRPr="007E56D0">
              <w:rPr>
                <w:rFonts w:asciiTheme="majorHAnsi" w:hAnsiTheme="majorHAnsi" w:cstheme="majorHAnsi"/>
                <w:color w:val="000000"/>
                <w:sz w:val="16"/>
                <w:szCs w:val="16"/>
                <w:lang w:val="en-US"/>
              </w:rPr>
              <w:t xml:space="preserve"> Large vessel occlusion </w:t>
            </w:r>
            <w:r w:rsidRPr="007E56D0">
              <w:rPr>
                <w:rFonts w:asciiTheme="majorHAnsi" w:hAnsiTheme="majorHAnsi" w:cstheme="majorHAnsi"/>
                <w:color w:val="000000"/>
                <w:sz w:val="16"/>
                <w:szCs w:val="16"/>
                <w:lang w:val="en-US"/>
              </w:rPr>
              <w:br/>
            </w:r>
          </w:p>
        </w:tc>
        <w:tc>
          <w:tcPr>
            <w:tcW w:w="1025" w:type="dxa"/>
            <w:shd w:val="clear" w:color="auto" w:fill="auto"/>
            <w:hideMark/>
          </w:tcPr>
          <w:p w14:paraId="413B8B1D" w14:textId="207C016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CL: 1 year </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37B3A21F" w14:textId="3931FE2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between</w:t>
            </w:r>
            <w:r w:rsidRPr="007E56D0">
              <w:rPr>
                <w:rFonts w:asciiTheme="majorHAnsi" w:eastAsia="Times New Roman" w:hAnsiTheme="majorHAnsi" w:cstheme="majorHAnsi"/>
                <w:color w:val="000000"/>
                <w:sz w:val="16"/>
                <w:szCs w:val="16"/>
                <w:lang w:val="en-US" w:eastAsia="de-DE"/>
              </w:rPr>
              <w:t xml:space="preserve"> the two treatments</w:t>
            </w:r>
            <w:r w:rsidRPr="007E56D0">
              <w:rPr>
                <w:rFonts w:asciiTheme="majorHAnsi" w:eastAsia="Times New Roman" w:hAnsiTheme="majorHAnsi" w:cstheme="majorHAnsi"/>
                <w:sz w:val="16"/>
                <w:szCs w:val="16"/>
                <w:lang w:val="en-US" w:eastAsia="de-DE"/>
              </w:rPr>
              <w:t>, followed by recanalization vs. no recanalization</w:t>
            </w:r>
            <w:r w:rsidRPr="007E56D0">
              <w:rPr>
                <w:rFonts w:asciiTheme="majorHAnsi" w:eastAsia="Times New Roman" w:hAnsiTheme="majorHAnsi" w:cstheme="majorHAnsi"/>
                <w:color w:val="000000"/>
                <w:sz w:val="16"/>
                <w:szCs w:val="16"/>
                <w:lang w:val="en-US" w:eastAsia="de-DE"/>
              </w:rPr>
              <w:t xml:space="preserve"> and by sICH vs. no sICH. 90 days after stroke, </w:t>
            </w:r>
            <w:r w:rsidRPr="007E56D0">
              <w:rPr>
                <w:rFonts w:asciiTheme="majorHAnsi" w:eastAsia="Times New Roman" w:hAnsiTheme="majorHAnsi" w:cstheme="majorHAnsi"/>
                <w:sz w:val="16"/>
                <w:szCs w:val="16"/>
                <w:lang w:val="en-US" w:eastAsia="de-DE"/>
              </w:rPr>
              <w:t xml:space="preserve">Markov model with 3 health states: mRS 0-2, mRS 3-5 and death. </w:t>
            </w:r>
          </w:p>
        </w:tc>
        <w:tc>
          <w:tcPr>
            <w:tcW w:w="1284" w:type="dxa"/>
          </w:tcPr>
          <w:p w14:paraId="5E492171" w14:textId="1FFB881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 not clear which transitions possible for which health states in long-term model </w:t>
            </w:r>
          </w:p>
        </w:tc>
        <w:tc>
          <w:tcPr>
            <w:tcW w:w="1284" w:type="dxa"/>
            <w:shd w:val="clear" w:color="auto" w:fill="auto"/>
            <w:hideMark/>
          </w:tcPr>
          <w:p w14:paraId="086D9D5B" w14:textId="4952E0A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 PSA</w:t>
            </w:r>
          </w:p>
        </w:tc>
        <w:tc>
          <w:tcPr>
            <w:tcW w:w="1441" w:type="dxa"/>
            <w:shd w:val="clear" w:color="auto" w:fill="auto"/>
            <w:hideMark/>
          </w:tcPr>
          <w:p w14:paraId="089E3165" w14:textId="6CC35C0E" w:rsidR="00795DAB" w:rsidRPr="007E56D0" w:rsidRDefault="001E320F" w:rsidP="009879CF">
            <w:pPr>
              <w:tabs>
                <w:tab w:val="center" w:pos="804"/>
              </w:tabs>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(only effectiveness), costs</w:t>
            </w:r>
            <w:r w:rsidR="00795DAB" w:rsidRPr="007E56D0">
              <w:rPr>
                <w:rFonts w:asciiTheme="majorHAnsi" w:eastAsia="Times New Roman" w:hAnsiTheme="majorHAnsi" w:cstheme="majorHAnsi"/>
                <w:color w:val="000000"/>
                <w:sz w:val="16"/>
                <w:szCs w:val="16"/>
                <w:lang w:val="en-US" w:eastAsia="de-DE"/>
              </w:rPr>
              <w:tab/>
            </w:r>
            <w:r w:rsidR="00795DAB" w:rsidRPr="007E56D0">
              <w:rPr>
                <w:rFonts w:asciiTheme="majorHAnsi" w:eastAsia="Times New Roman" w:hAnsiTheme="majorHAnsi" w:cstheme="majorHAnsi"/>
                <w:color w:val="000000"/>
                <w:sz w:val="16"/>
                <w:szCs w:val="16"/>
                <w:lang w:val="en-US" w:eastAsia="de-DE"/>
              </w:rPr>
              <w:br/>
            </w:r>
            <w:r w:rsidR="00576D8A">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2.5 times base-case value for some costs</w:t>
            </w:r>
          </w:p>
        </w:tc>
        <w:tc>
          <w:tcPr>
            <w:tcW w:w="964" w:type="dxa"/>
            <w:shd w:val="clear" w:color="auto" w:fill="auto"/>
            <w:hideMark/>
          </w:tcPr>
          <w:p w14:paraId="37D9B227" w14:textId="76802A6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All parameters without starting age/discount rate: no distributions provided</w:t>
            </w:r>
          </w:p>
        </w:tc>
        <w:tc>
          <w:tcPr>
            <w:tcW w:w="815" w:type="dxa"/>
            <w:shd w:val="clear" w:color="000000" w:fill="FFFFFF"/>
            <w:hideMark/>
          </w:tcPr>
          <w:p w14:paraId="3594606E"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1E2D03" w14:paraId="45154149" w14:textId="77777777" w:rsidTr="004515C5">
        <w:trPr>
          <w:tblCellSpacing w:w="85" w:type="dxa"/>
        </w:trPr>
        <w:tc>
          <w:tcPr>
            <w:tcW w:w="1057" w:type="dxa"/>
            <w:shd w:val="clear" w:color="auto" w:fill="auto"/>
            <w:noWrap/>
            <w:hideMark/>
          </w:tcPr>
          <w:p w14:paraId="08F6ABFF" w14:textId="3365B5C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Ganesalingam et al. (2015), UK, public funding </w:t>
            </w:r>
            <w:r w:rsidR="00215B90">
              <w:rPr>
                <w:rFonts w:asciiTheme="majorHAnsi" w:eastAsia="Times New Roman" w:hAnsiTheme="majorHAnsi" w:cstheme="majorHAnsi"/>
                <w:color w:val="000000"/>
                <w:sz w:val="16"/>
                <w:szCs w:val="16"/>
                <w:lang w:val="en-US" w:eastAsia="de-DE"/>
              </w:rPr>
              <w:t>[4]</w:t>
            </w:r>
            <w:hyperlink w:anchor="_CTVL0012825775923994c6a930b2ae1197bf97c" w:tooltip="Ganesalingam, J., Pizzo, E., Morris, S., Sunderland, T., Ames, D., and Lobotesis, K. 2015. Cost-Utility Analysis of Mechanical Thrombectomy Using Sten…" w:history="1"/>
          </w:p>
        </w:tc>
        <w:tc>
          <w:tcPr>
            <w:tcW w:w="903" w:type="dxa"/>
          </w:tcPr>
          <w:p w14:paraId="303BF71B" w14:textId="75C17363"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MT </w:t>
            </w:r>
            <w:r w:rsidR="005F1128" w:rsidRPr="007E56D0">
              <w:rPr>
                <w:rFonts w:asciiTheme="majorHAnsi" w:eastAsia="Times New Roman" w:hAnsiTheme="majorHAnsi" w:cstheme="majorHAnsi"/>
                <w:color w:val="000000"/>
                <w:sz w:val="16"/>
                <w:szCs w:val="16"/>
                <w:lang w:val="en-US" w:eastAsia="de-DE"/>
              </w:rPr>
              <w:t>incl. IVT</w:t>
            </w:r>
            <w:r w:rsidRPr="007E56D0">
              <w:rPr>
                <w:rFonts w:asciiTheme="majorHAnsi" w:eastAsia="Times New Roman" w:hAnsiTheme="majorHAnsi" w:cstheme="majorHAnsi"/>
                <w:color w:val="000000"/>
                <w:sz w:val="16"/>
                <w:szCs w:val="16"/>
                <w:lang w:val="en-US" w:eastAsia="de-DE"/>
              </w:rPr>
              <w:t xml:space="preserve"> vs. usual care </w:t>
            </w:r>
            <w:r w:rsidR="005F1128" w:rsidRPr="007E56D0">
              <w:rPr>
                <w:rFonts w:asciiTheme="majorHAnsi" w:eastAsia="Times New Roman" w:hAnsiTheme="majorHAnsi" w:cstheme="majorHAnsi"/>
                <w:color w:val="000000"/>
                <w:sz w:val="16"/>
                <w:szCs w:val="16"/>
                <w:lang w:val="en-US" w:eastAsia="de-DE"/>
              </w:rPr>
              <w:t>incl. IVT</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 + NMB</w:t>
            </w:r>
          </w:p>
        </w:tc>
        <w:tc>
          <w:tcPr>
            <w:tcW w:w="989" w:type="dxa"/>
            <w:shd w:val="clear" w:color="auto" w:fill="auto"/>
            <w:hideMark/>
          </w:tcPr>
          <w:p w14:paraId="2634067D" w14:textId="4FF8E42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hideMark/>
          </w:tcPr>
          <w:p w14:paraId="34E9AD4C" w14:textId="466447EA" w:rsidR="00795DAB" w:rsidRPr="007E56D0" w:rsidRDefault="006D759C"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Not reported</w:t>
            </w:r>
            <w:r w:rsidR="00795DAB"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t>G: Not reported</w:t>
            </w:r>
            <w:r w:rsidR="00795DAB" w:rsidRPr="007E56D0">
              <w:rPr>
                <w:rFonts w:asciiTheme="majorHAnsi" w:hAnsiTheme="majorHAnsi" w:cstheme="majorHAnsi"/>
                <w:color w:val="000000"/>
                <w:sz w:val="16"/>
                <w:szCs w:val="16"/>
                <w:lang w:val="en-US"/>
              </w:rPr>
              <w:br/>
            </w:r>
            <w:r w:rsidR="00C463B8" w:rsidRPr="007E56D0">
              <w:rPr>
                <w:rFonts w:asciiTheme="majorHAnsi" w:hAnsiTheme="majorHAnsi" w:cstheme="majorHAnsi"/>
                <w:color w:val="000000"/>
                <w:sz w:val="16"/>
                <w:szCs w:val="16"/>
                <w:lang w:val="en-US"/>
              </w:rPr>
              <w:t>DS: Not reported</w:t>
            </w:r>
          </w:p>
        </w:tc>
        <w:tc>
          <w:tcPr>
            <w:tcW w:w="1025" w:type="dxa"/>
            <w:shd w:val="clear" w:color="auto" w:fill="auto"/>
            <w:hideMark/>
          </w:tcPr>
          <w:p w14:paraId="03AA05D1" w14:textId="0D79A1B4"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3 months</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20 years</w:t>
            </w:r>
            <w:r w:rsidRPr="007E56D0">
              <w:rPr>
                <w:rFonts w:asciiTheme="majorHAnsi" w:eastAsia="Times New Roman" w:hAnsiTheme="majorHAnsi" w:cstheme="majorHAnsi"/>
                <w:color w:val="000000"/>
                <w:sz w:val="16"/>
                <w:szCs w:val="16"/>
                <w:lang w:val="en-US" w:eastAsia="de-DE"/>
              </w:rPr>
              <w:br/>
              <w:t>D: 3.5% for costs and utilities</w:t>
            </w:r>
          </w:p>
        </w:tc>
        <w:tc>
          <w:tcPr>
            <w:tcW w:w="2068" w:type="dxa"/>
          </w:tcPr>
          <w:p w14:paraId="418290C6" w14:textId="244FBA6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 xml:space="preserve">Decision tree with the 2 treatments followed by a Markov model with 3 health states (mRS 0-2, mRS 3-5 and death) at 90 days after stroke. </w:t>
            </w:r>
            <w:r w:rsidRPr="007E56D0">
              <w:rPr>
                <w:rFonts w:asciiTheme="majorHAnsi" w:eastAsia="Times New Roman" w:hAnsiTheme="majorHAnsi" w:cstheme="majorHAnsi"/>
                <w:color w:val="000000"/>
                <w:sz w:val="16"/>
                <w:szCs w:val="16"/>
                <w:lang w:val="en-US" w:eastAsia="de-DE"/>
              </w:rPr>
              <w:t>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097D73B2" w14:textId="20FF092A" w:rsidR="00560756"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r w:rsidRPr="007E56D0">
              <w:rPr>
                <w:rFonts w:asciiTheme="majorHAnsi" w:eastAsia="Times New Roman" w:hAnsiTheme="majorHAnsi" w:cstheme="majorHAnsi"/>
                <w:color w:val="000000"/>
                <w:sz w:val="16"/>
                <w:szCs w:val="16"/>
                <w:lang w:val="en-US" w:eastAsia="de-DE"/>
              </w:rPr>
              <w:br/>
              <w:t>- intermediate recovery phase up to 1 year assumed, where mRS improvement possible</w:t>
            </w:r>
          </w:p>
        </w:tc>
        <w:tc>
          <w:tcPr>
            <w:tcW w:w="1284" w:type="dxa"/>
            <w:shd w:val="clear" w:color="auto" w:fill="auto"/>
            <w:hideMark/>
          </w:tcPr>
          <w:p w14:paraId="52A4F6D5" w14:textId="7927264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 PSA</w:t>
            </w:r>
          </w:p>
        </w:tc>
        <w:tc>
          <w:tcPr>
            <w:tcW w:w="1441" w:type="dxa"/>
            <w:shd w:val="clear" w:color="auto" w:fill="auto"/>
            <w:hideMark/>
          </w:tcPr>
          <w:p w14:paraId="56CB2C3D" w14:textId="1DAF7363"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(not clear which TPs), utilities, costs</w:t>
            </w:r>
          </w:p>
          <w:p w14:paraId="4B6D0730" w14:textId="6EEA4F8A" w:rsidR="00795DAB" w:rsidRPr="007E56D0" w:rsidRDefault="00576D8A"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30B98CE9" w14:textId="5DEA4F0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Dirichlet, utilities: beta, 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595FA3A1"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cross and external validation</w:t>
            </w:r>
          </w:p>
        </w:tc>
      </w:tr>
      <w:tr w:rsidR="00795DAB" w:rsidRPr="004515C5" w14:paraId="2AB3BB1A" w14:textId="77777777" w:rsidTr="004515C5">
        <w:trPr>
          <w:tblCellSpacing w:w="85" w:type="dxa"/>
        </w:trPr>
        <w:tc>
          <w:tcPr>
            <w:tcW w:w="1057" w:type="dxa"/>
            <w:shd w:val="clear" w:color="auto" w:fill="auto"/>
            <w:hideMark/>
          </w:tcPr>
          <w:p w14:paraId="5B7679A4" w14:textId="35557ABB" w:rsidR="00795DAB" w:rsidRPr="001E2D03" w:rsidRDefault="00795DAB" w:rsidP="009879CF">
            <w:pPr>
              <w:spacing w:after="0" w:line="240" w:lineRule="auto"/>
              <w:rPr>
                <w:rFonts w:asciiTheme="majorHAnsi" w:eastAsia="Times New Roman" w:hAnsiTheme="majorHAnsi" w:cstheme="majorHAnsi"/>
                <w:color w:val="000000"/>
                <w:sz w:val="16"/>
                <w:szCs w:val="16"/>
                <w:lang w:eastAsia="de-DE"/>
              </w:rPr>
            </w:pPr>
            <w:r w:rsidRPr="001E2D03">
              <w:rPr>
                <w:rFonts w:asciiTheme="majorHAnsi" w:eastAsia="Times New Roman" w:hAnsiTheme="majorHAnsi" w:cstheme="majorHAnsi"/>
                <w:color w:val="000000"/>
                <w:sz w:val="16"/>
                <w:szCs w:val="16"/>
                <w:lang w:eastAsia="de-DE"/>
              </w:rPr>
              <w:t xml:space="preserve">Leppert et al. (2015), USA, public funding </w:t>
            </w:r>
            <w:r w:rsidR="00215B90" w:rsidRPr="001E2D03">
              <w:rPr>
                <w:rFonts w:asciiTheme="majorHAnsi" w:eastAsia="Times New Roman" w:hAnsiTheme="majorHAnsi" w:cstheme="majorHAnsi"/>
                <w:color w:val="000000"/>
                <w:sz w:val="16"/>
                <w:szCs w:val="16"/>
                <w:lang w:eastAsia="de-DE"/>
              </w:rPr>
              <w:t>[5]</w:t>
            </w:r>
            <w:hyperlink w:anchor="_CTVL0012e0850e723184c289515006b2dafdb50" w:tooltip="Leppert, M. H., Campbell, J. D., Simpson, J. R., and Burke, J. F. 2015. Cost-Effectiveness of Intra-Arterial Treatment as an Adjunct to Intravenous Ti…" w:history="1"/>
          </w:p>
        </w:tc>
        <w:tc>
          <w:tcPr>
            <w:tcW w:w="903" w:type="dxa"/>
          </w:tcPr>
          <w:p w14:paraId="5D94AA8C" w14:textId="19748F6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IAT (thrombolytic agent, MT or both) + SC (IV-tPA within 4.5h) vs. SC alone</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w:t>
            </w:r>
          </w:p>
        </w:tc>
        <w:tc>
          <w:tcPr>
            <w:tcW w:w="989" w:type="dxa"/>
            <w:shd w:val="clear" w:color="auto" w:fill="auto"/>
            <w:hideMark/>
          </w:tcPr>
          <w:p w14:paraId="14DB8D6F" w14:textId="4963764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Societal perspective (without indirect costs)</w:t>
            </w:r>
          </w:p>
        </w:tc>
        <w:tc>
          <w:tcPr>
            <w:tcW w:w="808" w:type="dxa"/>
            <w:shd w:val="clear" w:color="auto" w:fill="auto"/>
            <w:hideMark/>
          </w:tcPr>
          <w:p w14:paraId="36552C0A" w14:textId="4F2187CA" w:rsidR="00795DAB" w:rsidRPr="007E56D0" w:rsidRDefault="00795DAB"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65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r>
            <w:r w:rsidR="006D04DF" w:rsidRPr="007E56D0">
              <w:rPr>
                <w:rFonts w:asciiTheme="majorHAnsi" w:hAnsiTheme="majorHAnsi" w:cstheme="majorHAnsi"/>
                <w:color w:val="000000"/>
                <w:sz w:val="16"/>
                <w:szCs w:val="16"/>
                <w:lang w:val="en-US"/>
              </w:rPr>
              <w:t>DS: Large vessel occlusion</w:t>
            </w:r>
          </w:p>
          <w:p w14:paraId="7A64DAB6" w14:textId="6AAE2883"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p>
        </w:tc>
        <w:tc>
          <w:tcPr>
            <w:tcW w:w="1025" w:type="dxa"/>
            <w:shd w:val="clear" w:color="auto" w:fill="auto"/>
            <w:hideMark/>
          </w:tcPr>
          <w:p w14:paraId="0A27643E" w14:textId="5C56717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30 years</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0C590D47" w14:textId="2DFA524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 xml:space="preserve">Decision tree followed by a Markov model with 7 health states (mRS 0-5 and death) at </w:t>
            </w:r>
            <w:r w:rsidRPr="007E56D0">
              <w:rPr>
                <w:rFonts w:asciiTheme="majorHAnsi" w:eastAsia="Times New Roman" w:hAnsiTheme="majorHAnsi" w:cstheme="majorHAnsi"/>
                <w:color w:val="000000"/>
                <w:sz w:val="16"/>
                <w:szCs w:val="16"/>
                <w:lang w:val="en-US" w:eastAsia="de-DE"/>
              </w:rPr>
              <w:t>90 days after stroke</w:t>
            </w:r>
            <w:r w:rsidRPr="007E56D0">
              <w:rPr>
                <w:rFonts w:asciiTheme="majorHAnsi" w:eastAsia="Times New Roman" w:hAnsiTheme="majorHAnsi" w:cstheme="majorHAnsi"/>
                <w:sz w:val="16"/>
                <w:szCs w:val="16"/>
                <w:lang w:val="en-US" w:eastAsia="de-DE"/>
              </w:rPr>
              <w:t>.</w:t>
            </w:r>
            <w:r w:rsidR="00F1568D"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00F1568D" w:rsidRPr="007E56D0">
              <w:rPr>
                <w:rFonts w:asciiTheme="majorHAnsi" w:eastAsia="Times New Roman" w:hAnsiTheme="majorHAnsi" w:cstheme="majorHAnsi"/>
                <w:sz w:val="16"/>
                <w:szCs w:val="16"/>
                <w:lang w:val="en-US" w:eastAsia="de-DE"/>
              </w:rPr>
              <w:t xml:space="preserve">.  </w:t>
            </w:r>
          </w:p>
        </w:tc>
        <w:tc>
          <w:tcPr>
            <w:tcW w:w="1284" w:type="dxa"/>
          </w:tcPr>
          <w:p w14:paraId="2EDB43B1" w14:textId="28666EB4"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only deterioration after recurrence possible</w:t>
            </w:r>
          </w:p>
        </w:tc>
        <w:tc>
          <w:tcPr>
            <w:tcW w:w="1284" w:type="dxa"/>
            <w:shd w:val="clear" w:color="auto" w:fill="auto"/>
            <w:hideMark/>
          </w:tcPr>
          <w:p w14:paraId="5CEB18C0" w14:textId="7573087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 PSA</w:t>
            </w:r>
          </w:p>
        </w:tc>
        <w:tc>
          <w:tcPr>
            <w:tcW w:w="1441" w:type="dxa"/>
            <w:shd w:val="clear" w:color="auto" w:fill="auto"/>
            <w:hideMark/>
          </w:tcPr>
          <w:p w14:paraId="15915D5D" w14:textId="012E131F"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long-term TPs incl. recurrence), utilities, costs</w:t>
            </w:r>
            <w:r w:rsidR="00795DAB" w:rsidRPr="007E56D0">
              <w:rPr>
                <w:rFonts w:asciiTheme="majorHAnsi" w:eastAsia="Times New Roman" w:hAnsiTheme="majorHAnsi" w:cstheme="majorHAnsi"/>
                <w:color w:val="000000"/>
                <w:sz w:val="16"/>
                <w:szCs w:val="16"/>
                <w:lang w:val="en-US" w:eastAsia="de-DE"/>
              </w:rPr>
              <w:br/>
            </w:r>
            <w:r w:rsidR="00576D8A">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±50% for some costs</w:t>
            </w:r>
          </w:p>
        </w:tc>
        <w:tc>
          <w:tcPr>
            <w:tcW w:w="964" w:type="dxa"/>
            <w:shd w:val="clear" w:color="auto" w:fill="auto"/>
            <w:hideMark/>
          </w:tcPr>
          <w:p w14:paraId="3F2C4D96"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TPs (effectiveness: Dirichlet, recurrence:  beta, mortality: lognormal); </w:t>
            </w:r>
          </w:p>
          <w:p w14:paraId="04B781C5" w14:textId="76FAE6D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utilities: beta,</w:t>
            </w:r>
            <w:r w:rsidRPr="007E56D0">
              <w:rPr>
                <w:rFonts w:asciiTheme="majorHAnsi" w:eastAsia="Times New Roman" w:hAnsiTheme="majorHAnsi" w:cstheme="majorHAnsi"/>
                <w:color w:val="000000"/>
                <w:sz w:val="16"/>
                <w:szCs w:val="16"/>
                <w:lang w:val="en-US" w:eastAsia="de-DE"/>
              </w:rPr>
              <w:br/>
              <w:t>costs: normal</w:t>
            </w:r>
          </w:p>
        </w:tc>
        <w:tc>
          <w:tcPr>
            <w:tcW w:w="815" w:type="dxa"/>
            <w:shd w:val="clear" w:color="000000" w:fill="FFFFFF"/>
            <w:hideMark/>
          </w:tcPr>
          <w:p w14:paraId="0EFA12E6"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4515C5" w14:paraId="7048308A" w14:textId="77777777" w:rsidTr="004515C5">
        <w:trPr>
          <w:tblCellSpacing w:w="85" w:type="dxa"/>
        </w:trPr>
        <w:tc>
          <w:tcPr>
            <w:tcW w:w="1057" w:type="dxa"/>
            <w:shd w:val="clear" w:color="auto" w:fill="auto"/>
            <w:hideMark/>
          </w:tcPr>
          <w:p w14:paraId="4C1D9B1A" w14:textId="4160669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Aronsson et al. (2016), Sweden, public funding </w:t>
            </w:r>
            <w:r w:rsidR="00215B90">
              <w:rPr>
                <w:rFonts w:asciiTheme="majorHAnsi" w:eastAsia="Times New Roman" w:hAnsiTheme="majorHAnsi" w:cstheme="majorHAnsi"/>
                <w:color w:val="000000"/>
                <w:sz w:val="16"/>
                <w:szCs w:val="16"/>
                <w:lang w:val="en-US" w:eastAsia="de-DE"/>
              </w:rPr>
              <w:t>[6]</w:t>
            </w:r>
            <w:hyperlink w:anchor="_CTVL00152d9872d632d4abe81247185ede1c57c" w:tooltip="Aronsson, M., Persson, J., Blomstrand, C., Wester, P., and Levin, L. Å. 2016. Cost-effectiveness of endovascular thrombectomy in patients with acute i…" w:history="1"/>
          </w:p>
        </w:tc>
        <w:tc>
          <w:tcPr>
            <w:tcW w:w="903" w:type="dxa"/>
          </w:tcPr>
          <w:p w14:paraId="0F6F8852" w14:textId="27AD642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EVT </w:t>
            </w:r>
            <w:r w:rsidR="00F13ADC" w:rsidRPr="007E56D0">
              <w:rPr>
                <w:rFonts w:asciiTheme="majorHAnsi" w:eastAsia="Times New Roman" w:hAnsiTheme="majorHAnsi" w:cstheme="majorHAnsi"/>
                <w:color w:val="000000"/>
                <w:sz w:val="16"/>
                <w:szCs w:val="16"/>
                <w:lang w:val="en-US" w:eastAsia="de-DE"/>
              </w:rPr>
              <w:t>(</w:t>
            </w:r>
            <w:r w:rsidR="005F1128" w:rsidRPr="007E56D0">
              <w:rPr>
                <w:rFonts w:asciiTheme="majorHAnsi" w:eastAsia="Times New Roman" w:hAnsiTheme="majorHAnsi" w:cstheme="majorHAnsi"/>
                <w:color w:val="000000"/>
                <w:sz w:val="16"/>
                <w:szCs w:val="16"/>
                <w:lang w:val="en-US" w:eastAsia="de-DE"/>
              </w:rPr>
              <w:t>incl. IVT</w:t>
            </w:r>
            <w:r w:rsidR="00F13ADC"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t xml:space="preserve"> vs. SC (</w:t>
            </w:r>
            <w:r w:rsidR="005F1128" w:rsidRPr="007E56D0">
              <w:rPr>
                <w:rFonts w:asciiTheme="majorHAnsi" w:eastAsia="Times New Roman" w:hAnsiTheme="majorHAnsi" w:cstheme="majorHAnsi"/>
                <w:color w:val="000000"/>
                <w:sz w:val="16"/>
                <w:szCs w:val="16"/>
                <w:lang w:val="en-US" w:eastAsia="de-DE"/>
              </w:rPr>
              <w:t>incl. IVT</w:t>
            </w:r>
            <w:r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br/>
              <w:t xml:space="preserve">O: ICUR ($US/QALY) </w:t>
            </w:r>
          </w:p>
        </w:tc>
        <w:tc>
          <w:tcPr>
            <w:tcW w:w="989" w:type="dxa"/>
            <w:shd w:val="clear" w:color="auto" w:fill="auto"/>
            <w:hideMark/>
          </w:tcPr>
          <w:p w14:paraId="31DB652F" w14:textId="66799D1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perspective</w:t>
            </w:r>
          </w:p>
        </w:tc>
        <w:tc>
          <w:tcPr>
            <w:tcW w:w="808" w:type="dxa"/>
            <w:shd w:val="clear" w:color="auto" w:fill="auto"/>
            <w:hideMark/>
          </w:tcPr>
          <w:p w14:paraId="48C5771E" w14:textId="2B00B3C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67.2 years</w:t>
            </w:r>
            <w:r w:rsidRPr="007E56D0">
              <w:rPr>
                <w:rFonts w:asciiTheme="majorHAnsi" w:hAnsiTheme="majorHAnsi" w:cstheme="majorHAnsi"/>
                <w:color w:val="000000"/>
                <w:sz w:val="16"/>
                <w:szCs w:val="16"/>
                <w:lang w:val="en-US"/>
              </w:rPr>
              <w:br/>
              <w:t>G: 53.2% male</w:t>
            </w:r>
            <w:r w:rsidRPr="007E56D0">
              <w:rPr>
                <w:rFonts w:asciiTheme="majorHAnsi" w:hAnsiTheme="majorHAnsi" w:cstheme="majorHAnsi"/>
                <w:color w:val="000000"/>
                <w:sz w:val="16"/>
                <w:szCs w:val="16"/>
                <w:lang w:val="en-US"/>
              </w:rPr>
              <w:br/>
              <w:t xml:space="preserve">DS: </w:t>
            </w:r>
            <w:r w:rsidR="00662D04" w:rsidRPr="007E56D0">
              <w:rPr>
                <w:rFonts w:asciiTheme="majorHAnsi" w:hAnsiTheme="majorHAnsi" w:cstheme="majorHAnsi"/>
                <w:color w:val="000000"/>
                <w:sz w:val="16"/>
                <w:szCs w:val="16"/>
                <w:lang w:val="en-US"/>
              </w:rPr>
              <w:lastRenderedPageBreak/>
              <w:t>Proximal artery occlusion</w:t>
            </w:r>
          </w:p>
        </w:tc>
        <w:tc>
          <w:tcPr>
            <w:tcW w:w="1025" w:type="dxa"/>
            <w:shd w:val="clear" w:color="auto" w:fill="auto"/>
            <w:hideMark/>
          </w:tcPr>
          <w:p w14:paraId="5A7798D5" w14:textId="4AB64C5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xml:space="preserve">CL: 1 year </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0B706AB8" w14:textId="5CB3F12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 xml:space="preserve">Decision tree with the 2 treatments followed by a Markov model with 7 health states (mRS 0-5 and death) at 90 days after stroke. </w:t>
            </w:r>
            <w:r w:rsidRPr="007E56D0">
              <w:rPr>
                <w:rFonts w:asciiTheme="majorHAnsi" w:eastAsia="Times New Roman" w:hAnsiTheme="majorHAnsi" w:cstheme="majorHAnsi"/>
                <w:color w:val="000000"/>
                <w:sz w:val="16"/>
                <w:szCs w:val="16"/>
                <w:lang w:val="en-US" w:eastAsia="de-DE"/>
              </w:rPr>
              <w:t xml:space="preserve">Patients </w:t>
            </w:r>
            <w:r w:rsidRPr="007E56D0">
              <w:rPr>
                <w:rFonts w:asciiTheme="majorHAnsi" w:eastAsia="Times New Roman" w:hAnsiTheme="majorHAnsi" w:cstheme="majorHAnsi"/>
                <w:color w:val="000000"/>
                <w:sz w:val="16"/>
                <w:szCs w:val="16"/>
                <w:lang w:val="en-US" w:eastAsia="de-DE"/>
              </w:rPr>
              <w:lastRenderedPageBreak/>
              <w:t>could experience a stroke recurrence and due to this deteriorate in health state</w:t>
            </w:r>
            <w:r w:rsidRPr="007E56D0">
              <w:rPr>
                <w:rFonts w:asciiTheme="majorHAnsi" w:eastAsia="Times New Roman" w:hAnsiTheme="majorHAnsi" w:cstheme="majorHAnsi"/>
                <w:sz w:val="16"/>
                <w:szCs w:val="16"/>
                <w:lang w:val="en-US" w:eastAsia="de-DE"/>
              </w:rPr>
              <w:t xml:space="preserve">. </w:t>
            </w:r>
          </w:p>
        </w:tc>
        <w:tc>
          <w:tcPr>
            <w:tcW w:w="1284" w:type="dxa"/>
          </w:tcPr>
          <w:p w14:paraId="75F16C42" w14:textId="7CB1C19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recurrences modeled</w:t>
            </w:r>
            <w:r w:rsidRPr="007E56D0">
              <w:rPr>
                <w:rFonts w:asciiTheme="majorHAnsi" w:eastAsia="Times New Roman" w:hAnsiTheme="majorHAnsi" w:cstheme="majorHAnsi"/>
                <w:color w:val="000000"/>
                <w:sz w:val="16"/>
                <w:szCs w:val="16"/>
                <w:lang w:val="en-US" w:eastAsia="de-DE"/>
              </w:rPr>
              <w:br/>
              <w:t xml:space="preserve">- keeping current health state after recurrence </w:t>
            </w:r>
            <w:r w:rsidRPr="007E56D0">
              <w:rPr>
                <w:rFonts w:asciiTheme="majorHAnsi" w:eastAsia="Times New Roman" w:hAnsiTheme="majorHAnsi" w:cstheme="majorHAnsi"/>
                <w:color w:val="000000"/>
                <w:sz w:val="16"/>
                <w:szCs w:val="16"/>
                <w:lang w:val="en-US" w:eastAsia="de-DE"/>
              </w:rPr>
              <w:lastRenderedPageBreak/>
              <w:t>possible</w:t>
            </w:r>
            <w:r w:rsidRPr="007E56D0">
              <w:rPr>
                <w:rFonts w:asciiTheme="majorHAnsi" w:eastAsia="Times New Roman" w:hAnsiTheme="majorHAnsi" w:cstheme="majorHAnsi"/>
                <w:color w:val="000000"/>
                <w:sz w:val="16"/>
                <w:szCs w:val="16"/>
                <w:lang w:val="en-US" w:eastAsia="de-DE"/>
              </w:rPr>
              <w:br/>
              <w:t>- tunnel states applied</w:t>
            </w:r>
          </w:p>
        </w:tc>
        <w:tc>
          <w:tcPr>
            <w:tcW w:w="1284" w:type="dxa"/>
            <w:shd w:val="clear" w:color="auto" w:fill="auto"/>
            <w:hideMark/>
          </w:tcPr>
          <w:p w14:paraId="06FB1415" w14:textId="072594D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A: Deterministic cohort simulation</w:t>
            </w:r>
            <w:r w:rsidRPr="007E56D0">
              <w:rPr>
                <w:rFonts w:asciiTheme="majorHAnsi" w:eastAsia="Times New Roman" w:hAnsiTheme="majorHAnsi" w:cstheme="majorHAnsi"/>
                <w:color w:val="000000"/>
                <w:sz w:val="16"/>
                <w:szCs w:val="16"/>
                <w:lang w:val="en-US" w:eastAsia="de-DE"/>
              </w:rPr>
              <w:br/>
              <w:t>U: One-way</w:t>
            </w:r>
            <w:r w:rsidR="00F93592" w:rsidRPr="007E56D0">
              <w:rPr>
                <w:rFonts w:asciiTheme="majorHAnsi" w:eastAsia="Times New Roman" w:hAnsiTheme="majorHAnsi" w:cstheme="majorHAnsi"/>
                <w:color w:val="000000"/>
                <w:sz w:val="16"/>
                <w:szCs w:val="16"/>
                <w:lang w:val="en-US" w:eastAsia="de-DE"/>
              </w:rPr>
              <w:t xml:space="preserve"> DSA</w:t>
            </w:r>
            <w:r w:rsidRPr="007E56D0">
              <w:rPr>
                <w:rFonts w:asciiTheme="majorHAnsi" w:eastAsia="Times New Roman" w:hAnsiTheme="majorHAnsi" w:cstheme="majorHAnsi"/>
                <w:color w:val="000000"/>
                <w:sz w:val="16"/>
                <w:szCs w:val="16"/>
                <w:lang w:val="en-US" w:eastAsia="de-DE"/>
              </w:rPr>
              <w:t>, PSA</w:t>
            </w:r>
          </w:p>
        </w:tc>
        <w:tc>
          <w:tcPr>
            <w:tcW w:w="1441" w:type="dxa"/>
            <w:shd w:val="clear" w:color="auto" w:fill="auto"/>
            <w:hideMark/>
          </w:tcPr>
          <w:p w14:paraId="125C3EE9" w14:textId="5FA02D74"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 long-term TPs without recurrence), </w:t>
            </w:r>
            <w:r w:rsidR="00795DAB" w:rsidRPr="007E56D0">
              <w:rPr>
                <w:rFonts w:asciiTheme="majorHAnsi" w:eastAsia="Times New Roman" w:hAnsiTheme="majorHAnsi" w:cstheme="majorHAnsi"/>
                <w:color w:val="000000"/>
                <w:sz w:val="16"/>
                <w:szCs w:val="16"/>
                <w:lang w:val="en-US" w:eastAsia="de-DE"/>
              </w:rPr>
              <w:lastRenderedPageBreak/>
              <w:t>utilities, costs, starting age, time horizon, discount rate</w:t>
            </w:r>
          </w:p>
          <w:p w14:paraId="112E4C9E" w14:textId="1EFCA6E4" w:rsidR="00795DAB" w:rsidRPr="007E56D0" w:rsidRDefault="00576D8A"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383E1035" w14:textId="7BB5038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xml:space="preserve">TPs (recurrence): beta, utilities: exponential, </w:t>
            </w:r>
            <w:r w:rsidRPr="007E56D0">
              <w:rPr>
                <w:rFonts w:asciiTheme="majorHAnsi" w:eastAsia="Times New Roman" w:hAnsiTheme="majorHAnsi" w:cstheme="majorHAnsi"/>
                <w:color w:val="000000"/>
                <w:sz w:val="16"/>
                <w:szCs w:val="16"/>
                <w:lang w:val="en-US" w:eastAsia="de-DE"/>
              </w:rPr>
              <w:lastRenderedPageBreak/>
              <w:t>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40008DAE"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Face and external validation</w:t>
            </w:r>
          </w:p>
        </w:tc>
      </w:tr>
      <w:tr w:rsidR="00795DAB" w:rsidRPr="004515C5" w14:paraId="3A5B25E9" w14:textId="77777777" w:rsidTr="004515C5">
        <w:trPr>
          <w:tblCellSpacing w:w="85" w:type="dxa"/>
        </w:trPr>
        <w:tc>
          <w:tcPr>
            <w:tcW w:w="1057" w:type="dxa"/>
            <w:shd w:val="clear" w:color="auto" w:fill="auto"/>
            <w:hideMark/>
          </w:tcPr>
          <w:p w14:paraId="1C7B004B" w14:textId="02C88BC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Health Quality Ontario (2016), Canada, public funding </w:t>
            </w:r>
            <w:r w:rsidR="00215B90">
              <w:rPr>
                <w:rFonts w:asciiTheme="majorHAnsi" w:eastAsia="Times New Roman" w:hAnsiTheme="majorHAnsi" w:cstheme="majorHAnsi"/>
                <w:color w:val="000000"/>
                <w:sz w:val="16"/>
                <w:szCs w:val="16"/>
                <w:lang w:val="en-US" w:eastAsia="de-DE"/>
              </w:rPr>
              <w:t>[7]</w:t>
            </w:r>
            <w:hyperlink w:anchor="_CTVL001b6581c6513a0448f8d07b6abcbf78818" w:tooltip="Health Quality Ontario. 2016. Mechanical Thrombectomy in Patients With Acute Ischemic Stroke: A Health Technology Assessment. Ontario health technolog…" w:history="1"/>
          </w:p>
        </w:tc>
        <w:tc>
          <w:tcPr>
            <w:tcW w:w="903" w:type="dxa"/>
          </w:tcPr>
          <w:p w14:paraId="171FEE77" w14:textId="41E876A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w:t>
            </w:r>
            <w:r w:rsidR="00D073B6" w:rsidRPr="007E56D0">
              <w:rPr>
                <w:rFonts w:asciiTheme="majorHAnsi" w:eastAsia="Times New Roman" w:hAnsiTheme="majorHAnsi" w:cstheme="majorHAnsi"/>
                <w:color w:val="000000"/>
                <w:sz w:val="16"/>
                <w:szCs w:val="16"/>
                <w:lang w:val="en-US" w:eastAsia="de-DE"/>
              </w:rPr>
              <w:t>MT (incl. IVT)</w:t>
            </w:r>
            <w:r w:rsidRPr="007E56D0">
              <w:rPr>
                <w:rFonts w:asciiTheme="majorHAnsi" w:eastAsia="Times New Roman" w:hAnsiTheme="majorHAnsi" w:cstheme="majorHAnsi"/>
                <w:color w:val="000000"/>
                <w:sz w:val="16"/>
                <w:szCs w:val="16"/>
                <w:lang w:val="en-US" w:eastAsia="de-DE"/>
              </w:rPr>
              <w:t xml:space="preserve"> vs. IVT alone                                                                        </w:t>
            </w:r>
            <w:r w:rsidRPr="007E56D0">
              <w:rPr>
                <w:rFonts w:asciiTheme="majorHAnsi" w:eastAsia="Times New Roman" w:hAnsiTheme="majorHAnsi" w:cstheme="majorHAnsi"/>
                <w:color w:val="000000"/>
                <w:sz w:val="16"/>
                <w:szCs w:val="16"/>
                <w:lang w:val="en-US" w:eastAsia="de-DE"/>
              </w:rPr>
              <w:br/>
              <w:t>O: ICUR ($CAD/QALY)</w:t>
            </w:r>
          </w:p>
        </w:tc>
        <w:tc>
          <w:tcPr>
            <w:tcW w:w="989" w:type="dxa"/>
            <w:shd w:val="clear" w:color="auto" w:fill="auto"/>
            <w:hideMark/>
          </w:tcPr>
          <w:p w14:paraId="2BC8BDFC" w14:textId="0073489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 societal perspective</w:t>
            </w:r>
          </w:p>
        </w:tc>
        <w:tc>
          <w:tcPr>
            <w:tcW w:w="808" w:type="dxa"/>
            <w:shd w:val="clear" w:color="auto" w:fill="auto"/>
            <w:hideMark/>
          </w:tcPr>
          <w:p w14:paraId="4F2D35C0" w14:textId="55B8C5F4" w:rsidR="00795DAB" w:rsidRPr="007E56D0" w:rsidRDefault="00795DAB" w:rsidP="009879CF">
            <w:pPr>
              <w:spacing w:after="0" w:line="240" w:lineRule="auto"/>
              <w:rPr>
                <w:rFonts w:asciiTheme="majorHAnsi" w:eastAsia="Times New Roman" w:hAnsiTheme="majorHAnsi" w:cstheme="majorHAnsi"/>
                <w:sz w:val="16"/>
                <w:szCs w:val="16"/>
                <w:lang w:val="en-US" w:eastAsia="de-DE"/>
              </w:rPr>
            </w:pPr>
            <w:r w:rsidRPr="007E56D0">
              <w:rPr>
                <w:rFonts w:asciiTheme="majorHAnsi" w:hAnsiTheme="majorHAnsi" w:cstheme="majorHAnsi"/>
                <w:sz w:val="16"/>
                <w:szCs w:val="16"/>
                <w:lang w:val="en-US"/>
              </w:rPr>
              <w:t>A: 65-70 years</w:t>
            </w:r>
            <w:r w:rsidRPr="007E56D0">
              <w:rPr>
                <w:rFonts w:asciiTheme="majorHAnsi" w:hAnsiTheme="majorHAnsi" w:cstheme="majorHAnsi"/>
                <w:sz w:val="16"/>
                <w:szCs w:val="16"/>
                <w:lang w:val="en-US"/>
              </w:rPr>
              <w:br/>
              <w:t>G: Approx. 50/50</w:t>
            </w:r>
            <w:r w:rsidRPr="007E56D0">
              <w:rPr>
                <w:rFonts w:asciiTheme="majorHAnsi" w:hAnsiTheme="majorHAnsi" w:cstheme="majorHAnsi"/>
                <w:sz w:val="16"/>
                <w:szCs w:val="16"/>
                <w:lang w:val="en-US"/>
              </w:rPr>
              <w:br/>
              <w:t>DS:</w:t>
            </w:r>
            <w:r w:rsidR="008F1A13" w:rsidRPr="007E56D0">
              <w:rPr>
                <w:rFonts w:asciiTheme="majorHAnsi" w:hAnsiTheme="majorHAnsi" w:cstheme="majorHAnsi"/>
                <w:sz w:val="16"/>
                <w:szCs w:val="16"/>
                <w:lang w:val="en-US"/>
              </w:rPr>
              <w:t xml:space="preserve"> </w:t>
            </w:r>
            <w:r w:rsidR="006D04DF" w:rsidRPr="007E56D0">
              <w:rPr>
                <w:rFonts w:asciiTheme="majorHAnsi" w:hAnsiTheme="majorHAnsi" w:cstheme="majorHAnsi"/>
                <w:color w:val="000000"/>
                <w:sz w:val="16"/>
                <w:szCs w:val="16"/>
                <w:lang w:val="en-US"/>
              </w:rPr>
              <w:t xml:space="preserve">Large vessel occlusion </w:t>
            </w:r>
            <w:r w:rsidRPr="007E56D0">
              <w:rPr>
                <w:rFonts w:asciiTheme="majorHAnsi" w:hAnsiTheme="majorHAnsi" w:cstheme="majorHAnsi"/>
                <w:sz w:val="16"/>
                <w:szCs w:val="16"/>
                <w:lang w:val="en-US"/>
              </w:rPr>
              <w:t>with</w:t>
            </w:r>
            <w:r w:rsidR="008F1A13" w:rsidRPr="007E56D0">
              <w:rPr>
                <w:rFonts w:asciiTheme="majorHAnsi" w:hAnsiTheme="majorHAnsi" w:cstheme="majorHAnsi"/>
                <w:sz w:val="16"/>
                <w:szCs w:val="16"/>
                <w:lang w:val="en-US"/>
              </w:rPr>
              <w:t xml:space="preserve"> </w:t>
            </w:r>
            <w:r w:rsidRPr="007E56D0">
              <w:rPr>
                <w:rFonts w:asciiTheme="majorHAnsi" w:hAnsiTheme="majorHAnsi" w:cstheme="majorHAnsi"/>
                <w:sz w:val="16"/>
                <w:szCs w:val="16"/>
                <w:lang w:val="en-US"/>
              </w:rPr>
              <w:t>moderate-to severe neurologic deficits</w:t>
            </w:r>
          </w:p>
        </w:tc>
        <w:tc>
          <w:tcPr>
            <w:tcW w:w="1025" w:type="dxa"/>
            <w:shd w:val="clear" w:color="auto" w:fill="auto"/>
            <w:hideMark/>
          </w:tcPr>
          <w:p w14:paraId="1473F25A" w14:textId="47FA9C6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month</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5 years (up to 15 in DSA)</w:t>
            </w:r>
            <w:r w:rsidRPr="007E56D0">
              <w:rPr>
                <w:rFonts w:asciiTheme="majorHAnsi" w:eastAsia="Times New Roman" w:hAnsiTheme="majorHAnsi" w:cstheme="majorHAnsi"/>
                <w:color w:val="000000"/>
                <w:sz w:val="16"/>
                <w:szCs w:val="16"/>
                <w:lang w:val="en-US" w:eastAsia="de-DE"/>
              </w:rPr>
              <w:br/>
              <w:t>D: 5% for costs and utilities</w:t>
            </w:r>
          </w:p>
        </w:tc>
        <w:tc>
          <w:tcPr>
            <w:tcW w:w="2068" w:type="dxa"/>
          </w:tcPr>
          <w:p w14:paraId="022DE8C4" w14:textId="7E369A5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 xml:space="preserve">Decision tree with the 2 treatments followed by a Markov model with </w:t>
            </w:r>
            <w:r w:rsidRPr="007E56D0">
              <w:rPr>
                <w:rFonts w:asciiTheme="majorHAnsi" w:eastAsia="Times New Roman" w:hAnsiTheme="majorHAnsi" w:cstheme="majorHAnsi"/>
                <w:color w:val="000000"/>
                <w:sz w:val="16"/>
                <w:szCs w:val="16"/>
                <w:lang w:val="en-US" w:eastAsia="de-DE"/>
              </w:rPr>
              <w:t>3 health states (mRS 0-2, mRS  3-5 and death) at 90 days after stroke. For the first year, patients could recover, after that, patients could only keep health state or deteriorate.</w:t>
            </w:r>
          </w:p>
        </w:tc>
        <w:tc>
          <w:tcPr>
            <w:tcW w:w="1284" w:type="dxa"/>
          </w:tcPr>
          <w:p w14:paraId="4394B5BC" w14:textId="4A5C7B4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intermediate recovery phase up to 1 year assumed, where mRS improvement possible</w:t>
            </w:r>
          </w:p>
        </w:tc>
        <w:tc>
          <w:tcPr>
            <w:tcW w:w="1284" w:type="dxa"/>
            <w:shd w:val="clear" w:color="auto" w:fill="auto"/>
            <w:hideMark/>
          </w:tcPr>
          <w:p w14:paraId="0201D69C" w14:textId="2724C33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 and two-way DSA, PSA</w:t>
            </w:r>
          </w:p>
        </w:tc>
        <w:tc>
          <w:tcPr>
            <w:tcW w:w="1441" w:type="dxa"/>
            <w:shd w:val="clear" w:color="auto" w:fill="auto"/>
            <w:hideMark/>
          </w:tcPr>
          <w:p w14:paraId="69DFB5A0" w14:textId="27DC7D08"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(only effectiveness), utilities, costs, starting age, time horizon, discount rate</w:t>
            </w:r>
            <w:r w:rsidR="00795DAB" w:rsidRPr="007E56D0">
              <w:rPr>
                <w:rFonts w:asciiTheme="majorHAnsi" w:eastAsia="Times New Roman" w:hAnsiTheme="majorHAnsi" w:cstheme="majorHAnsi"/>
                <w:color w:val="000000"/>
                <w:sz w:val="16"/>
                <w:szCs w:val="16"/>
                <w:lang w:val="en-US" w:eastAsia="de-DE"/>
              </w:rPr>
              <w:br/>
            </w:r>
            <w:r w:rsidR="00576D8A">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4A35B0FD" w14:textId="530B82C3"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beta/lognormal; long-term not given [calibration]),</w:t>
            </w:r>
          </w:p>
          <w:p w14:paraId="4647A29A" w14:textId="52B1FAC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utilities (beta), costs (gamma) </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4535C1DD"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4515C5" w14:paraId="4CB9E0F7" w14:textId="77777777" w:rsidTr="004515C5">
        <w:trPr>
          <w:tblCellSpacing w:w="85" w:type="dxa"/>
        </w:trPr>
        <w:tc>
          <w:tcPr>
            <w:tcW w:w="1057" w:type="dxa"/>
            <w:shd w:val="clear" w:color="auto" w:fill="auto"/>
            <w:hideMark/>
          </w:tcPr>
          <w:p w14:paraId="5B62B33E" w14:textId="6F83F6C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Kunz et al. (2016), USA, none declared </w:t>
            </w:r>
            <w:r w:rsidR="00215B90">
              <w:rPr>
                <w:rFonts w:asciiTheme="majorHAnsi" w:eastAsia="Times New Roman" w:hAnsiTheme="majorHAnsi" w:cstheme="majorHAnsi"/>
                <w:color w:val="000000"/>
                <w:sz w:val="16"/>
                <w:szCs w:val="16"/>
                <w:lang w:val="en-US" w:eastAsia="de-DE"/>
              </w:rPr>
              <w:t>[8]</w:t>
            </w:r>
            <w:hyperlink w:anchor="_CTVL0019c3301047a0b45a8924b31f133bf5ed2" w:tooltip="Kunz, W. G., Hunink, M. G., Sommer, W. H., Beyer, S. E., Meinel, F. G., Dorn, F., Wirth, S., Reiser, M. F., Ertl-Wagner, B., and Thierfelder, K. M. 20…" w:history="1"/>
          </w:p>
        </w:tc>
        <w:tc>
          <w:tcPr>
            <w:tcW w:w="903" w:type="dxa"/>
          </w:tcPr>
          <w:p w14:paraId="3D469367" w14:textId="0E1BAA0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w:t>
            </w:r>
            <w:r w:rsidR="00D073B6" w:rsidRPr="007E56D0">
              <w:rPr>
                <w:rFonts w:asciiTheme="majorHAnsi" w:eastAsia="Times New Roman" w:hAnsiTheme="majorHAnsi" w:cstheme="majorHAnsi"/>
                <w:color w:val="000000"/>
                <w:sz w:val="16"/>
                <w:szCs w:val="16"/>
                <w:lang w:val="en-US" w:eastAsia="de-DE"/>
              </w:rPr>
              <w:t xml:space="preserve"> </w:t>
            </w:r>
            <w:r w:rsidRPr="007E56D0">
              <w:rPr>
                <w:rFonts w:asciiTheme="majorHAnsi" w:eastAsia="Times New Roman" w:hAnsiTheme="majorHAnsi" w:cstheme="majorHAnsi"/>
                <w:color w:val="000000"/>
                <w:sz w:val="16"/>
                <w:szCs w:val="16"/>
                <w:lang w:val="en-US" w:eastAsia="de-DE"/>
              </w:rPr>
              <w:t>SC (</w:t>
            </w:r>
            <w:r w:rsidR="00D073B6" w:rsidRPr="007E56D0">
              <w:rPr>
                <w:rFonts w:asciiTheme="majorHAnsi" w:eastAsia="Times New Roman" w:hAnsiTheme="majorHAnsi" w:cstheme="majorHAnsi"/>
                <w:color w:val="000000"/>
                <w:sz w:val="16"/>
                <w:szCs w:val="16"/>
                <w:lang w:val="en-US" w:eastAsia="de-DE"/>
              </w:rPr>
              <w:t xml:space="preserve">incl. </w:t>
            </w:r>
            <w:r w:rsidRPr="007E56D0">
              <w:rPr>
                <w:rFonts w:asciiTheme="majorHAnsi" w:eastAsia="Times New Roman" w:hAnsiTheme="majorHAnsi" w:cstheme="majorHAnsi"/>
                <w:color w:val="000000"/>
                <w:sz w:val="16"/>
                <w:szCs w:val="16"/>
                <w:lang w:val="en-US" w:eastAsia="de-DE"/>
              </w:rPr>
              <w:t>IVT if eligible) vs. SC alone (</w:t>
            </w:r>
            <w:r w:rsidR="00D073B6" w:rsidRPr="007E56D0">
              <w:rPr>
                <w:rFonts w:asciiTheme="majorHAnsi" w:eastAsia="Times New Roman" w:hAnsiTheme="majorHAnsi" w:cstheme="majorHAnsi"/>
                <w:color w:val="000000"/>
                <w:sz w:val="16"/>
                <w:szCs w:val="16"/>
                <w:lang w:val="en-US" w:eastAsia="de-DE"/>
              </w:rPr>
              <w:t xml:space="preserve">incl. </w:t>
            </w:r>
            <w:r w:rsidRPr="007E56D0">
              <w:rPr>
                <w:rFonts w:asciiTheme="majorHAnsi" w:eastAsia="Times New Roman" w:hAnsiTheme="majorHAnsi" w:cstheme="majorHAnsi"/>
                <w:color w:val="000000"/>
                <w:sz w:val="16"/>
                <w:szCs w:val="16"/>
                <w:lang w:val="en-US" w:eastAsia="de-DE"/>
              </w:rPr>
              <w:t xml:space="preserve">IVT if eligible) </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 + NMB</w:t>
            </w:r>
          </w:p>
        </w:tc>
        <w:tc>
          <w:tcPr>
            <w:tcW w:w="989" w:type="dxa"/>
            <w:shd w:val="clear" w:color="auto" w:fill="auto"/>
            <w:hideMark/>
          </w:tcPr>
          <w:p w14:paraId="67DE380C" w14:textId="3DD3171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perspective</w:t>
            </w:r>
          </w:p>
        </w:tc>
        <w:tc>
          <w:tcPr>
            <w:tcW w:w="808" w:type="dxa"/>
            <w:shd w:val="clear" w:color="auto" w:fill="auto"/>
            <w:hideMark/>
          </w:tcPr>
          <w:p w14:paraId="531924DC" w14:textId="7A29CBF4"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68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r>
            <w:r w:rsidR="008F1A13" w:rsidRPr="007E56D0">
              <w:rPr>
                <w:rFonts w:asciiTheme="majorHAnsi" w:hAnsiTheme="majorHAnsi" w:cstheme="majorHAnsi"/>
                <w:color w:val="000000"/>
                <w:sz w:val="16"/>
                <w:szCs w:val="16"/>
                <w:lang w:val="en-US"/>
              </w:rPr>
              <w:t xml:space="preserve">DS: Large vessel occlusion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p>
        </w:tc>
        <w:tc>
          <w:tcPr>
            <w:tcW w:w="1025" w:type="dxa"/>
            <w:shd w:val="clear" w:color="auto" w:fill="auto"/>
            <w:hideMark/>
          </w:tcPr>
          <w:p w14:paraId="06A7F979" w14:textId="2A8774C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30 years</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277DB268" w14:textId="0FCC4D8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 7 health states (mRS 0-5 and death) at 90 days after stroke.</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38B5D620" w14:textId="58F2EA5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0A1475BD" w14:textId="1035649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 xml:space="preserve">U: One-way DSA, </w:t>
            </w:r>
            <w:r w:rsidR="00FB3E70" w:rsidRPr="007E56D0">
              <w:rPr>
                <w:rFonts w:asciiTheme="majorHAnsi" w:eastAsia="Times New Roman" w:hAnsiTheme="majorHAnsi" w:cstheme="majorHAnsi"/>
                <w:color w:val="000000"/>
                <w:sz w:val="16"/>
                <w:szCs w:val="16"/>
                <w:lang w:val="en-US" w:eastAsia="de-DE"/>
              </w:rPr>
              <w:t xml:space="preserve">scenario analyses, </w:t>
            </w:r>
            <w:r w:rsidRPr="007E56D0">
              <w:rPr>
                <w:rFonts w:asciiTheme="majorHAnsi" w:eastAsia="Times New Roman" w:hAnsiTheme="majorHAnsi" w:cstheme="majorHAnsi"/>
                <w:color w:val="000000"/>
                <w:sz w:val="16"/>
                <w:szCs w:val="16"/>
                <w:lang w:val="en-US" w:eastAsia="de-DE"/>
              </w:rPr>
              <w:t>PSA</w:t>
            </w:r>
          </w:p>
        </w:tc>
        <w:tc>
          <w:tcPr>
            <w:tcW w:w="1441" w:type="dxa"/>
            <w:shd w:val="clear" w:color="auto" w:fill="auto"/>
            <w:hideMark/>
          </w:tcPr>
          <w:p w14:paraId="4DF599F1" w14:textId="50B5663C"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utilities, costs</w:t>
            </w:r>
          </w:p>
          <w:p w14:paraId="621F9AED" w14:textId="5A1FECD4"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±30% for some costs</w:t>
            </w:r>
          </w:p>
        </w:tc>
        <w:tc>
          <w:tcPr>
            <w:tcW w:w="964" w:type="dxa"/>
            <w:shd w:val="clear" w:color="auto" w:fill="auto"/>
            <w:hideMark/>
          </w:tcPr>
          <w:p w14:paraId="718750E8" w14:textId="1277501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TPs (effectiveness: Dirichlet, recurrence: beta, mortality: beta/lognormal), </w:t>
            </w:r>
            <w:r w:rsidR="00CC1C20" w:rsidRPr="007E56D0">
              <w:rPr>
                <w:rFonts w:asciiTheme="majorHAnsi" w:eastAsia="Times New Roman" w:hAnsiTheme="majorHAnsi" w:cstheme="majorHAnsi"/>
                <w:color w:val="000000"/>
                <w:sz w:val="16"/>
                <w:szCs w:val="16"/>
                <w:lang w:val="en-US" w:eastAsia="de-DE"/>
              </w:rPr>
              <w:t xml:space="preserve">utilities (beta), </w:t>
            </w:r>
            <w:r w:rsidRPr="007E56D0">
              <w:rPr>
                <w:rFonts w:asciiTheme="majorHAnsi" w:eastAsia="Times New Roman" w:hAnsiTheme="majorHAnsi" w:cstheme="majorHAnsi"/>
                <w:color w:val="000000"/>
                <w:sz w:val="16"/>
                <w:szCs w:val="16"/>
                <w:lang w:val="en-US" w:eastAsia="de-DE"/>
              </w:rPr>
              <w:t>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6F37DA2D"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1E2D03" w14:paraId="115675BA" w14:textId="77777777" w:rsidTr="004515C5">
        <w:trPr>
          <w:tblCellSpacing w:w="85" w:type="dxa"/>
        </w:trPr>
        <w:tc>
          <w:tcPr>
            <w:tcW w:w="1057" w:type="dxa"/>
            <w:shd w:val="clear" w:color="auto" w:fill="auto"/>
            <w:noWrap/>
            <w:hideMark/>
          </w:tcPr>
          <w:p w14:paraId="11F83DDF" w14:textId="62460F1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Lobotesis et al. (2016), UK, manufacturer funding </w:t>
            </w:r>
            <w:r w:rsidR="00215B90">
              <w:rPr>
                <w:rFonts w:asciiTheme="majorHAnsi" w:eastAsia="Times New Roman" w:hAnsiTheme="majorHAnsi" w:cstheme="majorHAnsi"/>
                <w:color w:val="000000"/>
                <w:sz w:val="16"/>
                <w:szCs w:val="16"/>
                <w:lang w:val="en-US" w:eastAsia="de-DE"/>
              </w:rPr>
              <w:t>[9]</w:t>
            </w:r>
            <w:hyperlink w:anchor="_CTVL00175b9fad18ca54a75ab7339d7ed64ff7f" w:tooltip="Lobotesis, K., Veltkamp, R., Carpenter, I. H., Claxton, L. M., Saver, J. L., and Hodgson, R. 2016. Cost-effectiveness of stent-retriever thrombectomy …" w:history="1"/>
          </w:p>
        </w:tc>
        <w:tc>
          <w:tcPr>
            <w:tcW w:w="903" w:type="dxa"/>
          </w:tcPr>
          <w:p w14:paraId="0B5D2311" w14:textId="5656701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MT (stent retriever) </w:t>
            </w:r>
            <w:r w:rsidR="00967B3D" w:rsidRPr="007E56D0">
              <w:rPr>
                <w:rFonts w:asciiTheme="majorHAnsi" w:eastAsia="Times New Roman" w:hAnsiTheme="majorHAnsi" w:cstheme="majorHAnsi"/>
                <w:color w:val="000000"/>
                <w:sz w:val="16"/>
                <w:szCs w:val="16"/>
                <w:lang w:val="en-US" w:eastAsia="de-DE"/>
              </w:rPr>
              <w:t>incl. IV-tPA</w:t>
            </w:r>
            <w:r w:rsidRPr="007E56D0">
              <w:rPr>
                <w:rFonts w:asciiTheme="majorHAnsi" w:eastAsia="Times New Roman" w:hAnsiTheme="majorHAnsi" w:cstheme="majorHAnsi"/>
                <w:color w:val="000000"/>
                <w:sz w:val="16"/>
                <w:szCs w:val="16"/>
                <w:lang w:val="en-US" w:eastAsia="de-DE"/>
              </w:rPr>
              <w:t xml:space="preserve"> vs. IV-tPA alone</w:t>
            </w:r>
            <w:r w:rsidRPr="007E56D0">
              <w:rPr>
                <w:rFonts w:asciiTheme="majorHAnsi" w:eastAsia="Times New Roman" w:hAnsiTheme="majorHAnsi" w:cstheme="majorHAnsi"/>
                <w:color w:val="000000"/>
                <w:sz w:val="16"/>
                <w:szCs w:val="16"/>
                <w:lang w:val="en-US" w:eastAsia="de-DE"/>
              </w:rPr>
              <w:br/>
              <w:t>O: ICUR (£/QALY) + NMB</w:t>
            </w:r>
          </w:p>
        </w:tc>
        <w:tc>
          <w:tcPr>
            <w:tcW w:w="989" w:type="dxa"/>
            <w:shd w:val="clear" w:color="auto" w:fill="auto"/>
            <w:hideMark/>
          </w:tcPr>
          <w:p w14:paraId="3A395612" w14:textId="44ACF49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perspective</w:t>
            </w:r>
          </w:p>
        </w:tc>
        <w:tc>
          <w:tcPr>
            <w:tcW w:w="808" w:type="dxa"/>
            <w:shd w:val="clear" w:color="auto" w:fill="auto"/>
            <w:hideMark/>
          </w:tcPr>
          <w:p w14:paraId="5515AB52" w14:textId="13C7B16D" w:rsidR="00795DAB" w:rsidRPr="007E56D0" w:rsidRDefault="00795DAB"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66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 xml:space="preserve">DS: </w:t>
            </w:r>
            <w:r w:rsidR="004B283B" w:rsidRPr="007E56D0">
              <w:rPr>
                <w:rFonts w:asciiTheme="majorHAnsi" w:hAnsiTheme="majorHAnsi" w:cstheme="majorHAnsi"/>
                <w:color w:val="000000"/>
                <w:sz w:val="16"/>
                <w:szCs w:val="16"/>
                <w:lang w:val="en-US"/>
              </w:rPr>
              <w:t>P</w:t>
            </w:r>
            <w:r w:rsidRPr="007E56D0">
              <w:rPr>
                <w:rFonts w:asciiTheme="majorHAnsi" w:hAnsiTheme="majorHAnsi" w:cstheme="majorHAnsi"/>
                <w:color w:val="000000"/>
                <w:sz w:val="16"/>
                <w:szCs w:val="16"/>
                <w:lang w:val="en-US"/>
              </w:rPr>
              <w:t xml:space="preserve">roximal anterior intracranial </w:t>
            </w:r>
            <w:r w:rsidR="004B283B" w:rsidRPr="007E56D0">
              <w:rPr>
                <w:rFonts w:asciiTheme="majorHAnsi" w:hAnsiTheme="majorHAnsi" w:cstheme="majorHAnsi"/>
                <w:color w:val="000000"/>
                <w:sz w:val="16"/>
                <w:szCs w:val="16"/>
                <w:lang w:val="en-US"/>
              </w:rPr>
              <w:t>occlusion</w:t>
            </w:r>
          </w:p>
          <w:p w14:paraId="728A8E3D"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p>
        </w:tc>
        <w:tc>
          <w:tcPr>
            <w:tcW w:w="1025" w:type="dxa"/>
            <w:shd w:val="clear" w:color="auto" w:fill="auto"/>
            <w:hideMark/>
          </w:tcPr>
          <w:p w14:paraId="487FA2AF" w14:textId="39224A3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 + evaluation after 1, 2 and 5 years</w:t>
            </w:r>
            <w:r w:rsidRPr="007E56D0">
              <w:rPr>
                <w:rFonts w:asciiTheme="majorHAnsi" w:eastAsia="Times New Roman" w:hAnsiTheme="majorHAnsi" w:cstheme="majorHAnsi"/>
                <w:color w:val="000000"/>
                <w:sz w:val="16"/>
                <w:szCs w:val="16"/>
                <w:lang w:val="en-US" w:eastAsia="de-DE"/>
              </w:rPr>
              <w:br/>
              <w:t>D: 3.5% for costs and utilities</w:t>
            </w:r>
          </w:p>
        </w:tc>
        <w:tc>
          <w:tcPr>
            <w:tcW w:w="2068" w:type="dxa"/>
          </w:tcPr>
          <w:p w14:paraId="46087D39" w14:textId="2BC818E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EF714C">
              <w:rPr>
                <w:rFonts w:asciiTheme="majorHAnsi" w:eastAsia="Times New Roman" w:hAnsiTheme="majorHAnsi" w:cstheme="majorHAnsi"/>
                <w:color w:val="000000"/>
                <w:sz w:val="16"/>
                <w:szCs w:val="16"/>
                <w:lang w:val="en-US" w:eastAsia="de-DE"/>
              </w:rPr>
              <w:t xml:space="preserve"> </w:t>
            </w:r>
            <w:r w:rsidRPr="007E56D0">
              <w:rPr>
                <w:rFonts w:asciiTheme="majorHAnsi" w:eastAsia="Times New Roman" w:hAnsiTheme="majorHAnsi" w:cstheme="majorHAnsi"/>
                <w:color w:val="000000"/>
                <w:sz w:val="16"/>
                <w:szCs w:val="16"/>
                <w:lang w:val="en-US" w:eastAsia="de-DE"/>
              </w:rPr>
              <w:t>(mRS 0-5 and death) at 90 days after stroke.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7B7E63CB" w14:textId="7A154D1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5CFEF13B" w14:textId="6B60960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w:t>
            </w:r>
            <w:r w:rsidR="00FB3E70" w:rsidRPr="007E56D0">
              <w:rPr>
                <w:rFonts w:asciiTheme="majorHAnsi" w:eastAsia="Times New Roman" w:hAnsiTheme="majorHAnsi" w:cstheme="majorHAnsi"/>
                <w:color w:val="000000"/>
                <w:sz w:val="16"/>
                <w:szCs w:val="16"/>
                <w:lang w:val="en-US" w:eastAsia="de-DE"/>
              </w:rPr>
              <w:t xml:space="preserve"> scenario analyses, </w:t>
            </w:r>
            <w:r w:rsidRPr="007E56D0">
              <w:rPr>
                <w:rFonts w:asciiTheme="majorHAnsi" w:eastAsia="Times New Roman" w:hAnsiTheme="majorHAnsi" w:cstheme="majorHAnsi"/>
                <w:color w:val="000000"/>
                <w:sz w:val="16"/>
                <w:szCs w:val="16"/>
                <w:lang w:val="en-US" w:eastAsia="de-DE"/>
              </w:rPr>
              <w:t>PSA</w:t>
            </w:r>
          </w:p>
        </w:tc>
        <w:tc>
          <w:tcPr>
            <w:tcW w:w="1441" w:type="dxa"/>
            <w:shd w:val="clear" w:color="auto" w:fill="auto"/>
            <w:hideMark/>
          </w:tcPr>
          <w:p w14:paraId="14ABABE8" w14:textId="15CD6379"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incl. recurrences), utilities, costs, starting age, discount rate</w:t>
            </w:r>
          </w:p>
          <w:p w14:paraId="39140A09" w14:textId="036DE65D"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50D1DD6D" w14:textId="656E0A0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TPs (effectiveness: Dirichlet, mortality: lognormal), utilities (beta), costs (gamma) </w:t>
            </w:r>
            <w:r w:rsidRPr="007E56D0">
              <w:rPr>
                <w:rFonts w:asciiTheme="majorHAnsi" w:eastAsia="Times New Roman" w:hAnsiTheme="majorHAnsi" w:cstheme="majorHAnsi"/>
                <w:color w:val="000000"/>
                <w:sz w:val="16"/>
                <w:szCs w:val="16"/>
                <w:lang w:val="en-US" w:eastAsia="de-DE"/>
              </w:rPr>
              <w:br/>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1E28767E"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internal and cross validation</w:t>
            </w:r>
          </w:p>
        </w:tc>
      </w:tr>
      <w:tr w:rsidR="00795DAB" w:rsidRPr="004515C5" w14:paraId="056164E8" w14:textId="77777777" w:rsidTr="004515C5">
        <w:trPr>
          <w:tblCellSpacing w:w="85" w:type="dxa"/>
        </w:trPr>
        <w:tc>
          <w:tcPr>
            <w:tcW w:w="1057" w:type="dxa"/>
            <w:shd w:val="clear" w:color="auto" w:fill="auto"/>
            <w:hideMark/>
          </w:tcPr>
          <w:p w14:paraId="3CEF0BA8" w14:textId="772C96E4"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xml:space="preserve">Xie et al. (2016), Canada, public funding </w:t>
            </w:r>
            <w:r w:rsidR="00215B90">
              <w:rPr>
                <w:rFonts w:asciiTheme="majorHAnsi" w:eastAsia="Times New Roman" w:hAnsiTheme="majorHAnsi" w:cstheme="majorHAnsi"/>
                <w:color w:val="000000"/>
                <w:sz w:val="16"/>
                <w:szCs w:val="16"/>
                <w:lang w:val="en-US" w:eastAsia="de-DE"/>
              </w:rPr>
              <w:t>[10]</w:t>
            </w:r>
            <w:hyperlink w:anchor="_CTVL00102a724830f99411482c338a103e7c407" w:tooltip="Xie, X., Lambrinos, A., Chan, B., Dhalla, I. A., Krings, T., Casaubon, L. K., Lum, C., Sikich, N., Bharatha, A., Pereira, V. M., Stotts, G., Saposnik,…" w:history="1"/>
          </w:p>
        </w:tc>
        <w:tc>
          <w:tcPr>
            <w:tcW w:w="903" w:type="dxa"/>
          </w:tcPr>
          <w:p w14:paraId="7E1580F1" w14:textId="4D17CA6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MT </w:t>
            </w:r>
            <w:r w:rsidR="00C13E9B" w:rsidRPr="007E56D0">
              <w:rPr>
                <w:rFonts w:asciiTheme="majorHAnsi" w:eastAsia="Times New Roman" w:hAnsiTheme="majorHAnsi" w:cstheme="majorHAnsi"/>
                <w:color w:val="000000"/>
                <w:sz w:val="16"/>
                <w:szCs w:val="16"/>
                <w:lang w:val="en-US" w:eastAsia="de-DE"/>
              </w:rPr>
              <w:t xml:space="preserve">incl. IVT </w:t>
            </w:r>
            <w:r w:rsidRPr="007E56D0">
              <w:rPr>
                <w:rFonts w:asciiTheme="majorHAnsi" w:eastAsia="Times New Roman" w:hAnsiTheme="majorHAnsi" w:cstheme="majorHAnsi"/>
                <w:color w:val="000000"/>
                <w:sz w:val="16"/>
                <w:szCs w:val="16"/>
                <w:lang w:val="en-US" w:eastAsia="de-DE"/>
              </w:rPr>
              <w:t xml:space="preserve">vs. IVT alone                                                                        </w:t>
            </w:r>
            <w:r w:rsidRPr="007E56D0">
              <w:rPr>
                <w:rFonts w:asciiTheme="majorHAnsi" w:eastAsia="Times New Roman" w:hAnsiTheme="majorHAnsi" w:cstheme="majorHAnsi"/>
                <w:color w:val="000000"/>
                <w:sz w:val="16"/>
                <w:szCs w:val="16"/>
                <w:lang w:val="en-US" w:eastAsia="de-DE"/>
              </w:rPr>
              <w:br/>
              <w:t>O: ICUR ($CAD/QALY)</w:t>
            </w:r>
          </w:p>
        </w:tc>
        <w:tc>
          <w:tcPr>
            <w:tcW w:w="989" w:type="dxa"/>
            <w:shd w:val="clear" w:color="auto" w:fill="auto"/>
            <w:hideMark/>
          </w:tcPr>
          <w:p w14:paraId="217DD28B" w14:textId="6AB2763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perspective</w:t>
            </w:r>
          </w:p>
        </w:tc>
        <w:tc>
          <w:tcPr>
            <w:tcW w:w="808" w:type="dxa"/>
            <w:shd w:val="clear" w:color="auto" w:fill="auto"/>
            <w:hideMark/>
          </w:tcPr>
          <w:p w14:paraId="51B6472B" w14:textId="0648C8B2" w:rsidR="00795DAB" w:rsidRPr="00CE7E0F" w:rsidRDefault="00795DAB"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65-71 years</w:t>
            </w:r>
            <w:r w:rsidRPr="007E56D0">
              <w:rPr>
                <w:rFonts w:asciiTheme="majorHAnsi" w:hAnsiTheme="majorHAnsi" w:cstheme="majorHAnsi"/>
                <w:color w:val="000000"/>
                <w:sz w:val="16"/>
                <w:szCs w:val="16"/>
                <w:lang w:val="en-US"/>
              </w:rPr>
              <w:br/>
              <w:t>G</w:t>
            </w:r>
            <w:r w:rsidR="00F03A3F" w:rsidRPr="007E56D0">
              <w:rPr>
                <w:rFonts w:asciiTheme="majorHAnsi" w:hAnsiTheme="majorHAnsi" w:cstheme="majorHAnsi"/>
                <w:color w:val="000000"/>
                <w:sz w:val="16"/>
                <w:szCs w:val="16"/>
                <w:lang w:val="en-US"/>
              </w:rPr>
              <w:t xml:space="preserve"> (female)</w:t>
            </w:r>
            <w:r w:rsidRPr="007E56D0">
              <w:rPr>
                <w:rFonts w:asciiTheme="majorHAnsi" w:hAnsiTheme="majorHAnsi" w:cstheme="majorHAnsi"/>
                <w:color w:val="000000"/>
                <w:sz w:val="16"/>
                <w:szCs w:val="16"/>
                <w:lang w:val="en-US"/>
              </w:rPr>
              <w:t xml:space="preserve">: </w:t>
            </w:r>
            <w:r w:rsidR="00F03A3F" w:rsidRPr="007E56D0">
              <w:rPr>
                <w:rFonts w:asciiTheme="majorHAnsi" w:hAnsiTheme="majorHAnsi" w:cstheme="majorHAnsi"/>
                <w:color w:val="000000"/>
                <w:sz w:val="16"/>
                <w:szCs w:val="16"/>
                <w:lang w:val="en-US"/>
              </w:rPr>
              <w:t>~50%</w:t>
            </w:r>
            <w:r w:rsidRPr="007E56D0">
              <w:rPr>
                <w:rFonts w:asciiTheme="majorHAnsi" w:hAnsiTheme="majorHAnsi" w:cstheme="majorHAnsi"/>
                <w:color w:val="000000"/>
                <w:sz w:val="16"/>
                <w:szCs w:val="16"/>
                <w:lang w:val="en-US"/>
              </w:rPr>
              <w:br/>
              <w:t xml:space="preserve">DS: </w:t>
            </w:r>
            <w:r w:rsidR="009525D8" w:rsidRPr="007E56D0">
              <w:rPr>
                <w:rFonts w:asciiTheme="majorHAnsi" w:hAnsiTheme="majorHAnsi" w:cstheme="majorHAnsi"/>
                <w:color w:val="000000"/>
                <w:sz w:val="16"/>
                <w:szCs w:val="16"/>
                <w:lang w:val="en-US"/>
              </w:rPr>
              <w:t xml:space="preserve">Internal </w:t>
            </w:r>
            <w:r w:rsidRPr="007E56D0">
              <w:rPr>
                <w:rFonts w:asciiTheme="majorHAnsi" w:hAnsiTheme="majorHAnsi" w:cstheme="majorHAnsi"/>
                <w:color w:val="000000"/>
                <w:sz w:val="16"/>
                <w:szCs w:val="16"/>
                <w:lang w:val="en-US"/>
              </w:rPr>
              <w:t>carotid artery or middle cerebral artery</w:t>
            </w:r>
            <w:r w:rsidR="0020450D" w:rsidRPr="007E56D0">
              <w:rPr>
                <w:rFonts w:asciiTheme="majorHAnsi" w:hAnsiTheme="majorHAnsi" w:cstheme="majorHAnsi"/>
                <w:color w:val="000000"/>
                <w:sz w:val="16"/>
                <w:szCs w:val="16"/>
                <w:lang w:val="en-US"/>
              </w:rPr>
              <w:t xml:space="preserve"> occlusion</w:t>
            </w:r>
          </w:p>
        </w:tc>
        <w:tc>
          <w:tcPr>
            <w:tcW w:w="1025" w:type="dxa"/>
            <w:shd w:val="clear" w:color="auto" w:fill="auto"/>
            <w:hideMark/>
          </w:tcPr>
          <w:p w14:paraId="58D50EAB" w14:textId="67F29E8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month</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5 years (up to 15 in DSA)</w:t>
            </w:r>
            <w:r w:rsidRPr="007E56D0">
              <w:rPr>
                <w:rFonts w:asciiTheme="majorHAnsi" w:eastAsia="Times New Roman" w:hAnsiTheme="majorHAnsi" w:cstheme="majorHAnsi"/>
                <w:color w:val="000000"/>
                <w:sz w:val="16"/>
                <w:szCs w:val="16"/>
                <w:lang w:val="en-US" w:eastAsia="de-DE"/>
              </w:rPr>
              <w:br/>
              <w:t>D: 5% for costs and utilities</w:t>
            </w:r>
          </w:p>
        </w:tc>
        <w:tc>
          <w:tcPr>
            <w:tcW w:w="2068" w:type="dxa"/>
          </w:tcPr>
          <w:p w14:paraId="2208AD2A" w14:textId="36711BD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 3 health states (mRS 0-2, mRS 3-5 and death) at 90 days after stroke.</w:t>
            </w:r>
            <w:r w:rsidRPr="007E56D0">
              <w:rPr>
                <w:rFonts w:asciiTheme="majorHAnsi" w:eastAsia="Times New Roman" w:hAnsiTheme="majorHAnsi" w:cstheme="majorHAnsi"/>
                <w:color w:val="000000"/>
                <w:sz w:val="16"/>
                <w:szCs w:val="16"/>
                <w:lang w:val="en-US" w:eastAsia="de-DE"/>
              </w:rPr>
              <w:t xml:space="preserve"> For the first year, patients could recover, after that, patients could only keep health state or deteriorate.</w:t>
            </w:r>
          </w:p>
        </w:tc>
        <w:tc>
          <w:tcPr>
            <w:tcW w:w="1284" w:type="dxa"/>
          </w:tcPr>
          <w:p w14:paraId="0B155984" w14:textId="1E3A853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intermediate recovery phase up to 1 year assumed, where mRS improvement possible</w:t>
            </w:r>
          </w:p>
        </w:tc>
        <w:tc>
          <w:tcPr>
            <w:tcW w:w="1284" w:type="dxa"/>
            <w:shd w:val="clear" w:color="auto" w:fill="auto"/>
            <w:hideMark/>
          </w:tcPr>
          <w:p w14:paraId="402446D2" w14:textId="3F4A221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 and two-way DSA, PSA</w:t>
            </w:r>
          </w:p>
        </w:tc>
        <w:tc>
          <w:tcPr>
            <w:tcW w:w="1441" w:type="dxa"/>
            <w:shd w:val="clear" w:color="auto" w:fill="auto"/>
            <w:hideMark/>
          </w:tcPr>
          <w:p w14:paraId="69827629" w14:textId="53F42132"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(only effectiveness), utilities, costs, starting age, time horizon, discount rate</w:t>
            </w:r>
            <w:r w:rsidR="00795DAB" w:rsidRPr="007E56D0">
              <w:rPr>
                <w:rFonts w:asciiTheme="majorHAnsi" w:eastAsia="Times New Roman" w:hAnsiTheme="majorHAnsi" w:cstheme="majorHAnsi"/>
                <w:color w:val="000000"/>
                <w:sz w:val="16"/>
                <w:szCs w:val="16"/>
                <w:lang w:val="en-US" w:eastAsia="de-DE"/>
              </w:rPr>
              <w:br/>
            </w: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4A340450"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TPs (effectiveness:  beta/lognormal, long-term TPs: not given [calibration]), </w:t>
            </w:r>
          </w:p>
          <w:p w14:paraId="4CFBF7DB" w14:textId="324ACBD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utilities (beta), 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79607B26"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4515C5" w14:paraId="680D425A" w14:textId="77777777" w:rsidTr="004515C5">
        <w:trPr>
          <w:tblCellSpacing w:w="85" w:type="dxa"/>
        </w:trPr>
        <w:tc>
          <w:tcPr>
            <w:tcW w:w="1057" w:type="dxa"/>
            <w:shd w:val="clear" w:color="auto" w:fill="auto"/>
            <w:hideMark/>
          </w:tcPr>
          <w:p w14:paraId="0468D4C1" w14:textId="105E090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de Andres-Nogales et al. (2017), Spain, manufacturer funding </w:t>
            </w:r>
            <w:r w:rsidR="00215B90">
              <w:rPr>
                <w:rFonts w:asciiTheme="majorHAnsi" w:eastAsia="Times New Roman" w:hAnsiTheme="majorHAnsi" w:cstheme="majorHAnsi"/>
                <w:color w:val="000000"/>
                <w:sz w:val="16"/>
                <w:szCs w:val="16"/>
                <w:lang w:val="en-US" w:eastAsia="de-DE"/>
              </w:rPr>
              <w:t>[11]</w:t>
            </w:r>
            <w:hyperlink w:anchor="_CTVL001e6d52b68dae74f748b44e1a0a49b7309" w:tooltip="Andrés-Nogales, F. de, Álvarez, M., Miquel, M. Á. de, Segura, T., Gil, A., Cardona, P., Casado, M. Á., Nogueira, R. G., and Dávalos, A. 2017. Cost-eff…" w:history="1"/>
          </w:p>
        </w:tc>
        <w:tc>
          <w:tcPr>
            <w:tcW w:w="903" w:type="dxa"/>
          </w:tcPr>
          <w:p w14:paraId="2385D450" w14:textId="24BC77E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MT </w:t>
            </w:r>
            <w:r w:rsidR="00AF7533"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t>Solitaire stent retriever</w:t>
            </w:r>
            <w:r w:rsidR="00AF7533"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t xml:space="preserve"> </w:t>
            </w:r>
            <w:r w:rsidR="00967B3D" w:rsidRPr="007E56D0">
              <w:rPr>
                <w:rFonts w:asciiTheme="majorHAnsi" w:eastAsia="Times New Roman" w:hAnsiTheme="majorHAnsi" w:cstheme="majorHAnsi"/>
                <w:color w:val="000000"/>
                <w:sz w:val="16"/>
                <w:szCs w:val="16"/>
                <w:lang w:val="en-US" w:eastAsia="de-DE"/>
              </w:rPr>
              <w:t>incl. IV-tPA</w:t>
            </w:r>
            <w:r w:rsidRPr="007E56D0">
              <w:rPr>
                <w:rFonts w:asciiTheme="majorHAnsi" w:eastAsia="Times New Roman" w:hAnsiTheme="majorHAnsi" w:cstheme="majorHAnsi"/>
                <w:color w:val="000000"/>
                <w:sz w:val="16"/>
                <w:szCs w:val="16"/>
                <w:lang w:val="en-US" w:eastAsia="de-DE"/>
              </w:rPr>
              <w:t xml:space="preserve"> vs. IV-tPA alone</w:t>
            </w:r>
            <w:r w:rsidRPr="007E56D0">
              <w:rPr>
                <w:rFonts w:asciiTheme="majorHAnsi" w:eastAsia="Times New Roman" w:hAnsiTheme="majorHAnsi" w:cstheme="majorHAnsi"/>
                <w:color w:val="000000"/>
                <w:sz w:val="16"/>
                <w:szCs w:val="16"/>
                <w:lang w:val="en-US" w:eastAsia="de-DE"/>
              </w:rPr>
              <w:br/>
              <w:t>O: ICUR (€/QALY) + NMB</w:t>
            </w:r>
          </w:p>
        </w:tc>
        <w:tc>
          <w:tcPr>
            <w:tcW w:w="989" w:type="dxa"/>
            <w:shd w:val="clear" w:color="auto" w:fill="auto"/>
            <w:hideMark/>
          </w:tcPr>
          <w:p w14:paraId="2B4A6513" w14:textId="1A5CE80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perspective</w:t>
            </w:r>
          </w:p>
        </w:tc>
        <w:tc>
          <w:tcPr>
            <w:tcW w:w="808" w:type="dxa"/>
            <w:shd w:val="clear" w:color="auto" w:fill="auto"/>
            <w:hideMark/>
          </w:tcPr>
          <w:p w14:paraId="0882AA5D" w14:textId="49F8769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66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 xml:space="preserve">DS: </w:t>
            </w:r>
            <w:r w:rsidR="0020450D" w:rsidRPr="007E56D0">
              <w:rPr>
                <w:rFonts w:asciiTheme="majorHAnsi" w:hAnsiTheme="majorHAnsi" w:cstheme="majorHAnsi"/>
                <w:color w:val="000000"/>
                <w:sz w:val="16"/>
                <w:szCs w:val="16"/>
                <w:lang w:val="en-US"/>
              </w:rPr>
              <w:t xml:space="preserve"> Proximal anterior intracranial occlusion</w:t>
            </w:r>
          </w:p>
        </w:tc>
        <w:tc>
          <w:tcPr>
            <w:tcW w:w="1025" w:type="dxa"/>
            <w:shd w:val="clear" w:color="auto" w:fill="auto"/>
            <w:hideMark/>
          </w:tcPr>
          <w:p w14:paraId="17CE6C62" w14:textId="1D32927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782C235E" w14:textId="2C467FA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 xml:space="preserve">Decision tree with the 2 treatments (modelled in two stages: up to 7 days and 90 days after stroke) followed by a Markov model with </w:t>
            </w:r>
            <w:r w:rsidRPr="007E56D0">
              <w:rPr>
                <w:rFonts w:asciiTheme="majorHAnsi" w:eastAsia="Times New Roman" w:hAnsiTheme="majorHAnsi" w:cstheme="majorHAnsi"/>
                <w:color w:val="000000"/>
                <w:sz w:val="16"/>
                <w:szCs w:val="16"/>
                <w:lang w:val="en-US" w:eastAsia="de-DE"/>
              </w:rPr>
              <w:t>7 health states (mRS 0-6).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28AEDA96" w14:textId="4615EC3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5FDC512C" w14:textId="7B79868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w:t>
            </w:r>
            <w:r w:rsidR="00FB3E70" w:rsidRPr="007E56D0">
              <w:rPr>
                <w:rFonts w:asciiTheme="majorHAnsi" w:eastAsia="Times New Roman" w:hAnsiTheme="majorHAnsi" w:cstheme="majorHAnsi"/>
                <w:color w:val="000000"/>
                <w:sz w:val="16"/>
                <w:szCs w:val="16"/>
                <w:lang w:val="en-US" w:eastAsia="de-DE"/>
              </w:rPr>
              <w:t>, scenario analyses, PSA</w:t>
            </w:r>
            <w:r w:rsidRPr="007E56D0">
              <w:rPr>
                <w:rFonts w:asciiTheme="majorHAnsi" w:eastAsia="Times New Roman" w:hAnsiTheme="majorHAnsi" w:cstheme="majorHAnsi"/>
                <w:color w:val="000000"/>
                <w:sz w:val="16"/>
                <w:szCs w:val="16"/>
                <w:lang w:val="en-US" w:eastAsia="de-DE"/>
              </w:rPr>
              <w:t xml:space="preserve"> </w:t>
            </w:r>
          </w:p>
        </w:tc>
        <w:tc>
          <w:tcPr>
            <w:tcW w:w="1441" w:type="dxa"/>
            <w:shd w:val="clear" w:color="auto" w:fill="auto"/>
            <w:hideMark/>
          </w:tcPr>
          <w:p w14:paraId="2E49BC25" w14:textId="3CFBF3FE"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incl. recurrences), utilities, costs, starting age, time horizon, discount rate</w:t>
            </w:r>
            <w:r w:rsidR="00795DAB" w:rsidRPr="007E56D0">
              <w:rPr>
                <w:rFonts w:asciiTheme="majorHAnsi" w:eastAsia="Times New Roman" w:hAnsiTheme="majorHAnsi" w:cstheme="majorHAnsi"/>
                <w:color w:val="000000"/>
                <w:sz w:val="16"/>
                <w:szCs w:val="16"/>
                <w:lang w:val="en-US" w:eastAsia="de-DE"/>
              </w:rPr>
              <w:br/>
            </w:r>
            <w:r>
              <w:rPr>
                <w:rFonts w:asciiTheme="majorHAnsi" w:eastAsia="Times New Roman" w:hAnsiTheme="majorHAnsi" w:cstheme="majorHAnsi"/>
                <w:color w:val="000000"/>
                <w:sz w:val="16"/>
                <w:szCs w:val="16"/>
                <w:lang w:val="en-US" w:eastAsia="de-DE"/>
              </w:rPr>
              <w:t>R:</w:t>
            </w:r>
            <w:r w:rsidR="006C0182" w:rsidRPr="007E56D0">
              <w:rPr>
                <w:rFonts w:asciiTheme="majorHAnsi" w:eastAsia="Times New Roman" w:hAnsiTheme="majorHAnsi" w:cstheme="majorHAnsi"/>
                <w:color w:val="000000"/>
                <w:sz w:val="16"/>
                <w:szCs w:val="16"/>
                <w:lang w:val="en-US" w:eastAsia="de-DE"/>
              </w:rPr>
              <w:t xml:space="preserve"> </w:t>
            </w:r>
            <w:r w:rsidR="00795DAB" w:rsidRPr="007E56D0">
              <w:rPr>
                <w:rFonts w:asciiTheme="majorHAnsi" w:eastAsia="Times New Roman" w:hAnsiTheme="majorHAnsi" w:cstheme="majorHAnsi"/>
                <w:color w:val="000000"/>
                <w:sz w:val="16"/>
                <w:szCs w:val="16"/>
                <w:lang w:val="en-US" w:eastAsia="de-DE"/>
              </w:rPr>
              <w:t>10-25% for some costs</w:t>
            </w:r>
          </w:p>
        </w:tc>
        <w:tc>
          <w:tcPr>
            <w:tcW w:w="964" w:type="dxa"/>
            <w:shd w:val="clear" w:color="auto" w:fill="auto"/>
            <w:hideMark/>
          </w:tcPr>
          <w:p w14:paraId="5DC3AA76" w14:textId="2998766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TPs (effectiveness: Dirichlet, mortality: lognormal), utilities (beta), costs (gamma)  </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366F5499"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9879CF" w:rsidRPr="004515C5" w14:paraId="0AC36194" w14:textId="77777777" w:rsidTr="004515C5">
        <w:trPr>
          <w:trHeight w:val="426"/>
          <w:tblCellSpacing w:w="85" w:type="dxa"/>
        </w:trPr>
        <w:tc>
          <w:tcPr>
            <w:tcW w:w="1057" w:type="dxa"/>
            <w:shd w:val="clear" w:color="auto" w:fill="auto"/>
            <w:hideMark/>
          </w:tcPr>
          <w:p w14:paraId="4F98B01F" w14:textId="61F9D6E2" w:rsidR="000E43D3" w:rsidRPr="007E56D0" w:rsidRDefault="000E43D3"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Health Information and Quality Authority (2017), Ireland, public funding </w:t>
            </w:r>
            <w:r w:rsidR="00215B90">
              <w:rPr>
                <w:rFonts w:asciiTheme="majorHAnsi" w:eastAsia="Times New Roman" w:hAnsiTheme="majorHAnsi" w:cstheme="majorHAnsi"/>
                <w:color w:val="000000"/>
                <w:sz w:val="16"/>
                <w:szCs w:val="16"/>
                <w:lang w:val="en-US" w:eastAsia="de-DE"/>
              </w:rPr>
              <w:t>[12]</w:t>
            </w:r>
            <w:hyperlink w:anchor="_CTVL0012cdd5c808cdd4a87af37a86aa93c0d57" w:tooltip="Health Information and Quality Authority (HIQA) Ireland. 2017. Health technology assessment of a national emergency endovascular service for mechanica…" w:history="1"/>
          </w:p>
        </w:tc>
        <w:tc>
          <w:tcPr>
            <w:tcW w:w="903" w:type="dxa"/>
          </w:tcPr>
          <w:p w14:paraId="2FA96357" w14:textId="77777777" w:rsidR="000E43D3" w:rsidRPr="007E56D0" w:rsidRDefault="000E43D3"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Second-generation MT (incl. IVT/ IAT if eligible) vs. SMC (incl. IVT/IAT if eligible)</w:t>
            </w:r>
            <w:r w:rsidRPr="007E56D0">
              <w:rPr>
                <w:rFonts w:asciiTheme="majorHAnsi" w:eastAsia="Times New Roman" w:hAnsiTheme="majorHAnsi" w:cstheme="majorHAnsi"/>
                <w:color w:val="000000"/>
                <w:sz w:val="16"/>
                <w:szCs w:val="16"/>
                <w:lang w:val="en-US" w:eastAsia="de-DE"/>
              </w:rPr>
              <w:br/>
              <w:t>O: ICUR ($US/QALY)</w:t>
            </w:r>
          </w:p>
        </w:tc>
        <w:tc>
          <w:tcPr>
            <w:tcW w:w="989" w:type="dxa"/>
            <w:shd w:val="clear" w:color="auto" w:fill="auto"/>
            <w:hideMark/>
          </w:tcPr>
          <w:p w14:paraId="1054BE6D" w14:textId="77777777" w:rsidR="000E43D3" w:rsidRPr="007E56D0" w:rsidRDefault="000E43D3"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perspective</w:t>
            </w:r>
          </w:p>
        </w:tc>
        <w:tc>
          <w:tcPr>
            <w:tcW w:w="808" w:type="dxa"/>
            <w:shd w:val="clear" w:color="auto" w:fill="auto"/>
            <w:hideMark/>
          </w:tcPr>
          <w:p w14:paraId="1E1A0975" w14:textId="688EDE78" w:rsidR="000E43D3" w:rsidRPr="007E56D0" w:rsidRDefault="000E43D3"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 xml:space="preserve">A: </w:t>
            </w:r>
            <w:r w:rsidR="00232E59">
              <w:rPr>
                <w:rFonts w:asciiTheme="majorHAnsi" w:hAnsiTheme="majorHAnsi" w:cstheme="majorHAnsi"/>
                <w:color w:val="000000"/>
                <w:sz w:val="16"/>
                <w:szCs w:val="16"/>
                <w:lang w:val="en-US"/>
              </w:rPr>
              <w:t>70 years</w:t>
            </w:r>
            <w:r w:rsidRPr="007E56D0">
              <w:rPr>
                <w:rFonts w:asciiTheme="majorHAnsi" w:hAnsiTheme="majorHAnsi" w:cstheme="majorHAnsi"/>
                <w:color w:val="000000"/>
                <w:sz w:val="16"/>
                <w:szCs w:val="16"/>
                <w:lang w:val="en-US"/>
              </w:rPr>
              <w:br/>
              <w:t>G (female): 43%</w:t>
            </w:r>
            <w:r w:rsidRPr="007E56D0">
              <w:rPr>
                <w:rFonts w:asciiTheme="majorHAnsi" w:hAnsiTheme="majorHAnsi" w:cstheme="majorHAnsi"/>
                <w:color w:val="000000"/>
                <w:sz w:val="16"/>
                <w:szCs w:val="16"/>
                <w:lang w:val="en-US"/>
              </w:rPr>
              <w:br/>
              <w:t>DS:  Large vessel occlusion with moderate-to-severe neurological deficits</w:t>
            </w:r>
          </w:p>
        </w:tc>
        <w:tc>
          <w:tcPr>
            <w:tcW w:w="1025" w:type="dxa"/>
            <w:shd w:val="clear" w:color="auto" w:fill="auto"/>
            <w:hideMark/>
          </w:tcPr>
          <w:p w14:paraId="67E98746" w14:textId="77777777" w:rsidR="000E43D3" w:rsidRPr="007E56D0" w:rsidRDefault="000E43D3"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month</w:t>
            </w:r>
            <w:r w:rsidRPr="007E56D0">
              <w:rPr>
                <w:rFonts w:asciiTheme="majorHAnsi" w:eastAsia="Times New Roman" w:hAnsiTheme="majorHAnsi" w:cstheme="majorHAnsi"/>
                <w:color w:val="000000"/>
                <w:sz w:val="16"/>
                <w:szCs w:val="16"/>
                <w:lang w:val="en-US" w:eastAsia="de-DE"/>
              </w:rPr>
              <w:br/>
              <w:t>TH: 5 and up to 10 years</w:t>
            </w:r>
            <w:r w:rsidRPr="007E56D0">
              <w:rPr>
                <w:rFonts w:asciiTheme="majorHAnsi" w:eastAsia="Times New Roman" w:hAnsiTheme="majorHAnsi" w:cstheme="majorHAnsi"/>
                <w:color w:val="000000"/>
                <w:sz w:val="16"/>
                <w:szCs w:val="16"/>
                <w:lang w:val="en-US" w:eastAsia="de-DE"/>
              </w:rPr>
              <w:br/>
              <w:t>D: 5% for costs and utilities</w:t>
            </w:r>
          </w:p>
        </w:tc>
        <w:tc>
          <w:tcPr>
            <w:tcW w:w="2068" w:type="dxa"/>
          </w:tcPr>
          <w:p w14:paraId="04F763FF" w14:textId="77777777" w:rsidR="000E43D3" w:rsidRPr="007E56D0" w:rsidRDefault="000E43D3"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 3 health states (mRS 0-2, mRS 3-5 and death) at 90 days after stroke.</w:t>
            </w:r>
            <w:r w:rsidRPr="007E56D0">
              <w:rPr>
                <w:rFonts w:asciiTheme="majorHAnsi" w:eastAsia="Times New Roman" w:hAnsiTheme="majorHAnsi" w:cstheme="majorHAnsi"/>
                <w:color w:val="000000"/>
                <w:sz w:val="16"/>
                <w:szCs w:val="16"/>
                <w:lang w:val="en-US" w:eastAsia="de-DE"/>
              </w:rPr>
              <w:t xml:space="preserve"> For the first year, patients could recover, afterwards patients could only keep health state or deteriorate.</w:t>
            </w:r>
          </w:p>
        </w:tc>
        <w:tc>
          <w:tcPr>
            <w:tcW w:w="1284" w:type="dxa"/>
          </w:tcPr>
          <w:p w14:paraId="21C3DFC4" w14:textId="77777777" w:rsidR="000E43D3" w:rsidRPr="007E56D0" w:rsidRDefault="000E43D3"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intermediate recovery phase up to 1 year assumed, where mRS improvement possible</w:t>
            </w:r>
          </w:p>
        </w:tc>
        <w:tc>
          <w:tcPr>
            <w:tcW w:w="1284" w:type="dxa"/>
            <w:shd w:val="clear" w:color="auto" w:fill="auto"/>
            <w:hideMark/>
          </w:tcPr>
          <w:p w14:paraId="726C2988" w14:textId="77777777" w:rsidR="000E43D3" w:rsidRPr="007E56D0" w:rsidRDefault="000E43D3"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Probabilistic cohort simulation</w:t>
            </w:r>
            <w:r w:rsidRPr="007E56D0">
              <w:rPr>
                <w:rFonts w:asciiTheme="majorHAnsi" w:eastAsia="Times New Roman" w:hAnsiTheme="majorHAnsi" w:cstheme="majorHAnsi"/>
                <w:color w:val="000000"/>
                <w:sz w:val="16"/>
                <w:szCs w:val="16"/>
                <w:lang w:val="en-US" w:eastAsia="de-DE"/>
              </w:rPr>
              <w:br/>
              <w:t xml:space="preserve">U: One-way DSA, scenario analyses </w:t>
            </w:r>
          </w:p>
        </w:tc>
        <w:tc>
          <w:tcPr>
            <w:tcW w:w="1441" w:type="dxa"/>
            <w:shd w:val="clear" w:color="auto" w:fill="auto"/>
            <w:hideMark/>
          </w:tcPr>
          <w:p w14:paraId="3A82439D" w14:textId="28CC2966" w:rsidR="000E43D3"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0E43D3" w:rsidRPr="007E56D0">
              <w:rPr>
                <w:rFonts w:asciiTheme="majorHAnsi" w:eastAsia="Times New Roman" w:hAnsiTheme="majorHAnsi" w:cstheme="majorHAnsi"/>
                <w:color w:val="000000"/>
                <w:sz w:val="16"/>
                <w:szCs w:val="16"/>
                <w:lang w:val="en-US" w:eastAsia="de-DE"/>
              </w:rPr>
              <w:t xml:space="preserve"> TPs (only effectiveness), utilities, costs, starting age, discount rate</w:t>
            </w:r>
          </w:p>
          <w:p w14:paraId="3268A598" w14:textId="3B5CE487" w:rsidR="000E43D3"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0E43D3"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73A57D99" w14:textId="77777777" w:rsidR="000E43D3" w:rsidRPr="007E56D0" w:rsidRDefault="000E43D3"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Parameters not reported</w:t>
            </w:r>
          </w:p>
        </w:tc>
        <w:tc>
          <w:tcPr>
            <w:tcW w:w="815" w:type="dxa"/>
            <w:shd w:val="clear" w:color="000000" w:fill="FFFFFF"/>
            <w:hideMark/>
          </w:tcPr>
          <w:p w14:paraId="2ED05E6E" w14:textId="77777777" w:rsidR="000E43D3" w:rsidRPr="007E56D0" w:rsidRDefault="000E43D3"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Internal validation</w:t>
            </w:r>
          </w:p>
        </w:tc>
      </w:tr>
      <w:tr w:rsidR="00795DAB" w:rsidRPr="001E2D03" w14:paraId="2CA240CA" w14:textId="77777777" w:rsidTr="004515C5">
        <w:trPr>
          <w:trHeight w:val="57"/>
          <w:tblCellSpacing w:w="85" w:type="dxa"/>
        </w:trPr>
        <w:tc>
          <w:tcPr>
            <w:tcW w:w="1057" w:type="dxa"/>
            <w:shd w:val="clear" w:color="auto" w:fill="auto"/>
            <w:hideMark/>
          </w:tcPr>
          <w:p w14:paraId="5FB76F8E" w14:textId="3596E6D9" w:rsidR="00795DAB" w:rsidRPr="007E56D0" w:rsidRDefault="000E43D3"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 xml:space="preserve">Steen </w:t>
            </w:r>
            <w:r w:rsidR="00795DAB" w:rsidRPr="007E56D0">
              <w:rPr>
                <w:rFonts w:asciiTheme="majorHAnsi" w:eastAsia="Times New Roman" w:hAnsiTheme="majorHAnsi" w:cstheme="majorHAnsi"/>
                <w:color w:val="000000"/>
                <w:sz w:val="16"/>
                <w:szCs w:val="16"/>
                <w:lang w:val="en-US" w:eastAsia="de-DE"/>
              </w:rPr>
              <w:t xml:space="preserve">Carlsson et al. (2017), </w:t>
            </w:r>
            <w:r w:rsidR="00795DAB" w:rsidRPr="007E56D0">
              <w:rPr>
                <w:rFonts w:asciiTheme="majorHAnsi" w:eastAsia="Times New Roman" w:hAnsiTheme="majorHAnsi" w:cstheme="majorHAnsi"/>
                <w:color w:val="000000"/>
                <w:sz w:val="16"/>
                <w:szCs w:val="16"/>
                <w:lang w:val="en-US" w:eastAsia="de-DE"/>
              </w:rPr>
              <w:lastRenderedPageBreak/>
              <w:t xml:space="preserve">Sweden, none declared </w:t>
            </w:r>
            <w:r w:rsidR="00215B90">
              <w:rPr>
                <w:rFonts w:asciiTheme="majorHAnsi" w:eastAsia="Times New Roman" w:hAnsiTheme="majorHAnsi" w:cstheme="majorHAnsi"/>
                <w:color w:val="000000"/>
                <w:sz w:val="16"/>
                <w:szCs w:val="16"/>
                <w:lang w:val="en-US" w:eastAsia="de-DE"/>
              </w:rPr>
              <w:t>[13]</w:t>
            </w:r>
            <w:hyperlink w:anchor="_CTVL0013b8fd44513394d51a2b7fc7ad0f5203e" w:tooltip="Steen Carlsson, K., Andsberg, G., Petersson, J., and Norrving, B. 2017. Long-term cost-effectiveness of thrombectomy for acute ischaemic stroke in rea…" w:history="1"/>
          </w:p>
        </w:tc>
        <w:tc>
          <w:tcPr>
            <w:tcW w:w="903" w:type="dxa"/>
          </w:tcPr>
          <w:p w14:paraId="7CC7ED2B" w14:textId="6D51CD3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C: TBY after thrombolysis vs. thrombolys</w:t>
            </w:r>
            <w:r w:rsidRPr="007E56D0">
              <w:rPr>
                <w:rFonts w:asciiTheme="majorHAnsi" w:eastAsia="Times New Roman" w:hAnsiTheme="majorHAnsi" w:cstheme="majorHAnsi"/>
                <w:color w:val="000000"/>
                <w:sz w:val="16"/>
                <w:szCs w:val="16"/>
                <w:lang w:val="en-US" w:eastAsia="de-DE"/>
              </w:rPr>
              <w:lastRenderedPageBreak/>
              <w:t>is alone</w:t>
            </w:r>
            <w:r w:rsidRPr="007E56D0">
              <w:rPr>
                <w:rFonts w:asciiTheme="majorHAnsi" w:eastAsia="Times New Roman" w:hAnsiTheme="majorHAnsi" w:cstheme="majorHAnsi"/>
                <w:color w:val="000000"/>
                <w:sz w:val="16"/>
                <w:szCs w:val="16"/>
                <w:lang w:val="en-US" w:eastAsia="de-DE"/>
              </w:rPr>
              <w:br/>
              <w:t>O: ICUR (£/QALY)</w:t>
            </w:r>
          </w:p>
        </w:tc>
        <w:tc>
          <w:tcPr>
            <w:tcW w:w="989" w:type="dxa"/>
            <w:shd w:val="clear" w:color="auto" w:fill="auto"/>
            <w:hideMark/>
          </w:tcPr>
          <w:p w14:paraId="6C4E2C2C"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Societal perspective</w:t>
            </w:r>
          </w:p>
        </w:tc>
        <w:tc>
          <w:tcPr>
            <w:tcW w:w="808" w:type="dxa"/>
            <w:shd w:val="clear" w:color="auto" w:fill="auto"/>
            <w:hideMark/>
          </w:tcPr>
          <w:p w14:paraId="0E018A39" w14:textId="131878E9" w:rsidR="00A00623" w:rsidRPr="00A00623" w:rsidRDefault="00795DAB" w:rsidP="009879CF">
            <w:pPr>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&lt;65/65–74/75–84 years</w:t>
            </w:r>
            <w:r w:rsidR="00387D8E" w:rsidRPr="007E56D0">
              <w:rPr>
                <w:rFonts w:asciiTheme="majorHAnsi" w:hAnsiTheme="majorHAnsi" w:cstheme="majorHAnsi"/>
                <w:color w:val="000000"/>
                <w:sz w:val="16"/>
                <w:szCs w:val="16"/>
                <w:lang w:val="en-US"/>
              </w:rPr>
              <w:t xml:space="preserve"> </w:t>
            </w:r>
            <w:r w:rsidR="00387D8E" w:rsidRPr="007E56D0">
              <w:rPr>
                <w:rFonts w:asciiTheme="majorHAnsi" w:hAnsiTheme="majorHAnsi" w:cstheme="majorHAnsi"/>
                <w:color w:val="000000"/>
                <w:sz w:val="16"/>
                <w:szCs w:val="16"/>
                <w:lang w:val="en-US"/>
              </w:rPr>
              <w:lastRenderedPageBreak/>
              <w:t>(depending on scenario)</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DS: NIHSS ≥ 8</w:t>
            </w:r>
          </w:p>
        </w:tc>
        <w:tc>
          <w:tcPr>
            <w:tcW w:w="1025" w:type="dxa"/>
            <w:shd w:val="clear" w:color="auto" w:fill="auto"/>
            <w:hideMark/>
          </w:tcPr>
          <w:p w14:paraId="6C207875" w14:textId="55A7F1D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25 years</w:t>
            </w:r>
            <w:r w:rsidRPr="007E56D0">
              <w:rPr>
                <w:rFonts w:asciiTheme="majorHAnsi" w:eastAsia="Times New Roman" w:hAnsiTheme="majorHAnsi" w:cstheme="majorHAnsi"/>
                <w:color w:val="000000"/>
                <w:sz w:val="16"/>
                <w:szCs w:val="16"/>
                <w:lang w:val="en-US" w:eastAsia="de-DE"/>
              </w:rPr>
              <w:br/>
              <w:t xml:space="preserve">D: 3% for </w:t>
            </w:r>
            <w:r w:rsidRPr="007E56D0">
              <w:rPr>
                <w:rFonts w:asciiTheme="majorHAnsi" w:eastAsia="Times New Roman" w:hAnsiTheme="majorHAnsi" w:cstheme="majorHAnsi"/>
                <w:color w:val="000000"/>
                <w:sz w:val="16"/>
                <w:szCs w:val="16"/>
                <w:lang w:val="en-US" w:eastAsia="de-DE"/>
              </w:rPr>
              <w:lastRenderedPageBreak/>
              <w:t>costs and utilities</w:t>
            </w:r>
          </w:p>
        </w:tc>
        <w:tc>
          <w:tcPr>
            <w:tcW w:w="2068" w:type="dxa"/>
          </w:tcPr>
          <w:p w14:paraId="06FBA423" w14:textId="279BA3A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lastRenderedPageBreak/>
              <w:t xml:space="preserve">Decision tree with the 2 treatments followed by a Markov model with </w:t>
            </w:r>
            <w:r w:rsidRPr="007E56D0">
              <w:rPr>
                <w:rFonts w:asciiTheme="majorHAnsi" w:eastAsia="Times New Roman" w:hAnsiTheme="majorHAnsi" w:cstheme="majorHAnsi"/>
                <w:color w:val="000000"/>
                <w:sz w:val="16"/>
                <w:szCs w:val="16"/>
                <w:lang w:val="en-US" w:eastAsia="de-DE"/>
              </w:rPr>
              <w:t xml:space="preserve">7 health states (mRS 0-5 and death) at </w:t>
            </w:r>
            <w:r w:rsidRPr="007E56D0">
              <w:rPr>
                <w:rFonts w:asciiTheme="majorHAnsi" w:eastAsia="Times New Roman" w:hAnsiTheme="majorHAnsi" w:cstheme="majorHAnsi"/>
                <w:color w:val="000000"/>
                <w:sz w:val="16"/>
                <w:szCs w:val="16"/>
                <w:lang w:val="en-US" w:eastAsia="de-DE"/>
              </w:rPr>
              <w:lastRenderedPageBreak/>
              <w:t>90 days after stroke</w:t>
            </w:r>
            <w:r w:rsidRPr="007E56D0">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color w:val="000000"/>
                <w:sz w:val="16"/>
                <w:szCs w:val="16"/>
                <w:lang w:val="en-US" w:eastAsia="de-DE"/>
              </w:rPr>
              <w:t>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62ED24B2" w14:textId="5214EF1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recurrences modeled</w:t>
            </w:r>
            <w:r w:rsidRPr="007E56D0">
              <w:rPr>
                <w:rFonts w:asciiTheme="majorHAnsi" w:eastAsia="Times New Roman" w:hAnsiTheme="majorHAnsi" w:cstheme="majorHAnsi"/>
                <w:color w:val="000000"/>
                <w:sz w:val="16"/>
                <w:szCs w:val="16"/>
                <w:lang w:val="en-US" w:eastAsia="de-DE"/>
              </w:rPr>
              <w:br/>
              <w:t xml:space="preserve">- only deterioration </w:t>
            </w:r>
            <w:r w:rsidRPr="007E56D0">
              <w:rPr>
                <w:rFonts w:asciiTheme="majorHAnsi" w:eastAsia="Times New Roman" w:hAnsiTheme="majorHAnsi" w:cstheme="majorHAnsi"/>
                <w:color w:val="000000"/>
                <w:sz w:val="16"/>
                <w:szCs w:val="16"/>
                <w:lang w:val="en-US" w:eastAsia="de-DE"/>
              </w:rPr>
              <w:lastRenderedPageBreak/>
              <w:t>after recurrence possible</w:t>
            </w:r>
          </w:p>
        </w:tc>
        <w:tc>
          <w:tcPr>
            <w:tcW w:w="1284" w:type="dxa"/>
            <w:shd w:val="clear" w:color="auto" w:fill="auto"/>
            <w:hideMark/>
          </w:tcPr>
          <w:p w14:paraId="654C15F4" w14:textId="4A7BBDE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A: Deterministic cohort simulation</w:t>
            </w:r>
            <w:r w:rsidRPr="007E56D0">
              <w:rPr>
                <w:rFonts w:asciiTheme="majorHAnsi" w:eastAsia="Times New Roman" w:hAnsiTheme="majorHAnsi" w:cstheme="majorHAnsi"/>
                <w:color w:val="000000"/>
                <w:sz w:val="16"/>
                <w:szCs w:val="16"/>
                <w:lang w:val="en-US" w:eastAsia="de-DE"/>
              </w:rPr>
              <w:br/>
              <w:t>U: One-way DSA</w:t>
            </w:r>
            <w:r w:rsidR="002A595E"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t xml:space="preserve"> scenario analyses </w:t>
            </w:r>
          </w:p>
        </w:tc>
        <w:tc>
          <w:tcPr>
            <w:tcW w:w="1441" w:type="dxa"/>
            <w:shd w:val="clear" w:color="auto" w:fill="auto"/>
            <w:hideMark/>
          </w:tcPr>
          <w:p w14:paraId="08DC6859" w14:textId="75B7EAE7"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incl. recurrences), </w:t>
            </w:r>
            <w:r w:rsidR="00795DAB" w:rsidRPr="007E56D0">
              <w:rPr>
                <w:rFonts w:asciiTheme="majorHAnsi" w:eastAsia="Times New Roman" w:hAnsiTheme="majorHAnsi" w:cstheme="majorHAnsi"/>
                <w:color w:val="000000"/>
                <w:sz w:val="16"/>
                <w:szCs w:val="16"/>
                <w:lang w:val="en-US" w:eastAsia="de-DE"/>
              </w:rPr>
              <w:lastRenderedPageBreak/>
              <w:t>utilities, costs, starting age, time horizon, discount rate</w:t>
            </w:r>
          </w:p>
          <w:p w14:paraId="34EED29C" w14:textId="2BBB9448" w:rsidR="00795DAB" w:rsidRPr="007E56D0" w:rsidRDefault="001E320F" w:rsidP="009879CF">
            <w:pPr>
              <w:spacing w:after="0" w:line="240" w:lineRule="auto"/>
              <w:rPr>
                <w:rFonts w:asciiTheme="majorHAnsi" w:eastAsia="Times New Roman" w:hAnsiTheme="majorHAnsi" w:cstheme="majorHAnsi"/>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w:t>
            </w:r>
            <w:r w:rsidR="00795DAB" w:rsidRPr="007E56D0">
              <w:rPr>
                <w:rFonts w:asciiTheme="majorHAnsi" w:eastAsia="Times New Roman" w:hAnsiTheme="majorHAnsi" w:cstheme="majorHAnsi"/>
                <w:sz w:val="16"/>
                <w:szCs w:val="16"/>
                <w:lang w:val="en-US" w:eastAsia="de-DE"/>
              </w:rPr>
              <w:t xml:space="preserve">20% for some costs </w:t>
            </w:r>
          </w:p>
        </w:tc>
        <w:tc>
          <w:tcPr>
            <w:tcW w:w="964" w:type="dxa"/>
            <w:shd w:val="clear" w:color="auto" w:fill="auto"/>
            <w:hideMark/>
          </w:tcPr>
          <w:p w14:paraId="49127D9E" w14:textId="2B70C6A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xml:space="preserve">Not </w:t>
            </w:r>
            <w:r w:rsidR="001C5686" w:rsidRPr="007E56D0">
              <w:rPr>
                <w:rFonts w:asciiTheme="majorHAnsi" w:eastAsia="Times New Roman" w:hAnsiTheme="majorHAnsi" w:cstheme="majorHAnsi"/>
                <w:color w:val="000000"/>
                <w:sz w:val="16"/>
                <w:szCs w:val="16"/>
                <w:lang w:val="en-US" w:eastAsia="de-DE"/>
              </w:rPr>
              <w:t>assessed</w:t>
            </w:r>
          </w:p>
        </w:tc>
        <w:tc>
          <w:tcPr>
            <w:tcW w:w="815" w:type="dxa"/>
            <w:shd w:val="clear" w:color="000000" w:fill="FFFFFF"/>
            <w:hideMark/>
          </w:tcPr>
          <w:p w14:paraId="6569F328"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cross and external validation</w:t>
            </w:r>
          </w:p>
        </w:tc>
      </w:tr>
      <w:tr w:rsidR="00795DAB" w:rsidRPr="001E2D03" w14:paraId="426307AF" w14:textId="77777777" w:rsidTr="004515C5">
        <w:trPr>
          <w:tblCellSpacing w:w="85" w:type="dxa"/>
        </w:trPr>
        <w:tc>
          <w:tcPr>
            <w:tcW w:w="1057" w:type="dxa"/>
            <w:shd w:val="clear" w:color="auto" w:fill="auto"/>
            <w:hideMark/>
          </w:tcPr>
          <w:p w14:paraId="4BB1477D" w14:textId="7DD5D5E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Arora et al. (2018), Australia, manufacturer funding </w:t>
            </w:r>
            <w:r w:rsidR="00215B90">
              <w:rPr>
                <w:rFonts w:asciiTheme="majorHAnsi" w:eastAsia="Times New Roman" w:hAnsiTheme="majorHAnsi" w:cstheme="majorHAnsi"/>
                <w:color w:val="000000"/>
                <w:sz w:val="16"/>
                <w:szCs w:val="16"/>
                <w:lang w:val="en-US" w:eastAsia="de-DE"/>
              </w:rPr>
              <w:t>[14]</w:t>
            </w:r>
            <w:hyperlink w:anchor="_CTVL0019077dc6549e644cea46e942d64cdef7e" w:tooltip="Arora, N., Makino, K., Tilden, D., Lobotesis, K., Mitchell, P., and Gillespie, J. 2018. Cost-effectiveness of mechanical thrombectomy for acute ischem…" w:history="1"/>
          </w:p>
        </w:tc>
        <w:tc>
          <w:tcPr>
            <w:tcW w:w="903" w:type="dxa"/>
          </w:tcPr>
          <w:p w14:paraId="72E22D63" w14:textId="5FDB88F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EVT </w:t>
            </w:r>
            <w:r w:rsidR="005F1128" w:rsidRPr="007E56D0">
              <w:rPr>
                <w:rFonts w:asciiTheme="majorHAnsi" w:eastAsia="Times New Roman" w:hAnsiTheme="majorHAnsi" w:cstheme="majorHAnsi"/>
                <w:color w:val="000000"/>
                <w:sz w:val="16"/>
                <w:szCs w:val="16"/>
                <w:lang w:val="en-US" w:eastAsia="de-DE"/>
              </w:rPr>
              <w:t>(incl. IVT</w:t>
            </w:r>
            <w:r w:rsidRPr="007E56D0">
              <w:rPr>
                <w:rFonts w:asciiTheme="majorHAnsi" w:eastAsia="Times New Roman" w:hAnsiTheme="majorHAnsi" w:cstheme="majorHAnsi"/>
                <w:color w:val="000000"/>
                <w:sz w:val="16"/>
                <w:szCs w:val="16"/>
                <w:lang w:val="en-US" w:eastAsia="de-DE"/>
              </w:rPr>
              <w:t xml:space="preserve">) + usual care vs. usual care alone </w:t>
            </w:r>
            <w:r w:rsidR="005F1128" w:rsidRPr="007E56D0">
              <w:rPr>
                <w:rFonts w:asciiTheme="majorHAnsi" w:eastAsia="Times New Roman" w:hAnsiTheme="majorHAnsi" w:cstheme="majorHAnsi"/>
                <w:color w:val="000000"/>
                <w:sz w:val="16"/>
                <w:szCs w:val="16"/>
                <w:lang w:val="en-US" w:eastAsia="de-DE"/>
              </w:rPr>
              <w:t>(</w:t>
            </w:r>
            <w:r w:rsidR="00352A05" w:rsidRPr="007E56D0">
              <w:rPr>
                <w:rFonts w:asciiTheme="majorHAnsi" w:eastAsia="Times New Roman" w:hAnsiTheme="majorHAnsi" w:cstheme="majorHAnsi"/>
                <w:color w:val="000000"/>
                <w:sz w:val="16"/>
                <w:szCs w:val="16"/>
                <w:lang w:val="en-US" w:eastAsia="de-DE"/>
              </w:rPr>
              <w:t xml:space="preserve">incl. </w:t>
            </w:r>
            <w:r w:rsidRPr="007E56D0">
              <w:rPr>
                <w:rFonts w:asciiTheme="majorHAnsi" w:eastAsia="Times New Roman" w:hAnsiTheme="majorHAnsi" w:cstheme="majorHAnsi"/>
                <w:color w:val="000000"/>
                <w:sz w:val="16"/>
                <w:szCs w:val="16"/>
                <w:lang w:val="en-US" w:eastAsia="de-DE"/>
              </w:rPr>
              <w:t>IVT</w:t>
            </w:r>
            <w:r w:rsidR="00352A05"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br/>
              <w:t xml:space="preserve">O: ICUR ($AUD/QALY) </w:t>
            </w:r>
          </w:p>
        </w:tc>
        <w:tc>
          <w:tcPr>
            <w:tcW w:w="989" w:type="dxa"/>
            <w:shd w:val="clear" w:color="auto" w:fill="auto"/>
            <w:hideMark/>
          </w:tcPr>
          <w:p w14:paraId="71A1E261" w14:textId="6372C5C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perspective</w:t>
            </w:r>
          </w:p>
        </w:tc>
        <w:tc>
          <w:tcPr>
            <w:tcW w:w="808" w:type="dxa"/>
            <w:shd w:val="clear" w:color="auto" w:fill="auto"/>
            <w:hideMark/>
          </w:tcPr>
          <w:p w14:paraId="6A76A28A" w14:textId="3DF43CC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68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r>
            <w:r w:rsidR="0073487E" w:rsidRPr="007E56D0">
              <w:rPr>
                <w:rFonts w:asciiTheme="majorHAnsi" w:hAnsiTheme="majorHAnsi" w:cstheme="majorHAnsi"/>
                <w:color w:val="000000"/>
                <w:sz w:val="16"/>
                <w:szCs w:val="16"/>
                <w:lang w:val="en-US"/>
              </w:rPr>
              <w:t>DS: Large vessel occlusion</w:t>
            </w:r>
          </w:p>
        </w:tc>
        <w:tc>
          <w:tcPr>
            <w:tcW w:w="1025" w:type="dxa"/>
            <w:shd w:val="clear" w:color="auto" w:fill="auto"/>
            <w:hideMark/>
          </w:tcPr>
          <w:p w14:paraId="64467959" w14:textId="24E45D8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 (max. 100 years)</w:t>
            </w:r>
            <w:r w:rsidRPr="007E56D0">
              <w:rPr>
                <w:rFonts w:asciiTheme="majorHAnsi" w:eastAsia="Times New Roman" w:hAnsiTheme="majorHAnsi" w:cstheme="majorHAnsi"/>
                <w:color w:val="000000"/>
                <w:sz w:val="16"/>
                <w:szCs w:val="16"/>
                <w:lang w:val="en-US" w:eastAsia="de-DE"/>
              </w:rPr>
              <w:br/>
              <w:t>D: 5% for costs and utilities</w:t>
            </w:r>
          </w:p>
        </w:tc>
        <w:tc>
          <w:tcPr>
            <w:tcW w:w="2068" w:type="dxa"/>
          </w:tcPr>
          <w:p w14:paraId="3EC491DB" w14:textId="541D3DC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 xml:space="preserve">Decision tree with the 2 treatments (modelled in three stages: up to 7 days, 90 days and one year after stroke) followed by a Markov model with </w:t>
            </w:r>
            <w:r w:rsidRPr="007E56D0">
              <w:rPr>
                <w:rFonts w:asciiTheme="majorHAnsi" w:eastAsia="Times New Roman" w:hAnsiTheme="majorHAnsi" w:cstheme="majorHAnsi"/>
                <w:color w:val="000000"/>
                <w:sz w:val="16"/>
                <w:szCs w:val="16"/>
                <w:lang w:val="en-US" w:eastAsia="de-DE"/>
              </w:rPr>
              <w:t>7 health states (mRS 0-5 and death) at 1 year after stroke.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50CE4697" w14:textId="07ABC1A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r w:rsidRPr="007E56D0">
              <w:rPr>
                <w:rFonts w:asciiTheme="majorHAnsi" w:eastAsia="Times New Roman" w:hAnsiTheme="majorHAnsi" w:cstheme="majorHAnsi"/>
                <w:color w:val="000000"/>
                <w:sz w:val="16"/>
                <w:szCs w:val="16"/>
                <w:lang w:val="en-US" w:eastAsia="de-DE"/>
              </w:rPr>
              <w:br/>
              <w:t>- "all recurrent strokes are managed on</w:t>
            </w:r>
            <w:r w:rsidRPr="007E56D0">
              <w:rPr>
                <w:rFonts w:asciiTheme="majorHAnsi" w:eastAsia="Times New Roman" w:hAnsiTheme="majorHAnsi" w:cstheme="majorHAnsi"/>
                <w:color w:val="000000"/>
                <w:sz w:val="16"/>
                <w:szCs w:val="16"/>
                <w:lang w:val="en-US" w:eastAsia="de-DE"/>
              </w:rPr>
              <w:br/>
              <w:t>usual care with no MT"</w:t>
            </w:r>
            <w:r w:rsidRPr="007E56D0">
              <w:rPr>
                <w:rFonts w:asciiTheme="majorHAnsi" w:eastAsia="Times New Roman" w:hAnsiTheme="majorHAnsi" w:cstheme="majorHAnsi"/>
                <w:color w:val="000000"/>
                <w:sz w:val="16"/>
                <w:szCs w:val="16"/>
                <w:lang w:val="en-US" w:eastAsia="de-DE"/>
              </w:rPr>
              <w:br/>
              <w:t>- intermediate recovery phase up to 1 year assumed, where mRS improvement possible</w:t>
            </w:r>
          </w:p>
        </w:tc>
        <w:tc>
          <w:tcPr>
            <w:tcW w:w="1284" w:type="dxa"/>
            <w:shd w:val="clear" w:color="auto" w:fill="auto"/>
            <w:hideMark/>
          </w:tcPr>
          <w:p w14:paraId="76DED4FA" w14:textId="52625BB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w:t>
            </w:r>
          </w:p>
        </w:tc>
        <w:tc>
          <w:tcPr>
            <w:tcW w:w="1441" w:type="dxa"/>
            <w:shd w:val="clear" w:color="auto" w:fill="auto"/>
            <w:hideMark/>
          </w:tcPr>
          <w:p w14:paraId="7D406A07" w14:textId="340AAD5C"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incl. recurrences), utilities, costs, time horizon</w:t>
            </w:r>
            <w:r w:rsidR="00795DAB" w:rsidRPr="007E56D0">
              <w:rPr>
                <w:rFonts w:asciiTheme="majorHAnsi" w:eastAsia="Times New Roman" w:hAnsiTheme="majorHAnsi" w:cstheme="majorHAnsi"/>
                <w:color w:val="000000"/>
                <w:sz w:val="16"/>
                <w:szCs w:val="16"/>
                <w:lang w:val="en-US" w:eastAsia="de-DE"/>
              </w:rPr>
              <w:br/>
            </w: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±50% for some costs</w:t>
            </w:r>
          </w:p>
        </w:tc>
        <w:tc>
          <w:tcPr>
            <w:tcW w:w="964" w:type="dxa"/>
            <w:shd w:val="clear" w:color="auto" w:fill="auto"/>
            <w:hideMark/>
          </w:tcPr>
          <w:p w14:paraId="2B308515" w14:textId="545A63B8" w:rsidR="00795DAB" w:rsidRPr="007E56D0" w:rsidRDefault="00980EB8"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Not assessed</w:t>
            </w:r>
          </w:p>
        </w:tc>
        <w:tc>
          <w:tcPr>
            <w:tcW w:w="815" w:type="dxa"/>
            <w:shd w:val="clear" w:color="000000" w:fill="FFFFFF"/>
            <w:hideMark/>
          </w:tcPr>
          <w:p w14:paraId="7F6E37E3"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cross and external validation</w:t>
            </w:r>
          </w:p>
        </w:tc>
      </w:tr>
      <w:tr w:rsidR="00795DAB" w:rsidRPr="004515C5" w14:paraId="4960065F" w14:textId="77777777" w:rsidTr="004515C5">
        <w:trPr>
          <w:tblCellSpacing w:w="85" w:type="dxa"/>
        </w:trPr>
        <w:tc>
          <w:tcPr>
            <w:tcW w:w="1057" w:type="dxa"/>
            <w:shd w:val="clear" w:color="auto" w:fill="auto"/>
            <w:hideMark/>
          </w:tcPr>
          <w:p w14:paraId="6C2AA71A" w14:textId="4AD6823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Pan et al. (2018), China, public funding </w:t>
            </w:r>
            <w:r w:rsidR="00215B90">
              <w:rPr>
                <w:rFonts w:asciiTheme="majorHAnsi" w:eastAsia="Times New Roman" w:hAnsiTheme="majorHAnsi" w:cstheme="majorHAnsi"/>
                <w:color w:val="000000"/>
                <w:sz w:val="16"/>
                <w:szCs w:val="16"/>
                <w:lang w:val="en-US" w:eastAsia="de-DE"/>
              </w:rPr>
              <w:t>[15]</w:t>
            </w:r>
            <w:hyperlink w:anchor="_CTVL0012e496a0821ac45699549b5f115958ffd" w:tooltip="Pan, Y., Cai, X., Huo, X., Zhao, X., Liu, L., Wang, Y., and Miao, Z. 2018. Cost-effectiveness of mechanical thrombectomy within 6 hours of acute ischa…" w:history="1"/>
          </w:p>
        </w:tc>
        <w:tc>
          <w:tcPr>
            <w:tcW w:w="903" w:type="dxa"/>
          </w:tcPr>
          <w:p w14:paraId="5632C845" w14:textId="042365E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MT </w:t>
            </w:r>
            <w:r w:rsidR="00352A05"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t xml:space="preserve">stent retriever within 6h </w:t>
            </w:r>
            <w:r w:rsidR="00967B3D" w:rsidRPr="007E56D0">
              <w:rPr>
                <w:rFonts w:asciiTheme="majorHAnsi" w:eastAsia="Times New Roman" w:hAnsiTheme="majorHAnsi" w:cstheme="majorHAnsi"/>
                <w:color w:val="000000"/>
                <w:sz w:val="16"/>
                <w:szCs w:val="16"/>
                <w:lang w:val="en-US" w:eastAsia="de-DE"/>
              </w:rPr>
              <w:t>incl. IV-tPA</w:t>
            </w:r>
            <w:r w:rsidRPr="007E56D0">
              <w:rPr>
                <w:rFonts w:asciiTheme="majorHAnsi" w:eastAsia="Times New Roman" w:hAnsiTheme="majorHAnsi" w:cstheme="majorHAnsi"/>
                <w:color w:val="000000"/>
                <w:sz w:val="16"/>
                <w:szCs w:val="16"/>
                <w:lang w:val="en-US" w:eastAsia="de-DE"/>
              </w:rPr>
              <w:t xml:space="preserve"> within 4.5h</w:t>
            </w:r>
            <w:r w:rsidR="00352A05"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t xml:space="preserve"> vs. IV-tPA within 4.5h alone</w:t>
            </w:r>
            <w:r w:rsidRPr="007E56D0">
              <w:rPr>
                <w:rFonts w:asciiTheme="majorHAnsi" w:eastAsia="Times New Roman" w:hAnsiTheme="majorHAnsi" w:cstheme="majorHAnsi"/>
                <w:color w:val="000000"/>
                <w:sz w:val="16"/>
                <w:szCs w:val="16"/>
                <w:lang w:val="en-US" w:eastAsia="de-DE"/>
              </w:rPr>
              <w:br/>
              <w:t>O: ICUR (¥/QALY)</w:t>
            </w:r>
          </w:p>
        </w:tc>
        <w:tc>
          <w:tcPr>
            <w:tcW w:w="989" w:type="dxa"/>
            <w:shd w:val="clear" w:color="auto" w:fill="auto"/>
            <w:hideMark/>
          </w:tcPr>
          <w:p w14:paraId="753D2B90" w14:textId="037155A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perspective</w:t>
            </w:r>
          </w:p>
        </w:tc>
        <w:tc>
          <w:tcPr>
            <w:tcW w:w="808" w:type="dxa"/>
            <w:shd w:val="clear" w:color="auto" w:fill="auto"/>
            <w:hideMark/>
          </w:tcPr>
          <w:p w14:paraId="7431F393" w14:textId="0A6CF2D0" w:rsidR="00795DAB" w:rsidRPr="007E56D0" w:rsidRDefault="00795DAB"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63 years</w:t>
            </w:r>
            <w:r w:rsidRPr="007E56D0">
              <w:rPr>
                <w:rFonts w:asciiTheme="majorHAnsi" w:hAnsiTheme="majorHAnsi" w:cstheme="majorHAnsi"/>
                <w:color w:val="000000"/>
                <w:sz w:val="16"/>
                <w:szCs w:val="16"/>
                <w:lang w:val="en-US"/>
              </w:rPr>
              <w:br/>
              <w:t>G: 36% female</w:t>
            </w:r>
            <w:r w:rsidRPr="007E56D0">
              <w:rPr>
                <w:rFonts w:asciiTheme="majorHAnsi" w:hAnsiTheme="majorHAnsi" w:cstheme="majorHAnsi"/>
                <w:color w:val="000000"/>
                <w:sz w:val="16"/>
                <w:szCs w:val="16"/>
                <w:lang w:val="en-US"/>
              </w:rPr>
              <w:br/>
              <w:t xml:space="preserve">DS: </w:t>
            </w:r>
            <w:r w:rsidR="00662D04" w:rsidRPr="007E56D0">
              <w:rPr>
                <w:rFonts w:asciiTheme="majorHAnsi" w:hAnsiTheme="majorHAnsi" w:cstheme="majorHAnsi"/>
                <w:color w:val="000000"/>
                <w:sz w:val="16"/>
                <w:szCs w:val="16"/>
                <w:lang w:val="en-US"/>
              </w:rPr>
              <w:t>Proximal anterior circulation intracranial occlusion</w:t>
            </w:r>
          </w:p>
          <w:p w14:paraId="648AB3F8" w14:textId="3B5A386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br/>
            </w:r>
          </w:p>
        </w:tc>
        <w:tc>
          <w:tcPr>
            <w:tcW w:w="1025" w:type="dxa"/>
            <w:shd w:val="clear" w:color="auto" w:fill="auto"/>
            <w:hideMark/>
          </w:tcPr>
          <w:p w14:paraId="3827266F" w14:textId="7FC2EB3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30 years</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5A2CFF11" w14:textId="00D829C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 xml:space="preserve">Decision tree with the 2 treatments, followed by </w:t>
            </w:r>
            <w:r w:rsidRPr="007E56D0">
              <w:rPr>
                <w:rFonts w:asciiTheme="majorHAnsi" w:eastAsia="Times New Roman" w:hAnsiTheme="majorHAnsi" w:cstheme="majorHAnsi"/>
                <w:color w:val="000000"/>
                <w:sz w:val="16"/>
                <w:szCs w:val="16"/>
                <w:lang w:val="en-US" w:eastAsia="de-DE"/>
              </w:rPr>
              <w:t>sICH vs. no sICH</w:t>
            </w:r>
            <w:r w:rsidRPr="007E56D0">
              <w:rPr>
                <w:rFonts w:asciiTheme="majorHAnsi" w:eastAsia="Times New Roman" w:hAnsiTheme="majorHAnsi" w:cstheme="majorHAnsi"/>
                <w:sz w:val="16"/>
                <w:szCs w:val="16"/>
                <w:lang w:val="en-US" w:eastAsia="de-DE"/>
              </w:rPr>
              <w:t xml:space="preserve">, followed by a Markov model with 3 health: </w:t>
            </w:r>
            <w:r w:rsidRPr="007E56D0">
              <w:rPr>
                <w:rFonts w:asciiTheme="majorHAnsi" w:eastAsia="Times New Roman" w:hAnsiTheme="majorHAnsi" w:cstheme="majorHAnsi"/>
                <w:color w:val="000000"/>
                <w:sz w:val="16"/>
                <w:szCs w:val="16"/>
                <w:lang w:val="en-US" w:eastAsia="de-DE"/>
              </w:rPr>
              <w:t>independence (mRS 0-2), disability (mRS 3-5), death (mRS 6).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3167DF39" w14:textId="123EFD5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60DF24AF" w14:textId="57F68643"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w:t>
            </w:r>
            <w:r w:rsidR="002A595E" w:rsidRPr="007E56D0">
              <w:rPr>
                <w:rFonts w:asciiTheme="majorHAnsi" w:eastAsia="Times New Roman" w:hAnsiTheme="majorHAnsi" w:cstheme="majorHAnsi"/>
                <w:color w:val="000000"/>
                <w:sz w:val="16"/>
                <w:szCs w:val="16"/>
                <w:lang w:val="en-US" w:eastAsia="de-DE"/>
              </w:rPr>
              <w:t xml:space="preserve">, </w:t>
            </w:r>
            <w:r w:rsidRPr="007E56D0">
              <w:rPr>
                <w:rFonts w:asciiTheme="majorHAnsi" w:eastAsia="Times New Roman" w:hAnsiTheme="majorHAnsi" w:cstheme="majorHAnsi"/>
                <w:color w:val="000000"/>
                <w:sz w:val="16"/>
                <w:szCs w:val="16"/>
                <w:lang w:val="en-US" w:eastAsia="de-DE"/>
              </w:rPr>
              <w:t>PSA</w:t>
            </w:r>
          </w:p>
        </w:tc>
        <w:tc>
          <w:tcPr>
            <w:tcW w:w="1441" w:type="dxa"/>
            <w:shd w:val="clear" w:color="auto" w:fill="auto"/>
            <w:hideMark/>
          </w:tcPr>
          <w:p w14:paraId="6D9482ED" w14:textId="3955E4E9"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incl. recurrences), utilities, costs, time horizon, discount rate</w:t>
            </w:r>
            <w:r w:rsidR="00795DAB" w:rsidRPr="007E56D0">
              <w:rPr>
                <w:rFonts w:asciiTheme="majorHAnsi" w:eastAsia="Times New Roman" w:hAnsiTheme="majorHAnsi" w:cstheme="majorHAnsi"/>
                <w:color w:val="000000"/>
                <w:sz w:val="16"/>
                <w:szCs w:val="16"/>
                <w:lang w:val="en-US" w:eastAsia="de-DE"/>
              </w:rPr>
              <w:br/>
            </w: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±20% discount; 10, 25, 50% for some costs</w:t>
            </w:r>
          </w:p>
        </w:tc>
        <w:tc>
          <w:tcPr>
            <w:tcW w:w="964" w:type="dxa"/>
            <w:shd w:val="clear" w:color="auto" w:fill="auto"/>
            <w:hideMark/>
          </w:tcPr>
          <w:p w14:paraId="756FC258" w14:textId="62D8A30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TPs (effectiveness: beta/lognormal, recurrence/mortality: beta), utilities: beta, costs: lognormal, </w:t>
            </w:r>
            <w:r w:rsidRPr="007E56D0">
              <w:rPr>
                <w:rFonts w:asciiTheme="majorHAnsi" w:eastAsia="Times New Roman" w:hAnsiTheme="majorHAnsi" w:cstheme="majorHAnsi"/>
                <w:color w:val="000000"/>
                <w:sz w:val="16"/>
                <w:szCs w:val="16"/>
                <w:lang w:val="en-US" w:eastAsia="de-DE"/>
              </w:rPr>
              <w:br/>
            </w:r>
            <w:r w:rsidR="00BD592E" w:rsidRPr="007E56D0">
              <w:rPr>
                <w:rFonts w:asciiTheme="majorHAnsi" w:eastAsia="Times New Roman" w:hAnsiTheme="majorHAnsi" w:cstheme="majorHAnsi"/>
                <w:color w:val="000000"/>
                <w:sz w:val="16"/>
                <w:szCs w:val="16"/>
                <w:lang w:val="en-US" w:eastAsia="de-DE"/>
              </w:rPr>
              <w:t>discount rate</w:t>
            </w:r>
            <w:r w:rsidRPr="007E56D0">
              <w:rPr>
                <w:rFonts w:asciiTheme="majorHAnsi" w:eastAsia="Times New Roman" w:hAnsiTheme="majorHAnsi" w:cstheme="majorHAnsi"/>
                <w:color w:val="000000"/>
                <w:sz w:val="16"/>
                <w:szCs w:val="16"/>
                <w:lang w:val="en-US" w:eastAsia="de-DE"/>
              </w:rPr>
              <w:t xml:space="preserve">: beta </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5B7F9ABC"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4515C5" w14:paraId="41F04672" w14:textId="77777777" w:rsidTr="004515C5">
        <w:trPr>
          <w:tblCellSpacing w:w="85" w:type="dxa"/>
        </w:trPr>
        <w:tc>
          <w:tcPr>
            <w:tcW w:w="1057" w:type="dxa"/>
            <w:shd w:val="clear" w:color="auto" w:fill="auto"/>
            <w:noWrap/>
            <w:hideMark/>
          </w:tcPr>
          <w:p w14:paraId="03E14FD2" w14:textId="4C87BC19" w:rsidR="00795DAB" w:rsidRPr="007E56D0" w:rsidRDefault="00795DAB" w:rsidP="009879CF">
            <w:pPr>
              <w:spacing w:after="0" w:line="240" w:lineRule="auto"/>
              <w:rPr>
                <w:rFonts w:asciiTheme="majorHAnsi" w:eastAsia="Times New Roman" w:hAnsiTheme="majorHAnsi" w:cstheme="majorHAnsi"/>
                <w:sz w:val="16"/>
                <w:szCs w:val="16"/>
                <w:lang w:val="en-US" w:eastAsia="de-DE"/>
              </w:rPr>
            </w:pPr>
            <w:r w:rsidRPr="007E56D0">
              <w:rPr>
                <w:rFonts w:asciiTheme="majorHAnsi" w:eastAsia="Times New Roman" w:hAnsiTheme="majorHAnsi" w:cstheme="majorHAnsi"/>
                <w:sz w:val="16"/>
                <w:szCs w:val="16"/>
                <w:lang w:val="en-US" w:eastAsia="de-DE"/>
              </w:rPr>
              <w:lastRenderedPageBreak/>
              <w:t xml:space="preserve">Ruggeri et al. (2018), Italy, manufacturer funding </w:t>
            </w:r>
            <w:r w:rsidR="00215B90">
              <w:rPr>
                <w:rFonts w:asciiTheme="majorHAnsi" w:eastAsia="Times New Roman" w:hAnsiTheme="majorHAnsi" w:cstheme="majorHAnsi"/>
                <w:sz w:val="16"/>
                <w:szCs w:val="16"/>
                <w:lang w:val="en-US" w:eastAsia="de-DE"/>
              </w:rPr>
              <w:t>[16]</w:t>
            </w:r>
            <w:hyperlink w:anchor="_CTVL00189e80163a78a4822ab0a1311d42a176f" w:tooltip="Ruggeri, M., Basile, M., Zini, A., Mangiafico, S., Agostoni, E. C., Lobotesis, K., Saver, J., Coretti, S., Drago, C., and Cicchetti, A. 2018. Cost-eff…" w:history="1"/>
          </w:p>
        </w:tc>
        <w:tc>
          <w:tcPr>
            <w:tcW w:w="903" w:type="dxa"/>
          </w:tcPr>
          <w:p w14:paraId="46CD3341" w14:textId="5D08D21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MT </w:t>
            </w:r>
            <w:r w:rsidR="00967B3D" w:rsidRPr="007E56D0">
              <w:rPr>
                <w:rFonts w:asciiTheme="majorHAnsi" w:eastAsia="Times New Roman" w:hAnsiTheme="majorHAnsi" w:cstheme="majorHAnsi"/>
                <w:color w:val="000000"/>
                <w:sz w:val="16"/>
                <w:szCs w:val="16"/>
                <w:lang w:val="en-US" w:eastAsia="de-DE"/>
              </w:rPr>
              <w:t>incl. IV-tPA</w:t>
            </w:r>
            <w:r w:rsidRPr="007E56D0">
              <w:rPr>
                <w:rFonts w:asciiTheme="majorHAnsi" w:eastAsia="Times New Roman" w:hAnsiTheme="majorHAnsi" w:cstheme="majorHAnsi"/>
                <w:color w:val="000000"/>
                <w:sz w:val="16"/>
                <w:szCs w:val="16"/>
                <w:lang w:val="en-US" w:eastAsia="de-DE"/>
              </w:rPr>
              <w:t xml:space="preserve"> vs. IV-tPA alone</w:t>
            </w:r>
            <w:r w:rsidRPr="007E56D0">
              <w:rPr>
                <w:rFonts w:asciiTheme="majorHAnsi" w:eastAsia="Times New Roman" w:hAnsiTheme="majorHAnsi" w:cstheme="majorHAnsi"/>
                <w:color w:val="000000"/>
                <w:sz w:val="16"/>
                <w:szCs w:val="16"/>
                <w:lang w:val="en-US" w:eastAsia="de-DE"/>
              </w:rPr>
              <w:br/>
              <w:t>O: ICUR (€/QALY) + NMB</w:t>
            </w:r>
          </w:p>
        </w:tc>
        <w:tc>
          <w:tcPr>
            <w:tcW w:w="989" w:type="dxa"/>
            <w:shd w:val="clear" w:color="auto" w:fill="auto"/>
            <w:hideMark/>
          </w:tcPr>
          <w:p w14:paraId="5A64F2CF" w14:textId="7C4076A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perspective</w:t>
            </w:r>
          </w:p>
        </w:tc>
        <w:tc>
          <w:tcPr>
            <w:tcW w:w="808" w:type="dxa"/>
            <w:shd w:val="clear" w:color="auto" w:fill="auto"/>
            <w:hideMark/>
          </w:tcPr>
          <w:p w14:paraId="6DC3D087" w14:textId="1E76412F" w:rsidR="00795DAB" w:rsidRPr="007E56D0" w:rsidRDefault="00795DAB" w:rsidP="009879CF">
            <w:pPr>
              <w:spacing w:after="0" w:line="240" w:lineRule="auto"/>
              <w:rPr>
                <w:rFonts w:asciiTheme="majorHAnsi" w:eastAsia="Times New Roman" w:hAnsiTheme="majorHAnsi" w:cstheme="majorHAnsi"/>
                <w:sz w:val="16"/>
                <w:szCs w:val="16"/>
                <w:lang w:val="en-US" w:eastAsia="de-DE"/>
              </w:rPr>
            </w:pPr>
            <w:r w:rsidRPr="007E56D0">
              <w:rPr>
                <w:rFonts w:asciiTheme="majorHAnsi" w:hAnsiTheme="majorHAnsi" w:cstheme="majorHAnsi"/>
                <w:sz w:val="16"/>
                <w:szCs w:val="16"/>
                <w:lang w:val="en-US"/>
              </w:rPr>
              <w:t>A: 66 years</w:t>
            </w:r>
            <w:r w:rsidRPr="007E56D0">
              <w:rPr>
                <w:rFonts w:asciiTheme="majorHAnsi" w:hAnsiTheme="majorHAnsi" w:cstheme="majorHAnsi"/>
                <w:sz w:val="16"/>
                <w:szCs w:val="16"/>
                <w:lang w:val="en-US"/>
              </w:rPr>
              <w:br/>
            </w:r>
            <w:r w:rsidR="006D759C" w:rsidRPr="007E56D0">
              <w:rPr>
                <w:rFonts w:asciiTheme="majorHAnsi" w:hAnsiTheme="majorHAnsi" w:cstheme="majorHAnsi"/>
                <w:sz w:val="16"/>
                <w:szCs w:val="16"/>
                <w:lang w:val="en-US"/>
              </w:rPr>
              <w:t>G: Not reported</w:t>
            </w:r>
            <w:r w:rsidRPr="007E56D0">
              <w:rPr>
                <w:rFonts w:asciiTheme="majorHAnsi" w:hAnsiTheme="majorHAnsi" w:cstheme="majorHAnsi"/>
                <w:sz w:val="16"/>
                <w:szCs w:val="16"/>
                <w:lang w:val="en-US"/>
              </w:rPr>
              <w:br/>
            </w:r>
            <w:r w:rsidR="0073487E" w:rsidRPr="007E56D0">
              <w:rPr>
                <w:rFonts w:asciiTheme="majorHAnsi" w:hAnsiTheme="majorHAnsi" w:cstheme="majorHAnsi"/>
                <w:color w:val="000000"/>
                <w:sz w:val="16"/>
                <w:szCs w:val="16"/>
                <w:lang w:val="en-US"/>
              </w:rPr>
              <w:t>DS: Large vessel occlusion</w:t>
            </w:r>
            <w:r w:rsidR="0073487E" w:rsidRPr="007E56D0">
              <w:rPr>
                <w:rFonts w:asciiTheme="majorHAnsi" w:hAnsiTheme="majorHAnsi" w:cstheme="majorHAnsi"/>
                <w:sz w:val="16"/>
                <w:szCs w:val="16"/>
                <w:lang w:val="en-US"/>
              </w:rPr>
              <w:t xml:space="preserve"> </w:t>
            </w:r>
            <w:r w:rsidRPr="007E56D0">
              <w:rPr>
                <w:rFonts w:asciiTheme="majorHAnsi" w:hAnsiTheme="majorHAnsi" w:cstheme="majorHAnsi"/>
                <w:sz w:val="16"/>
                <w:szCs w:val="16"/>
                <w:lang w:val="en-US"/>
              </w:rPr>
              <w:br/>
            </w:r>
          </w:p>
        </w:tc>
        <w:tc>
          <w:tcPr>
            <w:tcW w:w="1025" w:type="dxa"/>
            <w:shd w:val="clear" w:color="auto" w:fill="auto"/>
            <w:hideMark/>
          </w:tcPr>
          <w:p w14:paraId="0C23C960" w14:textId="7FBD592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5 years</w:t>
            </w:r>
            <w:r w:rsidRPr="007E56D0">
              <w:rPr>
                <w:rFonts w:asciiTheme="majorHAnsi" w:eastAsia="Times New Roman" w:hAnsiTheme="majorHAnsi" w:cstheme="majorHAnsi"/>
                <w:color w:val="000000"/>
                <w:sz w:val="16"/>
                <w:szCs w:val="16"/>
                <w:lang w:val="en-US" w:eastAsia="de-DE"/>
              </w:rPr>
              <w:br/>
              <w:t>D: 3.5% for costs and utilities</w:t>
            </w:r>
          </w:p>
        </w:tc>
        <w:tc>
          <w:tcPr>
            <w:tcW w:w="2068" w:type="dxa"/>
          </w:tcPr>
          <w:p w14:paraId="032C446B" w14:textId="633196F5" w:rsidR="00795DAB" w:rsidRPr="00A00623" w:rsidRDefault="00795DAB" w:rsidP="009879CF">
            <w:pPr>
              <w:spacing w:after="0" w:line="240" w:lineRule="auto"/>
              <w:rPr>
                <w:rFonts w:asciiTheme="majorHAnsi" w:eastAsia="Times New Roman" w:hAnsiTheme="majorHAnsi" w:cstheme="majorHAnsi"/>
                <w:sz w:val="16"/>
                <w:szCs w:val="16"/>
                <w:lang w:val="en-US" w:eastAsia="de-DE"/>
              </w:rPr>
            </w:pPr>
            <w:r w:rsidRPr="007E56D0">
              <w:rPr>
                <w:rFonts w:asciiTheme="majorHAnsi" w:eastAsia="Times New Roman" w:hAnsiTheme="majorHAnsi" w:cstheme="majorHAnsi"/>
                <w:sz w:val="16"/>
                <w:szCs w:val="16"/>
                <w:lang w:val="en-US" w:eastAsia="de-DE"/>
              </w:rPr>
              <w:t xml:space="preserve">Decision tree with the 2 treatments followed by a Markov model with </w:t>
            </w:r>
            <w:r w:rsidRPr="007E56D0">
              <w:rPr>
                <w:rFonts w:asciiTheme="majorHAnsi" w:eastAsia="Times New Roman" w:hAnsiTheme="majorHAnsi" w:cstheme="majorHAnsi"/>
                <w:color w:val="000000"/>
                <w:sz w:val="16"/>
                <w:szCs w:val="16"/>
                <w:lang w:val="en-US" w:eastAsia="de-DE"/>
              </w:rPr>
              <w:t>7 health states (mRS 0-5 and death) at 90 days after stroke. Patients could experience a stroke recurrence or sICH and due to this deteriorate in health state or die, respectively</w:t>
            </w:r>
            <w:r w:rsidRPr="007E56D0">
              <w:rPr>
                <w:rFonts w:asciiTheme="majorHAnsi" w:eastAsia="Times New Roman" w:hAnsiTheme="majorHAnsi" w:cstheme="majorHAnsi"/>
                <w:sz w:val="16"/>
                <w:szCs w:val="16"/>
                <w:lang w:val="en-US" w:eastAsia="de-DE"/>
              </w:rPr>
              <w:t>.</w:t>
            </w:r>
          </w:p>
        </w:tc>
        <w:tc>
          <w:tcPr>
            <w:tcW w:w="1284" w:type="dxa"/>
          </w:tcPr>
          <w:p w14:paraId="7A66123A" w14:textId="158AA15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40972E50" w14:textId="170BCBB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 PSA</w:t>
            </w:r>
          </w:p>
        </w:tc>
        <w:tc>
          <w:tcPr>
            <w:tcW w:w="1441" w:type="dxa"/>
            <w:shd w:val="clear" w:color="auto" w:fill="auto"/>
            <w:hideMark/>
          </w:tcPr>
          <w:p w14:paraId="48C86DB5" w14:textId="2F3B81DB"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incl. recurrences), utilities, costs, starting age, time horizon, discount rate</w:t>
            </w:r>
          </w:p>
          <w:p w14:paraId="47F5D359" w14:textId="18F185C7"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3CB9E7CF" w14:textId="5B87FDC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Dirichlet), starting age: normal</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42FEBEF3"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12105F" w:rsidRPr="004515C5" w14:paraId="270B2474" w14:textId="77777777" w:rsidTr="004515C5">
        <w:trPr>
          <w:tblCellSpacing w:w="85" w:type="dxa"/>
        </w:trPr>
        <w:tc>
          <w:tcPr>
            <w:tcW w:w="1057" w:type="dxa"/>
            <w:shd w:val="clear" w:color="auto" w:fill="auto"/>
            <w:noWrap/>
            <w:hideMark/>
          </w:tcPr>
          <w:p w14:paraId="39CB58E8" w14:textId="49A8F819" w:rsidR="0012105F" w:rsidRPr="007E56D0" w:rsidRDefault="0012105F"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Kabore et al. (2019), France, none declared </w:t>
            </w:r>
            <w:r w:rsidR="00215B90">
              <w:rPr>
                <w:rFonts w:asciiTheme="majorHAnsi" w:eastAsia="Times New Roman" w:hAnsiTheme="majorHAnsi" w:cstheme="majorHAnsi"/>
                <w:color w:val="000000"/>
                <w:sz w:val="16"/>
                <w:szCs w:val="16"/>
                <w:lang w:val="en-US" w:eastAsia="de-DE"/>
              </w:rPr>
              <w:t>[17]</w:t>
            </w:r>
            <w:hyperlink w:anchor="_CTVL00134528bbea64747f49488a6a0e8f85581" w:tooltip="Kaboré, N., Marnat, G., Rouanet, F., Barreau, X., Verpillot, E., Menegon, P., Maachi, I., Berge, J., Sibon, I., and Bénard, A. 2019. Cost-effectivenes…" w:history="1"/>
          </w:p>
        </w:tc>
        <w:tc>
          <w:tcPr>
            <w:tcW w:w="903" w:type="dxa"/>
          </w:tcPr>
          <w:p w14:paraId="71C5BFB0" w14:textId="366FA1C8" w:rsidR="0012105F" w:rsidRPr="007E56D0" w:rsidRDefault="0012105F"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MT incl. IV-tPA vs. IV-tPA alone (IV-tPA within 4.5h)</w:t>
            </w:r>
            <w:r w:rsidRPr="007E56D0">
              <w:rPr>
                <w:rFonts w:asciiTheme="majorHAnsi" w:eastAsia="Times New Roman" w:hAnsiTheme="majorHAnsi" w:cstheme="majorHAnsi"/>
                <w:color w:val="000000"/>
                <w:sz w:val="16"/>
                <w:szCs w:val="16"/>
                <w:lang w:val="en-US" w:eastAsia="de-DE"/>
              </w:rPr>
              <w:br/>
              <w:t>O: ICUR (€/QALY) + NMB</w:t>
            </w:r>
          </w:p>
        </w:tc>
        <w:tc>
          <w:tcPr>
            <w:tcW w:w="989" w:type="dxa"/>
            <w:shd w:val="clear" w:color="auto" w:fill="auto"/>
            <w:hideMark/>
          </w:tcPr>
          <w:p w14:paraId="36E4C440" w14:textId="43A18834" w:rsidR="0012105F" w:rsidRPr="007E56D0" w:rsidRDefault="0012105F"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perspective</w:t>
            </w:r>
          </w:p>
        </w:tc>
        <w:tc>
          <w:tcPr>
            <w:tcW w:w="808" w:type="dxa"/>
            <w:shd w:val="clear" w:color="auto" w:fill="auto"/>
            <w:hideMark/>
          </w:tcPr>
          <w:p w14:paraId="0149AA1D" w14:textId="3218AC31" w:rsidR="0012105F" w:rsidRPr="007E56D0" w:rsidRDefault="0012105F"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Not reported</w:t>
            </w:r>
            <w:r w:rsidRPr="007E56D0">
              <w:rPr>
                <w:rFonts w:asciiTheme="majorHAnsi" w:hAnsiTheme="majorHAnsi" w:cstheme="majorHAnsi"/>
                <w:color w:val="000000"/>
                <w:sz w:val="16"/>
                <w:szCs w:val="16"/>
                <w:lang w:val="en-US"/>
              </w:rPr>
              <w:br/>
              <w:t>G: Not reported</w:t>
            </w:r>
            <w:r w:rsidRPr="007E56D0">
              <w:rPr>
                <w:rFonts w:asciiTheme="majorHAnsi" w:hAnsiTheme="majorHAnsi" w:cstheme="majorHAnsi"/>
                <w:color w:val="000000"/>
                <w:sz w:val="16"/>
                <w:szCs w:val="16"/>
                <w:lang w:val="en-US"/>
              </w:rPr>
              <w:br/>
              <w:t>DS:  Large vessel occlusion</w:t>
            </w:r>
          </w:p>
        </w:tc>
        <w:tc>
          <w:tcPr>
            <w:tcW w:w="1025" w:type="dxa"/>
            <w:shd w:val="clear" w:color="auto" w:fill="auto"/>
            <w:hideMark/>
          </w:tcPr>
          <w:p w14:paraId="020FCC5E" w14:textId="167AC4D8" w:rsidR="0012105F" w:rsidRPr="007E56D0" w:rsidRDefault="0012105F"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3 months</w:t>
            </w:r>
            <w:r w:rsidRPr="007E56D0">
              <w:rPr>
                <w:rFonts w:asciiTheme="majorHAnsi" w:eastAsia="Times New Roman" w:hAnsiTheme="majorHAnsi" w:cstheme="majorHAnsi"/>
                <w:color w:val="000000"/>
                <w:sz w:val="16"/>
                <w:szCs w:val="16"/>
                <w:lang w:val="en-US" w:eastAsia="de-DE"/>
              </w:rPr>
              <w:br/>
              <w:t>TH: 10 years</w:t>
            </w:r>
            <w:r w:rsidRPr="007E56D0">
              <w:rPr>
                <w:rFonts w:asciiTheme="majorHAnsi" w:eastAsia="Times New Roman" w:hAnsiTheme="majorHAnsi" w:cstheme="majorHAnsi"/>
                <w:color w:val="000000"/>
                <w:sz w:val="16"/>
                <w:szCs w:val="16"/>
                <w:lang w:val="en-US" w:eastAsia="de-DE"/>
              </w:rPr>
              <w:br/>
              <w:t>D: 4% for costs and utilities</w:t>
            </w:r>
          </w:p>
        </w:tc>
        <w:tc>
          <w:tcPr>
            <w:tcW w:w="2068" w:type="dxa"/>
          </w:tcPr>
          <w:p w14:paraId="1E906D38" w14:textId="48D26705" w:rsidR="0012105F" w:rsidRPr="007E56D0" w:rsidRDefault="0012105F"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 3 health states (mRS 0-2, mRS  3-5 and death) at 90 days after stroke.</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0B4B5999" w14:textId="025B73AD" w:rsidR="0012105F" w:rsidRPr="007E56D0" w:rsidRDefault="0012105F"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not clear if keeping current health state after recurrence possible</w:t>
            </w:r>
            <w:r w:rsidRPr="007E56D0">
              <w:rPr>
                <w:rFonts w:asciiTheme="majorHAnsi" w:eastAsia="Times New Roman" w:hAnsiTheme="majorHAnsi" w:cstheme="majorHAnsi"/>
                <w:color w:val="000000"/>
                <w:sz w:val="16"/>
                <w:szCs w:val="16"/>
                <w:lang w:val="en-US" w:eastAsia="de-DE"/>
              </w:rPr>
              <w:br/>
              <w:t>- intermediate recovery phase up to 1 year assumed, where mRS improvement possible</w:t>
            </w:r>
          </w:p>
        </w:tc>
        <w:tc>
          <w:tcPr>
            <w:tcW w:w="1284" w:type="dxa"/>
            <w:shd w:val="clear" w:color="auto" w:fill="auto"/>
            <w:hideMark/>
          </w:tcPr>
          <w:p w14:paraId="6311DA57" w14:textId="36EC3931" w:rsidR="0012105F" w:rsidRPr="007E56D0" w:rsidRDefault="0012105F"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PSA, EVPPI</w:t>
            </w:r>
          </w:p>
        </w:tc>
        <w:tc>
          <w:tcPr>
            <w:tcW w:w="1441" w:type="dxa"/>
            <w:shd w:val="clear" w:color="auto" w:fill="auto"/>
            <w:hideMark/>
          </w:tcPr>
          <w:p w14:paraId="3EF237FD" w14:textId="13290C6C" w:rsidR="0012105F" w:rsidRPr="007E56D0" w:rsidRDefault="0012105F"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Not assessed</w:t>
            </w:r>
          </w:p>
        </w:tc>
        <w:tc>
          <w:tcPr>
            <w:tcW w:w="964" w:type="dxa"/>
            <w:shd w:val="clear" w:color="auto" w:fill="auto"/>
            <w:hideMark/>
          </w:tcPr>
          <w:p w14:paraId="6D5AAC77" w14:textId="236DA79A" w:rsidR="0012105F" w:rsidRPr="007E56D0" w:rsidRDefault="0012105F"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Dirichlet, long-term TPs incl. recurrence: beta), utilities: beta, costs: gamma</w:t>
            </w:r>
            <w:r w:rsidRPr="007E56D0">
              <w:rPr>
                <w:rFonts w:asciiTheme="majorHAnsi" w:eastAsia="Times New Roman" w:hAnsiTheme="majorHAnsi" w:cstheme="majorHAnsi"/>
                <w:color w:val="000000"/>
                <w:sz w:val="16"/>
                <w:szCs w:val="16"/>
                <w:lang w:val="en-US" w:eastAsia="de-DE"/>
              </w:rPr>
              <w:br/>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4A973CFA" w14:textId="77777777" w:rsidR="0012105F" w:rsidRPr="007E56D0" w:rsidRDefault="0012105F"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9879CF" w:rsidRPr="001E2D03" w14:paraId="0ACAAC99" w14:textId="77777777" w:rsidTr="004515C5">
        <w:trPr>
          <w:tblCellSpacing w:w="85" w:type="dxa"/>
        </w:trPr>
        <w:tc>
          <w:tcPr>
            <w:tcW w:w="1057" w:type="dxa"/>
            <w:shd w:val="clear" w:color="auto" w:fill="auto"/>
            <w:noWrap/>
            <w:hideMark/>
          </w:tcPr>
          <w:p w14:paraId="6790BD3D" w14:textId="4C3DC9BF" w:rsidR="00B340B9" w:rsidRPr="007E56D0" w:rsidRDefault="00B340B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Barral et al. (2020), France, none declared </w:t>
            </w:r>
            <w:r w:rsidR="00215B90">
              <w:rPr>
                <w:rFonts w:asciiTheme="majorHAnsi" w:eastAsia="Times New Roman" w:hAnsiTheme="majorHAnsi" w:cstheme="majorHAnsi"/>
                <w:color w:val="000000"/>
                <w:sz w:val="16"/>
                <w:szCs w:val="16"/>
                <w:lang w:val="en-US" w:eastAsia="de-DE"/>
              </w:rPr>
              <w:t>[18]</w:t>
            </w:r>
            <w:hyperlink w:anchor="_CTVL0013820046c993849cdb6e6e66da6aa4507" w:tooltip="Barral, M., Armoiry, X., Boudour, S., Aulagner, G., Schott, A. M., Turjman, F., Gory, B., and Viprey, M. 2020. Cost-effectiveness of stent-retriever t…" w:history="1"/>
          </w:p>
        </w:tc>
        <w:tc>
          <w:tcPr>
            <w:tcW w:w="903" w:type="dxa"/>
          </w:tcPr>
          <w:p w14:paraId="36B8AF8B" w14:textId="77777777" w:rsidR="00B340B9" w:rsidRPr="007E56D0" w:rsidRDefault="00B340B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SRT incl. IV-tPA vs. IV-tPA alone</w:t>
            </w:r>
            <w:r w:rsidRPr="007E56D0">
              <w:rPr>
                <w:rFonts w:asciiTheme="majorHAnsi" w:eastAsia="Times New Roman" w:hAnsiTheme="majorHAnsi" w:cstheme="majorHAnsi"/>
                <w:color w:val="000000"/>
                <w:sz w:val="16"/>
                <w:szCs w:val="16"/>
                <w:lang w:val="en-US" w:eastAsia="de-DE"/>
              </w:rPr>
              <w:br/>
              <w:t xml:space="preserve">O: ICUR (€/QALY) </w:t>
            </w:r>
          </w:p>
        </w:tc>
        <w:tc>
          <w:tcPr>
            <w:tcW w:w="989" w:type="dxa"/>
            <w:shd w:val="clear" w:color="auto" w:fill="auto"/>
            <w:hideMark/>
          </w:tcPr>
          <w:p w14:paraId="66332DED" w14:textId="77777777" w:rsidR="00B340B9" w:rsidRPr="007E56D0" w:rsidRDefault="00B340B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 societal perspective</w:t>
            </w:r>
          </w:p>
        </w:tc>
        <w:tc>
          <w:tcPr>
            <w:tcW w:w="808" w:type="dxa"/>
            <w:shd w:val="clear" w:color="auto" w:fill="auto"/>
            <w:hideMark/>
          </w:tcPr>
          <w:p w14:paraId="5475D369" w14:textId="77777777" w:rsidR="00B340B9" w:rsidRPr="007E56D0" w:rsidRDefault="00B340B9"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67.3 years</w:t>
            </w:r>
            <w:r w:rsidRPr="007E56D0">
              <w:rPr>
                <w:rFonts w:asciiTheme="majorHAnsi" w:hAnsiTheme="majorHAnsi" w:cstheme="majorHAnsi"/>
                <w:color w:val="000000"/>
                <w:sz w:val="16"/>
                <w:szCs w:val="16"/>
                <w:lang w:val="en-US"/>
              </w:rPr>
              <w:br/>
              <w:t>G: 50/50</w:t>
            </w:r>
            <w:r w:rsidRPr="007E56D0">
              <w:rPr>
                <w:rFonts w:asciiTheme="majorHAnsi" w:hAnsiTheme="majorHAnsi" w:cstheme="majorHAnsi"/>
                <w:color w:val="000000"/>
                <w:sz w:val="16"/>
                <w:szCs w:val="16"/>
                <w:lang w:val="en-US"/>
              </w:rPr>
              <w:br/>
              <w:t>DS: Anterior circulation large vessel occlusion</w:t>
            </w:r>
          </w:p>
          <w:p w14:paraId="473C35B7" w14:textId="77777777" w:rsidR="00B340B9" w:rsidRPr="007E56D0" w:rsidRDefault="00B340B9" w:rsidP="009879CF">
            <w:pPr>
              <w:spacing w:after="0" w:line="240" w:lineRule="auto"/>
              <w:rPr>
                <w:rFonts w:asciiTheme="majorHAnsi" w:eastAsia="Times New Roman" w:hAnsiTheme="majorHAnsi" w:cstheme="majorHAnsi"/>
                <w:color w:val="000000"/>
                <w:sz w:val="16"/>
                <w:szCs w:val="16"/>
                <w:lang w:val="en-US" w:eastAsia="de-DE"/>
              </w:rPr>
            </w:pPr>
          </w:p>
        </w:tc>
        <w:tc>
          <w:tcPr>
            <w:tcW w:w="1025" w:type="dxa"/>
            <w:shd w:val="clear" w:color="auto" w:fill="auto"/>
            <w:hideMark/>
          </w:tcPr>
          <w:p w14:paraId="6BE58DC3" w14:textId="77777777" w:rsidR="00B340B9" w:rsidRPr="007E56D0" w:rsidRDefault="00B340B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t>TH: Lifetime (max. 20 years)</w:t>
            </w:r>
            <w:r w:rsidRPr="007E56D0">
              <w:rPr>
                <w:rFonts w:asciiTheme="majorHAnsi" w:eastAsia="Times New Roman" w:hAnsiTheme="majorHAnsi" w:cstheme="majorHAnsi"/>
                <w:color w:val="000000"/>
                <w:sz w:val="16"/>
                <w:szCs w:val="16"/>
                <w:lang w:val="en-US" w:eastAsia="de-DE"/>
              </w:rPr>
              <w:br/>
              <w:t>D: 4% for costs and utilities</w:t>
            </w:r>
          </w:p>
        </w:tc>
        <w:tc>
          <w:tcPr>
            <w:tcW w:w="2068" w:type="dxa"/>
          </w:tcPr>
          <w:p w14:paraId="607C5B56" w14:textId="77777777" w:rsidR="00B340B9" w:rsidRPr="007E56D0" w:rsidRDefault="00B340B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 xml:space="preserve">Decision tree with the 2 treatments followed by a Markov model with </w:t>
            </w:r>
            <w:r w:rsidRPr="007E56D0">
              <w:rPr>
                <w:rFonts w:asciiTheme="majorHAnsi" w:eastAsia="Times New Roman" w:hAnsiTheme="majorHAnsi" w:cstheme="majorHAnsi"/>
                <w:color w:val="000000"/>
                <w:sz w:val="16"/>
                <w:szCs w:val="16"/>
                <w:lang w:val="en-US" w:eastAsia="de-DE"/>
              </w:rPr>
              <w:t xml:space="preserve">3 health states (mRS 0-2, mRS 3-5 and death) at 90 days after stroke. For the first year, patients could recover, after that, patients could only keep health state or deteriorate. </w:t>
            </w:r>
          </w:p>
        </w:tc>
        <w:tc>
          <w:tcPr>
            <w:tcW w:w="1284" w:type="dxa"/>
          </w:tcPr>
          <w:p w14:paraId="1DC8E8DB" w14:textId="77777777" w:rsidR="00B340B9" w:rsidRPr="007E56D0" w:rsidRDefault="00B340B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intermediate recovery phase up to 1 year assumed, where mRS improvement possible</w:t>
            </w:r>
          </w:p>
        </w:tc>
        <w:tc>
          <w:tcPr>
            <w:tcW w:w="1284" w:type="dxa"/>
            <w:shd w:val="clear" w:color="auto" w:fill="auto"/>
            <w:hideMark/>
          </w:tcPr>
          <w:p w14:paraId="3F99E1A4" w14:textId="77777777" w:rsidR="00B340B9" w:rsidRPr="007E56D0" w:rsidRDefault="00B340B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 scenario analyses, PSA</w:t>
            </w:r>
          </w:p>
        </w:tc>
        <w:tc>
          <w:tcPr>
            <w:tcW w:w="1441" w:type="dxa"/>
            <w:shd w:val="clear" w:color="auto" w:fill="auto"/>
            <w:hideMark/>
          </w:tcPr>
          <w:p w14:paraId="0D722061" w14:textId="6BA578C9" w:rsidR="00B340B9"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B340B9" w:rsidRPr="007E56D0">
              <w:rPr>
                <w:rFonts w:asciiTheme="majorHAnsi" w:eastAsia="Times New Roman" w:hAnsiTheme="majorHAnsi" w:cstheme="majorHAnsi"/>
                <w:color w:val="000000"/>
                <w:sz w:val="16"/>
                <w:szCs w:val="16"/>
                <w:lang w:val="en-US" w:eastAsia="de-DE"/>
              </w:rPr>
              <w:t xml:space="preserve"> TPs (effectiveness and long-term TPs), utilities, costs, </w:t>
            </w:r>
            <w:r w:rsidR="00A76321">
              <w:rPr>
                <w:rFonts w:asciiTheme="majorHAnsi" w:eastAsia="Times New Roman" w:hAnsiTheme="majorHAnsi" w:cstheme="majorHAnsi"/>
                <w:color w:val="000000"/>
                <w:sz w:val="16"/>
                <w:szCs w:val="16"/>
                <w:lang w:val="en-US" w:eastAsia="de-DE"/>
              </w:rPr>
              <w:t xml:space="preserve">time horizon, </w:t>
            </w:r>
            <w:r w:rsidR="00B340B9" w:rsidRPr="007E56D0">
              <w:rPr>
                <w:rFonts w:asciiTheme="majorHAnsi" w:eastAsia="Times New Roman" w:hAnsiTheme="majorHAnsi" w:cstheme="majorHAnsi"/>
                <w:color w:val="000000"/>
                <w:sz w:val="16"/>
                <w:szCs w:val="16"/>
                <w:lang w:val="en-US" w:eastAsia="de-DE"/>
              </w:rPr>
              <w:t>discount rate</w:t>
            </w:r>
            <w:r w:rsidR="00B340B9" w:rsidRPr="007E56D0">
              <w:rPr>
                <w:rFonts w:asciiTheme="majorHAnsi" w:eastAsia="Times New Roman" w:hAnsiTheme="majorHAnsi" w:cstheme="majorHAnsi"/>
                <w:color w:val="000000"/>
                <w:sz w:val="16"/>
                <w:szCs w:val="16"/>
                <w:lang w:val="en-US" w:eastAsia="de-DE"/>
              </w:rPr>
              <w:br/>
            </w:r>
            <w:r>
              <w:rPr>
                <w:rFonts w:asciiTheme="majorHAnsi" w:eastAsia="Times New Roman" w:hAnsiTheme="majorHAnsi" w:cstheme="majorHAnsi"/>
                <w:color w:val="000000"/>
                <w:sz w:val="16"/>
                <w:szCs w:val="16"/>
                <w:lang w:val="en-US" w:eastAsia="de-DE"/>
              </w:rPr>
              <w:t>R:</w:t>
            </w:r>
            <w:r w:rsidR="00B340B9"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6E50EDDF" w14:textId="77777777" w:rsidR="00B340B9" w:rsidRPr="007E56D0" w:rsidRDefault="00B340B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TPs (effectiveness:  Dirichlet, long-term TPs: lognormal), costs: triangular </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31C26C8A" w14:textId="77777777" w:rsidR="00B340B9" w:rsidRPr="007E56D0" w:rsidRDefault="00B340B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cross and external validation</w:t>
            </w:r>
          </w:p>
        </w:tc>
      </w:tr>
      <w:tr w:rsidR="009879CF" w:rsidRPr="004515C5" w14:paraId="467DE9D7" w14:textId="77777777" w:rsidTr="004515C5">
        <w:trPr>
          <w:tblCellSpacing w:w="85" w:type="dxa"/>
        </w:trPr>
        <w:tc>
          <w:tcPr>
            <w:tcW w:w="1057" w:type="dxa"/>
            <w:shd w:val="clear" w:color="auto" w:fill="auto"/>
            <w:noWrap/>
            <w:hideMark/>
          </w:tcPr>
          <w:p w14:paraId="5FCE2960" w14:textId="4AB55E1F" w:rsidR="006240CE" w:rsidRPr="007E56D0" w:rsidRDefault="006240CE"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Heggie et al. (2020), UK, public funding </w:t>
            </w:r>
            <w:r w:rsidR="00215B90">
              <w:rPr>
                <w:rFonts w:asciiTheme="majorHAnsi" w:eastAsia="Times New Roman" w:hAnsiTheme="majorHAnsi" w:cstheme="majorHAnsi"/>
                <w:color w:val="000000"/>
                <w:sz w:val="16"/>
                <w:szCs w:val="16"/>
                <w:lang w:val="en-US" w:eastAsia="de-DE"/>
              </w:rPr>
              <w:t>[19]</w:t>
            </w:r>
            <w:hyperlink w:anchor="_CTVL0010d1e224779d64aa9b32dd24e3bf0b791" w:tooltip="Heggie, R., Wu, O., White, P., Ford, G. A., Wardlaw, J., Brown, M. M., Clifton, A., and Muir, K. W. 2020. Mechanical thrombectomy in patients with acu…" w:history="1"/>
          </w:p>
        </w:tc>
        <w:tc>
          <w:tcPr>
            <w:tcW w:w="903" w:type="dxa"/>
          </w:tcPr>
          <w:p w14:paraId="03162BD5" w14:textId="77777777" w:rsidR="006240CE" w:rsidRPr="007E56D0" w:rsidRDefault="006240CE"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MT + BMM incl. IVT vs. BMM incl. IVT alone</w:t>
            </w:r>
            <w:r w:rsidRPr="007E56D0">
              <w:rPr>
                <w:rFonts w:asciiTheme="majorHAnsi" w:eastAsia="Times New Roman" w:hAnsiTheme="majorHAnsi" w:cstheme="majorHAnsi"/>
                <w:color w:val="000000"/>
                <w:sz w:val="16"/>
                <w:szCs w:val="16"/>
                <w:lang w:val="en-US" w:eastAsia="de-DE"/>
              </w:rPr>
              <w:br/>
              <w:t>O: ICUR (£/QALY)</w:t>
            </w:r>
          </w:p>
        </w:tc>
        <w:tc>
          <w:tcPr>
            <w:tcW w:w="989" w:type="dxa"/>
            <w:shd w:val="clear" w:color="auto" w:fill="auto"/>
            <w:hideMark/>
          </w:tcPr>
          <w:p w14:paraId="049C49B3" w14:textId="77777777" w:rsidR="006240CE" w:rsidRPr="007E56D0" w:rsidRDefault="006240CE"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hideMark/>
          </w:tcPr>
          <w:p w14:paraId="7AC3F7CC" w14:textId="77777777" w:rsidR="006240CE" w:rsidRPr="007E56D0" w:rsidRDefault="006240CE"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Not reported</w:t>
            </w:r>
            <w:r w:rsidRPr="007E56D0">
              <w:rPr>
                <w:rFonts w:asciiTheme="majorHAnsi" w:hAnsiTheme="majorHAnsi" w:cstheme="majorHAnsi"/>
                <w:color w:val="000000"/>
                <w:sz w:val="16"/>
                <w:szCs w:val="16"/>
                <w:lang w:val="en-US"/>
              </w:rPr>
              <w:br/>
              <w:t>G: Not reported</w:t>
            </w:r>
            <w:r w:rsidRPr="007E56D0">
              <w:rPr>
                <w:rFonts w:asciiTheme="majorHAnsi" w:hAnsiTheme="majorHAnsi" w:cstheme="majorHAnsi"/>
                <w:color w:val="000000"/>
                <w:sz w:val="16"/>
                <w:szCs w:val="16"/>
                <w:lang w:val="en-US"/>
              </w:rPr>
              <w:br/>
              <w:t xml:space="preserve">DS: Anterior circulation large </w:t>
            </w:r>
            <w:r w:rsidRPr="007E56D0">
              <w:rPr>
                <w:rFonts w:asciiTheme="majorHAnsi" w:hAnsiTheme="majorHAnsi" w:cstheme="majorHAnsi"/>
                <w:color w:val="000000"/>
                <w:sz w:val="16"/>
                <w:szCs w:val="16"/>
                <w:lang w:val="en-US"/>
              </w:rPr>
              <w:lastRenderedPageBreak/>
              <w:t>vessel occlusion</w:t>
            </w:r>
          </w:p>
        </w:tc>
        <w:tc>
          <w:tcPr>
            <w:tcW w:w="1025" w:type="dxa"/>
            <w:shd w:val="clear" w:color="auto" w:fill="auto"/>
            <w:hideMark/>
          </w:tcPr>
          <w:p w14:paraId="4B063E8B" w14:textId="77777777" w:rsidR="006240CE" w:rsidRPr="007E56D0" w:rsidRDefault="006240CE"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CL: 3 months</w:t>
            </w:r>
            <w:r w:rsidRPr="007E56D0">
              <w:rPr>
                <w:rFonts w:asciiTheme="majorHAnsi" w:eastAsia="Times New Roman" w:hAnsiTheme="majorHAnsi" w:cstheme="majorHAnsi"/>
                <w:color w:val="000000"/>
                <w:sz w:val="16"/>
                <w:szCs w:val="16"/>
                <w:lang w:val="en-US" w:eastAsia="de-DE"/>
              </w:rPr>
              <w:br/>
              <w:t>TH: 20 years</w:t>
            </w:r>
            <w:r w:rsidRPr="007E56D0">
              <w:rPr>
                <w:rFonts w:asciiTheme="majorHAnsi" w:eastAsia="Times New Roman" w:hAnsiTheme="majorHAnsi" w:cstheme="majorHAnsi"/>
                <w:color w:val="000000"/>
                <w:sz w:val="16"/>
                <w:szCs w:val="16"/>
                <w:lang w:val="en-US" w:eastAsia="de-DE"/>
              </w:rPr>
              <w:br/>
              <w:t>D: 3.5% for costs and utilities</w:t>
            </w:r>
          </w:p>
        </w:tc>
        <w:tc>
          <w:tcPr>
            <w:tcW w:w="2068" w:type="dxa"/>
          </w:tcPr>
          <w:p w14:paraId="499A2559" w14:textId="77777777" w:rsidR="006240CE" w:rsidRPr="007E56D0" w:rsidRDefault="006240CE"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 xml:space="preserve">Decision tree with the 2 treatments followed by a Markov model with </w:t>
            </w:r>
            <w:r w:rsidRPr="007E56D0">
              <w:rPr>
                <w:rFonts w:asciiTheme="majorHAnsi" w:eastAsia="Times New Roman" w:hAnsiTheme="majorHAnsi" w:cstheme="majorHAnsi"/>
                <w:color w:val="000000"/>
                <w:sz w:val="16"/>
                <w:szCs w:val="16"/>
                <w:lang w:val="en-US" w:eastAsia="de-DE"/>
              </w:rPr>
              <w:t xml:space="preserve">3 health states at 90 days: independence (mRS 0-2), disability (mRS 3-5), death (mRS 6). Patients could experience a stroke </w:t>
            </w:r>
            <w:r w:rsidRPr="007E56D0">
              <w:rPr>
                <w:rFonts w:asciiTheme="majorHAnsi" w:eastAsia="Times New Roman" w:hAnsiTheme="majorHAnsi" w:cstheme="majorHAnsi"/>
                <w:color w:val="000000"/>
                <w:sz w:val="16"/>
                <w:szCs w:val="16"/>
                <w:lang w:val="en-US" w:eastAsia="de-DE"/>
              </w:rPr>
              <w:lastRenderedPageBreak/>
              <w:t>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3997B2C8" w14:textId="77777777" w:rsidR="006240CE" w:rsidRPr="007E56D0" w:rsidRDefault="006240CE"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recurrences modeled</w:t>
            </w:r>
            <w:r w:rsidRPr="007E56D0">
              <w:rPr>
                <w:rFonts w:asciiTheme="majorHAnsi" w:eastAsia="Times New Roman" w:hAnsiTheme="majorHAnsi" w:cstheme="majorHAnsi"/>
                <w:color w:val="000000"/>
                <w:sz w:val="16"/>
                <w:szCs w:val="16"/>
                <w:lang w:val="en-US" w:eastAsia="de-DE"/>
              </w:rPr>
              <w:br/>
              <w:t>- not clear if keeping current health state after recurrence possible</w:t>
            </w:r>
            <w:r w:rsidRPr="007E56D0">
              <w:rPr>
                <w:rFonts w:asciiTheme="majorHAnsi" w:eastAsia="Times New Roman" w:hAnsiTheme="majorHAnsi" w:cstheme="majorHAnsi"/>
                <w:color w:val="000000"/>
                <w:sz w:val="16"/>
                <w:szCs w:val="16"/>
                <w:lang w:val="en-US" w:eastAsia="de-DE"/>
              </w:rPr>
              <w:br/>
              <w:t xml:space="preserve">- intermediate recovery phase </w:t>
            </w:r>
            <w:r w:rsidRPr="007E56D0">
              <w:rPr>
                <w:rFonts w:asciiTheme="majorHAnsi" w:eastAsia="Times New Roman" w:hAnsiTheme="majorHAnsi" w:cstheme="majorHAnsi"/>
                <w:color w:val="000000"/>
                <w:sz w:val="16"/>
                <w:szCs w:val="16"/>
                <w:lang w:val="en-US" w:eastAsia="de-DE"/>
              </w:rPr>
              <w:lastRenderedPageBreak/>
              <w:t>up to 1 year assumed, where mRS improvement possible</w:t>
            </w:r>
          </w:p>
        </w:tc>
        <w:tc>
          <w:tcPr>
            <w:tcW w:w="1284" w:type="dxa"/>
            <w:shd w:val="clear" w:color="auto" w:fill="auto"/>
            <w:hideMark/>
          </w:tcPr>
          <w:p w14:paraId="0BB26845" w14:textId="77777777" w:rsidR="006240CE" w:rsidRPr="007E56D0" w:rsidRDefault="006240CE"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A: Deterministic cohort simulation</w:t>
            </w:r>
            <w:r w:rsidRPr="007E56D0">
              <w:rPr>
                <w:rFonts w:asciiTheme="majorHAnsi" w:eastAsia="Times New Roman" w:hAnsiTheme="majorHAnsi" w:cstheme="majorHAnsi"/>
                <w:color w:val="000000"/>
                <w:sz w:val="16"/>
                <w:szCs w:val="16"/>
                <w:lang w:val="en-US" w:eastAsia="de-DE"/>
              </w:rPr>
              <w:br/>
              <w:t>U: One-way DSA, PSA</w:t>
            </w:r>
          </w:p>
        </w:tc>
        <w:tc>
          <w:tcPr>
            <w:tcW w:w="1441" w:type="dxa"/>
            <w:shd w:val="clear" w:color="auto" w:fill="auto"/>
            <w:hideMark/>
          </w:tcPr>
          <w:p w14:paraId="5656C8BA" w14:textId="46179E7F" w:rsidR="006240CE"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6240CE" w:rsidRPr="007E56D0">
              <w:rPr>
                <w:rFonts w:asciiTheme="majorHAnsi" w:eastAsia="Times New Roman" w:hAnsiTheme="majorHAnsi" w:cstheme="majorHAnsi"/>
                <w:color w:val="000000"/>
                <w:sz w:val="16"/>
                <w:szCs w:val="16"/>
                <w:lang w:val="en-US" w:eastAsia="de-DE"/>
              </w:rPr>
              <w:t xml:space="preserve"> TPs (only effectiveness), utilities, costs</w:t>
            </w:r>
          </w:p>
          <w:p w14:paraId="5A5F611C" w14:textId="13284222" w:rsidR="006240CE"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6240CE" w:rsidRPr="007E56D0">
              <w:rPr>
                <w:rFonts w:asciiTheme="majorHAnsi" w:eastAsia="Times New Roman" w:hAnsiTheme="majorHAnsi" w:cstheme="majorHAnsi"/>
                <w:color w:val="000000"/>
                <w:sz w:val="16"/>
                <w:szCs w:val="16"/>
                <w:lang w:val="en-US" w:eastAsia="de-DE"/>
              </w:rPr>
              <w:t xml:space="preserve"> ±20% for some costs, utilities and TPs</w:t>
            </w:r>
          </w:p>
        </w:tc>
        <w:tc>
          <w:tcPr>
            <w:tcW w:w="964" w:type="dxa"/>
            <w:shd w:val="clear" w:color="auto" w:fill="auto"/>
            <w:hideMark/>
          </w:tcPr>
          <w:p w14:paraId="181D4B56" w14:textId="77777777" w:rsidR="006240CE" w:rsidRPr="007E56D0" w:rsidRDefault="006240CE"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conditional beta), utilities: beta, 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36DFE5C1" w14:textId="77777777" w:rsidR="006240CE" w:rsidRPr="007E56D0" w:rsidRDefault="006240CE"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9879CF" w:rsidRPr="004515C5" w14:paraId="11A1DD49" w14:textId="77777777" w:rsidTr="004515C5">
        <w:trPr>
          <w:tblCellSpacing w:w="85" w:type="dxa"/>
        </w:trPr>
        <w:tc>
          <w:tcPr>
            <w:tcW w:w="1057" w:type="dxa"/>
            <w:shd w:val="clear" w:color="auto" w:fill="auto"/>
            <w:hideMark/>
          </w:tcPr>
          <w:p w14:paraId="69C26992" w14:textId="61550C44"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Peultier et al. (2020), USA, public funding </w:t>
            </w:r>
            <w:r w:rsidR="00215B90">
              <w:rPr>
                <w:rFonts w:asciiTheme="majorHAnsi" w:eastAsia="Times New Roman" w:hAnsiTheme="majorHAnsi" w:cstheme="majorHAnsi"/>
                <w:color w:val="000000"/>
                <w:sz w:val="16"/>
                <w:szCs w:val="16"/>
                <w:lang w:val="en-US" w:eastAsia="de-DE"/>
              </w:rPr>
              <w:t>[20]</w:t>
            </w:r>
            <w:hyperlink w:anchor="_CTVL0014801a017f11d4b289e87fa802c98f0ee" w:tooltip="Peultier, A. C., Pandya, A., Sharma, R., Severens, J. L., and Redekop, W. K. 2020. Cost-effectiveness of Mechanical Thrombectomy More Than 6 Hours Aft…" w:history="1"/>
          </w:p>
        </w:tc>
        <w:tc>
          <w:tcPr>
            <w:tcW w:w="903" w:type="dxa"/>
          </w:tcPr>
          <w:p w14:paraId="6258FAA0"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MT + SMC (incl. antiplatelets) vs. SMC (incl. antiplatelets) alone </w:t>
            </w:r>
            <w:r w:rsidRPr="007E56D0">
              <w:rPr>
                <w:rFonts w:asciiTheme="majorHAnsi" w:eastAsia="Times New Roman" w:hAnsiTheme="majorHAnsi" w:cstheme="majorHAnsi"/>
                <w:color w:val="000000"/>
                <w:sz w:val="16"/>
                <w:szCs w:val="16"/>
                <w:lang w:val="en-US" w:eastAsia="de-DE"/>
              </w:rPr>
              <w:br/>
              <w:t>O: ICUR ($US/QALY) + NMB</w:t>
            </w:r>
          </w:p>
        </w:tc>
        <w:tc>
          <w:tcPr>
            <w:tcW w:w="989" w:type="dxa"/>
            <w:shd w:val="clear" w:color="auto" w:fill="auto"/>
            <w:hideMark/>
          </w:tcPr>
          <w:p w14:paraId="0A93BE3F"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hideMark/>
          </w:tcPr>
          <w:p w14:paraId="5CB03B61" w14:textId="18A1EB0D" w:rsidR="000F078A" w:rsidRPr="000F078A" w:rsidRDefault="000F078A"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MT+SMC: DAWN trial: 69 years, DEFUSE3 trial: 70 years; SMC alone: 71 years for both trials</w:t>
            </w:r>
            <w:r w:rsidRPr="007E56D0">
              <w:rPr>
                <w:rFonts w:asciiTheme="majorHAnsi" w:hAnsiTheme="majorHAnsi" w:cstheme="majorHAnsi"/>
                <w:color w:val="000000"/>
                <w:sz w:val="16"/>
                <w:szCs w:val="16"/>
                <w:lang w:val="en-US"/>
              </w:rPr>
              <w:br/>
              <w:t>G: Not reported</w:t>
            </w:r>
            <w:r w:rsidRPr="007E56D0">
              <w:rPr>
                <w:rFonts w:asciiTheme="majorHAnsi" w:hAnsiTheme="majorHAnsi" w:cstheme="majorHAnsi"/>
                <w:color w:val="000000"/>
                <w:sz w:val="16"/>
                <w:szCs w:val="16"/>
                <w:lang w:val="en-US"/>
              </w:rPr>
              <w:br/>
              <w:t>DS: Anterior circulation large vessel occlusion with varying severity</w:t>
            </w:r>
          </w:p>
        </w:tc>
        <w:tc>
          <w:tcPr>
            <w:tcW w:w="1025" w:type="dxa"/>
            <w:shd w:val="clear" w:color="auto" w:fill="auto"/>
            <w:hideMark/>
          </w:tcPr>
          <w:p w14:paraId="6FE2F31E"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3 months</w:t>
            </w:r>
            <w:r w:rsidRPr="007E56D0">
              <w:rPr>
                <w:rFonts w:asciiTheme="majorHAnsi" w:eastAsia="Times New Roman" w:hAnsiTheme="majorHAnsi" w:cstheme="majorHAnsi"/>
                <w:color w:val="000000"/>
                <w:sz w:val="16"/>
                <w:szCs w:val="16"/>
                <w:lang w:val="en-US" w:eastAsia="de-DE"/>
              </w:rPr>
              <w:br/>
              <w:t>TH: Lifetime</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7095C1E7"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 xml:space="preserve">Decision tree with the 2 treatments followed by a Markov model with </w:t>
            </w:r>
            <w:r w:rsidRPr="007E56D0">
              <w:rPr>
                <w:rFonts w:asciiTheme="majorHAnsi" w:eastAsia="Times New Roman" w:hAnsiTheme="majorHAnsi" w:cstheme="majorHAnsi"/>
                <w:color w:val="000000"/>
                <w:sz w:val="16"/>
                <w:szCs w:val="16"/>
                <w:lang w:val="en-US" w:eastAsia="de-DE"/>
              </w:rPr>
              <w:t>7 health states (mRS 0-5 and death) at 90 days after stroke.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3C3CAC6F"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only deterioration after recurrence possible</w:t>
            </w:r>
          </w:p>
        </w:tc>
        <w:tc>
          <w:tcPr>
            <w:tcW w:w="1284" w:type="dxa"/>
            <w:shd w:val="clear" w:color="auto" w:fill="auto"/>
            <w:hideMark/>
          </w:tcPr>
          <w:p w14:paraId="7EAFFF5A"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 PSA</w:t>
            </w:r>
          </w:p>
        </w:tc>
        <w:tc>
          <w:tcPr>
            <w:tcW w:w="1441" w:type="dxa"/>
            <w:shd w:val="clear" w:color="auto" w:fill="auto"/>
            <w:hideMark/>
          </w:tcPr>
          <w:p w14:paraId="40E42884" w14:textId="0A7DDD95" w:rsidR="000F078A"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0F078A" w:rsidRPr="007E56D0">
              <w:rPr>
                <w:rFonts w:asciiTheme="majorHAnsi" w:eastAsia="Times New Roman" w:hAnsiTheme="majorHAnsi" w:cstheme="majorHAnsi"/>
                <w:color w:val="000000"/>
                <w:sz w:val="16"/>
                <w:szCs w:val="16"/>
                <w:lang w:val="en-US" w:eastAsia="de-DE"/>
              </w:rPr>
              <w:t xml:space="preserve"> TPs (effectiveness and long-term TPs without recurrences), utilities, costs</w:t>
            </w:r>
          </w:p>
          <w:p w14:paraId="0BF31D82" w14:textId="19AA5EB2" w:rsidR="000F078A"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0F078A"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08BFB7A2"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(recurrence: beta, long-term TPs: Dirichlet/beta,</w:t>
            </w:r>
          </w:p>
          <w:p w14:paraId="3DF46631"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mortality: lognormal), utilities: beta, costs: beta</w:t>
            </w:r>
            <w:r w:rsidRPr="007E56D0">
              <w:rPr>
                <w:rFonts w:asciiTheme="majorHAnsi" w:eastAsia="Times New Roman" w:hAnsiTheme="majorHAnsi" w:cstheme="majorHAnsi"/>
                <w:color w:val="000000"/>
                <w:sz w:val="16"/>
                <w:szCs w:val="16"/>
                <w:lang w:val="en-US" w:eastAsia="de-DE"/>
              </w:rPr>
              <w:br/>
            </w:r>
          </w:p>
          <w:p w14:paraId="6401434F"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1F8021EA"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4515C5" w14:paraId="0E59352A" w14:textId="77777777" w:rsidTr="004515C5">
        <w:trPr>
          <w:tblCellSpacing w:w="85" w:type="dxa"/>
        </w:trPr>
        <w:tc>
          <w:tcPr>
            <w:tcW w:w="1057" w:type="dxa"/>
            <w:shd w:val="clear" w:color="auto" w:fill="auto"/>
            <w:hideMark/>
          </w:tcPr>
          <w:p w14:paraId="77951303" w14:textId="6F14F45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Pizzo et al. (20</w:t>
            </w:r>
            <w:r w:rsidR="00B63E34">
              <w:rPr>
                <w:rFonts w:asciiTheme="majorHAnsi" w:eastAsia="Times New Roman" w:hAnsiTheme="majorHAnsi" w:cstheme="majorHAnsi"/>
                <w:color w:val="000000"/>
                <w:sz w:val="16"/>
                <w:szCs w:val="16"/>
                <w:lang w:val="en-US" w:eastAsia="de-DE"/>
              </w:rPr>
              <w:t>20</w:t>
            </w:r>
            <w:r w:rsidRPr="007E56D0">
              <w:rPr>
                <w:rFonts w:asciiTheme="majorHAnsi" w:eastAsia="Times New Roman" w:hAnsiTheme="majorHAnsi" w:cstheme="majorHAnsi"/>
                <w:color w:val="000000"/>
                <w:sz w:val="16"/>
                <w:szCs w:val="16"/>
                <w:lang w:val="en-US" w:eastAsia="de-DE"/>
              </w:rPr>
              <w:t xml:space="preserve">), UK, public funding </w:t>
            </w:r>
            <w:r w:rsidR="00215B90">
              <w:rPr>
                <w:rFonts w:asciiTheme="majorHAnsi" w:eastAsia="Times New Roman" w:hAnsiTheme="majorHAnsi" w:cstheme="majorHAnsi"/>
                <w:color w:val="000000"/>
                <w:sz w:val="16"/>
                <w:szCs w:val="16"/>
                <w:lang w:val="en-US" w:eastAsia="de-DE"/>
              </w:rPr>
              <w:t>[21]</w:t>
            </w:r>
            <w:hyperlink w:anchor="_CTVL001243a9c251d324197a1006b4f0c9ab8c5" w:tooltip="Pizzo, E., Dumba, M., and Lobotesis, K. 2019. Cost-utility analysis of mechanical thrombectomy between 6 and 24 hours in acute ischemic stroke. Int J …" w:history="1"/>
          </w:p>
        </w:tc>
        <w:tc>
          <w:tcPr>
            <w:tcW w:w="903" w:type="dxa"/>
          </w:tcPr>
          <w:p w14:paraId="1EC88B64" w14:textId="739E33B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w:t>
            </w:r>
            <w:r w:rsidR="000A7D6A" w:rsidRPr="007E56D0">
              <w:rPr>
                <w:rFonts w:asciiTheme="majorHAnsi" w:eastAsia="Times New Roman" w:hAnsiTheme="majorHAnsi" w:cstheme="majorHAnsi"/>
                <w:color w:val="000000"/>
                <w:sz w:val="16"/>
                <w:szCs w:val="16"/>
                <w:lang w:val="en-US" w:eastAsia="de-DE"/>
              </w:rPr>
              <w:t>M</w:t>
            </w:r>
            <w:r w:rsidRPr="007E56D0">
              <w:rPr>
                <w:rFonts w:asciiTheme="majorHAnsi" w:eastAsia="Times New Roman" w:hAnsiTheme="majorHAnsi" w:cstheme="majorHAnsi"/>
                <w:color w:val="000000"/>
                <w:sz w:val="16"/>
                <w:szCs w:val="16"/>
                <w:lang w:val="en-US" w:eastAsia="de-DE"/>
              </w:rPr>
              <w:t xml:space="preserve">T </w:t>
            </w:r>
            <w:r w:rsidR="000A7D6A" w:rsidRPr="007E56D0">
              <w:rPr>
                <w:rFonts w:asciiTheme="majorHAnsi" w:eastAsia="Times New Roman" w:hAnsiTheme="majorHAnsi" w:cstheme="majorHAnsi"/>
                <w:color w:val="000000"/>
                <w:sz w:val="16"/>
                <w:szCs w:val="16"/>
                <w:lang w:val="en-US" w:eastAsia="de-DE"/>
              </w:rPr>
              <w:t xml:space="preserve">+ SMT (incl. IVT) </w:t>
            </w:r>
            <w:r w:rsidRPr="007E56D0">
              <w:rPr>
                <w:rFonts w:asciiTheme="majorHAnsi" w:eastAsia="Times New Roman" w:hAnsiTheme="majorHAnsi" w:cstheme="majorHAnsi"/>
                <w:color w:val="000000"/>
                <w:sz w:val="16"/>
                <w:szCs w:val="16"/>
                <w:lang w:val="en-US" w:eastAsia="de-DE"/>
              </w:rPr>
              <w:t xml:space="preserve">vs. SMT (incl. IVT) alone                                                                        </w:t>
            </w:r>
            <w:r w:rsidRPr="007E56D0">
              <w:rPr>
                <w:rFonts w:asciiTheme="majorHAnsi" w:eastAsia="Times New Roman" w:hAnsiTheme="majorHAnsi" w:cstheme="majorHAnsi"/>
                <w:color w:val="000000"/>
                <w:sz w:val="16"/>
                <w:szCs w:val="16"/>
                <w:lang w:val="en-US" w:eastAsia="de-DE"/>
              </w:rPr>
              <w:br/>
              <w:t>O: ICUR ($US/QALY)</w:t>
            </w:r>
          </w:p>
        </w:tc>
        <w:tc>
          <w:tcPr>
            <w:tcW w:w="989" w:type="dxa"/>
            <w:shd w:val="clear" w:color="auto" w:fill="auto"/>
            <w:hideMark/>
          </w:tcPr>
          <w:p w14:paraId="1CDFFD79" w14:textId="26F304D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hideMark/>
          </w:tcPr>
          <w:p w14:paraId="580BC1BA" w14:textId="4F36741B" w:rsidR="00795DAB" w:rsidRPr="007E56D0" w:rsidRDefault="006D759C"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Not reported</w:t>
            </w:r>
            <w:r w:rsidR="00795DAB"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t>G: Not reported</w:t>
            </w:r>
            <w:r w:rsidR="00795DAB" w:rsidRPr="007E56D0">
              <w:rPr>
                <w:rFonts w:asciiTheme="majorHAnsi" w:hAnsiTheme="majorHAnsi" w:cstheme="majorHAnsi"/>
                <w:color w:val="000000"/>
                <w:sz w:val="16"/>
                <w:szCs w:val="16"/>
                <w:lang w:val="en-US"/>
              </w:rPr>
              <w:br/>
              <w:t xml:space="preserve">DS: </w:t>
            </w:r>
            <w:r w:rsidR="0014151B" w:rsidRPr="007E56D0">
              <w:rPr>
                <w:rFonts w:asciiTheme="majorHAnsi" w:hAnsiTheme="majorHAnsi" w:cstheme="majorHAnsi"/>
                <w:lang w:val="en-US"/>
              </w:rPr>
              <w:t xml:space="preserve"> </w:t>
            </w:r>
            <w:r w:rsidR="0014151B" w:rsidRPr="007E56D0">
              <w:rPr>
                <w:rFonts w:asciiTheme="majorHAnsi" w:hAnsiTheme="majorHAnsi" w:cstheme="majorHAnsi"/>
                <w:color w:val="000000"/>
                <w:sz w:val="16"/>
                <w:szCs w:val="16"/>
                <w:lang w:val="en-US"/>
              </w:rPr>
              <w:t>Anterior circulation ischemic stroke</w:t>
            </w:r>
          </w:p>
        </w:tc>
        <w:tc>
          <w:tcPr>
            <w:tcW w:w="1025" w:type="dxa"/>
            <w:shd w:val="clear" w:color="auto" w:fill="auto"/>
            <w:hideMark/>
          </w:tcPr>
          <w:p w14:paraId="5613F44E" w14:textId="343BD7E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3 months</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20 years</w:t>
            </w:r>
            <w:r w:rsidRPr="007E56D0">
              <w:rPr>
                <w:rFonts w:asciiTheme="majorHAnsi" w:eastAsia="Times New Roman" w:hAnsiTheme="majorHAnsi" w:cstheme="majorHAnsi"/>
                <w:color w:val="000000"/>
                <w:sz w:val="16"/>
                <w:szCs w:val="16"/>
                <w:lang w:val="en-US" w:eastAsia="de-DE"/>
              </w:rPr>
              <w:br/>
              <w:t>D: 3,5% for costs and utilities</w:t>
            </w:r>
          </w:p>
        </w:tc>
        <w:tc>
          <w:tcPr>
            <w:tcW w:w="2068" w:type="dxa"/>
          </w:tcPr>
          <w:p w14:paraId="5C59A4FE" w14:textId="4AC7060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 3 health states (mRS 0-2, mRS  3-5 and death) at 90 days after stroke.</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70BDAC03" w14:textId="09715FC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r w:rsidRPr="007E56D0">
              <w:rPr>
                <w:rFonts w:asciiTheme="majorHAnsi" w:eastAsia="Times New Roman" w:hAnsiTheme="majorHAnsi" w:cstheme="majorHAnsi"/>
                <w:color w:val="000000"/>
                <w:sz w:val="16"/>
                <w:szCs w:val="16"/>
                <w:lang w:val="en-US" w:eastAsia="de-DE"/>
              </w:rPr>
              <w:br/>
              <w:t>- intermediate recovery phase up to 1 year assumed, where mRS improvement possible</w:t>
            </w:r>
          </w:p>
        </w:tc>
        <w:tc>
          <w:tcPr>
            <w:tcW w:w="1284" w:type="dxa"/>
            <w:shd w:val="clear" w:color="auto" w:fill="auto"/>
            <w:hideMark/>
          </w:tcPr>
          <w:p w14:paraId="4C8E748E" w14:textId="22A10AF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 PSA</w:t>
            </w:r>
          </w:p>
        </w:tc>
        <w:tc>
          <w:tcPr>
            <w:tcW w:w="1441" w:type="dxa"/>
            <w:shd w:val="clear" w:color="auto" w:fill="auto"/>
            <w:hideMark/>
          </w:tcPr>
          <w:p w14:paraId="04408DDF" w14:textId="37FF83AB"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12733B" w:rsidRPr="007E56D0">
              <w:rPr>
                <w:rFonts w:asciiTheme="majorHAnsi" w:eastAsia="Times New Roman" w:hAnsiTheme="majorHAnsi" w:cstheme="majorHAnsi"/>
                <w:color w:val="000000"/>
                <w:sz w:val="16"/>
                <w:szCs w:val="16"/>
                <w:lang w:val="en-US" w:eastAsia="de-DE"/>
              </w:rPr>
              <w:t xml:space="preserve"> </w:t>
            </w:r>
            <w:r w:rsidR="00795DAB" w:rsidRPr="007E56D0">
              <w:rPr>
                <w:rFonts w:asciiTheme="majorHAnsi" w:eastAsia="Times New Roman" w:hAnsiTheme="majorHAnsi" w:cstheme="majorHAnsi"/>
                <w:color w:val="000000"/>
                <w:sz w:val="16"/>
                <w:szCs w:val="16"/>
                <w:lang w:val="en-US" w:eastAsia="de-DE"/>
              </w:rPr>
              <w:t>Utilities, costs</w:t>
            </w:r>
          </w:p>
          <w:p w14:paraId="5AF1B7C0" w14:textId="606B0904"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06233006" w14:textId="40C390D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long-term TPs incl. recurrence: Dirichlet), utilities: beta, costs: gamma</w:t>
            </w:r>
            <w:r w:rsidRPr="007E56D0">
              <w:rPr>
                <w:rFonts w:asciiTheme="majorHAnsi" w:eastAsia="Times New Roman" w:hAnsiTheme="majorHAnsi" w:cstheme="majorHAnsi"/>
                <w:color w:val="000000"/>
                <w:sz w:val="16"/>
                <w:szCs w:val="16"/>
                <w:lang w:val="en-US" w:eastAsia="de-DE"/>
              </w:rPr>
              <w:br/>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0EF5FF8B"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9879CF" w:rsidRPr="004515C5" w14:paraId="2E724D33" w14:textId="77777777" w:rsidTr="004515C5">
        <w:trPr>
          <w:tblCellSpacing w:w="85" w:type="dxa"/>
        </w:trPr>
        <w:tc>
          <w:tcPr>
            <w:tcW w:w="1057" w:type="dxa"/>
            <w:shd w:val="clear" w:color="auto" w:fill="auto"/>
            <w:hideMark/>
          </w:tcPr>
          <w:p w14:paraId="5F8D2E94" w14:textId="5364DA42"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xml:space="preserve">Sarraj (2020), USA, manufacturer funding </w:t>
            </w:r>
            <w:r w:rsidR="00215B90">
              <w:rPr>
                <w:rFonts w:asciiTheme="majorHAnsi" w:eastAsia="Times New Roman" w:hAnsiTheme="majorHAnsi" w:cstheme="majorHAnsi"/>
                <w:color w:val="000000"/>
                <w:sz w:val="16"/>
                <w:szCs w:val="16"/>
                <w:lang w:val="en-US" w:eastAsia="de-DE"/>
              </w:rPr>
              <w:t>[22]</w:t>
            </w:r>
            <w:hyperlink w:anchor="_CTVL001c704e66392b248049f1cd501a2a250bd" w:tooltip="Sarraj, A., Pizzo, E., Lobotesis, K., Grotta, J. C., Hassan, A. E., Abraham, M. G., Blackburn, S., Day, A. L., Dannenbaum, M. J., Hicks, W., and et al…" w:history="1"/>
          </w:p>
        </w:tc>
        <w:tc>
          <w:tcPr>
            <w:tcW w:w="903" w:type="dxa"/>
          </w:tcPr>
          <w:p w14:paraId="4640C985"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 MM (incl. IV-tPA if eligible) vs. MM alone (incl. IV-tPA if eligible)</w:t>
            </w:r>
            <w:r w:rsidRPr="007E56D0">
              <w:rPr>
                <w:rFonts w:asciiTheme="majorHAnsi" w:eastAsia="Times New Roman" w:hAnsiTheme="majorHAnsi" w:cstheme="majorHAnsi"/>
                <w:color w:val="000000"/>
                <w:sz w:val="16"/>
                <w:szCs w:val="16"/>
                <w:lang w:val="en-US" w:eastAsia="de-DE"/>
              </w:rPr>
              <w:br/>
              <w:t>O: ICUR ($US/QALY) + NMB</w:t>
            </w:r>
          </w:p>
        </w:tc>
        <w:tc>
          <w:tcPr>
            <w:tcW w:w="989" w:type="dxa"/>
            <w:shd w:val="clear" w:color="auto" w:fill="auto"/>
            <w:hideMark/>
          </w:tcPr>
          <w:p w14:paraId="3E7FC06B"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 societal perspective</w:t>
            </w:r>
          </w:p>
        </w:tc>
        <w:tc>
          <w:tcPr>
            <w:tcW w:w="808" w:type="dxa"/>
            <w:shd w:val="clear" w:color="auto" w:fill="auto"/>
            <w:hideMark/>
          </w:tcPr>
          <w:p w14:paraId="46059F30" w14:textId="7C344FB5" w:rsidR="000F078A" w:rsidRPr="007E56D0" w:rsidRDefault="000F078A"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65</w:t>
            </w:r>
            <w:r w:rsidR="008F283C">
              <w:rPr>
                <w:rFonts w:asciiTheme="majorHAnsi" w:hAnsiTheme="majorHAnsi" w:cstheme="majorHAnsi"/>
                <w:color w:val="000000"/>
                <w:sz w:val="16"/>
                <w:szCs w:val="16"/>
                <w:lang w:val="en-US"/>
              </w:rPr>
              <w:t>(?)</w:t>
            </w:r>
            <w:r w:rsidRPr="007E56D0">
              <w:rPr>
                <w:rFonts w:asciiTheme="majorHAnsi" w:hAnsiTheme="majorHAnsi" w:cstheme="majorHAnsi"/>
                <w:color w:val="000000"/>
                <w:sz w:val="16"/>
                <w:szCs w:val="16"/>
                <w:lang w:val="en-US"/>
              </w:rPr>
              <w:t xml:space="preserve"> years </w:t>
            </w:r>
            <w:r w:rsidRPr="007E56D0">
              <w:rPr>
                <w:rFonts w:asciiTheme="majorHAnsi" w:hAnsiTheme="majorHAnsi" w:cstheme="majorHAnsi"/>
                <w:color w:val="000000"/>
                <w:sz w:val="16"/>
                <w:szCs w:val="16"/>
                <w:lang w:val="en-US"/>
              </w:rPr>
              <w:br/>
              <w:t xml:space="preserve">G: Not reported </w:t>
            </w:r>
            <w:r w:rsidRPr="007E56D0">
              <w:rPr>
                <w:rFonts w:asciiTheme="majorHAnsi" w:hAnsiTheme="majorHAnsi" w:cstheme="majorHAnsi"/>
                <w:color w:val="000000"/>
                <w:sz w:val="16"/>
                <w:szCs w:val="16"/>
                <w:lang w:val="en-US"/>
              </w:rPr>
              <w:br/>
              <w:t>DS: Large ischemic core infarct</w:t>
            </w:r>
          </w:p>
          <w:p w14:paraId="60B8D7DE"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br/>
            </w:r>
          </w:p>
        </w:tc>
        <w:tc>
          <w:tcPr>
            <w:tcW w:w="1025" w:type="dxa"/>
            <w:shd w:val="clear" w:color="auto" w:fill="auto"/>
            <w:hideMark/>
          </w:tcPr>
          <w:p w14:paraId="2E3E3AEA"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t>TH: Lifetime</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2466DFA0"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199DD4F2"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 recurrences modeled</w:t>
            </w:r>
            <w:r w:rsidRPr="007E56D0">
              <w:rPr>
                <w:rFonts w:asciiTheme="majorHAnsi" w:eastAsia="Times New Roman" w:hAnsiTheme="majorHAnsi" w:cstheme="majorHAnsi"/>
                <w:sz w:val="16"/>
                <w:szCs w:val="16"/>
                <w:lang w:val="en-US" w:eastAsia="de-DE"/>
              </w:rPr>
              <w:br/>
              <w:t>- keeping current health state after recurrence possible</w:t>
            </w:r>
          </w:p>
        </w:tc>
        <w:tc>
          <w:tcPr>
            <w:tcW w:w="1284" w:type="dxa"/>
            <w:shd w:val="clear" w:color="auto" w:fill="auto"/>
            <w:hideMark/>
          </w:tcPr>
          <w:p w14:paraId="56FEF6E5"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Scenario analyses, PSA</w:t>
            </w:r>
          </w:p>
        </w:tc>
        <w:tc>
          <w:tcPr>
            <w:tcW w:w="1441" w:type="dxa"/>
            <w:shd w:val="clear" w:color="auto" w:fill="auto"/>
            <w:hideMark/>
          </w:tcPr>
          <w:p w14:paraId="0E5284C3" w14:textId="0545CCC0" w:rsidR="000F078A"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A552EB">
              <w:rPr>
                <w:rFonts w:asciiTheme="majorHAnsi" w:eastAsia="Times New Roman" w:hAnsiTheme="majorHAnsi" w:cstheme="majorHAnsi"/>
                <w:color w:val="000000"/>
                <w:sz w:val="16"/>
                <w:szCs w:val="16"/>
                <w:lang w:val="en-US" w:eastAsia="de-DE"/>
              </w:rPr>
              <w:t xml:space="preserve"> TPs (effectiveness)</w:t>
            </w:r>
            <w:r w:rsidR="00A552EB">
              <w:rPr>
                <w:rFonts w:asciiTheme="majorHAnsi" w:eastAsia="Times New Roman" w:hAnsiTheme="majorHAnsi" w:cstheme="majorHAnsi"/>
                <w:color w:val="000000"/>
                <w:sz w:val="16"/>
                <w:szCs w:val="16"/>
                <w:lang w:val="en-US" w:eastAsia="de-DE"/>
              </w:rPr>
              <w:br/>
            </w:r>
            <w:r>
              <w:rPr>
                <w:rFonts w:asciiTheme="majorHAnsi" w:eastAsia="Times New Roman" w:hAnsiTheme="majorHAnsi" w:cstheme="majorHAnsi"/>
                <w:color w:val="000000"/>
                <w:sz w:val="16"/>
                <w:szCs w:val="16"/>
                <w:lang w:val="en-US" w:eastAsia="de-DE"/>
              </w:rPr>
              <w:t>R:</w:t>
            </w:r>
            <w:r w:rsidR="00A552E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0EBBF0F4"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Dirichlet, mortality: lognormal/beta, recurrence: beta), utilities: beta, 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5B177863" w14:textId="77777777" w:rsidR="000F078A" w:rsidRPr="007E56D0" w:rsidRDefault="000F078A"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1E2D03" w14:paraId="3C880B11" w14:textId="77777777" w:rsidTr="004515C5">
        <w:trPr>
          <w:tblCellSpacing w:w="85" w:type="dxa"/>
        </w:trPr>
        <w:tc>
          <w:tcPr>
            <w:tcW w:w="1057" w:type="dxa"/>
            <w:shd w:val="clear" w:color="auto" w:fill="auto"/>
            <w:noWrap/>
            <w:hideMark/>
          </w:tcPr>
          <w:p w14:paraId="6D793E91" w14:textId="33B7437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Candio et al. (2021), UK, public funding </w:t>
            </w:r>
            <w:r w:rsidR="00215B90">
              <w:rPr>
                <w:rFonts w:asciiTheme="majorHAnsi" w:eastAsia="Times New Roman" w:hAnsiTheme="majorHAnsi" w:cstheme="majorHAnsi"/>
                <w:color w:val="000000"/>
                <w:sz w:val="16"/>
                <w:szCs w:val="16"/>
                <w:lang w:val="en-US" w:eastAsia="de-DE"/>
              </w:rPr>
              <w:t>[23]</w:t>
            </w:r>
            <w:hyperlink w:anchor="_CTVL001840d06b0db6e4adc8aa666fc7e8e1a48" w:tooltip="Candio, P., Violato, M., Leal, J., and Luengo-Fernandez, R. 2021. Cost-Effectiveness of Mechanical Thrombectomy for Treatment of Nonminor Ischemic Str…" w:history="1"/>
          </w:p>
        </w:tc>
        <w:tc>
          <w:tcPr>
            <w:tcW w:w="903" w:type="dxa"/>
          </w:tcPr>
          <w:p w14:paraId="7D95EE70" w14:textId="11F21EB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MT incl. IVT vs. usual care incl. IVT</w:t>
            </w:r>
            <w:r w:rsidRPr="007E56D0">
              <w:rPr>
                <w:rFonts w:asciiTheme="majorHAnsi" w:eastAsia="Times New Roman" w:hAnsiTheme="majorHAnsi" w:cstheme="majorHAnsi"/>
                <w:color w:val="000000"/>
                <w:sz w:val="16"/>
                <w:szCs w:val="16"/>
                <w:lang w:val="en-US" w:eastAsia="de-DE"/>
              </w:rPr>
              <w:br/>
              <w:t xml:space="preserve">O: ICUR ($US/QALY) </w:t>
            </w:r>
          </w:p>
        </w:tc>
        <w:tc>
          <w:tcPr>
            <w:tcW w:w="989" w:type="dxa"/>
            <w:shd w:val="clear" w:color="auto" w:fill="auto"/>
            <w:hideMark/>
          </w:tcPr>
          <w:p w14:paraId="56295774" w14:textId="68A622D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 societal perspective</w:t>
            </w:r>
          </w:p>
        </w:tc>
        <w:tc>
          <w:tcPr>
            <w:tcW w:w="808" w:type="dxa"/>
            <w:shd w:val="clear" w:color="auto" w:fill="auto"/>
            <w:hideMark/>
          </w:tcPr>
          <w:p w14:paraId="0B0CCE37" w14:textId="59120B6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 xml:space="preserve">A: </w:t>
            </w:r>
            <w:r w:rsidR="008F283C" w:rsidRPr="007E56D0">
              <w:rPr>
                <w:rFonts w:asciiTheme="majorHAnsi" w:hAnsiTheme="majorHAnsi" w:cstheme="majorHAnsi"/>
                <w:color w:val="000000"/>
                <w:sz w:val="16"/>
                <w:szCs w:val="16"/>
                <w:lang w:val="en-US"/>
              </w:rPr>
              <w:t xml:space="preserve"> Not reported </w:t>
            </w:r>
            <w:r w:rsidRPr="007E56D0">
              <w:rPr>
                <w:rFonts w:asciiTheme="majorHAnsi" w:hAnsiTheme="majorHAnsi" w:cstheme="majorHAnsi"/>
                <w:color w:val="000000"/>
                <w:sz w:val="16"/>
                <w:szCs w:val="16"/>
                <w:lang w:val="en-US"/>
              </w:rPr>
              <w:br/>
              <w:t xml:space="preserve">G: </w:t>
            </w:r>
            <w:r w:rsidR="008F283C" w:rsidRPr="007E56D0">
              <w:rPr>
                <w:rFonts w:asciiTheme="majorHAnsi" w:hAnsiTheme="majorHAnsi" w:cstheme="majorHAnsi"/>
                <w:color w:val="000000"/>
                <w:sz w:val="16"/>
                <w:szCs w:val="16"/>
                <w:lang w:val="en-US"/>
              </w:rPr>
              <w:t xml:space="preserve"> Not reported </w:t>
            </w:r>
            <w:r w:rsidRPr="007E56D0">
              <w:rPr>
                <w:rFonts w:asciiTheme="majorHAnsi" w:hAnsiTheme="majorHAnsi" w:cstheme="majorHAnsi"/>
                <w:color w:val="000000"/>
                <w:sz w:val="16"/>
                <w:szCs w:val="16"/>
                <w:lang w:val="en-US"/>
              </w:rPr>
              <w:br/>
              <w:t>DS:</w:t>
            </w:r>
            <w:r w:rsidR="00140E76" w:rsidRPr="007E56D0">
              <w:rPr>
                <w:rFonts w:asciiTheme="majorHAnsi" w:hAnsiTheme="majorHAnsi" w:cstheme="majorHAnsi"/>
                <w:color w:val="000000"/>
                <w:sz w:val="16"/>
                <w:szCs w:val="16"/>
                <w:lang w:val="en-US"/>
              </w:rPr>
              <w:t xml:space="preserve"> </w:t>
            </w:r>
            <w:r w:rsidRPr="007E56D0">
              <w:rPr>
                <w:rFonts w:asciiTheme="majorHAnsi" w:hAnsiTheme="majorHAnsi" w:cstheme="majorHAnsi"/>
                <w:color w:val="000000"/>
                <w:sz w:val="16"/>
                <w:szCs w:val="16"/>
                <w:lang w:val="en-US"/>
              </w:rPr>
              <w:t>NIHSS ≥ 5</w:t>
            </w:r>
          </w:p>
        </w:tc>
        <w:tc>
          <w:tcPr>
            <w:tcW w:w="1025" w:type="dxa"/>
            <w:shd w:val="clear" w:color="auto" w:fill="auto"/>
            <w:hideMark/>
          </w:tcPr>
          <w:p w14:paraId="054FDBFE" w14:textId="5FE3B633"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5 years</w:t>
            </w:r>
            <w:r w:rsidRPr="007E56D0">
              <w:rPr>
                <w:rFonts w:asciiTheme="majorHAnsi" w:eastAsia="Times New Roman" w:hAnsiTheme="majorHAnsi" w:cstheme="majorHAnsi"/>
                <w:color w:val="000000"/>
                <w:sz w:val="16"/>
                <w:szCs w:val="16"/>
                <w:lang w:val="en-US" w:eastAsia="de-DE"/>
              </w:rPr>
              <w:br/>
              <w:t>D: 3.5% for costs and utilities</w:t>
            </w:r>
          </w:p>
        </w:tc>
        <w:tc>
          <w:tcPr>
            <w:tcW w:w="2068" w:type="dxa"/>
          </w:tcPr>
          <w:p w14:paraId="672957F9" w14:textId="5FFDD8A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 xml:space="preserve">7 health states (mRS 0-5 and death) at 90 days after stroke. </w:t>
            </w:r>
            <w:r w:rsidRPr="007E56D0">
              <w:rPr>
                <w:rFonts w:asciiTheme="majorHAnsi" w:eastAsia="Times New Roman" w:hAnsiTheme="majorHAnsi" w:cstheme="majorHAnsi"/>
                <w:color w:val="000000"/>
                <w:sz w:val="16"/>
                <w:szCs w:val="16"/>
                <w:lang w:val="en-US" w:eastAsia="de-DE"/>
              </w:rPr>
              <w:t>After 90 days, patients could either keep their health state or die.</w:t>
            </w:r>
          </w:p>
        </w:tc>
        <w:tc>
          <w:tcPr>
            <w:tcW w:w="1284" w:type="dxa"/>
          </w:tcPr>
          <w:p w14:paraId="61D85393" w14:textId="658E316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w:t>
            </w:r>
          </w:p>
        </w:tc>
        <w:tc>
          <w:tcPr>
            <w:tcW w:w="1284" w:type="dxa"/>
            <w:shd w:val="clear" w:color="auto" w:fill="auto"/>
            <w:hideMark/>
          </w:tcPr>
          <w:p w14:paraId="2DAC6072" w14:textId="0BD5B75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 PSA</w:t>
            </w:r>
          </w:p>
        </w:tc>
        <w:tc>
          <w:tcPr>
            <w:tcW w:w="1441" w:type="dxa"/>
            <w:shd w:val="clear" w:color="auto" w:fill="auto"/>
            <w:hideMark/>
          </w:tcPr>
          <w:p w14:paraId="7239F7BD" w14:textId="61CCA39C"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utilities, costs</w:t>
            </w:r>
          </w:p>
          <w:p w14:paraId="22AB24B0" w14:textId="02AD8AEA"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±20% for some costs, utilities and TPs</w:t>
            </w:r>
          </w:p>
        </w:tc>
        <w:tc>
          <w:tcPr>
            <w:tcW w:w="964" w:type="dxa"/>
            <w:shd w:val="clear" w:color="auto" w:fill="auto"/>
            <w:hideMark/>
          </w:tcPr>
          <w:p w14:paraId="1AAB3CFF" w14:textId="4D480DA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Dirichlet, mortality: "bootstrap"), costs: gamma</w:t>
            </w:r>
          </w:p>
          <w:p w14:paraId="364FB9EF" w14:textId="0CCD2D6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2B9CE19D"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cross and internal validation</w:t>
            </w:r>
          </w:p>
        </w:tc>
      </w:tr>
      <w:tr w:rsidR="00795DAB" w:rsidRPr="001E2D03" w14:paraId="0621B4E5" w14:textId="77777777" w:rsidTr="004515C5">
        <w:trPr>
          <w:tblCellSpacing w:w="85" w:type="dxa"/>
        </w:trPr>
        <w:tc>
          <w:tcPr>
            <w:tcW w:w="1057" w:type="dxa"/>
            <w:shd w:val="clear" w:color="auto" w:fill="auto"/>
            <w:noWrap/>
          </w:tcPr>
          <w:p w14:paraId="65D88F31" w14:textId="2384A7F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Gao et al. (2021),</w:t>
            </w:r>
            <w:r w:rsidR="00784CB5">
              <w:rPr>
                <w:rFonts w:asciiTheme="majorHAnsi" w:eastAsia="Times New Roman" w:hAnsiTheme="majorHAnsi" w:cstheme="majorHAnsi"/>
                <w:color w:val="000000"/>
                <w:sz w:val="16"/>
                <w:szCs w:val="16"/>
                <w:lang w:val="en-US" w:eastAsia="de-DE"/>
              </w:rPr>
              <w:t xml:space="preserve"> </w:t>
            </w:r>
            <w:r w:rsidR="00784CB5" w:rsidRPr="007E56D0">
              <w:rPr>
                <w:rFonts w:asciiTheme="majorHAnsi" w:eastAsia="Times New Roman" w:hAnsiTheme="majorHAnsi" w:cstheme="majorHAnsi"/>
                <w:color w:val="000000"/>
                <w:sz w:val="16"/>
                <w:szCs w:val="16"/>
                <w:lang w:val="en-US" w:eastAsia="de-DE"/>
              </w:rPr>
              <w:t xml:space="preserve"> Australia, no funding declared </w:t>
            </w:r>
            <w:r w:rsidRPr="007E56D0">
              <w:rPr>
                <w:rFonts w:asciiTheme="majorHAnsi" w:eastAsia="Times New Roman" w:hAnsiTheme="majorHAnsi" w:cstheme="majorHAnsi"/>
                <w:color w:val="000000"/>
                <w:sz w:val="16"/>
                <w:szCs w:val="16"/>
                <w:lang w:val="en-US" w:eastAsia="de-DE"/>
              </w:rPr>
              <w:t xml:space="preserve"> </w:t>
            </w:r>
            <w:r w:rsidR="00215B90">
              <w:rPr>
                <w:rFonts w:asciiTheme="majorHAnsi" w:eastAsia="Times New Roman" w:hAnsiTheme="majorHAnsi" w:cstheme="majorHAnsi"/>
                <w:color w:val="000000"/>
                <w:sz w:val="16"/>
                <w:szCs w:val="16"/>
                <w:lang w:val="en-US" w:eastAsia="de-DE"/>
              </w:rPr>
              <w:t>[24]</w:t>
            </w:r>
            <w:r w:rsidR="00784CB5">
              <w:rPr>
                <w:rFonts w:asciiTheme="majorHAnsi" w:eastAsia="Times New Roman" w:hAnsiTheme="majorHAnsi" w:cstheme="majorHAnsi"/>
                <w:color w:val="000000"/>
                <w:sz w:val="16"/>
                <w:szCs w:val="16"/>
                <w:lang w:val="en-US" w:eastAsia="de-DE"/>
              </w:rPr>
              <w:t xml:space="preserve"> </w:t>
            </w:r>
          </w:p>
        </w:tc>
        <w:tc>
          <w:tcPr>
            <w:tcW w:w="903" w:type="dxa"/>
          </w:tcPr>
          <w:p w14:paraId="120F6E37" w14:textId="1091FB5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w:t>
            </w:r>
            <w:r w:rsidR="005F1128" w:rsidRPr="007E56D0">
              <w:rPr>
                <w:rFonts w:asciiTheme="majorHAnsi" w:eastAsia="Times New Roman" w:hAnsiTheme="majorHAnsi" w:cstheme="majorHAnsi"/>
                <w:color w:val="000000"/>
                <w:sz w:val="16"/>
                <w:szCs w:val="16"/>
                <w:lang w:val="en-US" w:eastAsia="de-DE"/>
              </w:rPr>
              <w:t>incl. IVT</w:t>
            </w:r>
            <w:r w:rsidRPr="007E56D0">
              <w:rPr>
                <w:rFonts w:asciiTheme="majorHAnsi" w:eastAsia="Times New Roman" w:hAnsiTheme="majorHAnsi" w:cstheme="majorHAnsi"/>
                <w:color w:val="000000"/>
                <w:sz w:val="16"/>
                <w:szCs w:val="16"/>
                <w:lang w:val="en-US" w:eastAsia="de-DE"/>
              </w:rPr>
              <w:t xml:space="preserve">) vs. </w:t>
            </w:r>
            <w:r w:rsidR="000A7D6A" w:rsidRPr="007E56D0">
              <w:rPr>
                <w:rFonts w:asciiTheme="majorHAnsi" w:eastAsia="Times New Roman" w:hAnsiTheme="majorHAnsi" w:cstheme="majorHAnsi"/>
                <w:color w:val="000000"/>
                <w:sz w:val="16"/>
                <w:szCs w:val="16"/>
                <w:lang w:val="en-US" w:eastAsia="de-DE"/>
              </w:rPr>
              <w:t>(S)</w:t>
            </w:r>
            <w:r w:rsidRPr="007E56D0">
              <w:rPr>
                <w:rFonts w:asciiTheme="majorHAnsi" w:eastAsia="Times New Roman" w:hAnsiTheme="majorHAnsi" w:cstheme="majorHAnsi"/>
                <w:color w:val="000000"/>
                <w:sz w:val="16"/>
                <w:szCs w:val="16"/>
                <w:lang w:val="en-US" w:eastAsia="de-DE"/>
              </w:rPr>
              <w:t>MT (</w:t>
            </w:r>
            <w:r w:rsidR="00EC26F5" w:rsidRPr="007E56D0">
              <w:rPr>
                <w:rFonts w:asciiTheme="majorHAnsi" w:eastAsia="Times New Roman" w:hAnsiTheme="majorHAnsi" w:cstheme="majorHAnsi"/>
                <w:color w:val="000000"/>
                <w:sz w:val="16"/>
                <w:szCs w:val="16"/>
                <w:lang w:val="en-US" w:eastAsia="de-DE"/>
              </w:rPr>
              <w:t>incl. IVT</w:t>
            </w:r>
            <w:r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br/>
              <w:t>O: ICUR (</w:t>
            </w:r>
            <w:r w:rsidR="00DB3A91"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t>AUD/QALY)</w:t>
            </w:r>
          </w:p>
          <w:p w14:paraId="3C0ABA93"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p>
        </w:tc>
        <w:tc>
          <w:tcPr>
            <w:tcW w:w="989" w:type="dxa"/>
            <w:shd w:val="clear" w:color="auto" w:fill="auto"/>
          </w:tcPr>
          <w:p w14:paraId="056B8C6E" w14:textId="1787FE4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tcPr>
          <w:p w14:paraId="2ACAD643" w14:textId="23E970B9" w:rsidR="00795DAB" w:rsidRPr="007E56D0" w:rsidRDefault="00795DAB" w:rsidP="009879CF">
            <w:pPr>
              <w:spacing w:after="24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MT: 68.0-69.9 years, EVT: 65.1-70.0 years</w:t>
            </w:r>
            <w:r w:rsidRPr="007E56D0">
              <w:rPr>
                <w:rFonts w:asciiTheme="majorHAnsi" w:hAnsiTheme="majorHAnsi" w:cstheme="majorHAnsi"/>
                <w:color w:val="000000"/>
                <w:sz w:val="16"/>
                <w:szCs w:val="16"/>
                <w:lang w:val="en-US"/>
              </w:rPr>
              <w:br/>
              <w:t>G: MT: 29.0%-43.9% male, EVT: 25.0%-42.9%</w:t>
            </w:r>
            <w:r w:rsidRPr="007E56D0">
              <w:rPr>
                <w:rFonts w:asciiTheme="majorHAnsi" w:hAnsiTheme="majorHAnsi" w:cstheme="majorHAnsi"/>
                <w:color w:val="000000"/>
                <w:sz w:val="16"/>
                <w:szCs w:val="16"/>
                <w:lang w:val="en-US"/>
              </w:rPr>
              <w:br/>
              <w:t xml:space="preserve">DS: </w:t>
            </w:r>
            <w:r w:rsidR="00140E76" w:rsidRPr="007E56D0">
              <w:rPr>
                <w:rFonts w:asciiTheme="majorHAnsi" w:hAnsiTheme="majorHAnsi" w:cstheme="majorHAnsi"/>
                <w:color w:val="000000"/>
                <w:sz w:val="16"/>
                <w:szCs w:val="16"/>
                <w:lang w:val="en-US"/>
              </w:rPr>
              <w:t>I</w:t>
            </w:r>
            <w:r w:rsidRPr="007E56D0">
              <w:rPr>
                <w:rFonts w:asciiTheme="majorHAnsi" w:hAnsiTheme="majorHAnsi" w:cstheme="majorHAnsi"/>
                <w:color w:val="000000"/>
                <w:sz w:val="16"/>
                <w:szCs w:val="16"/>
                <w:lang w:val="en-US"/>
              </w:rPr>
              <w:t>nternal car</w:t>
            </w:r>
            <w:r w:rsidR="00140E76" w:rsidRPr="007E56D0">
              <w:rPr>
                <w:rFonts w:asciiTheme="majorHAnsi" w:hAnsiTheme="majorHAnsi" w:cstheme="majorHAnsi"/>
                <w:color w:val="000000"/>
                <w:sz w:val="16"/>
                <w:szCs w:val="16"/>
                <w:lang w:val="en-US"/>
              </w:rPr>
              <w:t>o</w:t>
            </w:r>
            <w:r w:rsidRPr="007E56D0">
              <w:rPr>
                <w:rFonts w:asciiTheme="majorHAnsi" w:hAnsiTheme="majorHAnsi" w:cstheme="majorHAnsi"/>
                <w:color w:val="000000"/>
                <w:sz w:val="16"/>
                <w:szCs w:val="16"/>
                <w:lang w:val="en-US"/>
              </w:rPr>
              <w:t>tid artery or M1</w:t>
            </w:r>
            <w:r w:rsidR="00140E76" w:rsidRPr="007E56D0">
              <w:rPr>
                <w:rFonts w:asciiTheme="majorHAnsi" w:hAnsiTheme="majorHAnsi" w:cstheme="majorHAnsi"/>
                <w:color w:val="000000"/>
                <w:sz w:val="16"/>
                <w:szCs w:val="16"/>
                <w:lang w:val="en-US"/>
              </w:rPr>
              <w:t>-occlusion</w:t>
            </w:r>
            <w:r w:rsidRPr="007E56D0">
              <w:rPr>
                <w:rFonts w:asciiTheme="majorHAnsi" w:hAnsiTheme="majorHAnsi" w:cstheme="majorHAnsi"/>
                <w:color w:val="000000"/>
                <w:sz w:val="16"/>
                <w:szCs w:val="16"/>
                <w:lang w:val="en-US"/>
              </w:rPr>
              <w:br/>
            </w:r>
          </w:p>
          <w:p w14:paraId="66EBA8EF"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p>
        </w:tc>
        <w:tc>
          <w:tcPr>
            <w:tcW w:w="1025" w:type="dxa"/>
            <w:shd w:val="clear" w:color="auto" w:fill="auto"/>
          </w:tcPr>
          <w:p w14:paraId="79BCBFEC" w14:textId="51871BA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NA (discrete event modelling)</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25 years</w:t>
            </w:r>
            <w:r w:rsidRPr="007E56D0">
              <w:rPr>
                <w:rFonts w:asciiTheme="majorHAnsi" w:eastAsia="Times New Roman" w:hAnsiTheme="majorHAnsi" w:cstheme="majorHAnsi"/>
                <w:color w:val="000000"/>
                <w:sz w:val="16"/>
                <w:szCs w:val="16"/>
                <w:lang w:val="en-US" w:eastAsia="de-DE"/>
              </w:rPr>
              <w:br/>
              <w:t xml:space="preserve">D: 3% </w:t>
            </w:r>
            <w:r w:rsidR="00B40980" w:rsidRPr="007E56D0">
              <w:rPr>
                <w:rFonts w:asciiTheme="majorHAnsi" w:eastAsia="Times New Roman" w:hAnsiTheme="majorHAnsi" w:cstheme="majorHAnsi"/>
                <w:color w:val="000000"/>
                <w:sz w:val="16"/>
                <w:szCs w:val="16"/>
                <w:lang w:val="en-US" w:eastAsia="de-DE"/>
              </w:rPr>
              <w:t>for costs and utilities</w:t>
            </w:r>
          </w:p>
          <w:p w14:paraId="591BBE8A"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p>
        </w:tc>
        <w:tc>
          <w:tcPr>
            <w:tcW w:w="2068" w:type="dxa"/>
          </w:tcPr>
          <w:p w14:paraId="60E3D0BD" w14:textId="00792D0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Decision tree with the 2 treatments (both treatments tested separately for patients meeting and not meeting DEFUSE3 and DAWN trial criteria) and 7 health states (mRS = 0-6) at 90 days after stroke. After 90 days, patients enter </w:t>
            </w:r>
            <w:r w:rsidRPr="007E56D0">
              <w:rPr>
                <w:rFonts w:asciiTheme="majorHAnsi" w:eastAsia="Times New Roman" w:hAnsiTheme="majorHAnsi" w:cstheme="majorHAnsi"/>
                <w:color w:val="333333"/>
                <w:sz w:val="16"/>
                <w:szCs w:val="16"/>
                <w:lang w:val="en-US" w:eastAsia="de-DE"/>
              </w:rPr>
              <w:t>discrete</w:t>
            </w:r>
            <w:r w:rsidRPr="007E56D0">
              <w:rPr>
                <w:rFonts w:asciiTheme="majorHAnsi" w:eastAsia="Times New Roman" w:hAnsiTheme="majorHAnsi" w:cstheme="majorHAnsi"/>
                <w:color w:val="000000"/>
                <w:sz w:val="16"/>
                <w:szCs w:val="16"/>
                <w:lang w:val="en-US" w:eastAsia="de-DE"/>
              </w:rPr>
              <w:t xml:space="preserve"> event simulation model, where they remain in same health state, die from non-stroke related causes or experience a processing event (recurrent stroke or coronary heart disease), which increased mortality risk. After recurrent stroke, they remain in same health state or deteriorate (incl</w:t>
            </w:r>
            <w:r w:rsidR="00851388"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t xml:space="preserve"> 6: death)</w:t>
            </w:r>
          </w:p>
        </w:tc>
        <w:tc>
          <w:tcPr>
            <w:tcW w:w="1284" w:type="dxa"/>
          </w:tcPr>
          <w:p w14:paraId="1B0B67D0"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keeping current health state after recurrence possible</w:t>
            </w:r>
          </w:p>
          <w:p w14:paraId="1AFCF08A"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p>
        </w:tc>
        <w:tc>
          <w:tcPr>
            <w:tcW w:w="1284" w:type="dxa"/>
            <w:shd w:val="clear" w:color="auto" w:fill="auto"/>
          </w:tcPr>
          <w:p w14:paraId="4AB64D8E" w14:textId="7B1E86C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Discrete event simulation (probabilistic)</w:t>
            </w:r>
            <w:r w:rsidRPr="007E56D0">
              <w:rPr>
                <w:rFonts w:asciiTheme="majorHAnsi" w:eastAsia="Times New Roman" w:hAnsiTheme="majorHAnsi" w:cstheme="majorHAnsi"/>
                <w:color w:val="000000"/>
                <w:sz w:val="16"/>
                <w:szCs w:val="16"/>
                <w:lang w:val="en-US" w:eastAsia="de-DE"/>
              </w:rPr>
              <w:br/>
              <w:t>U: One-way DSA, PSA</w:t>
            </w:r>
          </w:p>
          <w:p w14:paraId="4ECA1DA5"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p>
        </w:tc>
        <w:tc>
          <w:tcPr>
            <w:tcW w:w="1441" w:type="dxa"/>
            <w:shd w:val="clear" w:color="auto" w:fill="auto"/>
          </w:tcPr>
          <w:p w14:paraId="1A71699E" w14:textId="56B6F46B"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without recurrences), utilities, costs, starting age, time horizon, discount rate</w:t>
            </w:r>
          </w:p>
          <w:p w14:paraId="3AE033B6" w14:textId="43CB9CAB" w:rsidR="006C0182"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6C0182"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tcPr>
          <w:p w14:paraId="462C8EC1" w14:textId="5E32341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Time to recurrence / myocardial infarction: Gompertz/exponential</w:t>
            </w:r>
          </w:p>
          <w:p w14:paraId="366D6073" w14:textId="26E24193"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p>
        </w:tc>
        <w:tc>
          <w:tcPr>
            <w:tcW w:w="815" w:type="dxa"/>
            <w:shd w:val="clear" w:color="000000" w:fill="FFFFFF"/>
          </w:tcPr>
          <w:p w14:paraId="1D19E98E"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external and cross-validation</w:t>
            </w:r>
          </w:p>
        </w:tc>
      </w:tr>
      <w:tr w:rsidR="00795DAB" w:rsidRPr="001E2D03" w14:paraId="2D848148" w14:textId="77777777" w:rsidTr="004515C5">
        <w:trPr>
          <w:tblCellSpacing w:w="85" w:type="dxa"/>
        </w:trPr>
        <w:tc>
          <w:tcPr>
            <w:tcW w:w="1057" w:type="dxa"/>
            <w:shd w:val="clear" w:color="auto" w:fill="auto"/>
            <w:hideMark/>
          </w:tcPr>
          <w:p w14:paraId="56257388" w14:textId="54AE808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xml:space="preserve">Khunte et al. (2021), USA, none declared </w:t>
            </w:r>
            <w:r w:rsidR="00215B90">
              <w:rPr>
                <w:rFonts w:asciiTheme="majorHAnsi" w:eastAsia="Times New Roman" w:hAnsiTheme="majorHAnsi" w:cstheme="majorHAnsi"/>
                <w:color w:val="000000"/>
                <w:sz w:val="16"/>
                <w:szCs w:val="16"/>
                <w:lang w:val="en-US" w:eastAsia="de-DE"/>
              </w:rPr>
              <w:t>[25]</w:t>
            </w:r>
            <w:hyperlink w:anchor="_CTVL0012536305b7ab8424cb09004c9580fdbd8" w:tooltip="Khunte, M., Wu, X., Payabvash, S., Zhu, C., Matouk, C., Schindler, J., Sanelli, P., Gandhi, D., and Malhotra, A. 2021. Cost-effectiveness of endovascu…" w:history="1"/>
          </w:p>
        </w:tc>
        <w:tc>
          <w:tcPr>
            <w:tcW w:w="903" w:type="dxa"/>
          </w:tcPr>
          <w:p w14:paraId="7B335431" w14:textId="4B64522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MT (</w:t>
            </w:r>
            <w:r w:rsidR="005F1128" w:rsidRPr="007E56D0">
              <w:rPr>
                <w:rFonts w:asciiTheme="majorHAnsi" w:eastAsia="Times New Roman" w:hAnsiTheme="majorHAnsi" w:cstheme="majorHAnsi"/>
                <w:color w:val="000000"/>
                <w:sz w:val="16"/>
                <w:szCs w:val="16"/>
                <w:lang w:val="en-US" w:eastAsia="de-DE"/>
              </w:rPr>
              <w:t>incl. IVT</w:t>
            </w:r>
            <w:r w:rsidRPr="007E56D0">
              <w:rPr>
                <w:rFonts w:asciiTheme="majorHAnsi" w:eastAsia="Times New Roman" w:hAnsiTheme="majorHAnsi" w:cstheme="majorHAnsi"/>
                <w:color w:val="000000"/>
                <w:sz w:val="16"/>
                <w:szCs w:val="16"/>
                <w:lang w:val="en-US" w:eastAsia="de-DE"/>
              </w:rPr>
              <w:t xml:space="preserve"> if eligible) vs. MM (</w:t>
            </w:r>
            <w:r w:rsidR="005F1128" w:rsidRPr="007E56D0">
              <w:rPr>
                <w:rFonts w:asciiTheme="majorHAnsi" w:eastAsia="Times New Roman" w:hAnsiTheme="majorHAnsi" w:cstheme="majorHAnsi"/>
                <w:color w:val="000000"/>
                <w:sz w:val="16"/>
                <w:szCs w:val="16"/>
                <w:lang w:val="en-US" w:eastAsia="de-DE"/>
              </w:rPr>
              <w:t>incl. IVT</w:t>
            </w:r>
            <w:r w:rsidRPr="007E56D0">
              <w:rPr>
                <w:rFonts w:asciiTheme="majorHAnsi" w:eastAsia="Times New Roman" w:hAnsiTheme="majorHAnsi" w:cstheme="majorHAnsi"/>
                <w:color w:val="000000"/>
                <w:sz w:val="16"/>
                <w:szCs w:val="16"/>
                <w:lang w:val="en-US" w:eastAsia="de-DE"/>
              </w:rPr>
              <w:t xml:space="preserve"> if eligible)</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 + NMB</w:t>
            </w:r>
          </w:p>
        </w:tc>
        <w:tc>
          <w:tcPr>
            <w:tcW w:w="989" w:type="dxa"/>
            <w:shd w:val="clear" w:color="auto" w:fill="auto"/>
            <w:hideMark/>
          </w:tcPr>
          <w:p w14:paraId="7BF0F447"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Societal perspective</w:t>
            </w:r>
          </w:p>
        </w:tc>
        <w:tc>
          <w:tcPr>
            <w:tcW w:w="808" w:type="dxa"/>
            <w:shd w:val="clear" w:color="auto" w:fill="auto"/>
            <w:hideMark/>
          </w:tcPr>
          <w:p w14:paraId="65D84C7D" w14:textId="643C584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65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DS: M2-branch occlusion</w:t>
            </w:r>
            <w:r w:rsidRPr="007E56D0">
              <w:rPr>
                <w:rFonts w:asciiTheme="majorHAnsi" w:hAnsiTheme="majorHAnsi" w:cstheme="majorHAnsi"/>
                <w:color w:val="000000"/>
                <w:sz w:val="16"/>
                <w:szCs w:val="16"/>
                <w:lang w:val="en-US"/>
              </w:rPr>
              <w:br/>
            </w:r>
          </w:p>
        </w:tc>
        <w:tc>
          <w:tcPr>
            <w:tcW w:w="1025" w:type="dxa"/>
            <w:shd w:val="clear" w:color="auto" w:fill="auto"/>
            <w:hideMark/>
          </w:tcPr>
          <w:p w14:paraId="35FB4BA0" w14:textId="4128942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CL: 1 year </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0C022A09" w14:textId="43C1B206" w:rsidR="00795DAB" w:rsidRPr="00A00623" w:rsidRDefault="00795DAB" w:rsidP="009879CF">
            <w:pPr>
              <w:spacing w:after="0" w:line="240" w:lineRule="auto"/>
              <w:rPr>
                <w:rFonts w:asciiTheme="majorHAnsi" w:eastAsia="Times New Roman" w:hAnsiTheme="majorHAnsi" w:cstheme="majorHAnsi"/>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 After 90 days, patients could be employed or not.</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6C3E73A1" w14:textId="1F9A4D0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286065D6" w14:textId="64953043"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A: </w:t>
            </w:r>
            <w:r w:rsidR="00FE6C5C" w:rsidRPr="007E56D0">
              <w:rPr>
                <w:rFonts w:asciiTheme="majorHAnsi" w:eastAsia="Times New Roman" w:hAnsiTheme="majorHAnsi" w:cstheme="majorHAnsi"/>
                <w:color w:val="000000"/>
                <w:sz w:val="16"/>
                <w:szCs w:val="16"/>
                <w:lang w:val="en-US" w:eastAsia="de-DE"/>
              </w:rPr>
              <w:t xml:space="preserve">Deterministic cohort simulation </w:t>
            </w:r>
            <w:r w:rsidRPr="007E56D0">
              <w:rPr>
                <w:rFonts w:asciiTheme="majorHAnsi" w:eastAsia="Times New Roman" w:hAnsiTheme="majorHAnsi" w:cstheme="majorHAnsi"/>
                <w:color w:val="000000"/>
                <w:sz w:val="16"/>
                <w:szCs w:val="16"/>
                <w:lang w:val="en-US" w:eastAsia="de-DE"/>
              </w:rPr>
              <w:br/>
              <w:t>U: One-, two-</w:t>
            </w:r>
            <w:r w:rsidR="002A595E" w:rsidRPr="007E56D0">
              <w:rPr>
                <w:rFonts w:asciiTheme="majorHAnsi" w:eastAsia="Times New Roman" w:hAnsiTheme="majorHAnsi" w:cstheme="majorHAnsi"/>
                <w:color w:val="000000"/>
                <w:sz w:val="16"/>
                <w:szCs w:val="16"/>
                <w:lang w:val="en-US" w:eastAsia="de-DE"/>
              </w:rPr>
              <w:t xml:space="preserve"> </w:t>
            </w:r>
            <w:r w:rsidRPr="007E56D0">
              <w:rPr>
                <w:rFonts w:asciiTheme="majorHAnsi" w:eastAsia="Times New Roman" w:hAnsiTheme="majorHAnsi" w:cstheme="majorHAnsi"/>
                <w:color w:val="000000"/>
                <w:sz w:val="16"/>
                <w:szCs w:val="16"/>
                <w:lang w:val="en-US" w:eastAsia="de-DE"/>
              </w:rPr>
              <w:t>and four-way DSA, PSA</w:t>
            </w:r>
          </w:p>
        </w:tc>
        <w:tc>
          <w:tcPr>
            <w:tcW w:w="1441" w:type="dxa"/>
            <w:shd w:val="clear" w:color="auto" w:fill="auto"/>
            <w:hideMark/>
          </w:tcPr>
          <w:p w14:paraId="5BE698C8" w14:textId="754616E6"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(only effectiveness), utilities, costs, time horizon</w:t>
            </w:r>
          </w:p>
          <w:p w14:paraId="5C270DDD" w14:textId="1CE95A09"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56C431C1" w14:textId="43AB01B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beta), utilities: not clear</w:t>
            </w:r>
            <w:r w:rsidR="00981007" w:rsidRPr="007E56D0">
              <w:rPr>
                <w:rFonts w:asciiTheme="majorHAnsi" w:eastAsia="Times New Roman" w:hAnsiTheme="majorHAnsi" w:cstheme="majorHAnsi"/>
                <w:color w:val="000000"/>
                <w:sz w:val="16"/>
                <w:szCs w:val="16"/>
                <w:lang w:val="en-US" w:eastAsia="de-DE"/>
              </w:rPr>
              <w:t>,</w:t>
            </w:r>
          </w:p>
          <w:p w14:paraId="4AFC8845" w14:textId="51B7C75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5504A03F"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internal and external validation</w:t>
            </w:r>
          </w:p>
        </w:tc>
      </w:tr>
      <w:tr w:rsidR="009879CF" w:rsidRPr="004515C5" w14:paraId="69864C1B" w14:textId="77777777" w:rsidTr="004515C5">
        <w:trPr>
          <w:tblCellSpacing w:w="85" w:type="dxa"/>
        </w:trPr>
        <w:tc>
          <w:tcPr>
            <w:tcW w:w="1057" w:type="dxa"/>
            <w:shd w:val="clear" w:color="auto" w:fill="auto"/>
            <w:hideMark/>
          </w:tcPr>
          <w:p w14:paraId="48834311" w14:textId="477BD615" w:rsidR="00B80419" w:rsidRPr="007E56D0" w:rsidRDefault="00B8041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Nivelle et al. (2021), Belgium, public funding </w:t>
            </w:r>
            <w:r w:rsidR="00215B90">
              <w:rPr>
                <w:rFonts w:asciiTheme="majorHAnsi" w:eastAsia="Times New Roman" w:hAnsiTheme="majorHAnsi" w:cstheme="majorHAnsi"/>
                <w:color w:val="000000"/>
                <w:sz w:val="16"/>
                <w:szCs w:val="16"/>
                <w:lang w:val="en-US" w:eastAsia="de-DE"/>
              </w:rPr>
              <w:t>[26]</w:t>
            </w:r>
            <w:hyperlink w:anchor="_CTVL0018d65b90dd64749ccbd489a2dcef90134" w:tooltip="Nivelle, E., Dewilde, S., Peeters, A., Vanhooren, G., and Thijs, V. 2022. Thrombectomy is a cost-saving procedure up to 24 h after onset. Acta Neurol …" w:history="1"/>
          </w:p>
        </w:tc>
        <w:tc>
          <w:tcPr>
            <w:tcW w:w="903" w:type="dxa"/>
          </w:tcPr>
          <w:p w14:paraId="6EB0C9E6" w14:textId="77777777" w:rsidR="00B80419" w:rsidRPr="007E56D0" w:rsidRDefault="00B8041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MT + BSC (incl. IV-tPA if eligible or standard antithrombotic drug therapy or no antithrombotic therapy if ineligible for IV-tPA) vs. BSC alone (IV-tPA if eligible or standard antithrombotic drug therapy or no antithrombotic therapy if ineligible for IV-tPA) </w:t>
            </w:r>
            <w:r w:rsidRPr="007E56D0">
              <w:rPr>
                <w:rFonts w:asciiTheme="majorHAnsi" w:eastAsia="Times New Roman" w:hAnsiTheme="majorHAnsi" w:cstheme="majorHAnsi"/>
                <w:color w:val="000000"/>
                <w:sz w:val="16"/>
                <w:szCs w:val="16"/>
                <w:lang w:val="en-US" w:eastAsia="de-DE"/>
              </w:rPr>
              <w:br/>
              <w:t>O: ICUR (€/QALY)</w:t>
            </w:r>
          </w:p>
        </w:tc>
        <w:tc>
          <w:tcPr>
            <w:tcW w:w="989" w:type="dxa"/>
            <w:shd w:val="clear" w:color="auto" w:fill="auto"/>
            <w:hideMark/>
          </w:tcPr>
          <w:p w14:paraId="0F3E7DE2" w14:textId="77777777" w:rsidR="00B80419" w:rsidRPr="007E56D0" w:rsidRDefault="00B8041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hideMark/>
          </w:tcPr>
          <w:p w14:paraId="6B700E5B" w14:textId="77777777" w:rsidR="00B80419" w:rsidRPr="007E56D0" w:rsidRDefault="00B8041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68 years</w:t>
            </w:r>
            <w:r w:rsidRPr="007E56D0">
              <w:rPr>
                <w:rFonts w:asciiTheme="majorHAnsi" w:hAnsiTheme="majorHAnsi" w:cstheme="majorHAnsi"/>
                <w:color w:val="000000"/>
                <w:sz w:val="16"/>
                <w:szCs w:val="16"/>
                <w:lang w:val="en-US"/>
              </w:rPr>
              <w:br/>
              <w:t>G: Not reported</w:t>
            </w:r>
            <w:r w:rsidRPr="007E56D0">
              <w:rPr>
                <w:rFonts w:asciiTheme="majorHAnsi" w:hAnsiTheme="majorHAnsi" w:cstheme="majorHAnsi"/>
                <w:color w:val="000000"/>
                <w:sz w:val="16"/>
                <w:szCs w:val="16"/>
                <w:lang w:val="en-US"/>
              </w:rPr>
              <w:br/>
              <w:t xml:space="preserve">DS: Large vessel occlusion </w:t>
            </w:r>
            <w:r w:rsidRPr="007E56D0">
              <w:rPr>
                <w:rFonts w:asciiTheme="majorHAnsi" w:hAnsiTheme="majorHAnsi" w:cstheme="majorHAnsi"/>
                <w:color w:val="000000"/>
                <w:sz w:val="16"/>
                <w:szCs w:val="16"/>
                <w:lang w:val="en-US"/>
              </w:rPr>
              <w:br/>
            </w:r>
          </w:p>
        </w:tc>
        <w:tc>
          <w:tcPr>
            <w:tcW w:w="1025" w:type="dxa"/>
            <w:shd w:val="clear" w:color="auto" w:fill="auto"/>
            <w:hideMark/>
          </w:tcPr>
          <w:p w14:paraId="44E3AF4C" w14:textId="77777777" w:rsidR="00B80419" w:rsidRPr="007E56D0" w:rsidRDefault="00B8041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3 months</w:t>
            </w:r>
            <w:r w:rsidRPr="007E56D0">
              <w:rPr>
                <w:rFonts w:asciiTheme="majorHAnsi" w:eastAsia="Times New Roman" w:hAnsiTheme="majorHAnsi" w:cstheme="majorHAnsi"/>
                <w:color w:val="000000"/>
                <w:sz w:val="16"/>
                <w:szCs w:val="16"/>
                <w:lang w:val="en-US" w:eastAsia="de-DE"/>
              </w:rPr>
              <w:br/>
              <w:t>TH: Lifetime</w:t>
            </w:r>
            <w:r w:rsidRPr="007E56D0">
              <w:rPr>
                <w:rFonts w:asciiTheme="majorHAnsi" w:eastAsia="Times New Roman" w:hAnsiTheme="majorHAnsi" w:cstheme="majorHAnsi"/>
                <w:color w:val="000000"/>
                <w:sz w:val="16"/>
                <w:szCs w:val="16"/>
                <w:lang w:val="en-US" w:eastAsia="de-DE"/>
              </w:rPr>
              <w:br/>
              <w:t>D: 3% for costs, 1.5% for utilities</w:t>
            </w:r>
          </w:p>
        </w:tc>
        <w:tc>
          <w:tcPr>
            <w:tcW w:w="2068" w:type="dxa"/>
          </w:tcPr>
          <w:p w14:paraId="6DC8C25C" w14:textId="6BA2BB1C" w:rsidR="00B80419" w:rsidRPr="007E56D0" w:rsidRDefault="00B8041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 Then, patients enter long-term model up to 5 years, where they can recover</w:t>
            </w:r>
            <w:r w:rsidR="006F7C82">
              <w:rPr>
                <w:rFonts w:asciiTheme="majorHAnsi" w:eastAsia="Times New Roman" w:hAnsiTheme="majorHAnsi" w:cstheme="majorHAnsi"/>
                <w:sz w:val="16"/>
                <w:szCs w:val="16"/>
                <w:lang w:val="en-US" w:eastAsia="de-DE"/>
              </w:rPr>
              <w:t xml:space="preserve"> (only first year?)</w:t>
            </w:r>
            <w:r w:rsidRPr="007E56D0">
              <w:rPr>
                <w:rFonts w:asciiTheme="majorHAnsi" w:eastAsia="Times New Roman" w:hAnsiTheme="majorHAnsi" w:cstheme="majorHAnsi"/>
                <w:sz w:val="16"/>
                <w:szCs w:val="16"/>
                <w:lang w:val="en-US" w:eastAsia="de-DE"/>
              </w:rPr>
              <w:t>, deteriorate or keep health state. After 5 years, they enter next long-term model, where they can only keep health state or die.</w:t>
            </w:r>
          </w:p>
        </w:tc>
        <w:tc>
          <w:tcPr>
            <w:tcW w:w="1284" w:type="dxa"/>
          </w:tcPr>
          <w:p w14:paraId="49D535C3" w14:textId="77777777" w:rsidR="00B80419" w:rsidRPr="007E56D0" w:rsidRDefault="00B8041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intermediate recovery phase up to 1 year assumed, where mRS improvement possible</w:t>
            </w:r>
            <w:r w:rsidRPr="007E56D0">
              <w:rPr>
                <w:rFonts w:asciiTheme="majorHAnsi" w:eastAsia="Times New Roman" w:hAnsiTheme="majorHAnsi" w:cstheme="majorHAnsi"/>
                <w:color w:val="000000"/>
                <w:sz w:val="16"/>
                <w:szCs w:val="16"/>
                <w:lang w:val="en-US" w:eastAsia="de-DE"/>
              </w:rPr>
              <w:br/>
              <w:t>- not clear how long recovery possible</w:t>
            </w:r>
          </w:p>
        </w:tc>
        <w:tc>
          <w:tcPr>
            <w:tcW w:w="1284" w:type="dxa"/>
            <w:shd w:val="clear" w:color="auto" w:fill="auto"/>
            <w:hideMark/>
          </w:tcPr>
          <w:p w14:paraId="137C5AE0" w14:textId="77777777" w:rsidR="00B80419" w:rsidRPr="007E56D0" w:rsidRDefault="00B8041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 xml:space="preserve">U: One-way DSA and scenario analyses </w:t>
            </w:r>
          </w:p>
        </w:tc>
        <w:tc>
          <w:tcPr>
            <w:tcW w:w="1441" w:type="dxa"/>
            <w:shd w:val="clear" w:color="auto" w:fill="auto"/>
            <w:hideMark/>
          </w:tcPr>
          <w:p w14:paraId="24B6FF78" w14:textId="3F2FD513" w:rsidR="00B80419"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B80419" w:rsidRPr="007E56D0">
              <w:rPr>
                <w:rFonts w:asciiTheme="majorHAnsi" w:eastAsia="Times New Roman" w:hAnsiTheme="majorHAnsi" w:cstheme="majorHAnsi"/>
                <w:color w:val="000000"/>
                <w:sz w:val="16"/>
                <w:szCs w:val="16"/>
                <w:lang w:val="en-US" w:eastAsia="de-DE"/>
              </w:rPr>
              <w:t xml:space="preserve"> TPs (effectiveness and long-term TPs), utilities, costs, starting age, time horizon, discount rate</w:t>
            </w:r>
          </w:p>
          <w:p w14:paraId="1B736BFF" w14:textId="290E1085" w:rsidR="00B80419"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B80419"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3602E177" w14:textId="77777777" w:rsidR="00B80419" w:rsidRPr="007E56D0" w:rsidRDefault="00B8041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Not assessed</w:t>
            </w:r>
          </w:p>
        </w:tc>
        <w:tc>
          <w:tcPr>
            <w:tcW w:w="815" w:type="dxa"/>
            <w:shd w:val="clear" w:color="000000" w:fill="FFFFFF"/>
            <w:hideMark/>
          </w:tcPr>
          <w:p w14:paraId="2790652E" w14:textId="77777777" w:rsidR="00B80419" w:rsidRPr="007E56D0" w:rsidRDefault="00B80419"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1E2D03" w14:paraId="470F4F6F" w14:textId="77777777" w:rsidTr="004515C5">
        <w:trPr>
          <w:tblCellSpacing w:w="85" w:type="dxa"/>
        </w:trPr>
        <w:tc>
          <w:tcPr>
            <w:tcW w:w="1057" w:type="dxa"/>
            <w:shd w:val="clear" w:color="auto" w:fill="auto"/>
            <w:hideMark/>
          </w:tcPr>
          <w:p w14:paraId="117C1387" w14:textId="45656E6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Sevick et al. (2021), Canada, </w:t>
            </w:r>
            <w:r w:rsidRPr="007E56D0">
              <w:rPr>
                <w:rFonts w:asciiTheme="majorHAnsi" w:eastAsia="Times New Roman" w:hAnsiTheme="majorHAnsi" w:cstheme="majorHAnsi"/>
                <w:color w:val="000000"/>
                <w:sz w:val="16"/>
                <w:szCs w:val="16"/>
                <w:lang w:val="en-US" w:eastAsia="de-DE"/>
              </w:rPr>
              <w:lastRenderedPageBreak/>
              <w:t xml:space="preserve">manufacturer funding </w:t>
            </w:r>
            <w:r w:rsidR="00215B90">
              <w:rPr>
                <w:rFonts w:asciiTheme="majorHAnsi" w:eastAsia="Times New Roman" w:hAnsiTheme="majorHAnsi" w:cstheme="majorHAnsi"/>
                <w:color w:val="000000"/>
                <w:sz w:val="16"/>
                <w:szCs w:val="16"/>
                <w:lang w:val="en-US" w:eastAsia="de-DE"/>
              </w:rPr>
              <w:t>[27]</w:t>
            </w:r>
            <w:hyperlink w:anchor="_CTVL00122fc8d0bce76480da4aab255b71a27f7" w:tooltip="Sevick, L. K., Demchuk, A. M., Shuaib, A., Smith, E. E., Rempel, J. L., Butcher, K., Menon, B. K., Jeerakathil, T., Kamal, N., Thornton, J., and et al…" w:history="1"/>
          </w:p>
        </w:tc>
        <w:tc>
          <w:tcPr>
            <w:tcW w:w="903" w:type="dxa"/>
          </w:tcPr>
          <w:p w14:paraId="332A5ADB" w14:textId="2AA56C6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xml:space="preserve">C: EVT (+Alteplase if eligible) </w:t>
            </w:r>
            <w:r w:rsidRPr="007E56D0">
              <w:rPr>
                <w:rFonts w:asciiTheme="majorHAnsi" w:eastAsia="Times New Roman" w:hAnsiTheme="majorHAnsi" w:cstheme="majorHAnsi"/>
                <w:color w:val="000000"/>
                <w:sz w:val="16"/>
                <w:szCs w:val="16"/>
                <w:lang w:val="en-US" w:eastAsia="de-DE"/>
              </w:rPr>
              <w:lastRenderedPageBreak/>
              <w:t>vs. BMM (+Alteplase if eligible)</w:t>
            </w:r>
            <w:r w:rsidRPr="007E56D0">
              <w:rPr>
                <w:rFonts w:asciiTheme="majorHAnsi" w:eastAsia="Times New Roman" w:hAnsiTheme="majorHAnsi" w:cstheme="majorHAnsi"/>
                <w:color w:val="000000"/>
                <w:sz w:val="16"/>
                <w:szCs w:val="16"/>
                <w:lang w:val="en-US" w:eastAsia="de-DE"/>
              </w:rPr>
              <w:br/>
              <w:t xml:space="preserve">O: </w:t>
            </w:r>
            <w:r w:rsidR="009B7B74" w:rsidRPr="007E56D0">
              <w:rPr>
                <w:rFonts w:asciiTheme="majorHAnsi" w:eastAsia="Times New Roman" w:hAnsiTheme="majorHAnsi" w:cstheme="majorHAnsi"/>
                <w:color w:val="000000"/>
                <w:sz w:val="16"/>
                <w:szCs w:val="16"/>
                <w:lang w:val="en-US" w:eastAsia="de-DE"/>
              </w:rPr>
              <w:t xml:space="preserve"> Separate analyses of costs</w:t>
            </w:r>
            <w:r w:rsidRPr="007E56D0">
              <w:rPr>
                <w:rFonts w:asciiTheme="majorHAnsi" w:eastAsia="Times New Roman" w:hAnsiTheme="majorHAnsi" w:cstheme="majorHAnsi"/>
                <w:color w:val="000000"/>
                <w:sz w:val="16"/>
                <w:szCs w:val="16"/>
                <w:lang w:val="en-US" w:eastAsia="de-DE"/>
              </w:rPr>
              <w:t xml:space="preserve"> (CA$) and utilities (QALYs)</w:t>
            </w:r>
          </w:p>
        </w:tc>
        <w:tc>
          <w:tcPr>
            <w:tcW w:w="989" w:type="dxa"/>
            <w:shd w:val="clear" w:color="auto" w:fill="auto"/>
            <w:hideMark/>
          </w:tcPr>
          <w:p w14:paraId="5A0E2A4C" w14:textId="5481E8D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Payer’s + societal perspective</w:t>
            </w:r>
          </w:p>
        </w:tc>
        <w:tc>
          <w:tcPr>
            <w:tcW w:w="808" w:type="dxa"/>
            <w:shd w:val="clear" w:color="auto" w:fill="auto"/>
            <w:hideMark/>
          </w:tcPr>
          <w:p w14:paraId="6C799B2B" w14:textId="28ED4AD9" w:rsidR="00795DAB" w:rsidRPr="007E56D0" w:rsidRDefault="006D759C"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Not reported</w:t>
            </w:r>
            <w:r w:rsidR="00795DAB"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t xml:space="preserve">G: Not </w:t>
            </w:r>
            <w:r w:rsidRPr="007E56D0">
              <w:rPr>
                <w:rFonts w:asciiTheme="majorHAnsi" w:hAnsiTheme="majorHAnsi" w:cstheme="majorHAnsi"/>
                <w:color w:val="000000"/>
                <w:sz w:val="16"/>
                <w:szCs w:val="16"/>
                <w:lang w:val="en-US"/>
              </w:rPr>
              <w:lastRenderedPageBreak/>
              <w:t>reported</w:t>
            </w:r>
            <w:r w:rsidR="00795DAB" w:rsidRPr="007E56D0">
              <w:rPr>
                <w:rFonts w:asciiTheme="majorHAnsi" w:hAnsiTheme="majorHAnsi" w:cstheme="majorHAnsi"/>
                <w:color w:val="000000"/>
                <w:sz w:val="16"/>
                <w:szCs w:val="16"/>
                <w:lang w:val="en-US"/>
              </w:rPr>
              <w:br/>
              <w:t>DS: Disabling ischemic stroke</w:t>
            </w:r>
            <w:r w:rsidR="00795DAB" w:rsidRPr="007E56D0">
              <w:rPr>
                <w:rFonts w:asciiTheme="majorHAnsi" w:hAnsiTheme="majorHAnsi" w:cstheme="majorHAnsi"/>
                <w:color w:val="000000"/>
                <w:sz w:val="16"/>
                <w:szCs w:val="16"/>
                <w:lang w:val="en-US"/>
              </w:rPr>
              <w:br/>
            </w:r>
            <w:r w:rsidR="00795DAB" w:rsidRPr="007E56D0">
              <w:rPr>
                <w:rFonts w:asciiTheme="majorHAnsi" w:hAnsiTheme="majorHAnsi" w:cstheme="majorHAnsi"/>
                <w:color w:val="000000"/>
                <w:sz w:val="16"/>
                <w:szCs w:val="16"/>
                <w:lang w:val="en-US"/>
              </w:rPr>
              <w:br/>
            </w:r>
            <w:r w:rsidR="00795DAB" w:rsidRPr="007E56D0">
              <w:rPr>
                <w:rFonts w:asciiTheme="majorHAnsi" w:hAnsiTheme="majorHAnsi" w:cstheme="majorHAnsi"/>
                <w:color w:val="000000"/>
                <w:sz w:val="16"/>
                <w:szCs w:val="16"/>
                <w:lang w:val="en-US"/>
              </w:rPr>
              <w:br/>
            </w:r>
          </w:p>
        </w:tc>
        <w:tc>
          <w:tcPr>
            <w:tcW w:w="1025" w:type="dxa"/>
            <w:shd w:val="clear" w:color="auto" w:fill="auto"/>
            <w:hideMark/>
          </w:tcPr>
          <w:p w14:paraId="1042C09A" w14:textId="3F64138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90 days and lifetime</w:t>
            </w:r>
            <w:r w:rsidRPr="007E56D0">
              <w:rPr>
                <w:rFonts w:asciiTheme="majorHAnsi" w:eastAsia="Times New Roman" w:hAnsiTheme="majorHAnsi" w:cstheme="majorHAnsi"/>
                <w:color w:val="000000"/>
                <w:sz w:val="16"/>
                <w:szCs w:val="16"/>
                <w:lang w:val="en-US" w:eastAsia="de-DE"/>
              </w:rPr>
              <w:br/>
            </w:r>
            <w:r w:rsidRPr="007E56D0">
              <w:rPr>
                <w:rFonts w:asciiTheme="majorHAnsi" w:eastAsia="Times New Roman" w:hAnsiTheme="majorHAnsi" w:cstheme="majorHAnsi"/>
                <w:color w:val="000000"/>
                <w:sz w:val="16"/>
                <w:szCs w:val="16"/>
                <w:lang w:val="en-US" w:eastAsia="de-DE"/>
              </w:rPr>
              <w:lastRenderedPageBreak/>
              <w:t>D: 5% for costs and utilities</w:t>
            </w:r>
          </w:p>
        </w:tc>
        <w:tc>
          <w:tcPr>
            <w:tcW w:w="2068" w:type="dxa"/>
          </w:tcPr>
          <w:p w14:paraId="46DC76CE" w14:textId="1B54492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lastRenderedPageBreak/>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 xml:space="preserve">7 health </w:t>
            </w:r>
            <w:r w:rsidRPr="007E56D0">
              <w:rPr>
                <w:rFonts w:asciiTheme="majorHAnsi" w:eastAsia="Times New Roman" w:hAnsiTheme="majorHAnsi" w:cstheme="majorHAnsi"/>
                <w:sz w:val="16"/>
                <w:szCs w:val="16"/>
                <w:lang w:val="en-US" w:eastAsia="de-DE"/>
              </w:rPr>
              <w:lastRenderedPageBreak/>
              <w:t>states (mRS 0-5 and death) at 90 days after stroke. After 90 days, patients could keep current health state or die.</w:t>
            </w:r>
          </w:p>
        </w:tc>
        <w:tc>
          <w:tcPr>
            <w:tcW w:w="1284" w:type="dxa"/>
          </w:tcPr>
          <w:p w14:paraId="4DF812B2" w14:textId="39189C5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w:t>
            </w:r>
          </w:p>
        </w:tc>
        <w:tc>
          <w:tcPr>
            <w:tcW w:w="1284" w:type="dxa"/>
            <w:shd w:val="clear" w:color="auto" w:fill="auto"/>
            <w:hideMark/>
          </w:tcPr>
          <w:p w14:paraId="1623E744" w14:textId="418221E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 xml:space="preserve">U: </w:t>
            </w:r>
            <w:r w:rsidR="00685F26" w:rsidRPr="007E56D0">
              <w:rPr>
                <w:rFonts w:asciiTheme="majorHAnsi" w:eastAsia="Times New Roman" w:hAnsiTheme="majorHAnsi" w:cstheme="majorHAnsi"/>
                <w:color w:val="000000"/>
                <w:sz w:val="16"/>
                <w:szCs w:val="16"/>
                <w:lang w:val="en-US" w:eastAsia="de-DE"/>
              </w:rPr>
              <w:t>O</w:t>
            </w:r>
            <w:r w:rsidRPr="007E56D0">
              <w:rPr>
                <w:rFonts w:asciiTheme="majorHAnsi" w:eastAsia="Times New Roman" w:hAnsiTheme="majorHAnsi" w:cstheme="majorHAnsi"/>
                <w:color w:val="000000"/>
                <w:sz w:val="16"/>
                <w:szCs w:val="16"/>
                <w:lang w:val="en-US" w:eastAsia="de-DE"/>
              </w:rPr>
              <w:t>ne-way DSA,</w:t>
            </w:r>
            <w:r w:rsidR="00685F26" w:rsidRPr="007E56D0">
              <w:rPr>
                <w:rFonts w:asciiTheme="majorHAnsi" w:eastAsia="Times New Roman" w:hAnsiTheme="majorHAnsi" w:cstheme="majorHAnsi"/>
                <w:color w:val="000000"/>
                <w:sz w:val="16"/>
                <w:szCs w:val="16"/>
                <w:lang w:val="en-US" w:eastAsia="de-DE"/>
              </w:rPr>
              <w:t xml:space="preserve"> </w:t>
            </w:r>
            <w:r w:rsidR="00685F26" w:rsidRPr="007E56D0">
              <w:rPr>
                <w:rFonts w:asciiTheme="majorHAnsi" w:eastAsia="Times New Roman" w:hAnsiTheme="majorHAnsi" w:cstheme="majorHAnsi"/>
                <w:color w:val="000000"/>
                <w:sz w:val="16"/>
                <w:szCs w:val="16"/>
                <w:lang w:val="en-US" w:eastAsia="de-DE"/>
              </w:rPr>
              <w:lastRenderedPageBreak/>
              <w:t>scenario analyses,</w:t>
            </w:r>
            <w:r w:rsidRPr="007E56D0">
              <w:rPr>
                <w:rFonts w:asciiTheme="majorHAnsi" w:eastAsia="Times New Roman" w:hAnsiTheme="majorHAnsi" w:cstheme="majorHAnsi"/>
                <w:color w:val="000000"/>
                <w:sz w:val="16"/>
                <w:szCs w:val="16"/>
                <w:lang w:val="en-US" w:eastAsia="de-DE"/>
              </w:rPr>
              <w:t xml:space="preserve"> PSA</w:t>
            </w:r>
          </w:p>
        </w:tc>
        <w:tc>
          <w:tcPr>
            <w:tcW w:w="1441" w:type="dxa"/>
            <w:shd w:val="clear" w:color="auto" w:fill="auto"/>
            <w:hideMark/>
          </w:tcPr>
          <w:p w14:paraId="5AA3B1AA" w14:textId="1B9C9742"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lastRenderedPageBreak/>
              <w:t>P:</w:t>
            </w:r>
            <w:r w:rsidR="00795DAB" w:rsidRPr="007E56D0">
              <w:rPr>
                <w:rFonts w:asciiTheme="majorHAnsi" w:eastAsia="Times New Roman" w:hAnsiTheme="majorHAnsi" w:cstheme="majorHAnsi"/>
                <w:color w:val="000000"/>
                <w:sz w:val="16"/>
                <w:szCs w:val="16"/>
                <w:lang w:val="en-US" w:eastAsia="de-DE"/>
              </w:rPr>
              <w:t xml:space="preserve"> TPs (only effectiveness), time horizon</w:t>
            </w:r>
          </w:p>
          <w:p w14:paraId="16877769" w14:textId="616389C1"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lastRenderedPageBreak/>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65FCACDE" w14:textId="6511CA99" w:rsidR="00795DAB" w:rsidRPr="007E56D0" w:rsidRDefault="00554771"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U</w:t>
            </w:r>
            <w:r w:rsidR="00795DAB" w:rsidRPr="007E56D0">
              <w:rPr>
                <w:rFonts w:asciiTheme="majorHAnsi" w:eastAsia="Times New Roman" w:hAnsiTheme="majorHAnsi" w:cstheme="majorHAnsi"/>
                <w:color w:val="000000"/>
                <w:sz w:val="16"/>
                <w:szCs w:val="16"/>
                <w:lang w:val="en-US" w:eastAsia="de-DE"/>
              </w:rPr>
              <w:t xml:space="preserve">tilities: normal, </w:t>
            </w:r>
            <w:r w:rsidR="00795DAB" w:rsidRPr="007E56D0">
              <w:rPr>
                <w:rFonts w:asciiTheme="majorHAnsi" w:eastAsia="Times New Roman" w:hAnsiTheme="majorHAnsi" w:cstheme="majorHAnsi"/>
                <w:color w:val="000000"/>
                <w:sz w:val="16"/>
                <w:szCs w:val="16"/>
                <w:lang w:val="en-US" w:eastAsia="de-DE"/>
              </w:rPr>
              <w:lastRenderedPageBreak/>
              <w:t>costs: gamma</w:t>
            </w:r>
          </w:p>
        </w:tc>
        <w:tc>
          <w:tcPr>
            <w:tcW w:w="815" w:type="dxa"/>
            <w:shd w:val="clear" w:color="000000" w:fill="FFFFFF"/>
            <w:hideMark/>
          </w:tcPr>
          <w:p w14:paraId="2980A38E"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xml:space="preserve">Face, cross and </w:t>
            </w:r>
            <w:r w:rsidRPr="007E56D0">
              <w:rPr>
                <w:rFonts w:asciiTheme="majorHAnsi" w:eastAsia="Times New Roman" w:hAnsiTheme="majorHAnsi" w:cstheme="majorHAnsi"/>
                <w:color w:val="000000"/>
                <w:sz w:val="16"/>
                <w:szCs w:val="16"/>
                <w:lang w:val="en-US" w:eastAsia="de-DE"/>
              </w:rPr>
              <w:lastRenderedPageBreak/>
              <w:t>internal validation</w:t>
            </w:r>
          </w:p>
        </w:tc>
      </w:tr>
      <w:tr w:rsidR="00795DAB" w:rsidRPr="004515C5" w14:paraId="35ED2506" w14:textId="77777777" w:rsidTr="004515C5">
        <w:trPr>
          <w:tblCellSpacing w:w="85" w:type="dxa"/>
        </w:trPr>
        <w:tc>
          <w:tcPr>
            <w:tcW w:w="1057" w:type="dxa"/>
            <w:shd w:val="clear" w:color="auto" w:fill="auto"/>
            <w:hideMark/>
          </w:tcPr>
          <w:p w14:paraId="11B41DEC" w14:textId="2996035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xml:space="preserve">Wu et al. (2021), USA, not mentioned </w:t>
            </w:r>
            <w:r w:rsidR="00215B90">
              <w:rPr>
                <w:rFonts w:asciiTheme="majorHAnsi" w:eastAsia="Times New Roman" w:hAnsiTheme="majorHAnsi" w:cstheme="majorHAnsi"/>
                <w:color w:val="000000"/>
                <w:sz w:val="16"/>
                <w:szCs w:val="16"/>
                <w:lang w:val="en-US" w:eastAsia="de-DE"/>
              </w:rPr>
              <w:t>[28]</w:t>
            </w:r>
            <w:hyperlink w:anchor="_CTVL0013164f626cf494974adac85e01a0e2e37" w:tooltip="Wu, X., Payabvash, S., Matouk, C. C., Lev, M. H., Wintermark, M., Sanelli, P., Gandhi, D., and Malhotra, A. 2021. Cost-effectiveness of endovascular t…" w:history="1"/>
          </w:p>
        </w:tc>
        <w:tc>
          <w:tcPr>
            <w:tcW w:w="903" w:type="dxa"/>
          </w:tcPr>
          <w:p w14:paraId="6EE2C36B" w14:textId="7CE2F42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EVT vs. MM                                                   </w:t>
            </w:r>
            <w:r w:rsidRPr="007E56D0">
              <w:rPr>
                <w:rFonts w:asciiTheme="majorHAnsi" w:eastAsia="Times New Roman" w:hAnsiTheme="majorHAnsi" w:cstheme="majorHAnsi"/>
                <w:color w:val="000000"/>
                <w:sz w:val="16"/>
                <w:szCs w:val="16"/>
                <w:lang w:val="en-US" w:eastAsia="de-DE"/>
              </w:rPr>
              <w:br/>
              <w:t>O: ICUR ($US/QALY) + NMB</w:t>
            </w:r>
          </w:p>
        </w:tc>
        <w:tc>
          <w:tcPr>
            <w:tcW w:w="989" w:type="dxa"/>
            <w:shd w:val="clear" w:color="auto" w:fill="auto"/>
            <w:hideMark/>
          </w:tcPr>
          <w:p w14:paraId="21691558"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Societal perspective</w:t>
            </w:r>
          </w:p>
        </w:tc>
        <w:tc>
          <w:tcPr>
            <w:tcW w:w="808" w:type="dxa"/>
            <w:shd w:val="clear" w:color="auto" w:fill="auto"/>
            <w:hideMark/>
          </w:tcPr>
          <w:p w14:paraId="5764863E" w14:textId="19E1C7C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55- and 65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DS: ASPECTS &lt;6</w:t>
            </w:r>
          </w:p>
        </w:tc>
        <w:tc>
          <w:tcPr>
            <w:tcW w:w="1025" w:type="dxa"/>
            <w:shd w:val="clear" w:color="auto" w:fill="auto"/>
            <w:hideMark/>
          </w:tcPr>
          <w:p w14:paraId="467ED7FB" w14:textId="2B53400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CL: 1 year </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23B03CB0" w14:textId="78D75E67" w:rsidR="00CE7E0F" w:rsidRPr="00A00623" w:rsidRDefault="00795DAB" w:rsidP="009879CF">
            <w:pPr>
              <w:spacing w:after="0" w:line="240" w:lineRule="auto"/>
              <w:rPr>
                <w:rFonts w:asciiTheme="majorHAnsi" w:eastAsia="Times New Roman" w:hAnsiTheme="majorHAnsi" w:cstheme="majorHAnsi"/>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 xml:space="preserve">7 health states (mRS 0-5 and death) at 90 days after stroke. Then patients enter long-term model where they first could die from non-stroke mortality or survive, and afterwards could still be employed or not. </w:t>
            </w:r>
            <w:r w:rsidRPr="007E56D0">
              <w:rPr>
                <w:rFonts w:asciiTheme="majorHAnsi" w:eastAsia="Times New Roman" w:hAnsiTheme="majorHAnsi" w:cstheme="majorHAnsi"/>
                <w:color w:val="000000"/>
                <w:sz w:val="16"/>
                <w:szCs w:val="16"/>
                <w:lang w:val="en-US" w:eastAsia="de-DE"/>
              </w:rPr>
              <w:t>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623716E4" w14:textId="003305F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not clear if keeping current health state possible after recurrence</w:t>
            </w:r>
          </w:p>
        </w:tc>
        <w:tc>
          <w:tcPr>
            <w:tcW w:w="1284" w:type="dxa"/>
            <w:shd w:val="clear" w:color="auto" w:fill="auto"/>
            <w:hideMark/>
          </w:tcPr>
          <w:p w14:paraId="01027EA1" w14:textId="5078957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 and two-way DSA, PSA</w:t>
            </w:r>
          </w:p>
        </w:tc>
        <w:tc>
          <w:tcPr>
            <w:tcW w:w="1441" w:type="dxa"/>
            <w:shd w:val="clear" w:color="auto" w:fill="auto"/>
            <w:hideMark/>
          </w:tcPr>
          <w:p w14:paraId="3555F95C" w14:textId="42A89598"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incl. recurrences), utilities, costs, starting age</w:t>
            </w:r>
          </w:p>
          <w:p w14:paraId="116C9B17" w14:textId="587FB1F2"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0E867A61" w14:textId="2245603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beta), utilities: gamma, costs: gamma, RTW: beta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5811977B"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external validation</w:t>
            </w:r>
          </w:p>
        </w:tc>
      </w:tr>
      <w:tr w:rsidR="00795DAB" w:rsidRPr="004515C5" w14:paraId="2EAF7134" w14:textId="77777777" w:rsidTr="004515C5">
        <w:trPr>
          <w:tblCellSpacing w:w="85" w:type="dxa"/>
        </w:trPr>
        <w:tc>
          <w:tcPr>
            <w:tcW w:w="1057" w:type="dxa"/>
            <w:shd w:val="clear" w:color="auto" w:fill="auto"/>
            <w:hideMark/>
          </w:tcPr>
          <w:p w14:paraId="65B21AC3" w14:textId="13EDED5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Khunte et al. (2022), USA, none declared </w:t>
            </w:r>
            <w:r w:rsidR="00215B90">
              <w:rPr>
                <w:rFonts w:asciiTheme="majorHAnsi" w:eastAsia="Times New Roman" w:hAnsiTheme="majorHAnsi" w:cstheme="majorHAnsi"/>
                <w:color w:val="000000"/>
                <w:sz w:val="16"/>
                <w:szCs w:val="16"/>
                <w:lang w:val="en-US" w:eastAsia="de-DE"/>
              </w:rPr>
              <w:t>[29]</w:t>
            </w:r>
            <w:hyperlink w:anchor="_CTVL001057c0976e20e40c4a4ba513722801468" w:tooltip="Khunte, M., Wu, X., Avery, E. W., Gandhi, D., Payabvash, S., Matouk, C., Heit, J. J., Wintermark, M., Albers, G. W., Sanelli, P., and Malhotra, A. 202…" w:history="1"/>
          </w:p>
        </w:tc>
        <w:tc>
          <w:tcPr>
            <w:tcW w:w="903" w:type="dxa"/>
          </w:tcPr>
          <w:p w14:paraId="3A924F0C" w14:textId="29BE536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w:t>
            </w:r>
            <w:r w:rsidR="00EC26F5" w:rsidRPr="007E56D0">
              <w:rPr>
                <w:rFonts w:asciiTheme="majorHAnsi" w:eastAsia="Times New Roman" w:hAnsiTheme="majorHAnsi" w:cstheme="majorHAnsi"/>
                <w:color w:val="000000"/>
                <w:sz w:val="16"/>
                <w:szCs w:val="16"/>
                <w:lang w:val="en-US" w:eastAsia="de-DE"/>
              </w:rPr>
              <w:t>incl. IVT</w:t>
            </w:r>
            <w:r w:rsidRPr="007E56D0">
              <w:rPr>
                <w:rFonts w:asciiTheme="majorHAnsi" w:eastAsia="Times New Roman" w:hAnsiTheme="majorHAnsi" w:cstheme="majorHAnsi"/>
                <w:color w:val="000000"/>
                <w:sz w:val="16"/>
                <w:szCs w:val="16"/>
                <w:lang w:val="en-US" w:eastAsia="de-DE"/>
              </w:rPr>
              <w:t xml:space="preserve"> if eligible) vs. SMC (</w:t>
            </w:r>
            <w:r w:rsidR="00EC26F5" w:rsidRPr="007E56D0">
              <w:rPr>
                <w:rFonts w:asciiTheme="majorHAnsi" w:eastAsia="Times New Roman" w:hAnsiTheme="majorHAnsi" w:cstheme="majorHAnsi"/>
                <w:color w:val="000000"/>
                <w:sz w:val="16"/>
                <w:szCs w:val="16"/>
                <w:lang w:val="en-US" w:eastAsia="de-DE"/>
              </w:rPr>
              <w:t>incl. IVT</w:t>
            </w:r>
            <w:r w:rsidRPr="007E56D0">
              <w:rPr>
                <w:rFonts w:asciiTheme="majorHAnsi" w:eastAsia="Times New Roman" w:hAnsiTheme="majorHAnsi" w:cstheme="majorHAnsi"/>
                <w:color w:val="000000"/>
                <w:sz w:val="16"/>
                <w:szCs w:val="16"/>
                <w:lang w:val="en-US" w:eastAsia="de-DE"/>
              </w:rPr>
              <w:t xml:space="preserve"> if eligible)</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 + iNMB</w:t>
            </w:r>
          </w:p>
        </w:tc>
        <w:tc>
          <w:tcPr>
            <w:tcW w:w="989" w:type="dxa"/>
            <w:shd w:val="clear" w:color="auto" w:fill="auto"/>
            <w:hideMark/>
          </w:tcPr>
          <w:p w14:paraId="78F7E145"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Societal perspective</w:t>
            </w:r>
          </w:p>
        </w:tc>
        <w:tc>
          <w:tcPr>
            <w:tcW w:w="808" w:type="dxa"/>
            <w:shd w:val="clear" w:color="auto" w:fill="auto"/>
            <w:hideMark/>
          </w:tcPr>
          <w:p w14:paraId="588A0C7A" w14:textId="712D052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65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DS:</w:t>
            </w:r>
            <w:r w:rsidR="002D76DA" w:rsidRPr="007E56D0">
              <w:rPr>
                <w:rFonts w:asciiTheme="majorHAnsi" w:hAnsiTheme="majorHAnsi" w:cstheme="majorHAnsi"/>
                <w:color w:val="000000"/>
                <w:sz w:val="16"/>
                <w:szCs w:val="16"/>
                <w:lang w:val="en-US"/>
              </w:rPr>
              <w:t xml:space="preserve"> Large vessel occlusion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p>
        </w:tc>
        <w:tc>
          <w:tcPr>
            <w:tcW w:w="1025" w:type="dxa"/>
            <w:shd w:val="clear" w:color="auto" w:fill="auto"/>
            <w:hideMark/>
          </w:tcPr>
          <w:p w14:paraId="430D7A43" w14:textId="389BDE4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CL: 1 year </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2BA06D9C" w14:textId="794D92FF" w:rsidR="00CE7E0F" w:rsidRPr="00A00623" w:rsidRDefault="00795DAB" w:rsidP="009879CF">
            <w:pPr>
              <w:spacing w:after="0" w:line="240" w:lineRule="auto"/>
              <w:rPr>
                <w:rFonts w:asciiTheme="majorHAnsi" w:eastAsia="Times New Roman" w:hAnsiTheme="majorHAnsi" w:cstheme="majorHAnsi"/>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 xml:space="preserve">7 health states (mRS 0-5 and death) at 90 days after stroke. After 90 days, patients could be employed or not. </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2CBDB8D7" w14:textId="40794D7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6C4B6FEE" w14:textId="6EC75A5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 xml:space="preserve">U: </w:t>
            </w:r>
            <w:r w:rsidR="00232B5F" w:rsidRPr="007E56D0">
              <w:rPr>
                <w:rFonts w:asciiTheme="majorHAnsi" w:eastAsia="Times New Roman" w:hAnsiTheme="majorHAnsi" w:cstheme="majorHAnsi"/>
                <w:color w:val="000000"/>
                <w:sz w:val="16"/>
                <w:szCs w:val="16"/>
                <w:lang w:val="en-US" w:eastAsia="de-DE"/>
              </w:rPr>
              <w:t>O</w:t>
            </w:r>
            <w:r w:rsidRPr="007E56D0">
              <w:rPr>
                <w:rFonts w:asciiTheme="majorHAnsi" w:eastAsia="Times New Roman" w:hAnsiTheme="majorHAnsi" w:cstheme="majorHAnsi"/>
                <w:color w:val="000000"/>
                <w:sz w:val="16"/>
                <w:szCs w:val="16"/>
                <w:lang w:val="en-US" w:eastAsia="de-DE"/>
              </w:rPr>
              <w:t>ne-, two- and three-way DSA,</w:t>
            </w:r>
            <w:r w:rsidR="00232B5F" w:rsidRPr="007E56D0">
              <w:rPr>
                <w:rFonts w:asciiTheme="majorHAnsi" w:eastAsia="Times New Roman" w:hAnsiTheme="majorHAnsi" w:cstheme="majorHAnsi"/>
                <w:color w:val="000000"/>
                <w:sz w:val="16"/>
                <w:szCs w:val="16"/>
                <w:lang w:val="en-US" w:eastAsia="de-DE"/>
              </w:rPr>
              <w:t xml:space="preserve"> scenario analyses, </w:t>
            </w:r>
            <w:r w:rsidRPr="007E56D0">
              <w:rPr>
                <w:rFonts w:asciiTheme="majorHAnsi" w:eastAsia="Times New Roman" w:hAnsiTheme="majorHAnsi" w:cstheme="majorHAnsi"/>
                <w:color w:val="000000"/>
                <w:sz w:val="16"/>
                <w:szCs w:val="16"/>
                <w:lang w:val="en-US" w:eastAsia="de-DE"/>
              </w:rPr>
              <w:t>PSA</w:t>
            </w:r>
          </w:p>
        </w:tc>
        <w:tc>
          <w:tcPr>
            <w:tcW w:w="1441" w:type="dxa"/>
            <w:shd w:val="clear" w:color="auto" w:fill="auto"/>
            <w:hideMark/>
          </w:tcPr>
          <w:p w14:paraId="7AE4DD24" w14:textId="35DA86ED"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(only effectiveness), utilities, costs, </w:t>
            </w:r>
            <w:r w:rsidR="009412D4" w:rsidRPr="007E56D0">
              <w:rPr>
                <w:rFonts w:asciiTheme="majorHAnsi" w:eastAsia="Times New Roman" w:hAnsiTheme="majorHAnsi" w:cstheme="majorHAnsi"/>
                <w:color w:val="000000"/>
                <w:sz w:val="16"/>
                <w:szCs w:val="16"/>
                <w:lang w:val="en-US" w:eastAsia="de-DE"/>
              </w:rPr>
              <w:t>time horizon</w:t>
            </w:r>
          </w:p>
          <w:p w14:paraId="3BE18FAA" w14:textId="1B770F29"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±20% for some costs</w:t>
            </w:r>
          </w:p>
        </w:tc>
        <w:tc>
          <w:tcPr>
            <w:tcW w:w="964" w:type="dxa"/>
            <w:shd w:val="clear" w:color="auto" w:fill="auto"/>
            <w:hideMark/>
          </w:tcPr>
          <w:p w14:paraId="57513C2E" w14:textId="2E71759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Dirichlet), 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627E9F3A"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4515C5" w14:paraId="63B7ED28" w14:textId="77777777" w:rsidTr="004515C5">
        <w:trPr>
          <w:tblCellSpacing w:w="85" w:type="dxa"/>
        </w:trPr>
        <w:tc>
          <w:tcPr>
            <w:tcW w:w="1057" w:type="dxa"/>
            <w:shd w:val="clear" w:color="auto" w:fill="auto"/>
            <w:noWrap/>
            <w:hideMark/>
          </w:tcPr>
          <w:p w14:paraId="1B969868" w14:textId="09F4F88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Lylyk et al. (2022), Argentina, manufacturer funding </w:t>
            </w:r>
            <w:r w:rsidR="00215B90">
              <w:rPr>
                <w:rFonts w:asciiTheme="majorHAnsi" w:eastAsia="Times New Roman" w:hAnsiTheme="majorHAnsi" w:cstheme="majorHAnsi"/>
                <w:color w:val="000000"/>
                <w:sz w:val="16"/>
                <w:szCs w:val="16"/>
                <w:lang w:val="en-US" w:eastAsia="de-DE"/>
              </w:rPr>
              <w:t>[30]</w:t>
            </w:r>
            <w:hyperlink w:anchor="_CTVL001a3a1d9d9f5b94cc6a5e5aa8737d16b0a" w:tooltip="Lylyk, P., Cirio, J., Toranzo, C., Aiello, E., Valencia, J., and Paredes-Fernández, D. 2022. Mechanical Thrombectomy for Acute Ischemic Stroke Due to …" w:history="1"/>
          </w:p>
        </w:tc>
        <w:tc>
          <w:tcPr>
            <w:tcW w:w="903" w:type="dxa"/>
          </w:tcPr>
          <w:p w14:paraId="0D3836F9" w14:textId="0592E71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MT </w:t>
            </w:r>
            <w:r w:rsidR="00967B3D" w:rsidRPr="007E56D0">
              <w:rPr>
                <w:rFonts w:asciiTheme="majorHAnsi" w:eastAsia="Times New Roman" w:hAnsiTheme="majorHAnsi" w:cstheme="majorHAnsi"/>
                <w:color w:val="000000"/>
                <w:sz w:val="16"/>
                <w:szCs w:val="16"/>
                <w:lang w:val="en-US" w:eastAsia="de-DE"/>
              </w:rPr>
              <w:t>incl. IV-tPA</w:t>
            </w:r>
            <w:r w:rsidRPr="007E56D0">
              <w:rPr>
                <w:rFonts w:asciiTheme="majorHAnsi" w:eastAsia="Times New Roman" w:hAnsiTheme="majorHAnsi" w:cstheme="majorHAnsi"/>
                <w:color w:val="000000"/>
                <w:sz w:val="16"/>
                <w:szCs w:val="16"/>
                <w:lang w:val="en-US" w:eastAsia="de-DE"/>
              </w:rPr>
              <w:t xml:space="preserve"> vs. IV-tPA alone </w:t>
            </w:r>
            <w:r w:rsidRPr="007E56D0">
              <w:rPr>
                <w:rFonts w:asciiTheme="majorHAnsi" w:eastAsia="Times New Roman" w:hAnsiTheme="majorHAnsi" w:cstheme="majorHAnsi"/>
                <w:color w:val="000000"/>
                <w:sz w:val="16"/>
                <w:szCs w:val="16"/>
                <w:lang w:val="en-US" w:eastAsia="de-DE"/>
              </w:rPr>
              <w:br/>
              <w:t>O: ICUR (AR$/QALY) + NMB</w:t>
            </w:r>
          </w:p>
        </w:tc>
        <w:tc>
          <w:tcPr>
            <w:tcW w:w="989" w:type="dxa"/>
            <w:shd w:val="clear" w:color="auto" w:fill="auto"/>
            <w:hideMark/>
          </w:tcPr>
          <w:p w14:paraId="0157E7CC" w14:textId="53317AD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hideMark/>
          </w:tcPr>
          <w:p w14:paraId="24642A85" w14:textId="22388D7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69.4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D</w:t>
            </w:r>
            <w:r w:rsidR="002D76DA" w:rsidRPr="007E56D0">
              <w:rPr>
                <w:rFonts w:asciiTheme="majorHAnsi" w:hAnsiTheme="majorHAnsi" w:cstheme="majorHAnsi"/>
                <w:color w:val="000000"/>
                <w:sz w:val="16"/>
                <w:szCs w:val="16"/>
                <w:lang w:val="en-US"/>
              </w:rPr>
              <w:t>S: Large vessel occlusion</w:t>
            </w:r>
            <w:r w:rsidRPr="007E56D0">
              <w:rPr>
                <w:rFonts w:asciiTheme="majorHAnsi" w:hAnsiTheme="majorHAnsi" w:cstheme="majorHAnsi"/>
                <w:color w:val="000000"/>
                <w:sz w:val="16"/>
                <w:szCs w:val="16"/>
                <w:lang w:val="en-US"/>
              </w:rPr>
              <w:br/>
            </w:r>
          </w:p>
        </w:tc>
        <w:tc>
          <w:tcPr>
            <w:tcW w:w="1025" w:type="dxa"/>
            <w:shd w:val="clear" w:color="auto" w:fill="auto"/>
            <w:hideMark/>
          </w:tcPr>
          <w:p w14:paraId="31BFE6A4" w14:textId="135833F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w:t>
            </w:r>
            <w:r w:rsidRPr="007E56D0">
              <w:rPr>
                <w:rFonts w:asciiTheme="majorHAnsi" w:eastAsia="Times New Roman" w:hAnsiTheme="majorHAnsi" w:cstheme="majorHAnsi"/>
                <w:color w:val="000000"/>
                <w:sz w:val="16"/>
                <w:szCs w:val="16"/>
                <w:lang w:val="en-US" w:eastAsia="de-DE"/>
              </w:rPr>
              <w:br/>
              <w:t>D: 5% for costs and utilities</w:t>
            </w:r>
          </w:p>
        </w:tc>
        <w:tc>
          <w:tcPr>
            <w:tcW w:w="2068" w:type="dxa"/>
          </w:tcPr>
          <w:p w14:paraId="5C8D97AC" w14:textId="5C167314"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22F550D5" w14:textId="3D74581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r w:rsidRPr="007E56D0">
              <w:rPr>
                <w:rFonts w:asciiTheme="majorHAnsi" w:eastAsia="Times New Roman" w:hAnsiTheme="majorHAnsi" w:cstheme="majorHAnsi"/>
                <w:color w:val="000000"/>
                <w:sz w:val="16"/>
                <w:szCs w:val="16"/>
                <w:lang w:val="en-US" w:eastAsia="de-DE"/>
              </w:rPr>
              <w:br/>
              <w:t xml:space="preserve">- patients not assumed to be at risk of recurrence </w:t>
            </w:r>
            <w:r w:rsidRPr="007E56D0">
              <w:rPr>
                <w:rFonts w:asciiTheme="majorHAnsi" w:eastAsia="Times New Roman" w:hAnsiTheme="majorHAnsi" w:cstheme="majorHAnsi"/>
                <w:color w:val="000000"/>
                <w:sz w:val="16"/>
                <w:szCs w:val="16"/>
                <w:lang w:val="en-US" w:eastAsia="de-DE"/>
              </w:rPr>
              <w:lastRenderedPageBreak/>
              <w:t>in acute phase</w:t>
            </w:r>
            <w:r w:rsidRPr="007E56D0">
              <w:rPr>
                <w:rFonts w:asciiTheme="majorHAnsi" w:eastAsia="Times New Roman" w:hAnsiTheme="majorHAnsi" w:cstheme="majorHAnsi"/>
                <w:color w:val="000000"/>
                <w:sz w:val="16"/>
                <w:szCs w:val="16"/>
                <w:lang w:val="en-US" w:eastAsia="de-DE"/>
              </w:rPr>
              <w:br/>
              <w:t xml:space="preserve">- recovery in </w:t>
            </w:r>
            <w:r w:rsidR="00824B82" w:rsidRPr="007E56D0">
              <w:rPr>
                <w:rFonts w:asciiTheme="majorHAnsi" w:eastAsia="Times New Roman" w:hAnsiTheme="majorHAnsi" w:cstheme="majorHAnsi"/>
                <w:color w:val="000000"/>
                <w:sz w:val="16"/>
                <w:szCs w:val="16"/>
                <w:lang w:val="en-US" w:eastAsia="de-DE"/>
              </w:rPr>
              <w:t>scenario analyses</w:t>
            </w:r>
            <w:r w:rsidRPr="007E56D0">
              <w:rPr>
                <w:rFonts w:asciiTheme="majorHAnsi" w:eastAsia="Times New Roman" w:hAnsiTheme="majorHAnsi" w:cstheme="majorHAnsi"/>
                <w:color w:val="000000"/>
                <w:sz w:val="16"/>
                <w:szCs w:val="16"/>
                <w:lang w:val="en-US" w:eastAsia="de-DE"/>
              </w:rPr>
              <w:t xml:space="preserve"> possible</w:t>
            </w:r>
          </w:p>
        </w:tc>
        <w:tc>
          <w:tcPr>
            <w:tcW w:w="1284" w:type="dxa"/>
            <w:shd w:val="clear" w:color="auto" w:fill="auto"/>
            <w:hideMark/>
          </w:tcPr>
          <w:p w14:paraId="19C0AC7D" w14:textId="58AD9A1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A: Deterministic cohort simulation</w:t>
            </w:r>
            <w:r w:rsidRPr="007E56D0">
              <w:rPr>
                <w:rFonts w:asciiTheme="majorHAnsi" w:eastAsia="Times New Roman" w:hAnsiTheme="majorHAnsi" w:cstheme="majorHAnsi"/>
                <w:color w:val="000000"/>
                <w:sz w:val="16"/>
                <w:szCs w:val="16"/>
                <w:lang w:val="en-US" w:eastAsia="de-DE"/>
              </w:rPr>
              <w:br/>
              <w:t xml:space="preserve">U: One-way DSA, </w:t>
            </w:r>
            <w:r w:rsidR="00824B82" w:rsidRPr="007E56D0">
              <w:rPr>
                <w:rFonts w:asciiTheme="majorHAnsi" w:eastAsia="Times New Roman" w:hAnsiTheme="majorHAnsi" w:cstheme="majorHAnsi"/>
                <w:color w:val="000000"/>
                <w:sz w:val="16"/>
                <w:szCs w:val="16"/>
                <w:lang w:val="en-US" w:eastAsia="de-DE"/>
              </w:rPr>
              <w:t>scenario analyses</w:t>
            </w:r>
            <w:r w:rsidR="00232B5F" w:rsidRPr="007E56D0">
              <w:rPr>
                <w:rFonts w:asciiTheme="majorHAnsi" w:eastAsia="Times New Roman" w:hAnsiTheme="majorHAnsi" w:cstheme="majorHAnsi"/>
                <w:color w:val="000000"/>
                <w:sz w:val="16"/>
                <w:szCs w:val="16"/>
                <w:lang w:val="en-US" w:eastAsia="de-DE"/>
              </w:rPr>
              <w:t>, PSA</w:t>
            </w:r>
          </w:p>
        </w:tc>
        <w:tc>
          <w:tcPr>
            <w:tcW w:w="1441" w:type="dxa"/>
            <w:shd w:val="clear" w:color="auto" w:fill="auto"/>
            <w:hideMark/>
          </w:tcPr>
          <w:p w14:paraId="0FA6038A" w14:textId="418D624C"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(only mortality), utilities, costs, </w:t>
            </w:r>
            <w:r w:rsidR="009412D4" w:rsidRPr="007E56D0">
              <w:rPr>
                <w:rFonts w:asciiTheme="majorHAnsi" w:eastAsia="Times New Roman" w:hAnsiTheme="majorHAnsi" w:cstheme="majorHAnsi"/>
                <w:color w:val="000000"/>
                <w:sz w:val="16"/>
                <w:szCs w:val="16"/>
                <w:lang w:val="en-US" w:eastAsia="de-DE"/>
              </w:rPr>
              <w:t xml:space="preserve">starting </w:t>
            </w:r>
            <w:r w:rsidR="00795DAB" w:rsidRPr="007E56D0">
              <w:rPr>
                <w:rFonts w:asciiTheme="majorHAnsi" w:eastAsia="Times New Roman" w:hAnsiTheme="majorHAnsi" w:cstheme="majorHAnsi"/>
                <w:color w:val="000000"/>
                <w:sz w:val="16"/>
                <w:szCs w:val="16"/>
                <w:lang w:val="en-US" w:eastAsia="de-DE"/>
              </w:rPr>
              <w:t>age</w:t>
            </w:r>
          </w:p>
          <w:p w14:paraId="6EE28D96" w14:textId="05757003"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E0033F" w:rsidRPr="007E56D0">
              <w:rPr>
                <w:rFonts w:asciiTheme="majorHAnsi" w:eastAsia="Times New Roman" w:hAnsiTheme="majorHAnsi" w:cstheme="majorHAnsi"/>
                <w:color w:val="000000"/>
                <w:sz w:val="16"/>
                <w:szCs w:val="16"/>
                <w:lang w:val="en-US" w:eastAsia="de-DE"/>
              </w:rPr>
              <w:t xml:space="preserve"> </w:t>
            </w:r>
            <w:r w:rsidR="0020474E">
              <w:rPr>
                <w:rFonts w:asciiTheme="majorHAnsi" w:eastAsia="Times New Roman" w:hAnsiTheme="majorHAnsi" w:cstheme="majorHAnsi"/>
                <w:color w:val="000000"/>
                <w:sz w:val="16"/>
                <w:szCs w:val="16"/>
                <w:lang w:val="en-US" w:eastAsia="de-DE"/>
              </w:rPr>
              <w:t>Ranges not reported</w:t>
            </w:r>
          </w:p>
          <w:p w14:paraId="045EA623" w14:textId="6C69E7B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p>
        </w:tc>
        <w:tc>
          <w:tcPr>
            <w:tcW w:w="964" w:type="dxa"/>
            <w:shd w:val="clear" w:color="auto" w:fill="auto"/>
            <w:hideMark/>
          </w:tcPr>
          <w:p w14:paraId="3E183CE5" w14:textId="29AAD6F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Parameters</w:t>
            </w:r>
            <w:r w:rsidR="00AD78D9" w:rsidRPr="007E56D0">
              <w:rPr>
                <w:rFonts w:asciiTheme="majorHAnsi" w:eastAsia="Times New Roman" w:hAnsiTheme="majorHAnsi" w:cstheme="majorHAnsi"/>
                <w:color w:val="000000"/>
                <w:sz w:val="16"/>
                <w:szCs w:val="16"/>
                <w:lang w:val="en-US" w:eastAsia="de-DE"/>
              </w:rPr>
              <w:t xml:space="preserve"> </w:t>
            </w:r>
            <w:r w:rsidRPr="007E56D0">
              <w:rPr>
                <w:rFonts w:asciiTheme="majorHAnsi" w:eastAsia="Times New Roman" w:hAnsiTheme="majorHAnsi" w:cstheme="majorHAnsi"/>
                <w:color w:val="000000"/>
                <w:sz w:val="16"/>
                <w:szCs w:val="16"/>
                <w:lang w:val="en-US" w:eastAsia="de-DE"/>
              </w:rPr>
              <w:t>not reported</w:t>
            </w:r>
          </w:p>
        </w:tc>
        <w:tc>
          <w:tcPr>
            <w:tcW w:w="815" w:type="dxa"/>
            <w:shd w:val="clear" w:color="000000" w:fill="FFFFFF"/>
            <w:hideMark/>
          </w:tcPr>
          <w:p w14:paraId="42E4EF2A"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1E2D03" w14:paraId="4D2A7566" w14:textId="77777777" w:rsidTr="004515C5">
        <w:trPr>
          <w:tblCellSpacing w:w="85" w:type="dxa"/>
        </w:trPr>
        <w:tc>
          <w:tcPr>
            <w:tcW w:w="1057" w:type="dxa"/>
            <w:shd w:val="clear" w:color="auto" w:fill="auto"/>
            <w:hideMark/>
          </w:tcPr>
          <w:p w14:paraId="2FE24EC1" w14:textId="161E8A7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Rattanavipapong et al. (2022), Thailand, public funding </w:t>
            </w:r>
            <w:r w:rsidR="00215B90">
              <w:rPr>
                <w:rFonts w:asciiTheme="majorHAnsi" w:eastAsia="Times New Roman" w:hAnsiTheme="majorHAnsi" w:cstheme="majorHAnsi"/>
                <w:color w:val="000000"/>
                <w:sz w:val="16"/>
                <w:szCs w:val="16"/>
                <w:lang w:val="en-US" w:eastAsia="de-DE"/>
              </w:rPr>
              <w:t>[31]</w:t>
            </w:r>
            <w:hyperlink w:anchor="_CTVL001e314f03578504cbca6cb8d5e48e186c7" w:tooltip="Rattanavipapong, W., Worakijthamrongchai, T., Soboon, B., Luankongsomchit, V., Kongmuangpuk, M., Isaranuwatchai, W., Teerawattananon, Y., and Nilanont…" w:history="1"/>
          </w:p>
        </w:tc>
        <w:tc>
          <w:tcPr>
            <w:tcW w:w="903" w:type="dxa"/>
          </w:tcPr>
          <w:p w14:paraId="6D06C3BC" w14:textId="0E29714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 Alteplase or EVT alone vs. Alteplase alone or supportive care (dependent on eligibility of Alteplase)</w:t>
            </w:r>
            <w:r w:rsidRPr="007E56D0">
              <w:rPr>
                <w:rFonts w:asciiTheme="majorHAnsi" w:eastAsia="Times New Roman" w:hAnsiTheme="majorHAnsi" w:cstheme="majorHAnsi"/>
                <w:color w:val="000000"/>
                <w:sz w:val="16"/>
                <w:szCs w:val="16"/>
                <w:lang w:val="en-US" w:eastAsia="de-DE"/>
              </w:rPr>
              <w:br/>
              <w:t>O: ICUR (THB/QALY)</w:t>
            </w:r>
          </w:p>
        </w:tc>
        <w:tc>
          <w:tcPr>
            <w:tcW w:w="989" w:type="dxa"/>
            <w:shd w:val="clear" w:color="auto" w:fill="auto"/>
            <w:hideMark/>
          </w:tcPr>
          <w:p w14:paraId="06D65FE0"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Societal perspective</w:t>
            </w:r>
          </w:p>
        </w:tc>
        <w:tc>
          <w:tcPr>
            <w:tcW w:w="808" w:type="dxa"/>
            <w:shd w:val="clear" w:color="auto" w:fill="auto"/>
            <w:hideMark/>
          </w:tcPr>
          <w:p w14:paraId="6928BAD0" w14:textId="198401C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65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DS:</w:t>
            </w:r>
            <w:r w:rsidR="00540DF8" w:rsidRPr="007E56D0">
              <w:rPr>
                <w:rFonts w:asciiTheme="majorHAnsi" w:hAnsiTheme="majorHAnsi" w:cstheme="majorHAnsi"/>
                <w:color w:val="000000"/>
                <w:sz w:val="16"/>
                <w:szCs w:val="16"/>
                <w:lang w:val="en-US"/>
              </w:rPr>
              <w:t xml:space="preserve"> Large vessel occlusion </w:t>
            </w:r>
            <w:r w:rsidR="00540DF8"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p>
        </w:tc>
        <w:tc>
          <w:tcPr>
            <w:tcW w:w="1025" w:type="dxa"/>
            <w:shd w:val="clear" w:color="auto" w:fill="auto"/>
            <w:hideMark/>
          </w:tcPr>
          <w:p w14:paraId="5A939E5E" w14:textId="796D365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3 months</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0C8D769E" w14:textId="79C6440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 xml:space="preserve">7 health states (mRS 0-5 and death) at 90 days after stroke. </w:t>
            </w:r>
            <w:r w:rsidRPr="007E56D0">
              <w:rPr>
                <w:rFonts w:asciiTheme="majorHAnsi" w:eastAsia="Times New Roman" w:hAnsiTheme="majorHAnsi" w:cstheme="majorHAnsi"/>
                <w:color w:val="000000"/>
                <w:sz w:val="16"/>
                <w:szCs w:val="16"/>
                <w:lang w:val="en-US" w:eastAsia="de-DE"/>
              </w:rPr>
              <w:t>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7834DD7B" w14:textId="70AD19B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not clear if keeping current health state after recurrence possible</w:t>
            </w:r>
            <w:r w:rsidRPr="007E56D0">
              <w:rPr>
                <w:rFonts w:asciiTheme="majorHAnsi" w:eastAsia="Times New Roman" w:hAnsiTheme="majorHAnsi" w:cstheme="majorHAnsi"/>
                <w:color w:val="000000"/>
                <w:sz w:val="16"/>
                <w:szCs w:val="16"/>
                <w:lang w:val="en-US" w:eastAsia="de-DE"/>
              </w:rPr>
              <w:br/>
              <w:t>- intermediate recovery phase up to 1 year assumed, where mRS improvement possible</w:t>
            </w:r>
          </w:p>
        </w:tc>
        <w:tc>
          <w:tcPr>
            <w:tcW w:w="1284" w:type="dxa"/>
            <w:shd w:val="clear" w:color="auto" w:fill="auto"/>
            <w:hideMark/>
          </w:tcPr>
          <w:p w14:paraId="39F5CB9F" w14:textId="02D30CF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 PSA</w:t>
            </w:r>
          </w:p>
        </w:tc>
        <w:tc>
          <w:tcPr>
            <w:tcW w:w="1441" w:type="dxa"/>
            <w:shd w:val="clear" w:color="auto" w:fill="auto"/>
            <w:hideMark/>
          </w:tcPr>
          <w:p w14:paraId="53E6C54F" w14:textId="0556CA82"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9412D4" w:rsidRPr="007E56D0">
              <w:rPr>
                <w:rFonts w:asciiTheme="majorHAnsi" w:eastAsia="Times New Roman" w:hAnsiTheme="majorHAnsi" w:cstheme="majorHAnsi"/>
                <w:color w:val="000000"/>
                <w:sz w:val="16"/>
                <w:szCs w:val="16"/>
                <w:lang w:val="en-US" w:eastAsia="de-DE"/>
              </w:rPr>
              <w:t xml:space="preserve"> </w:t>
            </w:r>
            <w:r w:rsidR="00795DAB" w:rsidRPr="007E56D0">
              <w:rPr>
                <w:rFonts w:asciiTheme="majorHAnsi" w:eastAsia="Times New Roman" w:hAnsiTheme="majorHAnsi" w:cstheme="majorHAnsi"/>
                <w:color w:val="000000"/>
                <w:sz w:val="16"/>
                <w:szCs w:val="16"/>
                <w:lang w:val="en-US" w:eastAsia="de-DE"/>
              </w:rPr>
              <w:t>Utilities, costs, starting age, discount rate</w:t>
            </w:r>
          </w:p>
          <w:p w14:paraId="572C59F7" w14:textId="6DA37F2B"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AC2046" w:rsidRPr="007E56D0">
              <w:rPr>
                <w:rFonts w:asciiTheme="majorHAnsi" w:eastAsia="Times New Roman" w:hAnsiTheme="majorHAnsi" w:cstheme="majorHAnsi"/>
                <w:color w:val="000000"/>
                <w:sz w:val="16"/>
                <w:szCs w:val="16"/>
                <w:lang w:val="en-US" w:eastAsia="de-DE"/>
              </w:rPr>
              <w:t xml:space="preserve"> </w:t>
            </w:r>
            <w:r w:rsidR="00795DAB" w:rsidRPr="007E56D0">
              <w:rPr>
                <w:rFonts w:asciiTheme="majorHAnsi" w:eastAsia="Times New Roman" w:hAnsiTheme="majorHAnsi" w:cstheme="majorHAnsi"/>
                <w:color w:val="000000"/>
                <w:sz w:val="16"/>
                <w:szCs w:val="16"/>
                <w:lang w:val="en-US" w:eastAsia="de-DE"/>
              </w:rPr>
              <w:t xml:space="preserve">0-4% </w:t>
            </w:r>
            <w:r w:rsidR="00BD592E" w:rsidRPr="007E56D0">
              <w:rPr>
                <w:rFonts w:asciiTheme="majorHAnsi" w:eastAsia="Times New Roman" w:hAnsiTheme="majorHAnsi" w:cstheme="majorHAnsi"/>
                <w:color w:val="000000"/>
                <w:sz w:val="16"/>
                <w:szCs w:val="16"/>
                <w:lang w:val="en-US" w:eastAsia="de-DE"/>
              </w:rPr>
              <w:t>discount rate</w:t>
            </w:r>
            <w:r w:rsidR="00795DAB" w:rsidRPr="007E56D0">
              <w:rPr>
                <w:rFonts w:asciiTheme="majorHAnsi" w:eastAsia="Times New Roman" w:hAnsiTheme="majorHAnsi" w:cstheme="majorHAnsi"/>
                <w:color w:val="000000"/>
                <w:sz w:val="16"/>
                <w:szCs w:val="16"/>
                <w:lang w:val="en-US" w:eastAsia="de-DE"/>
              </w:rPr>
              <w:t xml:space="preserve"> for cost and 0-2% </w:t>
            </w:r>
            <w:r w:rsidR="00BD592E" w:rsidRPr="007E56D0">
              <w:rPr>
                <w:rFonts w:asciiTheme="majorHAnsi" w:eastAsia="Times New Roman" w:hAnsiTheme="majorHAnsi" w:cstheme="majorHAnsi"/>
                <w:color w:val="000000"/>
                <w:sz w:val="16"/>
                <w:szCs w:val="16"/>
                <w:lang w:val="en-US" w:eastAsia="de-DE"/>
              </w:rPr>
              <w:t>discount rate</w:t>
            </w:r>
            <w:r w:rsidR="00795DAB" w:rsidRPr="007E56D0">
              <w:rPr>
                <w:rFonts w:asciiTheme="majorHAnsi" w:eastAsia="Times New Roman" w:hAnsiTheme="majorHAnsi" w:cstheme="majorHAnsi"/>
                <w:color w:val="000000"/>
                <w:sz w:val="16"/>
                <w:szCs w:val="16"/>
                <w:lang w:val="en-US" w:eastAsia="de-DE"/>
              </w:rPr>
              <w:t xml:space="preserve"> for utilities</w:t>
            </w:r>
          </w:p>
        </w:tc>
        <w:tc>
          <w:tcPr>
            <w:tcW w:w="964" w:type="dxa"/>
            <w:shd w:val="clear" w:color="auto" w:fill="auto"/>
            <w:hideMark/>
          </w:tcPr>
          <w:p w14:paraId="5B8432A5" w14:textId="2D91718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w:t>
            </w:r>
            <w:r w:rsidRPr="007E56D0">
              <w:rPr>
                <w:rFonts w:asciiTheme="majorHAnsi" w:eastAsia="Times New Roman" w:hAnsiTheme="majorHAnsi" w:cstheme="majorHAnsi"/>
                <w:color w:val="000000"/>
                <w:sz w:val="16"/>
                <w:szCs w:val="16"/>
                <w:lang w:val="en-US" w:eastAsia="de-DE"/>
              </w:rPr>
              <w:br/>
              <w:t>(effectiveness/long-term TPs: Dirichlet), utilities: beta, 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7997BC94"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cross, internal and external validation</w:t>
            </w:r>
          </w:p>
        </w:tc>
      </w:tr>
      <w:tr w:rsidR="00795DAB" w:rsidRPr="004515C5" w14:paraId="21F55F3A" w14:textId="77777777" w:rsidTr="004515C5">
        <w:trPr>
          <w:tblCellSpacing w:w="85" w:type="dxa"/>
        </w:trPr>
        <w:tc>
          <w:tcPr>
            <w:tcW w:w="1057" w:type="dxa"/>
            <w:shd w:val="clear" w:color="auto" w:fill="auto"/>
            <w:hideMark/>
          </w:tcPr>
          <w:p w14:paraId="06A0F847" w14:textId="510054F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de Souza et al. (2022), Brazil, public funding </w:t>
            </w:r>
            <w:r w:rsidR="00215B90">
              <w:rPr>
                <w:rFonts w:asciiTheme="majorHAnsi" w:eastAsia="Times New Roman" w:hAnsiTheme="majorHAnsi" w:cstheme="majorHAnsi"/>
                <w:color w:val="000000"/>
                <w:sz w:val="16"/>
                <w:szCs w:val="16"/>
                <w:lang w:val="en-US" w:eastAsia="de-DE"/>
              </w:rPr>
              <w:t>[32]</w:t>
            </w:r>
            <w:hyperlink w:anchor="_CTVL00176e2ad2e0c4149efb48c8e5344a89f91" w:tooltip="Souza, A. C. de, Martins, S. O., Polanczyk, C. A., Araújo, D. V., Etges, A. P. B., Zanotto, B. S., Neyeloff, J. L., Carbonera, L. A., Chaves, M. L. F.…" w:history="1"/>
          </w:p>
        </w:tc>
        <w:tc>
          <w:tcPr>
            <w:tcW w:w="903" w:type="dxa"/>
          </w:tcPr>
          <w:p w14:paraId="2C9C878D" w14:textId="66EBDE8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 SMT vs. SMC alone</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w:t>
            </w:r>
          </w:p>
        </w:tc>
        <w:tc>
          <w:tcPr>
            <w:tcW w:w="989" w:type="dxa"/>
            <w:shd w:val="clear" w:color="auto" w:fill="auto"/>
            <w:hideMark/>
          </w:tcPr>
          <w:p w14:paraId="7CE53C83" w14:textId="525877E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hideMark/>
          </w:tcPr>
          <w:p w14:paraId="5B04AF87" w14:textId="043582D5" w:rsidR="00795DAB" w:rsidRPr="007E56D0" w:rsidRDefault="00795DAB"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64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 xml:space="preserve">DS: </w:t>
            </w:r>
            <w:r w:rsidR="00540DF8" w:rsidRPr="007E56D0">
              <w:rPr>
                <w:rFonts w:asciiTheme="majorHAnsi" w:hAnsiTheme="majorHAnsi" w:cstheme="majorHAnsi"/>
                <w:color w:val="000000"/>
                <w:sz w:val="16"/>
                <w:szCs w:val="16"/>
                <w:lang w:val="en-US"/>
              </w:rPr>
              <w:t>Anterior circulation large vessel occlusion</w:t>
            </w:r>
          </w:p>
          <w:p w14:paraId="5D176ECE" w14:textId="5DCEC01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br/>
            </w:r>
          </w:p>
        </w:tc>
        <w:tc>
          <w:tcPr>
            <w:tcW w:w="1025" w:type="dxa"/>
            <w:shd w:val="clear" w:color="auto" w:fill="auto"/>
            <w:hideMark/>
          </w:tcPr>
          <w:p w14:paraId="6702BCB0" w14:textId="31B49B7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 (up to 30 years)</w:t>
            </w:r>
            <w:r w:rsidRPr="007E56D0">
              <w:rPr>
                <w:rFonts w:asciiTheme="majorHAnsi" w:eastAsia="Times New Roman" w:hAnsiTheme="majorHAnsi" w:cstheme="majorHAnsi"/>
                <w:color w:val="000000"/>
                <w:sz w:val="16"/>
                <w:szCs w:val="16"/>
                <w:lang w:val="en-US" w:eastAsia="de-DE"/>
              </w:rPr>
              <w:br/>
              <w:t>D: 5% for costs and utilities</w:t>
            </w:r>
          </w:p>
        </w:tc>
        <w:tc>
          <w:tcPr>
            <w:tcW w:w="2068" w:type="dxa"/>
          </w:tcPr>
          <w:p w14:paraId="69DEB5C5" w14:textId="462BAD8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w:t>
            </w:r>
            <w:r w:rsidRPr="007E56D0">
              <w:rPr>
                <w:rFonts w:asciiTheme="majorHAnsi" w:eastAsia="Times New Roman" w:hAnsiTheme="majorHAnsi" w:cstheme="majorHAnsi"/>
                <w:color w:val="000000"/>
                <w:sz w:val="16"/>
                <w:szCs w:val="16"/>
                <w:lang w:val="en-US" w:eastAsia="de-DE"/>
              </w:rPr>
              <w:t xml:space="preserve"> Until the first year, patients could recover, after that, patients could either keep their health state or die.</w:t>
            </w:r>
          </w:p>
        </w:tc>
        <w:tc>
          <w:tcPr>
            <w:tcW w:w="1284" w:type="dxa"/>
          </w:tcPr>
          <w:p w14:paraId="50969AE2" w14:textId="3BBF5A8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intermediate recovery phase up to 1 year assumed, where mRS improvement possible</w:t>
            </w:r>
            <w:r w:rsidRPr="007E56D0">
              <w:rPr>
                <w:rFonts w:asciiTheme="majorHAnsi" w:eastAsia="Times New Roman" w:hAnsiTheme="majorHAnsi" w:cstheme="majorHAnsi"/>
                <w:color w:val="000000"/>
                <w:sz w:val="16"/>
                <w:szCs w:val="16"/>
                <w:lang w:val="en-US" w:eastAsia="de-DE"/>
              </w:rPr>
              <w:b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571CAC3E" w14:textId="4B741F7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w:t>
            </w:r>
            <w:r w:rsidR="00DD1EAA" w:rsidRPr="007E56D0">
              <w:rPr>
                <w:rFonts w:asciiTheme="majorHAnsi" w:eastAsia="Times New Roman" w:hAnsiTheme="majorHAnsi" w:cstheme="majorHAnsi"/>
                <w:color w:val="000000"/>
                <w:sz w:val="16"/>
                <w:szCs w:val="16"/>
                <w:lang w:val="en-US" w:eastAsia="de-DE"/>
              </w:rPr>
              <w:t xml:space="preserve">, </w:t>
            </w:r>
            <w:r w:rsidRPr="007E56D0">
              <w:rPr>
                <w:rFonts w:asciiTheme="majorHAnsi" w:eastAsia="Times New Roman" w:hAnsiTheme="majorHAnsi" w:cstheme="majorHAnsi"/>
                <w:color w:val="000000"/>
                <w:sz w:val="16"/>
                <w:szCs w:val="16"/>
                <w:lang w:val="en-US" w:eastAsia="de-DE"/>
              </w:rPr>
              <w:t>PSA</w:t>
            </w:r>
          </w:p>
        </w:tc>
        <w:tc>
          <w:tcPr>
            <w:tcW w:w="1441" w:type="dxa"/>
            <w:shd w:val="clear" w:color="auto" w:fill="auto"/>
            <w:hideMark/>
          </w:tcPr>
          <w:p w14:paraId="2BF80BAE" w14:textId="34527953"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(only effectiveness but not clear), utilities, costs, discount rate</w:t>
            </w:r>
          </w:p>
          <w:p w14:paraId="20D197E4" w14:textId="5B0543C9"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23BCBACF" w14:textId="0A32B28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w:t>
            </w:r>
            <w:r w:rsidRPr="007E56D0">
              <w:rPr>
                <w:rFonts w:asciiTheme="majorHAnsi" w:eastAsia="Times New Roman" w:hAnsiTheme="majorHAnsi" w:cstheme="majorHAnsi"/>
                <w:color w:val="000000"/>
                <w:sz w:val="16"/>
                <w:szCs w:val="16"/>
                <w:lang w:val="en-US" w:eastAsia="de-DE"/>
              </w:rPr>
              <w:br/>
              <w:t>(effectiveness: beta), utilities: beta, costs: lognormal</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1A574B6D"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1E2D03" w14:paraId="61E92780" w14:textId="77777777" w:rsidTr="004515C5">
        <w:trPr>
          <w:tblCellSpacing w:w="85" w:type="dxa"/>
        </w:trPr>
        <w:tc>
          <w:tcPr>
            <w:tcW w:w="1057" w:type="dxa"/>
            <w:shd w:val="clear" w:color="auto" w:fill="auto"/>
            <w:hideMark/>
          </w:tcPr>
          <w:p w14:paraId="5D530A9C" w14:textId="2BC8240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Gao et al. (2023-1), not stated but probably Australia, none declared </w:t>
            </w:r>
            <w:r w:rsidR="00215B90">
              <w:rPr>
                <w:rFonts w:asciiTheme="majorHAnsi" w:eastAsia="Times New Roman" w:hAnsiTheme="majorHAnsi" w:cstheme="majorHAnsi"/>
                <w:color w:val="000000"/>
                <w:sz w:val="16"/>
                <w:szCs w:val="16"/>
                <w:lang w:val="en-US" w:eastAsia="de-DE"/>
              </w:rPr>
              <w:t>[33]</w:t>
            </w:r>
            <w:hyperlink w:anchor="_CTVL00138c63509cf24411083d84355ec7122ba" w:tooltip="Gao, L., Tan, E., Chen, C., Kleinig, T., Yan, B., Cheung, A., Levi, C., Garcia-Esperon, C., Cordato, D., Blair, C., Lin, L., Parsons, M., and Bivard, …" w:history="1"/>
          </w:p>
        </w:tc>
        <w:tc>
          <w:tcPr>
            <w:tcW w:w="903" w:type="dxa"/>
          </w:tcPr>
          <w:p w14:paraId="51AA8071" w14:textId="01C5A9A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vs. non-EVT alone</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 + NMB (in suppl. material)</w:t>
            </w:r>
          </w:p>
        </w:tc>
        <w:tc>
          <w:tcPr>
            <w:tcW w:w="989" w:type="dxa"/>
            <w:shd w:val="clear" w:color="auto" w:fill="auto"/>
            <w:hideMark/>
          </w:tcPr>
          <w:p w14:paraId="670C4AA0" w14:textId="2445C32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 societal perspective</w:t>
            </w:r>
          </w:p>
        </w:tc>
        <w:tc>
          <w:tcPr>
            <w:tcW w:w="808" w:type="dxa"/>
            <w:shd w:val="clear" w:color="auto" w:fill="auto"/>
            <w:hideMark/>
          </w:tcPr>
          <w:p w14:paraId="5FABD100" w14:textId="622CBD3D" w:rsidR="00795DAB" w:rsidRPr="007E56D0" w:rsidRDefault="00795DAB"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Real-world data: EVT: 71, non-EVT: 74; trial data: EVT: 66, non-EVT: 65 years</w:t>
            </w:r>
            <w:r w:rsidRPr="007E56D0">
              <w:rPr>
                <w:rFonts w:asciiTheme="majorHAnsi" w:hAnsiTheme="majorHAnsi" w:cstheme="majorHAnsi"/>
                <w:color w:val="000000"/>
                <w:sz w:val="16"/>
                <w:szCs w:val="16"/>
                <w:lang w:val="en-US"/>
              </w:rPr>
              <w:br/>
              <w:t xml:space="preserve">G (female </w:t>
            </w:r>
            <w:r w:rsidRPr="007E56D0">
              <w:rPr>
                <w:rFonts w:asciiTheme="majorHAnsi" w:hAnsiTheme="majorHAnsi" w:cstheme="majorHAnsi"/>
                <w:color w:val="000000"/>
                <w:sz w:val="16"/>
                <w:szCs w:val="16"/>
                <w:lang w:val="en-US"/>
              </w:rPr>
              <w:lastRenderedPageBreak/>
              <w:t>proportion): Real-world data: EVT: 52%, non-EVT: 41%; trial data: EVT: 54%, non-EVT: 47%</w:t>
            </w:r>
            <w:r w:rsidRPr="007E56D0">
              <w:rPr>
                <w:rFonts w:asciiTheme="majorHAnsi" w:hAnsiTheme="majorHAnsi" w:cstheme="majorHAnsi"/>
                <w:color w:val="000000"/>
                <w:sz w:val="16"/>
                <w:szCs w:val="16"/>
                <w:lang w:val="en-US"/>
              </w:rPr>
              <w:br/>
              <w:t>DS: M2-branch occlusion</w:t>
            </w:r>
          </w:p>
          <w:p w14:paraId="21B664B0"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p>
        </w:tc>
        <w:tc>
          <w:tcPr>
            <w:tcW w:w="1025" w:type="dxa"/>
            <w:shd w:val="clear" w:color="auto" w:fill="auto"/>
            <w:hideMark/>
          </w:tcPr>
          <w:p w14:paraId="6D4171D3" w14:textId="7676F67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xml:space="preserve">CL: 1 year </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13 years</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5DFA9AB4" w14:textId="14AD2C3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44E883DF" w14:textId="370145A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100F7CBB" w14:textId="199B181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Microsimulation</w:t>
            </w:r>
            <w:r w:rsidRPr="007E56D0">
              <w:rPr>
                <w:rFonts w:asciiTheme="majorHAnsi" w:eastAsia="Times New Roman" w:hAnsiTheme="majorHAnsi" w:cstheme="majorHAnsi"/>
                <w:color w:val="000000"/>
                <w:sz w:val="16"/>
                <w:szCs w:val="16"/>
                <w:lang w:val="en-US" w:eastAsia="de-DE"/>
              </w:rPr>
              <w:br/>
              <w:t>U: One-way DSA,</w:t>
            </w:r>
            <w:r w:rsidR="00232B5F" w:rsidRPr="007E56D0">
              <w:rPr>
                <w:rFonts w:asciiTheme="majorHAnsi" w:eastAsia="Times New Roman" w:hAnsiTheme="majorHAnsi" w:cstheme="majorHAnsi"/>
                <w:color w:val="000000"/>
                <w:sz w:val="16"/>
                <w:szCs w:val="16"/>
                <w:lang w:val="en-US" w:eastAsia="de-DE"/>
              </w:rPr>
              <w:t xml:space="preserve"> scenario analyses, </w:t>
            </w:r>
            <w:r w:rsidRPr="007E56D0">
              <w:rPr>
                <w:rFonts w:asciiTheme="majorHAnsi" w:eastAsia="Times New Roman" w:hAnsiTheme="majorHAnsi" w:cstheme="majorHAnsi"/>
                <w:color w:val="000000"/>
                <w:sz w:val="16"/>
                <w:szCs w:val="16"/>
                <w:lang w:val="en-US" w:eastAsia="de-DE"/>
              </w:rPr>
              <w:t>PSA</w:t>
            </w:r>
          </w:p>
        </w:tc>
        <w:tc>
          <w:tcPr>
            <w:tcW w:w="1441" w:type="dxa"/>
            <w:shd w:val="clear" w:color="auto" w:fill="auto"/>
            <w:hideMark/>
          </w:tcPr>
          <w:p w14:paraId="3D30D36B" w14:textId="74065FAA"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incl. recurrences), utilities, costs, discount rate</w:t>
            </w:r>
          </w:p>
          <w:p w14:paraId="152B78A6" w14:textId="3391014F"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E0033F" w:rsidRPr="007E56D0">
              <w:rPr>
                <w:rFonts w:asciiTheme="majorHAnsi" w:eastAsia="Times New Roman" w:hAnsiTheme="majorHAnsi" w:cstheme="majorHAnsi"/>
                <w:color w:val="000000"/>
                <w:sz w:val="16"/>
                <w:szCs w:val="16"/>
                <w:lang w:val="en-US" w:eastAsia="de-DE"/>
              </w:rPr>
              <w:t xml:space="preserve"> </w:t>
            </w:r>
            <w:r w:rsidR="00795DAB" w:rsidRPr="007E56D0">
              <w:rPr>
                <w:rFonts w:asciiTheme="majorHAnsi" w:eastAsia="Times New Roman" w:hAnsiTheme="majorHAnsi" w:cstheme="majorHAnsi"/>
                <w:color w:val="000000"/>
                <w:sz w:val="16"/>
                <w:szCs w:val="16"/>
                <w:lang w:val="en-US" w:eastAsia="de-DE"/>
              </w:rPr>
              <w:t xml:space="preserve">0-6% for </w:t>
            </w:r>
            <w:r w:rsidR="00BD592E" w:rsidRPr="007E56D0">
              <w:rPr>
                <w:rFonts w:asciiTheme="majorHAnsi" w:eastAsia="Times New Roman" w:hAnsiTheme="majorHAnsi" w:cstheme="majorHAnsi"/>
                <w:color w:val="000000"/>
                <w:sz w:val="16"/>
                <w:szCs w:val="16"/>
                <w:lang w:val="en-US" w:eastAsia="de-DE"/>
              </w:rPr>
              <w:t>discount rate</w:t>
            </w:r>
          </w:p>
        </w:tc>
        <w:tc>
          <w:tcPr>
            <w:tcW w:w="964" w:type="dxa"/>
            <w:shd w:val="clear" w:color="auto" w:fill="auto"/>
            <w:hideMark/>
          </w:tcPr>
          <w:p w14:paraId="3FC03239" w14:textId="0C61E2C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Dirichlet, recurrence: beta), utilities: beta, 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4B539E35"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internal, external and cross validation</w:t>
            </w:r>
          </w:p>
        </w:tc>
      </w:tr>
      <w:tr w:rsidR="00795DAB" w:rsidRPr="001E2D03" w14:paraId="714DDD4C" w14:textId="77777777" w:rsidTr="004515C5">
        <w:trPr>
          <w:tblCellSpacing w:w="85" w:type="dxa"/>
        </w:trPr>
        <w:tc>
          <w:tcPr>
            <w:tcW w:w="1057" w:type="dxa"/>
            <w:shd w:val="clear" w:color="auto" w:fill="auto"/>
            <w:noWrap/>
            <w:hideMark/>
          </w:tcPr>
          <w:p w14:paraId="489D47F2" w14:textId="5397A73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Gao et al. (2023-2), Australia, none declared </w:t>
            </w:r>
            <w:r w:rsidR="00215B90">
              <w:rPr>
                <w:rFonts w:asciiTheme="majorHAnsi" w:eastAsia="Times New Roman" w:hAnsiTheme="majorHAnsi" w:cstheme="majorHAnsi"/>
                <w:color w:val="000000"/>
                <w:sz w:val="16"/>
                <w:szCs w:val="16"/>
                <w:lang w:val="en-US" w:eastAsia="de-DE"/>
              </w:rPr>
              <w:t>[34]</w:t>
            </w:r>
            <w:hyperlink w:anchor="_CTVL001b1d8738f8c784bccab5218f060c0c6e2" w:tooltip="Gao, L., Moodie, M., Levi, C., Lin, L., Cheng, X., Kleinig, T., Butcher, K., Yan, B., Bivard, A., and Parsons, M. 2023. Modelling the Long-Term Health…" w:history="1"/>
          </w:p>
        </w:tc>
        <w:tc>
          <w:tcPr>
            <w:tcW w:w="903" w:type="dxa"/>
          </w:tcPr>
          <w:p w14:paraId="5EE711D2" w14:textId="170B459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incl. IVT vs. no EVT incl. IVT</w:t>
            </w:r>
            <w:r w:rsidRPr="007E56D0">
              <w:rPr>
                <w:rFonts w:asciiTheme="majorHAnsi" w:eastAsia="Times New Roman" w:hAnsiTheme="majorHAnsi" w:cstheme="majorHAnsi"/>
                <w:color w:val="000000"/>
                <w:sz w:val="16"/>
                <w:szCs w:val="16"/>
                <w:lang w:val="en-US" w:eastAsia="de-DE"/>
              </w:rPr>
              <w:br/>
              <w:t>O: ICUR ($AUD/QALY)</w:t>
            </w:r>
          </w:p>
        </w:tc>
        <w:tc>
          <w:tcPr>
            <w:tcW w:w="989" w:type="dxa"/>
            <w:shd w:val="clear" w:color="auto" w:fill="auto"/>
            <w:hideMark/>
          </w:tcPr>
          <w:p w14:paraId="5EB5D71D" w14:textId="46ECBE8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Societal perspective</w:t>
            </w:r>
          </w:p>
        </w:tc>
        <w:tc>
          <w:tcPr>
            <w:tcW w:w="808" w:type="dxa"/>
            <w:shd w:val="clear" w:color="auto" w:fill="auto"/>
            <w:hideMark/>
          </w:tcPr>
          <w:p w14:paraId="04FD8642" w14:textId="458E918A" w:rsidR="00EE3999" w:rsidRPr="007E56D0" w:rsidRDefault="00795DAB"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Trial data: EVT: 65.1 years, No EVT: 66.5 years; Real-word data: EVT: 68.1 years, No EVT: 72.4 years</w:t>
            </w:r>
            <w:r w:rsidRPr="007E56D0">
              <w:rPr>
                <w:rFonts w:asciiTheme="majorHAnsi" w:hAnsiTheme="majorHAnsi" w:cstheme="majorHAnsi"/>
                <w:color w:val="000000"/>
                <w:sz w:val="16"/>
                <w:szCs w:val="16"/>
                <w:lang w:val="en-US"/>
              </w:rPr>
              <w:br/>
              <w:t>G (male): Trial data: EVT: 76%, No EVT: 19%;</w:t>
            </w:r>
            <w:r w:rsidRPr="007E56D0">
              <w:rPr>
                <w:rFonts w:asciiTheme="majorHAnsi" w:hAnsiTheme="majorHAnsi" w:cstheme="majorHAnsi"/>
                <w:color w:val="000000"/>
                <w:sz w:val="16"/>
                <w:szCs w:val="16"/>
                <w:lang w:val="en-US"/>
              </w:rPr>
              <w:br/>
              <w:t>Real-word data: EVT: 69.5%, No EVT: 50.5%</w:t>
            </w:r>
            <w:r w:rsidRPr="007E56D0">
              <w:rPr>
                <w:rFonts w:asciiTheme="majorHAnsi" w:hAnsiTheme="majorHAnsi" w:cstheme="majorHAnsi"/>
                <w:color w:val="000000"/>
                <w:sz w:val="16"/>
                <w:szCs w:val="16"/>
                <w:lang w:val="en-US"/>
              </w:rPr>
              <w:br/>
              <w:t>DS: core volume of at least 70 m</w:t>
            </w:r>
            <w:r w:rsidR="00FC54C2">
              <w:rPr>
                <w:rFonts w:asciiTheme="majorHAnsi" w:hAnsiTheme="majorHAnsi" w:cstheme="majorHAnsi"/>
                <w:color w:val="000000"/>
                <w:sz w:val="16"/>
                <w:szCs w:val="16"/>
                <w:lang w:val="en-US"/>
              </w:rPr>
              <w:t>l</w:t>
            </w:r>
            <w:r w:rsidRPr="007E56D0">
              <w:rPr>
                <w:rFonts w:asciiTheme="majorHAnsi" w:hAnsiTheme="majorHAnsi" w:cstheme="majorHAnsi"/>
                <w:color w:val="000000"/>
                <w:sz w:val="16"/>
                <w:szCs w:val="16"/>
                <w:lang w:val="en-US"/>
              </w:rPr>
              <w:t xml:space="preserve"> </w:t>
            </w:r>
          </w:p>
          <w:p w14:paraId="057A9434"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p>
        </w:tc>
        <w:tc>
          <w:tcPr>
            <w:tcW w:w="1025" w:type="dxa"/>
            <w:shd w:val="clear" w:color="auto" w:fill="auto"/>
            <w:hideMark/>
          </w:tcPr>
          <w:p w14:paraId="4A943FD2" w14:textId="7026B3A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CL: 1 year </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25 years</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1A0B83CB" w14:textId="52865D2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5945ECC5" w14:textId="46DA42F4"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62984E19" w14:textId="1163A73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 PSA</w:t>
            </w:r>
          </w:p>
        </w:tc>
        <w:tc>
          <w:tcPr>
            <w:tcW w:w="1441" w:type="dxa"/>
            <w:shd w:val="clear" w:color="auto" w:fill="auto"/>
            <w:hideMark/>
          </w:tcPr>
          <w:p w14:paraId="1A678D97" w14:textId="5CEBF39D"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incl. recurrences), utilities, costs, starting age, time horizon, discount rate </w:t>
            </w:r>
          </w:p>
          <w:p w14:paraId="77B879F3" w14:textId="62EDA58D"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7B2B5B6E" w14:textId="5E6080E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TPs (effectiveness: Dirichlet) </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495F8A6A"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cross and external validation</w:t>
            </w:r>
          </w:p>
        </w:tc>
      </w:tr>
      <w:tr w:rsidR="00795DAB" w:rsidRPr="004515C5" w14:paraId="7BBDD28E" w14:textId="77777777" w:rsidTr="004515C5">
        <w:trPr>
          <w:tblCellSpacing w:w="85" w:type="dxa"/>
        </w:trPr>
        <w:tc>
          <w:tcPr>
            <w:tcW w:w="1057" w:type="dxa"/>
            <w:shd w:val="clear" w:color="auto" w:fill="auto"/>
            <w:hideMark/>
          </w:tcPr>
          <w:p w14:paraId="532F8FD0" w14:textId="236C5E3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xml:space="preserve">Khunte et al. (2023), USA, none declared </w:t>
            </w:r>
            <w:r w:rsidR="00215B90">
              <w:rPr>
                <w:rFonts w:asciiTheme="majorHAnsi" w:eastAsia="Times New Roman" w:hAnsiTheme="majorHAnsi" w:cstheme="majorHAnsi"/>
                <w:color w:val="000000"/>
                <w:sz w:val="16"/>
                <w:szCs w:val="16"/>
                <w:lang w:val="en-US" w:eastAsia="de-DE"/>
              </w:rPr>
              <w:t>[35]</w:t>
            </w:r>
          </w:p>
        </w:tc>
        <w:tc>
          <w:tcPr>
            <w:tcW w:w="903" w:type="dxa"/>
          </w:tcPr>
          <w:p w14:paraId="589E832B" w14:textId="267A63D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(IVT if eligible</w:t>
            </w:r>
            <w:r w:rsidR="00CA5DAA"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t xml:space="preserve"> vs. no-EVT/SMT (IVT if eligible)</w:t>
            </w:r>
            <w:r w:rsidRPr="007E56D0">
              <w:rPr>
                <w:rFonts w:asciiTheme="majorHAnsi" w:eastAsia="Times New Roman" w:hAnsiTheme="majorHAnsi" w:cstheme="majorHAnsi"/>
                <w:color w:val="000000"/>
                <w:sz w:val="16"/>
                <w:szCs w:val="16"/>
                <w:lang w:val="en-US" w:eastAsia="de-DE"/>
              </w:rPr>
              <w:br/>
              <w:t xml:space="preserve">O: Separate analyses of costs and utilities,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 + iNMB for sensitivity analyses</w:t>
            </w:r>
          </w:p>
        </w:tc>
        <w:tc>
          <w:tcPr>
            <w:tcW w:w="989" w:type="dxa"/>
            <w:shd w:val="clear" w:color="auto" w:fill="auto"/>
            <w:hideMark/>
          </w:tcPr>
          <w:p w14:paraId="2396B880"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Societal perspective</w:t>
            </w:r>
          </w:p>
        </w:tc>
        <w:tc>
          <w:tcPr>
            <w:tcW w:w="808" w:type="dxa"/>
            <w:shd w:val="clear" w:color="auto" w:fill="auto"/>
            <w:hideMark/>
          </w:tcPr>
          <w:p w14:paraId="6830DD31" w14:textId="6489B59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55, 65 or 75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DS: M1 proximal branch, M1 distal branch or M2-branch</w:t>
            </w:r>
            <w:r w:rsidR="003308E1" w:rsidRPr="007E56D0">
              <w:rPr>
                <w:rFonts w:asciiTheme="majorHAnsi" w:hAnsiTheme="majorHAnsi" w:cstheme="majorHAnsi"/>
                <w:color w:val="000000"/>
                <w:sz w:val="16"/>
                <w:szCs w:val="16"/>
                <w:lang w:val="en-US"/>
              </w:rPr>
              <w:t xml:space="preserve"> occlusion</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p>
        </w:tc>
        <w:tc>
          <w:tcPr>
            <w:tcW w:w="1025" w:type="dxa"/>
            <w:shd w:val="clear" w:color="auto" w:fill="auto"/>
            <w:hideMark/>
          </w:tcPr>
          <w:p w14:paraId="35A280B6" w14:textId="71EF4EB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CL: 1 year </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0F6282A9" w14:textId="077A7893"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 After that, patients could be employed or not.</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12FEA571" w14:textId="3E476D5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only deterioration after recurrence possible</w:t>
            </w:r>
          </w:p>
        </w:tc>
        <w:tc>
          <w:tcPr>
            <w:tcW w:w="1284" w:type="dxa"/>
            <w:shd w:val="clear" w:color="auto" w:fill="auto"/>
            <w:hideMark/>
          </w:tcPr>
          <w:p w14:paraId="227B213B" w14:textId="585A5AE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w:t>
            </w:r>
            <w:r w:rsidR="00FE6C5C" w:rsidRPr="007E56D0">
              <w:rPr>
                <w:rFonts w:asciiTheme="majorHAnsi" w:eastAsia="Times New Roman" w:hAnsiTheme="majorHAnsi" w:cstheme="majorHAnsi"/>
                <w:color w:val="000000"/>
                <w:sz w:val="16"/>
                <w:szCs w:val="16"/>
                <w:lang w:val="en-US" w:eastAsia="de-DE"/>
              </w:rPr>
              <w:t xml:space="preserve"> Deterministic cohort simulation </w:t>
            </w:r>
            <w:r w:rsidRPr="007E56D0">
              <w:rPr>
                <w:rFonts w:asciiTheme="majorHAnsi" w:eastAsia="Times New Roman" w:hAnsiTheme="majorHAnsi" w:cstheme="majorHAnsi"/>
                <w:color w:val="000000"/>
                <w:sz w:val="16"/>
                <w:szCs w:val="16"/>
                <w:lang w:val="en-US" w:eastAsia="de-DE"/>
              </w:rPr>
              <w:br/>
              <w:t>U: One-, two- and three-way DSA,</w:t>
            </w:r>
            <w:r w:rsidR="000137C3" w:rsidRPr="007E56D0">
              <w:rPr>
                <w:rFonts w:asciiTheme="majorHAnsi" w:eastAsia="Times New Roman" w:hAnsiTheme="majorHAnsi" w:cstheme="majorHAnsi"/>
                <w:color w:val="000000"/>
                <w:sz w:val="16"/>
                <w:szCs w:val="16"/>
                <w:lang w:val="en-US" w:eastAsia="de-DE"/>
              </w:rPr>
              <w:t xml:space="preserve"> subgroup analyses, </w:t>
            </w:r>
            <w:r w:rsidRPr="007E56D0">
              <w:rPr>
                <w:rFonts w:asciiTheme="majorHAnsi" w:eastAsia="Times New Roman" w:hAnsiTheme="majorHAnsi" w:cstheme="majorHAnsi"/>
                <w:color w:val="000000"/>
                <w:sz w:val="16"/>
                <w:szCs w:val="16"/>
                <w:lang w:val="en-US" w:eastAsia="de-DE"/>
              </w:rPr>
              <w:t>PSA</w:t>
            </w:r>
          </w:p>
        </w:tc>
        <w:tc>
          <w:tcPr>
            <w:tcW w:w="1441" w:type="dxa"/>
            <w:shd w:val="clear" w:color="auto" w:fill="auto"/>
            <w:hideMark/>
          </w:tcPr>
          <w:p w14:paraId="3F97D828" w14:textId="3086C548"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(only effectiveness), utilities, costs, starting age</w:t>
            </w:r>
          </w:p>
          <w:p w14:paraId="3EADFA20" w14:textId="3D4B2855"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336178AA" w14:textId="0E0CCEA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w:t>
            </w:r>
            <w:r w:rsidRPr="007E56D0">
              <w:rPr>
                <w:rFonts w:asciiTheme="majorHAnsi" w:eastAsia="Times New Roman" w:hAnsiTheme="majorHAnsi" w:cstheme="majorHAnsi"/>
                <w:color w:val="000000"/>
                <w:sz w:val="16"/>
                <w:szCs w:val="16"/>
                <w:lang w:val="en-US" w:eastAsia="de-DE"/>
              </w:rPr>
              <w:br/>
              <w:t>(effectiveness: Dirichlet/beta</w:t>
            </w:r>
            <w:r w:rsidR="00DD6E0B" w:rsidRPr="007E56D0">
              <w:rPr>
                <w:rFonts w:asciiTheme="majorHAnsi" w:eastAsia="Times New Roman" w:hAnsiTheme="majorHAnsi" w:cstheme="majorHAnsi"/>
                <w:color w:val="000000"/>
                <w:sz w:val="16"/>
                <w:szCs w:val="16"/>
                <w:lang w:val="en-US" w:eastAsia="de-DE"/>
              </w:rPr>
              <w:t>)</w:t>
            </w:r>
            <w:r w:rsidRPr="007E56D0">
              <w:rPr>
                <w:rFonts w:asciiTheme="majorHAnsi" w:eastAsia="Times New Roman" w:hAnsiTheme="majorHAnsi" w:cstheme="majorHAnsi"/>
                <w:color w:val="000000"/>
                <w:sz w:val="16"/>
                <w:szCs w:val="16"/>
                <w:lang w:val="en-US" w:eastAsia="de-DE"/>
              </w:rPr>
              <w:t>, 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3D5EDFD5"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4515C5" w14:paraId="6BBC2AD9" w14:textId="77777777" w:rsidTr="004515C5">
        <w:trPr>
          <w:tblCellSpacing w:w="85" w:type="dxa"/>
        </w:trPr>
        <w:tc>
          <w:tcPr>
            <w:tcW w:w="1057" w:type="dxa"/>
            <w:shd w:val="clear" w:color="auto" w:fill="auto"/>
            <w:hideMark/>
          </w:tcPr>
          <w:p w14:paraId="3C438C2B" w14:textId="28506C9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Moreu et al. (2023), Europe, manufacturer funding </w:t>
            </w:r>
            <w:r w:rsidR="00215B90">
              <w:rPr>
                <w:rFonts w:asciiTheme="majorHAnsi" w:eastAsia="Times New Roman" w:hAnsiTheme="majorHAnsi" w:cstheme="majorHAnsi"/>
                <w:color w:val="000000"/>
                <w:sz w:val="16"/>
                <w:szCs w:val="16"/>
                <w:lang w:val="en-US" w:eastAsia="de-DE"/>
              </w:rPr>
              <w:t>[36]</w:t>
            </w:r>
            <w:hyperlink w:anchor="_CTVL001982c1fc0193b49c8baaa49d8a377e118" w:tooltip="Moreu, M., Scarica, R., Pérez-García, C., Rosati, S., López-Frías, A., Egido, J. A., Gómez-Escalonilla, C., Simal, P., Arrazola, J., Bocquet, A. L., a…" w:history="1"/>
          </w:p>
        </w:tc>
        <w:tc>
          <w:tcPr>
            <w:tcW w:w="903" w:type="dxa"/>
          </w:tcPr>
          <w:p w14:paraId="26EFF4B9" w14:textId="4055FF3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 MM (</w:t>
            </w:r>
            <w:r w:rsidR="00CA5DAA" w:rsidRPr="007E56D0">
              <w:rPr>
                <w:rFonts w:asciiTheme="majorHAnsi" w:eastAsia="Times New Roman" w:hAnsiTheme="majorHAnsi" w:cstheme="majorHAnsi"/>
                <w:color w:val="000000"/>
                <w:sz w:val="16"/>
                <w:szCs w:val="16"/>
                <w:lang w:val="en-US" w:eastAsia="de-DE"/>
              </w:rPr>
              <w:t xml:space="preserve">incl. </w:t>
            </w:r>
            <w:r w:rsidRPr="007E56D0">
              <w:rPr>
                <w:rFonts w:asciiTheme="majorHAnsi" w:eastAsia="Times New Roman" w:hAnsiTheme="majorHAnsi" w:cstheme="majorHAnsi"/>
                <w:color w:val="000000"/>
                <w:sz w:val="16"/>
                <w:szCs w:val="16"/>
                <w:lang w:val="en-US" w:eastAsia="de-DE"/>
              </w:rPr>
              <w:t>IVT) vs. MM (</w:t>
            </w:r>
            <w:r w:rsidR="00CA5DAA" w:rsidRPr="007E56D0">
              <w:rPr>
                <w:rFonts w:asciiTheme="majorHAnsi" w:eastAsia="Times New Roman" w:hAnsiTheme="majorHAnsi" w:cstheme="majorHAnsi"/>
                <w:color w:val="000000"/>
                <w:sz w:val="16"/>
                <w:szCs w:val="16"/>
                <w:lang w:val="en-US" w:eastAsia="de-DE"/>
              </w:rPr>
              <w:t xml:space="preserve">incl. </w:t>
            </w:r>
            <w:r w:rsidRPr="007E56D0">
              <w:rPr>
                <w:rFonts w:asciiTheme="majorHAnsi" w:eastAsia="Times New Roman" w:hAnsiTheme="majorHAnsi" w:cstheme="majorHAnsi"/>
                <w:color w:val="000000"/>
                <w:sz w:val="16"/>
                <w:szCs w:val="16"/>
                <w:lang w:val="en-US" w:eastAsia="de-DE"/>
              </w:rPr>
              <w:t>IVT) alone</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w:t>
            </w:r>
          </w:p>
        </w:tc>
        <w:tc>
          <w:tcPr>
            <w:tcW w:w="989" w:type="dxa"/>
            <w:shd w:val="clear" w:color="auto" w:fill="auto"/>
            <w:hideMark/>
          </w:tcPr>
          <w:p w14:paraId="729920AC" w14:textId="79845BF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hideMark/>
          </w:tcPr>
          <w:p w14:paraId="77876556" w14:textId="02D5A684"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76.15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 xml:space="preserve">DS: </w:t>
            </w:r>
            <w:r w:rsidR="003308E1" w:rsidRPr="007E56D0">
              <w:rPr>
                <w:rFonts w:asciiTheme="majorHAnsi" w:hAnsiTheme="majorHAnsi" w:cstheme="majorHAnsi"/>
                <w:color w:val="000000"/>
                <w:sz w:val="16"/>
                <w:szCs w:val="16"/>
                <w:lang w:val="en-US"/>
              </w:rPr>
              <w:t>A</w:t>
            </w:r>
            <w:r w:rsidRPr="007E56D0">
              <w:rPr>
                <w:rFonts w:asciiTheme="majorHAnsi" w:hAnsiTheme="majorHAnsi" w:cstheme="majorHAnsi"/>
                <w:color w:val="000000"/>
                <w:sz w:val="16"/>
                <w:szCs w:val="16"/>
                <w:lang w:val="en-US"/>
              </w:rPr>
              <w:t>nterior circulation large vessel occlusion with ASPECTS &lt;</w:t>
            </w:r>
            <w:r w:rsidR="003308E1" w:rsidRPr="007E56D0">
              <w:rPr>
                <w:rFonts w:asciiTheme="majorHAnsi" w:hAnsiTheme="majorHAnsi" w:cstheme="majorHAnsi"/>
                <w:color w:val="000000"/>
                <w:sz w:val="16"/>
                <w:szCs w:val="16"/>
                <w:lang w:val="en-US"/>
              </w:rPr>
              <w:t xml:space="preserve"> </w:t>
            </w:r>
            <w:r w:rsidRPr="007E56D0">
              <w:rPr>
                <w:rFonts w:asciiTheme="majorHAnsi" w:hAnsiTheme="majorHAnsi" w:cstheme="majorHAnsi"/>
                <w:color w:val="000000"/>
                <w:sz w:val="16"/>
                <w:szCs w:val="16"/>
                <w:lang w:val="en-US"/>
              </w:rPr>
              <w:t>6</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p>
        </w:tc>
        <w:tc>
          <w:tcPr>
            <w:tcW w:w="1025" w:type="dxa"/>
            <w:shd w:val="clear" w:color="auto" w:fill="auto"/>
            <w:hideMark/>
          </w:tcPr>
          <w:p w14:paraId="20478204" w14:textId="6543066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3 months</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 (20 years)</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686B45BC" w14:textId="38B119B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 xml:space="preserve">. </w:t>
            </w:r>
          </w:p>
        </w:tc>
        <w:tc>
          <w:tcPr>
            <w:tcW w:w="1284" w:type="dxa"/>
          </w:tcPr>
          <w:p w14:paraId="6146C17A" w14:textId="5539C51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only deterioration after recurrence possible</w:t>
            </w:r>
            <w:r w:rsidRPr="007E56D0">
              <w:rPr>
                <w:rFonts w:asciiTheme="majorHAnsi" w:eastAsia="Times New Roman" w:hAnsiTheme="majorHAnsi" w:cstheme="majorHAnsi"/>
                <w:color w:val="000000"/>
                <w:sz w:val="16"/>
                <w:szCs w:val="16"/>
                <w:lang w:val="en-US" w:eastAsia="de-DE"/>
              </w:rPr>
              <w:br/>
              <w:t xml:space="preserve">- tunnel states applied </w:t>
            </w:r>
            <w:r w:rsidRPr="007E56D0">
              <w:rPr>
                <w:rFonts w:asciiTheme="majorHAnsi" w:eastAsia="Times New Roman" w:hAnsiTheme="majorHAnsi" w:cstheme="majorHAnsi"/>
                <w:sz w:val="16"/>
                <w:szCs w:val="16"/>
                <w:lang w:val="en-US" w:eastAsia="de-DE"/>
              </w:rPr>
              <w:t>to account for increased risk of recurrence</w:t>
            </w:r>
          </w:p>
        </w:tc>
        <w:tc>
          <w:tcPr>
            <w:tcW w:w="1284" w:type="dxa"/>
            <w:shd w:val="clear" w:color="auto" w:fill="auto"/>
            <w:hideMark/>
          </w:tcPr>
          <w:p w14:paraId="587389D6" w14:textId="49AF47C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t>
            </w:r>
            <w:r w:rsidR="00DD1EAA" w:rsidRPr="007E56D0">
              <w:rPr>
                <w:rFonts w:asciiTheme="majorHAnsi" w:eastAsia="Times New Roman" w:hAnsiTheme="majorHAnsi" w:cstheme="majorHAnsi"/>
                <w:color w:val="000000"/>
                <w:sz w:val="16"/>
                <w:szCs w:val="16"/>
                <w:lang w:val="en-US" w:eastAsia="de-DE"/>
              </w:rPr>
              <w:t xml:space="preserve"> and </w:t>
            </w:r>
            <w:r w:rsidRPr="007E56D0">
              <w:rPr>
                <w:rFonts w:asciiTheme="majorHAnsi" w:eastAsia="Times New Roman" w:hAnsiTheme="majorHAnsi" w:cstheme="majorHAnsi"/>
                <w:color w:val="000000"/>
                <w:sz w:val="16"/>
                <w:szCs w:val="16"/>
                <w:lang w:val="en-US" w:eastAsia="de-DE"/>
              </w:rPr>
              <w:t>two-way DSA, PSA</w:t>
            </w:r>
          </w:p>
        </w:tc>
        <w:tc>
          <w:tcPr>
            <w:tcW w:w="1441" w:type="dxa"/>
            <w:shd w:val="clear" w:color="auto" w:fill="auto"/>
            <w:hideMark/>
          </w:tcPr>
          <w:p w14:paraId="49D9C60E" w14:textId="0757222B"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(mortality), utilities, costs, starting age, discount rate</w:t>
            </w:r>
          </w:p>
          <w:p w14:paraId="1C7CA6EE" w14:textId="34C68491"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±20% for all inputs;</w:t>
            </w:r>
          </w:p>
        </w:tc>
        <w:tc>
          <w:tcPr>
            <w:tcW w:w="964" w:type="dxa"/>
            <w:shd w:val="clear" w:color="auto" w:fill="auto"/>
            <w:hideMark/>
          </w:tcPr>
          <w:p w14:paraId="1633FE39" w14:textId="77777777" w:rsidR="00072033"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(recurrence: Dirichlet, long-term-TPs: beta, mortality: lognormal), utilities: beta, costs: gamma, age: beta</w:t>
            </w:r>
          </w:p>
          <w:p w14:paraId="751CC449" w14:textId="63AC907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p>
        </w:tc>
        <w:tc>
          <w:tcPr>
            <w:tcW w:w="815" w:type="dxa"/>
            <w:shd w:val="clear" w:color="000000" w:fill="FFFFFF"/>
            <w:hideMark/>
          </w:tcPr>
          <w:p w14:paraId="6BA31DD3"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4515C5" w14:paraId="6802C8EB" w14:textId="77777777" w:rsidTr="004515C5">
        <w:trPr>
          <w:tblCellSpacing w:w="85" w:type="dxa"/>
        </w:trPr>
        <w:tc>
          <w:tcPr>
            <w:tcW w:w="1057" w:type="dxa"/>
            <w:shd w:val="clear" w:color="auto" w:fill="auto"/>
            <w:hideMark/>
          </w:tcPr>
          <w:p w14:paraId="2CC4C922" w14:textId="125194D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Ospel et al. (2023-1), USA, manufacturer funding </w:t>
            </w:r>
            <w:r w:rsidR="00215B90">
              <w:rPr>
                <w:rFonts w:asciiTheme="majorHAnsi" w:eastAsia="Times New Roman" w:hAnsiTheme="majorHAnsi" w:cstheme="majorHAnsi"/>
                <w:color w:val="000000"/>
                <w:sz w:val="16"/>
                <w:szCs w:val="16"/>
                <w:lang w:val="en-US" w:eastAsia="de-DE"/>
              </w:rPr>
              <w:t>[37]</w:t>
            </w:r>
            <w:hyperlink w:anchor="_CTVL001b4ff846ab1474fc3991e78ad6562f465" w:tooltip="Ospel, J. M., Kunz, W. G., McDonough, R. V., van Zwam, W., Pinckaers, F., Saver, J. L., Hill, M. D., Demchuk, A. M., Jovin, T. G., Mitchell, P., Campb…" w:history="1"/>
          </w:p>
        </w:tc>
        <w:tc>
          <w:tcPr>
            <w:tcW w:w="903" w:type="dxa"/>
          </w:tcPr>
          <w:p w14:paraId="3F4BF108" w14:textId="3E2D747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 BMM (</w:t>
            </w:r>
            <w:r w:rsidR="000A7577" w:rsidRPr="007E56D0">
              <w:rPr>
                <w:rFonts w:asciiTheme="majorHAnsi" w:eastAsia="Times New Roman" w:hAnsiTheme="majorHAnsi" w:cstheme="majorHAnsi"/>
                <w:color w:val="000000"/>
                <w:sz w:val="16"/>
                <w:szCs w:val="16"/>
                <w:lang w:val="en-US" w:eastAsia="de-DE"/>
              </w:rPr>
              <w:t xml:space="preserve">incl. </w:t>
            </w:r>
            <w:r w:rsidRPr="007E56D0">
              <w:rPr>
                <w:rFonts w:asciiTheme="majorHAnsi" w:eastAsia="Times New Roman" w:hAnsiTheme="majorHAnsi" w:cstheme="majorHAnsi"/>
                <w:color w:val="000000"/>
                <w:sz w:val="16"/>
                <w:szCs w:val="16"/>
                <w:lang w:val="en-US" w:eastAsia="de-DE"/>
              </w:rPr>
              <w:t>IV alteplase if eligible</w:t>
            </w:r>
            <w:r w:rsidRPr="007E56D0">
              <w:rPr>
                <w:rFonts w:asciiTheme="majorHAnsi" w:eastAsia="Times New Roman" w:hAnsiTheme="majorHAnsi" w:cstheme="majorHAnsi"/>
                <w:color w:val="000000"/>
                <w:sz w:val="18"/>
                <w:szCs w:val="18"/>
                <w:lang w:val="en-US" w:eastAsia="de-DE"/>
              </w:rPr>
              <w:t>)</w:t>
            </w:r>
            <w:r w:rsidRPr="007E56D0">
              <w:rPr>
                <w:rFonts w:asciiTheme="majorHAnsi" w:eastAsia="Times New Roman" w:hAnsiTheme="majorHAnsi" w:cstheme="majorHAnsi"/>
                <w:color w:val="000000"/>
                <w:sz w:val="16"/>
                <w:szCs w:val="16"/>
                <w:lang w:val="en-US" w:eastAsia="de-DE"/>
              </w:rPr>
              <w:t xml:space="preserve"> vs. BMM (</w:t>
            </w:r>
            <w:r w:rsidR="000A7577" w:rsidRPr="007E56D0">
              <w:rPr>
                <w:rFonts w:asciiTheme="majorHAnsi" w:eastAsia="Times New Roman" w:hAnsiTheme="majorHAnsi" w:cstheme="majorHAnsi"/>
                <w:color w:val="000000"/>
                <w:sz w:val="16"/>
                <w:szCs w:val="16"/>
                <w:lang w:val="en-US" w:eastAsia="de-DE"/>
              </w:rPr>
              <w:t xml:space="preserve">incl. </w:t>
            </w:r>
            <w:r w:rsidRPr="007E56D0">
              <w:rPr>
                <w:rFonts w:asciiTheme="majorHAnsi" w:eastAsia="Times New Roman" w:hAnsiTheme="majorHAnsi" w:cstheme="majorHAnsi"/>
                <w:color w:val="000000"/>
                <w:sz w:val="16"/>
                <w:szCs w:val="16"/>
                <w:lang w:val="en-US" w:eastAsia="de-DE"/>
              </w:rPr>
              <w:t>IV alteplase if eligible) alone</w:t>
            </w:r>
            <w:r w:rsidRPr="007E56D0">
              <w:rPr>
                <w:rFonts w:asciiTheme="majorHAnsi" w:eastAsia="Times New Roman" w:hAnsiTheme="majorHAnsi" w:cstheme="majorHAnsi"/>
                <w:color w:val="000000"/>
                <w:sz w:val="16"/>
                <w:szCs w:val="16"/>
                <w:lang w:val="en-US" w:eastAsia="de-DE"/>
              </w:rPr>
              <w:br/>
              <w:t>O: costs ($) and utilities (QALYs) + NMBs</w:t>
            </w:r>
          </w:p>
        </w:tc>
        <w:tc>
          <w:tcPr>
            <w:tcW w:w="989" w:type="dxa"/>
            <w:shd w:val="clear" w:color="auto" w:fill="auto"/>
            <w:hideMark/>
          </w:tcPr>
          <w:p w14:paraId="7FB3ECBF" w14:textId="01C5DF2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 societal perspective</w:t>
            </w:r>
          </w:p>
        </w:tc>
        <w:tc>
          <w:tcPr>
            <w:tcW w:w="808" w:type="dxa"/>
            <w:shd w:val="clear" w:color="auto" w:fill="auto"/>
            <w:hideMark/>
          </w:tcPr>
          <w:p w14:paraId="4370FA42" w14:textId="198A3AD8" w:rsidR="00795DAB" w:rsidRPr="007E56D0" w:rsidRDefault="00795DAB"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71.5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 xml:space="preserve">DS: </w:t>
            </w:r>
            <w:r w:rsidR="003308E1" w:rsidRPr="007E56D0">
              <w:rPr>
                <w:rFonts w:asciiTheme="majorHAnsi" w:hAnsiTheme="majorHAnsi" w:cstheme="majorHAnsi"/>
                <w:color w:val="000000"/>
                <w:sz w:val="16"/>
                <w:szCs w:val="16"/>
                <w:lang w:val="en-US"/>
              </w:rPr>
              <w:t>Large vessel occlusion</w:t>
            </w:r>
          </w:p>
          <w:p w14:paraId="53934AA7" w14:textId="603D7B9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br/>
            </w:r>
          </w:p>
        </w:tc>
        <w:tc>
          <w:tcPr>
            <w:tcW w:w="1025" w:type="dxa"/>
            <w:shd w:val="clear" w:color="auto" w:fill="auto"/>
            <w:hideMark/>
          </w:tcPr>
          <w:p w14:paraId="54A3DCF5" w14:textId="741373E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 (up to 120 years)</w:t>
            </w:r>
            <w:r w:rsidRPr="007E56D0">
              <w:rPr>
                <w:rFonts w:asciiTheme="majorHAnsi" w:eastAsia="Times New Roman" w:hAnsiTheme="majorHAnsi" w:cstheme="majorHAnsi"/>
                <w:color w:val="000000"/>
                <w:sz w:val="16"/>
                <w:szCs w:val="16"/>
                <w:lang w:val="en-US" w:eastAsia="de-DE"/>
              </w:rPr>
              <w:br/>
              <w:t xml:space="preserve">D: 3% </w:t>
            </w:r>
            <w:r w:rsidR="00B40980" w:rsidRPr="007E56D0">
              <w:rPr>
                <w:rFonts w:asciiTheme="majorHAnsi" w:eastAsia="Times New Roman" w:hAnsiTheme="majorHAnsi" w:cstheme="majorHAnsi"/>
                <w:color w:val="000000"/>
                <w:sz w:val="16"/>
                <w:szCs w:val="16"/>
                <w:lang w:val="en-US" w:eastAsia="de-DE"/>
              </w:rPr>
              <w:t>for costs and utilities</w:t>
            </w:r>
            <w:r w:rsidRPr="007E56D0">
              <w:rPr>
                <w:rFonts w:asciiTheme="majorHAnsi" w:eastAsia="Times New Roman" w:hAnsiTheme="majorHAnsi" w:cstheme="majorHAnsi"/>
                <w:color w:val="000000"/>
                <w:sz w:val="16"/>
                <w:szCs w:val="16"/>
                <w:lang w:val="en-US" w:eastAsia="de-DE"/>
              </w:rPr>
              <w:t xml:space="preserve"> </w:t>
            </w:r>
          </w:p>
        </w:tc>
        <w:tc>
          <w:tcPr>
            <w:tcW w:w="2068" w:type="dxa"/>
          </w:tcPr>
          <w:p w14:paraId="3BF2C9C3" w14:textId="7D34653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354FC1D4" w14:textId="244B0F8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62B62FB7" w14:textId="18E4480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PSA</w:t>
            </w:r>
          </w:p>
        </w:tc>
        <w:tc>
          <w:tcPr>
            <w:tcW w:w="1441" w:type="dxa"/>
            <w:shd w:val="clear" w:color="auto" w:fill="auto"/>
            <w:hideMark/>
          </w:tcPr>
          <w:p w14:paraId="02516217" w14:textId="13E90156" w:rsidR="00795DAB" w:rsidRPr="007E56D0" w:rsidRDefault="00A96990"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Not assessed</w:t>
            </w:r>
          </w:p>
        </w:tc>
        <w:tc>
          <w:tcPr>
            <w:tcW w:w="964" w:type="dxa"/>
            <w:shd w:val="clear" w:color="auto" w:fill="auto"/>
            <w:hideMark/>
          </w:tcPr>
          <w:p w14:paraId="072CC155" w14:textId="34145DD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Dirichlet, recurrence: beta, after recurrence: Dirichlet mortality: beta/lognormal), utilities: beta, costs: gamma,</w:t>
            </w:r>
            <w:r w:rsidRPr="007E56D0">
              <w:rPr>
                <w:rFonts w:asciiTheme="majorHAnsi" w:eastAsia="Times New Roman" w:hAnsiTheme="majorHAnsi" w:cstheme="majorHAnsi"/>
                <w:color w:val="000000"/>
                <w:sz w:val="16"/>
                <w:szCs w:val="16"/>
                <w:lang w:val="en-US" w:eastAsia="de-DE"/>
              </w:rPr>
              <w:br/>
            </w:r>
            <w:r w:rsidRPr="007E56D0">
              <w:rPr>
                <w:rFonts w:asciiTheme="majorHAnsi" w:eastAsia="Times New Roman" w:hAnsiTheme="majorHAnsi" w:cstheme="majorHAnsi"/>
                <w:color w:val="000000"/>
                <w:sz w:val="16"/>
                <w:szCs w:val="16"/>
                <w:lang w:val="en-US" w:eastAsia="de-DE"/>
              </w:rPr>
              <w:lastRenderedPageBreak/>
              <w:t>employment/RTW: beta</w:t>
            </w:r>
            <w:r w:rsidRPr="007E56D0">
              <w:rPr>
                <w:rFonts w:asciiTheme="majorHAnsi" w:eastAsia="Times New Roman" w:hAnsiTheme="majorHAnsi" w:cstheme="majorHAnsi"/>
                <w:color w:val="000000"/>
                <w:sz w:val="16"/>
                <w:szCs w:val="16"/>
                <w:lang w:val="en-US" w:eastAsia="de-DE"/>
              </w:rPr>
              <w:br/>
              <w:t xml:space="preserve"> </w:t>
            </w:r>
          </w:p>
        </w:tc>
        <w:tc>
          <w:tcPr>
            <w:tcW w:w="815" w:type="dxa"/>
            <w:shd w:val="clear" w:color="000000" w:fill="FFFFFF"/>
            <w:hideMark/>
          </w:tcPr>
          <w:p w14:paraId="5B019D77"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Face validation</w:t>
            </w:r>
          </w:p>
        </w:tc>
      </w:tr>
      <w:tr w:rsidR="00795DAB" w:rsidRPr="001E2D03" w14:paraId="174EF90E" w14:textId="77777777" w:rsidTr="004515C5">
        <w:trPr>
          <w:tblCellSpacing w:w="85" w:type="dxa"/>
        </w:trPr>
        <w:tc>
          <w:tcPr>
            <w:tcW w:w="1057" w:type="dxa"/>
            <w:shd w:val="clear" w:color="auto" w:fill="auto"/>
            <w:hideMark/>
          </w:tcPr>
          <w:p w14:paraId="4DE2C31A" w14:textId="5F375A7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Ospel et al. (2023-2), USA, public funding </w:t>
            </w:r>
            <w:r w:rsidR="00215B90">
              <w:rPr>
                <w:rFonts w:asciiTheme="majorHAnsi" w:eastAsia="Times New Roman" w:hAnsiTheme="majorHAnsi" w:cstheme="majorHAnsi"/>
                <w:color w:val="000000"/>
                <w:sz w:val="16"/>
                <w:szCs w:val="16"/>
                <w:lang w:val="en-US" w:eastAsia="de-DE"/>
              </w:rPr>
              <w:t>[38]</w:t>
            </w:r>
            <w:hyperlink w:anchor="_CTVL001e2eeb2282f5447d2a9e3ca870137ea24" w:tooltip="Ospel, J. M., Kunz, W. G., McDonough, R. V., Goyal, M., Uchida, K., Sakai, N., Yamagami, H., and Yoshimura, S. 2023. Cost-effectiveness of Endovascula…" w:history="1"/>
          </w:p>
        </w:tc>
        <w:tc>
          <w:tcPr>
            <w:tcW w:w="903" w:type="dxa"/>
          </w:tcPr>
          <w:p w14:paraId="14BC070A" w14:textId="70DADB7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 BMM (</w:t>
            </w:r>
            <w:r w:rsidR="000A7577" w:rsidRPr="007E56D0">
              <w:rPr>
                <w:rFonts w:asciiTheme="majorHAnsi" w:eastAsia="Times New Roman" w:hAnsiTheme="majorHAnsi" w:cstheme="majorHAnsi"/>
                <w:color w:val="000000"/>
                <w:sz w:val="16"/>
                <w:szCs w:val="16"/>
                <w:lang w:val="en-US" w:eastAsia="de-DE"/>
              </w:rPr>
              <w:t xml:space="preserve">incl. </w:t>
            </w:r>
            <w:r w:rsidRPr="007E56D0">
              <w:rPr>
                <w:rFonts w:asciiTheme="majorHAnsi" w:eastAsia="Times New Roman" w:hAnsiTheme="majorHAnsi" w:cstheme="majorHAnsi"/>
                <w:color w:val="000000"/>
                <w:sz w:val="16"/>
                <w:szCs w:val="16"/>
                <w:lang w:val="en-US" w:eastAsia="de-DE"/>
              </w:rPr>
              <w:t>IV alteplase if eligible) vs. BMM (</w:t>
            </w:r>
            <w:r w:rsidR="000A7577" w:rsidRPr="007E56D0">
              <w:rPr>
                <w:rFonts w:asciiTheme="majorHAnsi" w:eastAsia="Times New Roman" w:hAnsiTheme="majorHAnsi" w:cstheme="majorHAnsi"/>
                <w:color w:val="000000"/>
                <w:sz w:val="16"/>
                <w:szCs w:val="16"/>
                <w:lang w:val="en-US" w:eastAsia="de-DE"/>
              </w:rPr>
              <w:t xml:space="preserve"> incl.</w:t>
            </w:r>
            <w:r w:rsidRPr="007E56D0">
              <w:rPr>
                <w:rFonts w:asciiTheme="majorHAnsi" w:eastAsia="Times New Roman" w:hAnsiTheme="majorHAnsi" w:cstheme="majorHAnsi"/>
                <w:color w:val="000000"/>
                <w:sz w:val="16"/>
                <w:szCs w:val="16"/>
                <w:lang w:val="en-US" w:eastAsia="de-DE"/>
              </w:rPr>
              <w:t xml:space="preserve"> IV alteplase if eligible) alone</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 + NMB</w:t>
            </w:r>
          </w:p>
        </w:tc>
        <w:tc>
          <w:tcPr>
            <w:tcW w:w="989" w:type="dxa"/>
            <w:shd w:val="clear" w:color="auto" w:fill="auto"/>
            <w:hideMark/>
          </w:tcPr>
          <w:p w14:paraId="792D6FD6" w14:textId="38C1CFF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 societal perspective</w:t>
            </w:r>
          </w:p>
        </w:tc>
        <w:tc>
          <w:tcPr>
            <w:tcW w:w="808" w:type="dxa"/>
            <w:shd w:val="clear" w:color="auto" w:fill="auto"/>
            <w:hideMark/>
          </w:tcPr>
          <w:p w14:paraId="6D03167D" w14:textId="137F6515" w:rsidR="00795DAB" w:rsidRPr="007E56D0" w:rsidRDefault="00795DAB"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76 years</w:t>
            </w:r>
            <w:r w:rsidRPr="007E56D0">
              <w:rPr>
                <w:rFonts w:asciiTheme="majorHAnsi" w:hAnsiTheme="majorHAnsi" w:cstheme="majorHAnsi"/>
                <w:color w:val="000000"/>
                <w:sz w:val="16"/>
                <w:szCs w:val="16"/>
                <w:lang w:val="en-US"/>
              </w:rPr>
              <w:br/>
              <w:t>G: 46%female in EVT + BMM, 44% in BMM alone</w:t>
            </w:r>
            <w:r w:rsidRPr="007E56D0">
              <w:rPr>
                <w:rFonts w:asciiTheme="majorHAnsi" w:hAnsiTheme="majorHAnsi" w:cstheme="majorHAnsi"/>
                <w:color w:val="000000"/>
                <w:sz w:val="16"/>
                <w:szCs w:val="16"/>
                <w:lang w:val="en-US"/>
              </w:rPr>
              <w:br/>
              <w:t xml:space="preserve">DS: </w:t>
            </w:r>
            <w:r w:rsidR="006319F0" w:rsidRPr="007E56D0">
              <w:rPr>
                <w:rFonts w:asciiTheme="majorHAnsi" w:hAnsiTheme="majorHAnsi" w:cstheme="majorHAnsi"/>
                <w:color w:val="000000"/>
                <w:sz w:val="16"/>
                <w:szCs w:val="16"/>
                <w:lang w:val="en-US"/>
              </w:rPr>
              <w:t>L</w:t>
            </w:r>
            <w:r w:rsidRPr="007E56D0">
              <w:rPr>
                <w:rFonts w:asciiTheme="majorHAnsi" w:hAnsiTheme="majorHAnsi" w:cstheme="majorHAnsi"/>
                <w:color w:val="000000"/>
                <w:sz w:val="16"/>
                <w:szCs w:val="16"/>
                <w:lang w:val="en-US"/>
              </w:rPr>
              <w:t>arge vessel occlusion with ASPECTS 3-5</w:t>
            </w:r>
          </w:p>
          <w:p w14:paraId="2BA14A7E" w14:textId="2A82BBF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br/>
            </w:r>
          </w:p>
        </w:tc>
        <w:tc>
          <w:tcPr>
            <w:tcW w:w="1025" w:type="dxa"/>
            <w:shd w:val="clear" w:color="auto" w:fill="auto"/>
            <w:hideMark/>
          </w:tcPr>
          <w:p w14:paraId="65B393A5" w14:textId="553B334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 (up to 120 years)</w:t>
            </w:r>
            <w:r w:rsidRPr="007E56D0">
              <w:rPr>
                <w:rFonts w:asciiTheme="majorHAnsi" w:eastAsia="Times New Roman" w:hAnsiTheme="majorHAnsi" w:cstheme="majorHAnsi"/>
                <w:color w:val="000000"/>
                <w:sz w:val="16"/>
                <w:szCs w:val="16"/>
                <w:lang w:val="en-US" w:eastAsia="de-DE"/>
              </w:rPr>
              <w:br/>
              <w:t xml:space="preserve">D: 3% </w:t>
            </w:r>
            <w:r w:rsidR="00B40980" w:rsidRPr="007E56D0">
              <w:rPr>
                <w:rFonts w:asciiTheme="majorHAnsi" w:eastAsia="Times New Roman" w:hAnsiTheme="majorHAnsi" w:cstheme="majorHAnsi"/>
                <w:color w:val="000000"/>
                <w:sz w:val="16"/>
                <w:szCs w:val="16"/>
                <w:lang w:val="en-US" w:eastAsia="de-DE"/>
              </w:rPr>
              <w:t>for costs and utilities</w:t>
            </w:r>
          </w:p>
        </w:tc>
        <w:tc>
          <w:tcPr>
            <w:tcW w:w="2068" w:type="dxa"/>
          </w:tcPr>
          <w:p w14:paraId="7F7C3BBE" w14:textId="5E1B9963"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542C66AA" w14:textId="6EA041E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33934CB3" w14:textId="01B8AFC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w:t>
            </w:r>
            <w:r w:rsidR="000137C3" w:rsidRPr="007E56D0">
              <w:rPr>
                <w:rFonts w:asciiTheme="majorHAnsi" w:eastAsia="Times New Roman" w:hAnsiTheme="majorHAnsi" w:cstheme="majorHAnsi"/>
                <w:color w:val="000000"/>
                <w:sz w:val="16"/>
                <w:szCs w:val="16"/>
                <w:lang w:val="en-US" w:eastAsia="de-DE"/>
              </w:rPr>
              <w:t xml:space="preserve"> subgroup analyses, </w:t>
            </w:r>
            <w:r w:rsidRPr="007E56D0">
              <w:rPr>
                <w:rFonts w:asciiTheme="majorHAnsi" w:eastAsia="Times New Roman" w:hAnsiTheme="majorHAnsi" w:cstheme="majorHAnsi"/>
                <w:color w:val="000000"/>
                <w:sz w:val="16"/>
                <w:szCs w:val="16"/>
                <w:lang w:val="en-US" w:eastAsia="de-DE"/>
              </w:rPr>
              <w:t>PSA</w:t>
            </w:r>
          </w:p>
        </w:tc>
        <w:tc>
          <w:tcPr>
            <w:tcW w:w="1441" w:type="dxa"/>
            <w:shd w:val="clear" w:color="auto" w:fill="auto"/>
            <w:hideMark/>
          </w:tcPr>
          <w:p w14:paraId="57AE3211" w14:textId="3ED88A50"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(only effectiveness), starting age</w:t>
            </w:r>
          </w:p>
          <w:p w14:paraId="4CF968CC" w14:textId="143EFE86"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1736280A" w14:textId="19BC5AA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Dirichlet, recurrence: beta, after recurrence: Dirichlet, mortality: beta/lognormal), utilities: beta, costs: gamma,</w:t>
            </w:r>
            <w:r w:rsidRPr="007E56D0">
              <w:rPr>
                <w:rFonts w:asciiTheme="majorHAnsi" w:eastAsia="Times New Roman" w:hAnsiTheme="majorHAnsi" w:cstheme="majorHAnsi"/>
                <w:color w:val="000000"/>
                <w:sz w:val="16"/>
                <w:szCs w:val="16"/>
                <w:lang w:val="en-US" w:eastAsia="de-DE"/>
              </w:rPr>
              <w:br/>
              <w:t>employment/RTW: beta</w:t>
            </w:r>
          </w:p>
        </w:tc>
        <w:tc>
          <w:tcPr>
            <w:tcW w:w="815" w:type="dxa"/>
            <w:shd w:val="clear" w:color="000000" w:fill="FFFFFF"/>
            <w:hideMark/>
          </w:tcPr>
          <w:p w14:paraId="13AAB784"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cross and external validation</w:t>
            </w:r>
          </w:p>
        </w:tc>
      </w:tr>
      <w:tr w:rsidR="00795DAB" w:rsidRPr="001E2D03" w14:paraId="77111A8E" w14:textId="77777777" w:rsidTr="004515C5">
        <w:trPr>
          <w:tblCellSpacing w:w="85" w:type="dxa"/>
        </w:trPr>
        <w:tc>
          <w:tcPr>
            <w:tcW w:w="1057" w:type="dxa"/>
            <w:shd w:val="clear" w:color="auto" w:fill="auto"/>
            <w:noWrap/>
            <w:hideMark/>
          </w:tcPr>
          <w:p w14:paraId="4BB5471B" w14:textId="7382923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Sanmartin et al. (2023), USA, none declared </w:t>
            </w:r>
            <w:r w:rsidR="00215B90">
              <w:rPr>
                <w:rFonts w:asciiTheme="majorHAnsi" w:eastAsia="Times New Roman" w:hAnsiTheme="majorHAnsi" w:cstheme="majorHAnsi"/>
                <w:color w:val="000000"/>
                <w:sz w:val="16"/>
                <w:szCs w:val="16"/>
                <w:lang w:val="en-US" w:eastAsia="de-DE"/>
              </w:rPr>
              <w:t>[39]</w:t>
            </w:r>
            <w:hyperlink w:anchor="_CTVL0012440bb52d7d945a49e293431e51d3b8a" w:tooltip="Sanmartin, M. X., Katz, J. M., Wang, J., Malhotra, A., Sangha, K., Bastani, M., Martinez, G., and Sanelli, P. C. 2023. Cost-effectiveness of endovascu…" w:history="1"/>
          </w:p>
        </w:tc>
        <w:tc>
          <w:tcPr>
            <w:tcW w:w="903" w:type="dxa"/>
          </w:tcPr>
          <w:p w14:paraId="5EC890A0" w14:textId="172342D3"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C: EVT </w:t>
            </w:r>
            <w:r w:rsidR="00967B3D" w:rsidRPr="007E56D0">
              <w:rPr>
                <w:rFonts w:asciiTheme="majorHAnsi" w:eastAsia="Times New Roman" w:hAnsiTheme="majorHAnsi" w:cstheme="majorHAnsi"/>
                <w:color w:val="000000"/>
                <w:sz w:val="16"/>
                <w:szCs w:val="16"/>
                <w:lang w:val="en-US" w:eastAsia="de-DE"/>
              </w:rPr>
              <w:t>incl. IV-tPA</w:t>
            </w:r>
            <w:r w:rsidRPr="007E56D0">
              <w:rPr>
                <w:rFonts w:asciiTheme="majorHAnsi" w:eastAsia="Times New Roman" w:hAnsiTheme="majorHAnsi" w:cstheme="majorHAnsi"/>
                <w:color w:val="000000"/>
                <w:sz w:val="16"/>
                <w:szCs w:val="16"/>
                <w:lang w:val="en-US" w:eastAsia="de-DE"/>
              </w:rPr>
              <w:t xml:space="preserve"> vs. SC </w:t>
            </w:r>
            <w:r w:rsidR="00967B3D" w:rsidRPr="007E56D0">
              <w:rPr>
                <w:rFonts w:asciiTheme="majorHAnsi" w:eastAsia="Times New Roman" w:hAnsiTheme="majorHAnsi" w:cstheme="majorHAnsi"/>
                <w:color w:val="000000"/>
                <w:sz w:val="16"/>
                <w:szCs w:val="16"/>
                <w:lang w:val="en-US" w:eastAsia="de-DE"/>
              </w:rPr>
              <w:t>incl. IV-tPA</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 + NMB</w:t>
            </w:r>
          </w:p>
        </w:tc>
        <w:tc>
          <w:tcPr>
            <w:tcW w:w="989" w:type="dxa"/>
            <w:shd w:val="clear" w:color="auto" w:fill="auto"/>
            <w:hideMark/>
          </w:tcPr>
          <w:p w14:paraId="3356F2D9" w14:textId="5662F76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hideMark/>
          </w:tcPr>
          <w:p w14:paraId="412E0691" w14:textId="7E3B50A1" w:rsidR="00795DAB" w:rsidRPr="0072305D" w:rsidRDefault="00795DAB"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76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 xml:space="preserve">DS: </w:t>
            </w:r>
            <w:r w:rsidR="006319F0" w:rsidRPr="007E56D0">
              <w:rPr>
                <w:rFonts w:asciiTheme="majorHAnsi" w:hAnsiTheme="majorHAnsi" w:cstheme="majorHAnsi"/>
                <w:color w:val="000000"/>
                <w:sz w:val="16"/>
                <w:szCs w:val="16"/>
                <w:lang w:val="en-US"/>
              </w:rPr>
              <w:t xml:space="preserve">Large vessel occlusion with </w:t>
            </w:r>
            <w:r w:rsidRPr="007E56D0">
              <w:rPr>
                <w:rFonts w:asciiTheme="majorHAnsi" w:hAnsiTheme="majorHAnsi" w:cstheme="majorHAnsi"/>
                <w:color w:val="000000"/>
                <w:sz w:val="16"/>
                <w:szCs w:val="16"/>
                <w:lang w:val="en-US"/>
              </w:rPr>
              <w:t>ASPECTS 3-5</w:t>
            </w:r>
          </w:p>
        </w:tc>
        <w:tc>
          <w:tcPr>
            <w:tcW w:w="1025" w:type="dxa"/>
            <w:shd w:val="clear" w:color="auto" w:fill="auto"/>
            <w:hideMark/>
          </w:tcPr>
          <w:p w14:paraId="1DBEBE65" w14:textId="32A48B7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73A6684D" w14:textId="63D863F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 xml:space="preserve">7 health states (mRS 0-5 and death) at 90 days after stroke. </w:t>
            </w:r>
            <w:r w:rsidRPr="007E56D0">
              <w:rPr>
                <w:rFonts w:asciiTheme="majorHAnsi" w:eastAsia="Times New Roman" w:hAnsiTheme="majorHAnsi" w:cstheme="majorHAnsi"/>
                <w:color w:val="000000"/>
                <w:sz w:val="16"/>
                <w:szCs w:val="16"/>
                <w:lang w:val="en-US" w:eastAsia="de-DE"/>
              </w:rPr>
              <w:t>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20527ED8" w14:textId="150E19A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only deterioration after recurrence possible</w:t>
            </w:r>
          </w:p>
        </w:tc>
        <w:tc>
          <w:tcPr>
            <w:tcW w:w="1284" w:type="dxa"/>
            <w:shd w:val="clear" w:color="auto" w:fill="auto"/>
            <w:hideMark/>
          </w:tcPr>
          <w:p w14:paraId="4044ED07" w14:textId="10A6E31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 and two-way DSA, PSA</w:t>
            </w:r>
          </w:p>
        </w:tc>
        <w:tc>
          <w:tcPr>
            <w:tcW w:w="1441" w:type="dxa"/>
            <w:shd w:val="clear" w:color="auto" w:fill="auto"/>
            <w:hideMark/>
          </w:tcPr>
          <w:p w14:paraId="048F453D" w14:textId="4FB71DE4" w:rsidR="001501C0"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incl. recurrences), utilities, costs, starting age</w:t>
            </w:r>
          </w:p>
          <w:p w14:paraId="298E995B" w14:textId="3F028B0C"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5E9DFEA4" w14:textId="272F163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Dirichlet, mortality: lognormal), utilities: beta, 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6E3EB776"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internal and cross validation</w:t>
            </w:r>
          </w:p>
        </w:tc>
      </w:tr>
      <w:tr w:rsidR="00795DAB" w:rsidRPr="004515C5" w14:paraId="48FBDEAC" w14:textId="77777777" w:rsidTr="004515C5">
        <w:trPr>
          <w:tblCellSpacing w:w="85" w:type="dxa"/>
        </w:trPr>
        <w:tc>
          <w:tcPr>
            <w:tcW w:w="1057" w:type="dxa"/>
            <w:shd w:val="clear" w:color="auto" w:fill="auto"/>
            <w:hideMark/>
          </w:tcPr>
          <w:p w14:paraId="6634C0FB" w14:textId="7369137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Schwarting et al. (2023), not stated but probably USA, none declared </w:t>
            </w:r>
            <w:r w:rsidR="00215B90">
              <w:rPr>
                <w:rFonts w:asciiTheme="majorHAnsi" w:eastAsia="Times New Roman" w:hAnsiTheme="majorHAnsi" w:cstheme="majorHAnsi"/>
                <w:color w:val="000000"/>
                <w:sz w:val="16"/>
                <w:szCs w:val="16"/>
                <w:lang w:val="en-US" w:eastAsia="de-DE"/>
              </w:rPr>
              <w:t>[40]</w:t>
            </w:r>
            <w:hyperlink w:anchor="_CTVL00190475c0ea7d54801b7436c15879aa8e3" w:tooltip="Schwarting, J., Rühling, S., Bodden, J., Schwarting, S. K., Zimmer, C., Mehrens, D., Kirschke, J. S., Kunz, W. G., Boeckh-Behrens, T., and Froelich, M…" w:history="1"/>
          </w:p>
        </w:tc>
        <w:tc>
          <w:tcPr>
            <w:tcW w:w="903" w:type="dxa"/>
          </w:tcPr>
          <w:p w14:paraId="5CE9E9AF" w14:textId="3EC7483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vs. BMC</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w:t>
            </w:r>
          </w:p>
        </w:tc>
        <w:tc>
          <w:tcPr>
            <w:tcW w:w="989" w:type="dxa"/>
            <w:shd w:val="clear" w:color="auto" w:fill="auto"/>
            <w:hideMark/>
          </w:tcPr>
          <w:p w14:paraId="6C8523D9" w14:textId="76E52B5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hideMark/>
          </w:tcPr>
          <w:p w14:paraId="4ABD29E7" w14:textId="41987CE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66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 xml:space="preserve">DS: </w:t>
            </w:r>
            <w:r w:rsidR="006319F0" w:rsidRPr="007E56D0">
              <w:rPr>
                <w:rFonts w:asciiTheme="majorHAnsi" w:hAnsiTheme="majorHAnsi" w:cstheme="majorHAnsi"/>
                <w:color w:val="000000"/>
                <w:sz w:val="16"/>
                <w:szCs w:val="16"/>
                <w:lang w:val="en-US"/>
              </w:rPr>
              <w:t>B</w:t>
            </w:r>
            <w:r w:rsidRPr="007E56D0">
              <w:rPr>
                <w:rFonts w:asciiTheme="majorHAnsi" w:hAnsiTheme="majorHAnsi" w:cstheme="majorHAnsi"/>
                <w:color w:val="000000"/>
                <w:sz w:val="16"/>
                <w:szCs w:val="16"/>
                <w:lang w:val="en-US"/>
              </w:rPr>
              <w:t>asilar artery occlusion stroke</w:t>
            </w:r>
            <w:r w:rsidRPr="007E56D0">
              <w:rPr>
                <w:rFonts w:asciiTheme="majorHAnsi" w:hAnsiTheme="majorHAnsi" w:cstheme="majorHAnsi"/>
                <w:color w:val="000000"/>
                <w:sz w:val="16"/>
                <w:szCs w:val="16"/>
                <w:lang w:val="en-US"/>
              </w:rPr>
              <w:br/>
            </w:r>
          </w:p>
        </w:tc>
        <w:tc>
          <w:tcPr>
            <w:tcW w:w="1025" w:type="dxa"/>
            <w:shd w:val="clear" w:color="auto" w:fill="auto"/>
            <w:hideMark/>
          </w:tcPr>
          <w:p w14:paraId="55FD5650" w14:textId="4C487AA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55F8108B" w14:textId="44913EB4" w:rsidR="00795DAB" w:rsidRPr="0072305D" w:rsidRDefault="00795DAB" w:rsidP="009879CF">
            <w:pPr>
              <w:spacing w:after="0" w:line="240" w:lineRule="auto"/>
              <w:rPr>
                <w:rFonts w:asciiTheme="majorHAnsi" w:eastAsia="Times New Roman" w:hAnsiTheme="majorHAnsi" w:cstheme="majorHAnsi"/>
                <w:sz w:val="16"/>
                <w:szCs w:val="16"/>
                <w:lang w:val="en-US" w:eastAsia="de-DE"/>
              </w:rPr>
            </w:pPr>
            <w:r w:rsidRPr="007E56D0">
              <w:rPr>
                <w:rFonts w:asciiTheme="majorHAnsi" w:eastAsia="Times New Roman" w:hAnsiTheme="majorHAnsi" w:cstheme="majorHAnsi"/>
                <w:color w:val="000000"/>
                <w:sz w:val="16"/>
                <w:szCs w:val="16"/>
                <w:lang w:val="en-US" w:eastAsia="de-DE"/>
              </w:rPr>
              <w:t>Decision tree</w:t>
            </w:r>
            <w:r w:rsidRPr="007E56D0">
              <w:rPr>
                <w:rFonts w:asciiTheme="majorHAnsi" w:eastAsia="Times New Roman" w:hAnsiTheme="majorHAnsi" w:cstheme="majorHAnsi"/>
                <w:sz w:val="16"/>
                <w:szCs w:val="16"/>
                <w:lang w:val="en-US" w:eastAsia="de-DE"/>
              </w:rPr>
              <w:t xml:space="preserve"> with the 2 treatments</w:t>
            </w:r>
            <w:r w:rsidRPr="007E56D0">
              <w:rPr>
                <w:rFonts w:asciiTheme="majorHAnsi" w:eastAsia="Times New Roman" w:hAnsiTheme="majorHAnsi" w:cstheme="majorHAnsi"/>
                <w:color w:val="000000"/>
                <w:sz w:val="16"/>
                <w:szCs w:val="16"/>
                <w:lang w:val="en-US" w:eastAsia="de-DE"/>
              </w:rPr>
              <w:t xml:space="preserve"> (differentiated in occurrence of basilar stenosis or not, and stenting vs. no stenting in the case of basilar stenosis) </w:t>
            </w:r>
            <w:r w:rsidRPr="007E56D0">
              <w:rPr>
                <w:rFonts w:asciiTheme="majorHAnsi" w:eastAsia="Times New Roman" w:hAnsiTheme="majorHAnsi" w:cstheme="majorHAnsi"/>
                <w:sz w:val="16"/>
                <w:szCs w:val="16"/>
                <w:lang w:val="en-US" w:eastAsia="de-DE"/>
              </w:rPr>
              <w:t xml:space="preserve">followed by a Markov model </w:t>
            </w:r>
            <w:r w:rsidRPr="007E56D0">
              <w:rPr>
                <w:rFonts w:asciiTheme="majorHAnsi" w:eastAsia="Times New Roman" w:hAnsiTheme="majorHAnsi" w:cstheme="majorHAnsi"/>
                <w:color w:val="000000"/>
                <w:sz w:val="16"/>
                <w:szCs w:val="16"/>
                <w:lang w:val="en-US" w:eastAsia="de-DE"/>
              </w:rPr>
              <w:t xml:space="preserve">with 7 health states (mRS 0-5 and death) at 90 days after stroke. Patients could experience a stroke </w:t>
            </w:r>
            <w:r w:rsidRPr="007E56D0">
              <w:rPr>
                <w:rFonts w:asciiTheme="majorHAnsi" w:eastAsia="Times New Roman" w:hAnsiTheme="majorHAnsi" w:cstheme="majorHAnsi"/>
                <w:color w:val="000000"/>
                <w:sz w:val="16"/>
                <w:szCs w:val="16"/>
                <w:lang w:val="en-US" w:eastAsia="de-DE"/>
              </w:rPr>
              <w:lastRenderedPageBreak/>
              <w:t>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75AA6788" w14:textId="58FB25E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recurrences modeled</w:t>
            </w:r>
            <w:r w:rsidRPr="007E56D0">
              <w:rPr>
                <w:rFonts w:asciiTheme="majorHAnsi" w:eastAsia="Times New Roman" w:hAnsiTheme="majorHAnsi" w:cstheme="majorHAnsi"/>
                <w:color w:val="000000"/>
                <w:sz w:val="16"/>
                <w:szCs w:val="16"/>
                <w:lang w:val="en-US" w:eastAsia="de-DE"/>
              </w:rPr>
              <w:br/>
              <w:t>- only deterioration after recurrence possible</w:t>
            </w:r>
          </w:p>
        </w:tc>
        <w:tc>
          <w:tcPr>
            <w:tcW w:w="1284" w:type="dxa"/>
            <w:shd w:val="clear" w:color="auto" w:fill="auto"/>
            <w:hideMark/>
          </w:tcPr>
          <w:p w14:paraId="33B99D38" w14:textId="253B031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w:t>
            </w:r>
            <w:r w:rsidR="000137C3" w:rsidRPr="007E56D0">
              <w:rPr>
                <w:rFonts w:asciiTheme="majorHAnsi" w:eastAsia="Times New Roman" w:hAnsiTheme="majorHAnsi" w:cstheme="majorHAnsi"/>
                <w:color w:val="000000"/>
                <w:sz w:val="16"/>
                <w:szCs w:val="16"/>
                <w:lang w:val="en-US" w:eastAsia="de-DE"/>
              </w:rPr>
              <w:t xml:space="preserve">, subgroup analyses, </w:t>
            </w:r>
            <w:r w:rsidRPr="007E56D0">
              <w:rPr>
                <w:rFonts w:asciiTheme="majorHAnsi" w:eastAsia="Times New Roman" w:hAnsiTheme="majorHAnsi" w:cstheme="majorHAnsi"/>
                <w:color w:val="000000"/>
                <w:sz w:val="16"/>
                <w:szCs w:val="16"/>
                <w:lang w:val="en-US" w:eastAsia="de-DE"/>
              </w:rPr>
              <w:t>PSA</w:t>
            </w:r>
          </w:p>
        </w:tc>
        <w:tc>
          <w:tcPr>
            <w:tcW w:w="1441" w:type="dxa"/>
            <w:shd w:val="clear" w:color="auto" w:fill="auto"/>
            <w:hideMark/>
          </w:tcPr>
          <w:p w14:paraId="54ED4920" w14:textId="5F9D0F51"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(only effectiveness) costs, starting age</w:t>
            </w:r>
          </w:p>
          <w:p w14:paraId="600C7A1C" w14:textId="27618CF7"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±25% for some costs</w:t>
            </w:r>
          </w:p>
        </w:tc>
        <w:tc>
          <w:tcPr>
            <w:tcW w:w="964" w:type="dxa"/>
            <w:shd w:val="clear" w:color="auto" w:fill="auto"/>
            <w:hideMark/>
          </w:tcPr>
          <w:p w14:paraId="59B5674D" w14:textId="71DD1EA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Utilities: beta, 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1F48DABA"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4515C5" w14:paraId="5D3B4166" w14:textId="77777777" w:rsidTr="004515C5">
        <w:trPr>
          <w:tblCellSpacing w:w="85" w:type="dxa"/>
        </w:trPr>
        <w:tc>
          <w:tcPr>
            <w:tcW w:w="1057" w:type="dxa"/>
            <w:shd w:val="clear" w:color="auto" w:fill="auto"/>
            <w:hideMark/>
          </w:tcPr>
          <w:p w14:paraId="019A42CE" w14:textId="59AFF1F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Wang et al. (2023), China, none declared </w:t>
            </w:r>
            <w:r w:rsidR="00215B90">
              <w:rPr>
                <w:rFonts w:asciiTheme="majorHAnsi" w:eastAsia="Times New Roman" w:hAnsiTheme="majorHAnsi" w:cstheme="majorHAnsi"/>
                <w:color w:val="000000"/>
                <w:sz w:val="16"/>
                <w:szCs w:val="16"/>
                <w:lang w:val="en-US" w:eastAsia="de-DE"/>
              </w:rPr>
              <w:t>[41]</w:t>
            </w:r>
            <w:hyperlink w:anchor="_CTVL00194259871296d4537ad37eba9fda484b6" w:tooltip="Wang, L., Yu, Y., Zhou, L., Xu, P., Guo, X., Xie, Y., Cai, J., Pan, M., Tang, J., Gong, Q., Su, R., Lou, Y., and Liu, Y. 2023. Endovascular treatment …" w:history="1"/>
          </w:p>
        </w:tc>
        <w:tc>
          <w:tcPr>
            <w:tcW w:w="903" w:type="dxa"/>
          </w:tcPr>
          <w:p w14:paraId="45037BAF" w14:textId="7E2AE66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 SMT vs. SMT alone</w:t>
            </w:r>
            <w:r w:rsidRPr="007E56D0">
              <w:rPr>
                <w:rFonts w:asciiTheme="majorHAnsi" w:eastAsia="Times New Roman" w:hAnsiTheme="majorHAnsi" w:cstheme="majorHAnsi"/>
                <w:color w:val="000000"/>
                <w:sz w:val="16"/>
                <w:szCs w:val="16"/>
                <w:lang w:val="en-US" w:eastAsia="de-DE"/>
              </w:rPr>
              <w:br/>
              <w:t>O: ICUR (Intl.$/QALY)</w:t>
            </w:r>
          </w:p>
        </w:tc>
        <w:tc>
          <w:tcPr>
            <w:tcW w:w="989" w:type="dxa"/>
            <w:shd w:val="clear" w:color="auto" w:fill="auto"/>
            <w:hideMark/>
          </w:tcPr>
          <w:p w14:paraId="55E09A2E" w14:textId="35DD777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hideMark/>
          </w:tcPr>
          <w:p w14:paraId="2487C532" w14:textId="77052B8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66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DS: Basilar artery occlusion stroke</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p>
        </w:tc>
        <w:tc>
          <w:tcPr>
            <w:tcW w:w="1025" w:type="dxa"/>
            <w:shd w:val="clear" w:color="auto" w:fill="auto"/>
            <w:hideMark/>
          </w:tcPr>
          <w:p w14:paraId="07A4CF4E" w14:textId="0A38308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3 months</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20 years</w:t>
            </w:r>
            <w:r w:rsidRPr="007E56D0">
              <w:rPr>
                <w:rFonts w:asciiTheme="majorHAnsi" w:eastAsia="Times New Roman" w:hAnsiTheme="majorHAnsi" w:cstheme="majorHAnsi"/>
                <w:color w:val="000000"/>
                <w:sz w:val="16"/>
                <w:szCs w:val="16"/>
                <w:lang w:val="en-US" w:eastAsia="de-DE"/>
              </w:rPr>
              <w:br/>
              <w:t>D: 5% for costs and utilities</w:t>
            </w:r>
          </w:p>
        </w:tc>
        <w:tc>
          <w:tcPr>
            <w:tcW w:w="2068" w:type="dxa"/>
          </w:tcPr>
          <w:p w14:paraId="095F9F2F" w14:textId="738CBB2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 xml:space="preserve">Decision tree with the 2 treatments followed by a Markov model with </w:t>
            </w:r>
            <w:r w:rsidRPr="007E56D0">
              <w:rPr>
                <w:rFonts w:asciiTheme="majorHAnsi" w:eastAsia="Times New Roman" w:hAnsiTheme="majorHAnsi" w:cstheme="majorHAnsi"/>
                <w:color w:val="000000"/>
                <w:sz w:val="16"/>
                <w:szCs w:val="16"/>
                <w:lang w:val="en-US" w:eastAsia="de-DE"/>
              </w:rPr>
              <w:t>3 health states (mRS 0-2, mRS 3-5 and death) at 90 days after stroke.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71727198" w14:textId="131F4FF1" w:rsidR="00AF6CF1"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not clear if keeping current health state after recurrence possible</w:t>
            </w:r>
            <w:r w:rsidRPr="007E56D0">
              <w:rPr>
                <w:rFonts w:asciiTheme="majorHAnsi" w:eastAsia="Times New Roman" w:hAnsiTheme="majorHAnsi" w:cstheme="majorHAnsi"/>
                <w:color w:val="000000"/>
                <w:sz w:val="16"/>
                <w:szCs w:val="16"/>
                <w:lang w:val="en-US" w:eastAsia="de-DE"/>
              </w:rPr>
              <w:br/>
              <w:t>- intermediate recovery phase up to 1 year assumed, where mRS improvement possible</w:t>
            </w:r>
          </w:p>
        </w:tc>
        <w:tc>
          <w:tcPr>
            <w:tcW w:w="1284" w:type="dxa"/>
            <w:shd w:val="clear" w:color="auto" w:fill="auto"/>
            <w:hideMark/>
          </w:tcPr>
          <w:p w14:paraId="7F021B11" w14:textId="075FF76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 xml:space="preserve">U: One-way DSA, </w:t>
            </w:r>
            <w:r w:rsidR="000137C3" w:rsidRPr="007E56D0">
              <w:rPr>
                <w:rFonts w:asciiTheme="majorHAnsi" w:eastAsia="Times New Roman" w:hAnsiTheme="majorHAnsi" w:cstheme="majorHAnsi"/>
                <w:color w:val="000000"/>
                <w:sz w:val="16"/>
                <w:szCs w:val="16"/>
                <w:lang w:val="en-US" w:eastAsia="de-DE"/>
              </w:rPr>
              <w:t xml:space="preserve">scenario analyses, </w:t>
            </w:r>
            <w:r w:rsidRPr="007E56D0">
              <w:rPr>
                <w:rFonts w:asciiTheme="majorHAnsi" w:eastAsia="Times New Roman" w:hAnsiTheme="majorHAnsi" w:cstheme="majorHAnsi"/>
                <w:color w:val="000000"/>
                <w:sz w:val="16"/>
                <w:szCs w:val="16"/>
                <w:lang w:val="en-US" w:eastAsia="de-DE"/>
              </w:rPr>
              <w:t>PSA</w:t>
            </w:r>
          </w:p>
        </w:tc>
        <w:tc>
          <w:tcPr>
            <w:tcW w:w="1441" w:type="dxa"/>
            <w:shd w:val="clear" w:color="auto" w:fill="auto"/>
            <w:hideMark/>
          </w:tcPr>
          <w:p w14:paraId="0ED55FF4" w14:textId="6469A0D7"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incl. recurrences), utilities, costs, discount rate</w:t>
            </w:r>
          </w:p>
          <w:p w14:paraId="2ACEC206" w14:textId="434C5263"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AC2046" w:rsidRPr="007E56D0">
              <w:rPr>
                <w:rFonts w:asciiTheme="majorHAnsi" w:eastAsia="Times New Roman" w:hAnsiTheme="majorHAnsi" w:cstheme="majorHAnsi"/>
                <w:color w:val="000000"/>
                <w:sz w:val="16"/>
                <w:szCs w:val="16"/>
                <w:lang w:val="en-US" w:eastAsia="de-DE"/>
              </w:rPr>
              <w:t xml:space="preserve"> </w:t>
            </w:r>
            <w:r w:rsidR="00795DAB" w:rsidRPr="007E56D0">
              <w:rPr>
                <w:rFonts w:asciiTheme="majorHAnsi" w:eastAsia="Times New Roman" w:hAnsiTheme="majorHAnsi" w:cstheme="majorHAnsi"/>
                <w:color w:val="000000"/>
                <w:sz w:val="16"/>
                <w:szCs w:val="16"/>
                <w:lang w:val="en-US" w:eastAsia="de-DE"/>
              </w:rPr>
              <w:t xml:space="preserve">150%/200% for some costs  </w:t>
            </w:r>
          </w:p>
        </w:tc>
        <w:tc>
          <w:tcPr>
            <w:tcW w:w="964" w:type="dxa"/>
            <w:shd w:val="clear" w:color="auto" w:fill="auto"/>
            <w:hideMark/>
          </w:tcPr>
          <w:p w14:paraId="58F6245D" w14:textId="2BEAAF0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TPs (not clear which TPs): Dirichlet, utilities: beta, costs: gamma </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75DDE8DC"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4515C5" w14:paraId="094C354B" w14:textId="77777777" w:rsidTr="004515C5">
        <w:trPr>
          <w:tblCellSpacing w:w="85" w:type="dxa"/>
        </w:trPr>
        <w:tc>
          <w:tcPr>
            <w:tcW w:w="1057" w:type="dxa"/>
            <w:shd w:val="clear" w:color="auto" w:fill="auto"/>
            <w:hideMark/>
          </w:tcPr>
          <w:p w14:paraId="040A59CC" w14:textId="030D142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Xia et al. (2023), China, none declared </w:t>
            </w:r>
            <w:r w:rsidR="00215B90">
              <w:rPr>
                <w:rFonts w:asciiTheme="majorHAnsi" w:eastAsia="Times New Roman" w:hAnsiTheme="majorHAnsi" w:cstheme="majorHAnsi"/>
                <w:color w:val="000000"/>
                <w:sz w:val="16"/>
                <w:szCs w:val="16"/>
                <w:lang w:val="en-US" w:eastAsia="de-DE"/>
              </w:rPr>
              <w:t>[42]</w:t>
            </w:r>
            <w:hyperlink w:anchor="_CTVL0014a4896cbb6f64a7fb41a20e8cfecdcc9" w:tooltip="Xia, H., Yang, Q., Wang, Q., Jia, J., Liu, X., and Meng, S. 2023. Economic evaluation of stent retrievers in basilar artery occlusion: An analysis fro…" w:history="1"/>
          </w:p>
        </w:tc>
        <w:tc>
          <w:tcPr>
            <w:tcW w:w="903" w:type="dxa"/>
          </w:tcPr>
          <w:p w14:paraId="09CA890E" w14:textId="4ED52D7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SR + BMM (incl. IVT if eligible) vs. BMM (incl. IVT if eligible)</w:t>
            </w:r>
            <w:r w:rsidR="003F795F" w:rsidRPr="007E56D0">
              <w:rPr>
                <w:rFonts w:asciiTheme="majorHAnsi" w:eastAsia="Times New Roman" w:hAnsiTheme="majorHAnsi" w:cstheme="majorHAnsi"/>
                <w:color w:val="000000"/>
                <w:sz w:val="16"/>
                <w:szCs w:val="16"/>
                <w:lang w:val="en-US" w:eastAsia="de-DE"/>
              </w:rPr>
              <w:t xml:space="preserve"> alone</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w:t>
            </w:r>
          </w:p>
        </w:tc>
        <w:tc>
          <w:tcPr>
            <w:tcW w:w="989" w:type="dxa"/>
            <w:shd w:val="clear" w:color="auto" w:fill="auto"/>
            <w:hideMark/>
          </w:tcPr>
          <w:p w14:paraId="1D755817" w14:textId="17EE3404"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hideMark/>
          </w:tcPr>
          <w:p w14:paraId="369134F9" w14:textId="77777777" w:rsidR="009343C6" w:rsidRPr="007E56D0" w:rsidRDefault="00795DAB"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64 years</w:t>
            </w:r>
            <w:r w:rsidRPr="007E56D0">
              <w:rPr>
                <w:rFonts w:asciiTheme="majorHAnsi" w:hAnsiTheme="majorHAnsi" w:cstheme="majorHAnsi"/>
                <w:color w:val="000000"/>
                <w:sz w:val="16"/>
                <w:szCs w:val="16"/>
                <w:lang w:val="en-US"/>
              </w:rPr>
              <w:br/>
              <w:t xml:space="preserve">G (female): </w:t>
            </w:r>
            <w:r w:rsidR="009343C6" w:rsidRPr="007E56D0">
              <w:rPr>
                <w:rFonts w:asciiTheme="majorHAnsi" w:hAnsiTheme="majorHAnsi" w:cstheme="majorHAnsi"/>
                <w:color w:val="000000"/>
                <w:sz w:val="16"/>
                <w:szCs w:val="16"/>
                <w:lang w:val="en-US"/>
              </w:rPr>
              <w:t>26%</w:t>
            </w:r>
          </w:p>
          <w:p w14:paraId="22BAF713" w14:textId="1426FBA9" w:rsidR="00795DAB" w:rsidRPr="007E56D0" w:rsidRDefault="00795DAB"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 xml:space="preserve">DS: </w:t>
            </w:r>
            <w:r w:rsidR="006319F0" w:rsidRPr="007E56D0">
              <w:rPr>
                <w:rFonts w:asciiTheme="majorHAnsi" w:hAnsiTheme="majorHAnsi" w:cstheme="majorHAnsi"/>
                <w:color w:val="000000"/>
                <w:sz w:val="16"/>
                <w:szCs w:val="16"/>
                <w:lang w:val="en-US"/>
              </w:rPr>
              <w:t>Basilar artery occlusion stroke</w:t>
            </w:r>
          </w:p>
          <w:p w14:paraId="40492A0F" w14:textId="79A554C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br/>
            </w:r>
          </w:p>
        </w:tc>
        <w:tc>
          <w:tcPr>
            <w:tcW w:w="1025" w:type="dxa"/>
            <w:shd w:val="clear" w:color="auto" w:fill="auto"/>
            <w:hideMark/>
          </w:tcPr>
          <w:p w14:paraId="51DF6780" w14:textId="4AE2367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3 months</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 (up to 20 years)</w:t>
            </w:r>
            <w:r w:rsidRPr="007E56D0">
              <w:rPr>
                <w:rFonts w:asciiTheme="majorHAnsi" w:eastAsia="Times New Roman" w:hAnsiTheme="majorHAnsi" w:cstheme="majorHAnsi"/>
                <w:color w:val="000000"/>
                <w:sz w:val="16"/>
                <w:szCs w:val="16"/>
                <w:lang w:val="en-US" w:eastAsia="de-DE"/>
              </w:rPr>
              <w:br/>
              <w:t>D: 5% for costs and utilities</w:t>
            </w:r>
          </w:p>
        </w:tc>
        <w:tc>
          <w:tcPr>
            <w:tcW w:w="2068" w:type="dxa"/>
          </w:tcPr>
          <w:p w14:paraId="791072DB" w14:textId="78F3D80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color w:val="000000"/>
                <w:sz w:val="16"/>
                <w:szCs w:val="16"/>
                <w:lang w:val="en-US" w:eastAsia="de-DE"/>
              </w:rPr>
              <w:t>3 health states: nondisabling (mRS 0-2), disabling (mRS 3-5), death (mRS 6) at 90 days after stroke. After 90 days,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5DD48606" w14:textId="06607F2D" w:rsidR="00AF6CF1"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intermediate recovery phase up to 1 year assumed, where mRS improvement possible</w:t>
            </w:r>
            <w:r w:rsidRPr="007E56D0">
              <w:rPr>
                <w:rFonts w:asciiTheme="majorHAnsi" w:eastAsia="Times New Roman" w:hAnsiTheme="majorHAnsi" w:cstheme="majorHAnsi"/>
                <w:color w:val="000000"/>
                <w:sz w:val="16"/>
                <w:szCs w:val="16"/>
                <w:lang w:val="en-US" w:eastAsia="de-DE"/>
              </w:rPr>
              <w:b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3E70E519" w14:textId="5CEF98C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 xml:space="preserve">U: One-way DSA, </w:t>
            </w:r>
            <w:r w:rsidR="00DE7037" w:rsidRPr="007E56D0">
              <w:rPr>
                <w:rFonts w:asciiTheme="majorHAnsi" w:eastAsia="Times New Roman" w:hAnsiTheme="majorHAnsi" w:cstheme="majorHAnsi"/>
                <w:color w:val="000000"/>
                <w:sz w:val="16"/>
                <w:szCs w:val="16"/>
                <w:lang w:val="en-US" w:eastAsia="de-DE"/>
              </w:rPr>
              <w:t xml:space="preserve">scenario analyses, </w:t>
            </w:r>
            <w:r w:rsidRPr="007E56D0">
              <w:rPr>
                <w:rFonts w:asciiTheme="majorHAnsi" w:eastAsia="Times New Roman" w:hAnsiTheme="majorHAnsi" w:cstheme="majorHAnsi"/>
                <w:color w:val="000000"/>
                <w:sz w:val="16"/>
                <w:szCs w:val="16"/>
                <w:lang w:val="en-US" w:eastAsia="de-DE"/>
              </w:rPr>
              <w:t>PSA</w:t>
            </w:r>
          </w:p>
        </w:tc>
        <w:tc>
          <w:tcPr>
            <w:tcW w:w="1441" w:type="dxa"/>
            <w:shd w:val="clear" w:color="auto" w:fill="auto"/>
            <w:hideMark/>
          </w:tcPr>
          <w:p w14:paraId="2EBA5C9D" w14:textId="62018A96"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incl. recurrences), utilities, costs, time horizon, discount rate</w:t>
            </w:r>
          </w:p>
          <w:p w14:paraId="2308E290" w14:textId="702E8889"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26E86816" w14:textId="02E04EE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(not clear which TPs), utilities, costs: distributions not reported</w:t>
            </w:r>
          </w:p>
        </w:tc>
        <w:tc>
          <w:tcPr>
            <w:tcW w:w="815" w:type="dxa"/>
            <w:shd w:val="clear" w:color="000000" w:fill="FFFFFF"/>
            <w:hideMark/>
          </w:tcPr>
          <w:p w14:paraId="3CEDC931"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1E2D03" w14:paraId="128EC6C6" w14:textId="77777777" w:rsidTr="004515C5">
        <w:trPr>
          <w:tblCellSpacing w:w="85" w:type="dxa"/>
        </w:trPr>
        <w:tc>
          <w:tcPr>
            <w:tcW w:w="1057" w:type="dxa"/>
            <w:shd w:val="clear" w:color="auto" w:fill="auto"/>
            <w:hideMark/>
          </w:tcPr>
          <w:p w14:paraId="4BA54594" w14:textId="74EE14D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Gao et al. (2024), USA/Australia/Spain, manufacturer funding </w:t>
            </w:r>
            <w:r w:rsidR="00215B90">
              <w:rPr>
                <w:rFonts w:asciiTheme="majorHAnsi" w:eastAsia="Times New Roman" w:hAnsiTheme="majorHAnsi" w:cstheme="majorHAnsi"/>
                <w:color w:val="000000"/>
                <w:sz w:val="16"/>
                <w:szCs w:val="16"/>
                <w:lang w:val="en-US" w:eastAsia="de-DE"/>
              </w:rPr>
              <w:t>[43]</w:t>
            </w:r>
            <w:hyperlink w:anchor="_CTVL001f15a81e3cf4549e89b52c56e9a7b5831" w:tooltip="Gao, L., Churilov, L., Johns, H., Pujara, D., Hassan, A. E., Abraham, M., Ortega-Gutierrez, S., Hussain, M. S., Chen, M., Blackburn, S., Sitton, C. W.…" w:history="1"/>
          </w:p>
        </w:tc>
        <w:tc>
          <w:tcPr>
            <w:tcW w:w="903" w:type="dxa"/>
          </w:tcPr>
          <w:p w14:paraId="12CF3223" w14:textId="633E35C6"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vs. SMT</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w:t>
            </w:r>
          </w:p>
        </w:tc>
        <w:tc>
          <w:tcPr>
            <w:tcW w:w="989" w:type="dxa"/>
            <w:shd w:val="clear" w:color="auto" w:fill="auto"/>
            <w:hideMark/>
          </w:tcPr>
          <w:p w14:paraId="0D28C928" w14:textId="41926CE3"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 societal perspective</w:t>
            </w:r>
          </w:p>
        </w:tc>
        <w:tc>
          <w:tcPr>
            <w:tcW w:w="808" w:type="dxa"/>
            <w:shd w:val="clear" w:color="auto" w:fill="auto"/>
            <w:hideMark/>
          </w:tcPr>
          <w:p w14:paraId="21524685" w14:textId="43FC9C01" w:rsidR="00795DAB" w:rsidRPr="0072305D" w:rsidRDefault="00795DAB"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66 years</w:t>
            </w:r>
            <w:r w:rsidRPr="007E56D0">
              <w:rPr>
                <w:rFonts w:asciiTheme="majorHAnsi" w:hAnsiTheme="majorHAnsi" w:cstheme="majorHAnsi"/>
                <w:color w:val="000000"/>
                <w:sz w:val="16"/>
                <w:szCs w:val="16"/>
                <w:lang w:val="en-US"/>
              </w:rPr>
              <w:br/>
              <w:t>G: 41.2% female</w:t>
            </w:r>
            <w:r w:rsidRPr="007E56D0">
              <w:rPr>
                <w:rFonts w:asciiTheme="majorHAnsi" w:hAnsiTheme="majorHAnsi" w:cstheme="majorHAnsi"/>
                <w:color w:val="000000"/>
                <w:sz w:val="16"/>
                <w:szCs w:val="16"/>
                <w:lang w:val="en-US"/>
              </w:rPr>
              <w:br/>
              <w:t xml:space="preserve">DS: Median NIHSS = 19, median ASPECTS = 5, ischemic </w:t>
            </w:r>
            <w:r w:rsidRPr="007E56D0">
              <w:rPr>
                <w:rFonts w:asciiTheme="majorHAnsi" w:hAnsiTheme="majorHAnsi" w:cstheme="majorHAnsi"/>
                <w:color w:val="000000"/>
                <w:sz w:val="16"/>
                <w:szCs w:val="16"/>
                <w:lang w:val="en-US"/>
              </w:rPr>
              <w:lastRenderedPageBreak/>
              <w:t>core volume = 74ml for EVT and 77ml for MT</w:t>
            </w:r>
          </w:p>
        </w:tc>
        <w:tc>
          <w:tcPr>
            <w:tcW w:w="1025" w:type="dxa"/>
            <w:shd w:val="clear" w:color="auto" w:fill="auto"/>
            <w:hideMark/>
          </w:tcPr>
          <w:p w14:paraId="6C681B7B" w14:textId="7C2A5C7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20 years (or until average life expectancy reached, so 76, 85, 83 years for Americans, Australians and Spaniards, respectively)</w:t>
            </w:r>
            <w:r w:rsidRPr="007E56D0">
              <w:rPr>
                <w:rFonts w:asciiTheme="majorHAnsi" w:eastAsia="Times New Roman" w:hAnsiTheme="majorHAnsi" w:cstheme="majorHAnsi"/>
                <w:color w:val="000000"/>
                <w:sz w:val="16"/>
                <w:szCs w:val="16"/>
                <w:lang w:val="en-US" w:eastAsia="de-DE"/>
              </w:rPr>
              <w:br/>
            </w:r>
            <w:r w:rsidRPr="007E56D0">
              <w:rPr>
                <w:rFonts w:asciiTheme="majorHAnsi" w:eastAsia="Times New Roman" w:hAnsiTheme="majorHAnsi" w:cstheme="majorHAnsi"/>
                <w:color w:val="000000"/>
                <w:sz w:val="16"/>
                <w:szCs w:val="16"/>
                <w:lang w:val="en-US" w:eastAsia="de-DE"/>
              </w:rPr>
              <w:lastRenderedPageBreak/>
              <w:t>D: 3% for costs and utilities</w:t>
            </w:r>
          </w:p>
        </w:tc>
        <w:tc>
          <w:tcPr>
            <w:tcW w:w="2068" w:type="dxa"/>
          </w:tcPr>
          <w:p w14:paraId="07899DEF" w14:textId="3DB43653"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lastRenderedPageBreak/>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088DCE04" w14:textId="6799FA2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4B63C203" w14:textId="2301DCC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w:t>
            </w:r>
            <w:r w:rsidR="00DE7037" w:rsidRPr="007E56D0">
              <w:rPr>
                <w:rFonts w:asciiTheme="majorHAnsi" w:eastAsia="Times New Roman" w:hAnsiTheme="majorHAnsi" w:cstheme="majorHAnsi"/>
                <w:color w:val="000000"/>
                <w:sz w:val="16"/>
                <w:szCs w:val="16"/>
                <w:lang w:val="en-US" w:eastAsia="de-DE"/>
              </w:rPr>
              <w:t xml:space="preserve">, </w:t>
            </w:r>
            <w:r w:rsidRPr="007E56D0">
              <w:rPr>
                <w:rFonts w:asciiTheme="majorHAnsi" w:eastAsia="Times New Roman" w:hAnsiTheme="majorHAnsi" w:cstheme="majorHAnsi"/>
                <w:color w:val="000000"/>
                <w:sz w:val="16"/>
                <w:szCs w:val="16"/>
                <w:lang w:val="en-US" w:eastAsia="de-DE"/>
              </w:rPr>
              <w:t>scenario-</w:t>
            </w:r>
            <w:r w:rsidR="005C57C4" w:rsidRPr="007E56D0">
              <w:rPr>
                <w:rFonts w:asciiTheme="majorHAnsi" w:eastAsia="Times New Roman" w:hAnsiTheme="majorHAnsi" w:cstheme="majorHAnsi"/>
                <w:color w:val="000000"/>
                <w:sz w:val="16"/>
                <w:szCs w:val="16"/>
                <w:lang w:val="en-US" w:eastAsia="de-DE"/>
              </w:rPr>
              <w:t xml:space="preserve"> </w:t>
            </w:r>
            <w:r w:rsidRPr="007E56D0">
              <w:rPr>
                <w:rFonts w:asciiTheme="majorHAnsi" w:eastAsia="Times New Roman" w:hAnsiTheme="majorHAnsi" w:cstheme="majorHAnsi"/>
                <w:color w:val="000000"/>
                <w:sz w:val="16"/>
                <w:szCs w:val="16"/>
                <w:lang w:val="en-US" w:eastAsia="de-DE"/>
              </w:rPr>
              <w:t>and subgroup analyses</w:t>
            </w:r>
            <w:r w:rsidR="00DE7037" w:rsidRPr="007E56D0">
              <w:rPr>
                <w:rFonts w:asciiTheme="majorHAnsi" w:eastAsia="Times New Roman" w:hAnsiTheme="majorHAnsi" w:cstheme="majorHAnsi"/>
                <w:color w:val="000000"/>
                <w:sz w:val="16"/>
                <w:szCs w:val="16"/>
                <w:lang w:val="en-US" w:eastAsia="de-DE"/>
              </w:rPr>
              <w:t>, PSA</w:t>
            </w:r>
          </w:p>
        </w:tc>
        <w:tc>
          <w:tcPr>
            <w:tcW w:w="1441" w:type="dxa"/>
            <w:shd w:val="clear" w:color="auto" w:fill="auto"/>
            <w:hideMark/>
          </w:tcPr>
          <w:p w14:paraId="63836B71" w14:textId="4438ED20"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incl. recurrences), utilities, costs, discount rate</w:t>
            </w:r>
          </w:p>
          <w:p w14:paraId="7F7577A3" w14:textId="56EDBA1E"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±30% for some costs</w:t>
            </w:r>
          </w:p>
        </w:tc>
        <w:tc>
          <w:tcPr>
            <w:tcW w:w="964" w:type="dxa"/>
            <w:shd w:val="clear" w:color="auto" w:fill="auto"/>
            <w:hideMark/>
          </w:tcPr>
          <w:p w14:paraId="587B9A1B" w14:textId="5A1D82D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Dirichlet, recurrence: gamma/beta, mortality: gamma), costs: gamma</w:t>
            </w:r>
          </w:p>
        </w:tc>
        <w:tc>
          <w:tcPr>
            <w:tcW w:w="815" w:type="dxa"/>
            <w:shd w:val="clear" w:color="000000" w:fill="FFFFFF"/>
            <w:hideMark/>
          </w:tcPr>
          <w:p w14:paraId="18D3DB3F"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internal, external and cross validation</w:t>
            </w:r>
          </w:p>
        </w:tc>
      </w:tr>
      <w:tr w:rsidR="00795DAB" w:rsidRPr="001E2D03" w14:paraId="34E12B82" w14:textId="77777777" w:rsidTr="004515C5">
        <w:trPr>
          <w:tblCellSpacing w:w="85" w:type="dxa"/>
        </w:trPr>
        <w:tc>
          <w:tcPr>
            <w:tcW w:w="1057" w:type="dxa"/>
            <w:shd w:val="clear" w:color="auto" w:fill="auto"/>
            <w:hideMark/>
          </w:tcPr>
          <w:p w14:paraId="0A6C46F7" w14:textId="4BEA0FE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Gottschalk et al. (2024), Germany, public funding </w:t>
            </w:r>
            <w:r w:rsidR="00215B90">
              <w:rPr>
                <w:rFonts w:asciiTheme="majorHAnsi" w:eastAsia="Times New Roman" w:hAnsiTheme="majorHAnsi" w:cstheme="majorHAnsi"/>
                <w:color w:val="000000"/>
                <w:sz w:val="16"/>
                <w:szCs w:val="16"/>
                <w:lang w:val="en-US" w:eastAsia="de-DE"/>
              </w:rPr>
              <w:t>[44]</w:t>
            </w:r>
            <w:hyperlink w:anchor="_CTVL0015c2b0a47ca724ce18585d49371d52da1" w:tooltip="Gottschalk, S., König, H. H., Subtil, F., Bonekamp, S., Denis, A., Aamodt, A. H., Fuentes, B., Gizewski, E. R., Hill, M. D., Krajina, A., Pierot, L., …" w:history="1"/>
          </w:p>
        </w:tc>
        <w:tc>
          <w:tcPr>
            <w:tcW w:w="903" w:type="dxa"/>
          </w:tcPr>
          <w:p w14:paraId="292826EB" w14:textId="64A1DD5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 BMC vs. BMC alone</w:t>
            </w:r>
            <w:r w:rsidRPr="007E56D0">
              <w:rPr>
                <w:rFonts w:asciiTheme="majorHAnsi" w:eastAsia="Times New Roman" w:hAnsiTheme="majorHAnsi" w:cstheme="majorHAnsi"/>
                <w:color w:val="000000"/>
                <w:sz w:val="16"/>
                <w:szCs w:val="16"/>
                <w:lang w:val="en-US" w:eastAsia="de-DE"/>
              </w:rPr>
              <w:br/>
              <w:t>O: ICUR (€/QALY)</w:t>
            </w:r>
          </w:p>
        </w:tc>
        <w:tc>
          <w:tcPr>
            <w:tcW w:w="989" w:type="dxa"/>
            <w:shd w:val="clear" w:color="auto" w:fill="auto"/>
            <w:hideMark/>
          </w:tcPr>
          <w:p w14:paraId="36F388EF" w14:textId="2A5175F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hideMark/>
          </w:tcPr>
          <w:p w14:paraId="37D90D45" w14:textId="6478566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72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DS: ASPECTS 3-5</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p>
        </w:tc>
        <w:tc>
          <w:tcPr>
            <w:tcW w:w="1025" w:type="dxa"/>
            <w:shd w:val="clear" w:color="auto" w:fill="auto"/>
            <w:hideMark/>
          </w:tcPr>
          <w:p w14:paraId="1CDEDEBE" w14:textId="6327E65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55AD3B7F" w14:textId="4CF9B186" w:rsidR="00795DAB" w:rsidRPr="0072305D" w:rsidRDefault="00795DAB" w:rsidP="009879CF">
            <w:pPr>
              <w:spacing w:after="0" w:line="240" w:lineRule="auto"/>
              <w:rPr>
                <w:rFonts w:asciiTheme="majorHAnsi" w:eastAsia="Times New Roman" w:hAnsiTheme="majorHAnsi" w:cstheme="majorHAnsi"/>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6 health states (mRS 0/1, 2-5 and death) at 90 days after stroke.</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01BA01A6" w14:textId="191D845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77D04332" w14:textId="778CFA9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w:t>
            </w:r>
            <w:r w:rsidR="005C57C4" w:rsidRPr="007E56D0">
              <w:rPr>
                <w:rFonts w:asciiTheme="majorHAnsi" w:eastAsia="Times New Roman" w:hAnsiTheme="majorHAnsi" w:cstheme="majorHAnsi"/>
                <w:color w:val="000000"/>
                <w:sz w:val="16"/>
                <w:szCs w:val="16"/>
                <w:lang w:val="en-US" w:eastAsia="de-DE"/>
              </w:rPr>
              <w:t xml:space="preserve"> </w:t>
            </w:r>
            <w:r w:rsidRPr="007E56D0">
              <w:rPr>
                <w:rFonts w:asciiTheme="majorHAnsi" w:eastAsia="Times New Roman" w:hAnsiTheme="majorHAnsi" w:cstheme="majorHAnsi"/>
                <w:color w:val="000000"/>
                <w:sz w:val="16"/>
                <w:szCs w:val="16"/>
                <w:lang w:val="en-US" w:eastAsia="de-DE"/>
              </w:rPr>
              <w:t>subgroup analyses</w:t>
            </w:r>
            <w:r w:rsidR="005C57C4" w:rsidRPr="007E56D0">
              <w:rPr>
                <w:rFonts w:asciiTheme="majorHAnsi" w:eastAsia="Times New Roman" w:hAnsiTheme="majorHAnsi" w:cstheme="majorHAnsi"/>
                <w:color w:val="000000"/>
                <w:sz w:val="16"/>
                <w:szCs w:val="16"/>
                <w:lang w:val="en-US" w:eastAsia="de-DE"/>
              </w:rPr>
              <w:t>, PSA</w:t>
            </w:r>
            <w:r w:rsidRPr="007E56D0">
              <w:rPr>
                <w:rFonts w:asciiTheme="majorHAnsi" w:eastAsia="Times New Roman" w:hAnsiTheme="majorHAnsi" w:cstheme="majorHAnsi"/>
                <w:color w:val="000000"/>
                <w:sz w:val="16"/>
                <w:szCs w:val="16"/>
                <w:lang w:val="en-US" w:eastAsia="de-DE"/>
              </w:rPr>
              <w:t xml:space="preserve"> </w:t>
            </w:r>
          </w:p>
        </w:tc>
        <w:tc>
          <w:tcPr>
            <w:tcW w:w="1441" w:type="dxa"/>
            <w:shd w:val="clear" w:color="auto" w:fill="auto"/>
            <w:hideMark/>
          </w:tcPr>
          <w:p w14:paraId="5699627C" w14:textId="7909F466"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without recurrences), utilities, costs, starting age, discount rate</w:t>
            </w:r>
          </w:p>
          <w:p w14:paraId="4C5EF2EE" w14:textId="0DF1F5A7"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±50% for some costs</w:t>
            </w:r>
          </w:p>
        </w:tc>
        <w:tc>
          <w:tcPr>
            <w:tcW w:w="964" w:type="dxa"/>
            <w:shd w:val="clear" w:color="auto" w:fill="auto"/>
            <w:hideMark/>
          </w:tcPr>
          <w:p w14:paraId="719A5FD6" w14:textId="41F2811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beta, mortality: lognormal), utilities: beta, 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4A5B8A9B"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internal and cross validation</w:t>
            </w:r>
          </w:p>
        </w:tc>
      </w:tr>
      <w:tr w:rsidR="00795DAB" w:rsidRPr="004515C5" w14:paraId="1B0FFFE3" w14:textId="77777777" w:rsidTr="004515C5">
        <w:trPr>
          <w:tblCellSpacing w:w="85" w:type="dxa"/>
        </w:trPr>
        <w:tc>
          <w:tcPr>
            <w:tcW w:w="1057" w:type="dxa"/>
            <w:shd w:val="clear" w:color="auto" w:fill="auto"/>
            <w:noWrap/>
            <w:hideMark/>
          </w:tcPr>
          <w:p w14:paraId="3D4EF3D7" w14:textId="5D4B914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Mehrens et al. (2024), USA, none declared </w:t>
            </w:r>
            <w:r w:rsidR="00215B90">
              <w:rPr>
                <w:rFonts w:asciiTheme="majorHAnsi" w:eastAsia="Times New Roman" w:hAnsiTheme="majorHAnsi" w:cstheme="majorHAnsi"/>
                <w:color w:val="000000"/>
                <w:sz w:val="16"/>
                <w:szCs w:val="16"/>
                <w:lang w:val="en-US" w:eastAsia="de-DE"/>
              </w:rPr>
              <w:t>[45]</w:t>
            </w:r>
            <w:hyperlink w:anchor="_CTVL001dd0e93a205f0408e9a2a5550b03ef243" w:tooltip="Mehrens, D., Fabritius, M. P., Reidler, P., Liebig, T., Afat, S., Ospel, J. M., Fröhlich, M. F., Schwarting, J., Ricke, J., Dimitriadis, K., Goyal, M.…" w:history="1"/>
          </w:p>
        </w:tc>
        <w:tc>
          <w:tcPr>
            <w:tcW w:w="903" w:type="dxa"/>
          </w:tcPr>
          <w:p w14:paraId="68B6D98D" w14:textId="30B47E5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 BMM incl. IVT vs. BMM incl. IVT</w:t>
            </w:r>
            <w:r w:rsidR="00EF680D" w:rsidRPr="007E56D0">
              <w:rPr>
                <w:rFonts w:asciiTheme="majorHAnsi" w:eastAsia="Times New Roman" w:hAnsiTheme="majorHAnsi" w:cstheme="majorHAnsi"/>
                <w:color w:val="000000"/>
                <w:sz w:val="16"/>
                <w:szCs w:val="16"/>
                <w:lang w:val="en-US" w:eastAsia="de-DE"/>
              </w:rPr>
              <w:t xml:space="preserve"> alone</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 + NMB</w:t>
            </w:r>
          </w:p>
        </w:tc>
        <w:tc>
          <w:tcPr>
            <w:tcW w:w="989" w:type="dxa"/>
            <w:shd w:val="clear" w:color="auto" w:fill="auto"/>
            <w:hideMark/>
          </w:tcPr>
          <w:p w14:paraId="65DE7D8C" w14:textId="09651D7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 societal perspective</w:t>
            </w:r>
          </w:p>
        </w:tc>
        <w:tc>
          <w:tcPr>
            <w:tcW w:w="808" w:type="dxa"/>
            <w:shd w:val="clear" w:color="auto" w:fill="auto"/>
            <w:hideMark/>
          </w:tcPr>
          <w:p w14:paraId="4E7E03BC" w14:textId="4F8C47F3" w:rsidR="00795DAB" w:rsidRPr="007E56D0" w:rsidRDefault="00795DAB"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ATTENTION</w:t>
            </w:r>
            <w:r w:rsidR="00A56F19" w:rsidRPr="007E56D0">
              <w:rPr>
                <w:rFonts w:asciiTheme="majorHAnsi" w:hAnsiTheme="majorHAnsi" w:cstheme="majorHAnsi"/>
                <w:color w:val="000000"/>
                <w:sz w:val="16"/>
                <w:szCs w:val="16"/>
                <w:lang w:val="en-US"/>
              </w:rPr>
              <w:t xml:space="preserve"> trial</w:t>
            </w:r>
            <w:r w:rsidRPr="007E56D0">
              <w:rPr>
                <w:rFonts w:asciiTheme="majorHAnsi" w:hAnsiTheme="majorHAnsi" w:cstheme="majorHAnsi"/>
                <w:color w:val="000000"/>
                <w:sz w:val="16"/>
                <w:szCs w:val="16"/>
                <w:lang w:val="en-US"/>
              </w:rPr>
              <w:t>: EVT 66; BMM alone 67; BAOCHE</w:t>
            </w:r>
            <w:r w:rsidR="00A56F19" w:rsidRPr="007E56D0">
              <w:rPr>
                <w:rFonts w:asciiTheme="majorHAnsi" w:hAnsiTheme="majorHAnsi" w:cstheme="majorHAnsi"/>
                <w:color w:val="000000"/>
                <w:sz w:val="16"/>
                <w:szCs w:val="16"/>
                <w:lang w:val="en-US"/>
              </w:rPr>
              <w:t xml:space="preserve"> trial</w:t>
            </w:r>
            <w:r w:rsidRPr="007E56D0">
              <w:rPr>
                <w:rFonts w:asciiTheme="majorHAnsi" w:hAnsiTheme="majorHAnsi" w:cstheme="majorHAnsi"/>
                <w:color w:val="000000"/>
                <w:sz w:val="16"/>
                <w:szCs w:val="16"/>
                <w:lang w:val="en-US"/>
              </w:rPr>
              <w:t>: EVT 64.2; BMM alone</w:t>
            </w:r>
            <w:r w:rsidRPr="007E56D0">
              <w:rPr>
                <w:rFonts w:asciiTheme="majorHAnsi" w:hAnsiTheme="majorHAnsi" w:cstheme="majorHAnsi"/>
                <w:color w:val="000000"/>
                <w:sz w:val="16"/>
                <w:szCs w:val="16"/>
                <w:lang w:val="en-US"/>
              </w:rPr>
              <w:br/>
              <w:t>63.7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DS:  ATTENTION</w:t>
            </w:r>
            <w:r w:rsidR="00A56F19" w:rsidRPr="007E56D0">
              <w:rPr>
                <w:rFonts w:asciiTheme="majorHAnsi" w:hAnsiTheme="majorHAnsi" w:cstheme="majorHAnsi"/>
                <w:color w:val="000000"/>
                <w:sz w:val="16"/>
                <w:szCs w:val="16"/>
                <w:lang w:val="en-US"/>
              </w:rPr>
              <w:t xml:space="preserve"> trial</w:t>
            </w:r>
            <w:r w:rsidRPr="007E56D0">
              <w:rPr>
                <w:rFonts w:asciiTheme="majorHAnsi" w:hAnsiTheme="majorHAnsi" w:cstheme="majorHAnsi"/>
                <w:color w:val="000000"/>
                <w:sz w:val="16"/>
                <w:szCs w:val="16"/>
                <w:lang w:val="en-US"/>
              </w:rPr>
              <w:t>: NIHSS</w:t>
            </w:r>
            <w:r w:rsidR="002314F2" w:rsidRPr="007E56D0">
              <w:rPr>
                <w:rFonts w:asciiTheme="majorHAnsi" w:hAnsiTheme="majorHAnsi" w:cstheme="majorHAnsi"/>
                <w:color w:val="000000"/>
                <w:sz w:val="16"/>
                <w:szCs w:val="16"/>
                <w:lang w:val="en-US"/>
              </w:rPr>
              <w:t xml:space="preserve"> = </w:t>
            </w:r>
            <w:r w:rsidR="00E244EE" w:rsidRPr="007E56D0">
              <w:rPr>
                <w:rFonts w:asciiTheme="majorHAnsi" w:hAnsiTheme="majorHAnsi" w:cstheme="majorHAnsi"/>
                <w:color w:val="000000"/>
                <w:sz w:val="16"/>
                <w:szCs w:val="16"/>
                <w:lang w:val="en-US"/>
              </w:rPr>
              <w:t xml:space="preserve">10, </w:t>
            </w:r>
            <w:r w:rsidRPr="007E56D0">
              <w:rPr>
                <w:rFonts w:asciiTheme="majorHAnsi" w:hAnsiTheme="majorHAnsi" w:cstheme="majorHAnsi"/>
                <w:color w:val="000000"/>
                <w:sz w:val="16"/>
                <w:szCs w:val="16"/>
                <w:lang w:val="en-US"/>
              </w:rPr>
              <w:t>BAOCHE</w:t>
            </w:r>
            <w:r w:rsidR="00A56F19" w:rsidRPr="007E56D0">
              <w:rPr>
                <w:rFonts w:asciiTheme="majorHAnsi" w:hAnsiTheme="majorHAnsi" w:cstheme="majorHAnsi"/>
                <w:color w:val="000000"/>
                <w:sz w:val="16"/>
                <w:szCs w:val="16"/>
                <w:lang w:val="en-US"/>
              </w:rPr>
              <w:t xml:space="preserve"> trial</w:t>
            </w:r>
            <w:r w:rsidRPr="007E56D0">
              <w:rPr>
                <w:rFonts w:asciiTheme="majorHAnsi" w:hAnsiTheme="majorHAnsi" w:cstheme="majorHAnsi"/>
                <w:color w:val="000000"/>
                <w:sz w:val="16"/>
                <w:szCs w:val="16"/>
                <w:lang w:val="en-US"/>
              </w:rPr>
              <w:t>: NIHSS</w:t>
            </w:r>
            <w:r w:rsidR="002314F2" w:rsidRPr="007E56D0">
              <w:rPr>
                <w:rFonts w:asciiTheme="majorHAnsi" w:hAnsiTheme="majorHAnsi" w:cstheme="majorHAnsi"/>
                <w:color w:val="000000"/>
                <w:sz w:val="16"/>
                <w:szCs w:val="16"/>
                <w:lang w:val="en-US"/>
              </w:rPr>
              <w:t xml:space="preserve"> </w:t>
            </w:r>
            <w:r w:rsidRPr="007E56D0">
              <w:rPr>
                <w:rFonts w:asciiTheme="majorHAnsi" w:hAnsiTheme="majorHAnsi" w:cstheme="majorHAnsi"/>
                <w:color w:val="000000"/>
                <w:sz w:val="16"/>
                <w:szCs w:val="16"/>
                <w:lang w:val="en-US"/>
              </w:rPr>
              <w:t>≥ 6</w:t>
            </w:r>
            <w:r w:rsidRPr="007E56D0" w:rsidDel="009A3FCB">
              <w:rPr>
                <w:rFonts w:asciiTheme="majorHAnsi" w:hAnsiTheme="majorHAnsi" w:cstheme="majorHAnsi"/>
                <w:color w:val="000000"/>
                <w:sz w:val="16"/>
                <w:szCs w:val="16"/>
                <w:lang w:val="en-US"/>
              </w:rPr>
              <w:t xml:space="preserve"> </w:t>
            </w:r>
          </w:p>
          <w:p w14:paraId="00B9E179"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p>
        </w:tc>
        <w:tc>
          <w:tcPr>
            <w:tcW w:w="1025" w:type="dxa"/>
            <w:shd w:val="clear" w:color="auto" w:fill="auto"/>
            <w:hideMark/>
          </w:tcPr>
          <w:p w14:paraId="760B9C05" w14:textId="0CE1290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 (max. 120 years)</w:t>
            </w:r>
            <w:r w:rsidRPr="007E56D0">
              <w:rPr>
                <w:rFonts w:asciiTheme="majorHAnsi" w:eastAsia="Times New Roman" w:hAnsiTheme="majorHAnsi" w:cstheme="majorHAnsi"/>
                <w:color w:val="000000"/>
                <w:sz w:val="16"/>
                <w:szCs w:val="16"/>
                <w:lang w:val="en-US" w:eastAsia="de-DE"/>
              </w:rPr>
              <w:br/>
              <w:t>D: 5% for costs and utilities</w:t>
            </w:r>
          </w:p>
        </w:tc>
        <w:tc>
          <w:tcPr>
            <w:tcW w:w="2068" w:type="dxa"/>
          </w:tcPr>
          <w:p w14:paraId="63AA8B5B" w14:textId="7E2CFA94"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75D2F834" w14:textId="1C6B4BA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3C2D95CE" w14:textId="3E1118F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 PSA</w:t>
            </w:r>
          </w:p>
        </w:tc>
        <w:tc>
          <w:tcPr>
            <w:tcW w:w="1441" w:type="dxa"/>
            <w:shd w:val="clear" w:color="auto" w:fill="auto"/>
            <w:hideMark/>
          </w:tcPr>
          <w:p w14:paraId="3BD8E6B7"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p>
          <w:p w14:paraId="0B17BD05" w14:textId="1669C03E"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costs, starting age, discount rate</w:t>
            </w:r>
          </w:p>
          <w:p w14:paraId="28BB27AF" w14:textId="7200C351"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AC2046" w:rsidRPr="007E56D0">
              <w:rPr>
                <w:rFonts w:asciiTheme="majorHAnsi" w:eastAsia="Times New Roman" w:hAnsiTheme="majorHAnsi" w:cstheme="majorHAnsi"/>
                <w:color w:val="000000"/>
                <w:sz w:val="16"/>
                <w:szCs w:val="16"/>
                <w:lang w:val="en-US" w:eastAsia="de-DE"/>
              </w:rPr>
              <w:t xml:space="preserve"> </w:t>
            </w:r>
            <w:r w:rsidR="00795DAB" w:rsidRPr="007E56D0">
              <w:rPr>
                <w:rFonts w:asciiTheme="majorHAnsi" w:eastAsia="Times New Roman" w:hAnsiTheme="majorHAnsi" w:cstheme="majorHAnsi"/>
                <w:color w:val="000000"/>
                <w:sz w:val="16"/>
                <w:szCs w:val="16"/>
                <w:lang w:val="en-US" w:eastAsia="de-DE"/>
              </w:rPr>
              <w:t xml:space="preserve">Rate of IVT in treatment group 15-100%, </w:t>
            </w:r>
            <w:r w:rsidR="00BD592E" w:rsidRPr="007E56D0">
              <w:rPr>
                <w:rFonts w:asciiTheme="majorHAnsi" w:eastAsia="Times New Roman" w:hAnsiTheme="majorHAnsi" w:cstheme="majorHAnsi"/>
                <w:color w:val="000000"/>
                <w:sz w:val="16"/>
                <w:szCs w:val="16"/>
                <w:lang w:val="en-US" w:eastAsia="de-DE"/>
              </w:rPr>
              <w:t>discount rate</w:t>
            </w:r>
            <w:r w:rsidR="00795DAB" w:rsidRPr="007E56D0">
              <w:rPr>
                <w:rFonts w:asciiTheme="majorHAnsi" w:eastAsia="Times New Roman" w:hAnsiTheme="majorHAnsi" w:cstheme="majorHAnsi"/>
                <w:color w:val="000000"/>
                <w:sz w:val="16"/>
                <w:szCs w:val="16"/>
                <w:lang w:val="en-US" w:eastAsia="de-DE"/>
              </w:rPr>
              <w:t xml:space="preserve"> 3-10%</w:t>
            </w:r>
          </w:p>
        </w:tc>
        <w:tc>
          <w:tcPr>
            <w:tcW w:w="964" w:type="dxa"/>
            <w:shd w:val="clear" w:color="auto" w:fill="auto"/>
            <w:hideMark/>
          </w:tcPr>
          <w:p w14:paraId="2EEE2743" w14:textId="15F0D7B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Dirichlet, long-term TPs incl. recurrence: beta mortality: lognormal), utilities: beta, 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01650225"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4515C5" w14:paraId="647E07F9" w14:textId="77777777" w:rsidTr="004515C5">
        <w:trPr>
          <w:tblCellSpacing w:w="85" w:type="dxa"/>
        </w:trPr>
        <w:tc>
          <w:tcPr>
            <w:tcW w:w="1057" w:type="dxa"/>
            <w:shd w:val="clear" w:color="auto" w:fill="auto"/>
            <w:hideMark/>
          </w:tcPr>
          <w:p w14:paraId="4FD87504" w14:textId="2C2BA95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xml:space="preserve">Ospel et al. (2024), Canada, manufacturer funding </w:t>
            </w:r>
            <w:r w:rsidR="00215B90">
              <w:rPr>
                <w:rFonts w:asciiTheme="majorHAnsi" w:eastAsia="Times New Roman" w:hAnsiTheme="majorHAnsi" w:cstheme="majorHAnsi"/>
                <w:color w:val="000000"/>
                <w:sz w:val="16"/>
                <w:szCs w:val="16"/>
                <w:lang w:val="en-US" w:eastAsia="de-DE"/>
              </w:rPr>
              <w:t>[46]</w:t>
            </w:r>
            <w:hyperlink w:anchor="_CTVL001d0fe387756904de79892666dc3768204" w:tooltip="Ospel, J. M., Zerna, C., Harrison, E., Kleinig, T. J., Puetz, V., Kaiser, D. P. O., Graham, B., Yu, A. Y. X., van Adel, B., Shankar, J. J., McTaggart,…" w:history="1"/>
          </w:p>
        </w:tc>
        <w:tc>
          <w:tcPr>
            <w:tcW w:w="903" w:type="dxa"/>
          </w:tcPr>
          <w:p w14:paraId="21CD20B0" w14:textId="175E8FA4"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 BMM vs. BMM alone</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 + NMB</w:t>
            </w:r>
          </w:p>
        </w:tc>
        <w:tc>
          <w:tcPr>
            <w:tcW w:w="989" w:type="dxa"/>
            <w:shd w:val="clear" w:color="auto" w:fill="auto"/>
            <w:hideMark/>
          </w:tcPr>
          <w:p w14:paraId="3A180F29" w14:textId="674EFD8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 societal perspective</w:t>
            </w:r>
          </w:p>
        </w:tc>
        <w:tc>
          <w:tcPr>
            <w:tcW w:w="808" w:type="dxa"/>
            <w:shd w:val="clear" w:color="auto" w:fill="auto"/>
            <w:hideMark/>
          </w:tcPr>
          <w:p w14:paraId="50F12B0A" w14:textId="2E5283F1" w:rsidR="00795DAB" w:rsidRPr="0072305D" w:rsidRDefault="00795DAB" w:rsidP="009879CF">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71.5 years</w:t>
            </w:r>
            <w:r w:rsidRPr="007E56D0">
              <w:rPr>
                <w:rFonts w:asciiTheme="majorHAnsi" w:hAnsiTheme="majorHAnsi" w:cstheme="majorHAnsi"/>
                <w:color w:val="000000"/>
                <w:sz w:val="16"/>
                <w:szCs w:val="16"/>
                <w:lang w:val="en-US"/>
              </w:rPr>
              <w:br/>
              <w:t>G (female proportion): Real-world data: EVT: 42.5%; trial data: EVT: 62.1%, non-EVT: 40.0%</w:t>
            </w:r>
            <w:r w:rsidRPr="007E56D0">
              <w:rPr>
                <w:rFonts w:asciiTheme="majorHAnsi" w:hAnsiTheme="majorHAnsi" w:cstheme="majorHAnsi"/>
                <w:color w:val="000000"/>
                <w:sz w:val="16"/>
                <w:szCs w:val="16"/>
                <w:lang w:val="en-US"/>
              </w:rPr>
              <w:br/>
              <w:t>DS: Anterior circulation large vessel occlusion</w:t>
            </w:r>
          </w:p>
        </w:tc>
        <w:tc>
          <w:tcPr>
            <w:tcW w:w="1025" w:type="dxa"/>
            <w:shd w:val="clear" w:color="auto" w:fill="auto"/>
            <w:hideMark/>
          </w:tcPr>
          <w:p w14:paraId="4F0D1099" w14:textId="1370B51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 (up to 120 years)</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439C571F" w14:textId="1E95F5C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Decision tree with 2 EVT arms (real-world and trial-based) and 1 BMM arm (trial-based)</w:t>
            </w:r>
            <w:r w:rsidRPr="007E56D0">
              <w:rPr>
                <w:rFonts w:asciiTheme="majorHAnsi" w:eastAsia="Times New Roman" w:hAnsiTheme="majorHAnsi" w:cstheme="majorHAnsi"/>
                <w:sz w:val="16"/>
                <w:szCs w:val="16"/>
                <w:lang w:val="en-US" w:eastAsia="de-DE"/>
              </w:rPr>
              <w:t xml:space="preserve">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500D490A" w14:textId="5B42598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only deterioration after recurrence possible</w:t>
            </w:r>
          </w:p>
        </w:tc>
        <w:tc>
          <w:tcPr>
            <w:tcW w:w="1284" w:type="dxa"/>
            <w:shd w:val="clear" w:color="auto" w:fill="auto"/>
            <w:hideMark/>
          </w:tcPr>
          <w:p w14:paraId="21447F42" w14:textId="76765D2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S</w:t>
            </w:r>
            <w:r w:rsidR="00C716A6" w:rsidRPr="007E56D0">
              <w:rPr>
                <w:rFonts w:asciiTheme="majorHAnsi" w:eastAsia="Times New Roman" w:hAnsiTheme="majorHAnsi" w:cstheme="majorHAnsi"/>
                <w:color w:val="000000"/>
                <w:sz w:val="16"/>
                <w:szCs w:val="16"/>
                <w:lang w:val="en-US" w:eastAsia="de-DE"/>
              </w:rPr>
              <w:t>cenario and s</w:t>
            </w:r>
            <w:r w:rsidRPr="007E56D0">
              <w:rPr>
                <w:rFonts w:asciiTheme="majorHAnsi" w:eastAsia="Times New Roman" w:hAnsiTheme="majorHAnsi" w:cstheme="majorHAnsi"/>
                <w:color w:val="000000"/>
                <w:sz w:val="16"/>
                <w:szCs w:val="16"/>
                <w:lang w:val="en-US" w:eastAsia="de-DE"/>
              </w:rPr>
              <w:t>ubgroup analyses, PSA</w:t>
            </w:r>
          </w:p>
        </w:tc>
        <w:tc>
          <w:tcPr>
            <w:tcW w:w="1441" w:type="dxa"/>
            <w:shd w:val="clear" w:color="auto" w:fill="auto"/>
            <w:hideMark/>
          </w:tcPr>
          <w:p w14:paraId="5393086F" w14:textId="2251EE7E"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w:t>
            </w:r>
          </w:p>
          <w:p w14:paraId="5BD2BD73" w14:textId="3C371930" w:rsidR="00AC2046"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AC2046"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3EBAC0A4" w14:textId="6285653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Dirichlet, recurrence: beta, after recurrence: Dirichlet, mortality: beta/lognormal), utilities: beta, costs: gamma,</w:t>
            </w:r>
            <w:r w:rsidRPr="007E56D0">
              <w:rPr>
                <w:rFonts w:asciiTheme="majorHAnsi" w:eastAsia="Times New Roman" w:hAnsiTheme="majorHAnsi" w:cstheme="majorHAnsi"/>
                <w:color w:val="000000"/>
                <w:sz w:val="16"/>
                <w:szCs w:val="16"/>
                <w:lang w:val="en-US" w:eastAsia="de-DE"/>
              </w:rPr>
              <w:br/>
            </w:r>
            <w:r w:rsidR="009B7B74" w:rsidRPr="007E56D0">
              <w:rPr>
                <w:rFonts w:asciiTheme="majorHAnsi" w:eastAsia="Times New Roman" w:hAnsiTheme="majorHAnsi" w:cstheme="majorHAnsi"/>
                <w:color w:val="000000"/>
                <w:sz w:val="16"/>
                <w:szCs w:val="16"/>
                <w:lang w:val="en-US" w:eastAsia="de-DE"/>
              </w:rPr>
              <w:t>I</w:t>
            </w:r>
            <w:r w:rsidRPr="007E56D0">
              <w:rPr>
                <w:rFonts w:asciiTheme="majorHAnsi" w:eastAsia="Times New Roman" w:hAnsiTheme="majorHAnsi" w:cstheme="majorHAnsi"/>
                <w:color w:val="000000"/>
                <w:sz w:val="16"/>
                <w:szCs w:val="16"/>
                <w:lang w:val="en-US" w:eastAsia="de-DE"/>
              </w:rPr>
              <w:t>V-tPA-probability: beta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1D7D2195"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4515C5" w14:paraId="71DE3CC0" w14:textId="77777777" w:rsidTr="004515C5">
        <w:trPr>
          <w:trHeight w:val="1702"/>
          <w:tblCellSpacing w:w="85" w:type="dxa"/>
        </w:trPr>
        <w:tc>
          <w:tcPr>
            <w:tcW w:w="1057" w:type="dxa"/>
            <w:shd w:val="clear" w:color="auto" w:fill="auto"/>
            <w:hideMark/>
          </w:tcPr>
          <w:p w14:paraId="5204DA29" w14:textId="16DB39F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Pan et al. (2024), China, public funding </w:t>
            </w:r>
            <w:r w:rsidR="00215B90">
              <w:rPr>
                <w:rFonts w:asciiTheme="majorHAnsi" w:eastAsia="Times New Roman" w:hAnsiTheme="majorHAnsi" w:cstheme="majorHAnsi"/>
                <w:color w:val="000000"/>
                <w:sz w:val="16"/>
                <w:szCs w:val="16"/>
                <w:lang w:val="en-US" w:eastAsia="de-DE"/>
              </w:rPr>
              <w:t>[47]</w:t>
            </w:r>
            <w:hyperlink w:anchor="_CTVL001d1a53282fc47404d9aceeca467bc4f3f" w:tooltip="Pan, Y., Huo, X., Jin, A., Nguyen, T. N., Ma, G., Tong, X., Zhang, X., Gao, F., Ma, N., Mo, D., Ren, Z., Wang, Y., and Miao, Z. 2024. Cost-effectivene…" w:history="1"/>
          </w:p>
        </w:tc>
        <w:tc>
          <w:tcPr>
            <w:tcW w:w="903" w:type="dxa"/>
          </w:tcPr>
          <w:p w14:paraId="242FC8BF" w14:textId="21B9527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 MM vs. MM alone</w:t>
            </w:r>
            <w:r w:rsidRPr="007E56D0">
              <w:rPr>
                <w:rFonts w:asciiTheme="majorHAnsi" w:eastAsia="Times New Roman" w:hAnsiTheme="majorHAnsi" w:cstheme="majorHAnsi"/>
                <w:color w:val="000000"/>
                <w:sz w:val="16"/>
                <w:szCs w:val="16"/>
                <w:lang w:val="en-US" w:eastAsia="de-DE"/>
              </w:rPr>
              <w:br/>
              <w:t>O: ICUR (¥/QALY)</w:t>
            </w:r>
          </w:p>
        </w:tc>
        <w:tc>
          <w:tcPr>
            <w:tcW w:w="989" w:type="dxa"/>
            <w:shd w:val="clear" w:color="auto" w:fill="auto"/>
            <w:hideMark/>
          </w:tcPr>
          <w:p w14:paraId="646783C0" w14:textId="5C7C3FA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hideMark/>
          </w:tcPr>
          <w:p w14:paraId="723649D8" w14:textId="46D20A05" w:rsidR="00795DAB" w:rsidRPr="007E56D0" w:rsidRDefault="00795DAB" w:rsidP="009879CF">
            <w:pPr>
              <w:spacing w:after="0" w:line="240" w:lineRule="auto"/>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 68 years (median)</w:t>
            </w:r>
            <w:r w:rsidRPr="007E56D0">
              <w:rPr>
                <w:rFonts w:asciiTheme="majorHAnsi" w:hAnsiTheme="majorHAnsi" w:cstheme="majorHAnsi"/>
                <w:color w:val="000000"/>
                <w:sz w:val="16"/>
                <w:szCs w:val="16"/>
                <w:lang w:val="en-US"/>
              </w:rPr>
              <w:br/>
              <w:t>G: 61.3% males</w:t>
            </w:r>
            <w:r w:rsidRPr="007E56D0">
              <w:rPr>
                <w:rFonts w:asciiTheme="majorHAnsi" w:hAnsiTheme="majorHAnsi" w:cstheme="majorHAnsi"/>
                <w:color w:val="000000"/>
                <w:sz w:val="16"/>
                <w:szCs w:val="16"/>
                <w:lang w:val="en-US"/>
              </w:rPr>
              <w:br/>
              <w:t xml:space="preserve">DS: </w:t>
            </w:r>
            <w:r w:rsidR="002314F2" w:rsidRPr="007E56D0">
              <w:rPr>
                <w:rFonts w:asciiTheme="majorHAnsi" w:hAnsiTheme="majorHAnsi" w:cstheme="majorHAnsi"/>
                <w:color w:val="000000"/>
                <w:sz w:val="16"/>
                <w:szCs w:val="16"/>
                <w:lang w:val="en-US"/>
              </w:rPr>
              <w:t xml:space="preserve">Anterior circulation large vessel occlusion with </w:t>
            </w:r>
            <w:r w:rsidRPr="007E56D0">
              <w:rPr>
                <w:rFonts w:asciiTheme="majorHAnsi" w:hAnsiTheme="majorHAnsi" w:cstheme="majorHAnsi"/>
                <w:color w:val="000000"/>
                <w:sz w:val="16"/>
                <w:szCs w:val="16"/>
                <w:lang w:val="en-US"/>
              </w:rPr>
              <w:t>ASPECTS of 3 to 5 or infarct-core volume of 70 to 100 mL</w:t>
            </w:r>
            <w:r w:rsidR="004F3EE5" w:rsidRPr="007E56D0">
              <w:rPr>
                <w:rFonts w:asciiTheme="majorHAnsi" w:hAnsiTheme="majorHAnsi" w:cstheme="majorHAnsi"/>
                <w:color w:val="000000"/>
                <w:sz w:val="16"/>
                <w:szCs w:val="16"/>
                <w:lang w:val="en-US"/>
              </w:rPr>
              <w:t xml:space="preserve"> and NIHSS = 16</w:t>
            </w:r>
          </w:p>
        </w:tc>
        <w:tc>
          <w:tcPr>
            <w:tcW w:w="1025" w:type="dxa"/>
            <w:shd w:val="clear" w:color="auto" w:fill="auto"/>
            <w:hideMark/>
          </w:tcPr>
          <w:p w14:paraId="27BBCF4B" w14:textId="7D25924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5 and 30 years</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71500AFF" w14:textId="7A02B06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Decision tree</w:t>
            </w:r>
            <w:r w:rsidRPr="007E56D0">
              <w:rPr>
                <w:rFonts w:asciiTheme="majorHAnsi" w:eastAsia="Times New Roman" w:hAnsiTheme="majorHAnsi" w:cstheme="majorHAnsi"/>
                <w:sz w:val="16"/>
                <w:szCs w:val="16"/>
                <w:lang w:val="en-US" w:eastAsia="de-DE"/>
              </w:rPr>
              <w:t xml:space="preserve"> with the 2 treatments and </w:t>
            </w:r>
            <w:r w:rsidRPr="007E56D0">
              <w:rPr>
                <w:rFonts w:asciiTheme="majorHAnsi" w:eastAsia="Times New Roman" w:hAnsiTheme="majorHAnsi" w:cstheme="majorHAnsi"/>
                <w:color w:val="000000"/>
                <w:sz w:val="16"/>
                <w:szCs w:val="16"/>
                <w:lang w:val="en-US" w:eastAsia="de-DE"/>
              </w:rPr>
              <w:t xml:space="preserve">sICH vs. no sICH, </w:t>
            </w:r>
            <w:r w:rsidRPr="007E56D0">
              <w:rPr>
                <w:rFonts w:asciiTheme="majorHAnsi" w:eastAsia="Times New Roman" w:hAnsiTheme="majorHAnsi" w:cstheme="majorHAnsi"/>
                <w:sz w:val="16"/>
                <w:szCs w:val="16"/>
                <w:lang w:val="en-US" w:eastAsia="de-DE"/>
              </w:rPr>
              <w:t xml:space="preserve">followed by a Markov model with </w:t>
            </w:r>
            <w:r w:rsidRPr="007E56D0">
              <w:rPr>
                <w:rFonts w:asciiTheme="majorHAnsi" w:eastAsia="Times New Roman" w:hAnsiTheme="majorHAnsi" w:cstheme="majorHAnsi"/>
                <w:color w:val="000000"/>
                <w:sz w:val="16"/>
                <w:szCs w:val="16"/>
                <w:lang w:val="en-US" w:eastAsia="de-DE"/>
              </w:rPr>
              <w:t>3 health states (mRS 0-2, mRS 3-5 and death) at 90 days after stroke.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311AF6EA" w14:textId="1B706BCE"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keeping current health state after recurrence possible</w:t>
            </w:r>
          </w:p>
        </w:tc>
        <w:tc>
          <w:tcPr>
            <w:tcW w:w="1284" w:type="dxa"/>
            <w:shd w:val="clear" w:color="auto" w:fill="auto"/>
            <w:hideMark/>
          </w:tcPr>
          <w:p w14:paraId="0AAC40DA" w14:textId="1905B52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 and two-way DSA, PSA</w:t>
            </w:r>
          </w:p>
        </w:tc>
        <w:tc>
          <w:tcPr>
            <w:tcW w:w="1441" w:type="dxa"/>
            <w:shd w:val="clear" w:color="auto" w:fill="auto"/>
            <w:hideMark/>
          </w:tcPr>
          <w:p w14:paraId="02EE9FD7" w14:textId="28CE0FDE"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(effectiveness and long-term TPs incl. recurrences), </w:t>
            </w:r>
            <w:r w:rsidR="00A323BC" w:rsidRPr="007E56D0">
              <w:rPr>
                <w:rFonts w:asciiTheme="majorHAnsi" w:eastAsia="Times New Roman" w:hAnsiTheme="majorHAnsi" w:cstheme="majorHAnsi"/>
                <w:color w:val="000000"/>
                <w:sz w:val="16"/>
                <w:szCs w:val="16"/>
                <w:lang w:val="en-US" w:eastAsia="de-DE"/>
              </w:rPr>
              <w:t xml:space="preserve">utilities, </w:t>
            </w:r>
            <w:r w:rsidR="00795DAB" w:rsidRPr="007E56D0">
              <w:rPr>
                <w:rFonts w:asciiTheme="majorHAnsi" w:eastAsia="Times New Roman" w:hAnsiTheme="majorHAnsi" w:cstheme="majorHAnsi"/>
                <w:color w:val="000000"/>
                <w:sz w:val="16"/>
                <w:szCs w:val="16"/>
                <w:lang w:val="en-US" w:eastAsia="de-DE"/>
              </w:rPr>
              <w:t>costs, time horizon, discount rate</w:t>
            </w:r>
          </w:p>
          <w:p w14:paraId="1776BD58" w14:textId="044391CB"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±20% for </w:t>
            </w:r>
            <w:r w:rsidR="00BD592E" w:rsidRPr="007E56D0">
              <w:rPr>
                <w:rFonts w:asciiTheme="majorHAnsi" w:eastAsia="Times New Roman" w:hAnsiTheme="majorHAnsi" w:cstheme="majorHAnsi"/>
                <w:color w:val="000000"/>
                <w:sz w:val="16"/>
                <w:szCs w:val="16"/>
                <w:lang w:val="en-US" w:eastAsia="de-DE"/>
              </w:rPr>
              <w:t>discount rate</w:t>
            </w:r>
          </w:p>
        </w:tc>
        <w:tc>
          <w:tcPr>
            <w:tcW w:w="964" w:type="dxa"/>
            <w:shd w:val="clear" w:color="auto" w:fill="auto"/>
            <w:hideMark/>
          </w:tcPr>
          <w:p w14:paraId="414AA253" w14:textId="4079276F"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TPs (effectiveness: Dirichlet/lognormal, recurrence: beta/lognormal, after recurrence: Dirichlet, mortality: lognormal/beta), utilities: gamma, costs: gamma, </w:t>
            </w:r>
            <w:r w:rsidR="00BD592E" w:rsidRPr="007E56D0">
              <w:rPr>
                <w:rFonts w:asciiTheme="majorHAnsi" w:eastAsia="Times New Roman" w:hAnsiTheme="majorHAnsi" w:cstheme="majorHAnsi"/>
                <w:color w:val="000000"/>
                <w:sz w:val="16"/>
                <w:szCs w:val="16"/>
                <w:lang w:val="en-US" w:eastAsia="de-DE"/>
              </w:rPr>
              <w:t>discount rate</w:t>
            </w:r>
            <w:r w:rsidRPr="007E56D0">
              <w:rPr>
                <w:rFonts w:asciiTheme="majorHAnsi" w:eastAsia="Times New Roman" w:hAnsiTheme="majorHAnsi" w:cstheme="majorHAnsi"/>
                <w:color w:val="000000"/>
                <w:sz w:val="16"/>
                <w:szCs w:val="16"/>
                <w:lang w:val="en-US" w:eastAsia="de-DE"/>
              </w:rPr>
              <w:t>: beta, sICH: beta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67423453"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4515C5" w14:paraId="2396FB72" w14:textId="77777777" w:rsidTr="004515C5">
        <w:trPr>
          <w:tblCellSpacing w:w="85" w:type="dxa"/>
        </w:trPr>
        <w:tc>
          <w:tcPr>
            <w:tcW w:w="1057" w:type="dxa"/>
            <w:shd w:val="clear" w:color="auto" w:fill="auto"/>
            <w:hideMark/>
          </w:tcPr>
          <w:p w14:paraId="75CD8177" w14:textId="0332CBF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lastRenderedPageBreak/>
              <w:t xml:space="preserve">Pinckaers et al. (2024), Netherlands, public funding </w:t>
            </w:r>
            <w:r w:rsidR="00215B90">
              <w:rPr>
                <w:rFonts w:asciiTheme="majorHAnsi" w:eastAsia="Times New Roman" w:hAnsiTheme="majorHAnsi" w:cstheme="majorHAnsi"/>
                <w:color w:val="000000"/>
                <w:sz w:val="16"/>
                <w:szCs w:val="16"/>
                <w:lang w:val="en-US" w:eastAsia="de-DE"/>
              </w:rPr>
              <w:t>[48]</w:t>
            </w:r>
            <w:hyperlink w:anchor="_CTVL001deda9dea3627404491a549b322d0c785" w:tooltip="Pinckaers, F. M., Evers, S. M., Olthuis, S. G., Boogaarts, H. D., Postma, A. A., van Oostenbrugge, R. J., van Zwam, W. H., and Grutters, J. P. 2024. C…" w:history="1"/>
          </w:p>
        </w:tc>
        <w:tc>
          <w:tcPr>
            <w:tcW w:w="903" w:type="dxa"/>
          </w:tcPr>
          <w:p w14:paraId="0412BBC1" w14:textId="5D9E1299"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 BMM vs. BMM alone</w:t>
            </w:r>
            <w:r w:rsidRPr="007E56D0">
              <w:rPr>
                <w:rFonts w:asciiTheme="majorHAnsi" w:eastAsia="Times New Roman" w:hAnsiTheme="majorHAnsi" w:cstheme="majorHAnsi"/>
                <w:color w:val="000000"/>
                <w:sz w:val="16"/>
                <w:szCs w:val="16"/>
                <w:lang w:val="en-US" w:eastAsia="de-DE"/>
              </w:rPr>
              <w:br/>
              <w:t>O: ICUR (€/QALY) + iNMB</w:t>
            </w:r>
          </w:p>
        </w:tc>
        <w:tc>
          <w:tcPr>
            <w:tcW w:w="989" w:type="dxa"/>
            <w:shd w:val="clear" w:color="auto" w:fill="auto"/>
            <w:hideMark/>
          </w:tcPr>
          <w:p w14:paraId="7D892973" w14:textId="6D12AE6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Payer’s + societal perspective</w:t>
            </w:r>
          </w:p>
        </w:tc>
        <w:tc>
          <w:tcPr>
            <w:tcW w:w="808" w:type="dxa"/>
            <w:shd w:val="clear" w:color="auto" w:fill="auto"/>
            <w:hideMark/>
          </w:tcPr>
          <w:p w14:paraId="12081286" w14:textId="57B1C21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74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DS: Proximal</w:t>
            </w:r>
            <w:r w:rsidR="004F3EE5" w:rsidRPr="007E56D0">
              <w:rPr>
                <w:rFonts w:asciiTheme="majorHAnsi" w:hAnsiTheme="majorHAnsi" w:cstheme="majorHAnsi"/>
                <w:color w:val="000000"/>
                <w:sz w:val="16"/>
                <w:szCs w:val="16"/>
                <w:lang w:val="en-US"/>
              </w:rPr>
              <w:t xml:space="preserve"> anterior circulation</w:t>
            </w:r>
            <w:r w:rsidRPr="007E56D0">
              <w:rPr>
                <w:rFonts w:asciiTheme="majorHAnsi" w:hAnsiTheme="majorHAnsi" w:cstheme="majorHAnsi"/>
                <w:color w:val="000000"/>
                <w:sz w:val="16"/>
                <w:szCs w:val="16"/>
                <w:lang w:val="en-US"/>
              </w:rPr>
              <w:t xml:space="preserve"> occlusion</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p>
        </w:tc>
        <w:tc>
          <w:tcPr>
            <w:tcW w:w="1025" w:type="dxa"/>
            <w:shd w:val="clear" w:color="auto" w:fill="auto"/>
            <w:hideMark/>
          </w:tcPr>
          <w:p w14:paraId="5ABB47F7" w14:textId="36BC76D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 (up to 95 years)</w:t>
            </w:r>
            <w:r w:rsidRPr="007E56D0">
              <w:rPr>
                <w:rFonts w:asciiTheme="majorHAnsi" w:eastAsia="Times New Roman" w:hAnsiTheme="majorHAnsi" w:cstheme="majorHAnsi"/>
                <w:color w:val="000000"/>
                <w:sz w:val="16"/>
                <w:szCs w:val="16"/>
                <w:lang w:val="en-US" w:eastAsia="de-DE"/>
              </w:rPr>
              <w:br/>
              <w:t>D: 4% for costs, 1.5% for utilities</w:t>
            </w:r>
          </w:p>
        </w:tc>
        <w:tc>
          <w:tcPr>
            <w:tcW w:w="2068" w:type="dxa"/>
          </w:tcPr>
          <w:p w14:paraId="1CC8F910" w14:textId="54373D5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w:t>
            </w:r>
            <w:r w:rsidRPr="007E56D0">
              <w:rPr>
                <w:rFonts w:asciiTheme="majorHAnsi" w:eastAsia="Times New Roman" w:hAnsiTheme="majorHAnsi" w:cstheme="majorHAnsi"/>
                <w:color w:val="000000"/>
                <w:sz w:val="16"/>
                <w:szCs w:val="16"/>
                <w:lang w:val="en-US" w:eastAsia="de-DE"/>
              </w:rPr>
              <w:t xml:space="preserve"> For the first year, patients could recover, after that, patients could only keep health state or deteriorate.</w:t>
            </w:r>
          </w:p>
        </w:tc>
        <w:tc>
          <w:tcPr>
            <w:tcW w:w="1284" w:type="dxa"/>
          </w:tcPr>
          <w:p w14:paraId="1690B039" w14:textId="42E46B51"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intermediate recovery phase up to 1 year assumed, where mRS improvement possible</w:t>
            </w:r>
          </w:p>
        </w:tc>
        <w:tc>
          <w:tcPr>
            <w:tcW w:w="1284" w:type="dxa"/>
            <w:shd w:val="clear" w:color="auto" w:fill="auto"/>
            <w:hideMark/>
          </w:tcPr>
          <w:p w14:paraId="4A727ACE" w14:textId="641524D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U: One-way DSA,</w:t>
            </w:r>
            <w:r w:rsidR="00BA5C8B" w:rsidRPr="007E56D0">
              <w:rPr>
                <w:rFonts w:asciiTheme="majorHAnsi" w:eastAsia="Times New Roman" w:hAnsiTheme="majorHAnsi" w:cstheme="majorHAnsi"/>
                <w:color w:val="000000"/>
                <w:sz w:val="16"/>
                <w:szCs w:val="16"/>
                <w:lang w:val="en-US" w:eastAsia="de-DE"/>
              </w:rPr>
              <w:t xml:space="preserve"> </w:t>
            </w:r>
            <w:r w:rsidR="00824B82" w:rsidRPr="007E56D0">
              <w:rPr>
                <w:rFonts w:asciiTheme="majorHAnsi" w:eastAsia="Times New Roman" w:hAnsiTheme="majorHAnsi" w:cstheme="majorHAnsi"/>
                <w:color w:val="000000"/>
                <w:sz w:val="16"/>
                <w:szCs w:val="16"/>
                <w:lang w:val="en-US" w:eastAsia="de-DE"/>
              </w:rPr>
              <w:t>scenario analyses</w:t>
            </w:r>
            <w:r w:rsidR="00BA5C8B" w:rsidRPr="007E56D0">
              <w:rPr>
                <w:rFonts w:asciiTheme="majorHAnsi" w:eastAsia="Times New Roman" w:hAnsiTheme="majorHAnsi" w:cstheme="majorHAnsi"/>
                <w:color w:val="000000"/>
                <w:sz w:val="16"/>
                <w:szCs w:val="16"/>
                <w:lang w:val="en-US" w:eastAsia="de-DE"/>
              </w:rPr>
              <w:t>, PSA</w:t>
            </w:r>
          </w:p>
        </w:tc>
        <w:tc>
          <w:tcPr>
            <w:tcW w:w="1441" w:type="dxa"/>
            <w:shd w:val="clear" w:color="auto" w:fill="auto"/>
            <w:hideMark/>
          </w:tcPr>
          <w:p w14:paraId="75F8D8C2" w14:textId="2F3CB991"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(only effectiveness), costs, utilities</w:t>
            </w:r>
          </w:p>
          <w:p w14:paraId="66A07925" w14:textId="47A7B895"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No percentage changes used</w:t>
            </w:r>
          </w:p>
        </w:tc>
        <w:tc>
          <w:tcPr>
            <w:tcW w:w="964" w:type="dxa"/>
            <w:shd w:val="clear" w:color="auto" w:fill="auto"/>
            <w:hideMark/>
          </w:tcPr>
          <w:p w14:paraId="35546539" w14:textId="3B88B3B0"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TPs (effectiveness: Dirichlet), utilities: gamma, 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01BBFAF3"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795DAB" w:rsidRPr="004515C5" w14:paraId="57F24D1F" w14:textId="77777777" w:rsidTr="004515C5">
        <w:trPr>
          <w:tblCellSpacing w:w="85" w:type="dxa"/>
        </w:trPr>
        <w:tc>
          <w:tcPr>
            <w:tcW w:w="1057" w:type="dxa"/>
            <w:shd w:val="clear" w:color="auto" w:fill="auto"/>
            <w:hideMark/>
          </w:tcPr>
          <w:p w14:paraId="7238FC9C" w14:textId="6C35F5D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Schwarting et al. (2024), not stated but probably USA, none declared </w:t>
            </w:r>
            <w:r w:rsidR="00215B90">
              <w:rPr>
                <w:rFonts w:asciiTheme="majorHAnsi" w:eastAsia="Times New Roman" w:hAnsiTheme="majorHAnsi" w:cstheme="majorHAnsi"/>
                <w:color w:val="000000"/>
                <w:sz w:val="16"/>
                <w:szCs w:val="16"/>
                <w:lang w:val="en-US" w:eastAsia="de-DE"/>
              </w:rPr>
              <w:t>[49]</w:t>
            </w:r>
            <w:hyperlink w:anchor="_CTVL00183d3b162a10f45b6957bb4ba5f1263ae" w:tooltip="Schwarting, J., Froelich, M. F., Kirschke, J. S., Mehrens, D., Bodden, J., Sepp, D., Reis, J., Dimitriadis, K., Ricke, J., Zimmer, C., Boeckh-Behrens,…" w:history="1"/>
          </w:p>
        </w:tc>
        <w:tc>
          <w:tcPr>
            <w:tcW w:w="903" w:type="dxa"/>
          </w:tcPr>
          <w:p w14:paraId="31A8D3A7" w14:textId="143C503A"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 EVT vs. BMC</w:t>
            </w:r>
            <w:r w:rsidRPr="007E56D0">
              <w:rPr>
                <w:rFonts w:asciiTheme="majorHAnsi" w:eastAsia="Times New Roman" w:hAnsiTheme="majorHAnsi" w:cstheme="majorHAnsi"/>
                <w:color w:val="000000"/>
                <w:sz w:val="16"/>
                <w:szCs w:val="16"/>
                <w:lang w:val="en-US" w:eastAsia="de-DE"/>
              </w:rPr>
              <w:br/>
              <w:t xml:space="preserve">O: ICUR </w:t>
            </w:r>
            <w:r w:rsidR="00DB3A91" w:rsidRPr="007E56D0">
              <w:rPr>
                <w:rFonts w:asciiTheme="majorHAnsi" w:eastAsia="Times New Roman" w:hAnsiTheme="majorHAnsi" w:cstheme="majorHAnsi"/>
                <w:color w:val="000000"/>
                <w:sz w:val="16"/>
                <w:szCs w:val="16"/>
                <w:lang w:val="en-US" w:eastAsia="de-DE"/>
              </w:rPr>
              <w:t>($US/QALY</w:t>
            </w:r>
            <w:r w:rsidRPr="007E56D0">
              <w:rPr>
                <w:rFonts w:asciiTheme="majorHAnsi" w:eastAsia="Times New Roman" w:hAnsiTheme="majorHAnsi" w:cstheme="majorHAnsi"/>
                <w:color w:val="000000"/>
                <w:sz w:val="16"/>
                <w:szCs w:val="16"/>
                <w:lang w:val="en-US" w:eastAsia="de-DE"/>
              </w:rPr>
              <w:t>)</w:t>
            </w:r>
          </w:p>
        </w:tc>
        <w:tc>
          <w:tcPr>
            <w:tcW w:w="989" w:type="dxa"/>
            <w:shd w:val="clear" w:color="auto" w:fill="auto"/>
            <w:hideMark/>
          </w:tcPr>
          <w:p w14:paraId="21750A4D" w14:textId="3EC71422"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xml:space="preserve">Payer’s perspective </w:t>
            </w:r>
          </w:p>
        </w:tc>
        <w:tc>
          <w:tcPr>
            <w:tcW w:w="808" w:type="dxa"/>
            <w:shd w:val="clear" w:color="auto" w:fill="auto"/>
            <w:hideMark/>
          </w:tcPr>
          <w:p w14:paraId="2218EC43" w14:textId="30507D5B"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hAnsiTheme="majorHAnsi" w:cstheme="majorHAnsi"/>
                <w:color w:val="000000"/>
                <w:sz w:val="16"/>
                <w:szCs w:val="16"/>
                <w:lang w:val="en-US"/>
              </w:rPr>
              <w:t>A: 67 years</w:t>
            </w:r>
            <w:r w:rsidRPr="007E56D0">
              <w:rPr>
                <w:rFonts w:asciiTheme="majorHAnsi" w:hAnsiTheme="majorHAnsi" w:cstheme="majorHAnsi"/>
                <w:color w:val="000000"/>
                <w:sz w:val="16"/>
                <w:szCs w:val="16"/>
                <w:lang w:val="en-US"/>
              </w:rPr>
              <w:br/>
            </w:r>
            <w:r w:rsidR="006D759C" w:rsidRPr="007E56D0">
              <w:rPr>
                <w:rFonts w:asciiTheme="majorHAnsi" w:hAnsiTheme="majorHAnsi" w:cstheme="majorHAnsi"/>
                <w:color w:val="000000"/>
                <w:sz w:val="16"/>
                <w:szCs w:val="16"/>
                <w:lang w:val="en-US"/>
              </w:rPr>
              <w:t>G: Not reported</w:t>
            </w:r>
            <w:r w:rsidRPr="007E56D0">
              <w:rPr>
                <w:rFonts w:asciiTheme="majorHAnsi" w:hAnsiTheme="majorHAnsi" w:cstheme="majorHAnsi"/>
                <w:color w:val="000000"/>
                <w:sz w:val="16"/>
                <w:szCs w:val="16"/>
                <w:lang w:val="en-US"/>
              </w:rPr>
              <w:br/>
              <w:t xml:space="preserve">DS: </w:t>
            </w:r>
            <w:r w:rsidR="004F3EE5" w:rsidRPr="007E56D0">
              <w:rPr>
                <w:rFonts w:asciiTheme="majorHAnsi" w:hAnsiTheme="majorHAnsi" w:cstheme="majorHAnsi"/>
                <w:color w:val="000000"/>
                <w:sz w:val="16"/>
                <w:szCs w:val="16"/>
                <w:lang w:val="en-US"/>
              </w:rPr>
              <w:t>A</w:t>
            </w:r>
            <w:r w:rsidRPr="007E56D0">
              <w:rPr>
                <w:rFonts w:asciiTheme="majorHAnsi" w:hAnsiTheme="majorHAnsi" w:cstheme="majorHAnsi"/>
                <w:color w:val="000000"/>
                <w:sz w:val="16"/>
                <w:szCs w:val="16"/>
                <w:lang w:val="en-US"/>
              </w:rPr>
              <w:t xml:space="preserve">nterior circulation large vessel occlusion </w:t>
            </w:r>
            <w:r w:rsidR="00410998" w:rsidRPr="007E56D0">
              <w:rPr>
                <w:rFonts w:asciiTheme="majorHAnsi" w:hAnsiTheme="majorHAnsi" w:cstheme="majorHAnsi"/>
                <w:color w:val="000000"/>
                <w:sz w:val="16"/>
                <w:szCs w:val="16"/>
                <w:lang w:val="en-US"/>
              </w:rPr>
              <w:t>with</w:t>
            </w:r>
            <w:r w:rsidRPr="007E56D0">
              <w:rPr>
                <w:rFonts w:asciiTheme="majorHAnsi" w:hAnsiTheme="majorHAnsi" w:cstheme="majorHAnsi"/>
                <w:color w:val="000000"/>
                <w:sz w:val="16"/>
                <w:szCs w:val="16"/>
                <w:lang w:val="en-US"/>
              </w:rPr>
              <w:t xml:space="preserve"> ASPECTS</w:t>
            </w:r>
            <w:r w:rsidR="00410998" w:rsidRPr="007E56D0">
              <w:rPr>
                <w:rFonts w:asciiTheme="majorHAnsi" w:hAnsiTheme="majorHAnsi" w:cstheme="majorHAnsi"/>
                <w:color w:val="000000"/>
                <w:sz w:val="16"/>
                <w:szCs w:val="16"/>
                <w:lang w:val="en-US"/>
              </w:rPr>
              <w:t xml:space="preserve"> =</w:t>
            </w:r>
            <w:r w:rsidRPr="007E56D0">
              <w:rPr>
                <w:rFonts w:asciiTheme="majorHAnsi" w:hAnsiTheme="majorHAnsi" w:cstheme="majorHAnsi"/>
                <w:color w:val="000000"/>
                <w:sz w:val="16"/>
                <w:szCs w:val="16"/>
                <w:lang w:val="en-US"/>
              </w:rPr>
              <w:t xml:space="preserve"> 3-5</w:t>
            </w:r>
          </w:p>
        </w:tc>
        <w:tc>
          <w:tcPr>
            <w:tcW w:w="1025" w:type="dxa"/>
            <w:shd w:val="clear" w:color="auto" w:fill="auto"/>
            <w:hideMark/>
          </w:tcPr>
          <w:p w14:paraId="312C9A56" w14:textId="682C0B3C"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CL: 1 year</w:t>
            </w:r>
            <w:r w:rsidRPr="007E56D0">
              <w:rPr>
                <w:rFonts w:asciiTheme="majorHAnsi" w:eastAsia="Times New Roman" w:hAnsiTheme="majorHAnsi" w:cstheme="majorHAnsi"/>
                <w:color w:val="000000"/>
                <w:sz w:val="16"/>
                <w:szCs w:val="16"/>
                <w:lang w:val="en-US" w:eastAsia="de-DE"/>
              </w:rPr>
              <w:br/>
            </w:r>
            <w:r w:rsidR="0096760C" w:rsidRPr="007E56D0">
              <w:rPr>
                <w:rFonts w:asciiTheme="majorHAnsi" w:eastAsia="Times New Roman" w:hAnsiTheme="majorHAnsi" w:cstheme="majorHAnsi"/>
                <w:color w:val="000000"/>
                <w:sz w:val="16"/>
                <w:szCs w:val="16"/>
                <w:lang w:val="en-US" w:eastAsia="de-DE"/>
              </w:rPr>
              <w:t>TH:</w:t>
            </w:r>
            <w:r w:rsidRPr="007E56D0">
              <w:rPr>
                <w:rFonts w:asciiTheme="majorHAnsi" w:eastAsia="Times New Roman" w:hAnsiTheme="majorHAnsi" w:cstheme="majorHAnsi"/>
                <w:color w:val="000000"/>
                <w:sz w:val="16"/>
                <w:szCs w:val="16"/>
                <w:lang w:val="en-US" w:eastAsia="de-DE"/>
              </w:rPr>
              <w:t xml:space="preserve"> Lifetime</w:t>
            </w:r>
            <w:r w:rsidRPr="007E56D0">
              <w:rPr>
                <w:rFonts w:asciiTheme="majorHAnsi" w:eastAsia="Times New Roman" w:hAnsiTheme="majorHAnsi" w:cstheme="majorHAnsi"/>
                <w:color w:val="000000"/>
                <w:sz w:val="16"/>
                <w:szCs w:val="16"/>
                <w:lang w:val="en-US" w:eastAsia="de-DE"/>
              </w:rPr>
              <w:br/>
              <w:t>D: 3% for costs and utilities</w:t>
            </w:r>
          </w:p>
        </w:tc>
        <w:tc>
          <w:tcPr>
            <w:tcW w:w="2068" w:type="dxa"/>
          </w:tcPr>
          <w:p w14:paraId="6D24277A" w14:textId="6638C9E8"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sz w:val="16"/>
                <w:szCs w:val="16"/>
                <w:lang w:val="en-US" w:eastAsia="de-DE"/>
              </w:rPr>
              <w:t>Decision tree with the 2 treatments followed by a Markov model with</w:t>
            </w:r>
            <w:r w:rsidRPr="007E56D0" w:rsidDel="007F0A4C">
              <w:rPr>
                <w:rFonts w:asciiTheme="majorHAnsi" w:eastAsia="Times New Roman" w:hAnsiTheme="majorHAnsi" w:cstheme="majorHAnsi"/>
                <w:sz w:val="16"/>
                <w:szCs w:val="16"/>
                <w:lang w:val="en-US" w:eastAsia="de-DE"/>
              </w:rPr>
              <w:t xml:space="preserve"> </w:t>
            </w:r>
            <w:r w:rsidRPr="007E56D0">
              <w:rPr>
                <w:rFonts w:asciiTheme="majorHAnsi" w:eastAsia="Times New Roman" w:hAnsiTheme="majorHAnsi" w:cstheme="majorHAnsi"/>
                <w:sz w:val="16"/>
                <w:szCs w:val="16"/>
                <w:lang w:val="en-US" w:eastAsia="de-DE"/>
              </w:rPr>
              <w:t>7 health states (mRS 0-5 and death) at 90 days after stroke.</w:t>
            </w:r>
            <w:r w:rsidRPr="007E56D0">
              <w:rPr>
                <w:rFonts w:asciiTheme="majorHAnsi" w:eastAsia="Times New Roman" w:hAnsiTheme="majorHAnsi" w:cstheme="majorHAnsi"/>
                <w:color w:val="000000"/>
                <w:sz w:val="16"/>
                <w:szCs w:val="16"/>
                <w:lang w:val="en-US" w:eastAsia="de-DE"/>
              </w:rPr>
              <w:t xml:space="preserve"> Patients could experience a stroke recurrence and due to this deteriorate in health state</w:t>
            </w:r>
            <w:r w:rsidRPr="007E56D0">
              <w:rPr>
                <w:rFonts w:asciiTheme="majorHAnsi" w:eastAsia="Times New Roman" w:hAnsiTheme="majorHAnsi" w:cstheme="majorHAnsi"/>
                <w:sz w:val="16"/>
                <w:szCs w:val="16"/>
                <w:lang w:val="en-US" w:eastAsia="de-DE"/>
              </w:rPr>
              <w:t>.</w:t>
            </w:r>
          </w:p>
        </w:tc>
        <w:tc>
          <w:tcPr>
            <w:tcW w:w="1284" w:type="dxa"/>
          </w:tcPr>
          <w:p w14:paraId="769A23ED" w14:textId="4FF5E614"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 recurrences modeled</w:t>
            </w:r>
            <w:r w:rsidRPr="007E56D0">
              <w:rPr>
                <w:rFonts w:asciiTheme="majorHAnsi" w:eastAsia="Times New Roman" w:hAnsiTheme="majorHAnsi" w:cstheme="majorHAnsi"/>
                <w:color w:val="000000"/>
                <w:sz w:val="16"/>
                <w:szCs w:val="16"/>
                <w:lang w:val="en-US" w:eastAsia="de-DE"/>
              </w:rPr>
              <w:br/>
              <w:t>- only deterioration after recurrence possible</w:t>
            </w:r>
          </w:p>
        </w:tc>
        <w:tc>
          <w:tcPr>
            <w:tcW w:w="1284" w:type="dxa"/>
            <w:shd w:val="clear" w:color="auto" w:fill="auto"/>
            <w:hideMark/>
          </w:tcPr>
          <w:p w14:paraId="55D9DCAF" w14:textId="27E79CDD"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A: Deterministic cohort simulation</w:t>
            </w:r>
            <w:r w:rsidRPr="007E56D0">
              <w:rPr>
                <w:rFonts w:asciiTheme="majorHAnsi" w:eastAsia="Times New Roman" w:hAnsiTheme="majorHAnsi" w:cstheme="majorHAnsi"/>
                <w:color w:val="000000"/>
                <w:sz w:val="16"/>
                <w:szCs w:val="16"/>
                <w:lang w:val="en-US" w:eastAsia="de-DE"/>
              </w:rPr>
              <w:br/>
              <w:t xml:space="preserve">U: One-way </w:t>
            </w:r>
            <w:r w:rsidR="00630127" w:rsidRPr="007E56D0">
              <w:rPr>
                <w:rFonts w:asciiTheme="majorHAnsi" w:eastAsia="Times New Roman" w:hAnsiTheme="majorHAnsi" w:cstheme="majorHAnsi"/>
                <w:color w:val="000000"/>
                <w:sz w:val="16"/>
                <w:szCs w:val="16"/>
                <w:lang w:val="en-US" w:eastAsia="de-DE"/>
              </w:rPr>
              <w:t xml:space="preserve">DSA, </w:t>
            </w:r>
            <w:r w:rsidRPr="007E56D0">
              <w:rPr>
                <w:rFonts w:asciiTheme="majorHAnsi" w:eastAsia="Times New Roman" w:hAnsiTheme="majorHAnsi" w:cstheme="majorHAnsi"/>
                <w:color w:val="000000"/>
                <w:sz w:val="16"/>
                <w:szCs w:val="16"/>
                <w:lang w:val="en-US" w:eastAsia="de-DE"/>
              </w:rPr>
              <w:t>PSA</w:t>
            </w:r>
          </w:p>
        </w:tc>
        <w:tc>
          <w:tcPr>
            <w:tcW w:w="1441" w:type="dxa"/>
            <w:shd w:val="clear" w:color="auto" w:fill="auto"/>
            <w:hideMark/>
          </w:tcPr>
          <w:p w14:paraId="2769A4E4" w14:textId="7D1F6359" w:rsidR="00795DAB" w:rsidRPr="007E56D0" w:rsidRDefault="001E320F" w:rsidP="009879CF">
            <w:pPr>
              <w:spacing w:after="0" w:line="240" w:lineRule="auto"/>
              <w:rPr>
                <w:rFonts w:asciiTheme="majorHAnsi" w:eastAsia="Times New Roman" w:hAnsiTheme="majorHAnsi" w:cstheme="majorHAnsi"/>
                <w:color w:val="000000"/>
                <w:sz w:val="16"/>
                <w:szCs w:val="16"/>
                <w:lang w:val="en-US" w:eastAsia="de-DE"/>
              </w:rPr>
            </w:pPr>
            <w:r>
              <w:rPr>
                <w:rFonts w:asciiTheme="majorHAnsi" w:eastAsia="Times New Roman" w:hAnsiTheme="majorHAnsi" w:cstheme="majorHAnsi"/>
                <w:color w:val="000000"/>
                <w:sz w:val="16"/>
                <w:szCs w:val="16"/>
                <w:lang w:val="en-US" w:eastAsia="de-DE"/>
              </w:rPr>
              <w:t>P:</w:t>
            </w:r>
            <w:r w:rsidR="00795DAB" w:rsidRPr="007E56D0">
              <w:rPr>
                <w:rFonts w:asciiTheme="majorHAnsi" w:eastAsia="Times New Roman" w:hAnsiTheme="majorHAnsi" w:cstheme="majorHAnsi"/>
                <w:color w:val="000000"/>
                <w:sz w:val="16"/>
                <w:szCs w:val="16"/>
                <w:lang w:val="en-US" w:eastAsia="de-DE"/>
              </w:rPr>
              <w:t xml:space="preserve"> TPs (only effectiveness), costs</w:t>
            </w:r>
            <w:r w:rsidR="00795DAB" w:rsidRPr="007E56D0">
              <w:rPr>
                <w:rFonts w:asciiTheme="majorHAnsi" w:eastAsia="Times New Roman" w:hAnsiTheme="majorHAnsi" w:cstheme="majorHAnsi"/>
                <w:color w:val="000000"/>
                <w:sz w:val="16"/>
                <w:szCs w:val="16"/>
                <w:lang w:val="en-US" w:eastAsia="de-DE"/>
              </w:rPr>
              <w:br/>
            </w:r>
            <w:r>
              <w:rPr>
                <w:rFonts w:asciiTheme="majorHAnsi" w:eastAsia="Times New Roman" w:hAnsiTheme="majorHAnsi" w:cstheme="majorHAnsi"/>
                <w:color w:val="000000"/>
                <w:sz w:val="16"/>
                <w:szCs w:val="16"/>
                <w:lang w:val="en-US" w:eastAsia="de-DE"/>
              </w:rPr>
              <w:t>R:</w:t>
            </w:r>
            <w:r w:rsidR="00795DAB" w:rsidRPr="007E56D0">
              <w:rPr>
                <w:rFonts w:asciiTheme="majorHAnsi" w:eastAsia="Times New Roman" w:hAnsiTheme="majorHAnsi" w:cstheme="majorHAnsi"/>
                <w:color w:val="000000"/>
                <w:sz w:val="16"/>
                <w:szCs w:val="16"/>
                <w:lang w:val="en-US" w:eastAsia="de-DE"/>
              </w:rPr>
              <w:t xml:space="preserve"> ±25% for some costs</w:t>
            </w:r>
          </w:p>
        </w:tc>
        <w:tc>
          <w:tcPr>
            <w:tcW w:w="964" w:type="dxa"/>
            <w:shd w:val="clear" w:color="auto" w:fill="auto"/>
            <w:hideMark/>
          </w:tcPr>
          <w:p w14:paraId="1AE780B1" w14:textId="11DBB0A5"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Utilities: beta costs: gamma</w:t>
            </w:r>
            <w:r w:rsidRPr="007E56D0">
              <w:rPr>
                <w:rFonts w:asciiTheme="majorHAnsi" w:eastAsia="Times New Roman" w:hAnsiTheme="majorHAnsi" w:cstheme="majorHAnsi"/>
                <w:color w:val="000000"/>
                <w:sz w:val="16"/>
                <w:szCs w:val="16"/>
                <w:lang w:val="en-US" w:eastAsia="de-DE"/>
              </w:rPr>
              <w:br/>
            </w:r>
          </w:p>
        </w:tc>
        <w:tc>
          <w:tcPr>
            <w:tcW w:w="815" w:type="dxa"/>
            <w:shd w:val="clear" w:color="000000" w:fill="FFFFFF"/>
            <w:hideMark/>
          </w:tcPr>
          <w:p w14:paraId="3E40D32D" w14:textId="77777777" w:rsidR="00795DAB" w:rsidRPr="007E56D0" w:rsidRDefault="00795DAB" w:rsidP="009879CF">
            <w:pPr>
              <w:spacing w:after="0" w:line="240" w:lineRule="auto"/>
              <w:rPr>
                <w:rFonts w:asciiTheme="majorHAnsi" w:eastAsia="Times New Roman" w:hAnsiTheme="majorHAnsi" w:cstheme="majorHAnsi"/>
                <w:color w:val="000000"/>
                <w:sz w:val="16"/>
                <w:szCs w:val="16"/>
                <w:lang w:val="en-US" w:eastAsia="de-DE"/>
              </w:rPr>
            </w:pPr>
            <w:r w:rsidRPr="007E56D0">
              <w:rPr>
                <w:rFonts w:asciiTheme="majorHAnsi" w:eastAsia="Times New Roman" w:hAnsiTheme="majorHAnsi" w:cstheme="majorHAnsi"/>
                <w:color w:val="000000"/>
                <w:sz w:val="16"/>
                <w:szCs w:val="16"/>
                <w:lang w:val="en-US" w:eastAsia="de-DE"/>
              </w:rPr>
              <w:t>Face and cross validation</w:t>
            </w:r>
          </w:p>
        </w:tc>
      </w:tr>
      <w:tr w:rsidR="009879CF" w:rsidRPr="004515C5" w14:paraId="1AA95373" w14:textId="77777777" w:rsidTr="004515C5">
        <w:trPr>
          <w:trHeight w:val="74"/>
          <w:tblCellSpacing w:w="85" w:type="dxa"/>
        </w:trPr>
        <w:tc>
          <w:tcPr>
            <w:tcW w:w="1057" w:type="dxa"/>
            <w:shd w:val="clear" w:color="auto" w:fill="auto"/>
          </w:tcPr>
          <w:p w14:paraId="757D6965" w14:textId="77777777" w:rsidR="00213ABF" w:rsidRPr="007E56D0" w:rsidRDefault="00213ABF" w:rsidP="009879CF">
            <w:pPr>
              <w:spacing w:after="0" w:line="240" w:lineRule="auto"/>
              <w:rPr>
                <w:rFonts w:asciiTheme="majorHAnsi" w:eastAsia="Times New Roman" w:hAnsiTheme="majorHAnsi" w:cstheme="majorHAnsi"/>
                <w:color w:val="000000"/>
                <w:sz w:val="16"/>
                <w:szCs w:val="16"/>
                <w:lang w:val="en-US" w:eastAsia="de-DE"/>
              </w:rPr>
            </w:pPr>
          </w:p>
        </w:tc>
        <w:tc>
          <w:tcPr>
            <w:tcW w:w="903" w:type="dxa"/>
          </w:tcPr>
          <w:p w14:paraId="67412DAB" w14:textId="77777777" w:rsidR="00213ABF" w:rsidRPr="007E56D0" w:rsidRDefault="00213ABF" w:rsidP="009879CF">
            <w:pPr>
              <w:spacing w:after="0" w:line="240" w:lineRule="auto"/>
              <w:rPr>
                <w:rFonts w:asciiTheme="majorHAnsi" w:eastAsia="Times New Roman" w:hAnsiTheme="majorHAnsi" w:cstheme="majorHAnsi"/>
                <w:color w:val="000000"/>
                <w:sz w:val="16"/>
                <w:szCs w:val="16"/>
                <w:lang w:val="en-US" w:eastAsia="de-DE"/>
              </w:rPr>
            </w:pPr>
          </w:p>
        </w:tc>
        <w:tc>
          <w:tcPr>
            <w:tcW w:w="989" w:type="dxa"/>
            <w:shd w:val="clear" w:color="auto" w:fill="auto"/>
          </w:tcPr>
          <w:p w14:paraId="4A81DB34" w14:textId="77777777" w:rsidR="00213ABF" w:rsidRPr="007E56D0" w:rsidRDefault="00213ABF" w:rsidP="009879CF">
            <w:pPr>
              <w:spacing w:after="0" w:line="240" w:lineRule="auto"/>
              <w:rPr>
                <w:rFonts w:asciiTheme="majorHAnsi" w:eastAsia="Times New Roman" w:hAnsiTheme="majorHAnsi" w:cstheme="majorHAnsi"/>
                <w:color w:val="000000"/>
                <w:sz w:val="16"/>
                <w:szCs w:val="16"/>
                <w:lang w:val="en-US" w:eastAsia="de-DE"/>
              </w:rPr>
            </w:pPr>
          </w:p>
        </w:tc>
        <w:tc>
          <w:tcPr>
            <w:tcW w:w="808" w:type="dxa"/>
            <w:shd w:val="clear" w:color="auto" w:fill="auto"/>
          </w:tcPr>
          <w:p w14:paraId="72C32ACF" w14:textId="77777777" w:rsidR="00213ABF" w:rsidRPr="007E56D0" w:rsidRDefault="00213ABF" w:rsidP="009879CF">
            <w:pPr>
              <w:spacing w:after="0" w:line="240" w:lineRule="auto"/>
              <w:rPr>
                <w:rFonts w:asciiTheme="majorHAnsi" w:hAnsiTheme="majorHAnsi" w:cstheme="majorHAnsi"/>
                <w:color w:val="000000"/>
                <w:sz w:val="16"/>
                <w:szCs w:val="16"/>
                <w:lang w:val="en-US"/>
              </w:rPr>
            </w:pPr>
          </w:p>
        </w:tc>
        <w:tc>
          <w:tcPr>
            <w:tcW w:w="1025" w:type="dxa"/>
            <w:shd w:val="clear" w:color="auto" w:fill="auto"/>
          </w:tcPr>
          <w:p w14:paraId="444E4DFF" w14:textId="77777777" w:rsidR="00213ABF" w:rsidRPr="007E56D0" w:rsidRDefault="00213ABF" w:rsidP="009879CF">
            <w:pPr>
              <w:spacing w:after="0" w:line="240" w:lineRule="auto"/>
              <w:rPr>
                <w:rFonts w:asciiTheme="majorHAnsi" w:eastAsia="Times New Roman" w:hAnsiTheme="majorHAnsi" w:cstheme="majorHAnsi"/>
                <w:color w:val="000000"/>
                <w:sz w:val="16"/>
                <w:szCs w:val="16"/>
                <w:lang w:val="en-US" w:eastAsia="de-DE"/>
              </w:rPr>
            </w:pPr>
          </w:p>
        </w:tc>
        <w:tc>
          <w:tcPr>
            <w:tcW w:w="2068" w:type="dxa"/>
          </w:tcPr>
          <w:p w14:paraId="0B1300CA" w14:textId="77777777" w:rsidR="00213ABF" w:rsidRPr="007E56D0" w:rsidRDefault="00213ABF" w:rsidP="009879CF">
            <w:pPr>
              <w:spacing w:after="0" w:line="240" w:lineRule="auto"/>
              <w:rPr>
                <w:rFonts w:asciiTheme="majorHAnsi" w:eastAsia="Times New Roman" w:hAnsiTheme="majorHAnsi" w:cstheme="majorHAnsi"/>
                <w:sz w:val="16"/>
                <w:szCs w:val="16"/>
                <w:lang w:val="en-US" w:eastAsia="de-DE"/>
              </w:rPr>
            </w:pPr>
          </w:p>
        </w:tc>
        <w:tc>
          <w:tcPr>
            <w:tcW w:w="1284" w:type="dxa"/>
          </w:tcPr>
          <w:p w14:paraId="7311EDFE" w14:textId="77777777" w:rsidR="00213ABF" w:rsidRPr="007E56D0" w:rsidRDefault="00213ABF" w:rsidP="009879CF">
            <w:pPr>
              <w:spacing w:after="0" w:line="240" w:lineRule="auto"/>
              <w:rPr>
                <w:rFonts w:asciiTheme="majorHAnsi" w:eastAsia="Times New Roman" w:hAnsiTheme="majorHAnsi" w:cstheme="majorHAnsi"/>
                <w:color w:val="000000"/>
                <w:sz w:val="16"/>
                <w:szCs w:val="16"/>
                <w:lang w:val="en-US" w:eastAsia="de-DE"/>
              </w:rPr>
            </w:pPr>
          </w:p>
        </w:tc>
        <w:tc>
          <w:tcPr>
            <w:tcW w:w="1284" w:type="dxa"/>
            <w:shd w:val="clear" w:color="auto" w:fill="auto"/>
          </w:tcPr>
          <w:p w14:paraId="11E41459" w14:textId="77777777" w:rsidR="00213ABF" w:rsidRPr="007E56D0" w:rsidRDefault="00213ABF" w:rsidP="009879CF">
            <w:pPr>
              <w:spacing w:after="0" w:line="240" w:lineRule="auto"/>
              <w:rPr>
                <w:rFonts w:asciiTheme="majorHAnsi" w:eastAsia="Times New Roman" w:hAnsiTheme="majorHAnsi" w:cstheme="majorHAnsi"/>
                <w:color w:val="000000"/>
                <w:sz w:val="16"/>
                <w:szCs w:val="16"/>
                <w:lang w:val="en-US" w:eastAsia="de-DE"/>
              </w:rPr>
            </w:pPr>
          </w:p>
        </w:tc>
        <w:tc>
          <w:tcPr>
            <w:tcW w:w="1441" w:type="dxa"/>
            <w:shd w:val="clear" w:color="auto" w:fill="auto"/>
          </w:tcPr>
          <w:p w14:paraId="75ED6389" w14:textId="77777777" w:rsidR="00213ABF" w:rsidRPr="007E56D0" w:rsidRDefault="00213ABF" w:rsidP="009879CF">
            <w:pPr>
              <w:spacing w:after="0" w:line="240" w:lineRule="auto"/>
              <w:rPr>
                <w:rFonts w:asciiTheme="majorHAnsi" w:eastAsia="Times New Roman" w:hAnsiTheme="majorHAnsi" w:cstheme="majorHAnsi"/>
                <w:color w:val="000000"/>
                <w:sz w:val="16"/>
                <w:szCs w:val="16"/>
                <w:lang w:val="en-US" w:eastAsia="de-DE"/>
              </w:rPr>
            </w:pPr>
          </w:p>
        </w:tc>
        <w:tc>
          <w:tcPr>
            <w:tcW w:w="964" w:type="dxa"/>
            <w:shd w:val="clear" w:color="auto" w:fill="auto"/>
          </w:tcPr>
          <w:p w14:paraId="2F106A5E" w14:textId="77777777" w:rsidR="00213ABF" w:rsidRPr="007E56D0" w:rsidRDefault="00213ABF" w:rsidP="009879CF">
            <w:pPr>
              <w:spacing w:after="0" w:line="240" w:lineRule="auto"/>
              <w:rPr>
                <w:rFonts w:asciiTheme="majorHAnsi" w:eastAsia="Times New Roman" w:hAnsiTheme="majorHAnsi" w:cstheme="majorHAnsi"/>
                <w:color w:val="000000"/>
                <w:sz w:val="16"/>
                <w:szCs w:val="16"/>
                <w:lang w:val="en-US" w:eastAsia="de-DE"/>
              </w:rPr>
            </w:pPr>
          </w:p>
        </w:tc>
        <w:tc>
          <w:tcPr>
            <w:tcW w:w="815" w:type="dxa"/>
            <w:shd w:val="clear" w:color="000000" w:fill="FFFFFF"/>
          </w:tcPr>
          <w:p w14:paraId="23CD6BB2" w14:textId="77777777" w:rsidR="00213ABF" w:rsidRPr="007E56D0" w:rsidRDefault="00213ABF" w:rsidP="009879CF">
            <w:pPr>
              <w:spacing w:after="0" w:line="240" w:lineRule="auto"/>
              <w:rPr>
                <w:rFonts w:asciiTheme="majorHAnsi" w:eastAsia="Times New Roman" w:hAnsiTheme="majorHAnsi" w:cstheme="majorHAnsi"/>
                <w:color w:val="000000"/>
                <w:sz w:val="16"/>
                <w:szCs w:val="16"/>
                <w:lang w:val="en-US" w:eastAsia="de-DE"/>
              </w:rPr>
            </w:pPr>
          </w:p>
        </w:tc>
      </w:tr>
    </w:tbl>
    <w:bookmarkEnd w:id="1"/>
    <w:p w14:paraId="1ED8EA13" w14:textId="409A0094" w:rsidR="007529D1" w:rsidRPr="007E56D0" w:rsidRDefault="00F43764">
      <w:pPr>
        <w:rPr>
          <w:rFonts w:asciiTheme="majorHAnsi" w:hAnsiTheme="majorHAnsi" w:cstheme="majorHAnsi"/>
          <w:lang w:val="en-US"/>
        </w:rPr>
      </w:pPr>
      <w:r w:rsidRPr="007E56D0">
        <w:rPr>
          <w:rFonts w:asciiTheme="majorHAnsi" w:eastAsia="Times New Roman" w:hAnsiTheme="majorHAnsi" w:cstheme="majorHAnsi"/>
          <w:i/>
          <w:iCs/>
          <w:color w:val="000000"/>
          <w:sz w:val="16"/>
          <w:szCs w:val="16"/>
          <w:lang w:val="en-US" w:eastAsia="de-DE"/>
        </w:rPr>
        <w:t xml:space="preserve">ASPECTS = Alberta Stroke Program Early CT Scores, BMC = Best Medical Care, BMM = Best Medical Management, BMT = Best Medical Therapy, BSC = Best Supportive Care, CT = Computer Tomography, CTP = Computed Tomography Perfusion, CUA = Cost-Utility Analysis, DSA = Deterministic Sensitivity Analysis, EVPPI = Expected Value of Perfect Parameter Information, EVT = Endovascular Therapy/Thrombectomy, IAT = Intraarterial Treatment, ICH = Intracranial Hemorrhage, ICUR = Incremental Cost-Utility Ratio, (i)NMB = (incremental) Net Monetary Benefit, IV-tPA = Intravenous thrombolysis with tissue Plasminogen Activator, IVT = Intravenous Thrombolysis, </w:t>
      </w:r>
      <w:r w:rsidR="002D3408">
        <w:rPr>
          <w:rFonts w:asciiTheme="majorHAnsi" w:eastAsia="Times New Roman" w:hAnsiTheme="majorHAnsi" w:cstheme="majorHAnsi"/>
          <w:i/>
          <w:iCs/>
          <w:color w:val="000000"/>
          <w:sz w:val="16"/>
          <w:szCs w:val="16"/>
          <w:lang w:val="en-US" w:eastAsia="de-DE"/>
        </w:rPr>
        <w:t xml:space="preserve">ml = </w:t>
      </w:r>
      <w:r w:rsidR="002D3408" w:rsidRPr="002D3408">
        <w:rPr>
          <w:rFonts w:asciiTheme="majorHAnsi" w:eastAsia="Times New Roman" w:hAnsiTheme="majorHAnsi" w:cstheme="majorHAnsi"/>
          <w:i/>
          <w:iCs/>
          <w:color w:val="000000"/>
          <w:sz w:val="16"/>
          <w:szCs w:val="16"/>
          <w:lang w:val="en-US" w:eastAsia="de-DE"/>
        </w:rPr>
        <w:t>milliliter</w:t>
      </w:r>
      <w:r w:rsidR="002D3408">
        <w:rPr>
          <w:rFonts w:asciiTheme="majorHAnsi" w:eastAsia="Times New Roman" w:hAnsiTheme="majorHAnsi" w:cstheme="majorHAnsi"/>
          <w:i/>
          <w:iCs/>
          <w:color w:val="000000"/>
          <w:sz w:val="16"/>
          <w:szCs w:val="16"/>
          <w:lang w:val="en-US" w:eastAsia="de-DE"/>
        </w:rPr>
        <w:t xml:space="preserve">, </w:t>
      </w:r>
      <w:r w:rsidRPr="007E56D0">
        <w:rPr>
          <w:rFonts w:asciiTheme="majorHAnsi" w:eastAsia="Times New Roman" w:hAnsiTheme="majorHAnsi" w:cstheme="majorHAnsi"/>
          <w:i/>
          <w:iCs/>
          <w:color w:val="000000"/>
          <w:sz w:val="16"/>
          <w:szCs w:val="16"/>
          <w:lang w:val="en-US" w:eastAsia="de-DE"/>
        </w:rPr>
        <w:t>MM = Medical Management, mRS = Modified Rankin Scale, MT = Mechanical Thrombectomy, NIHSS = National Institutes of Health Stroke Scale, NMB = Net Monetary Benefit, PSA = Probabilistic Sensitivity Analysis, QALY = Quality Adjusted Life Year, RCT = Randomized Controlled Trial, SC = Standard Care, sICH = symptomatic Intracranial Hemorrhage, SMT = Standard Medical Therapy, SRT = Stent Retriever Thrombectomy, TBY = Thrombectomy, THB = Thai Baht, TPs = Transition Probabilities</w:t>
      </w:r>
    </w:p>
    <w:p w14:paraId="32D722AF" w14:textId="025A7403" w:rsidR="007529D1" w:rsidRPr="007E56D0" w:rsidRDefault="007529D1">
      <w:pPr>
        <w:rPr>
          <w:rFonts w:asciiTheme="majorHAnsi" w:hAnsiTheme="majorHAnsi" w:cstheme="majorHAnsi"/>
          <w:lang w:val="en-US"/>
        </w:rPr>
      </w:pPr>
    </w:p>
    <w:p w14:paraId="4FF35A9E" w14:textId="45E84FB7" w:rsidR="007529D1" w:rsidRPr="007E56D0" w:rsidRDefault="007529D1">
      <w:pPr>
        <w:rPr>
          <w:rFonts w:asciiTheme="majorHAnsi" w:hAnsiTheme="majorHAnsi" w:cstheme="majorHAnsi"/>
          <w:lang w:val="en-US"/>
        </w:rPr>
      </w:pPr>
    </w:p>
    <w:tbl>
      <w:tblPr>
        <w:tblpPr w:leftFromText="142" w:rightFromText="142" w:vertAnchor="page" w:horzAnchor="margin" w:tblpXSpec="center" w:tblpY="1702"/>
        <w:tblOverlap w:val="never"/>
        <w:tblW w:w="15042"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434"/>
        <w:gridCol w:w="7513"/>
        <w:gridCol w:w="2835"/>
        <w:gridCol w:w="3260"/>
      </w:tblGrid>
      <w:tr w:rsidR="00823D81" w:rsidRPr="001E2D03" w14:paraId="46EEEC37" w14:textId="77777777" w:rsidTr="00136CC9">
        <w:trPr>
          <w:tblHeader/>
        </w:trPr>
        <w:tc>
          <w:tcPr>
            <w:tcW w:w="15042" w:type="dxa"/>
            <w:gridSpan w:val="4"/>
            <w:tcBorders>
              <w:top w:val="nil"/>
              <w:bottom w:val="nil"/>
            </w:tcBorders>
            <w:shd w:val="clear" w:color="auto" w:fill="auto"/>
            <w:noWrap/>
            <w:tcMar>
              <w:top w:w="57" w:type="dxa"/>
              <w:bottom w:w="57" w:type="dxa"/>
            </w:tcMar>
            <w:hideMark/>
          </w:tcPr>
          <w:p w14:paraId="4AE4CF3B" w14:textId="2921421D" w:rsidR="00823D81" w:rsidRPr="007E56D0" w:rsidRDefault="00282425" w:rsidP="00136CC9">
            <w:pPr>
              <w:spacing w:after="0"/>
              <w:rPr>
                <w:rFonts w:asciiTheme="majorHAnsi" w:hAnsiTheme="majorHAnsi" w:cstheme="majorHAnsi"/>
                <w:color w:val="000000"/>
                <w:sz w:val="24"/>
                <w:szCs w:val="24"/>
                <w:lang w:val="en-US"/>
              </w:rPr>
            </w:pPr>
            <w:bookmarkStart w:id="2" w:name="_Hlk216772228"/>
            <w:r w:rsidRPr="007E56D0">
              <w:rPr>
                <w:rFonts w:asciiTheme="majorHAnsi" w:hAnsiTheme="majorHAnsi" w:cstheme="majorHAnsi"/>
                <w:b/>
                <w:bCs/>
                <w:color w:val="000000"/>
                <w:sz w:val="24"/>
                <w:szCs w:val="24"/>
                <w:lang w:val="en-US"/>
              </w:rPr>
              <w:lastRenderedPageBreak/>
              <w:t>Supplementary t</w:t>
            </w:r>
            <w:r w:rsidR="00823D81" w:rsidRPr="007E56D0">
              <w:rPr>
                <w:rFonts w:asciiTheme="majorHAnsi" w:hAnsiTheme="majorHAnsi" w:cstheme="majorHAnsi"/>
                <w:b/>
                <w:bCs/>
                <w:color w:val="000000"/>
                <w:sz w:val="24"/>
                <w:szCs w:val="24"/>
                <w:lang w:val="en-US"/>
              </w:rPr>
              <w:t xml:space="preserve">able </w:t>
            </w:r>
            <w:r w:rsidRPr="007E56D0">
              <w:rPr>
                <w:rFonts w:asciiTheme="majorHAnsi" w:hAnsiTheme="majorHAnsi" w:cstheme="majorHAnsi"/>
                <w:b/>
                <w:bCs/>
                <w:color w:val="000000"/>
                <w:sz w:val="24"/>
                <w:szCs w:val="24"/>
                <w:lang w:val="en-US"/>
              </w:rPr>
              <w:t>S</w:t>
            </w:r>
            <w:r w:rsidR="0062435D">
              <w:rPr>
                <w:rFonts w:asciiTheme="majorHAnsi" w:hAnsiTheme="majorHAnsi" w:cstheme="majorHAnsi"/>
                <w:b/>
                <w:bCs/>
                <w:color w:val="000000"/>
                <w:sz w:val="24"/>
                <w:szCs w:val="24"/>
                <w:lang w:val="en-US"/>
              </w:rPr>
              <w:t>4</w:t>
            </w:r>
            <w:r w:rsidR="00823D81" w:rsidRPr="007E56D0">
              <w:rPr>
                <w:rFonts w:asciiTheme="majorHAnsi" w:hAnsiTheme="majorHAnsi" w:cstheme="majorHAnsi"/>
                <w:lang w:val="en-US"/>
              </w:rPr>
              <w:t xml:space="preserve"> </w:t>
            </w:r>
            <w:r w:rsidR="00823D81" w:rsidRPr="007E56D0">
              <w:rPr>
                <w:rFonts w:asciiTheme="majorHAnsi" w:hAnsiTheme="majorHAnsi" w:cstheme="majorHAnsi"/>
                <w:color w:val="000000"/>
                <w:sz w:val="24"/>
                <w:szCs w:val="24"/>
                <w:lang w:val="en-US"/>
              </w:rPr>
              <w:t>Parameter Inputs</w:t>
            </w:r>
          </w:p>
        </w:tc>
      </w:tr>
      <w:tr w:rsidR="00823D81" w:rsidRPr="001E2D03" w14:paraId="3D4F4E3F" w14:textId="77777777" w:rsidTr="00136CC9">
        <w:trPr>
          <w:tblHeader/>
        </w:trPr>
        <w:tc>
          <w:tcPr>
            <w:tcW w:w="15042" w:type="dxa"/>
            <w:gridSpan w:val="4"/>
            <w:tcBorders>
              <w:top w:val="nil"/>
              <w:bottom w:val="single" w:sz="4" w:space="0" w:color="auto"/>
            </w:tcBorders>
            <w:shd w:val="clear" w:color="auto" w:fill="auto"/>
            <w:noWrap/>
            <w:tcMar>
              <w:top w:w="57" w:type="dxa"/>
              <w:bottom w:w="57" w:type="dxa"/>
            </w:tcMar>
          </w:tcPr>
          <w:p w14:paraId="56E8D564" w14:textId="77777777" w:rsidR="00823D81" w:rsidRPr="007E56D0" w:rsidRDefault="00823D81" w:rsidP="00136CC9">
            <w:pPr>
              <w:spacing w:after="0"/>
              <w:rPr>
                <w:rFonts w:asciiTheme="majorHAnsi" w:hAnsiTheme="majorHAnsi" w:cstheme="majorHAnsi"/>
                <w:color w:val="000000"/>
                <w:sz w:val="16"/>
                <w:szCs w:val="16"/>
                <w:lang w:val="en-US"/>
              </w:rPr>
            </w:pPr>
          </w:p>
        </w:tc>
      </w:tr>
      <w:tr w:rsidR="00823D81" w:rsidRPr="007E56D0" w14:paraId="1AD20540" w14:textId="77777777" w:rsidTr="00136CC9">
        <w:trPr>
          <w:tblHeader/>
        </w:trPr>
        <w:tc>
          <w:tcPr>
            <w:tcW w:w="1434" w:type="dxa"/>
            <w:tcBorders>
              <w:top w:val="nil"/>
              <w:bottom w:val="nil"/>
            </w:tcBorders>
            <w:shd w:val="clear" w:color="auto" w:fill="auto"/>
            <w:tcMar>
              <w:top w:w="57" w:type="dxa"/>
              <w:bottom w:w="57" w:type="dxa"/>
            </w:tcMar>
            <w:hideMark/>
          </w:tcPr>
          <w:p w14:paraId="601465E4" w14:textId="12E60D19" w:rsidR="00823D81" w:rsidRPr="007E56D0" w:rsidRDefault="00823D81" w:rsidP="00136CC9">
            <w:pPr>
              <w:spacing w:after="0"/>
              <w:rPr>
                <w:rFonts w:asciiTheme="majorHAnsi" w:hAnsiTheme="majorHAnsi" w:cstheme="majorHAnsi"/>
                <w:b/>
                <w:bCs/>
                <w:color w:val="000000"/>
                <w:sz w:val="16"/>
                <w:szCs w:val="16"/>
              </w:rPr>
            </w:pPr>
            <w:r w:rsidRPr="007E56D0">
              <w:rPr>
                <w:rFonts w:asciiTheme="majorHAnsi" w:hAnsiTheme="majorHAnsi" w:cstheme="majorHAnsi"/>
                <w:b/>
                <w:bCs/>
                <w:color w:val="000000"/>
                <w:sz w:val="16"/>
                <w:szCs w:val="16"/>
              </w:rPr>
              <w:t xml:space="preserve">Author, </w:t>
            </w:r>
            <w:r w:rsidR="00BD10FE">
              <w:rPr>
                <w:rFonts w:asciiTheme="majorHAnsi" w:hAnsiTheme="majorHAnsi" w:cstheme="majorHAnsi"/>
                <w:b/>
                <w:bCs/>
                <w:color w:val="000000"/>
                <w:sz w:val="16"/>
                <w:szCs w:val="16"/>
              </w:rPr>
              <w:t>setting</w:t>
            </w:r>
          </w:p>
        </w:tc>
        <w:tc>
          <w:tcPr>
            <w:tcW w:w="7513" w:type="dxa"/>
            <w:tcBorders>
              <w:top w:val="nil"/>
              <w:bottom w:val="nil"/>
            </w:tcBorders>
            <w:shd w:val="clear" w:color="auto" w:fill="auto"/>
            <w:noWrap/>
            <w:tcMar>
              <w:top w:w="57" w:type="dxa"/>
              <w:bottom w:w="57" w:type="dxa"/>
            </w:tcMar>
            <w:hideMark/>
          </w:tcPr>
          <w:p w14:paraId="0995C375" w14:textId="77777777" w:rsidR="00823D81" w:rsidRPr="007E56D0" w:rsidRDefault="00823D81" w:rsidP="00136CC9">
            <w:pPr>
              <w:spacing w:after="0"/>
              <w:rPr>
                <w:rFonts w:asciiTheme="majorHAnsi" w:hAnsiTheme="majorHAnsi" w:cstheme="majorHAnsi"/>
                <w:b/>
                <w:bCs/>
                <w:color w:val="000000"/>
                <w:sz w:val="16"/>
                <w:szCs w:val="16"/>
              </w:rPr>
            </w:pPr>
            <w:r w:rsidRPr="007E56D0">
              <w:rPr>
                <w:rFonts w:asciiTheme="majorHAnsi" w:hAnsiTheme="majorHAnsi" w:cstheme="majorHAnsi"/>
                <w:b/>
                <w:bCs/>
                <w:color w:val="000000"/>
                <w:sz w:val="16"/>
                <w:szCs w:val="16"/>
              </w:rPr>
              <w:t>Transition probabilities</w:t>
            </w:r>
          </w:p>
        </w:tc>
        <w:tc>
          <w:tcPr>
            <w:tcW w:w="2835" w:type="dxa"/>
            <w:tcBorders>
              <w:top w:val="nil"/>
              <w:bottom w:val="nil"/>
            </w:tcBorders>
            <w:shd w:val="clear" w:color="auto" w:fill="auto"/>
            <w:noWrap/>
            <w:tcMar>
              <w:top w:w="57" w:type="dxa"/>
              <w:bottom w:w="57" w:type="dxa"/>
            </w:tcMar>
            <w:hideMark/>
          </w:tcPr>
          <w:p w14:paraId="51781AFF" w14:textId="77777777" w:rsidR="00823D81" w:rsidRPr="007E56D0" w:rsidRDefault="00823D81" w:rsidP="00136CC9">
            <w:pPr>
              <w:spacing w:after="0"/>
              <w:rPr>
                <w:rFonts w:asciiTheme="majorHAnsi" w:hAnsiTheme="majorHAnsi" w:cstheme="majorHAnsi"/>
                <w:b/>
                <w:bCs/>
                <w:color w:val="000000"/>
                <w:sz w:val="16"/>
                <w:szCs w:val="16"/>
              </w:rPr>
            </w:pPr>
            <w:r w:rsidRPr="007E56D0">
              <w:rPr>
                <w:rFonts w:asciiTheme="majorHAnsi" w:hAnsiTheme="majorHAnsi" w:cstheme="majorHAnsi"/>
                <w:b/>
                <w:bCs/>
                <w:color w:val="000000"/>
                <w:sz w:val="16"/>
                <w:szCs w:val="16"/>
              </w:rPr>
              <w:t>Utilities</w:t>
            </w:r>
          </w:p>
        </w:tc>
        <w:tc>
          <w:tcPr>
            <w:tcW w:w="3260" w:type="dxa"/>
            <w:tcBorders>
              <w:top w:val="nil"/>
              <w:bottom w:val="nil"/>
            </w:tcBorders>
            <w:shd w:val="clear" w:color="auto" w:fill="auto"/>
            <w:noWrap/>
            <w:tcMar>
              <w:top w:w="57" w:type="dxa"/>
              <w:bottom w:w="57" w:type="dxa"/>
            </w:tcMar>
            <w:hideMark/>
          </w:tcPr>
          <w:p w14:paraId="07B08B05" w14:textId="77777777" w:rsidR="00823D81" w:rsidRPr="007E56D0" w:rsidRDefault="00823D81" w:rsidP="00136CC9">
            <w:pPr>
              <w:spacing w:after="0"/>
              <w:rPr>
                <w:rFonts w:asciiTheme="majorHAnsi" w:hAnsiTheme="majorHAnsi" w:cstheme="majorHAnsi"/>
                <w:b/>
                <w:bCs/>
                <w:sz w:val="16"/>
                <w:szCs w:val="16"/>
              </w:rPr>
            </w:pPr>
            <w:r w:rsidRPr="007E56D0">
              <w:rPr>
                <w:rFonts w:asciiTheme="majorHAnsi" w:hAnsiTheme="majorHAnsi" w:cstheme="majorHAnsi"/>
                <w:b/>
                <w:bCs/>
                <w:sz w:val="16"/>
                <w:szCs w:val="16"/>
              </w:rPr>
              <w:t>Costs</w:t>
            </w:r>
          </w:p>
        </w:tc>
      </w:tr>
      <w:tr w:rsidR="00823D81" w:rsidRPr="007E56D0" w14:paraId="51880167" w14:textId="77777777" w:rsidTr="00136CC9">
        <w:trPr>
          <w:tblHeader/>
        </w:trPr>
        <w:tc>
          <w:tcPr>
            <w:tcW w:w="1434" w:type="dxa"/>
            <w:tcBorders>
              <w:top w:val="single" w:sz="4" w:space="0" w:color="auto"/>
            </w:tcBorders>
            <w:shd w:val="clear" w:color="auto" w:fill="auto"/>
            <w:tcMar>
              <w:top w:w="57" w:type="dxa"/>
              <w:bottom w:w="57" w:type="dxa"/>
            </w:tcMar>
          </w:tcPr>
          <w:p w14:paraId="27A988A7" w14:textId="77777777" w:rsidR="00823D81" w:rsidRPr="007E56D0" w:rsidRDefault="00823D81" w:rsidP="00136CC9">
            <w:pPr>
              <w:spacing w:after="0"/>
              <w:rPr>
                <w:rFonts w:asciiTheme="majorHAnsi" w:hAnsiTheme="majorHAnsi" w:cstheme="majorHAnsi"/>
                <w:color w:val="000000"/>
                <w:sz w:val="16"/>
                <w:szCs w:val="16"/>
              </w:rPr>
            </w:pPr>
          </w:p>
        </w:tc>
        <w:tc>
          <w:tcPr>
            <w:tcW w:w="7513" w:type="dxa"/>
            <w:tcBorders>
              <w:top w:val="single" w:sz="4" w:space="0" w:color="auto"/>
            </w:tcBorders>
            <w:shd w:val="clear" w:color="auto" w:fill="auto"/>
            <w:noWrap/>
            <w:tcMar>
              <w:top w:w="57" w:type="dxa"/>
              <w:bottom w:w="57" w:type="dxa"/>
            </w:tcMar>
          </w:tcPr>
          <w:p w14:paraId="2DEC2F1C" w14:textId="77777777" w:rsidR="00823D81" w:rsidRPr="007E56D0" w:rsidRDefault="00823D81" w:rsidP="00136CC9">
            <w:pPr>
              <w:spacing w:after="0"/>
              <w:rPr>
                <w:rFonts w:asciiTheme="majorHAnsi" w:hAnsiTheme="majorHAnsi" w:cstheme="majorHAnsi"/>
                <w:color w:val="000000"/>
                <w:sz w:val="16"/>
                <w:szCs w:val="16"/>
              </w:rPr>
            </w:pPr>
          </w:p>
        </w:tc>
        <w:tc>
          <w:tcPr>
            <w:tcW w:w="2835" w:type="dxa"/>
            <w:tcBorders>
              <w:top w:val="single" w:sz="4" w:space="0" w:color="auto"/>
            </w:tcBorders>
            <w:shd w:val="clear" w:color="auto" w:fill="auto"/>
            <w:noWrap/>
            <w:tcMar>
              <w:top w:w="57" w:type="dxa"/>
              <w:bottom w:w="57" w:type="dxa"/>
            </w:tcMar>
          </w:tcPr>
          <w:p w14:paraId="58D800BD" w14:textId="77777777" w:rsidR="00823D81" w:rsidRPr="007E56D0" w:rsidRDefault="00823D81" w:rsidP="00136CC9">
            <w:pPr>
              <w:spacing w:after="0"/>
              <w:rPr>
                <w:rFonts w:asciiTheme="majorHAnsi" w:hAnsiTheme="majorHAnsi" w:cstheme="majorHAnsi"/>
                <w:color w:val="000000"/>
                <w:sz w:val="16"/>
                <w:szCs w:val="16"/>
              </w:rPr>
            </w:pPr>
          </w:p>
        </w:tc>
        <w:tc>
          <w:tcPr>
            <w:tcW w:w="3260" w:type="dxa"/>
            <w:tcBorders>
              <w:top w:val="single" w:sz="4" w:space="0" w:color="auto"/>
            </w:tcBorders>
            <w:shd w:val="clear" w:color="auto" w:fill="auto"/>
            <w:noWrap/>
            <w:tcMar>
              <w:top w:w="57" w:type="dxa"/>
              <w:bottom w:w="57" w:type="dxa"/>
            </w:tcMar>
          </w:tcPr>
          <w:p w14:paraId="71A13C02" w14:textId="77777777" w:rsidR="00823D81" w:rsidRPr="007E56D0" w:rsidRDefault="00823D81" w:rsidP="00136CC9">
            <w:pPr>
              <w:spacing w:after="0"/>
              <w:rPr>
                <w:rFonts w:asciiTheme="majorHAnsi" w:hAnsiTheme="majorHAnsi" w:cstheme="majorHAnsi"/>
                <w:sz w:val="16"/>
                <w:szCs w:val="16"/>
              </w:rPr>
            </w:pPr>
          </w:p>
        </w:tc>
      </w:tr>
      <w:tr w:rsidR="00823D81" w:rsidRPr="001E2D03" w14:paraId="22F769E6" w14:textId="77777777" w:rsidTr="00136CC9">
        <w:trPr>
          <w:tblHeader/>
        </w:trPr>
        <w:tc>
          <w:tcPr>
            <w:tcW w:w="1434" w:type="dxa"/>
            <w:shd w:val="clear" w:color="auto" w:fill="auto"/>
            <w:noWrap/>
            <w:tcMar>
              <w:top w:w="57" w:type="dxa"/>
              <w:bottom w:w="57" w:type="dxa"/>
            </w:tcMar>
            <w:hideMark/>
          </w:tcPr>
          <w:p w14:paraId="69AA9CD0" w14:textId="72C88641"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rPr>
              <w:t>Patil et al. (2009)</w:t>
            </w:r>
            <w:r w:rsidR="003D07CF">
              <w:rPr>
                <w:rFonts w:asciiTheme="majorHAnsi" w:hAnsiTheme="majorHAnsi" w:cstheme="majorHAnsi"/>
                <w:color w:val="000000"/>
                <w:sz w:val="16"/>
                <w:szCs w:val="16"/>
              </w:rPr>
              <w:t>, USA</w:t>
            </w:r>
            <w:r w:rsidRPr="007E56D0">
              <w:rPr>
                <w:rFonts w:asciiTheme="majorHAnsi" w:hAnsiTheme="majorHAnsi" w:cstheme="majorHAnsi"/>
                <w:color w:val="000000"/>
                <w:sz w:val="16"/>
                <w:szCs w:val="16"/>
              </w:rPr>
              <w:t xml:space="preserve"> </w:t>
            </w:r>
            <w:r w:rsidR="00215B90">
              <w:rPr>
                <w:rFonts w:asciiTheme="majorHAnsi" w:hAnsiTheme="majorHAnsi" w:cstheme="majorHAnsi"/>
                <w:color w:val="000000"/>
                <w:sz w:val="16"/>
                <w:szCs w:val="16"/>
                <w:lang w:val="en-US"/>
              </w:rPr>
              <w:t>[1]</w:t>
            </w:r>
          </w:p>
          <w:p w14:paraId="514ED3F1" w14:textId="77777777" w:rsidR="00823D81" w:rsidRPr="007E56D0" w:rsidRDefault="00823D81"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5825B278" w14:textId="1E913959"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 recanalization rates for SMT: placebo group of PROACT-II-study and for MT from MERCI-trial </w:t>
            </w:r>
            <w:r w:rsidRPr="007E56D0">
              <w:rPr>
                <w:rFonts w:asciiTheme="majorHAnsi" w:hAnsiTheme="majorHAnsi" w:cstheme="majorHAnsi"/>
                <w:color w:val="000000"/>
                <w:sz w:val="16"/>
                <w:szCs w:val="16"/>
                <w:lang w:val="en-US"/>
              </w:rPr>
              <w:br/>
              <w:t xml:space="preserve">- sICH probability with SMT: control group of NINDS tPA stroke trial and with MT: MERCI-trial </w:t>
            </w:r>
            <w:r w:rsidRPr="007E56D0">
              <w:rPr>
                <w:rFonts w:asciiTheme="majorHAnsi" w:hAnsiTheme="majorHAnsi" w:cstheme="majorHAnsi"/>
                <w:color w:val="000000"/>
                <w:sz w:val="16"/>
                <w:szCs w:val="16"/>
                <w:lang w:val="en-US"/>
              </w:rPr>
              <w:br/>
              <w:t xml:space="preserve">- health state fractions incl. death: NINDS tPA study and MERCI-study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 xml:space="preserve">Pooled analysis of RCTs by Hacke et al. (2004)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r>
            <w:r w:rsidR="001627EF" w:rsidRPr="007E56D0">
              <w:rPr>
                <w:rFonts w:asciiTheme="majorHAnsi" w:hAnsiTheme="majorHAnsi" w:cstheme="majorHAnsi"/>
                <w:color w:val="000000"/>
                <w:sz w:val="16"/>
                <w:szCs w:val="16"/>
                <w:lang w:val="en-US"/>
              </w:rPr>
              <w:t>Probably as in short-term model in same treatment arm without lower mRS</w:t>
            </w:r>
            <w:r w:rsidR="001627EF" w:rsidRPr="007E56D0" w:rsidDel="001627EF">
              <w:rPr>
                <w:rFonts w:asciiTheme="majorHAnsi" w:hAnsiTheme="majorHAnsi" w:cstheme="majorHAnsi"/>
                <w:color w:val="000000"/>
                <w:sz w:val="16"/>
                <w:szCs w:val="16"/>
                <w:lang w:val="en-US"/>
              </w:rPr>
              <w:t xml:space="preserve">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w:t>
            </w:r>
          </w:p>
        </w:tc>
        <w:tc>
          <w:tcPr>
            <w:tcW w:w="2835" w:type="dxa"/>
            <w:shd w:val="clear" w:color="auto" w:fill="auto"/>
            <w:tcMar>
              <w:top w:w="57" w:type="dxa"/>
              <w:bottom w:w="57" w:type="dxa"/>
            </w:tcMar>
            <w:hideMark/>
          </w:tcPr>
          <w:p w14:paraId="393C9157"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Pooled analysis of RCTs by Hacke et al., (2004)</w:t>
            </w:r>
            <w:r w:rsidRPr="007E56D0">
              <w:rPr>
                <w:rFonts w:asciiTheme="majorHAnsi" w:hAnsiTheme="majorHAnsi" w:cstheme="majorHAnsi"/>
                <w:color w:val="000000"/>
                <w:sz w:val="16"/>
                <w:szCs w:val="16"/>
                <w:lang w:val="en-US"/>
              </w:rPr>
              <w:br/>
            </w:r>
          </w:p>
        </w:tc>
        <w:tc>
          <w:tcPr>
            <w:tcW w:w="3260" w:type="dxa"/>
            <w:shd w:val="clear" w:color="auto" w:fill="auto"/>
            <w:tcMar>
              <w:top w:w="57" w:type="dxa"/>
              <w:bottom w:w="57" w:type="dxa"/>
            </w:tcMar>
            <w:hideMark/>
          </w:tcPr>
          <w:p w14:paraId="63A09816" w14:textId="77777777" w:rsidR="00823D81" w:rsidRPr="007E56D0" w:rsidRDefault="00823D81"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Multiple sources incl. Medicare reimbursement data</w:t>
            </w:r>
          </w:p>
        </w:tc>
      </w:tr>
      <w:tr w:rsidR="00823D81" w:rsidRPr="001E2D03" w14:paraId="643484CD" w14:textId="77777777" w:rsidTr="00136CC9">
        <w:trPr>
          <w:tblHeader/>
        </w:trPr>
        <w:tc>
          <w:tcPr>
            <w:tcW w:w="1434" w:type="dxa"/>
            <w:shd w:val="clear" w:color="auto" w:fill="auto"/>
            <w:noWrap/>
            <w:tcMar>
              <w:top w:w="57" w:type="dxa"/>
              <w:bottom w:w="57" w:type="dxa"/>
            </w:tcMar>
            <w:hideMark/>
          </w:tcPr>
          <w:p w14:paraId="08A6513C" w14:textId="59DE1F42"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Kim et al. (2011)</w:t>
            </w:r>
            <w:r w:rsidR="003D07CF">
              <w:rPr>
                <w:rFonts w:asciiTheme="majorHAnsi" w:hAnsiTheme="majorHAnsi" w:cstheme="majorHAnsi"/>
                <w:color w:val="000000"/>
                <w:sz w:val="16"/>
                <w:szCs w:val="16"/>
                <w:lang w:val="en-US"/>
              </w:rPr>
              <w:t>, USA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[2]</w:t>
            </w:r>
          </w:p>
          <w:p w14:paraId="6F871282" w14:textId="77777777" w:rsidR="00823D81" w:rsidRPr="007E56D0" w:rsidRDefault="00823D81"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2BDDE968"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90 days after stroke:</w:t>
            </w:r>
            <w:r w:rsidRPr="007E56D0">
              <w:rPr>
                <w:rFonts w:asciiTheme="majorHAnsi" w:hAnsiTheme="majorHAnsi" w:cstheme="majorHAnsi"/>
                <w:color w:val="000000"/>
                <w:sz w:val="16"/>
                <w:szCs w:val="16"/>
                <w:lang w:val="en-US"/>
              </w:rPr>
              <w:br/>
              <w:t>Recanalization rates:</w:t>
            </w:r>
            <w:r w:rsidRPr="007E56D0">
              <w:rPr>
                <w:rFonts w:asciiTheme="majorHAnsi" w:hAnsiTheme="majorHAnsi" w:cstheme="majorHAnsi"/>
                <w:color w:val="000000"/>
                <w:sz w:val="16"/>
                <w:szCs w:val="16"/>
                <w:lang w:val="en-US"/>
              </w:rPr>
              <w:br/>
              <w:t xml:space="preserve">Multi-MERCI-trial, CLOTBUST-trial and a meta-analysis of different study designs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Independence/dependence:</w:t>
            </w:r>
            <w:r w:rsidRPr="007E56D0">
              <w:rPr>
                <w:rFonts w:asciiTheme="majorHAnsi" w:hAnsiTheme="majorHAnsi" w:cstheme="majorHAnsi"/>
                <w:color w:val="000000"/>
                <w:sz w:val="16"/>
                <w:szCs w:val="16"/>
                <w:lang w:val="en-US"/>
              </w:rPr>
              <w:br/>
              <w:t xml:space="preserve">Multi-MERCI trial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mortality:</w:t>
            </w:r>
            <w:r w:rsidRPr="007E56D0">
              <w:rPr>
                <w:rFonts w:asciiTheme="majorHAnsi" w:hAnsiTheme="majorHAnsi" w:cstheme="majorHAnsi"/>
                <w:color w:val="000000"/>
                <w:sz w:val="16"/>
                <w:szCs w:val="16"/>
                <w:lang w:val="en-US"/>
              </w:rPr>
              <w:br/>
              <w:t xml:space="preserve">based on cohort study of neurological injury patients and life tables from official US center for disease control and prevention </w:t>
            </w:r>
          </w:p>
        </w:tc>
        <w:tc>
          <w:tcPr>
            <w:tcW w:w="2835" w:type="dxa"/>
            <w:shd w:val="clear" w:color="auto" w:fill="auto"/>
            <w:tcMar>
              <w:top w:w="57" w:type="dxa"/>
              <w:bottom w:w="57" w:type="dxa"/>
            </w:tcMar>
            <w:hideMark/>
          </w:tcPr>
          <w:p w14:paraId="7B500F13"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 and recurrence specific utilities:</w:t>
            </w:r>
            <w:r w:rsidRPr="007E56D0">
              <w:rPr>
                <w:rFonts w:asciiTheme="majorHAnsi" w:hAnsiTheme="majorHAnsi" w:cstheme="majorHAnsi"/>
                <w:color w:val="000000"/>
                <w:sz w:val="16"/>
                <w:szCs w:val="16"/>
                <w:lang w:val="en-US"/>
              </w:rPr>
              <w:br/>
              <w:t>Modelling study citing US study by Gage et al. (1998), eliciting utility values in patients with atrial fibrillation</w:t>
            </w:r>
          </w:p>
        </w:tc>
        <w:tc>
          <w:tcPr>
            <w:tcW w:w="3260" w:type="dxa"/>
            <w:shd w:val="clear" w:color="auto" w:fill="auto"/>
            <w:tcMar>
              <w:top w:w="57" w:type="dxa"/>
              <w:bottom w:w="57" w:type="dxa"/>
            </w:tcMar>
            <w:hideMark/>
          </w:tcPr>
          <w:p w14:paraId="495F3301" w14:textId="77777777" w:rsidR="00823D81" w:rsidRPr="007E56D0" w:rsidRDefault="00823D81"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Reimbursement data from Medicare/Medicaid</w:t>
            </w:r>
          </w:p>
        </w:tc>
      </w:tr>
      <w:tr w:rsidR="00823D81" w:rsidRPr="001E2D03" w14:paraId="6E3A7761" w14:textId="77777777" w:rsidTr="00136CC9">
        <w:trPr>
          <w:tblHeader/>
        </w:trPr>
        <w:tc>
          <w:tcPr>
            <w:tcW w:w="1434" w:type="dxa"/>
            <w:shd w:val="clear" w:color="auto" w:fill="auto"/>
            <w:tcMar>
              <w:top w:w="57" w:type="dxa"/>
              <w:bottom w:w="57" w:type="dxa"/>
            </w:tcMar>
            <w:hideMark/>
          </w:tcPr>
          <w:p w14:paraId="4DD7ABB3" w14:textId="39B1492F"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Nguyen-Huynh &amp; Johnson (2011)</w:t>
            </w:r>
            <w:r w:rsidR="003D07CF">
              <w:rPr>
                <w:rFonts w:asciiTheme="majorHAnsi" w:hAnsiTheme="majorHAnsi" w:cstheme="majorHAnsi"/>
                <w:color w:val="000000"/>
                <w:sz w:val="16"/>
                <w:szCs w:val="16"/>
                <w:lang w:val="en-US"/>
              </w:rPr>
              <w:t>, UK</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[3]</w:t>
            </w:r>
          </w:p>
          <w:p w14:paraId="65E2DC33" w14:textId="77777777" w:rsidR="00823D81" w:rsidRPr="007E56D0" w:rsidRDefault="00823D81"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4B267920"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Recanalization rates:</w:t>
            </w:r>
            <w:r w:rsidRPr="007E56D0">
              <w:rPr>
                <w:rFonts w:asciiTheme="majorHAnsi" w:hAnsiTheme="majorHAnsi" w:cstheme="majorHAnsi"/>
                <w:color w:val="000000"/>
                <w:sz w:val="16"/>
                <w:szCs w:val="16"/>
                <w:lang w:val="en-US"/>
              </w:rPr>
              <w:br/>
              <w:t xml:space="preserve">Meta-analysis with RCTs, case series and case-control series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sICH probabilities:</w:t>
            </w:r>
            <w:r w:rsidRPr="007E56D0">
              <w:rPr>
                <w:rFonts w:asciiTheme="majorHAnsi" w:hAnsiTheme="majorHAnsi" w:cstheme="majorHAnsi"/>
                <w:color w:val="000000"/>
                <w:sz w:val="16"/>
                <w:szCs w:val="16"/>
                <w:lang w:val="en-US"/>
              </w:rPr>
              <w:br/>
              <w:t xml:space="preserve">- for NIR Rx treatment: Multi-MERCI single arm thrombectomy trial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lastRenderedPageBreak/>
              <w:t xml:space="preserve">- for BMM (with recanalized): subgroup of control arm of PROACT2-trial </w:t>
            </w:r>
            <w:r w:rsidRPr="007E56D0">
              <w:rPr>
                <w:rFonts w:asciiTheme="majorHAnsi" w:hAnsiTheme="majorHAnsi" w:cstheme="majorHAnsi"/>
                <w:color w:val="000000"/>
                <w:sz w:val="16"/>
                <w:szCs w:val="16"/>
                <w:lang w:val="en-US"/>
              </w:rPr>
              <w:br/>
              <w:t xml:space="preserve">- for BMM (without recanalization): calculated from ratio applied from Multi-MERCI single arm thrombectomy trial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mRS-scores after 90 days:</w:t>
            </w:r>
            <w:r w:rsidRPr="007E56D0">
              <w:rPr>
                <w:rFonts w:asciiTheme="majorHAnsi" w:hAnsiTheme="majorHAnsi" w:cstheme="majorHAnsi"/>
                <w:color w:val="000000"/>
                <w:sz w:val="16"/>
                <w:szCs w:val="16"/>
                <w:lang w:val="en-US"/>
              </w:rPr>
              <w:br/>
              <w:t xml:space="preserve">- for NIR Rx treatment: Multi-MERCI single arm thrombectomy trial </w:t>
            </w:r>
            <w:r w:rsidRPr="007E56D0">
              <w:rPr>
                <w:rFonts w:asciiTheme="majorHAnsi" w:hAnsiTheme="majorHAnsi" w:cstheme="majorHAnsi"/>
                <w:color w:val="000000"/>
                <w:sz w:val="16"/>
                <w:szCs w:val="16"/>
                <w:lang w:val="en-US"/>
              </w:rPr>
              <w:br/>
              <w:t xml:space="preserve">- for BMM: meta-analysis with RCTs, case series and case-control series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TPs/Recurrences:</w:t>
            </w:r>
            <w:r w:rsidRPr="007E56D0">
              <w:rPr>
                <w:rFonts w:asciiTheme="majorHAnsi" w:hAnsiTheme="majorHAnsi" w:cstheme="majorHAnsi"/>
                <w:color w:val="000000"/>
                <w:sz w:val="16"/>
                <w:szCs w:val="16"/>
                <w:lang w:val="en-US"/>
              </w:rPr>
              <w:br/>
              <w:t>-</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Modelling study by Kent et al. (1995) citing US mortality data 2005  </w:t>
            </w:r>
          </w:p>
        </w:tc>
        <w:tc>
          <w:tcPr>
            <w:tcW w:w="2835" w:type="dxa"/>
            <w:shd w:val="clear" w:color="auto" w:fill="auto"/>
            <w:tcMar>
              <w:top w:w="57" w:type="dxa"/>
              <w:bottom w:w="57" w:type="dxa"/>
            </w:tcMar>
            <w:hideMark/>
          </w:tcPr>
          <w:p w14:paraId="1E01B058"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 xml:space="preserve">mRS-specific utilities: </w:t>
            </w:r>
            <w:r w:rsidRPr="007E56D0">
              <w:rPr>
                <w:rFonts w:asciiTheme="majorHAnsi" w:hAnsiTheme="majorHAnsi" w:cstheme="majorHAnsi"/>
                <w:color w:val="000000"/>
                <w:sz w:val="16"/>
                <w:szCs w:val="16"/>
                <w:lang w:val="en-US"/>
              </w:rPr>
              <w:br/>
              <w:t>Modelling study by Earnshaw et al. (2006) with US utilities; citing US study by Gage et al. (1998), eliciting utility values in patients with atrial fibrillation</w:t>
            </w:r>
          </w:p>
        </w:tc>
        <w:tc>
          <w:tcPr>
            <w:tcW w:w="3260" w:type="dxa"/>
            <w:shd w:val="clear" w:color="auto" w:fill="auto"/>
            <w:tcMar>
              <w:top w:w="57" w:type="dxa"/>
              <w:bottom w:w="57" w:type="dxa"/>
            </w:tcMar>
            <w:hideMark/>
          </w:tcPr>
          <w:p w14:paraId="41D6F324" w14:textId="77777777" w:rsidR="00823D81" w:rsidRPr="007E56D0" w:rsidRDefault="00823D81"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Medicare data; US modelling study by Gage et al. (1995) utilizing Medicare data, a literature review and phone surveys</w:t>
            </w:r>
          </w:p>
        </w:tc>
      </w:tr>
      <w:tr w:rsidR="00823D81" w:rsidRPr="001E2D03" w14:paraId="0DB66E3C" w14:textId="77777777" w:rsidTr="00136CC9">
        <w:trPr>
          <w:tblHeader/>
        </w:trPr>
        <w:tc>
          <w:tcPr>
            <w:tcW w:w="1434" w:type="dxa"/>
            <w:shd w:val="clear" w:color="auto" w:fill="auto"/>
            <w:noWrap/>
            <w:tcMar>
              <w:top w:w="57" w:type="dxa"/>
              <w:bottom w:w="57" w:type="dxa"/>
            </w:tcMar>
            <w:hideMark/>
          </w:tcPr>
          <w:p w14:paraId="5402B322" w14:textId="3B9173ED"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Ganesalingam et al. (2015)</w:t>
            </w:r>
            <w:r w:rsidR="003D07CF">
              <w:rPr>
                <w:rFonts w:asciiTheme="majorHAnsi" w:hAnsiTheme="majorHAnsi" w:cstheme="majorHAnsi"/>
                <w:color w:val="000000"/>
                <w:sz w:val="16"/>
                <w:szCs w:val="16"/>
                <w:lang w:val="en-US"/>
              </w:rPr>
              <w:t>, UK</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[4]</w:t>
            </w:r>
          </w:p>
          <w:p w14:paraId="069EF29A" w14:textId="77777777" w:rsidR="00823D81" w:rsidRPr="007E56D0" w:rsidRDefault="00823D81"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1ACDA9DB"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90 days after stroke:</w:t>
            </w:r>
            <w:r w:rsidRPr="007E56D0">
              <w:rPr>
                <w:rFonts w:asciiTheme="majorHAnsi" w:hAnsiTheme="majorHAnsi" w:cstheme="majorHAnsi"/>
                <w:color w:val="000000"/>
                <w:sz w:val="16"/>
                <w:szCs w:val="16"/>
                <w:lang w:val="en-US"/>
              </w:rPr>
              <w:br/>
              <w:t xml:space="preserve">5 randomized controlled trials: EXTEND-1A, REVASCAT, MR CLEAN, ESCAPE, SWIFT-PRIME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Percentage of patients receiving IV-tPA:</w:t>
            </w:r>
            <w:r w:rsidRPr="007E56D0">
              <w:rPr>
                <w:rFonts w:asciiTheme="majorHAnsi" w:hAnsiTheme="majorHAnsi" w:cstheme="majorHAnsi"/>
                <w:color w:val="000000"/>
                <w:sz w:val="16"/>
                <w:szCs w:val="16"/>
                <w:lang w:val="en-US"/>
              </w:rPr>
              <w:br/>
              <w:t xml:space="preserve">UK audit study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 risk:</w:t>
            </w:r>
            <w:r w:rsidRPr="007E56D0">
              <w:rPr>
                <w:rFonts w:asciiTheme="majorHAnsi" w:hAnsiTheme="majorHAnsi" w:cstheme="majorHAnsi"/>
                <w:color w:val="000000"/>
                <w:sz w:val="16"/>
                <w:szCs w:val="16"/>
                <w:lang w:val="en-US"/>
              </w:rPr>
              <w:br/>
              <w:t>SCHARR Alteplase HTA, same after disability and independence</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Transition probabilities after recurrence:</w:t>
            </w:r>
            <w:r w:rsidRPr="007E56D0">
              <w:rPr>
                <w:rFonts w:asciiTheme="majorHAnsi" w:hAnsiTheme="majorHAnsi" w:cstheme="majorHAnsi"/>
                <w:color w:val="000000"/>
                <w:sz w:val="16"/>
                <w:szCs w:val="16"/>
                <w:lang w:val="en-US"/>
              </w:rPr>
              <w:br/>
              <w:t>SCHARR Alteplase HTA and input article by Morris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SCHARR Alteplase HTA </w:t>
            </w:r>
          </w:p>
        </w:tc>
        <w:tc>
          <w:tcPr>
            <w:tcW w:w="2835" w:type="dxa"/>
            <w:shd w:val="clear" w:color="auto" w:fill="auto"/>
            <w:tcMar>
              <w:top w:w="57" w:type="dxa"/>
              <w:bottom w:w="57" w:type="dxa"/>
            </w:tcMar>
            <w:hideMark/>
          </w:tcPr>
          <w:p w14:paraId="5EF9FAF7"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 and recurrence specific utilities:</w:t>
            </w:r>
            <w:r w:rsidRPr="007E56D0">
              <w:rPr>
                <w:rFonts w:asciiTheme="majorHAnsi" w:hAnsiTheme="majorHAnsi" w:cstheme="majorHAnsi"/>
                <w:color w:val="000000"/>
                <w:sz w:val="16"/>
                <w:szCs w:val="16"/>
                <w:lang w:val="en-US"/>
              </w:rPr>
              <w:br/>
              <w:t xml:space="preserve">SCHARR Alteplase HTA (utilities stated here) (citing Dorman et al., 2000) and input article by Morris + citing EuroQol validation study Dorman et al. (1997) </w:t>
            </w:r>
          </w:p>
        </w:tc>
        <w:tc>
          <w:tcPr>
            <w:tcW w:w="3260" w:type="dxa"/>
            <w:shd w:val="clear" w:color="auto" w:fill="auto"/>
            <w:tcMar>
              <w:top w:w="57" w:type="dxa"/>
              <w:bottom w:w="57" w:type="dxa"/>
            </w:tcMar>
            <w:hideMark/>
          </w:tcPr>
          <w:p w14:paraId="371DCFB7" w14:textId="77777777" w:rsidR="00823D81" w:rsidRPr="007E56D0" w:rsidRDefault="00823D81"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Multiple sources incl. UK unit costs by Curtis (2013), manufacturer prices, SCHARR Alteplase HTA; micro-costing applied</w:t>
            </w:r>
          </w:p>
        </w:tc>
      </w:tr>
      <w:tr w:rsidR="00823D81" w:rsidRPr="004515C5" w14:paraId="7CD26A8A" w14:textId="77777777" w:rsidTr="00136CC9">
        <w:trPr>
          <w:tblHeader/>
        </w:trPr>
        <w:tc>
          <w:tcPr>
            <w:tcW w:w="1434" w:type="dxa"/>
            <w:shd w:val="clear" w:color="auto" w:fill="auto"/>
            <w:tcMar>
              <w:top w:w="57" w:type="dxa"/>
              <w:bottom w:w="57" w:type="dxa"/>
            </w:tcMar>
            <w:hideMark/>
          </w:tcPr>
          <w:p w14:paraId="2AAFA39A" w14:textId="50F56D5B"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Leppert et al. (2015)</w:t>
            </w:r>
            <w:r w:rsidR="003D07CF">
              <w:rPr>
                <w:rFonts w:asciiTheme="majorHAnsi" w:hAnsiTheme="majorHAnsi" w:cstheme="majorHAnsi"/>
                <w:color w:val="000000"/>
                <w:sz w:val="16"/>
                <w:szCs w:val="16"/>
                <w:lang w:val="en-US"/>
              </w:rPr>
              <w:t>, USA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[5]</w:t>
            </w:r>
          </w:p>
          <w:p w14:paraId="2F242071" w14:textId="77777777" w:rsidR="00823D81" w:rsidRPr="007E56D0" w:rsidRDefault="00823D81"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17FD4C32" w14:textId="4451C6D3"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MR CLEAN trial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w:t>
            </w:r>
            <w:r w:rsidRPr="007E56D0">
              <w:rPr>
                <w:rFonts w:asciiTheme="majorHAnsi" w:hAnsiTheme="majorHAnsi" w:cstheme="majorHAnsi"/>
                <w:color w:val="000000"/>
                <w:sz w:val="16"/>
                <w:szCs w:val="16"/>
                <w:lang w:val="en-US"/>
              </w:rPr>
              <w:br/>
              <w:t xml:space="preserve">Assumed 0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 risk:</w:t>
            </w:r>
            <w:r w:rsidRPr="007E56D0">
              <w:rPr>
                <w:rFonts w:asciiTheme="majorHAnsi" w:hAnsiTheme="majorHAnsi" w:cstheme="majorHAnsi"/>
                <w:color w:val="000000"/>
                <w:sz w:val="16"/>
                <w:szCs w:val="16"/>
                <w:lang w:val="en-US"/>
              </w:rPr>
              <w:br/>
              <w:t>CEA-model by Fagan et al. (1998), which declares use of unpublished data from a Canadian drug study</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r>
            <w:r w:rsidR="006268DF" w:rsidRPr="007E56D0">
              <w:rPr>
                <w:rFonts w:asciiTheme="majorHAnsi" w:hAnsiTheme="majorHAnsi" w:cstheme="majorHAnsi"/>
                <w:color w:val="000000"/>
                <w:sz w:val="16"/>
                <w:szCs w:val="16"/>
                <w:lang w:val="en-US"/>
              </w:rPr>
              <w:t>Probably as in short-term model in same treatment arm without lower mRS</w:t>
            </w:r>
            <w:r w:rsidR="006268DF" w:rsidRPr="007E56D0" w:rsidDel="006268DF">
              <w:rPr>
                <w:rFonts w:asciiTheme="majorHAnsi" w:hAnsiTheme="majorHAnsi" w:cstheme="majorHAnsi"/>
                <w:color w:val="000000"/>
                <w:sz w:val="16"/>
                <w:szCs w:val="16"/>
                <w:lang w:val="en-US"/>
              </w:rPr>
              <w:t xml:space="preserve">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lastRenderedPageBreak/>
              <w:br/>
              <w:t>Non-stroke mortality:</w:t>
            </w:r>
            <w:r w:rsidRPr="007E56D0">
              <w:rPr>
                <w:rFonts w:asciiTheme="majorHAnsi" w:hAnsiTheme="majorHAnsi" w:cstheme="majorHAnsi"/>
                <w:color w:val="000000"/>
                <w:sz w:val="16"/>
                <w:szCs w:val="16"/>
                <w:lang w:val="en-US"/>
              </w:rPr>
              <w:br/>
              <w:t>US Life tables 2006 by Arias et al. (2010) + Samsa et al. (1999), based on US expert panel</w:t>
            </w:r>
          </w:p>
        </w:tc>
        <w:tc>
          <w:tcPr>
            <w:tcW w:w="2835" w:type="dxa"/>
            <w:shd w:val="clear" w:color="auto" w:fill="auto"/>
            <w:tcMar>
              <w:top w:w="57" w:type="dxa"/>
              <w:bottom w:w="57" w:type="dxa"/>
            </w:tcMar>
            <w:hideMark/>
          </w:tcPr>
          <w:p w14:paraId="6B60D608"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mRS-specific utilities:</w:t>
            </w:r>
            <w:r w:rsidRPr="007E56D0">
              <w:rPr>
                <w:rFonts w:asciiTheme="majorHAnsi" w:hAnsiTheme="majorHAnsi" w:cstheme="majorHAnsi"/>
                <w:color w:val="000000"/>
                <w:sz w:val="16"/>
                <w:szCs w:val="16"/>
                <w:lang w:val="en-US"/>
              </w:rPr>
              <w:br/>
              <w:t>Samsa et al., 1999 refers to US stroke survey time-trade-off-utilities with by Samsa et al. (1998)</w:t>
            </w:r>
          </w:p>
        </w:tc>
        <w:tc>
          <w:tcPr>
            <w:tcW w:w="3260" w:type="dxa"/>
            <w:shd w:val="clear" w:color="auto" w:fill="auto"/>
            <w:tcMar>
              <w:top w:w="57" w:type="dxa"/>
              <w:bottom w:w="57" w:type="dxa"/>
            </w:tcMar>
            <w:hideMark/>
          </w:tcPr>
          <w:p w14:paraId="7CFFCFC3" w14:textId="77777777" w:rsidR="00823D81" w:rsidRPr="007E56D0" w:rsidRDefault="00823D81"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Multiple sources incl. Medicare data; US modelling study by Earnshaw et al. (2009); US National Inpatient Sample; US/EU CEA-modelling studies incl. Chambers et al. (2002)</w:t>
            </w:r>
          </w:p>
        </w:tc>
      </w:tr>
      <w:tr w:rsidR="00823D81" w:rsidRPr="004515C5" w14:paraId="6B479C81" w14:textId="77777777" w:rsidTr="00136CC9">
        <w:trPr>
          <w:tblHeader/>
        </w:trPr>
        <w:tc>
          <w:tcPr>
            <w:tcW w:w="1434" w:type="dxa"/>
            <w:shd w:val="clear" w:color="auto" w:fill="auto"/>
            <w:tcMar>
              <w:top w:w="57" w:type="dxa"/>
              <w:bottom w:w="57" w:type="dxa"/>
            </w:tcMar>
            <w:hideMark/>
          </w:tcPr>
          <w:p w14:paraId="2F4E3655" w14:textId="57C7391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Aronsson et al. (2016)</w:t>
            </w:r>
            <w:r w:rsidR="003D07CF">
              <w:rPr>
                <w:rFonts w:asciiTheme="majorHAnsi" w:hAnsiTheme="majorHAnsi" w:cstheme="majorHAnsi"/>
                <w:color w:val="000000"/>
                <w:sz w:val="16"/>
                <w:szCs w:val="16"/>
                <w:lang w:val="en-US"/>
              </w:rPr>
              <w:t>, Sweden</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[6]</w:t>
            </w:r>
          </w:p>
          <w:p w14:paraId="66871AA4" w14:textId="77777777" w:rsidR="00823D81" w:rsidRPr="007E56D0" w:rsidRDefault="00823D81"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6815F585" w14:textId="10456F09"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90 days after stroke:</w:t>
            </w:r>
            <w:r w:rsidRPr="007E56D0">
              <w:rPr>
                <w:rFonts w:asciiTheme="majorHAnsi" w:hAnsiTheme="majorHAnsi" w:cstheme="majorHAnsi"/>
                <w:color w:val="000000"/>
                <w:sz w:val="16"/>
                <w:szCs w:val="16"/>
                <w:lang w:val="en-US"/>
              </w:rPr>
              <w:br/>
              <w:t xml:space="preserve">Pooled data from EXTEND-1A, REVASCAT, MR CLEAN, ESCAPE, SWIFT-PRIME RCTs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 after 90 days:</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 xml:space="preserve">Prospective Swedish cohort study by Pennlert et al. (2014)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after recurrence:</w:t>
            </w:r>
            <w:r w:rsidRPr="007E56D0">
              <w:rPr>
                <w:rFonts w:asciiTheme="majorHAnsi" w:hAnsiTheme="majorHAnsi" w:cstheme="majorHAnsi"/>
                <w:color w:val="000000"/>
                <w:sz w:val="16"/>
                <w:szCs w:val="16"/>
                <w:lang w:val="en-US"/>
              </w:rPr>
              <w:br/>
            </w:r>
            <w:r w:rsidR="00081F12" w:rsidRPr="007E56D0">
              <w:rPr>
                <w:rFonts w:asciiTheme="majorHAnsi" w:hAnsiTheme="majorHAnsi" w:cstheme="majorHAnsi"/>
                <w:color w:val="000000"/>
                <w:sz w:val="16"/>
                <w:szCs w:val="16"/>
                <w:lang w:val="en-US"/>
              </w:rPr>
              <w:t xml:space="preserve">As in </w:t>
            </w:r>
            <w:r w:rsidR="00081F12">
              <w:rPr>
                <w:rFonts w:asciiTheme="majorHAnsi" w:hAnsiTheme="majorHAnsi" w:cstheme="majorHAnsi"/>
                <w:color w:val="000000"/>
                <w:sz w:val="16"/>
                <w:szCs w:val="16"/>
                <w:lang w:val="en-US"/>
              </w:rPr>
              <w:t xml:space="preserve">control group of </w:t>
            </w:r>
            <w:r w:rsidR="00081F12" w:rsidRPr="007E56D0">
              <w:rPr>
                <w:rFonts w:asciiTheme="majorHAnsi" w:hAnsiTheme="majorHAnsi" w:cstheme="majorHAnsi"/>
                <w:color w:val="000000"/>
                <w:sz w:val="16"/>
                <w:szCs w:val="16"/>
                <w:lang w:val="en-US"/>
              </w:rPr>
              <w:t>short-term model without lower mRS</w:t>
            </w:r>
            <w:r w:rsidR="00081F12" w:rsidRPr="007E56D0" w:rsidDel="00081F12">
              <w:rPr>
                <w:rFonts w:asciiTheme="majorHAnsi" w:hAnsiTheme="majorHAnsi" w:cstheme="majorHAnsi"/>
                <w:color w:val="000000"/>
                <w:sz w:val="16"/>
                <w:szCs w:val="16"/>
                <w:lang w:val="en-US"/>
              </w:rPr>
              <w:t xml:space="preserve">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hazard ratio for stroke:</w:t>
            </w:r>
            <w:r w:rsidRPr="007E56D0">
              <w:rPr>
                <w:rFonts w:asciiTheme="majorHAnsi" w:hAnsiTheme="majorHAnsi" w:cstheme="majorHAnsi"/>
                <w:color w:val="000000"/>
                <w:sz w:val="16"/>
                <w:szCs w:val="16"/>
                <w:lang w:val="en-US"/>
              </w:rPr>
              <w:br/>
              <w:t xml:space="preserve">Retrospective/ prospective cohort studies in USA, Australia </w:t>
            </w:r>
          </w:p>
        </w:tc>
        <w:tc>
          <w:tcPr>
            <w:tcW w:w="2835" w:type="dxa"/>
            <w:shd w:val="clear" w:color="auto" w:fill="auto"/>
            <w:tcMar>
              <w:top w:w="57" w:type="dxa"/>
              <w:bottom w:w="57" w:type="dxa"/>
            </w:tcMar>
            <w:hideMark/>
          </w:tcPr>
          <w:p w14:paraId="2D78D765"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 xml:space="preserve">Utilities for the general population: </w:t>
            </w:r>
            <w:r w:rsidRPr="007E56D0">
              <w:rPr>
                <w:rFonts w:asciiTheme="majorHAnsi" w:hAnsiTheme="majorHAnsi" w:cstheme="majorHAnsi"/>
                <w:color w:val="000000"/>
                <w:sz w:val="16"/>
                <w:szCs w:val="16"/>
                <w:lang w:val="en-US"/>
              </w:rPr>
              <w:br/>
              <w:t>UK-utilities, published in Burström et al. (2006)</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Utility decrements after stroke:</w:t>
            </w:r>
            <w:r w:rsidRPr="007E56D0">
              <w:rPr>
                <w:rFonts w:asciiTheme="majorHAnsi" w:hAnsiTheme="majorHAnsi" w:cstheme="majorHAnsi"/>
                <w:color w:val="000000"/>
                <w:sz w:val="16"/>
                <w:szCs w:val="16"/>
                <w:lang w:val="en-US"/>
              </w:rPr>
              <w:br/>
              <w:t xml:space="preserve">Study by Dewilde et al. (2014) with Belgian patients (and probably Belgian tariffs) </w:t>
            </w:r>
          </w:p>
        </w:tc>
        <w:tc>
          <w:tcPr>
            <w:tcW w:w="3260" w:type="dxa"/>
            <w:shd w:val="clear" w:color="auto" w:fill="auto"/>
            <w:tcMar>
              <w:top w:w="57" w:type="dxa"/>
              <w:bottom w:w="57" w:type="dxa"/>
            </w:tcMar>
            <w:hideMark/>
          </w:tcPr>
          <w:p w14:paraId="0FEBFCA2" w14:textId="77777777" w:rsidR="00823D81" w:rsidRPr="007E56D0" w:rsidRDefault="00823D81"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UK trial costing study by Dawson et al. (2007); Swedish register study by Ghatnekar et al. (2013); US model by Earnshaw et al. (2009); Swedish university hospitals</w:t>
            </w:r>
          </w:p>
        </w:tc>
      </w:tr>
      <w:tr w:rsidR="00823D81" w:rsidRPr="001E2D03" w14:paraId="59D742E8" w14:textId="77777777" w:rsidTr="00136CC9">
        <w:trPr>
          <w:tblHeader/>
        </w:trPr>
        <w:tc>
          <w:tcPr>
            <w:tcW w:w="1434" w:type="dxa"/>
            <w:shd w:val="clear" w:color="auto" w:fill="auto"/>
            <w:tcMar>
              <w:top w:w="57" w:type="dxa"/>
              <w:bottom w:w="57" w:type="dxa"/>
            </w:tcMar>
            <w:hideMark/>
          </w:tcPr>
          <w:p w14:paraId="354BEFE8" w14:textId="6ACD8256"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Health Quality Ontario (2016)</w:t>
            </w:r>
            <w:r w:rsidR="003D07CF">
              <w:rPr>
                <w:rFonts w:asciiTheme="majorHAnsi" w:hAnsiTheme="majorHAnsi" w:cstheme="majorHAnsi"/>
                <w:color w:val="000000"/>
                <w:sz w:val="16"/>
                <w:szCs w:val="16"/>
                <w:lang w:val="en-US"/>
              </w:rPr>
              <w:t>, Canada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[7]</w:t>
            </w:r>
          </w:p>
          <w:p w14:paraId="3D3F789D" w14:textId="77777777" w:rsidR="00823D81" w:rsidRPr="007E56D0" w:rsidRDefault="00823D81"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4702F700"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90 days after stroke:</w:t>
            </w:r>
            <w:r w:rsidRPr="007E56D0">
              <w:rPr>
                <w:rFonts w:asciiTheme="majorHAnsi" w:hAnsiTheme="majorHAnsi" w:cstheme="majorHAnsi"/>
                <w:color w:val="000000"/>
                <w:sz w:val="16"/>
                <w:szCs w:val="16"/>
                <w:lang w:val="en-US"/>
              </w:rPr>
              <w:br/>
              <w:t xml:space="preserve">Self-conducted meta-analysis of ESCAPE, SWIFT PRIME, MR CLEAN, REVASCAT, EXTEND IA and THRACE RCTs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for intermediate model:</w:t>
            </w:r>
            <w:r w:rsidRPr="007E56D0">
              <w:rPr>
                <w:rFonts w:asciiTheme="majorHAnsi" w:hAnsiTheme="majorHAnsi" w:cstheme="majorHAnsi"/>
                <w:color w:val="000000"/>
                <w:sz w:val="16"/>
                <w:szCs w:val="16"/>
                <w:lang w:val="en-US"/>
              </w:rPr>
              <w:br/>
              <w:t>OXVASC cohort study (UK) data, calibrated</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for long-term model:</w:t>
            </w:r>
            <w:r w:rsidRPr="007E56D0">
              <w:rPr>
                <w:rFonts w:asciiTheme="majorHAnsi" w:hAnsiTheme="majorHAnsi" w:cstheme="majorHAnsi"/>
                <w:color w:val="000000"/>
                <w:sz w:val="16"/>
                <w:szCs w:val="16"/>
                <w:lang w:val="en-US"/>
              </w:rPr>
              <w:br/>
              <w:t>OXVASC cohort study (UK) data, calibrated</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OXVASC cohort study (UK) data, calibrated</w:t>
            </w:r>
          </w:p>
        </w:tc>
        <w:tc>
          <w:tcPr>
            <w:tcW w:w="2835" w:type="dxa"/>
            <w:shd w:val="clear" w:color="auto" w:fill="auto"/>
            <w:tcMar>
              <w:top w:w="57" w:type="dxa"/>
              <w:bottom w:w="57" w:type="dxa"/>
            </w:tcMar>
            <w:hideMark/>
          </w:tcPr>
          <w:p w14:paraId="57CA9E47"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Difference in utility of IVT + MT vs. IVT at 90 days post treatment: calculated self-conducted meta-analysis of ESCAPE, SWIFT PRIME, MR CLEAN, REVASCAT, EXTEND IA and THRACE RCTs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mRS-specific utilities:</w:t>
            </w:r>
            <w:r w:rsidRPr="007E56D0">
              <w:rPr>
                <w:rFonts w:asciiTheme="majorHAnsi" w:hAnsiTheme="majorHAnsi" w:cstheme="majorHAnsi"/>
                <w:color w:val="000000"/>
                <w:sz w:val="16"/>
                <w:szCs w:val="16"/>
                <w:lang w:val="en-US"/>
              </w:rPr>
              <w:br/>
              <w:t xml:space="preserve">UK cohorts by Dorman et al. (2000) </w:t>
            </w:r>
          </w:p>
        </w:tc>
        <w:tc>
          <w:tcPr>
            <w:tcW w:w="3260" w:type="dxa"/>
            <w:shd w:val="clear" w:color="auto" w:fill="auto"/>
            <w:tcMar>
              <w:top w:w="57" w:type="dxa"/>
              <w:bottom w:w="57" w:type="dxa"/>
            </w:tcMar>
            <w:hideMark/>
          </w:tcPr>
          <w:p w14:paraId="1326FD7C" w14:textId="77777777" w:rsidR="00823D81" w:rsidRPr="007E56D0" w:rsidRDefault="00823D81"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Review of hospitalization costs in North America; Canadian prospective cohort study (BURST)</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Informal care</w:t>
            </w:r>
            <w:r w:rsidRPr="007E56D0">
              <w:rPr>
                <w:rFonts w:asciiTheme="majorHAnsi" w:hAnsiTheme="majorHAnsi" w:cstheme="majorHAnsi"/>
                <w:sz w:val="16"/>
                <w:szCs w:val="16"/>
                <w:lang w:val="en-US"/>
              </w:rPr>
              <w:br/>
              <w:t>- Productivity loss</w:t>
            </w:r>
            <w:r w:rsidRPr="007E56D0">
              <w:rPr>
                <w:rFonts w:asciiTheme="majorHAnsi" w:hAnsiTheme="majorHAnsi" w:cstheme="majorHAnsi"/>
                <w:sz w:val="16"/>
                <w:szCs w:val="16"/>
                <w:lang w:val="en-US"/>
              </w:rPr>
              <w:br/>
              <w:t>Canadian prospective cohort study (BURST)</w:t>
            </w:r>
          </w:p>
        </w:tc>
      </w:tr>
      <w:tr w:rsidR="00823D81" w:rsidRPr="004515C5" w14:paraId="577FE22A" w14:textId="77777777" w:rsidTr="00136CC9">
        <w:trPr>
          <w:tblHeader/>
        </w:trPr>
        <w:tc>
          <w:tcPr>
            <w:tcW w:w="1434" w:type="dxa"/>
            <w:shd w:val="clear" w:color="auto" w:fill="auto"/>
            <w:tcMar>
              <w:top w:w="57" w:type="dxa"/>
              <w:bottom w:w="57" w:type="dxa"/>
            </w:tcMar>
            <w:hideMark/>
          </w:tcPr>
          <w:p w14:paraId="322E9559" w14:textId="5070AA33"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Kunz et al. (2016)</w:t>
            </w:r>
            <w:r w:rsidR="00681C00">
              <w:rPr>
                <w:rFonts w:asciiTheme="majorHAnsi" w:hAnsiTheme="majorHAnsi" w:cstheme="majorHAnsi"/>
                <w:color w:val="000000"/>
                <w:sz w:val="16"/>
                <w:szCs w:val="16"/>
                <w:lang w:val="en-US"/>
              </w:rPr>
              <w:t>, USA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[8]</w:t>
            </w:r>
          </w:p>
          <w:p w14:paraId="402453B8" w14:textId="77777777" w:rsidR="00823D81" w:rsidRPr="007E56D0" w:rsidRDefault="00823D81"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4CAC9242"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HERMES RCT-meta-analysis of ESCAPE, MR CLEAN, REVASCAT, SWIFT PRIME, EXTEND IA by Goyal et al. (2016)</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 risk:</w:t>
            </w:r>
            <w:r w:rsidRPr="007E56D0">
              <w:rPr>
                <w:rFonts w:asciiTheme="majorHAnsi" w:hAnsiTheme="majorHAnsi" w:cstheme="majorHAnsi"/>
                <w:color w:val="000000"/>
                <w:sz w:val="16"/>
                <w:szCs w:val="16"/>
                <w:lang w:val="en-US"/>
              </w:rPr>
              <w:br/>
              <w:t xml:space="preserve">Swedish cohort study by Pennlert et al. (2014)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 xml:space="preserve">HERMES RCT control arm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lastRenderedPageBreak/>
              <w:t>Non-stroke mortality:</w:t>
            </w:r>
            <w:r w:rsidRPr="007E56D0">
              <w:rPr>
                <w:rFonts w:asciiTheme="majorHAnsi" w:hAnsiTheme="majorHAnsi" w:cstheme="majorHAnsi"/>
                <w:color w:val="000000"/>
                <w:sz w:val="16"/>
                <w:szCs w:val="16"/>
                <w:lang w:val="en-US"/>
              </w:rPr>
              <w:br/>
              <w:t xml:space="preserve">2011 US life tables + Samsa et al. (1999), based on US expert panel </w:t>
            </w:r>
          </w:p>
        </w:tc>
        <w:tc>
          <w:tcPr>
            <w:tcW w:w="2835" w:type="dxa"/>
            <w:shd w:val="clear" w:color="auto" w:fill="auto"/>
            <w:tcMar>
              <w:top w:w="57" w:type="dxa"/>
              <w:bottom w:w="57" w:type="dxa"/>
            </w:tcMar>
            <w:hideMark/>
          </w:tcPr>
          <w:p w14:paraId="1373D4B5"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mRS-specific utilities:</w:t>
            </w:r>
            <w:r w:rsidRPr="007E56D0">
              <w:rPr>
                <w:rFonts w:asciiTheme="majorHAnsi" w:hAnsiTheme="majorHAnsi" w:cstheme="majorHAnsi"/>
                <w:color w:val="000000"/>
                <w:sz w:val="16"/>
                <w:szCs w:val="16"/>
                <w:lang w:val="en-US"/>
              </w:rPr>
              <w:br/>
            </w:r>
            <w:r w:rsidRPr="007E56D0">
              <w:rPr>
                <w:rFonts w:asciiTheme="majorHAnsi" w:hAnsiTheme="majorHAnsi" w:cstheme="majorHAnsi"/>
                <w:sz w:val="16"/>
                <w:szCs w:val="16"/>
                <w:lang w:val="en-US"/>
              </w:rPr>
              <w:t>Study by Chaisinanunkul et al. (2015) combining time-trade-off utilities from mapping-study in UK stroke cohort with person-trade-off utilities from international clinical expert panel</w:t>
            </w:r>
          </w:p>
        </w:tc>
        <w:tc>
          <w:tcPr>
            <w:tcW w:w="3260" w:type="dxa"/>
            <w:shd w:val="clear" w:color="auto" w:fill="auto"/>
            <w:tcMar>
              <w:top w:w="57" w:type="dxa"/>
              <w:bottom w:w="57" w:type="dxa"/>
            </w:tcMar>
            <w:hideMark/>
          </w:tcPr>
          <w:p w14:paraId="5DB3D85A" w14:textId="77777777" w:rsidR="00823D81" w:rsidRPr="007E56D0" w:rsidRDefault="00823D81"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HERMES RCT-meta-analysis by Goyal et al. (2016); US modelling study by Earnshaw et al. (2009); US National Inpatient Sample; US/EU CEA-modelling studies incl. Chambers et al. (2002)</w:t>
            </w:r>
          </w:p>
        </w:tc>
      </w:tr>
      <w:tr w:rsidR="00823D81" w:rsidRPr="001E2D03" w14:paraId="7F8A0BF6" w14:textId="77777777" w:rsidTr="00136CC9">
        <w:trPr>
          <w:tblHeader/>
        </w:trPr>
        <w:tc>
          <w:tcPr>
            <w:tcW w:w="1434" w:type="dxa"/>
            <w:shd w:val="clear" w:color="auto" w:fill="auto"/>
            <w:noWrap/>
            <w:tcMar>
              <w:top w:w="57" w:type="dxa"/>
              <w:bottom w:w="57" w:type="dxa"/>
            </w:tcMar>
            <w:hideMark/>
          </w:tcPr>
          <w:p w14:paraId="60144D8E" w14:textId="18C745F1"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Lobotesis et al. (2016)</w:t>
            </w:r>
            <w:r w:rsidR="00681C00">
              <w:rPr>
                <w:rFonts w:asciiTheme="majorHAnsi" w:hAnsiTheme="majorHAnsi" w:cstheme="majorHAnsi"/>
                <w:color w:val="000000"/>
                <w:sz w:val="16"/>
                <w:szCs w:val="16"/>
                <w:lang w:val="en-US"/>
              </w:rPr>
              <w:t>, UK</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[9]</w:t>
            </w:r>
          </w:p>
          <w:p w14:paraId="05F03ACC" w14:textId="77777777" w:rsidR="00823D81" w:rsidRPr="007E56D0" w:rsidRDefault="00823D81"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6C0C6166"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7 and 90 days after stroke:</w:t>
            </w:r>
            <w:r w:rsidRPr="007E56D0">
              <w:rPr>
                <w:rFonts w:asciiTheme="majorHAnsi" w:hAnsiTheme="majorHAnsi" w:cstheme="majorHAnsi"/>
                <w:color w:val="000000"/>
                <w:sz w:val="16"/>
                <w:szCs w:val="16"/>
                <w:lang w:val="en-US"/>
              </w:rPr>
              <w:br/>
              <w:t xml:space="preserve">SWIFT-PRIME RCT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 xml:space="preserve">Meta- analysis of register studies by Mohan et al. (2011)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 xml:space="preserve">As in short-term model without lower mRS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Official mortality statistics and Swedish cohort study by Slot et al. (2009)</w:t>
            </w:r>
          </w:p>
        </w:tc>
        <w:tc>
          <w:tcPr>
            <w:tcW w:w="2835" w:type="dxa"/>
            <w:shd w:val="clear" w:color="auto" w:fill="auto"/>
            <w:tcMar>
              <w:top w:w="57" w:type="dxa"/>
              <w:bottom w:w="57" w:type="dxa"/>
            </w:tcMar>
            <w:hideMark/>
          </w:tcPr>
          <w:p w14:paraId="32017639"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 and recurrence specific utilities:</w:t>
            </w:r>
            <w:r w:rsidRPr="007E56D0">
              <w:rPr>
                <w:rFonts w:asciiTheme="majorHAnsi" w:hAnsiTheme="majorHAnsi" w:cstheme="majorHAnsi"/>
                <w:color w:val="000000"/>
                <w:sz w:val="16"/>
                <w:szCs w:val="16"/>
                <w:lang w:val="en-US"/>
              </w:rPr>
              <w:br/>
              <w:t>Study by Rivero-Arias et al. (2010), mapping EQ-5D with UK-tariffs to mRS-scores in population-based UK OXVASC-study</w:t>
            </w:r>
          </w:p>
        </w:tc>
        <w:tc>
          <w:tcPr>
            <w:tcW w:w="3260" w:type="dxa"/>
            <w:shd w:val="clear" w:color="auto" w:fill="auto"/>
            <w:tcMar>
              <w:top w:w="57" w:type="dxa"/>
              <w:bottom w:w="57" w:type="dxa"/>
            </w:tcMar>
            <w:hideMark/>
          </w:tcPr>
          <w:p w14:paraId="7D213F65" w14:textId="77777777" w:rsidR="00823D81" w:rsidRPr="007E56D0" w:rsidRDefault="00823D81"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Multiple sources incl. UK population-based OXVASC study by Luengo-Fernandez et al. (2013); resource estimation by clinicians, manufacturer prices; UK Personal Social Services Research Unit</w:t>
            </w:r>
          </w:p>
        </w:tc>
      </w:tr>
      <w:tr w:rsidR="00823D81" w:rsidRPr="001E2D03" w14:paraId="4C8E9FC4" w14:textId="77777777" w:rsidTr="00136CC9">
        <w:trPr>
          <w:tblHeader/>
        </w:trPr>
        <w:tc>
          <w:tcPr>
            <w:tcW w:w="1434" w:type="dxa"/>
            <w:shd w:val="clear" w:color="auto" w:fill="auto"/>
            <w:tcMar>
              <w:top w:w="57" w:type="dxa"/>
              <w:bottom w:w="57" w:type="dxa"/>
            </w:tcMar>
            <w:hideMark/>
          </w:tcPr>
          <w:p w14:paraId="6DF9C963" w14:textId="64E0F049"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Xie et al. (2016)</w:t>
            </w:r>
            <w:r w:rsidR="00681C00">
              <w:rPr>
                <w:rFonts w:asciiTheme="majorHAnsi" w:hAnsiTheme="majorHAnsi" w:cstheme="majorHAnsi"/>
                <w:color w:val="000000"/>
                <w:sz w:val="16"/>
                <w:szCs w:val="16"/>
                <w:lang w:val="en-US"/>
              </w:rPr>
              <w:t>, Canada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[10]</w:t>
            </w:r>
          </w:p>
          <w:p w14:paraId="22AFBFE5" w14:textId="77777777" w:rsidR="00823D81" w:rsidRPr="007E56D0" w:rsidRDefault="008D0DCD" w:rsidP="00136CC9">
            <w:pPr>
              <w:spacing w:after="0"/>
              <w:rPr>
                <w:rFonts w:asciiTheme="majorHAnsi" w:hAnsiTheme="majorHAnsi" w:cstheme="majorHAnsi"/>
                <w:color w:val="000000"/>
                <w:sz w:val="16"/>
                <w:szCs w:val="16"/>
                <w:lang w:val="en-US"/>
              </w:rPr>
            </w:pPr>
            <w:hyperlink w:anchor="_CTVL00102a724830f99411482c338a103e7c407" w:tooltip="Xie, X., Lambrinos, A., Chan, B., Dhalla, I. A., Krings, T., Casaubon, L. K., Lum, C., Sikich, N., Bharatha, A., Pereira, V. M., Stotts, G., Saposnik,…" w:history="1"/>
          </w:p>
        </w:tc>
        <w:tc>
          <w:tcPr>
            <w:tcW w:w="7513" w:type="dxa"/>
            <w:shd w:val="clear" w:color="auto" w:fill="auto"/>
            <w:tcMar>
              <w:top w:w="57" w:type="dxa"/>
              <w:bottom w:w="57" w:type="dxa"/>
            </w:tcMar>
            <w:hideMark/>
          </w:tcPr>
          <w:p w14:paraId="4B618171"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90 days after stroke:</w:t>
            </w:r>
            <w:r w:rsidRPr="007E56D0">
              <w:rPr>
                <w:rFonts w:asciiTheme="majorHAnsi" w:hAnsiTheme="majorHAnsi" w:cstheme="majorHAnsi"/>
                <w:color w:val="000000"/>
                <w:sz w:val="16"/>
                <w:szCs w:val="16"/>
                <w:lang w:val="en-US"/>
              </w:rPr>
              <w:br/>
              <w:t>Self-conducted meta-analysis of ESCAPE, SWIFT PRIME, MR CLEAN, REVASCAT, EXTEND IA and THRACE RCTs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for intermediate model:</w:t>
            </w:r>
            <w:r w:rsidRPr="007E56D0">
              <w:rPr>
                <w:rFonts w:asciiTheme="majorHAnsi" w:hAnsiTheme="majorHAnsi" w:cstheme="majorHAnsi"/>
                <w:color w:val="000000"/>
                <w:sz w:val="16"/>
                <w:szCs w:val="16"/>
                <w:lang w:val="en-US"/>
              </w:rPr>
              <w:br/>
              <w:t>OXVASC cohort study (UK) data, calibration applied</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for long-term model</w:t>
            </w:r>
            <w:r w:rsidRPr="007E56D0">
              <w:rPr>
                <w:rFonts w:asciiTheme="majorHAnsi" w:hAnsiTheme="majorHAnsi" w:cstheme="majorHAnsi"/>
                <w:color w:val="000000"/>
                <w:sz w:val="16"/>
                <w:szCs w:val="16"/>
                <w:lang w:val="en-US"/>
              </w:rPr>
              <w:br/>
              <w:t>OXVASC cohort study (UK) data, calibration applied</w:t>
            </w:r>
            <w:r w:rsidRPr="007E56D0" w:rsidDel="00014B4B">
              <w:rPr>
                <w:rFonts w:asciiTheme="majorHAnsi" w:hAnsiTheme="majorHAnsi" w:cstheme="majorHAnsi"/>
                <w:color w:val="000000"/>
                <w:sz w:val="16"/>
                <w:szCs w:val="16"/>
                <w:lang w:val="en-US"/>
              </w:rPr>
              <w:t xml:space="preserve">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OXVASC cohort study (UK) data, calibration applied</w:t>
            </w:r>
          </w:p>
        </w:tc>
        <w:tc>
          <w:tcPr>
            <w:tcW w:w="2835" w:type="dxa"/>
            <w:shd w:val="clear" w:color="auto" w:fill="auto"/>
            <w:tcMar>
              <w:top w:w="57" w:type="dxa"/>
              <w:bottom w:w="57" w:type="dxa"/>
            </w:tcMar>
            <w:hideMark/>
          </w:tcPr>
          <w:p w14:paraId="76AFB04D"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Difference in utility of IVT+MT vs. IVT at 90 days post treatment: self-conducted meta-analysis of ESCAPE, SWIFT PRIME, MR CLEAN, REVASCAT, EXTEND IA and THRACE</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mRS-specific utilities:</w:t>
            </w:r>
            <w:r w:rsidRPr="007E56D0">
              <w:rPr>
                <w:rFonts w:asciiTheme="majorHAnsi" w:hAnsiTheme="majorHAnsi" w:cstheme="majorHAnsi"/>
                <w:color w:val="000000"/>
                <w:sz w:val="16"/>
                <w:szCs w:val="16"/>
                <w:lang w:val="en-US"/>
              </w:rPr>
              <w:br/>
              <w:t xml:space="preserve">UK cohorts by Dorman et al. (2000) </w:t>
            </w:r>
          </w:p>
        </w:tc>
        <w:tc>
          <w:tcPr>
            <w:tcW w:w="3260" w:type="dxa"/>
            <w:shd w:val="clear" w:color="auto" w:fill="auto"/>
            <w:tcMar>
              <w:top w:w="57" w:type="dxa"/>
              <w:bottom w:w="57" w:type="dxa"/>
            </w:tcMar>
            <w:hideMark/>
          </w:tcPr>
          <w:p w14:paraId="4D0B7B86" w14:textId="77777777" w:rsidR="00823D81" w:rsidRPr="007E56D0" w:rsidRDefault="00823D81"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Review of US hospitalization costs; Canadian prospective cohort study (BURST)</w:t>
            </w:r>
          </w:p>
        </w:tc>
      </w:tr>
      <w:tr w:rsidR="00823D81" w:rsidRPr="001E2D03" w14:paraId="4443FEDE" w14:textId="77777777" w:rsidTr="00136CC9">
        <w:trPr>
          <w:tblHeader/>
        </w:trPr>
        <w:tc>
          <w:tcPr>
            <w:tcW w:w="1434" w:type="dxa"/>
            <w:shd w:val="clear" w:color="auto" w:fill="auto"/>
            <w:noWrap/>
            <w:tcMar>
              <w:top w:w="57" w:type="dxa"/>
              <w:bottom w:w="57" w:type="dxa"/>
            </w:tcMar>
            <w:hideMark/>
          </w:tcPr>
          <w:p w14:paraId="1694051C" w14:textId="6B2F7A36" w:rsidR="00823D81" w:rsidRPr="007E56D0" w:rsidRDefault="00823D81" w:rsidP="00136CC9">
            <w:pPr>
              <w:spacing w:after="0"/>
              <w:rPr>
                <w:rFonts w:asciiTheme="majorHAnsi" w:hAnsiTheme="majorHAnsi" w:cstheme="majorHAnsi"/>
                <w:color w:val="000000"/>
                <w:sz w:val="16"/>
                <w:szCs w:val="16"/>
                <w:lang w:val="en-US"/>
              </w:rPr>
            </w:pPr>
            <w:r w:rsidRPr="001E2D03">
              <w:rPr>
                <w:rFonts w:asciiTheme="majorHAnsi" w:hAnsiTheme="majorHAnsi" w:cstheme="majorHAnsi"/>
                <w:color w:val="000000"/>
                <w:sz w:val="16"/>
                <w:szCs w:val="16"/>
              </w:rPr>
              <w:t xml:space="preserve">de Andrés-Nogales et al. </w:t>
            </w:r>
            <w:r w:rsidRPr="007E56D0">
              <w:rPr>
                <w:rFonts w:asciiTheme="majorHAnsi" w:hAnsiTheme="majorHAnsi" w:cstheme="majorHAnsi"/>
                <w:color w:val="000000"/>
                <w:sz w:val="16"/>
                <w:szCs w:val="16"/>
                <w:lang w:val="en-US"/>
              </w:rPr>
              <w:t>(2017)</w:t>
            </w:r>
            <w:r w:rsidR="00681C00">
              <w:rPr>
                <w:rFonts w:asciiTheme="majorHAnsi" w:hAnsiTheme="majorHAnsi" w:cstheme="majorHAnsi"/>
                <w:color w:val="000000"/>
                <w:sz w:val="16"/>
                <w:szCs w:val="16"/>
                <w:lang w:val="en-US"/>
              </w:rPr>
              <w:t>, Spain</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[11]</w:t>
            </w:r>
          </w:p>
          <w:p w14:paraId="4794D405" w14:textId="77777777" w:rsidR="00823D81" w:rsidRPr="007E56D0" w:rsidRDefault="00823D81"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33969D48"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SWIFT-PRIME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Adverse events rate:</w:t>
            </w:r>
            <w:r w:rsidRPr="007E56D0">
              <w:rPr>
                <w:rFonts w:asciiTheme="majorHAnsi" w:hAnsiTheme="majorHAnsi" w:cstheme="majorHAnsi"/>
                <w:color w:val="000000"/>
                <w:sz w:val="16"/>
                <w:szCs w:val="16"/>
                <w:lang w:val="en-US"/>
              </w:rPr>
              <w:br/>
              <w:t>REVASCAT- RCT</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 xml:space="preserve">Meta- analysis of register studies by Mohan et al. (2011)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lastRenderedPageBreak/>
              <w:t>As in short-term model in acute phase arm without lower mRS,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Swedish cohort study by Slot et al. (2009) + Spanish life tables </w:t>
            </w:r>
          </w:p>
        </w:tc>
        <w:tc>
          <w:tcPr>
            <w:tcW w:w="2835" w:type="dxa"/>
            <w:shd w:val="clear" w:color="auto" w:fill="auto"/>
            <w:tcMar>
              <w:top w:w="57" w:type="dxa"/>
              <w:bottom w:w="57" w:type="dxa"/>
            </w:tcMar>
            <w:hideMark/>
          </w:tcPr>
          <w:p w14:paraId="341CA85A" w14:textId="77777777" w:rsidR="00823D81" w:rsidRPr="007E56D0" w:rsidRDefault="00823D81"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mRS-specific utilities:</w:t>
            </w:r>
            <w:r w:rsidRPr="007E56D0">
              <w:rPr>
                <w:rFonts w:asciiTheme="majorHAnsi" w:hAnsiTheme="majorHAnsi" w:cstheme="majorHAnsi"/>
                <w:color w:val="000000"/>
                <w:sz w:val="16"/>
                <w:szCs w:val="16"/>
                <w:lang w:val="en-US"/>
              </w:rPr>
              <w:br/>
              <w:t>Study by Rivero-Arias et al. (2010), mapping EQ-5D with UK-tariffs to mRS-scores in population-based UK OXVASC-study</w:t>
            </w:r>
          </w:p>
        </w:tc>
        <w:tc>
          <w:tcPr>
            <w:tcW w:w="3260" w:type="dxa"/>
            <w:shd w:val="clear" w:color="auto" w:fill="auto"/>
            <w:tcMar>
              <w:top w:w="57" w:type="dxa"/>
              <w:bottom w:w="57" w:type="dxa"/>
            </w:tcMar>
            <w:hideMark/>
          </w:tcPr>
          <w:p w14:paraId="4A734C54" w14:textId="77777777" w:rsidR="00823D81" w:rsidRPr="007E56D0" w:rsidRDefault="00823D81"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Spanish CEAs; Spanish cost databases; clinical expert panel, DRGs</w:t>
            </w:r>
          </w:p>
        </w:tc>
      </w:tr>
      <w:tr w:rsidR="00D077E4" w:rsidRPr="001E2D03" w14:paraId="6DEE1BB4" w14:textId="77777777" w:rsidTr="00136CC9">
        <w:trPr>
          <w:tblHeader/>
        </w:trPr>
        <w:tc>
          <w:tcPr>
            <w:tcW w:w="1434" w:type="dxa"/>
            <w:shd w:val="clear" w:color="auto" w:fill="auto"/>
            <w:tcMar>
              <w:top w:w="57" w:type="dxa"/>
              <w:bottom w:w="57" w:type="dxa"/>
            </w:tcMar>
            <w:hideMark/>
          </w:tcPr>
          <w:p w14:paraId="37CD54E6" w14:textId="793CCACD" w:rsidR="00D077E4" w:rsidRPr="007E56D0" w:rsidRDefault="00D077E4"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 xml:space="preserve">Health Information and Quality Authority (HIQA) Ireland (2017) </w:t>
            </w:r>
            <w:r w:rsidR="00215B90">
              <w:rPr>
                <w:rFonts w:asciiTheme="majorHAnsi" w:hAnsiTheme="majorHAnsi" w:cstheme="majorHAnsi"/>
                <w:color w:val="000000"/>
                <w:sz w:val="16"/>
                <w:szCs w:val="16"/>
                <w:lang w:val="en-US"/>
              </w:rPr>
              <w:t>[12]</w:t>
            </w:r>
          </w:p>
          <w:p w14:paraId="5B3EBD57" w14:textId="77777777" w:rsidR="00D077E4" w:rsidRPr="007E56D0" w:rsidRDefault="00D077E4"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10F29EE1" w14:textId="77777777" w:rsidR="00D077E4" w:rsidRPr="007E56D0" w:rsidRDefault="00D077E4"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Self-conducted meta-analysis of ESCAPE, SWIFT PRIME, MR CLEAN, REVASCAT, EXTEND IA and THRACE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Difference between IVT- and MT-treated patients regarding mortality (within treatment arm):</w:t>
            </w:r>
            <w:r w:rsidRPr="007E56D0">
              <w:rPr>
                <w:rFonts w:asciiTheme="majorHAnsi" w:hAnsiTheme="majorHAnsi" w:cstheme="majorHAnsi"/>
                <w:color w:val="000000"/>
                <w:sz w:val="16"/>
                <w:szCs w:val="16"/>
                <w:lang w:val="en-US"/>
              </w:rPr>
              <w:br/>
              <w:t xml:space="preserve">Self-conducted meta-analysis of ESCAPE, SWIFT PRIME, MR CLEAN, REVASCAT, EXTEND IA and THRACE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90 days after stroke incl. mortality:</w:t>
            </w:r>
            <w:r w:rsidRPr="007E56D0">
              <w:rPr>
                <w:rFonts w:asciiTheme="majorHAnsi" w:hAnsiTheme="majorHAnsi" w:cstheme="majorHAnsi"/>
                <w:color w:val="000000"/>
                <w:sz w:val="16"/>
                <w:szCs w:val="16"/>
                <w:lang w:val="en-US"/>
              </w:rPr>
              <w:br/>
              <w:t>Health Quality Ontario modelling study (2016) utilizing population-based OXVASC-cohort-study data</w:t>
            </w:r>
          </w:p>
        </w:tc>
        <w:tc>
          <w:tcPr>
            <w:tcW w:w="2835" w:type="dxa"/>
            <w:shd w:val="clear" w:color="auto" w:fill="auto"/>
            <w:tcMar>
              <w:top w:w="57" w:type="dxa"/>
              <w:bottom w:w="57" w:type="dxa"/>
            </w:tcMar>
            <w:hideMark/>
          </w:tcPr>
          <w:p w14:paraId="46C5E346" w14:textId="77777777" w:rsidR="00D077E4" w:rsidRPr="007E56D0" w:rsidRDefault="00D077E4"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 xml:space="preserve">mRS-specific utilities: </w:t>
            </w:r>
            <w:r w:rsidRPr="007E56D0">
              <w:rPr>
                <w:rFonts w:asciiTheme="majorHAnsi" w:hAnsiTheme="majorHAnsi" w:cstheme="majorHAnsi"/>
                <w:color w:val="000000"/>
                <w:sz w:val="16"/>
                <w:szCs w:val="16"/>
                <w:lang w:val="en-US"/>
              </w:rPr>
              <w:br/>
              <w:t>Pooled utilities from Samsa et al. (1999), Rivero-Arias et al (2010), Dorman et al (2000) and Dewilde et al (2017), i.e., US, UK and Belgian utilities</w:t>
            </w:r>
          </w:p>
        </w:tc>
        <w:tc>
          <w:tcPr>
            <w:tcW w:w="3260" w:type="dxa"/>
            <w:shd w:val="clear" w:color="auto" w:fill="auto"/>
            <w:tcMar>
              <w:top w:w="57" w:type="dxa"/>
              <w:bottom w:w="57" w:type="dxa"/>
            </w:tcMar>
            <w:hideMark/>
          </w:tcPr>
          <w:p w14:paraId="30ACBD7C" w14:textId="77777777" w:rsidR="00D077E4" w:rsidRPr="007E56D0" w:rsidRDefault="00D077E4"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Multiple sources incl. Health Service Executive Report, Dublin; Irish Stroke Audit Report; OpenStreetMap; Beaumont and Cork University Hospital data; UK national pensions guidelines; Irish atrial fibrillation screening HTA</w:t>
            </w:r>
          </w:p>
        </w:tc>
      </w:tr>
      <w:tr w:rsidR="009C1B66" w:rsidRPr="001E2D03" w14:paraId="78E7EDC3" w14:textId="77777777" w:rsidTr="00136CC9">
        <w:trPr>
          <w:tblHeader/>
        </w:trPr>
        <w:tc>
          <w:tcPr>
            <w:tcW w:w="1434" w:type="dxa"/>
            <w:shd w:val="clear" w:color="auto" w:fill="auto"/>
            <w:tcMar>
              <w:top w:w="57" w:type="dxa"/>
              <w:bottom w:w="57" w:type="dxa"/>
            </w:tcMar>
          </w:tcPr>
          <w:p w14:paraId="7089863C" w14:textId="0211AE1D"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Steen Carlsson et al. (2017)</w:t>
            </w:r>
            <w:r>
              <w:rPr>
                <w:rFonts w:asciiTheme="majorHAnsi" w:hAnsiTheme="majorHAnsi" w:cstheme="majorHAnsi"/>
                <w:color w:val="000000"/>
                <w:sz w:val="16"/>
                <w:szCs w:val="16"/>
                <w:lang w:val="en-US"/>
              </w:rPr>
              <w:t>, Sweden</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[13]</w:t>
            </w:r>
          </w:p>
          <w:p w14:paraId="749EE251" w14:textId="77777777" w:rsidR="009C1B66" w:rsidRPr="007E56D0" w:rsidRDefault="009C1B66"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tcPr>
          <w:p w14:paraId="0E5D364A" w14:textId="3098C0A6"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pooled data of 5 RCTs: EXTEND-1A, REVASCAT, MR CLEAN</w:t>
            </w:r>
            <w:r w:rsidRPr="007E56D0" w:rsidDel="003B757F">
              <w:rPr>
                <w:rFonts w:asciiTheme="majorHAnsi" w:hAnsiTheme="majorHAnsi" w:cstheme="majorHAnsi"/>
                <w:color w:val="000000"/>
                <w:sz w:val="16"/>
                <w:szCs w:val="16"/>
                <w:lang w:val="en-US"/>
              </w:rPr>
              <w:t>,</w:t>
            </w:r>
            <w:r w:rsidRPr="007E56D0">
              <w:rPr>
                <w:rFonts w:asciiTheme="majorHAnsi" w:hAnsiTheme="majorHAnsi" w:cstheme="majorHAnsi"/>
                <w:color w:val="000000"/>
                <w:sz w:val="16"/>
                <w:szCs w:val="16"/>
                <w:lang w:val="en-US"/>
              </w:rPr>
              <w:t xml:space="preserve"> ESCAPE, SWIFT-PRIME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 xml:space="preserve">Assumed 0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 xml:space="preserve">Previous models by Ganesalingam et al. (2015), Leppert et al. (2015) and Svensson et al. (2012)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Probably as in short-term model in same treatment arm without lower mRS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Official national Swedish sources + Riksstroke Swedish stroke registry</w:t>
            </w:r>
          </w:p>
        </w:tc>
        <w:tc>
          <w:tcPr>
            <w:tcW w:w="2835" w:type="dxa"/>
            <w:shd w:val="clear" w:color="auto" w:fill="auto"/>
            <w:tcMar>
              <w:top w:w="57" w:type="dxa"/>
              <w:bottom w:w="57" w:type="dxa"/>
            </w:tcMar>
          </w:tcPr>
          <w:p w14:paraId="28F867E9" w14:textId="6F236563"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Study by Rivero-Arias et al. (2010), mapping EQ-5D with UK-tariffs to mRS-scores in population-based UK OXVASC-study</w:t>
            </w:r>
          </w:p>
        </w:tc>
        <w:tc>
          <w:tcPr>
            <w:tcW w:w="3260" w:type="dxa"/>
            <w:shd w:val="clear" w:color="auto" w:fill="auto"/>
            <w:tcMar>
              <w:top w:w="57" w:type="dxa"/>
              <w:bottom w:w="57" w:type="dxa"/>
            </w:tcMar>
          </w:tcPr>
          <w:p w14:paraId="5CB723DE" w14:textId="5337D9B5"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Multiple sources incl. Swedish stroke registry (Riksstroke); Ska˚ne University clinic data</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Productivity losses</w:t>
            </w:r>
            <w:r w:rsidRPr="007E56D0">
              <w:rPr>
                <w:rFonts w:asciiTheme="majorHAnsi" w:hAnsiTheme="majorHAnsi" w:cstheme="majorHAnsi"/>
                <w:sz w:val="16"/>
                <w:szCs w:val="16"/>
                <w:lang w:val="en-US"/>
              </w:rPr>
              <w:br/>
              <w:t>Swedish statistical database</w:t>
            </w:r>
          </w:p>
        </w:tc>
      </w:tr>
      <w:tr w:rsidR="009C1B66" w:rsidRPr="004515C5" w14:paraId="0951565B" w14:textId="77777777" w:rsidTr="00136CC9">
        <w:trPr>
          <w:tblHeader/>
        </w:trPr>
        <w:tc>
          <w:tcPr>
            <w:tcW w:w="1434" w:type="dxa"/>
            <w:shd w:val="clear" w:color="auto" w:fill="auto"/>
            <w:tcMar>
              <w:top w:w="57" w:type="dxa"/>
              <w:bottom w:w="57" w:type="dxa"/>
            </w:tcMar>
            <w:hideMark/>
          </w:tcPr>
          <w:p w14:paraId="324994FB" w14:textId="35CC9A8D"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Arora et al. (2018)</w:t>
            </w:r>
            <w:r w:rsidR="003D16A4">
              <w:rPr>
                <w:rFonts w:asciiTheme="majorHAnsi" w:hAnsiTheme="majorHAnsi" w:cstheme="majorHAnsi"/>
                <w:color w:val="000000"/>
                <w:sz w:val="16"/>
                <w:szCs w:val="16"/>
                <w:lang w:val="en-US"/>
              </w:rPr>
              <w:t>, Australia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[14]</w:t>
            </w:r>
          </w:p>
          <w:p w14:paraId="4BE53A59" w14:textId="77777777" w:rsidR="009C1B66" w:rsidRPr="007E56D0" w:rsidRDefault="009C1B66"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33FC4804"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90 days after stroke:</w:t>
            </w:r>
            <w:r w:rsidRPr="007E56D0">
              <w:rPr>
                <w:rFonts w:asciiTheme="majorHAnsi" w:hAnsiTheme="majorHAnsi" w:cstheme="majorHAnsi"/>
                <w:color w:val="000000"/>
                <w:sz w:val="16"/>
                <w:szCs w:val="16"/>
                <w:lang w:val="en-US"/>
              </w:rPr>
              <w:br/>
              <w:t>HERMES RCT-meta-analysis of ESCAPE,  MR CLEAN</w:t>
            </w:r>
            <w:r w:rsidRPr="007E56D0" w:rsidDel="003B757F">
              <w:rPr>
                <w:rFonts w:asciiTheme="majorHAnsi" w:hAnsiTheme="majorHAnsi" w:cstheme="majorHAnsi"/>
                <w:color w:val="000000"/>
                <w:sz w:val="16"/>
                <w:szCs w:val="16"/>
                <w:lang w:val="en-US"/>
              </w:rPr>
              <w:t xml:space="preserve"> </w:t>
            </w:r>
            <w:r w:rsidRPr="007E56D0">
              <w:rPr>
                <w:rFonts w:asciiTheme="majorHAnsi" w:hAnsiTheme="majorHAnsi" w:cstheme="majorHAnsi"/>
                <w:color w:val="000000"/>
                <w:sz w:val="16"/>
                <w:szCs w:val="16"/>
                <w:lang w:val="en-US"/>
              </w:rPr>
              <w:t>, REVASCAT, SWIFT PRIME, EXTEND IA by Goyal et al. (2016)</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Probabilities for mRS-states after 90 days up until first year without recurrence:</w:t>
            </w:r>
            <w:r w:rsidRPr="007E56D0">
              <w:rPr>
                <w:rFonts w:asciiTheme="majorHAnsi" w:hAnsiTheme="majorHAnsi" w:cstheme="majorHAnsi"/>
                <w:color w:val="000000"/>
                <w:sz w:val="16"/>
                <w:szCs w:val="16"/>
                <w:lang w:val="en-US"/>
              </w:rPr>
              <w:br/>
              <w:t xml:space="preserve">Prospective survey study in Basel by Gensicke et al. (2015)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risk of recurrence: </w:t>
            </w:r>
            <w:r w:rsidRPr="007E56D0">
              <w:rPr>
                <w:rFonts w:asciiTheme="majorHAnsi" w:hAnsiTheme="majorHAnsi" w:cstheme="majorHAnsi"/>
                <w:color w:val="000000"/>
                <w:sz w:val="16"/>
                <w:szCs w:val="16"/>
                <w:lang w:val="en-US"/>
              </w:rPr>
              <w:br/>
              <w:t xml:space="preserve">Meta-analysis of register studies by Mohan et al. (2011)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after recurrence:</w:t>
            </w:r>
            <w:r w:rsidRPr="007E56D0">
              <w:rPr>
                <w:rFonts w:asciiTheme="majorHAnsi" w:hAnsiTheme="majorHAnsi" w:cstheme="majorHAnsi"/>
                <w:color w:val="000000"/>
                <w:sz w:val="16"/>
                <w:szCs w:val="16"/>
                <w:lang w:val="en-US"/>
              </w:rPr>
              <w:br/>
              <w:t xml:space="preserve">Treatment as usual, from HERMES RCT-meta-analysis of ESCAPE,MR CLEAN, REVASCAT, SWIFT PRIME, EXTEND IA </w:t>
            </w:r>
            <w:r w:rsidRPr="007E56D0">
              <w:rPr>
                <w:rFonts w:asciiTheme="majorHAnsi" w:hAnsiTheme="majorHAnsi" w:cstheme="majorHAnsi"/>
                <w:color w:val="000000"/>
                <w:sz w:val="16"/>
                <w:szCs w:val="16"/>
                <w:lang w:val="en-US"/>
              </w:rPr>
              <w:lastRenderedPageBreak/>
              <w:t>by Goyal et al. (2016)</w:t>
            </w:r>
            <w:r w:rsidRPr="007E56D0" w:rsidDel="004D2B75">
              <w:rPr>
                <w:rFonts w:asciiTheme="majorHAnsi" w:hAnsiTheme="majorHAnsi" w:cstheme="majorHAnsi"/>
                <w:color w:val="000000"/>
                <w:sz w:val="16"/>
                <w:szCs w:val="16"/>
                <w:lang w:val="en-US"/>
              </w:rPr>
              <w:t xml:space="preserve"> </w:t>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Australian Bureau of Statistics  </w:t>
            </w:r>
          </w:p>
        </w:tc>
        <w:tc>
          <w:tcPr>
            <w:tcW w:w="2835" w:type="dxa"/>
            <w:shd w:val="clear" w:color="auto" w:fill="auto"/>
            <w:tcMar>
              <w:top w:w="57" w:type="dxa"/>
              <w:bottom w:w="57" w:type="dxa"/>
            </w:tcMar>
            <w:hideMark/>
          </w:tcPr>
          <w:p w14:paraId="70639991"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mRS-specific utilities:</w:t>
            </w:r>
            <w:r w:rsidRPr="007E56D0">
              <w:rPr>
                <w:rFonts w:asciiTheme="majorHAnsi" w:hAnsiTheme="majorHAnsi" w:cstheme="majorHAnsi"/>
                <w:color w:val="000000"/>
                <w:sz w:val="16"/>
                <w:szCs w:val="16"/>
                <w:lang w:val="en-US"/>
              </w:rPr>
              <w:br/>
              <w:t>Validation of quality-of-life questionnaire in Australian stroke survivors published by Sturm et al. (2022)</w:t>
            </w:r>
          </w:p>
        </w:tc>
        <w:tc>
          <w:tcPr>
            <w:tcW w:w="3260" w:type="dxa"/>
            <w:shd w:val="clear" w:color="auto" w:fill="auto"/>
            <w:tcMar>
              <w:top w:w="57" w:type="dxa"/>
              <w:bottom w:w="57" w:type="dxa"/>
            </w:tcMar>
            <w:hideMark/>
          </w:tcPr>
          <w:p w14:paraId="380740E5"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Medtronic pricing, Australian Medicare Benefits Schedule; HERMES RCT-meta-analysis by Goyal et al. (2016); paper presentation by Campbell et al. (2015); Australian stroke cohort costing study by Gloede et al. (2014); Dutch stroke cohort costing study by Baeten et al. (2010)</w:t>
            </w:r>
            <w:r w:rsidRPr="007E56D0">
              <w:rPr>
                <w:rFonts w:asciiTheme="majorHAnsi" w:hAnsiTheme="majorHAnsi" w:cstheme="majorHAnsi"/>
                <w:sz w:val="16"/>
                <w:szCs w:val="16"/>
                <w:lang w:val="en-US"/>
              </w:rPr>
              <w:br/>
            </w:r>
          </w:p>
        </w:tc>
      </w:tr>
      <w:tr w:rsidR="009C1B66" w:rsidRPr="001E2D03" w14:paraId="0485D18D" w14:textId="77777777" w:rsidTr="00136CC9">
        <w:trPr>
          <w:tblHeader/>
        </w:trPr>
        <w:tc>
          <w:tcPr>
            <w:tcW w:w="1434" w:type="dxa"/>
            <w:shd w:val="clear" w:color="auto" w:fill="auto"/>
            <w:noWrap/>
            <w:tcMar>
              <w:top w:w="57" w:type="dxa"/>
              <w:bottom w:w="57" w:type="dxa"/>
            </w:tcMar>
            <w:hideMark/>
          </w:tcPr>
          <w:p w14:paraId="106A8746" w14:textId="727ED90D"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Pan et al. (2018)</w:t>
            </w:r>
            <w:r w:rsidR="003D16A4">
              <w:rPr>
                <w:rFonts w:asciiTheme="majorHAnsi" w:hAnsiTheme="majorHAnsi" w:cstheme="majorHAnsi"/>
                <w:color w:val="000000"/>
                <w:sz w:val="16"/>
                <w:szCs w:val="16"/>
                <w:lang w:val="en-US"/>
              </w:rPr>
              <w:t>, China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[15]</w:t>
            </w:r>
          </w:p>
          <w:p w14:paraId="61D45455" w14:textId="77777777" w:rsidR="009C1B66" w:rsidRPr="007E56D0" w:rsidRDefault="009C1B66"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29B41ACB"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Meta-analysis of 9 RTCs: EXTEND-1A, REVASCAT,  MR CLEAN</w:t>
            </w:r>
            <w:r w:rsidRPr="007E56D0" w:rsidDel="003B757F">
              <w:rPr>
                <w:rFonts w:asciiTheme="majorHAnsi" w:hAnsiTheme="majorHAnsi" w:cstheme="majorHAnsi"/>
                <w:color w:val="000000"/>
                <w:sz w:val="16"/>
                <w:szCs w:val="16"/>
                <w:lang w:val="en-US"/>
              </w:rPr>
              <w:t xml:space="preserve"> </w:t>
            </w:r>
            <w:r w:rsidRPr="007E56D0">
              <w:rPr>
                <w:rFonts w:asciiTheme="majorHAnsi" w:hAnsiTheme="majorHAnsi" w:cstheme="majorHAnsi"/>
                <w:color w:val="000000"/>
                <w:sz w:val="16"/>
                <w:szCs w:val="16"/>
                <w:lang w:val="en-US"/>
              </w:rPr>
              <w:t xml:space="preserve">, ESCAPE, SWIFT-PRIME, THRACE, PISTE, THERAPY and EASI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Proportion for MT-group actually receiving MT:</w:t>
            </w:r>
            <w:r w:rsidRPr="007E56D0">
              <w:rPr>
                <w:rFonts w:asciiTheme="majorHAnsi" w:hAnsiTheme="majorHAnsi" w:cstheme="majorHAnsi"/>
                <w:color w:val="000000"/>
                <w:sz w:val="16"/>
                <w:szCs w:val="16"/>
                <w:lang w:val="en-US"/>
              </w:rPr>
              <w:br/>
              <w:t>Meta-analysis of 9 different RTCs: EXTEND-1A, REVASCAT,  MR CLEAN</w:t>
            </w:r>
            <w:r w:rsidRPr="007E56D0" w:rsidDel="003B757F">
              <w:rPr>
                <w:rFonts w:asciiTheme="majorHAnsi" w:hAnsiTheme="majorHAnsi" w:cstheme="majorHAnsi"/>
                <w:color w:val="000000"/>
                <w:sz w:val="16"/>
                <w:szCs w:val="16"/>
                <w:lang w:val="en-US"/>
              </w:rPr>
              <w:t xml:space="preserve"> </w:t>
            </w:r>
            <w:r w:rsidRPr="007E56D0">
              <w:rPr>
                <w:rFonts w:asciiTheme="majorHAnsi" w:hAnsiTheme="majorHAnsi" w:cstheme="majorHAnsi"/>
                <w:color w:val="000000"/>
                <w:sz w:val="16"/>
                <w:szCs w:val="16"/>
                <w:lang w:val="en-US"/>
              </w:rPr>
              <w:t xml:space="preserve">, ESCAPE, SWIFT-PRIME, THRACE, PISTE, THERAPY and EASI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Proportion for arriving within 4.5 hours:</w:t>
            </w:r>
            <w:r w:rsidRPr="007E56D0">
              <w:rPr>
                <w:rFonts w:asciiTheme="majorHAnsi" w:hAnsiTheme="majorHAnsi" w:cstheme="majorHAnsi"/>
                <w:color w:val="000000"/>
                <w:sz w:val="16"/>
                <w:szCs w:val="16"/>
                <w:lang w:val="en-US"/>
              </w:rPr>
              <w:br/>
              <w:t>Chinese stroke registry</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 xml:space="preserve">Swedish cohort study by Pennlert et al. (2014)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 xml:space="preserve">Recurrence death taken from Chinese stroke registry, equal probability for keeping health state or deterioration assumed by modelling study by Tung et al. (2011)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Samsa et al. (1999), based on US expert panel, Chinese Statistics Bureau and Chinese Health Ministry:</w:t>
            </w:r>
          </w:p>
        </w:tc>
        <w:tc>
          <w:tcPr>
            <w:tcW w:w="2835" w:type="dxa"/>
            <w:shd w:val="clear" w:color="auto" w:fill="auto"/>
            <w:tcMar>
              <w:top w:w="57" w:type="dxa"/>
              <w:bottom w:w="57" w:type="dxa"/>
            </w:tcMar>
            <w:hideMark/>
          </w:tcPr>
          <w:p w14:paraId="7D74B662"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 sICH- and recurrence-specific utilities:</w:t>
            </w:r>
            <w:r w:rsidRPr="007E56D0">
              <w:rPr>
                <w:rFonts w:asciiTheme="majorHAnsi" w:hAnsiTheme="majorHAnsi" w:cstheme="majorHAnsi"/>
                <w:color w:val="000000"/>
                <w:sz w:val="16"/>
                <w:szCs w:val="16"/>
                <w:lang w:val="en-US"/>
              </w:rPr>
              <w:br/>
              <w:t xml:space="preserve">Study by Wang et al. (2014), using EQ-5D, Chinese utility weights in Chinese stroke patients and Swedish cohort study by Pennlert et al. (2014) </w:t>
            </w:r>
          </w:p>
        </w:tc>
        <w:tc>
          <w:tcPr>
            <w:tcW w:w="3260" w:type="dxa"/>
            <w:shd w:val="clear" w:color="auto" w:fill="auto"/>
            <w:tcMar>
              <w:top w:w="57" w:type="dxa"/>
              <w:bottom w:w="57" w:type="dxa"/>
            </w:tcMar>
            <w:hideMark/>
          </w:tcPr>
          <w:p w14:paraId="0185C93D"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Chinese stroke registry (TIMS); Chinese EAST-trial</w:t>
            </w:r>
          </w:p>
        </w:tc>
      </w:tr>
      <w:tr w:rsidR="009C1B66" w:rsidRPr="004515C5" w14:paraId="161F7F01" w14:textId="77777777" w:rsidTr="00136CC9">
        <w:trPr>
          <w:tblHeader/>
        </w:trPr>
        <w:tc>
          <w:tcPr>
            <w:tcW w:w="1434" w:type="dxa"/>
            <w:shd w:val="clear" w:color="auto" w:fill="auto"/>
            <w:noWrap/>
            <w:tcMar>
              <w:top w:w="57" w:type="dxa"/>
              <w:bottom w:w="57" w:type="dxa"/>
            </w:tcMar>
            <w:hideMark/>
          </w:tcPr>
          <w:p w14:paraId="1CC4BE08" w14:textId="24031A62"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Ruggeri et al. (2018)</w:t>
            </w:r>
            <w:r w:rsidR="003D16A4">
              <w:rPr>
                <w:rFonts w:asciiTheme="majorHAnsi" w:hAnsiTheme="majorHAnsi" w:cstheme="majorHAnsi"/>
                <w:color w:val="000000"/>
                <w:sz w:val="16"/>
                <w:szCs w:val="16"/>
                <w:lang w:val="en-US"/>
              </w:rPr>
              <w:t>, Italy</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[16]</w:t>
            </w:r>
          </w:p>
          <w:p w14:paraId="42BAF388" w14:textId="77777777" w:rsidR="009C1B66" w:rsidRPr="007E56D0" w:rsidRDefault="009C1B66"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191D92EB"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SWIFT-PRIME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Lobotesis model, based on meta- analysis of register studies by Mohan et al. (2011)</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 xml:space="preserve">as in short-term model without lower mRS </w:t>
            </w:r>
            <w:r w:rsidRPr="007E56D0">
              <w:rPr>
                <w:rFonts w:asciiTheme="majorHAnsi" w:hAnsiTheme="majorHAnsi" w:cstheme="majorHAnsi"/>
                <w:color w:val="000000"/>
                <w:sz w:val="16"/>
                <w:szCs w:val="16"/>
                <w:lang w:val="en-US"/>
              </w:rPr>
              <w:br/>
              <w:t xml:space="preserve">-&gt; all recurrence assumed to be treated with same strategy as at initial stroke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Official mortality statistics (Italian National Institute of Statistics) and Swedish cohort study by Slot et al. (2009)</w:t>
            </w:r>
          </w:p>
        </w:tc>
        <w:tc>
          <w:tcPr>
            <w:tcW w:w="2835" w:type="dxa"/>
            <w:shd w:val="clear" w:color="auto" w:fill="auto"/>
            <w:tcMar>
              <w:top w:w="57" w:type="dxa"/>
              <w:bottom w:w="57" w:type="dxa"/>
            </w:tcMar>
            <w:hideMark/>
          </w:tcPr>
          <w:p w14:paraId="1E9A0FC0"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Study by Rivero-Arias et al. (2010), mapping EQ-5D with UK-tariffs to mRS-scores in population-based UK OXVASC-study</w:t>
            </w:r>
          </w:p>
        </w:tc>
        <w:tc>
          <w:tcPr>
            <w:tcW w:w="3260" w:type="dxa"/>
            <w:shd w:val="clear" w:color="auto" w:fill="auto"/>
            <w:tcMar>
              <w:top w:w="57" w:type="dxa"/>
              <w:bottom w:w="57" w:type="dxa"/>
            </w:tcMar>
            <w:hideMark/>
          </w:tcPr>
          <w:p w14:paraId="175AEC14"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Clinical expert opinion; OCSE database; manufacturer prices; Italian stroke cost studies by Fattore et al. (2012) and Lucioni et al. (2012)</w:t>
            </w:r>
          </w:p>
        </w:tc>
      </w:tr>
      <w:tr w:rsidR="009C1B66" w:rsidRPr="001E2D03" w14:paraId="242C1A65" w14:textId="77777777" w:rsidTr="00136CC9">
        <w:trPr>
          <w:tblHeader/>
        </w:trPr>
        <w:tc>
          <w:tcPr>
            <w:tcW w:w="1434" w:type="dxa"/>
            <w:shd w:val="clear" w:color="auto" w:fill="auto"/>
            <w:noWrap/>
            <w:tcMar>
              <w:top w:w="57" w:type="dxa"/>
              <w:bottom w:w="57" w:type="dxa"/>
            </w:tcMar>
            <w:hideMark/>
          </w:tcPr>
          <w:p w14:paraId="515804A1" w14:textId="5C2404AB"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Kaboré et al. (2019)</w:t>
            </w:r>
            <w:r w:rsidR="003D16A4">
              <w:rPr>
                <w:rFonts w:asciiTheme="majorHAnsi" w:hAnsiTheme="majorHAnsi" w:cstheme="majorHAnsi"/>
                <w:color w:val="000000"/>
                <w:sz w:val="16"/>
                <w:szCs w:val="16"/>
                <w:lang w:val="en-US"/>
              </w:rPr>
              <w:t>, France</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[17]</w:t>
            </w:r>
          </w:p>
          <w:p w14:paraId="38B68854" w14:textId="77777777" w:rsidR="009C1B66" w:rsidRPr="007E56D0" w:rsidRDefault="009C1B66"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4D98D150"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90 days after stroke:</w:t>
            </w:r>
            <w:r w:rsidRPr="007E56D0">
              <w:rPr>
                <w:rFonts w:asciiTheme="majorHAnsi" w:hAnsiTheme="majorHAnsi" w:cstheme="majorHAnsi"/>
                <w:color w:val="000000"/>
                <w:sz w:val="16"/>
                <w:szCs w:val="16"/>
                <w:lang w:val="en-US"/>
              </w:rPr>
              <w:br/>
              <w:t xml:space="preserve">EXTEND-1A, REVASCAT, MR CLEAN, ESCAPE, SWIFT-PRIME and THRACE RCTs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Intermediate TPs:</w:t>
            </w:r>
            <w:r w:rsidRPr="007E56D0">
              <w:rPr>
                <w:rFonts w:asciiTheme="majorHAnsi" w:hAnsiTheme="majorHAnsi" w:cstheme="majorHAnsi"/>
                <w:color w:val="000000"/>
                <w:sz w:val="16"/>
                <w:szCs w:val="16"/>
                <w:lang w:val="en-US"/>
              </w:rPr>
              <w:br/>
              <w:t>Multiple sources incl. OXVASC cohort study (UK)</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prospective cohort by Hankey et al. (2007)</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Transition probabilities after recurrence:</w:t>
            </w:r>
            <w:r w:rsidRPr="007E56D0">
              <w:rPr>
                <w:rFonts w:asciiTheme="majorHAnsi" w:hAnsiTheme="majorHAnsi" w:cstheme="majorHAnsi"/>
                <w:color w:val="000000"/>
                <w:sz w:val="16"/>
                <w:szCs w:val="16"/>
                <w:lang w:val="en-US"/>
              </w:rPr>
              <w:br/>
              <w:t>prospective cohort by Hankey et al. (2007)</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prospective cohort study by Magalhães et al. (2014)</w:t>
            </w:r>
          </w:p>
        </w:tc>
        <w:tc>
          <w:tcPr>
            <w:tcW w:w="2835" w:type="dxa"/>
            <w:shd w:val="clear" w:color="auto" w:fill="auto"/>
            <w:tcMar>
              <w:top w:w="57" w:type="dxa"/>
              <w:bottom w:w="57" w:type="dxa"/>
            </w:tcMar>
            <w:hideMark/>
          </w:tcPr>
          <w:p w14:paraId="7AA2B8E2"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 and recurrence specific utilities:</w:t>
            </w:r>
            <w:r w:rsidRPr="007E56D0">
              <w:rPr>
                <w:rFonts w:asciiTheme="majorHAnsi" w:hAnsiTheme="majorHAnsi" w:cstheme="majorHAnsi"/>
                <w:color w:val="000000"/>
                <w:sz w:val="16"/>
                <w:szCs w:val="16"/>
                <w:lang w:val="en-US"/>
              </w:rPr>
              <w:br/>
              <w:t>Study by Rivero-Arias et al. (2010), mapping EQ-5D with UK-tariffs to mRS-scores in population-based UK OXVASC-study</w:t>
            </w:r>
          </w:p>
        </w:tc>
        <w:tc>
          <w:tcPr>
            <w:tcW w:w="3260" w:type="dxa"/>
            <w:shd w:val="clear" w:color="auto" w:fill="auto"/>
            <w:tcMar>
              <w:top w:w="57" w:type="dxa"/>
              <w:bottom w:w="57" w:type="dxa"/>
            </w:tcMar>
            <w:hideMark/>
          </w:tcPr>
          <w:p w14:paraId="4F9BB99A"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French university hospital costs; French stroke cost study by Chevreul et al. (2013) and Spieler et al. (2004); micro-costing applied; death associated with costs as well</w:t>
            </w:r>
          </w:p>
        </w:tc>
      </w:tr>
      <w:tr w:rsidR="001714CF" w:rsidRPr="004515C5" w14:paraId="3E9D5526" w14:textId="77777777" w:rsidTr="00136CC9">
        <w:trPr>
          <w:tblHeader/>
        </w:trPr>
        <w:tc>
          <w:tcPr>
            <w:tcW w:w="1434" w:type="dxa"/>
            <w:shd w:val="clear" w:color="auto" w:fill="auto"/>
            <w:noWrap/>
            <w:tcMar>
              <w:top w:w="57" w:type="dxa"/>
              <w:bottom w:w="57" w:type="dxa"/>
            </w:tcMar>
            <w:hideMark/>
          </w:tcPr>
          <w:p w14:paraId="08E11CC2" w14:textId="1118CC92" w:rsidR="001714CF" w:rsidRPr="007E56D0" w:rsidRDefault="001714CF"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Barral et al. (2020)</w:t>
            </w:r>
            <w:r>
              <w:rPr>
                <w:rFonts w:asciiTheme="majorHAnsi" w:hAnsiTheme="majorHAnsi" w:cstheme="majorHAnsi"/>
                <w:color w:val="000000"/>
                <w:sz w:val="16"/>
                <w:szCs w:val="16"/>
                <w:lang w:val="en-US"/>
              </w:rPr>
              <w:t>, France</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[18]</w:t>
            </w:r>
          </w:p>
          <w:p w14:paraId="3F1904AF" w14:textId="77777777" w:rsidR="001714CF" w:rsidRPr="007E56D0" w:rsidRDefault="001714CF"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3DD58EFB" w14:textId="77777777" w:rsidR="001714CF" w:rsidRPr="007E56D0" w:rsidRDefault="001714CF"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90 days after stroke:</w:t>
            </w:r>
            <w:r w:rsidRPr="007E56D0">
              <w:rPr>
                <w:rFonts w:asciiTheme="majorHAnsi" w:hAnsiTheme="majorHAnsi" w:cstheme="majorHAnsi"/>
                <w:color w:val="000000"/>
                <w:sz w:val="16"/>
                <w:szCs w:val="16"/>
                <w:lang w:val="en-US"/>
              </w:rPr>
              <w:br/>
              <w:t>RCT-meta-analysis of ESCAPE, MR CLEAN, REVASCAT, SWIFT PRIME, EXTEND IA and THRACE by Barral et al. (2020)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for intermediate phase:</w:t>
            </w:r>
            <w:r w:rsidRPr="007E56D0">
              <w:rPr>
                <w:rFonts w:asciiTheme="majorHAnsi" w:hAnsiTheme="majorHAnsi" w:cstheme="majorHAnsi"/>
                <w:color w:val="000000"/>
                <w:sz w:val="16"/>
                <w:szCs w:val="16"/>
                <w:lang w:val="en-US"/>
              </w:rPr>
              <w:br/>
              <w:t xml:space="preserve">French stroke cohort (AVC69)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for long-term model without death:</w:t>
            </w:r>
            <w:r w:rsidRPr="007E56D0">
              <w:rPr>
                <w:rFonts w:asciiTheme="majorHAnsi" w:hAnsiTheme="majorHAnsi" w:cstheme="majorHAnsi"/>
                <w:color w:val="000000"/>
                <w:sz w:val="16"/>
                <w:szCs w:val="16"/>
                <w:lang w:val="en-US"/>
              </w:rPr>
              <w:br/>
              <w:t>modelling study by Xie et al. (2016), utilizing OXVASC prospective cohort data, see above</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French population database</w:t>
            </w:r>
            <w:r w:rsidRPr="007E56D0">
              <w:rPr>
                <w:rFonts w:asciiTheme="majorHAnsi" w:hAnsiTheme="majorHAnsi" w:cstheme="majorHAnsi"/>
                <w:color w:val="000000"/>
                <w:sz w:val="16"/>
                <w:szCs w:val="16"/>
                <w:lang w:val="en-US"/>
              </w:rPr>
              <w:br/>
            </w:r>
          </w:p>
        </w:tc>
        <w:tc>
          <w:tcPr>
            <w:tcW w:w="2835" w:type="dxa"/>
            <w:shd w:val="clear" w:color="auto" w:fill="auto"/>
            <w:tcMar>
              <w:top w:w="57" w:type="dxa"/>
              <w:bottom w:w="57" w:type="dxa"/>
            </w:tcMar>
            <w:hideMark/>
          </w:tcPr>
          <w:p w14:paraId="44DB121E" w14:textId="77777777" w:rsidR="001714CF" w:rsidRPr="007E56D0" w:rsidRDefault="001714CF"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Study by Rivero-Arias et al. (2010), mapping EQ-5D with UK-tariffs to mRS-scores in population-based UK OXVASC-study</w:t>
            </w:r>
          </w:p>
        </w:tc>
        <w:tc>
          <w:tcPr>
            <w:tcW w:w="3260" w:type="dxa"/>
            <w:shd w:val="clear" w:color="auto" w:fill="auto"/>
            <w:tcMar>
              <w:top w:w="57" w:type="dxa"/>
              <w:bottom w:w="57" w:type="dxa"/>
            </w:tcMar>
            <w:hideMark/>
          </w:tcPr>
          <w:p w14:paraId="2352E80F" w14:textId="77777777" w:rsidR="001714CF" w:rsidRPr="007E56D0" w:rsidRDefault="001714CF"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French DRGs; French cohort and modelling studies; UK stroke register study by Mohan et al. (2009)</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Informal care</w:t>
            </w:r>
            <w:r w:rsidRPr="007E56D0">
              <w:rPr>
                <w:rFonts w:asciiTheme="majorHAnsi" w:hAnsiTheme="majorHAnsi" w:cstheme="majorHAnsi"/>
                <w:sz w:val="16"/>
                <w:szCs w:val="16"/>
                <w:lang w:val="en-US"/>
              </w:rPr>
              <w:br/>
              <w:t>- Productivity losses</w:t>
            </w:r>
            <w:r w:rsidRPr="007E56D0">
              <w:rPr>
                <w:rFonts w:asciiTheme="majorHAnsi" w:hAnsiTheme="majorHAnsi" w:cstheme="majorHAnsi"/>
                <w:sz w:val="16"/>
                <w:szCs w:val="16"/>
                <w:lang w:val="en-US"/>
              </w:rPr>
              <w:br/>
              <w:t>French cohort studies; European survey study by Matchar et al. (2015)</w:t>
            </w:r>
            <w:r w:rsidRPr="007E56D0">
              <w:rPr>
                <w:rFonts w:asciiTheme="majorHAnsi" w:hAnsiTheme="majorHAnsi" w:cstheme="majorHAnsi"/>
                <w:sz w:val="16"/>
                <w:szCs w:val="16"/>
                <w:lang w:val="en-US"/>
              </w:rPr>
              <w:br/>
            </w:r>
          </w:p>
        </w:tc>
      </w:tr>
      <w:tr w:rsidR="001714CF" w:rsidRPr="004515C5" w14:paraId="0CF0BBAA" w14:textId="77777777" w:rsidTr="00136CC9">
        <w:trPr>
          <w:tblHeader/>
        </w:trPr>
        <w:tc>
          <w:tcPr>
            <w:tcW w:w="1434" w:type="dxa"/>
            <w:shd w:val="clear" w:color="auto" w:fill="auto"/>
            <w:noWrap/>
            <w:tcMar>
              <w:top w:w="57" w:type="dxa"/>
              <w:bottom w:w="57" w:type="dxa"/>
            </w:tcMar>
            <w:hideMark/>
          </w:tcPr>
          <w:p w14:paraId="45ACB93A" w14:textId="0AFDC6D8" w:rsidR="001714CF" w:rsidRPr="007E56D0" w:rsidRDefault="001714CF"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Heggie et al. (2020)</w:t>
            </w:r>
            <w:r>
              <w:rPr>
                <w:rFonts w:asciiTheme="majorHAnsi" w:hAnsiTheme="majorHAnsi" w:cstheme="majorHAnsi"/>
                <w:color w:val="000000"/>
                <w:sz w:val="16"/>
                <w:szCs w:val="16"/>
                <w:lang w:val="en-US"/>
              </w:rPr>
              <w:t>, UK</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[19]</w:t>
            </w:r>
          </w:p>
          <w:p w14:paraId="0E4ACE13" w14:textId="77777777" w:rsidR="001714CF" w:rsidRPr="007E56D0" w:rsidRDefault="001714CF"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66D066DF" w14:textId="77777777" w:rsidR="001714CF" w:rsidRPr="007E56D0" w:rsidRDefault="001714CF"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 xml:space="preserve">Treatment efficacy 90 days after stroke: </w:t>
            </w:r>
            <w:r w:rsidRPr="007E56D0">
              <w:rPr>
                <w:rFonts w:asciiTheme="majorHAnsi" w:hAnsiTheme="majorHAnsi" w:cstheme="majorHAnsi"/>
                <w:color w:val="000000"/>
                <w:sz w:val="16"/>
                <w:szCs w:val="16"/>
                <w:lang w:val="en-US"/>
              </w:rPr>
              <w:br/>
              <w:t xml:space="preserve">EXTEND-1A, REVASCAT, MR CLEAN, ESCAPE, SWIFT-PRIME, THRACE and PISTE RCTs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 risk:</w:t>
            </w:r>
            <w:r w:rsidRPr="007E56D0">
              <w:rPr>
                <w:rFonts w:asciiTheme="majorHAnsi" w:hAnsiTheme="majorHAnsi" w:cstheme="majorHAnsi"/>
                <w:color w:val="000000"/>
                <w:sz w:val="16"/>
                <w:szCs w:val="16"/>
                <w:lang w:val="en-US"/>
              </w:rPr>
              <w:br/>
              <w:t xml:space="preserve">Davis Alteplase HTA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 xml:space="preserve">Davis Alteplase HTA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lastRenderedPageBreak/>
              <w:t>Non-stroke mortality:</w:t>
            </w:r>
            <w:r w:rsidRPr="007E56D0">
              <w:rPr>
                <w:rFonts w:asciiTheme="majorHAnsi" w:hAnsiTheme="majorHAnsi" w:cstheme="majorHAnsi"/>
                <w:color w:val="000000"/>
                <w:sz w:val="16"/>
                <w:szCs w:val="16"/>
                <w:lang w:val="en-US"/>
              </w:rPr>
              <w:br/>
              <w:t xml:space="preserve">Davis Alteplase HTA </w:t>
            </w:r>
          </w:p>
        </w:tc>
        <w:tc>
          <w:tcPr>
            <w:tcW w:w="2835" w:type="dxa"/>
            <w:shd w:val="clear" w:color="auto" w:fill="auto"/>
            <w:tcMar>
              <w:top w:w="57" w:type="dxa"/>
              <w:bottom w:w="57" w:type="dxa"/>
            </w:tcMar>
            <w:hideMark/>
          </w:tcPr>
          <w:p w14:paraId="64076D26" w14:textId="77777777" w:rsidR="001714CF" w:rsidRPr="007E56D0" w:rsidRDefault="001714CF"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mRS and recurrence specific utilities:</w:t>
            </w:r>
            <w:r w:rsidRPr="007E56D0">
              <w:rPr>
                <w:rFonts w:asciiTheme="majorHAnsi" w:hAnsiTheme="majorHAnsi" w:cstheme="majorHAnsi"/>
                <w:color w:val="000000"/>
                <w:sz w:val="16"/>
                <w:szCs w:val="16"/>
                <w:lang w:val="en-US"/>
              </w:rPr>
              <w:br/>
              <w:t>UK register-based study to assess validity/reliability by Dorman et al. (2000)</w:t>
            </w:r>
          </w:p>
        </w:tc>
        <w:tc>
          <w:tcPr>
            <w:tcW w:w="3260" w:type="dxa"/>
            <w:shd w:val="clear" w:color="auto" w:fill="auto"/>
            <w:tcMar>
              <w:top w:w="57" w:type="dxa"/>
              <w:bottom w:w="57" w:type="dxa"/>
            </w:tcMar>
            <w:hideMark/>
          </w:tcPr>
          <w:p w14:paraId="0BF3397A" w14:textId="77777777" w:rsidR="001714CF" w:rsidRPr="007E56D0" w:rsidRDefault="001714CF"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British National Formulary; UK modelling study by Ganesalingam et al. (2015); NICE Alteplase HTA by Davis et al. (2012)</w:t>
            </w:r>
          </w:p>
        </w:tc>
      </w:tr>
      <w:tr w:rsidR="00627FAD" w:rsidRPr="001E2D03" w14:paraId="22A29871" w14:textId="77777777" w:rsidTr="00136CC9">
        <w:trPr>
          <w:tblHeader/>
        </w:trPr>
        <w:tc>
          <w:tcPr>
            <w:tcW w:w="1434" w:type="dxa"/>
            <w:shd w:val="clear" w:color="auto" w:fill="auto"/>
            <w:noWrap/>
            <w:tcMar>
              <w:top w:w="57" w:type="dxa"/>
              <w:bottom w:w="57" w:type="dxa"/>
            </w:tcMar>
            <w:hideMark/>
          </w:tcPr>
          <w:p w14:paraId="37128D02" w14:textId="5CA36BD8" w:rsidR="00627FAD" w:rsidRPr="007E56D0" w:rsidRDefault="00627FAD"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Peultier et al. (2020)</w:t>
            </w:r>
            <w:r>
              <w:rPr>
                <w:rFonts w:asciiTheme="majorHAnsi" w:hAnsiTheme="majorHAnsi" w:cstheme="majorHAnsi"/>
                <w:color w:val="000000"/>
                <w:sz w:val="16"/>
                <w:szCs w:val="16"/>
                <w:lang w:val="en-US"/>
              </w:rPr>
              <w:t>, USA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[20]</w:t>
            </w:r>
          </w:p>
        </w:tc>
        <w:tc>
          <w:tcPr>
            <w:tcW w:w="7513" w:type="dxa"/>
            <w:shd w:val="clear" w:color="auto" w:fill="auto"/>
            <w:tcMar>
              <w:top w:w="57" w:type="dxa"/>
              <w:bottom w:w="57" w:type="dxa"/>
            </w:tcMar>
            <w:hideMark/>
          </w:tcPr>
          <w:p w14:paraId="5DB84497" w14:textId="77777777" w:rsidR="00627FAD" w:rsidRPr="007E56D0" w:rsidRDefault="00627FAD"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DEFUSE3 and DAWN trials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SCHARR Alteplase HTA, UK modelling study by Ganesalingam et al. (2015)</w:t>
            </w:r>
            <w:r w:rsidRPr="007E56D0">
              <w:rPr>
                <w:rFonts w:asciiTheme="majorHAnsi" w:hAnsiTheme="majorHAnsi" w:cstheme="majorHAnsi"/>
                <w:color w:val="000000"/>
                <w:sz w:val="16"/>
                <w:szCs w:val="16"/>
                <w:lang w:val="en-US"/>
              </w:rPr>
              <w:br/>
              <w:t>-&gt;  recurrence risk assumed to be equal across mRS states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As in short-term model in corresponding treatment arm without lower mRS as suggested by Fagan et al. (1998), who declares use of unpublished data from a Canadian drug study</w:t>
            </w:r>
            <w:r w:rsidRPr="007E56D0">
              <w:rPr>
                <w:rFonts w:asciiTheme="majorHAnsi" w:hAnsiTheme="majorHAnsi" w:cstheme="majorHAnsi"/>
                <w:color w:val="000000"/>
                <w:sz w:val="16"/>
                <w:szCs w:val="16"/>
                <w:lang w:val="en-US"/>
              </w:rPr>
              <w:br/>
              <w:t xml:space="preserve">-&gt; all recurrences assumed to be treated with same strategy as initial stroke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Samsa et al. (1999), based on US expert panel + US life-tables by Arias et al. (2015)</w:t>
            </w:r>
          </w:p>
        </w:tc>
        <w:tc>
          <w:tcPr>
            <w:tcW w:w="2835" w:type="dxa"/>
            <w:shd w:val="clear" w:color="auto" w:fill="auto"/>
            <w:tcMar>
              <w:top w:w="57" w:type="dxa"/>
              <w:bottom w:w="57" w:type="dxa"/>
            </w:tcMar>
            <w:hideMark/>
          </w:tcPr>
          <w:p w14:paraId="012C3DE9" w14:textId="77777777" w:rsidR="00627FAD" w:rsidRPr="007E56D0" w:rsidRDefault="00627FAD"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 and recurrence specific utilities:</w:t>
            </w:r>
            <w:r w:rsidRPr="007E56D0">
              <w:rPr>
                <w:rFonts w:asciiTheme="majorHAnsi" w:hAnsiTheme="majorHAnsi" w:cstheme="majorHAnsi"/>
                <w:color w:val="000000"/>
                <w:sz w:val="16"/>
                <w:szCs w:val="16"/>
                <w:lang w:val="en-US"/>
              </w:rPr>
              <w:br/>
              <w:t>US study by Gage et al. (1998), eliciting utility values in patients with atrial fibrillation; distribution taken from CEA-models</w:t>
            </w:r>
          </w:p>
        </w:tc>
        <w:tc>
          <w:tcPr>
            <w:tcW w:w="3260" w:type="dxa"/>
            <w:shd w:val="clear" w:color="auto" w:fill="auto"/>
            <w:tcMar>
              <w:top w:w="57" w:type="dxa"/>
              <w:bottom w:w="57" w:type="dxa"/>
            </w:tcMar>
            <w:hideMark/>
          </w:tcPr>
          <w:p w14:paraId="194FBA16" w14:textId="77777777" w:rsidR="00627FAD" w:rsidRPr="007E56D0" w:rsidRDefault="00627FAD"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Multiple sources incl. US Medicare reimbursement data; US trial costing study by Shireman et al. (2017); US CEA-model by Kunz et al. (2016), which is based on National Inpatient Sample data</w:t>
            </w:r>
          </w:p>
        </w:tc>
      </w:tr>
      <w:tr w:rsidR="009C1B66" w:rsidRPr="001E2D03" w14:paraId="75BEAC93" w14:textId="77777777" w:rsidTr="00136CC9">
        <w:trPr>
          <w:tblHeader/>
        </w:trPr>
        <w:tc>
          <w:tcPr>
            <w:tcW w:w="1434" w:type="dxa"/>
            <w:shd w:val="clear" w:color="auto" w:fill="auto"/>
            <w:noWrap/>
            <w:tcMar>
              <w:top w:w="57" w:type="dxa"/>
              <w:bottom w:w="57" w:type="dxa"/>
            </w:tcMar>
            <w:hideMark/>
          </w:tcPr>
          <w:p w14:paraId="4AFD592D" w14:textId="1A1F75A9"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Pizzo et al. (20</w:t>
            </w:r>
            <w:r w:rsidR="00A679DD">
              <w:rPr>
                <w:rFonts w:asciiTheme="majorHAnsi" w:hAnsiTheme="majorHAnsi" w:cstheme="majorHAnsi"/>
                <w:color w:val="000000"/>
                <w:sz w:val="16"/>
                <w:szCs w:val="16"/>
                <w:lang w:val="en-US"/>
              </w:rPr>
              <w:t>20</w:t>
            </w:r>
            <w:r w:rsidRPr="007E56D0">
              <w:rPr>
                <w:rFonts w:asciiTheme="majorHAnsi" w:hAnsiTheme="majorHAnsi" w:cstheme="majorHAnsi"/>
                <w:color w:val="000000"/>
                <w:sz w:val="16"/>
                <w:szCs w:val="16"/>
                <w:lang w:val="en-US"/>
              </w:rPr>
              <w:t>)</w:t>
            </w:r>
            <w:r w:rsidR="003D16A4">
              <w:rPr>
                <w:rFonts w:asciiTheme="majorHAnsi" w:hAnsiTheme="majorHAnsi" w:cstheme="majorHAnsi"/>
                <w:color w:val="000000"/>
                <w:sz w:val="16"/>
                <w:szCs w:val="16"/>
                <w:lang w:val="en-US"/>
              </w:rPr>
              <w:t>, UK</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[21]</w:t>
            </w:r>
          </w:p>
          <w:p w14:paraId="7452EDEF" w14:textId="77777777" w:rsidR="009C1B66" w:rsidRPr="007E56D0" w:rsidRDefault="009C1B66" w:rsidP="00136CC9">
            <w:pPr>
              <w:spacing w:after="0"/>
              <w:rPr>
                <w:rFonts w:asciiTheme="majorHAnsi" w:hAnsiTheme="majorHAnsi" w:cstheme="majorHAnsi"/>
                <w:color w:val="000000"/>
                <w:sz w:val="16"/>
                <w:szCs w:val="16"/>
                <w:lang w:val="en-US"/>
              </w:rPr>
            </w:pPr>
          </w:p>
        </w:tc>
        <w:tc>
          <w:tcPr>
            <w:tcW w:w="7513" w:type="dxa"/>
            <w:shd w:val="clear" w:color="auto" w:fill="auto"/>
            <w:tcMar>
              <w:top w:w="57" w:type="dxa"/>
              <w:bottom w:w="57" w:type="dxa"/>
            </w:tcMar>
            <w:hideMark/>
          </w:tcPr>
          <w:p w14:paraId="2C7EDAD1"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90 days after stroke:</w:t>
            </w:r>
            <w:r w:rsidRPr="007E56D0">
              <w:rPr>
                <w:rFonts w:asciiTheme="majorHAnsi" w:hAnsiTheme="majorHAnsi" w:cstheme="majorHAnsi"/>
                <w:color w:val="000000"/>
                <w:sz w:val="16"/>
                <w:szCs w:val="16"/>
                <w:lang w:val="en-US"/>
              </w:rPr>
              <w:br/>
              <w:t xml:space="preserve">- at 12h after stroke (DAWN trial): </w:t>
            </w:r>
            <w:r w:rsidRPr="007E56D0">
              <w:rPr>
                <w:rFonts w:asciiTheme="majorHAnsi" w:hAnsiTheme="majorHAnsi" w:cstheme="majorHAnsi"/>
                <w:color w:val="000000"/>
                <w:sz w:val="16"/>
                <w:szCs w:val="16"/>
                <w:lang w:val="en-US"/>
              </w:rPr>
              <w:br/>
              <w:t xml:space="preserve">- at 16h after stroke (DEFUSE trial): </w:t>
            </w:r>
            <w:r w:rsidRPr="007E56D0">
              <w:rPr>
                <w:rFonts w:asciiTheme="majorHAnsi" w:hAnsiTheme="majorHAnsi" w:cstheme="majorHAnsi"/>
                <w:color w:val="000000"/>
                <w:sz w:val="16"/>
                <w:szCs w:val="16"/>
                <w:lang w:val="en-US"/>
              </w:rPr>
              <w:br/>
              <w:t xml:space="preserve">- at 24h after stroke (DAWN trial):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Recurrences up until end of 1st year:</w:t>
            </w:r>
            <w:r w:rsidRPr="007E56D0">
              <w:rPr>
                <w:rFonts w:asciiTheme="majorHAnsi" w:hAnsiTheme="majorHAnsi" w:cstheme="majorHAnsi"/>
                <w:color w:val="000000"/>
                <w:sz w:val="16"/>
                <w:szCs w:val="16"/>
                <w:lang w:val="en-US"/>
              </w:rPr>
              <w:br/>
              <w:t>own short-term model</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for long-term model without recurrence and death:</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 xml:space="preserve">HTA of Alteplase in Sheffield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for long-term model after recurrence:</w:t>
            </w:r>
            <w:r w:rsidRPr="007E56D0">
              <w:rPr>
                <w:rFonts w:asciiTheme="majorHAnsi" w:hAnsiTheme="majorHAnsi" w:cstheme="majorHAnsi"/>
                <w:color w:val="000000"/>
                <w:sz w:val="16"/>
                <w:szCs w:val="16"/>
                <w:lang w:val="en-US"/>
              </w:rPr>
              <w:br/>
              <w:t xml:space="preserve">HTA of Alteplase in Sheffield, Interobserver agreement assessment for mRS states by van Swieten et al. (1988), meta-analysis by Sandercock et al. (2002), modelling study by Hunter et al. (2013)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HTA of Alteplase in Sheffield, interobserver agreement assessment for mRS states by van Swieten et al., (1988), meta-analysis by Sandercock et al. (2002), modelling study by Hunter et al. (2013)  </w:t>
            </w:r>
            <w:r w:rsidRPr="007E56D0">
              <w:rPr>
                <w:rFonts w:asciiTheme="majorHAnsi" w:hAnsiTheme="majorHAnsi" w:cstheme="majorHAnsi"/>
                <w:color w:val="000000"/>
                <w:sz w:val="16"/>
                <w:szCs w:val="16"/>
                <w:lang w:val="en-US"/>
              </w:rPr>
              <w:br/>
            </w:r>
          </w:p>
        </w:tc>
        <w:tc>
          <w:tcPr>
            <w:tcW w:w="2835" w:type="dxa"/>
            <w:shd w:val="clear" w:color="auto" w:fill="auto"/>
            <w:tcMar>
              <w:top w:w="57" w:type="dxa"/>
              <w:bottom w:w="57" w:type="dxa"/>
            </w:tcMar>
            <w:hideMark/>
          </w:tcPr>
          <w:p w14:paraId="199D5A78"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 xml:space="preserve">UK EuroQol validation study by Dorman et al. (1997)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Recurrence-specific utilities:</w:t>
            </w:r>
            <w:r w:rsidRPr="007E56D0">
              <w:rPr>
                <w:rFonts w:asciiTheme="majorHAnsi" w:hAnsiTheme="majorHAnsi" w:cstheme="majorHAnsi"/>
                <w:color w:val="000000"/>
                <w:sz w:val="16"/>
                <w:szCs w:val="16"/>
                <w:lang w:val="en-US"/>
              </w:rPr>
              <w:br/>
              <w:t>UK stroke modelling study by Hunter et al. (2013)</w:t>
            </w:r>
          </w:p>
        </w:tc>
        <w:tc>
          <w:tcPr>
            <w:tcW w:w="3260" w:type="dxa"/>
            <w:shd w:val="clear" w:color="auto" w:fill="auto"/>
            <w:tcMar>
              <w:top w:w="57" w:type="dxa"/>
              <w:bottom w:w="57" w:type="dxa"/>
            </w:tcMar>
            <w:hideMark/>
          </w:tcPr>
          <w:p w14:paraId="44A47F91"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DEFUSE-trial, DAWN-trial; micro-costing applied</w:t>
            </w:r>
          </w:p>
        </w:tc>
      </w:tr>
      <w:tr w:rsidR="005B28DF" w:rsidRPr="001E2D03" w14:paraId="758ECC07" w14:textId="77777777" w:rsidTr="00136CC9">
        <w:trPr>
          <w:tblHeader/>
        </w:trPr>
        <w:tc>
          <w:tcPr>
            <w:tcW w:w="1434" w:type="dxa"/>
            <w:shd w:val="clear" w:color="auto" w:fill="auto"/>
            <w:noWrap/>
            <w:tcMar>
              <w:top w:w="57" w:type="dxa"/>
              <w:bottom w:w="57" w:type="dxa"/>
            </w:tcMar>
            <w:hideMark/>
          </w:tcPr>
          <w:p w14:paraId="515BD850" w14:textId="1EB08827" w:rsidR="005B28DF" w:rsidRPr="007E56D0" w:rsidRDefault="005B28DF"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Sarraj et al. (2020)</w:t>
            </w:r>
            <w:r>
              <w:rPr>
                <w:rFonts w:asciiTheme="majorHAnsi" w:hAnsiTheme="majorHAnsi" w:cstheme="majorHAnsi"/>
                <w:color w:val="000000"/>
                <w:sz w:val="16"/>
                <w:szCs w:val="16"/>
                <w:lang w:val="en-US"/>
              </w:rPr>
              <w:t>, USA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[22]</w:t>
            </w:r>
          </w:p>
        </w:tc>
        <w:tc>
          <w:tcPr>
            <w:tcW w:w="7513" w:type="dxa"/>
            <w:shd w:val="clear" w:color="auto" w:fill="auto"/>
            <w:tcMar>
              <w:top w:w="57" w:type="dxa"/>
              <w:bottom w:w="57" w:type="dxa"/>
            </w:tcMar>
            <w:hideMark/>
          </w:tcPr>
          <w:p w14:paraId="4B864E14" w14:textId="77777777" w:rsidR="005B28DF" w:rsidRPr="007E56D0" w:rsidRDefault="005B28DF"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Cohort study (SELECT), for scenario analyses, data from RCT-meta-analysis HERMES, DAWN and DEFUSE3-trials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 xml:space="preserve">Assumed 0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 xml:space="preserve">Swedish cohort study by Pennlert et al. (2014)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 xml:space="preserve">Control arm from HERMES meta-analysis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Cohort studies by Hong et al. (2014) and US life tables by Arias et al. (2017)</w:t>
            </w:r>
          </w:p>
        </w:tc>
        <w:tc>
          <w:tcPr>
            <w:tcW w:w="2835" w:type="dxa"/>
            <w:shd w:val="clear" w:color="auto" w:fill="auto"/>
            <w:tcMar>
              <w:top w:w="57" w:type="dxa"/>
              <w:bottom w:w="57" w:type="dxa"/>
            </w:tcMar>
            <w:hideMark/>
          </w:tcPr>
          <w:p w14:paraId="7A6E2702" w14:textId="77777777" w:rsidR="005B28DF" w:rsidRPr="007E56D0" w:rsidRDefault="005B28DF"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 xml:space="preserve">Study by Chaisinanunkul et al. (2015) combining time-trade-off utilities from mapping-study in UK stroke cohort with person-trade-off utilities from international clinical expert panel </w:t>
            </w:r>
          </w:p>
        </w:tc>
        <w:tc>
          <w:tcPr>
            <w:tcW w:w="3260" w:type="dxa"/>
            <w:shd w:val="clear" w:color="auto" w:fill="auto"/>
            <w:tcMar>
              <w:top w:w="57" w:type="dxa"/>
              <w:bottom w:w="57" w:type="dxa"/>
            </w:tcMar>
            <w:hideMark/>
          </w:tcPr>
          <w:p w14:paraId="6EDB7E72" w14:textId="77777777" w:rsidR="005B28DF" w:rsidRPr="007E56D0" w:rsidRDefault="005B28DF"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US National Inpatient Sample; US trial costing study by Shireman et al. (2017); UK CEA-modelling study by Chambers et al. (2002); UK trial costing study by Dawson et al. (2007)</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Productivity loss</w:t>
            </w:r>
            <w:r w:rsidRPr="007E56D0">
              <w:rPr>
                <w:rFonts w:asciiTheme="majorHAnsi" w:hAnsiTheme="majorHAnsi" w:cstheme="majorHAnsi"/>
                <w:sz w:val="16"/>
                <w:szCs w:val="16"/>
                <w:lang w:val="en-US"/>
              </w:rPr>
              <w:br/>
              <w:t>- Informal care</w:t>
            </w:r>
            <w:r w:rsidRPr="007E56D0">
              <w:rPr>
                <w:rFonts w:asciiTheme="majorHAnsi" w:hAnsiTheme="majorHAnsi" w:cstheme="majorHAnsi"/>
                <w:sz w:val="16"/>
                <w:szCs w:val="16"/>
                <w:lang w:val="en-US"/>
              </w:rPr>
              <w:br/>
              <w:t xml:space="preserve">US Census Bureau 2017; US Bureau of Labor Statistics 2017; Canadian community study by Vyas et al. (2016); Japanese stroke cohort study by Tanaka et al. (2014); study by Hickenbottom et al. </w:t>
            </w:r>
            <w:r w:rsidRPr="007E56D0">
              <w:rPr>
                <w:rFonts w:asciiTheme="majorHAnsi" w:hAnsiTheme="majorHAnsi" w:cstheme="majorHAnsi"/>
                <w:sz w:val="16"/>
                <w:szCs w:val="16"/>
                <w:lang w:val="en-US"/>
              </w:rPr>
              <w:br/>
            </w:r>
          </w:p>
        </w:tc>
      </w:tr>
      <w:tr w:rsidR="005B28DF" w:rsidRPr="004515C5" w14:paraId="032D27B6" w14:textId="77777777" w:rsidTr="00136CC9">
        <w:trPr>
          <w:tblHeader/>
        </w:trPr>
        <w:tc>
          <w:tcPr>
            <w:tcW w:w="1434" w:type="dxa"/>
            <w:shd w:val="clear" w:color="auto" w:fill="auto"/>
            <w:noWrap/>
            <w:tcMar>
              <w:top w:w="57" w:type="dxa"/>
              <w:bottom w:w="57" w:type="dxa"/>
            </w:tcMar>
            <w:hideMark/>
          </w:tcPr>
          <w:p w14:paraId="5B00D366" w14:textId="2F71D095" w:rsidR="005B28DF" w:rsidRPr="007E56D0" w:rsidRDefault="005B28DF"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Candio et al. (2021)</w:t>
            </w:r>
            <w:r>
              <w:rPr>
                <w:rFonts w:asciiTheme="majorHAnsi" w:hAnsiTheme="majorHAnsi" w:cstheme="majorHAnsi"/>
                <w:color w:val="000000"/>
                <w:sz w:val="16"/>
                <w:szCs w:val="16"/>
                <w:lang w:val="en-US"/>
              </w:rPr>
              <w:t>, UK</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[23]</w:t>
            </w:r>
          </w:p>
        </w:tc>
        <w:tc>
          <w:tcPr>
            <w:tcW w:w="7513" w:type="dxa"/>
            <w:shd w:val="clear" w:color="auto" w:fill="auto"/>
            <w:tcMar>
              <w:top w:w="57" w:type="dxa"/>
              <w:bottom w:w="57" w:type="dxa"/>
            </w:tcMar>
            <w:hideMark/>
          </w:tcPr>
          <w:p w14:paraId="49BACADE" w14:textId="77777777" w:rsidR="005B28DF" w:rsidRPr="007E56D0" w:rsidRDefault="005B28DF"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90 days after stroke:</w:t>
            </w:r>
            <w:r w:rsidRPr="007E56D0">
              <w:rPr>
                <w:rFonts w:asciiTheme="majorHAnsi" w:hAnsiTheme="majorHAnsi" w:cstheme="majorHAnsi"/>
                <w:color w:val="000000"/>
                <w:sz w:val="16"/>
                <w:szCs w:val="16"/>
                <w:lang w:val="en-US"/>
              </w:rPr>
              <w:br/>
              <w:t>RCT-Meta- analysis of ESCAPE, MR CLEAN, REVASCAT, SWIFT PRIME, EXTEND IA and THRACE by Barral</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incl. mortality:</w:t>
            </w:r>
            <w:r w:rsidRPr="007E56D0">
              <w:rPr>
                <w:rFonts w:asciiTheme="majorHAnsi" w:hAnsiTheme="majorHAnsi" w:cstheme="majorHAnsi"/>
                <w:color w:val="000000"/>
                <w:sz w:val="16"/>
                <w:szCs w:val="16"/>
                <w:lang w:val="en-US"/>
              </w:rPr>
              <w:br/>
              <w:t xml:space="preserve">UK population-based stroke cohort study (OXVASC) </w:t>
            </w:r>
          </w:p>
        </w:tc>
        <w:tc>
          <w:tcPr>
            <w:tcW w:w="2835" w:type="dxa"/>
            <w:shd w:val="clear" w:color="auto" w:fill="auto"/>
            <w:tcMar>
              <w:top w:w="57" w:type="dxa"/>
              <w:bottom w:w="57" w:type="dxa"/>
            </w:tcMar>
            <w:hideMark/>
          </w:tcPr>
          <w:p w14:paraId="1E05862F" w14:textId="77777777" w:rsidR="005B28DF" w:rsidRPr="007E56D0" w:rsidRDefault="005B28DF"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Study by Rivero-Arias et al. (2010), mapping EQ-5D with UK-tariffs to mRS-scores in population-based UK OXVASC-study</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Age-/sex-dependent utilities:</w:t>
            </w:r>
            <w:r w:rsidRPr="007E56D0">
              <w:rPr>
                <w:rFonts w:asciiTheme="majorHAnsi" w:hAnsiTheme="majorHAnsi" w:cstheme="majorHAnsi"/>
                <w:color w:val="000000"/>
                <w:sz w:val="16"/>
                <w:szCs w:val="16"/>
                <w:lang w:val="en-US"/>
              </w:rPr>
              <w:br/>
              <w:t>UK-valuation-study by Dolan et al. (1997)</w:t>
            </w:r>
          </w:p>
        </w:tc>
        <w:tc>
          <w:tcPr>
            <w:tcW w:w="3260" w:type="dxa"/>
            <w:shd w:val="clear" w:color="auto" w:fill="auto"/>
            <w:tcMar>
              <w:top w:w="57" w:type="dxa"/>
              <w:bottom w:w="57" w:type="dxa"/>
            </w:tcMar>
            <w:hideMark/>
          </w:tcPr>
          <w:p w14:paraId="54F98341" w14:textId="77777777" w:rsidR="005B28DF" w:rsidRPr="007E56D0" w:rsidRDefault="005B28DF"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Treatment protocols from Italy/UK as cited in modelling studies by Ruggeri et al. (2018) and Lobotesis et al. (2016); country-specific unit costs from Luengo-Fernandez et al. (2019); European survey by Börsch-Supan e al. (2013); population-based UK OXVASC study</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Informal care</w:t>
            </w:r>
            <w:r w:rsidRPr="007E56D0">
              <w:rPr>
                <w:rFonts w:asciiTheme="majorHAnsi" w:hAnsiTheme="majorHAnsi" w:cstheme="majorHAnsi"/>
                <w:sz w:val="16"/>
                <w:szCs w:val="16"/>
                <w:lang w:val="en-US"/>
              </w:rPr>
              <w:br/>
              <w:t>- Productivity losses</w:t>
            </w:r>
            <w:r w:rsidRPr="007E56D0">
              <w:rPr>
                <w:rFonts w:asciiTheme="majorHAnsi" w:hAnsiTheme="majorHAnsi" w:cstheme="majorHAnsi"/>
                <w:sz w:val="16"/>
                <w:szCs w:val="16"/>
                <w:lang w:val="en-US"/>
              </w:rPr>
              <w:br/>
              <w:t>European survey by Börsch-Supan et al. (2013); Israeli Central Bureau of Statistics; Eurostat data</w:t>
            </w:r>
            <w:r w:rsidRPr="007E56D0">
              <w:rPr>
                <w:rFonts w:asciiTheme="majorHAnsi" w:hAnsiTheme="majorHAnsi" w:cstheme="majorHAnsi"/>
                <w:sz w:val="16"/>
                <w:szCs w:val="16"/>
                <w:lang w:val="en-US"/>
              </w:rPr>
              <w:br/>
            </w:r>
          </w:p>
        </w:tc>
      </w:tr>
      <w:tr w:rsidR="009C1B66" w:rsidRPr="004515C5" w14:paraId="470AF544" w14:textId="77777777" w:rsidTr="00136CC9">
        <w:trPr>
          <w:tblHeader/>
        </w:trPr>
        <w:tc>
          <w:tcPr>
            <w:tcW w:w="1434" w:type="dxa"/>
            <w:shd w:val="clear" w:color="auto" w:fill="auto"/>
            <w:noWrap/>
            <w:tcMar>
              <w:top w:w="57" w:type="dxa"/>
              <w:bottom w:w="57" w:type="dxa"/>
            </w:tcMar>
          </w:tcPr>
          <w:p w14:paraId="716EDFA9" w14:textId="5FA273F2" w:rsidR="009C1B66" w:rsidRPr="007E56D0" w:rsidRDefault="009C1B66" w:rsidP="00136CC9">
            <w:pPr>
              <w:spacing w:after="0"/>
              <w:rPr>
                <w:rFonts w:asciiTheme="majorHAnsi" w:hAnsiTheme="majorHAnsi" w:cstheme="majorHAnsi"/>
                <w:color w:val="000000"/>
                <w:sz w:val="16"/>
                <w:szCs w:val="16"/>
                <w:lang w:val="en-US"/>
              </w:rPr>
            </w:pPr>
            <w:r w:rsidRPr="0028511E">
              <w:rPr>
                <w:rFonts w:asciiTheme="majorHAnsi" w:hAnsiTheme="majorHAnsi" w:cstheme="majorHAnsi"/>
                <w:color w:val="000000"/>
                <w:sz w:val="16"/>
                <w:szCs w:val="16"/>
                <w:lang w:val="en-US"/>
              </w:rPr>
              <w:t>Gao et al.</w:t>
            </w:r>
            <w:r w:rsidR="003D16A4">
              <w:rPr>
                <w:rFonts w:asciiTheme="majorHAnsi" w:hAnsiTheme="majorHAnsi" w:cstheme="majorHAnsi"/>
                <w:color w:val="000000"/>
                <w:sz w:val="16"/>
                <w:szCs w:val="16"/>
                <w:lang w:val="en-US"/>
              </w:rPr>
              <w:t xml:space="preserve"> (</w:t>
            </w:r>
            <w:r w:rsidRPr="0028511E">
              <w:rPr>
                <w:rFonts w:asciiTheme="majorHAnsi" w:hAnsiTheme="majorHAnsi" w:cstheme="majorHAnsi"/>
                <w:color w:val="000000"/>
                <w:sz w:val="16"/>
                <w:szCs w:val="16"/>
                <w:lang w:val="en-US"/>
              </w:rPr>
              <w:t>2021</w:t>
            </w:r>
            <w:r w:rsidR="003D16A4">
              <w:rPr>
                <w:rFonts w:asciiTheme="majorHAnsi" w:hAnsiTheme="majorHAnsi" w:cstheme="majorHAnsi"/>
                <w:color w:val="000000"/>
                <w:sz w:val="16"/>
                <w:szCs w:val="16"/>
                <w:lang w:val="en-US"/>
              </w:rPr>
              <w:t>),</w:t>
            </w:r>
            <w:r>
              <w:rPr>
                <w:rFonts w:asciiTheme="majorHAnsi" w:hAnsiTheme="majorHAnsi" w:cstheme="majorHAnsi"/>
                <w:color w:val="000000"/>
                <w:sz w:val="16"/>
                <w:szCs w:val="16"/>
                <w:lang w:val="en-US"/>
              </w:rPr>
              <w:t xml:space="preserve"> Australia </w:t>
            </w:r>
            <w:r w:rsidR="00215B90">
              <w:rPr>
                <w:rFonts w:asciiTheme="majorHAnsi" w:hAnsiTheme="majorHAnsi" w:cstheme="majorHAnsi"/>
                <w:color w:val="000000"/>
                <w:sz w:val="16"/>
                <w:szCs w:val="16"/>
                <w:lang w:val="en-US"/>
              </w:rPr>
              <w:t>[24]</w:t>
            </w:r>
            <w:r>
              <w:rPr>
                <w:rFonts w:asciiTheme="majorHAnsi" w:hAnsiTheme="majorHAnsi" w:cstheme="majorHAnsi"/>
                <w:color w:val="000000"/>
                <w:sz w:val="16"/>
                <w:szCs w:val="16"/>
                <w:lang w:val="en-US"/>
              </w:rPr>
              <w:t xml:space="preserve"> </w:t>
            </w:r>
          </w:p>
        </w:tc>
        <w:tc>
          <w:tcPr>
            <w:tcW w:w="7513" w:type="dxa"/>
            <w:shd w:val="clear" w:color="auto" w:fill="auto"/>
            <w:tcMar>
              <w:top w:w="57" w:type="dxa"/>
              <w:bottom w:w="57" w:type="dxa"/>
            </w:tcMar>
          </w:tcPr>
          <w:p w14:paraId="2FB51694" w14:textId="77777777" w:rsidR="009C1B66" w:rsidRPr="0014662B" w:rsidRDefault="009C1B66" w:rsidP="00136CC9">
            <w:pPr>
              <w:spacing w:after="0"/>
              <w:rPr>
                <w:rFonts w:asciiTheme="majorHAnsi" w:hAnsiTheme="majorHAnsi" w:cstheme="majorHAnsi"/>
                <w:color w:val="000000"/>
                <w:sz w:val="16"/>
                <w:szCs w:val="16"/>
                <w:lang w:val="en-US"/>
              </w:rPr>
            </w:pPr>
            <w:r w:rsidRPr="0014662B">
              <w:rPr>
                <w:rFonts w:asciiTheme="majorHAnsi" w:hAnsiTheme="majorHAnsi" w:cstheme="majorHAnsi"/>
                <w:color w:val="000000"/>
                <w:sz w:val="16"/>
                <w:szCs w:val="16"/>
                <w:lang w:val="en-US"/>
              </w:rPr>
              <w:t>Treatment efficacy at 90 days after stroke:</w:t>
            </w:r>
          </w:p>
          <w:p w14:paraId="51300335" w14:textId="77777777" w:rsidR="009C1B66" w:rsidRPr="0014662B" w:rsidRDefault="009C1B66" w:rsidP="00136CC9">
            <w:pPr>
              <w:spacing w:after="0"/>
              <w:rPr>
                <w:rFonts w:asciiTheme="majorHAnsi" w:hAnsiTheme="majorHAnsi" w:cstheme="majorHAnsi"/>
                <w:color w:val="000000"/>
                <w:sz w:val="16"/>
                <w:szCs w:val="16"/>
                <w:lang w:val="en-US"/>
              </w:rPr>
            </w:pPr>
            <w:r w:rsidRPr="0014662B">
              <w:rPr>
                <w:rFonts w:asciiTheme="majorHAnsi" w:hAnsiTheme="majorHAnsi" w:cstheme="majorHAnsi"/>
                <w:color w:val="000000"/>
                <w:sz w:val="16"/>
                <w:szCs w:val="16"/>
                <w:lang w:val="en-US"/>
              </w:rPr>
              <w:t>INSPIRE registry cohort with inclusion criteria from DAWN and DEFUSE3 trials</w:t>
            </w:r>
          </w:p>
          <w:p w14:paraId="39F7E11F" w14:textId="77777777" w:rsidR="009C1B66" w:rsidRPr="0014662B" w:rsidRDefault="009C1B66" w:rsidP="00136CC9">
            <w:pPr>
              <w:spacing w:after="0"/>
              <w:rPr>
                <w:rFonts w:asciiTheme="majorHAnsi" w:hAnsiTheme="majorHAnsi" w:cstheme="majorHAnsi"/>
                <w:color w:val="000000"/>
                <w:sz w:val="16"/>
                <w:szCs w:val="16"/>
                <w:lang w:val="en-US"/>
              </w:rPr>
            </w:pPr>
          </w:p>
          <w:p w14:paraId="75842612" w14:textId="77777777" w:rsidR="009C1B66" w:rsidRPr="0014662B" w:rsidRDefault="009C1B66" w:rsidP="00136CC9">
            <w:pPr>
              <w:spacing w:after="0"/>
              <w:rPr>
                <w:rFonts w:asciiTheme="majorHAnsi" w:hAnsiTheme="majorHAnsi" w:cstheme="majorHAnsi"/>
                <w:color w:val="000000"/>
                <w:sz w:val="16"/>
                <w:szCs w:val="16"/>
                <w:lang w:val="en-US"/>
              </w:rPr>
            </w:pPr>
            <w:r w:rsidRPr="0014662B">
              <w:rPr>
                <w:rFonts w:asciiTheme="majorHAnsi" w:hAnsiTheme="majorHAnsi" w:cstheme="majorHAnsi"/>
                <w:color w:val="000000"/>
                <w:sz w:val="16"/>
                <w:szCs w:val="16"/>
                <w:lang w:val="en-US"/>
              </w:rPr>
              <w:t xml:space="preserve">Long-term TPs without recurrence/myocardial infarction/death: </w:t>
            </w:r>
          </w:p>
          <w:p w14:paraId="69B56923" w14:textId="77777777" w:rsidR="009C1B66" w:rsidRPr="0014662B" w:rsidRDefault="009C1B66" w:rsidP="00136CC9">
            <w:pPr>
              <w:spacing w:after="0"/>
              <w:rPr>
                <w:rFonts w:asciiTheme="majorHAnsi" w:hAnsiTheme="majorHAnsi" w:cstheme="majorHAnsi"/>
                <w:color w:val="000000"/>
                <w:sz w:val="16"/>
                <w:szCs w:val="16"/>
                <w:lang w:val="en-US"/>
              </w:rPr>
            </w:pPr>
            <w:r w:rsidRPr="0014662B">
              <w:rPr>
                <w:rFonts w:asciiTheme="majorHAnsi" w:hAnsiTheme="majorHAnsi" w:cstheme="majorHAnsi"/>
                <w:color w:val="000000"/>
                <w:sz w:val="16"/>
                <w:szCs w:val="16"/>
                <w:lang w:val="en-US"/>
              </w:rPr>
              <w:t>Assumed 0</w:t>
            </w:r>
          </w:p>
          <w:p w14:paraId="6F8F536E" w14:textId="77777777" w:rsidR="009C1B66" w:rsidRPr="0014662B" w:rsidRDefault="009C1B66" w:rsidP="00136CC9">
            <w:pPr>
              <w:spacing w:after="0"/>
              <w:rPr>
                <w:rFonts w:asciiTheme="majorHAnsi" w:hAnsiTheme="majorHAnsi" w:cstheme="majorHAnsi"/>
                <w:color w:val="000000"/>
                <w:sz w:val="16"/>
                <w:szCs w:val="16"/>
                <w:lang w:val="en-US"/>
              </w:rPr>
            </w:pPr>
          </w:p>
          <w:p w14:paraId="68809C7E" w14:textId="77777777" w:rsidR="009C1B66" w:rsidRPr="0014662B" w:rsidRDefault="009C1B66" w:rsidP="00136CC9">
            <w:pPr>
              <w:spacing w:after="0"/>
              <w:rPr>
                <w:rFonts w:asciiTheme="majorHAnsi" w:hAnsiTheme="majorHAnsi" w:cstheme="majorHAnsi"/>
                <w:color w:val="000000"/>
                <w:sz w:val="16"/>
                <w:szCs w:val="16"/>
                <w:lang w:val="en-US"/>
              </w:rPr>
            </w:pPr>
            <w:r w:rsidRPr="0014662B">
              <w:rPr>
                <w:rFonts w:asciiTheme="majorHAnsi" w:hAnsiTheme="majorHAnsi" w:cstheme="majorHAnsi"/>
                <w:color w:val="000000"/>
                <w:sz w:val="16"/>
                <w:szCs w:val="16"/>
                <w:lang w:val="en-US"/>
              </w:rPr>
              <w:t>Long-term myocardial infarction risk (time to myocardial infarction):</w:t>
            </w:r>
          </w:p>
          <w:p w14:paraId="29007F97" w14:textId="77777777" w:rsidR="009C1B66" w:rsidRPr="0014662B" w:rsidRDefault="009C1B66" w:rsidP="00136CC9">
            <w:pPr>
              <w:spacing w:after="0"/>
              <w:rPr>
                <w:rFonts w:asciiTheme="majorHAnsi" w:hAnsiTheme="majorHAnsi" w:cstheme="majorHAnsi"/>
                <w:color w:val="000000"/>
                <w:sz w:val="16"/>
                <w:szCs w:val="16"/>
                <w:lang w:val="en-US"/>
              </w:rPr>
            </w:pPr>
            <w:r w:rsidRPr="0014662B">
              <w:rPr>
                <w:rFonts w:asciiTheme="majorHAnsi" w:hAnsiTheme="majorHAnsi" w:cstheme="majorHAnsi"/>
                <w:color w:val="000000"/>
                <w:sz w:val="16"/>
                <w:szCs w:val="16"/>
                <w:lang w:val="en-US"/>
              </w:rPr>
              <w:t>UK cohort study by Pana et al. (2019), US cohort study by Dhamoon et al. (2007)</w:t>
            </w:r>
          </w:p>
          <w:p w14:paraId="132B9A53" w14:textId="77777777" w:rsidR="009C1B66" w:rsidRPr="0014662B" w:rsidRDefault="009C1B66" w:rsidP="00136CC9">
            <w:pPr>
              <w:spacing w:after="0"/>
              <w:rPr>
                <w:rFonts w:asciiTheme="majorHAnsi" w:hAnsiTheme="majorHAnsi" w:cstheme="majorHAnsi"/>
                <w:color w:val="000000"/>
                <w:sz w:val="16"/>
                <w:szCs w:val="16"/>
                <w:lang w:val="en-US"/>
              </w:rPr>
            </w:pPr>
          </w:p>
          <w:p w14:paraId="0ACC2D29" w14:textId="77777777" w:rsidR="009C1B66" w:rsidRPr="0014662B" w:rsidRDefault="009C1B66" w:rsidP="00136CC9">
            <w:pPr>
              <w:spacing w:after="0"/>
              <w:rPr>
                <w:rFonts w:asciiTheme="majorHAnsi" w:hAnsiTheme="majorHAnsi" w:cstheme="majorHAnsi"/>
                <w:color w:val="000000"/>
                <w:sz w:val="16"/>
                <w:szCs w:val="16"/>
                <w:lang w:val="en-US"/>
              </w:rPr>
            </w:pPr>
            <w:r w:rsidRPr="0014662B">
              <w:rPr>
                <w:rFonts w:asciiTheme="majorHAnsi" w:hAnsiTheme="majorHAnsi" w:cstheme="majorHAnsi"/>
                <w:color w:val="000000"/>
                <w:sz w:val="16"/>
                <w:szCs w:val="16"/>
                <w:lang w:val="en-US"/>
              </w:rPr>
              <w:t>Long-term recurrence risk (time to recurrence):</w:t>
            </w:r>
          </w:p>
          <w:p w14:paraId="55ED2A8D" w14:textId="2B3E736E" w:rsidR="009C1B66" w:rsidRPr="0014662B" w:rsidRDefault="009C1B66" w:rsidP="00136CC9">
            <w:pPr>
              <w:spacing w:after="0"/>
              <w:rPr>
                <w:rFonts w:asciiTheme="majorHAnsi" w:hAnsiTheme="majorHAnsi" w:cstheme="majorHAnsi"/>
                <w:color w:val="000000"/>
                <w:sz w:val="16"/>
                <w:szCs w:val="16"/>
                <w:lang w:val="en-US"/>
              </w:rPr>
            </w:pPr>
            <w:r w:rsidRPr="0014662B">
              <w:rPr>
                <w:rFonts w:asciiTheme="majorHAnsi" w:hAnsiTheme="majorHAnsi" w:cstheme="majorHAnsi"/>
                <w:color w:val="000000"/>
                <w:sz w:val="16"/>
                <w:szCs w:val="16"/>
                <w:lang w:val="en-US"/>
              </w:rPr>
              <w:t>Modelling study by Mar et al.</w:t>
            </w:r>
            <w:r>
              <w:rPr>
                <w:rFonts w:asciiTheme="majorHAnsi" w:hAnsiTheme="majorHAnsi" w:cstheme="majorHAnsi"/>
                <w:color w:val="000000"/>
                <w:sz w:val="16"/>
                <w:szCs w:val="16"/>
                <w:lang w:val="en-US"/>
              </w:rPr>
              <w:t xml:space="preserve"> (</w:t>
            </w:r>
            <w:r w:rsidRPr="0014662B">
              <w:rPr>
                <w:rFonts w:asciiTheme="majorHAnsi" w:hAnsiTheme="majorHAnsi" w:cstheme="majorHAnsi"/>
                <w:color w:val="000000"/>
                <w:sz w:val="16"/>
                <w:szCs w:val="16"/>
                <w:lang w:val="en-US"/>
              </w:rPr>
              <w:t>2010</w:t>
            </w:r>
            <w:r>
              <w:rPr>
                <w:rFonts w:asciiTheme="majorHAnsi" w:hAnsiTheme="majorHAnsi" w:cstheme="majorHAnsi"/>
                <w:color w:val="000000"/>
                <w:sz w:val="16"/>
                <w:szCs w:val="16"/>
                <w:lang w:val="en-US"/>
              </w:rPr>
              <w:t>)</w:t>
            </w:r>
            <w:r w:rsidRPr="0014662B">
              <w:rPr>
                <w:rFonts w:asciiTheme="majorHAnsi" w:hAnsiTheme="majorHAnsi" w:cstheme="majorHAnsi"/>
                <w:color w:val="000000"/>
                <w:sz w:val="16"/>
                <w:szCs w:val="16"/>
                <w:lang w:val="en-US"/>
              </w:rPr>
              <w:t xml:space="preserve"> referencing other models to validate results, meta-analysis of register studies by Mohan et al. (2011) </w:t>
            </w:r>
          </w:p>
          <w:p w14:paraId="068646F5" w14:textId="77777777" w:rsidR="009C1B66" w:rsidRPr="0014662B" w:rsidRDefault="009C1B66" w:rsidP="00136CC9">
            <w:pPr>
              <w:spacing w:after="0"/>
              <w:rPr>
                <w:rFonts w:asciiTheme="majorHAnsi" w:hAnsiTheme="majorHAnsi" w:cstheme="majorHAnsi"/>
                <w:color w:val="000000"/>
                <w:sz w:val="16"/>
                <w:szCs w:val="16"/>
                <w:lang w:val="en-US"/>
              </w:rPr>
            </w:pPr>
          </w:p>
          <w:p w14:paraId="685CCF69" w14:textId="77777777" w:rsidR="009C1B66" w:rsidRPr="0014662B" w:rsidRDefault="009C1B66" w:rsidP="00136CC9">
            <w:pPr>
              <w:spacing w:after="0"/>
              <w:rPr>
                <w:rFonts w:asciiTheme="majorHAnsi" w:hAnsiTheme="majorHAnsi" w:cstheme="majorHAnsi"/>
                <w:color w:val="000000"/>
                <w:sz w:val="16"/>
                <w:szCs w:val="16"/>
                <w:lang w:val="en-US"/>
              </w:rPr>
            </w:pPr>
            <w:r w:rsidRPr="0014662B">
              <w:rPr>
                <w:rFonts w:asciiTheme="majorHAnsi" w:hAnsiTheme="majorHAnsi" w:cstheme="majorHAnsi"/>
                <w:color w:val="000000"/>
                <w:sz w:val="16"/>
                <w:szCs w:val="16"/>
                <w:lang w:val="en-US"/>
              </w:rPr>
              <w:t>Mortality after recurrence:</w:t>
            </w:r>
          </w:p>
          <w:p w14:paraId="4B8DE801" w14:textId="77777777" w:rsidR="009C1B66" w:rsidRPr="0014662B" w:rsidRDefault="009C1B66" w:rsidP="00136CC9">
            <w:pPr>
              <w:spacing w:after="0"/>
              <w:rPr>
                <w:rFonts w:asciiTheme="majorHAnsi" w:hAnsiTheme="majorHAnsi" w:cstheme="majorHAnsi"/>
                <w:color w:val="000000"/>
                <w:sz w:val="16"/>
                <w:szCs w:val="16"/>
                <w:lang w:val="en-US"/>
              </w:rPr>
            </w:pPr>
            <w:r w:rsidRPr="0014662B">
              <w:rPr>
                <w:rFonts w:asciiTheme="majorHAnsi" w:hAnsiTheme="majorHAnsi" w:cstheme="majorHAnsi"/>
                <w:color w:val="000000"/>
                <w:sz w:val="16"/>
                <w:szCs w:val="16"/>
                <w:lang w:val="en-US"/>
              </w:rPr>
              <w:lastRenderedPageBreak/>
              <w:t xml:space="preserve">Danish cohort study by Bronnum-Hansen et al. (2001) </w:t>
            </w:r>
          </w:p>
          <w:p w14:paraId="1E0A47AE" w14:textId="77777777" w:rsidR="009C1B66" w:rsidRPr="0014662B" w:rsidRDefault="009C1B66" w:rsidP="00136CC9">
            <w:pPr>
              <w:spacing w:after="0"/>
              <w:rPr>
                <w:rFonts w:asciiTheme="majorHAnsi" w:hAnsiTheme="majorHAnsi" w:cstheme="majorHAnsi"/>
                <w:color w:val="000000"/>
                <w:sz w:val="16"/>
                <w:szCs w:val="16"/>
                <w:lang w:val="en-US"/>
              </w:rPr>
            </w:pPr>
          </w:p>
          <w:p w14:paraId="0B6CA579" w14:textId="77777777" w:rsidR="009C1B66" w:rsidRPr="0014662B" w:rsidRDefault="009C1B66" w:rsidP="00136CC9">
            <w:pPr>
              <w:spacing w:after="0"/>
              <w:rPr>
                <w:rFonts w:asciiTheme="majorHAnsi" w:hAnsiTheme="majorHAnsi" w:cstheme="majorHAnsi"/>
                <w:color w:val="000000"/>
                <w:sz w:val="16"/>
                <w:szCs w:val="16"/>
                <w:lang w:val="en-US"/>
              </w:rPr>
            </w:pPr>
            <w:r w:rsidRPr="0014662B">
              <w:rPr>
                <w:rFonts w:asciiTheme="majorHAnsi" w:hAnsiTheme="majorHAnsi" w:cstheme="majorHAnsi"/>
                <w:color w:val="000000"/>
                <w:sz w:val="16"/>
                <w:szCs w:val="16"/>
                <w:lang w:val="en-US"/>
              </w:rPr>
              <w:t>Non-stroke mortality (time until death):</w:t>
            </w:r>
          </w:p>
          <w:p w14:paraId="45874750" w14:textId="6214BC77" w:rsidR="009C1B66" w:rsidRPr="007E56D0" w:rsidRDefault="009C1B66" w:rsidP="00136CC9">
            <w:pPr>
              <w:spacing w:after="0"/>
              <w:rPr>
                <w:rFonts w:asciiTheme="majorHAnsi" w:hAnsiTheme="majorHAnsi" w:cstheme="majorHAnsi"/>
                <w:color w:val="000000"/>
                <w:sz w:val="16"/>
                <w:szCs w:val="16"/>
                <w:lang w:val="en-US"/>
              </w:rPr>
            </w:pPr>
            <w:r w:rsidRPr="0014662B">
              <w:rPr>
                <w:rFonts w:asciiTheme="majorHAnsi" w:hAnsiTheme="majorHAnsi" w:cstheme="majorHAnsi"/>
                <w:color w:val="000000"/>
                <w:sz w:val="16"/>
                <w:szCs w:val="16"/>
                <w:lang w:val="en-US"/>
              </w:rPr>
              <w:t>Australian Bureau of Statistics (2017), modelling study by Cobiac et al. (2012) referencing multiples sources</w:t>
            </w:r>
          </w:p>
        </w:tc>
        <w:tc>
          <w:tcPr>
            <w:tcW w:w="2835" w:type="dxa"/>
            <w:shd w:val="clear" w:color="auto" w:fill="auto"/>
            <w:tcMar>
              <w:top w:w="57" w:type="dxa"/>
              <w:bottom w:w="57" w:type="dxa"/>
            </w:tcMar>
          </w:tcPr>
          <w:p w14:paraId="71C797B5" w14:textId="76A01C53"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mRS-specific utilities:</w:t>
            </w:r>
            <w:r w:rsidRPr="007E56D0">
              <w:rPr>
                <w:rFonts w:asciiTheme="majorHAnsi" w:hAnsiTheme="majorHAnsi" w:cstheme="majorHAnsi"/>
                <w:color w:val="000000"/>
                <w:sz w:val="16"/>
                <w:szCs w:val="16"/>
                <w:lang w:val="en-US"/>
              </w:rPr>
              <w:br/>
            </w:r>
            <w:r w:rsidRPr="007E56D0">
              <w:rPr>
                <w:rFonts w:asciiTheme="majorHAnsi" w:hAnsiTheme="majorHAnsi" w:cstheme="majorHAnsi"/>
                <w:sz w:val="16"/>
                <w:szCs w:val="16"/>
                <w:lang w:val="en-US"/>
              </w:rPr>
              <w:t>Study by Chaisinanunkul et al. (2015) combining time-trade-off utilities from mapping-study in UK stroke cohort with person-trade-off utilities from international clinical expert panel</w:t>
            </w:r>
          </w:p>
        </w:tc>
        <w:tc>
          <w:tcPr>
            <w:tcW w:w="3260" w:type="dxa"/>
            <w:shd w:val="clear" w:color="auto" w:fill="auto"/>
            <w:tcMar>
              <w:top w:w="57" w:type="dxa"/>
              <w:bottom w:w="57" w:type="dxa"/>
            </w:tcMar>
          </w:tcPr>
          <w:p w14:paraId="14C9ECF8" w14:textId="5EA5F2C2" w:rsidR="009C1B66" w:rsidRPr="00A62B17" w:rsidRDefault="009C1B66" w:rsidP="00136CC9">
            <w:pPr>
              <w:spacing w:after="0"/>
              <w:rPr>
                <w:rFonts w:asciiTheme="majorHAnsi" w:hAnsiTheme="majorHAnsi" w:cstheme="majorHAnsi"/>
                <w:sz w:val="16"/>
                <w:szCs w:val="16"/>
                <w:lang w:val="en-US"/>
              </w:rPr>
            </w:pPr>
            <w:r w:rsidRPr="00A62B17">
              <w:rPr>
                <w:rFonts w:asciiTheme="majorHAnsi" w:hAnsiTheme="majorHAnsi" w:cstheme="majorHAnsi"/>
                <w:sz w:val="16"/>
                <w:szCs w:val="16"/>
                <w:lang w:val="en-US"/>
              </w:rPr>
              <w:t>Direct:</w:t>
            </w:r>
          </w:p>
          <w:p w14:paraId="1113FE2E" w14:textId="2194A5B6" w:rsidR="009C1B66" w:rsidRPr="007E56D0" w:rsidRDefault="009C1B66" w:rsidP="00136CC9">
            <w:pPr>
              <w:spacing w:after="0"/>
              <w:rPr>
                <w:rFonts w:asciiTheme="majorHAnsi" w:hAnsiTheme="majorHAnsi" w:cstheme="majorHAnsi"/>
                <w:sz w:val="16"/>
                <w:szCs w:val="16"/>
                <w:lang w:val="en-US"/>
              </w:rPr>
            </w:pPr>
            <w:r w:rsidRPr="00A62B17">
              <w:rPr>
                <w:rFonts w:asciiTheme="majorHAnsi" w:hAnsiTheme="majorHAnsi" w:cstheme="majorHAnsi"/>
                <w:sz w:val="16"/>
                <w:szCs w:val="16"/>
                <w:lang w:val="en-US"/>
              </w:rPr>
              <w:t>Modelling study by Arora et al. (2018) using multiple sources; Australian Hospital Cost Data Collection Report (2018); Australian cost-effectiveness study by Turkstra et al. (2013)</w:t>
            </w:r>
          </w:p>
        </w:tc>
      </w:tr>
      <w:tr w:rsidR="009C1B66" w:rsidRPr="004515C5" w14:paraId="1062F608" w14:textId="77777777" w:rsidTr="00136CC9">
        <w:trPr>
          <w:tblHeader/>
        </w:trPr>
        <w:tc>
          <w:tcPr>
            <w:tcW w:w="1434" w:type="dxa"/>
            <w:shd w:val="clear" w:color="auto" w:fill="auto"/>
            <w:noWrap/>
            <w:tcMar>
              <w:top w:w="57" w:type="dxa"/>
              <w:bottom w:w="57" w:type="dxa"/>
            </w:tcMar>
            <w:hideMark/>
          </w:tcPr>
          <w:p w14:paraId="31DE0BDD" w14:textId="50284264"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Khunte et al. (2021)</w:t>
            </w:r>
            <w:r w:rsidR="003D16A4">
              <w:rPr>
                <w:rFonts w:asciiTheme="majorHAnsi" w:hAnsiTheme="majorHAnsi" w:cstheme="majorHAnsi"/>
                <w:color w:val="000000"/>
                <w:sz w:val="16"/>
                <w:szCs w:val="16"/>
                <w:lang w:val="en-US"/>
              </w:rPr>
              <w:t>, USA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[25]</w:t>
            </w:r>
          </w:p>
        </w:tc>
        <w:tc>
          <w:tcPr>
            <w:tcW w:w="7513" w:type="dxa"/>
            <w:shd w:val="clear" w:color="auto" w:fill="auto"/>
            <w:tcMar>
              <w:top w:w="57" w:type="dxa"/>
              <w:bottom w:w="57" w:type="dxa"/>
            </w:tcMar>
            <w:hideMark/>
          </w:tcPr>
          <w:p w14:paraId="2E79DC14"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Meta-analysis of HERMES collaboration RCTs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Swedish cohort study by Pennlert et al. (2014) and adjusted with customized equation</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Probably as in short-term model in same treatment arm without lower mRS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US life-tables, adjustment from Swedish cohort study by Slot et al. (2009) and Huhtakangas et al. (2015) </w:t>
            </w:r>
          </w:p>
        </w:tc>
        <w:tc>
          <w:tcPr>
            <w:tcW w:w="2835" w:type="dxa"/>
            <w:shd w:val="clear" w:color="auto" w:fill="auto"/>
            <w:tcMar>
              <w:top w:w="57" w:type="dxa"/>
              <w:bottom w:w="57" w:type="dxa"/>
            </w:tcMar>
            <w:hideMark/>
          </w:tcPr>
          <w:p w14:paraId="13FCA6FD"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 xml:space="preserve">Study by Chaisinanunkul et al. (2015) combining time-trade-off utilities from mapping-study in UK stroke cohort with person-trade-off utilities from international clinical expert panel </w:t>
            </w:r>
          </w:p>
        </w:tc>
        <w:tc>
          <w:tcPr>
            <w:tcW w:w="3260" w:type="dxa"/>
            <w:shd w:val="clear" w:color="auto" w:fill="auto"/>
            <w:tcMar>
              <w:top w:w="57" w:type="dxa"/>
              <w:bottom w:w="57" w:type="dxa"/>
            </w:tcMar>
            <w:hideMark/>
          </w:tcPr>
          <w:p w14:paraId="5E9EE278"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US costing study of RCT by Simpson et al. (2017); US CEA-model by Kunz et al. (2016), based on US National Inpatient Sample data</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Productivity loss</w:t>
            </w:r>
            <w:r w:rsidRPr="007E56D0">
              <w:rPr>
                <w:rFonts w:asciiTheme="majorHAnsi" w:hAnsiTheme="majorHAnsi" w:cstheme="majorHAnsi"/>
                <w:sz w:val="16"/>
                <w:szCs w:val="16"/>
                <w:lang w:val="en-US"/>
              </w:rPr>
              <w:br/>
              <w:t>Japanese cohort study by Tanaka et al. (2014); US Census Bureau; National Bureau of Labor Statistics</w:t>
            </w:r>
            <w:r w:rsidRPr="007E56D0">
              <w:rPr>
                <w:rFonts w:asciiTheme="majorHAnsi" w:hAnsiTheme="majorHAnsi" w:cstheme="majorHAnsi"/>
                <w:sz w:val="16"/>
                <w:szCs w:val="16"/>
                <w:lang w:val="en-US"/>
              </w:rPr>
              <w:br/>
            </w:r>
          </w:p>
        </w:tc>
      </w:tr>
      <w:tr w:rsidR="003531A7" w:rsidRPr="001E2D03" w14:paraId="2357147F" w14:textId="77777777" w:rsidTr="00136CC9">
        <w:trPr>
          <w:tblHeader/>
        </w:trPr>
        <w:tc>
          <w:tcPr>
            <w:tcW w:w="1434" w:type="dxa"/>
            <w:shd w:val="clear" w:color="auto" w:fill="auto"/>
            <w:noWrap/>
            <w:tcMar>
              <w:top w:w="57" w:type="dxa"/>
              <w:bottom w:w="57" w:type="dxa"/>
            </w:tcMar>
            <w:hideMark/>
          </w:tcPr>
          <w:p w14:paraId="561A3951" w14:textId="57644C1B" w:rsidR="003531A7" w:rsidRPr="007E56D0" w:rsidRDefault="003531A7"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Nivelle et al. (2021)</w:t>
            </w:r>
            <w:r>
              <w:rPr>
                <w:rFonts w:asciiTheme="majorHAnsi" w:hAnsiTheme="majorHAnsi" w:cstheme="majorHAnsi"/>
                <w:color w:val="000000"/>
                <w:sz w:val="16"/>
                <w:szCs w:val="16"/>
                <w:lang w:val="en-US"/>
              </w:rPr>
              <w:t>, Belgium</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[26]</w:t>
            </w:r>
          </w:p>
        </w:tc>
        <w:tc>
          <w:tcPr>
            <w:tcW w:w="7513" w:type="dxa"/>
            <w:shd w:val="clear" w:color="auto" w:fill="auto"/>
            <w:tcMar>
              <w:top w:w="57" w:type="dxa"/>
              <w:bottom w:w="57" w:type="dxa"/>
            </w:tcMar>
            <w:hideMark/>
          </w:tcPr>
          <w:p w14:paraId="4715B15E" w14:textId="77777777" w:rsidR="003531A7" w:rsidRPr="007E56D0" w:rsidRDefault="003531A7"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Early treatment window RCTs:</w:t>
            </w:r>
            <w:r w:rsidRPr="007E56D0">
              <w:rPr>
                <w:rFonts w:asciiTheme="majorHAnsi" w:hAnsiTheme="majorHAnsi" w:cstheme="majorHAnsi"/>
                <w:color w:val="000000"/>
                <w:sz w:val="16"/>
                <w:szCs w:val="16"/>
                <w:lang w:val="en-US"/>
              </w:rPr>
              <w:br/>
              <w:t xml:space="preserve">MR CLEAN, ESCAPE, REVASCAT, SWIFT PRIME, EXTEND IA, THRACE, PISTE, RESILIENT </w:t>
            </w:r>
            <w:r w:rsidRPr="007E56D0">
              <w:rPr>
                <w:rFonts w:asciiTheme="majorHAnsi" w:hAnsiTheme="majorHAnsi" w:cstheme="majorHAnsi"/>
                <w:color w:val="000000"/>
                <w:sz w:val="16"/>
                <w:szCs w:val="16"/>
                <w:lang w:val="en-US"/>
              </w:rPr>
              <w:br/>
              <w:t xml:space="preserve">- Late treatment window RCTs: DEFUSE, DAWN </w:t>
            </w:r>
            <w:r w:rsidRPr="007E56D0">
              <w:rPr>
                <w:rFonts w:asciiTheme="majorHAnsi" w:hAnsiTheme="majorHAnsi" w:cstheme="majorHAnsi"/>
                <w:color w:val="000000"/>
                <w:sz w:val="16"/>
                <w:szCs w:val="16"/>
                <w:lang w:val="en-US"/>
              </w:rPr>
              <w:br/>
              <w:t>- pooled: all RCTs together</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Intermediate TPs  90 days after stroke up to 5 years:</w:t>
            </w:r>
            <w:r w:rsidRPr="007E56D0">
              <w:rPr>
                <w:rFonts w:asciiTheme="majorHAnsi" w:hAnsiTheme="majorHAnsi" w:cstheme="majorHAnsi"/>
                <w:color w:val="000000"/>
                <w:sz w:val="16"/>
                <w:szCs w:val="16"/>
                <w:lang w:val="en-US"/>
              </w:rPr>
              <w:br/>
              <w:t>Population-based OXVASC-cohort-study (UK) with calibration approach</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&gt; 5 years:</w:t>
            </w:r>
            <w:r w:rsidRPr="007E56D0">
              <w:rPr>
                <w:rFonts w:asciiTheme="majorHAnsi" w:hAnsiTheme="majorHAnsi" w:cstheme="majorHAnsi"/>
                <w:color w:val="000000"/>
                <w:sz w:val="16"/>
                <w:szCs w:val="16"/>
                <w:lang w:val="en-US"/>
              </w:rPr>
              <w:br/>
              <w:t xml:space="preserve">Patients remain in health state, only mortality risk applied according to national life tables by mRS follow-up study meta-analysis by Shavelle et al. (2019)  </w:t>
            </w:r>
          </w:p>
        </w:tc>
        <w:tc>
          <w:tcPr>
            <w:tcW w:w="2835" w:type="dxa"/>
            <w:shd w:val="clear" w:color="auto" w:fill="auto"/>
            <w:tcMar>
              <w:top w:w="57" w:type="dxa"/>
              <w:bottom w:w="57" w:type="dxa"/>
            </w:tcMar>
            <w:hideMark/>
          </w:tcPr>
          <w:p w14:paraId="26422DEE" w14:textId="77777777" w:rsidR="003531A7" w:rsidRPr="007E56D0" w:rsidRDefault="003531A7"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Study by Dewilde et al. (2019), mapping mRS into EQ-5D using European tariff by Greiner et al. (2003)</w:t>
            </w:r>
          </w:p>
        </w:tc>
        <w:tc>
          <w:tcPr>
            <w:tcW w:w="3260" w:type="dxa"/>
            <w:shd w:val="clear" w:color="auto" w:fill="auto"/>
            <w:tcMar>
              <w:top w:w="57" w:type="dxa"/>
              <w:bottom w:w="57" w:type="dxa"/>
            </w:tcMar>
            <w:hideMark/>
          </w:tcPr>
          <w:p w14:paraId="53E8C193" w14:textId="77777777" w:rsidR="003531A7" w:rsidRPr="007E56D0" w:rsidRDefault="003531A7"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Multiple sources incl. expert opinion; Belgian reimbursement data; mRS-specific unit costs by Belgian National Institute for Health and Disability Insurance; micro-costing applied</w:t>
            </w:r>
          </w:p>
        </w:tc>
      </w:tr>
      <w:tr w:rsidR="009C1B66" w:rsidRPr="001E2D03" w14:paraId="2129D63F" w14:textId="77777777" w:rsidTr="00136CC9">
        <w:trPr>
          <w:tblHeader/>
        </w:trPr>
        <w:tc>
          <w:tcPr>
            <w:tcW w:w="1434" w:type="dxa"/>
            <w:shd w:val="clear" w:color="auto" w:fill="auto"/>
            <w:tcMar>
              <w:top w:w="57" w:type="dxa"/>
              <w:bottom w:w="57" w:type="dxa"/>
            </w:tcMar>
            <w:hideMark/>
          </w:tcPr>
          <w:p w14:paraId="4FD3A7AD" w14:textId="17698E4B"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Sevick et al. (2021)</w:t>
            </w:r>
            <w:r w:rsidR="003D16A4">
              <w:rPr>
                <w:rFonts w:asciiTheme="majorHAnsi" w:hAnsiTheme="majorHAnsi" w:cstheme="majorHAnsi"/>
                <w:color w:val="000000"/>
                <w:sz w:val="16"/>
                <w:szCs w:val="16"/>
                <w:lang w:val="en-US"/>
              </w:rPr>
              <w:t>, Canada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[27]</w:t>
            </w:r>
          </w:p>
        </w:tc>
        <w:tc>
          <w:tcPr>
            <w:tcW w:w="7513" w:type="dxa"/>
            <w:shd w:val="clear" w:color="auto" w:fill="auto"/>
            <w:tcMar>
              <w:top w:w="57" w:type="dxa"/>
              <w:bottom w:w="57" w:type="dxa"/>
            </w:tcMar>
            <w:hideMark/>
          </w:tcPr>
          <w:p w14:paraId="05D483C0"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ESCAPE trial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Mortality for up to 6 months:</w:t>
            </w:r>
            <w:r w:rsidRPr="007E56D0">
              <w:rPr>
                <w:rFonts w:asciiTheme="majorHAnsi" w:hAnsiTheme="majorHAnsi" w:cstheme="majorHAnsi"/>
                <w:color w:val="000000"/>
                <w:sz w:val="16"/>
                <w:szCs w:val="16"/>
                <w:lang w:val="en-US"/>
              </w:rPr>
              <w:br/>
              <w:t>Hospital trial data and community data</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mRS-dependent annual mortality:</w:t>
            </w:r>
            <w:r w:rsidRPr="007E56D0">
              <w:rPr>
                <w:rFonts w:asciiTheme="majorHAnsi" w:hAnsiTheme="majorHAnsi" w:cstheme="majorHAnsi"/>
                <w:color w:val="000000"/>
                <w:sz w:val="16"/>
                <w:szCs w:val="16"/>
                <w:lang w:val="en-US"/>
              </w:rPr>
              <w:br/>
              <w:t xml:space="preserve">Swedish cohort study by Slot et al. (2008) </w:t>
            </w:r>
          </w:p>
        </w:tc>
        <w:tc>
          <w:tcPr>
            <w:tcW w:w="2835" w:type="dxa"/>
            <w:shd w:val="clear" w:color="auto" w:fill="auto"/>
            <w:tcMar>
              <w:top w:w="57" w:type="dxa"/>
              <w:bottom w:w="57" w:type="dxa"/>
            </w:tcMar>
            <w:hideMark/>
          </w:tcPr>
          <w:p w14:paraId="44CF0DD4"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EQ-5D individually assessed in ESCAPE trial, tariffs taken from UK-valuation study by Dolan et al. (1997) with representative UK sample</w:t>
            </w:r>
          </w:p>
        </w:tc>
        <w:tc>
          <w:tcPr>
            <w:tcW w:w="3260" w:type="dxa"/>
            <w:shd w:val="clear" w:color="auto" w:fill="auto"/>
            <w:tcMar>
              <w:top w:w="57" w:type="dxa"/>
              <w:bottom w:w="57" w:type="dxa"/>
            </w:tcMar>
            <w:hideMark/>
          </w:tcPr>
          <w:p w14:paraId="565256E1"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ESCAPE trial data; micro-costing applied</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p>
          <w:p w14:paraId="2FDBDFEA"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 Informal care</w:t>
            </w:r>
            <w:r w:rsidRPr="007E56D0">
              <w:rPr>
                <w:rFonts w:asciiTheme="majorHAnsi" w:hAnsiTheme="majorHAnsi" w:cstheme="majorHAnsi"/>
                <w:sz w:val="16"/>
                <w:szCs w:val="16"/>
                <w:lang w:val="en-US"/>
              </w:rPr>
              <w:br/>
              <w:t>- Productivity losses</w:t>
            </w:r>
            <w:r w:rsidRPr="007E56D0">
              <w:rPr>
                <w:rFonts w:asciiTheme="majorHAnsi" w:hAnsiTheme="majorHAnsi" w:cstheme="majorHAnsi"/>
                <w:sz w:val="16"/>
                <w:szCs w:val="16"/>
                <w:lang w:val="en-US"/>
              </w:rPr>
              <w:br/>
              <w:t>Canadian costing study BURST</w:t>
            </w:r>
          </w:p>
        </w:tc>
      </w:tr>
      <w:tr w:rsidR="009C1B66" w:rsidRPr="004515C5" w14:paraId="08822F60" w14:textId="77777777" w:rsidTr="00136CC9">
        <w:trPr>
          <w:tblHeader/>
        </w:trPr>
        <w:tc>
          <w:tcPr>
            <w:tcW w:w="1434" w:type="dxa"/>
            <w:shd w:val="clear" w:color="auto" w:fill="auto"/>
            <w:tcMar>
              <w:top w:w="57" w:type="dxa"/>
              <w:bottom w:w="57" w:type="dxa"/>
            </w:tcMar>
            <w:hideMark/>
          </w:tcPr>
          <w:p w14:paraId="5D0CF83D" w14:textId="2D1452C3"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Wu et al. (2021)</w:t>
            </w:r>
            <w:r w:rsidR="003D16A4">
              <w:rPr>
                <w:rFonts w:asciiTheme="majorHAnsi" w:hAnsiTheme="majorHAnsi" w:cstheme="majorHAnsi"/>
                <w:color w:val="000000"/>
                <w:sz w:val="16"/>
                <w:szCs w:val="16"/>
                <w:lang w:val="en-US"/>
              </w:rPr>
              <w:t>, USA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[28]</w:t>
            </w:r>
          </w:p>
        </w:tc>
        <w:tc>
          <w:tcPr>
            <w:tcW w:w="7513" w:type="dxa"/>
            <w:shd w:val="clear" w:color="auto" w:fill="auto"/>
            <w:tcMar>
              <w:top w:w="57" w:type="dxa"/>
              <w:bottom w:w="57" w:type="dxa"/>
            </w:tcMar>
            <w:hideMark/>
          </w:tcPr>
          <w:p w14:paraId="559C35B1"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90 days after stroke:</w:t>
            </w:r>
            <w:r w:rsidRPr="007E56D0">
              <w:rPr>
                <w:rFonts w:asciiTheme="majorHAnsi" w:hAnsiTheme="majorHAnsi" w:cstheme="majorHAnsi"/>
                <w:color w:val="000000"/>
                <w:sz w:val="16"/>
                <w:szCs w:val="16"/>
                <w:lang w:val="en-US"/>
              </w:rPr>
              <w:br/>
              <w:t xml:space="preserve">ETIS stroke registry, HERMES RCT-meta- analysis of ESCAPE, MR CLEAN, REVASCAT, SWIFT PRIME, EXTEND IA by </w:t>
            </w:r>
            <w:r w:rsidRPr="007E56D0">
              <w:rPr>
                <w:rFonts w:asciiTheme="majorHAnsi" w:hAnsiTheme="majorHAnsi" w:cstheme="majorHAnsi"/>
                <w:color w:val="000000"/>
                <w:sz w:val="16"/>
                <w:szCs w:val="16"/>
                <w:lang w:val="en-US"/>
              </w:rPr>
              <w:lastRenderedPageBreak/>
              <w:t xml:space="preserve">Goyal et al. (2016), SAMURAI rTP registry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 and death after 90 days:</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risk of recurrence:</w:t>
            </w:r>
            <w:r w:rsidRPr="007E56D0">
              <w:rPr>
                <w:rFonts w:asciiTheme="majorHAnsi" w:hAnsiTheme="majorHAnsi" w:cstheme="majorHAnsi"/>
                <w:color w:val="000000"/>
                <w:sz w:val="16"/>
                <w:szCs w:val="16"/>
                <w:lang w:val="en-US"/>
              </w:rPr>
              <w:br/>
              <w:t>Swedish cohort study by Pennlert et al. (2014)</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after recurrence:</w:t>
            </w:r>
            <w:r w:rsidRPr="007E56D0">
              <w:rPr>
                <w:rFonts w:asciiTheme="majorHAnsi" w:hAnsiTheme="majorHAnsi" w:cstheme="majorHAnsi"/>
                <w:color w:val="000000"/>
                <w:sz w:val="16"/>
                <w:szCs w:val="16"/>
                <w:lang w:val="en-US"/>
              </w:rPr>
              <w:br/>
              <w:t>Multiple sources incl. registries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US life tables </w:t>
            </w:r>
          </w:p>
        </w:tc>
        <w:tc>
          <w:tcPr>
            <w:tcW w:w="2835" w:type="dxa"/>
            <w:shd w:val="clear" w:color="auto" w:fill="auto"/>
            <w:tcMar>
              <w:top w:w="57" w:type="dxa"/>
              <w:bottom w:w="57" w:type="dxa"/>
            </w:tcMar>
            <w:hideMark/>
          </w:tcPr>
          <w:p w14:paraId="64C4B8F7"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mRS-specific utilities:</w:t>
            </w:r>
            <w:r w:rsidRPr="007E56D0">
              <w:rPr>
                <w:rFonts w:asciiTheme="majorHAnsi" w:hAnsiTheme="majorHAnsi" w:cstheme="majorHAnsi"/>
                <w:color w:val="000000"/>
                <w:sz w:val="16"/>
                <w:szCs w:val="16"/>
                <w:lang w:val="en-US"/>
              </w:rPr>
              <w:br/>
              <w:t xml:space="preserve">Study by Chaisinanunkul et al. (2015) </w:t>
            </w:r>
            <w:r w:rsidRPr="007E56D0">
              <w:rPr>
                <w:rFonts w:asciiTheme="majorHAnsi" w:hAnsiTheme="majorHAnsi" w:cstheme="majorHAnsi"/>
                <w:color w:val="000000"/>
                <w:sz w:val="16"/>
                <w:szCs w:val="16"/>
                <w:lang w:val="en-US"/>
              </w:rPr>
              <w:lastRenderedPageBreak/>
              <w:t xml:space="preserve">combining time-trade-off utilities from mapping-study in UK stroke cohort with person-trade-off utilities from international clinical expert panel </w:t>
            </w:r>
          </w:p>
        </w:tc>
        <w:tc>
          <w:tcPr>
            <w:tcW w:w="3260" w:type="dxa"/>
            <w:shd w:val="clear" w:color="auto" w:fill="auto"/>
            <w:tcMar>
              <w:top w:w="57" w:type="dxa"/>
              <w:bottom w:w="57" w:type="dxa"/>
            </w:tcMar>
            <w:hideMark/>
          </w:tcPr>
          <w:p w14:paraId="69F8CA9F"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lastRenderedPageBreak/>
              <w:t>Direct:</w:t>
            </w:r>
            <w:r w:rsidRPr="007E56D0">
              <w:rPr>
                <w:rFonts w:asciiTheme="majorHAnsi" w:hAnsiTheme="majorHAnsi" w:cstheme="majorHAnsi"/>
                <w:sz w:val="16"/>
                <w:szCs w:val="16"/>
                <w:lang w:val="en-US"/>
              </w:rPr>
              <w:br/>
              <w:t xml:space="preserve">US trial costing study by Simpson et al. (2017) </w:t>
            </w:r>
            <w:r w:rsidRPr="007E56D0">
              <w:rPr>
                <w:rFonts w:asciiTheme="majorHAnsi" w:hAnsiTheme="majorHAnsi" w:cstheme="majorHAnsi"/>
                <w:sz w:val="16"/>
                <w:szCs w:val="16"/>
                <w:lang w:val="en-US"/>
              </w:rPr>
              <w:lastRenderedPageBreak/>
              <w:t>and Shireman et al. (2017)</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Productivity losses</w:t>
            </w:r>
            <w:r w:rsidRPr="007E56D0">
              <w:rPr>
                <w:rFonts w:asciiTheme="majorHAnsi" w:hAnsiTheme="majorHAnsi" w:cstheme="majorHAnsi"/>
                <w:sz w:val="16"/>
                <w:szCs w:val="16"/>
                <w:lang w:val="en-US"/>
              </w:rPr>
              <w:br/>
              <w:t>Japanese cohort study by Tanaka et al. (2014); US Census Bureau; National Bureau of Labor Statistics</w:t>
            </w:r>
            <w:r w:rsidRPr="007E56D0">
              <w:rPr>
                <w:rFonts w:asciiTheme="majorHAnsi" w:hAnsiTheme="majorHAnsi" w:cstheme="majorHAnsi"/>
                <w:sz w:val="16"/>
                <w:szCs w:val="16"/>
                <w:lang w:val="en-US"/>
              </w:rPr>
              <w:br/>
            </w:r>
          </w:p>
        </w:tc>
      </w:tr>
      <w:tr w:rsidR="009C1B66" w:rsidRPr="004515C5" w14:paraId="5A93EFC6" w14:textId="77777777" w:rsidTr="00136CC9">
        <w:trPr>
          <w:tblHeader/>
        </w:trPr>
        <w:tc>
          <w:tcPr>
            <w:tcW w:w="1434" w:type="dxa"/>
            <w:shd w:val="clear" w:color="auto" w:fill="auto"/>
            <w:tcMar>
              <w:top w:w="57" w:type="dxa"/>
              <w:bottom w:w="57" w:type="dxa"/>
            </w:tcMar>
            <w:hideMark/>
          </w:tcPr>
          <w:p w14:paraId="056021C9" w14:textId="4BE76F2A"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Khunte et al. (2022)</w:t>
            </w:r>
            <w:r w:rsidR="003D16A4">
              <w:rPr>
                <w:rFonts w:asciiTheme="majorHAnsi" w:hAnsiTheme="majorHAnsi" w:cstheme="majorHAnsi"/>
                <w:color w:val="000000"/>
                <w:sz w:val="16"/>
                <w:szCs w:val="16"/>
                <w:lang w:val="en-US"/>
              </w:rPr>
              <w:t>, USA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[29]</w:t>
            </w:r>
          </w:p>
        </w:tc>
        <w:tc>
          <w:tcPr>
            <w:tcW w:w="7513" w:type="dxa"/>
            <w:shd w:val="clear" w:color="auto" w:fill="auto"/>
            <w:tcMar>
              <w:top w:w="57" w:type="dxa"/>
              <w:bottom w:w="57" w:type="dxa"/>
            </w:tcMar>
            <w:hideMark/>
          </w:tcPr>
          <w:p w14:paraId="53FCE06E"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RCT-meta- analysis of ESCAPE,MR CLEAN, REVASCAT, SWIFT PRIME, EXTEND IA by Roman et al. and HERMES investigators (2018)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 risk:</w:t>
            </w:r>
            <w:r w:rsidRPr="007E56D0">
              <w:rPr>
                <w:rFonts w:asciiTheme="majorHAnsi" w:hAnsiTheme="majorHAnsi" w:cstheme="majorHAnsi"/>
                <w:color w:val="000000"/>
                <w:sz w:val="16"/>
                <w:szCs w:val="16"/>
                <w:lang w:val="en-US"/>
              </w:rPr>
              <w:br/>
              <w:t>Cohort study by Pennlert et al. (2014) and adjusted with customized equation</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Equal for all mRS-states, without recovery</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US life-tables, adjustment from cohort studies by Slot et al. (2009) and Huhtakangas et al. (2015) </w:t>
            </w:r>
          </w:p>
        </w:tc>
        <w:tc>
          <w:tcPr>
            <w:tcW w:w="2835" w:type="dxa"/>
            <w:shd w:val="clear" w:color="auto" w:fill="auto"/>
            <w:tcMar>
              <w:top w:w="57" w:type="dxa"/>
              <w:bottom w:w="57" w:type="dxa"/>
            </w:tcMar>
            <w:hideMark/>
          </w:tcPr>
          <w:p w14:paraId="273AAF95"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 xml:space="preserve">mRS-specific utilities: </w:t>
            </w:r>
            <w:r w:rsidRPr="007E56D0">
              <w:rPr>
                <w:rFonts w:asciiTheme="majorHAnsi" w:hAnsiTheme="majorHAnsi" w:cstheme="majorHAnsi"/>
                <w:color w:val="000000"/>
                <w:sz w:val="16"/>
                <w:szCs w:val="16"/>
                <w:lang w:val="en-US"/>
              </w:rPr>
              <w:br/>
              <w:t xml:space="preserve">Study by Chaisinanunkul et al. (2015) combining time-trade-off utilities from mapping-study in UK stroke cohort with person-trade-off utilities from international clinical expert panel </w:t>
            </w:r>
          </w:p>
        </w:tc>
        <w:tc>
          <w:tcPr>
            <w:tcW w:w="3260" w:type="dxa"/>
            <w:shd w:val="clear" w:color="auto" w:fill="auto"/>
            <w:tcMar>
              <w:top w:w="57" w:type="dxa"/>
              <w:bottom w:w="57" w:type="dxa"/>
            </w:tcMar>
            <w:hideMark/>
          </w:tcPr>
          <w:p w14:paraId="116EB5E2"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US trial costing study by Simpson et al. (2017); US modelling study / review by Kunz et al. (2018) utilizing US National Inpatient Sample data</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p>
          <w:p w14:paraId="5F444EE7"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 productivity losses</w:t>
            </w:r>
            <w:r w:rsidRPr="007E56D0">
              <w:rPr>
                <w:rFonts w:asciiTheme="majorHAnsi" w:hAnsiTheme="majorHAnsi" w:cstheme="majorHAnsi"/>
                <w:sz w:val="16"/>
                <w:szCs w:val="16"/>
                <w:lang w:val="en-US"/>
              </w:rPr>
              <w:br/>
              <w:t>Multiple sources incl. Japanese cohort study by Tanaka et al. (2014); US Census Bureau; National Bureau of Labor Statistics</w:t>
            </w:r>
            <w:r w:rsidRPr="007E56D0">
              <w:rPr>
                <w:rFonts w:asciiTheme="majorHAnsi" w:hAnsiTheme="majorHAnsi" w:cstheme="majorHAnsi"/>
                <w:sz w:val="16"/>
                <w:szCs w:val="16"/>
                <w:lang w:val="en-US"/>
              </w:rPr>
              <w:br/>
            </w:r>
          </w:p>
        </w:tc>
      </w:tr>
      <w:tr w:rsidR="009C1B66" w:rsidRPr="001E2D03" w14:paraId="32CBDAE5" w14:textId="77777777" w:rsidTr="00136CC9">
        <w:trPr>
          <w:tblHeader/>
        </w:trPr>
        <w:tc>
          <w:tcPr>
            <w:tcW w:w="1434" w:type="dxa"/>
            <w:shd w:val="clear" w:color="auto" w:fill="auto"/>
            <w:noWrap/>
            <w:tcMar>
              <w:top w:w="57" w:type="dxa"/>
              <w:bottom w:w="57" w:type="dxa"/>
            </w:tcMar>
            <w:hideMark/>
          </w:tcPr>
          <w:p w14:paraId="7862626E" w14:textId="3C2C2374"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Lylyk et al. (2022)</w:t>
            </w:r>
            <w:r w:rsidR="00087810">
              <w:rPr>
                <w:rFonts w:asciiTheme="majorHAnsi" w:hAnsiTheme="majorHAnsi" w:cstheme="majorHAnsi"/>
                <w:color w:val="000000"/>
                <w:sz w:val="16"/>
                <w:szCs w:val="16"/>
                <w:lang w:val="en-US"/>
              </w:rPr>
              <w:t>, Argentina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[30]</w:t>
            </w:r>
          </w:p>
        </w:tc>
        <w:tc>
          <w:tcPr>
            <w:tcW w:w="7513" w:type="dxa"/>
            <w:shd w:val="clear" w:color="auto" w:fill="auto"/>
            <w:tcMar>
              <w:top w:w="57" w:type="dxa"/>
              <w:bottom w:w="57" w:type="dxa"/>
            </w:tcMar>
            <w:hideMark/>
          </w:tcPr>
          <w:p w14:paraId="71671E8D"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7 and 90 days after stroke:</w:t>
            </w:r>
            <w:r w:rsidRPr="007E56D0">
              <w:rPr>
                <w:rFonts w:asciiTheme="majorHAnsi" w:hAnsiTheme="majorHAnsi" w:cstheme="majorHAnsi"/>
                <w:color w:val="000000"/>
                <w:sz w:val="16"/>
                <w:szCs w:val="16"/>
                <w:lang w:val="en-US"/>
              </w:rPr>
              <w:br/>
              <w:t xml:space="preserve">SWIFT-PRIME RCT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Meta- analysis of register studies by Mohan et al. (2011)</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As in short-term model without lower mRS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lastRenderedPageBreak/>
              <w:t xml:space="preserve">Life-tables by National Institute of Statistics and Census, adjusted for stroke-survivors with Swedish cohort study by Slot et al. (2009) </w:t>
            </w:r>
          </w:p>
        </w:tc>
        <w:tc>
          <w:tcPr>
            <w:tcW w:w="2835" w:type="dxa"/>
            <w:shd w:val="clear" w:color="auto" w:fill="auto"/>
            <w:tcMar>
              <w:top w:w="57" w:type="dxa"/>
              <w:bottom w:w="57" w:type="dxa"/>
            </w:tcMar>
            <w:hideMark/>
          </w:tcPr>
          <w:p w14:paraId="1C0C0C86"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mRS-specific utilities:</w:t>
            </w:r>
            <w:r w:rsidRPr="007E56D0">
              <w:rPr>
                <w:rFonts w:asciiTheme="majorHAnsi" w:hAnsiTheme="majorHAnsi" w:cstheme="majorHAnsi"/>
                <w:color w:val="000000"/>
                <w:sz w:val="16"/>
                <w:szCs w:val="16"/>
                <w:lang w:val="en-US"/>
              </w:rPr>
              <w:br/>
              <w:t>Study by Rivero-Arias et al. (2010), mapping EQ-5D with UK-tariffs to mRS-scores in population-based UK OXVASC-study</w:t>
            </w:r>
          </w:p>
        </w:tc>
        <w:tc>
          <w:tcPr>
            <w:tcW w:w="3260" w:type="dxa"/>
            <w:shd w:val="clear" w:color="auto" w:fill="auto"/>
            <w:tcMar>
              <w:top w:w="57" w:type="dxa"/>
              <w:bottom w:w="57" w:type="dxa"/>
            </w:tcMar>
            <w:hideMark/>
          </w:tcPr>
          <w:p w14:paraId="1549298E"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Multiple sources incl. manufacturer prices, fee schedule of Health Services of the Ministry of Health of the City of Buenos Aires; Clinica Sagrada Familia costs</w:t>
            </w:r>
          </w:p>
        </w:tc>
      </w:tr>
      <w:tr w:rsidR="009C1B66" w:rsidRPr="001E2D03" w14:paraId="1EFB7456" w14:textId="77777777" w:rsidTr="00136CC9">
        <w:trPr>
          <w:tblHeader/>
        </w:trPr>
        <w:tc>
          <w:tcPr>
            <w:tcW w:w="1434" w:type="dxa"/>
            <w:shd w:val="clear" w:color="auto" w:fill="auto"/>
            <w:tcMar>
              <w:top w:w="57" w:type="dxa"/>
              <w:bottom w:w="57" w:type="dxa"/>
            </w:tcMar>
            <w:hideMark/>
          </w:tcPr>
          <w:p w14:paraId="31C7890B" w14:textId="0AAF1C0D"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Rattanavipapong et al. (2022)</w:t>
            </w:r>
            <w:r w:rsidR="00087810">
              <w:rPr>
                <w:rFonts w:asciiTheme="majorHAnsi" w:hAnsiTheme="majorHAnsi" w:cstheme="majorHAnsi"/>
                <w:color w:val="000000"/>
                <w:sz w:val="16"/>
                <w:szCs w:val="16"/>
                <w:lang w:val="en-US"/>
              </w:rPr>
              <w:t>, Thailand</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[31]</w:t>
            </w:r>
          </w:p>
        </w:tc>
        <w:tc>
          <w:tcPr>
            <w:tcW w:w="7513" w:type="dxa"/>
            <w:shd w:val="clear" w:color="auto" w:fill="auto"/>
            <w:tcMar>
              <w:top w:w="57" w:type="dxa"/>
              <w:bottom w:w="57" w:type="dxa"/>
            </w:tcMar>
            <w:hideMark/>
          </w:tcPr>
          <w:p w14:paraId="4EE1334D"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HERMES RCT-meta- analysis of ESCAPE, MR CLEAN, REVASCAT, SWIFT PRIME, EXTEND IA by Goyal et al. (2016)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 risk:</w:t>
            </w:r>
            <w:r w:rsidRPr="007E56D0">
              <w:rPr>
                <w:rFonts w:asciiTheme="majorHAnsi" w:hAnsiTheme="majorHAnsi" w:cstheme="majorHAnsi"/>
                <w:color w:val="000000"/>
                <w:sz w:val="16"/>
                <w:szCs w:val="16"/>
                <w:lang w:val="en-US"/>
              </w:rPr>
              <w:br/>
              <w:t xml:space="preserve">UK modelling study by Ganesalingam et al. (2015), review on Alteplase HTA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 xml:space="preserve">Modelling study by Ganesalingam et al. (2015) / CEA of London stroke service by Morris et al. (2011)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Thai ministry of health data </w:t>
            </w:r>
          </w:p>
        </w:tc>
        <w:tc>
          <w:tcPr>
            <w:tcW w:w="2835" w:type="dxa"/>
            <w:shd w:val="clear" w:color="auto" w:fill="auto"/>
            <w:tcMar>
              <w:top w:w="57" w:type="dxa"/>
              <w:bottom w:w="57" w:type="dxa"/>
            </w:tcMar>
            <w:hideMark/>
          </w:tcPr>
          <w:p w14:paraId="3079F5AD"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Neurological Institute of Thailand</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Recurrence-specific utilities:</w:t>
            </w:r>
            <w:r w:rsidRPr="007E56D0">
              <w:rPr>
                <w:rFonts w:asciiTheme="majorHAnsi" w:hAnsiTheme="majorHAnsi" w:cstheme="majorHAnsi"/>
                <w:color w:val="000000"/>
                <w:sz w:val="16"/>
                <w:szCs w:val="16"/>
                <w:lang w:val="en-US"/>
              </w:rPr>
              <w:br/>
              <w:t>CEA of London stroke service by Morris et al. (2011)</w:t>
            </w:r>
          </w:p>
        </w:tc>
        <w:tc>
          <w:tcPr>
            <w:tcW w:w="3260" w:type="dxa"/>
            <w:shd w:val="clear" w:color="auto" w:fill="auto"/>
            <w:tcMar>
              <w:top w:w="57" w:type="dxa"/>
              <w:bottom w:w="57" w:type="dxa"/>
            </w:tcMar>
            <w:hideMark/>
          </w:tcPr>
          <w:p w14:paraId="51D2CC7B" w14:textId="143AEC21" w:rsidR="0002072D"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Thai stroke center primary data; Thai costing studies; Thai universal coverage scheme fixed payments; manufacturer prices</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Informal care</w:t>
            </w:r>
          </w:p>
        </w:tc>
      </w:tr>
      <w:tr w:rsidR="009C1B66" w:rsidRPr="001E2D03" w14:paraId="2F479252" w14:textId="77777777" w:rsidTr="00136CC9">
        <w:trPr>
          <w:tblHeader/>
        </w:trPr>
        <w:tc>
          <w:tcPr>
            <w:tcW w:w="1434" w:type="dxa"/>
            <w:shd w:val="clear" w:color="auto" w:fill="auto"/>
            <w:tcMar>
              <w:top w:w="57" w:type="dxa"/>
              <w:bottom w:w="57" w:type="dxa"/>
            </w:tcMar>
            <w:hideMark/>
          </w:tcPr>
          <w:p w14:paraId="2FAABF11" w14:textId="5C08A106"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de Souza et al. (2022)</w:t>
            </w:r>
            <w:r w:rsidR="00087810">
              <w:rPr>
                <w:rFonts w:asciiTheme="majorHAnsi" w:hAnsiTheme="majorHAnsi" w:cstheme="majorHAnsi"/>
                <w:color w:val="000000"/>
                <w:sz w:val="16"/>
                <w:szCs w:val="16"/>
                <w:lang w:val="en-US"/>
              </w:rPr>
              <w:t>, Brazil</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[32]</w:t>
            </w:r>
          </w:p>
        </w:tc>
        <w:tc>
          <w:tcPr>
            <w:tcW w:w="7513" w:type="dxa"/>
            <w:shd w:val="clear" w:color="auto" w:fill="auto"/>
            <w:tcMar>
              <w:top w:w="57" w:type="dxa"/>
              <w:bottom w:w="57" w:type="dxa"/>
            </w:tcMar>
            <w:hideMark/>
          </w:tcPr>
          <w:p w14:paraId="4470AF04"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up to 1 year after stroke:</w:t>
            </w:r>
            <w:r w:rsidRPr="007E56D0">
              <w:rPr>
                <w:rFonts w:asciiTheme="majorHAnsi" w:hAnsiTheme="majorHAnsi" w:cstheme="majorHAnsi"/>
                <w:color w:val="000000"/>
                <w:sz w:val="16"/>
                <w:szCs w:val="16"/>
                <w:lang w:val="en-US"/>
              </w:rPr>
              <w:br/>
              <w:t xml:space="preserve">RESILIENT RCT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Mortality with or without stroke</w:t>
            </w:r>
            <w:r w:rsidRPr="007E56D0">
              <w:rPr>
                <w:rFonts w:asciiTheme="majorHAnsi" w:hAnsiTheme="majorHAnsi" w:cstheme="majorHAnsi"/>
                <w:color w:val="000000"/>
                <w:sz w:val="16"/>
                <w:szCs w:val="16"/>
                <w:lang w:val="en-US"/>
              </w:rPr>
              <w:br/>
              <w:t>RESILIENT RCT, adjusted with Brazilian life tables and with a stroke modelling study by Oster et al. (1994)</w:t>
            </w:r>
          </w:p>
        </w:tc>
        <w:tc>
          <w:tcPr>
            <w:tcW w:w="2835" w:type="dxa"/>
            <w:shd w:val="clear" w:color="auto" w:fill="auto"/>
            <w:tcMar>
              <w:top w:w="57" w:type="dxa"/>
              <w:bottom w:w="57" w:type="dxa"/>
            </w:tcMar>
            <w:hideMark/>
          </w:tcPr>
          <w:p w14:paraId="31F6FD01"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 xml:space="preserve">Study by Chaisinanunkul et al. (2015) combining time-trade-off utilities from mapping-study in UK stroke cohort with person-trade-off utilities from international clinical expert panel </w:t>
            </w:r>
          </w:p>
        </w:tc>
        <w:tc>
          <w:tcPr>
            <w:tcW w:w="3260" w:type="dxa"/>
            <w:shd w:val="clear" w:color="auto" w:fill="auto"/>
            <w:tcMar>
              <w:top w:w="57" w:type="dxa"/>
              <w:bottom w:w="57" w:type="dxa"/>
            </w:tcMar>
            <w:hideMark/>
          </w:tcPr>
          <w:p w14:paraId="6B54CCF4"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Billing data from RESILIENT RCT; Brazilian hospital data; micro-costing applied</w:t>
            </w:r>
          </w:p>
        </w:tc>
      </w:tr>
      <w:tr w:rsidR="009C1B66" w:rsidRPr="004515C5" w14:paraId="01ADEB77" w14:textId="77777777" w:rsidTr="00136CC9">
        <w:trPr>
          <w:tblHeader/>
        </w:trPr>
        <w:tc>
          <w:tcPr>
            <w:tcW w:w="1434" w:type="dxa"/>
            <w:shd w:val="clear" w:color="auto" w:fill="auto"/>
            <w:tcMar>
              <w:top w:w="57" w:type="dxa"/>
              <w:bottom w:w="57" w:type="dxa"/>
            </w:tcMar>
            <w:hideMark/>
          </w:tcPr>
          <w:p w14:paraId="67C519FF" w14:textId="21615223"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Gao et al. (2023-1)</w:t>
            </w:r>
            <w:r w:rsidR="00087810">
              <w:rPr>
                <w:rFonts w:asciiTheme="majorHAnsi" w:hAnsiTheme="majorHAnsi" w:cstheme="majorHAnsi"/>
                <w:color w:val="000000"/>
                <w:sz w:val="16"/>
                <w:szCs w:val="16"/>
                <w:lang w:val="en-US"/>
              </w:rPr>
              <w:t xml:space="preserve">, </w:t>
            </w:r>
            <w:r w:rsidR="00087810" w:rsidRPr="00087810">
              <w:rPr>
                <w:rFonts w:asciiTheme="majorHAnsi" w:hAnsiTheme="majorHAnsi" w:cstheme="majorHAnsi"/>
                <w:color w:val="000000"/>
                <w:sz w:val="16"/>
                <w:szCs w:val="16"/>
                <w:lang w:val="en-US"/>
              </w:rPr>
              <w:t xml:space="preserve">not stated but probably Australia </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[33]</w:t>
            </w:r>
          </w:p>
        </w:tc>
        <w:tc>
          <w:tcPr>
            <w:tcW w:w="7513" w:type="dxa"/>
            <w:shd w:val="clear" w:color="auto" w:fill="auto"/>
            <w:tcMar>
              <w:top w:w="57" w:type="dxa"/>
              <w:bottom w:w="57" w:type="dxa"/>
            </w:tcMar>
            <w:hideMark/>
          </w:tcPr>
          <w:p w14:paraId="0F832D0C"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Either 1. INSPIRE registry cohort or 2. meta-analysis of RTCs (HERMES)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 xml:space="preserve">Assumed 0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 xml:space="preserve">Meta- analysis of register studies by Mohan et al. (2011) and Swedish cohort study by Pennlert et al. (2014) and for &gt; mRS2: cohort study by Park &amp; Ovbiagele (2016)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For mRS 6: population-based cohort study by Chen et al. (2020) and modelling study by Fagan et al. (1998); else probably initial probabilities</w:t>
            </w:r>
            <w:r w:rsidRPr="007E56D0" w:rsidDel="004D2B75">
              <w:rPr>
                <w:rFonts w:asciiTheme="majorHAnsi" w:hAnsiTheme="majorHAnsi" w:cstheme="majorHAnsi"/>
                <w:color w:val="000000"/>
                <w:sz w:val="16"/>
                <w:szCs w:val="16"/>
                <w:lang w:val="en-US"/>
              </w:rPr>
              <w:t xml:space="preserve">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w:t>
            </w:r>
          </w:p>
        </w:tc>
        <w:tc>
          <w:tcPr>
            <w:tcW w:w="2835" w:type="dxa"/>
            <w:shd w:val="clear" w:color="auto" w:fill="auto"/>
            <w:tcMar>
              <w:top w:w="57" w:type="dxa"/>
              <w:bottom w:w="57" w:type="dxa"/>
            </w:tcMar>
            <w:hideMark/>
          </w:tcPr>
          <w:p w14:paraId="3663DDEE"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 and recurrence-specific utilities:</w:t>
            </w:r>
            <w:r w:rsidRPr="007E56D0">
              <w:rPr>
                <w:rFonts w:asciiTheme="majorHAnsi" w:hAnsiTheme="majorHAnsi" w:cstheme="majorHAnsi"/>
                <w:color w:val="000000"/>
                <w:sz w:val="16"/>
                <w:szCs w:val="16"/>
                <w:lang w:val="en-US"/>
              </w:rPr>
              <w:br/>
            </w:r>
            <w:r w:rsidRPr="007E56D0">
              <w:rPr>
                <w:rFonts w:asciiTheme="majorHAnsi" w:hAnsiTheme="majorHAnsi" w:cstheme="majorHAnsi"/>
                <w:sz w:val="16"/>
                <w:szCs w:val="16"/>
                <w:lang w:val="en-US"/>
              </w:rPr>
              <w:t>Study by Chaisinanunkul et al. (2015) combining time-trade-off utilities from mapping-study in UK stroke cohort with person-trade-off utilities from international clinical expert panel</w:t>
            </w:r>
          </w:p>
        </w:tc>
        <w:tc>
          <w:tcPr>
            <w:tcW w:w="3260" w:type="dxa"/>
            <w:shd w:val="clear" w:color="auto" w:fill="auto"/>
            <w:tcMar>
              <w:top w:w="57" w:type="dxa"/>
              <w:bottom w:w="57" w:type="dxa"/>
            </w:tcMar>
            <w:hideMark/>
          </w:tcPr>
          <w:p w14:paraId="3045D29F"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Australian CEA-modelling study by Arora et al. (2018); Australian Department of Health; Australian stroke cohort costing study by Gloede et al. (2014); Economic valuation of Australian clinical trial by Gao et al. (2018)</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xml:space="preserve">- Informal care </w:t>
            </w:r>
            <w:r w:rsidRPr="007E56D0">
              <w:rPr>
                <w:rFonts w:asciiTheme="majorHAnsi" w:hAnsiTheme="majorHAnsi" w:cstheme="majorHAnsi"/>
                <w:sz w:val="16"/>
                <w:szCs w:val="16"/>
                <w:lang w:val="en-US"/>
              </w:rPr>
              <w:br/>
              <w:t>Economic evaluation of Australian clinical trial by Gao et al. (2018)</w:t>
            </w:r>
          </w:p>
        </w:tc>
      </w:tr>
      <w:tr w:rsidR="009C1B66" w:rsidRPr="001E2D03" w14:paraId="71DD1F03" w14:textId="77777777" w:rsidTr="00136CC9">
        <w:trPr>
          <w:tblHeader/>
        </w:trPr>
        <w:tc>
          <w:tcPr>
            <w:tcW w:w="1434" w:type="dxa"/>
            <w:shd w:val="clear" w:color="auto" w:fill="auto"/>
            <w:noWrap/>
            <w:tcMar>
              <w:top w:w="57" w:type="dxa"/>
              <w:bottom w:w="57" w:type="dxa"/>
            </w:tcMar>
            <w:hideMark/>
          </w:tcPr>
          <w:p w14:paraId="082EF592" w14:textId="4D09C181"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Gao et al. (2023-2)</w:t>
            </w:r>
            <w:r w:rsidR="009E26BC">
              <w:rPr>
                <w:rFonts w:asciiTheme="majorHAnsi" w:hAnsiTheme="majorHAnsi" w:cstheme="majorHAnsi"/>
                <w:color w:val="000000"/>
                <w:sz w:val="16"/>
                <w:szCs w:val="16"/>
                <w:lang w:val="en-US"/>
              </w:rPr>
              <w:t>, Australia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[34]</w:t>
            </w:r>
          </w:p>
        </w:tc>
        <w:tc>
          <w:tcPr>
            <w:tcW w:w="7513" w:type="dxa"/>
            <w:shd w:val="clear" w:color="auto" w:fill="auto"/>
            <w:tcMar>
              <w:top w:w="57" w:type="dxa"/>
              <w:bottom w:w="57" w:type="dxa"/>
            </w:tcMar>
            <w:hideMark/>
          </w:tcPr>
          <w:p w14:paraId="0C8FA482"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90 days after stroke:</w:t>
            </w:r>
            <w:r w:rsidRPr="007E56D0">
              <w:rPr>
                <w:rFonts w:asciiTheme="majorHAnsi" w:hAnsiTheme="majorHAnsi" w:cstheme="majorHAnsi"/>
                <w:color w:val="000000"/>
                <w:sz w:val="16"/>
                <w:szCs w:val="16"/>
                <w:lang w:val="en-US"/>
              </w:rPr>
              <w:br/>
              <w:t xml:space="preserve">Taken either from 1. INSPIRE registry cohort or 2. meta-analysis of clinical trials (HERMES collaboration)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 xml:space="preserve">Meta- analysis of register studies by Mohan et al. (2011) and Swedish cohort study by Pennlert et al. (2014)  + cohort study by Park &amp; Ovbiagele (2016)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and mortality after recurrence:</w:t>
            </w:r>
            <w:r w:rsidRPr="007E56D0">
              <w:rPr>
                <w:rFonts w:asciiTheme="majorHAnsi" w:hAnsiTheme="majorHAnsi" w:cstheme="majorHAnsi"/>
                <w:color w:val="000000"/>
                <w:sz w:val="16"/>
                <w:szCs w:val="16"/>
                <w:lang w:val="en-US"/>
              </w:rPr>
              <w:br/>
              <w:t xml:space="preserve">CEA-model by Fagan et al. (1998), which declares use of unpublished data from a Canadian drug study and Tenecteplase-RCT by Campbell et al. (2018) for recurrence mortality </w:t>
            </w:r>
            <w:r w:rsidRPr="007E56D0">
              <w:rPr>
                <w:rFonts w:asciiTheme="majorHAnsi" w:hAnsiTheme="majorHAnsi" w:cstheme="majorHAnsi"/>
                <w:color w:val="000000"/>
                <w:sz w:val="16"/>
                <w:szCs w:val="16"/>
                <w:lang w:val="en-US"/>
              </w:rPr>
              <w:br/>
            </w:r>
          </w:p>
        </w:tc>
        <w:tc>
          <w:tcPr>
            <w:tcW w:w="2835" w:type="dxa"/>
            <w:shd w:val="clear" w:color="auto" w:fill="auto"/>
            <w:tcMar>
              <w:top w:w="57" w:type="dxa"/>
              <w:bottom w:w="57" w:type="dxa"/>
            </w:tcMar>
            <w:hideMark/>
          </w:tcPr>
          <w:p w14:paraId="7DA6B7C0"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 xml:space="preserve">Study by Chaisinanunkul et al. (2015) combining time-trade-off utilities from mapping-study in UK stroke cohort with person-trade-off utilities from international clinical expert panel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Recurrence-specific utilities:</w:t>
            </w:r>
            <w:r w:rsidRPr="007E56D0">
              <w:rPr>
                <w:rFonts w:asciiTheme="majorHAnsi" w:hAnsiTheme="majorHAnsi" w:cstheme="majorHAnsi"/>
                <w:color w:val="000000"/>
                <w:sz w:val="16"/>
                <w:szCs w:val="16"/>
                <w:lang w:val="en-US"/>
              </w:rPr>
              <w:br/>
              <w:t>-</w:t>
            </w:r>
          </w:p>
        </w:tc>
        <w:tc>
          <w:tcPr>
            <w:tcW w:w="3260" w:type="dxa"/>
            <w:shd w:val="clear" w:color="auto" w:fill="auto"/>
            <w:tcMar>
              <w:top w:w="57" w:type="dxa"/>
              <w:bottom w:w="57" w:type="dxa"/>
            </w:tcMar>
            <w:hideMark/>
          </w:tcPr>
          <w:p w14:paraId="7FE43BF5"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Multiple sources incl. economic trial evaluation by Gao et al. (2019); Australian Department of Health; Australian stroke cohort costing study by Gloede et al (2014); Dutch stroke cohort costing study by Baeten et al. (2010)</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Informal care</w:t>
            </w:r>
            <w:r w:rsidRPr="007E56D0">
              <w:rPr>
                <w:rFonts w:asciiTheme="majorHAnsi" w:hAnsiTheme="majorHAnsi" w:cstheme="majorHAnsi"/>
                <w:sz w:val="16"/>
                <w:szCs w:val="16"/>
                <w:lang w:val="en-US"/>
              </w:rPr>
              <w:br/>
              <w:t>Australian stroke cohort costing study by Gloede et al (2014)</w:t>
            </w:r>
            <w:r w:rsidRPr="007E56D0">
              <w:rPr>
                <w:rFonts w:asciiTheme="majorHAnsi" w:hAnsiTheme="majorHAnsi" w:cstheme="majorHAnsi"/>
                <w:sz w:val="16"/>
                <w:szCs w:val="16"/>
                <w:lang w:val="en-US"/>
              </w:rPr>
              <w:br/>
            </w:r>
          </w:p>
        </w:tc>
      </w:tr>
      <w:tr w:rsidR="009C1B66" w:rsidRPr="004515C5" w14:paraId="7FC1509F" w14:textId="77777777" w:rsidTr="00136CC9">
        <w:trPr>
          <w:tblHeader/>
        </w:trPr>
        <w:tc>
          <w:tcPr>
            <w:tcW w:w="1434" w:type="dxa"/>
            <w:shd w:val="clear" w:color="auto" w:fill="auto"/>
            <w:tcMar>
              <w:top w:w="57" w:type="dxa"/>
              <w:bottom w:w="57" w:type="dxa"/>
            </w:tcMar>
            <w:hideMark/>
          </w:tcPr>
          <w:p w14:paraId="4AFB9D6A" w14:textId="1DD61DEF"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Khunte et al. (2023)</w:t>
            </w:r>
            <w:r w:rsidR="009E26BC">
              <w:rPr>
                <w:rFonts w:asciiTheme="majorHAnsi" w:hAnsiTheme="majorHAnsi" w:cstheme="majorHAnsi"/>
                <w:color w:val="000000"/>
                <w:sz w:val="16"/>
                <w:szCs w:val="16"/>
                <w:lang w:val="en-US"/>
              </w:rPr>
              <w:t>, USA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[35]</w:t>
            </w:r>
          </w:p>
        </w:tc>
        <w:tc>
          <w:tcPr>
            <w:tcW w:w="7513" w:type="dxa"/>
            <w:shd w:val="clear" w:color="auto" w:fill="auto"/>
            <w:tcMar>
              <w:top w:w="57" w:type="dxa"/>
              <w:bottom w:w="57" w:type="dxa"/>
            </w:tcMar>
            <w:hideMark/>
          </w:tcPr>
          <w:p w14:paraId="31D2D7EE"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Observational study by Seners et al. (2020)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w:t>
            </w:r>
            <w:r w:rsidRPr="007E56D0">
              <w:rPr>
                <w:rFonts w:asciiTheme="majorHAnsi" w:hAnsiTheme="majorHAnsi" w:cstheme="majorHAnsi"/>
                <w:color w:val="000000"/>
                <w:sz w:val="16"/>
                <w:szCs w:val="16"/>
                <w:lang w:val="en-US"/>
              </w:rPr>
              <w:br/>
              <w:t xml:space="preserve">Assumed 0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 risk:</w:t>
            </w:r>
            <w:r w:rsidRPr="007E56D0">
              <w:rPr>
                <w:rFonts w:asciiTheme="majorHAnsi" w:hAnsiTheme="majorHAnsi" w:cstheme="majorHAnsi"/>
                <w:color w:val="000000"/>
                <w:sz w:val="16"/>
                <w:szCs w:val="16"/>
                <w:lang w:val="en-US"/>
              </w:rPr>
              <w:br/>
              <w:t>Meta-analysis of register studies by Mohan et al. (2011) and Swedish cohort study by Pennlert et al. (2014)</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Probably the same as treatment efficacy at 90 days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US life tables 2017 + Swedish cohort study by Slot et al. (2009) and excess mortality added by retrospective hemorrhage study by Huhtakangas et al. (2015) </w:t>
            </w:r>
          </w:p>
        </w:tc>
        <w:tc>
          <w:tcPr>
            <w:tcW w:w="2835" w:type="dxa"/>
            <w:shd w:val="clear" w:color="auto" w:fill="auto"/>
            <w:tcMar>
              <w:top w:w="57" w:type="dxa"/>
              <w:bottom w:w="57" w:type="dxa"/>
            </w:tcMar>
            <w:hideMark/>
          </w:tcPr>
          <w:p w14:paraId="00B298EF"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r>
            <w:r w:rsidRPr="007E56D0">
              <w:rPr>
                <w:rFonts w:asciiTheme="majorHAnsi" w:hAnsiTheme="majorHAnsi" w:cstheme="majorHAnsi"/>
                <w:sz w:val="16"/>
                <w:szCs w:val="16"/>
                <w:lang w:val="en-US"/>
              </w:rPr>
              <w:t xml:space="preserve">Study by Chaisinanunkul et al. (2015) combining time-trade-off utilities from mapping-study in UK stroke cohort with person-trade-off utilities from international clinical expert panel </w:t>
            </w:r>
          </w:p>
        </w:tc>
        <w:tc>
          <w:tcPr>
            <w:tcW w:w="3260" w:type="dxa"/>
            <w:shd w:val="clear" w:color="auto" w:fill="auto"/>
            <w:tcMar>
              <w:top w:w="57" w:type="dxa"/>
              <w:bottom w:w="57" w:type="dxa"/>
            </w:tcMar>
            <w:hideMark/>
          </w:tcPr>
          <w:p w14:paraId="5EA1C9A3"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US trial costing study by Simpson et al. (2017); US modelling study / review by Kunz et al. (2018)</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Productivity loss</w:t>
            </w:r>
            <w:r w:rsidRPr="007E56D0">
              <w:rPr>
                <w:rFonts w:asciiTheme="majorHAnsi" w:hAnsiTheme="majorHAnsi" w:cstheme="majorHAnsi"/>
                <w:sz w:val="16"/>
                <w:szCs w:val="16"/>
                <w:lang w:val="en-US"/>
              </w:rPr>
              <w:br/>
              <w:t>US Census Bureau 2020; US Bureau of Labor Statistics 2020; Japanese stroke cohort study by Tanaka et al. (2014)</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r>
          </w:p>
        </w:tc>
      </w:tr>
      <w:tr w:rsidR="009C1B66" w:rsidRPr="001E2D03" w14:paraId="0D2C4EB8" w14:textId="77777777" w:rsidTr="00136CC9">
        <w:trPr>
          <w:tblHeader/>
        </w:trPr>
        <w:tc>
          <w:tcPr>
            <w:tcW w:w="1434" w:type="dxa"/>
            <w:shd w:val="clear" w:color="auto" w:fill="auto"/>
            <w:tcMar>
              <w:top w:w="57" w:type="dxa"/>
              <w:bottom w:w="57" w:type="dxa"/>
            </w:tcMar>
            <w:hideMark/>
          </w:tcPr>
          <w:p w14:paraId="363EEA55" w14:textId="495F4550"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Moreu et al. (2023)</w:t>
            </w:r>
            <w:r w:rsidR="009E26BC">
              <w:rPr>
                <w:rFonts w:asciiTheme="majorHAnsi" w:hAnsiTheme="majorHAnsi" w:cstheme="majorHAnsi"/>
                <w:color w:val="000000"/>
                <w:sz w:val="16"/>
                <w:szCs w:val="16"/>
                <w:lang w:val="en-US"/>
              </w:rPr>
              <w:t>, Europe</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[36]</w:t>
            </w:r>
          </w:p>
        </w:tc>
        <w:tc>
          <w:tcPr>
            <w:tcW w:w="7513" w:type="dxa"/>
            <w:shd w:val="clear" w:color="auto" w:fill="auto"/>
            <w:tcMar>
              <w:top w:w="57" w:type="dxa"/>
              <w:bottom w:w="57" w:type="dxa"/>
            </w:tcMar>
            <w:hideMark/>
          </w:tcPr>
          <w:p w14:paraId="26B0A169"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RESCUE-JAPAN LIMIT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w:t>
            </w:r>
            <w:r w:rsidRPr="007E56D0">
              <w:rPr>
                <w:rFonts w:asciiTheme="majorHAnsi" w:hAnsiTheme="majorHAnsi" w:cstheme="majorHAnsi"/>
                <w:color w:val="000000"/>
                <w:sz w:val="16"/>
                <w:szCs w:val="16"/>
                <w:lang w:val="en-US"/>
              </w:rPr>
              <w:br/>
              <w:t xml:space="preserve">Assumed 0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 risk:</w:t>
            </w:r>
            <w:r w:rsidRPr="007E56D0">
              <w:rPr>
                <w:rFonts w:asciiTheme="majorHAnsi" w:hAnsiTheme="majorHAnsi" w:cstheme="majorHAnsi"/>
                <w:color w:val="000000"/>
                <w:sz w:val="16"/>
                <w:szCs w:val="16"/>
                <w:lang w:val="en-US"/>
              </w:rPr>
              <w:br/>
              <w:t xml:space="preserve">Swedish cohort study by Slot et al. (2009) + UK modelling study by Ganesalingam et al. (2015)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CEA-model by Fagan et al. (1998), which declares use of unpublished data from a Canadian drug study</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lastRenderedPageBreak/>
              <w:t>Non-stroke mortality:</w:t>
            </w:r>
            <w:r w:rsidRPr="007E56D0">
              <w:rPr>
                <w:rFonts w:asciiTheme="majorHAnsi" w:hAnsiTheme="majorHAnsi" w:cstheme="majorHAnsi"/>
                <w:color w:val="000000"/>
                <w:sz w:val="16"/>
                <w:szCs w:val="16"/>
                <w:lang w:val="en-US"/>
              </w:rPr>
              <w:br/>
              <w:t xml:space="preserve">World Health Organization + prospective cohort mRS mapping study by Hong et al. (2009) </w:t>
            </w:r>
          </w:p>
        </w:tc>
        <w:tc>
          <w:tcPr>
            <w:tcW w:w="2835" w:type="dxa"/>
            <w:shd w:val="clear" w:color="auto" w:fill="auto"/>
            <w:tcMar>
              <w:top w:w="57" w:type="dxa"/>
              <w:bottom w:w="57" w:type="dxa"/>
            </w:tcMar>
            <w:hideMark/>
          </w:tcPr>
          <w:p w14:paraId="612D0D83"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mRS-specific utilities:</w:t>
            </w:r>
            <w:r w:rsidRPr="007E56D0">
              <w:rPr>
                <w:rFonts w:asciiTheme="majorHAnsi" w:hAnsiTheme="majorHAnsi" w:cstheme="majorHAnsi"/>
                <w:color w:val="000000"/>
                <w:sz w:val="16"/>
                <w:szCs w:val="16"/>
                <w:lang w:val="en-US"/>
              </w:rPr>
              <w:br/>
              <w:t>Study by Rivero-Arias et al. (2010), mapping EQ-5D with UK-tariffs to mRS-scores in population-based UK OXVASC-study</w:t>
            </w:r>
          </w:p>
        </w:tc>
        <w:tc>
          <w:tcPr>
            <w:tcW w:w="3260" w:type="dxa"/>
            <w:shd w:val="clear" w:color="auto" w:fill="auto"/>
            <w:tcMar>
              <w:top w:w="57" w:type="dxa"/>
              <w:bottom w:w="57" w:type="dxa"/>
            </w:tcMar>
            <w:hideMark/>
          </w:tcPr>
          <w:p w14:paraId="186C48AA"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Multiple sources incl. country-specific costing/modelling studies, thrombolysis costs used for EVT</w:t>
            </w:r>
          </w:p>
        </w:tc>
      </w:tr>
      <w:tr w:rsidR="009C1B66" w:rsidRPr="004515C5" w14:paraId="0A93047A" w14:textId="77777777" w:rsidTr="00136CC9">
        <w:trPr>
          <w:tblHeader/>
        </w:trPr>
        <w:tc>
          <w:tcPr>
            <w:tcW w:w="1434" w:type="dxa"/>
            <w:shd w:val="clear" w:color="auto" w:fill="auto"/>
            <w:tcMar>
              <w:top w:w="57" w:type="dxa"/>
              <w:bottom w:w="57" w:type="dxa"/>
            </w:tcMar>
            <w:hideMark/>
          </w:tcPr>
          <w:p w14:paraId="77D49BB8" w14:textId="1D3A4F2B"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Ospel et al. (2023-1)</w:t>
            </w:r>
            <w:r w:rsidR="009E26BC">
              <w:rPr>
                <w:rFonts w:asciiTheme="majorHAnsi" w:hAnsiTheme="majorHAnsi" w:cstheme="majorHAnsi"/>
                <w:color w:val="000000"/>
                <w:sz w:val="16"/>
                <w:szCs w:val="16"/>
                <w:lang w:val="en-US"/>
              </w:rPr>
              <w:t>, USA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[37]</w:t>
            </w:r>
          </w:p>
        </w:tc>
        <w:tc>
          <w:tcPr>
            <w:tcW w:w="7513" w:type="dxa"/>
            <w:shd w:val="clear" w:color="auto" w:fill="auto"/>
            <w:tcMar>
              <w:top w:w="57" w:type="dxa"/>
              <w:bottom w:w="57" w:type="dxa"/>
            </w:tcMar>
            <w:hideMark/>
          </w:tcPr>
          <w:p w14:paraId="3266C87F"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HERMES RCT-meta-analysis collab subgroup study by McDonough et al. (2022)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 risk:</w:t>
            </w:r>
            <w:r w:rsidRPr="007E56D0">
              <w:rPr>
                <w:rFonts w:asciiTheme="majorHAnsi" w:hAnsiTheme="majorHAnsi" w:cstheme="majorHAnsi"/>
                <w:color w:val="000000"/>
                <w:sz w:val="16"/>
                <w:szCs w:val="16"/>
                <w:lang w:val="en-US"/>
              </w:rPr>
              <w:br/>
              <w:t>Swedish cohort study by Pennlert et al. (2014)</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HERMES meta-analysis control arm</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US life tables by Arias et al. (2017) + RCT-based mRS mapping by Hong/Saver (2010) </w:t>
            </w:r>
          </w:p>
        </w:tc>
        <w:tc>
          <w:tcPr>
            <w:tcW w:w="2835" w:type="dxa"/>
            <w:shd w:val="clear" w:color="auto" w:fill="auto"/>
            <w:tcMar>
              <w:top w:w="57" w:type="dxa"/>
              <w:bottom w:w="57" w:type="dxa"/>
            </w:tcMar>
            <w:hideMark/>
          </w:tcPr>
          <w:p w14:paraId="2C268448"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r>
            <w:r w:rsidRPr="007E56D0">
              <w:rPr>
                <w:rFonts w:asciiTheme="majorHAnsi" w:hAnsiTheme="majorHAnsi" w:cstheme="majorHAnsi"/>
                <w:sz w:val="16"/>
                <w:szCs w:val="16"/>
                <w:lang w:val="en-US"/>
              </w:rPr>
              <w:t xml:space="preserve">Study by Chaisinanunkul et al. (2015) combining time-trade-off utilities from mapping-study in UK stroke cohort with person-trade-off utilities from international clinical expert panel </w:t>
            </w:r>
          </w:p>
        </w:tc>
        <w:tc>
          <w:tcPr>
            <w:tcW w:w="3260" w:type="dxa"/>
            <w:shd w:val="clear" w:color="auto" w:fill="auto"/>
            <w:tcMar>
              <w:top w:w="57" w:type="dxa"/>
              <w:bottom w:w="57" w:type="dxa"/>
            </w:tcMar>
            <w:hideMark/>
          </w:tcPr>
          <w:p w14:paraId="5CAD9752"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US trial costing study by Shireman et al. (2017); UK trial costing study by Dawson et al. (2007); US National Inpatient Sample; UK CEA modelling study by Chambers et al. (2002)</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Productivity losses</w:t>
            </w:r>
            <w:r w:rsidRPr="007E56D0">
              <w:rPr>
                <w:rFonts w:asciiTheme="majorHAnsi" w:hAnsiTheme="majorHAnsi" w:cstheme="majorHAnsi"/>
                <w:sz w:val="16"/>
                <w:szCs w:val="16"/>
                <w:lang w:val="en-US"/>
              </w:rPr>
              <w:br/>
              <w:t>- Informal care</w:t>
            </w:r>
            <w:r w:rsidRPr="007E56D0">
              <w:rPr>
                <w:rFonts w:asciiTheme="majorHAnsi" w:hAnsiTheme="majorHAnsi" w:cstheme="majorHAnsi"/>
                <w:sz w:val="16"/>
                <w:szCs w:val="16"/>
                <w:lang w:val="en-US"/>
              </w:rPr>
              <w:br/>
              <w:t>Multiple sources incl. Japanese cohort study by Tanaka et al. 2014; Canadian community study by Vyas et al. (2016); US Census Bureau; National Bureau of Labor Statistics; US self-report longitudinal study by Hickenbottom et al. (2002)</w:t>
            </w:r>
            <w:r w:rsidRPr="007E56D0">
              <w:rPr>
                <w:rFonts w:asciiTheme="majorHAnsi" w:hAnsiTheme="majorHAnsi" w:cstheme="majorHAnsi"/>
                <w:sz w:val="16"/>
                <w:szCs w:val="16"/>
                <w:lang w:val="en-US"/>
              </w:rPr>
              <w:br/>
            </w:r>
          </w:p>
        </w:tc>
      </w:tr>
      <w:tr w:rsidR="009C1B66" w:rsidRPr="004515C5" w14:paraId="1C064EC3" w14:textId="77777777" w:rsidTr="00136CC9">
        <w:trPr>
          <w:tblHeader/>
        </w:trPr>
        <w:tc>
          <w:tcPr>
            <w:tcW w:w="1434" w:type="dxa"/>
            <w:shd w:val="clear" w:color="auto" w:fill="auto"/>
            <w:tcMar>
              <w:top w:w="57" w:type="dxa"/>
              <w:bottom w:w="57" w:type="dxa"/>
            </w:tcMar>
            <w:hideMark/>
          </w:tcPr>
          <w:p w14:paraId="451F6E13" w14:textId="0524D154"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Ospel et al. (2023-2)</w:t>
            </w:r>
            <w:r w:rsidR="009E26BC">
              <w:rPr>
                <w:rFonts w:asciiTheme="majorHAnsi" w:hAnsiTheme="majorHAnsi" w:cstheme="majorHAnsi"/>
                <w:color w:val="000000"/>
                <w:sz w:val="16"/>
                <w:szCs w:val="16"/>
                <w:lang w:val="en-US"/>
              </w:rPr>
              <w:t>, USA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[38]</w:t>
            </w:r>
          </w:p>
        </w:tc>
        <w:tc>
          <w:tcPr>
            <w:tcW w:w="7513" w:type="dxa"/>
            <w:shd w:val="clear" w:color="auto" w:fill="auto"/>
            <w:tcMar>
              <w:top w:w="57" w:type="dxa"/>
              <w:bottom w:w="57" w:type="dxa"/>
            </w:tcMar>
            <w:hideMark/>
          </w:tcPr>
          <w:p w14:paraId="61CE99C1"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RESCUE-JAPAN LIMIT trial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 risk:</w:t>
            </w:r>
            <w:r w:rsidRPr="007E56D0">
              <w:rPr>
                <w:rFonts w:asciiTheme="majorHAnsi" w:hAnsiTheme="majorHAnsi" w:cstheme="majorHAnsi"/>
                <w:color w:val="000000"/>
                <w:sz w:val="16"/>
                <w:szCs w:val="16"/>
                <w:lang w:val="en-US"/>
              </w:rPr>
              <w:br/>
              <w:t>Swedish prospective cohort study by Pennlert et al. (2014)</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HERMES meta-analysis control arm</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US Life tables by Arias et al. (2017) + RCT-based mRS mapping Hong/Saver (2010) </w:t>
            </w:r>
          </w:p>
        </w:tc>
        <w:tc>
          <w:tcPr>
            <w:tcW w:w="2835" w:type="dxa"/>
            <w:shd w:val="clear" w:color="auto" w:fill="auto"/>
            <w:tcMar>
              <w:top w:w="57" w:type="dxa"/>
              <w:bottom w:w="57" w:type="dxa"/>
            </w:tcMar>
            <w:hideMark/>
          </w:tcPr>
          <w:p w14:paraId="4DED6C8F"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r>
            <w:r w:rsidRPr="007E56D0">
              <w:rPr>
                <w:rFonts w:asciiTheme="majorHAnsi" w:hAnsiTheme="majorHAnsi" w:cstheme="majorHAnsi"/>
                <w:sz w:val="16"/>
                <w:szCs w:val="16"/>
                <w:lang w:val="en-US"/>
              </w:rPr>
              <w:t xml:space="preserve">Study by Chaisinanunkul et al. (2015) combining time-trade-off utilities from mapping-study in UK stroke cohort with person-trade-off utilities from international clinical expert panel </w:t>
            </w:r>
          </w:p>
        </w:tc>
        <w:tc>
          <w:tcPr>
            <w:tcW w:w="3260" w:type="dxa"/>
            <w:shd w:val="clear" w:color="auto" w:fill="auto"/>
            <w:tcMar>
              <w:top w:w="57" w:type="dxa"/>
              <w:bottom w:w="57" w:type="dxa"/>
            </w:tcMar>
            <w:hideMark/>
          </w:tcPr>
          <w:p w14:paraId="286A95EC"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US trial costing study by Shireman et al. (2017); UK trial costing study by Dawson et al. (2007); US National Inpatient Sample; UK CEA modelling study by Chambers et al. (2002)</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Productivity losses</w:t>
            </w:r>
            <w:r w:rsidRPr="007E56D0">
              <w:rPr>
                <w:rFonts w:asciiTheme="majorHAnsi" w:hAnsiTheme="majorHAnsi" w:cstheme="majorHAnsi"/>
                <w:sz w:val="16"/>
                <w:szCs w:val="16"/>
                <w:lang w:val="en-US"/>
              </w:rPr>
              <w:br/>
              <w:t>- Informal care</w:t>
            </w:r>
            <w:r w:rsidRPr="007E56D0">
              <w:rPr>
                <w:rFonts w:asciiTheme="majorHAnsi" w:hAnsiTheme="majorHAnsi" w:cstheme="majorHAnsi"/>
                <w:sz w:val="16"/>
                <w:szCs w:val="16"/>
                <w:lang w:val="en-US"/>
              </w:rPr>
              <w:br/>
              <w:t>Multiple sources incl. Japanese cohort study by Tanaka et al. (2014); Canadian community study by Vyas et al. (2016); US Census Bureau; National Bureau of Labor Statistics; US self-report longitudinal study by Hickenbottom et al. (2002)</w:t>
            </w:r>
            <w:r w:rsidRPr="007E56D0">
              <w:rPr>
                <w:rFonts w:asciiTheme="majorHAnsi" w:hAnsiTheme="majorHAnsi" w:cstheme="majorHAnsi"/>
                <w:sz w:val="16"/>
                <w:szCs w:val="16"/>
                <w:lang w:val="en-US"/>
              </w:rPr>
              <w:br/>
            </w:r>
          </w:p>
        </w:tc>
      </w:tr>
      <w:tr w:rsidR="009C1B66" w:rsidRPr="004515C5" w14:paraId="72DDAC59" w14:textId="77777777" w:rsidTr="00136CC9">
        <w:trPr>
          <w:tblHeader/>
        </w:trPr>
        <w:tc>
          <w:tcPr>
            <w:tcW w:w="1434" w:type="dxa"/>
            <w:shd w:val="clear" w:color="auto" w:fill="auto"/>
            <w:noWrap/>
            <w:tcMar>
              <w:top w:w="57" w:type="dxa"/>
              <w:bottom w:w="57" w:type="dxa"/>
            </w:tcMar>
            <w:hideMark/>
          </w:tcPr>
          <w:p w14:paraId="39084204" w14:textId="48F8447B"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Sanmartin et al. (2023)</w:t>
            </w:r>
            <w:r w:rsidR="009E26BC">
              <w:rPr>
                <w:rFonts w:asciiTheme="majorHAnsi" w:hAnsiTheme="majorHAnsi" w:cstheme="majorHAnsi"/>
                <w:color w:val="000000"/>
                <w:sz w:val="16"/>
                <w:szCs w:val="16"/>
                <w:lang w:val="en-US"/>
              </w:rPr>
              <w:t>, USA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[39]</w:t>
            </w:r>
          </w:p>
        </w:tc>
        <w:tc>
          <w:tcPr>
            <w:tcW w:w="7513" w:type="dxa"/>
            <w:shd w:val="clear" w:color="auto" w:fill="auto"/>
            <w:tcMar>
              <w:top w:w="57" w:type="dxa"/>
              <w:bottom w:w="57" w:type="dxa"/>
            </w:tcMar>
            <w:hideMark/>
          </w:tcPr>
          <w:p w14:paraId="0CD96F9E"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RESCUE-JAPAN LIMIT trial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Swedish cohort study by Pennlert et al. (2014)</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lastRenderedPageBreak/>
              <w:br/>
              <w:t>TPs after recurrence</w:t>
            </w:r>
            <w:r w:rsidRPr="007E56D0">
              <w:rPr>
                <w:rFonts w:asciiTheme="majorHAnsi" w:hAnsiTheme="majorHAnsi" w:cstheme="majorHAnsi"/>
                <w:color w:val="000000"/>
                <w:sz w:val="16"/>
                <w:szCs w:val="16"/>
                <w:lang w:val="en-US"/>
              </w:rPr>
              <w:br/>
              <w:t>Probably as in short-term model in corresponding treatment arm without lower mRS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Peultier et al. (2020), based on simulation model and US life-tables Arias et al. (2022)</w:t>
            </w:r>
          </w:p>
        </w:tc>
        <w:tc>
          <w:tcPr>
            <w:tcW w:w="2835" w:type="dxa"/>
            <w:shd w:val="clear" w:color="auto" w:fill="auto"/>
            <w:tcMar>
              <w:top w:w="57" w:type="dxa"/>
              <w:bottom w:w="57" w:type="dxa"/>
            </w:tcMar>
            <w:hideMark/>
          </w:tcPr>
          <w:p w14:paraId="0C9BC3EA"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mRS-specific utilities:</w:t>
            </w:r>
            <w:r w:rsidRPr="007E56D0">
              <w:rPr>
                <w:rFonts w:asciiTheme="majorHAnsi" w:hAnsiTheme="majorHAnsi" w:cstheme="majorHAnsi"/>
                <w:color w:val="000000"/>
                <w:sz w:val="16"/>
                <w:szCs w:val="16"/>
                <w:lang w:val="en-US"/>
              </w:rPr>
              <w:br/>
              <w:t>Modelling study by Peultier et al. (2014), based on US study by Gage et al. (1998), eliciting utility values in patients with atrial fibrillation; distribution taken from CEA-models cited in Peultier et al. (2014)</w:t>
            </w:r>
          </w:p>
        </w:tc>
        <w:tc>
          <w:tcPr>
            <w:tcW w:w="3260" w:type="dxa"/>
            <w:shd w:val="clear" w:color="auto" w:fill="auto"/>
            <w:tcMar>
              <w:top w:w="57" w:type="dxa"/>
              <w:bottom w:w="57" w:type="dxa"/>
            </w:tcMar>
            <w:hideMark/>
          </w:tcPr>
          <w:p w14:paraId="4EB78E5F"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Multiple sources incl. US National Inpatient Sample data; US cost-effectiveness models by Kunz et al. (2016), which is based on US National Inpatient Sample, and US CEA-modelling study by Wu et al. (2020)</w:t>
            </w:r>
          </w:p>
        </w:tc>
      </w:tr>
      <w:tr w:rsidR="009C1B66" w:rsidRPr="004515C5" w14:paraId="04EB3CBC" w14:textId="77777777" w:rsidTr="00136CC9">
        <w:trPr>
          <w:tblHeader/>
        </w:trPr>
        <w:tc>
          <w:tcPr>
            <w:tcW w:w="1434" w:type="dxa"/>
            <w:shd w:val="clear" w:color="auto" w:fill="auto"/>
            <w:noWrap/>
            <w:tcMar>
              <w:top w:w="57" w:type="dxa"/>
              <w:bottom w:w="57" w:type="dxa"/>
            </w:tcMar>
            <w:hideMark/>
          </w:tcPr>
          <w:p w14:paraId="3D29CA5E" w14:textId="0197D973"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Schwarting et al. (2023)</w:t>
            </w:r>
            <w:r w:rsidR="009E26BC">
              <w:rPr>
                <w:rFonts w:asciiTheme="majorHAnsi" w:hAnsiTheme="majorHAnsi" w:cstheme="majorHAnsi"/>
                <w:color w:val="000000"/>
                <w:sz w:val="16"/>
                <w:szCs w:val="16"/>
                <w:lang w:val="en-US"/>
              </w:rPr>
              <w:t xml:space="preserve">, </w:t>
            </w:r>
            <w:r w:rsidR="009E26BC" w:rsidRPr="009E26BC">
              <w:rPr>
                <w:rFonts w:asciiTheme="majorHAnsi" w:hAnsiTheme="majorHAnsi" w:cstheme="majorHAnsi"/>
                <w:color w:val="000000"/>
                <w:sz w:val="16"/>
                <w:szCs w:val="16"/>
                <w:lang w:val="en-US"/>
              </w:rPr>
              <w:t xml:space="preserve">not stated but probably USA </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[40]</w:t>
            </w:r>
          </w:p>
        </w:tc>
        <w:tc>
          <w:tcPr>
            <w:tcW w:w="7513" w:type="dxa"/>
            <w:shd w:val="clear" w:color="auto" w:fill="auto"/>
            <w:tcMar>
              <w:top w:w="57" w:type="dxa"/>
              <w:bottom w:w="57" w:type="dxa"/>
            </w:tcMar>
            <w:hideMark/>
          </w:tcPr>
          <w:p w14:paraId="074551B1"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ATTENTION, BAOCHE, BASICS and BEST RCTs, incl. occurrence of basilar stenosis, stenting and mRS states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 xml:space="preserve">Assumed 0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 xml:space="preserve">Swedish cohort study by Pennlert et al. (2014) + cohort study by Gulli et al. (2009)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Control arm of HERMES RCT-meta-analysis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US life tables by Arias et al. (2017) + cohort study by Hong et al. (2014) </w:t>
            </w:r>
          </w:p>
        </w:tc>
        <w:tc>
          <w:tcPr>
            <w:tcW w:w="2835" w:type="dxa"/>
            <w:shd w:val="clear" w:color="auto" w:fill="auto"/>
            <w:tcMar>
              <w:top w:w="57" w:type="dxa"/>
              <w:bottom w:w="57" w:type="dxa"/>
            </w:tcMar>
            <w:hideMark/>
          </w:tcPr>
          <w:p w14:paraId="095BA91A"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 xml:space="preserve">Study by Chaisinanunkul et al. (2015) combining time-trade-off utilities from mapping-study in UK stroke cohort with person-trade-off utilities from international clinical expert panel </w:t>
            </w:r>
          </w:p>
        </w:tc>
        <w:tc>
          <w:tcPr>
            <w:tcW w:w="3260" w:type="dxa"/>
            <w:shd w:val="clear" w:color="auto" w:fill="auto"/>
            <w:tcMar>
              <w:top w:w="57" w:type="dxa"/>
              <w:bottom w:w="57" w:type="dxa"/>
            </w:tcMar>
            <w:hideMark/>
          </w:tcPr>
          <w:p w14:paraId="1C730DF5"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US claims data by Mu et al. (2016); US trial costing study by Shireman et al. (2017); US/EU CEA modelling study by Chambers et al. (2002); manufacturer prices by Stryker</w:t>
            </w:r>
          </w:p>
        </w:tc>
      </w:tr>
      <w:tr w:rsidR="009C1B66" w:rsidRPr="004515C5" w14:paraId="2CD56350" w14:textId="77777777" w:rsidTr="00136CC9">
        <w:trPr>
          <w:tblHeader/>
        </w:trPr>
        <w:tc>
          <w:tcPr>
            <w:tcW w:w="1434" w:type="dxa"/>
            <w:shd w:val="clear" w:color="auto" w:fill="auto"/>
            <w:tcMar>
              <w:top w:w="57" w:type="dxa"/>
              <w:bottom w:w="57" w:type="dxa"/>
            </w:tcMar>
            <w:hideMark/>
          </w:tcPr>
          <w:p w14:paraId="4F85ABC6" w14:textId="6B00ECF3"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Wang et al. (2023)</w:t>
            </w:r>
            <w:r w:rsidR="00225A46">
              <w:rPr>
                <w:rFonts w:asciiTheme="majorHAnsi" w:hAnsiTheme="majorHAnsi" w:cstheme="majorHAnsi"/>
                <w:color w:val="000000"/>
                <w:sz w:val="16"/>
                <w:szCs w:val="16"/>
                <w:lang w:val="en-US"/>
              </w:rPr>
              <w:t>, China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[41]</w:t>
            </w:r>
          </w:p>
        </w:tc>
        <w:tc>
          <w:tcPr>
            <w:tcW w:w="7513" w:type="dxa"/>
            <w:shd w:val="clear" w:color="auto" w:fill="auto"/>
            <w:tcMar>
              <w:top w:w="57" w:type="dxa"/>
              <w:bottom w:w="57" w:type="dxa"/>
            </w:tcMar>
            <w:hideMark/>
          </w:tcPr>
          <w:p w14:paraId="561B9C9A"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Treatment efficacy at 90 days after stroke:</w:t>
            </w:r>
            <w:r w:rsidRPr="007E56D0">
              <w:rPr>
                <w:rFonts w:asciiTheme="majorHAnsi" w:hAnsiTheme="majorHAnsi" w:cstheme="majorHAnsi"/>
                <w:sz w:val="16"/>
                <w:szCs w:val="16"/>
                <w:lang w:val="en-US"/>
              </w:rPr>
              <w:br/>
              <w:t xml:space="preserve">Self conducted meta-analysis including BEST, BASICS, BAOCHE and ATTENTION trials </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Long-term TPs without recurrence/death:</w:t>
            </w:r>
            <w:r w:rsidRPr="007E56D0">
              <w:rPr>
                <w:rFonts w:asciiTheme="majorHAnsi" w:hAnsiTheme="majorHAnsi" w:cstheme="majorHAnsi"/>
                <w:sz w:val="16"/>
                <w:szCs w:val="16"/>
                <w:lang w:val="en-US"/>
              </w:rPr>
              <w:br/>
              <w:t>Assumed 0</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Recurrence risk:</w:t>
            </w:r>
            <w:r w:rsidRPr="007E56D0">
              <w:rPr>
                <w:rFonts w:asciiTheme="majorHAnsi" w:hAnsiTheme="majorHAnsi" w:cstheme="majorHAnsi"/>
                <w:sz w:val="16"/>
                <w:szCs w:val="16"/>
                <w:lang w:val="en-US"/>
              </w:rPr>
              <w:br/>
              <w:t>Modelling study by Pan et al. (2018) using Chinese stroke registry data</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TPs after recurrence:</w:t>
            </w:r>
            <w:r w:rsidRPr="007E56D0">
              <w:rPr>
                <w:rFonts w:asciiTheme="majorHAnsi" w:hAnsiTheme="majorHAnsi" w:cstheme="majorHAnsi"/>
                <w:sz w:val="16"/>
                <w:szCs w:val="16"/>
                <w:lang w:val="en-US"/>
              </w:rPr>
              <w:br/>
              <w:t>Modelling study by Pan et al. (2017) utilizing RCT-data</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Non-stroke mortality:</w:t>
            </w:r>
            <w:r w:rsidRPr="007E56D0">
              <w:rPr>
                <w:rFonts w:asciiTheme="majorHAnsi" w:hAnsiTheme="majorHAnsi" w:cstheme="majorHAnsi"/>
                <w:sz w:val="16"/>
                <w:szCs w:val="16"/>
                <w:lang w:val="en-US"/>
              </w:rPr>
              <w:br/>
              <w:t xml:space="preserve">Chinese Health Statistics Yearbook + French modelling study by Kabore et al. (2019) using OXVASC data; </w:t>
            </w:r>
          </w:p>
          <w:p w14:paraId="7C539955"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disabling mRS-specific mortality:</w:t>
            </w:r>
            <w:r w:rsidRPr="007E56D0">
              <w:rPr>
                <w:rFonts w:asciiTheme="majorHAnsi" w:hAnsiTheme="majorHAnsi" w:cstheme="majorHAnsi"/>
                <w:sz w:val="16"/>
                <w:szCs w:val="16"/>
                <w:lang w:val="en-US"/>
              </w:rPr>
              <w:br/>
              <w:t>Pan et al. (2018) using Chinese stroke registry data</w:t>
            </w:r>
          </w:p>
        </w:tc>
        <w:tc>
          <w:tcPr>
            <w:tcW w:w="2835" w:type="dxa"/>
            <w:shd w:val="clear" w:color="auto" w:fill="auto"/>
            <w:tcMar>
              <w:top w:w="57" w:type="dxa"/>
              <w:bottom w:w="57" w:type="dxa"/>
            </w:tcMar>
            <w:hideMark/>
          </w:tcPr>
          <w:p w14:paraId="2E2E4678"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 and recurrence specific utilities:</w:t>
            </w:r>
            <w:r w:rsidRPr="007E56D0">
              <w:rPr>
                <w:rFonts w:asciiTheme="majorHAnsi" w:hAnsiTheme="majorHAnsi" w:cstheme="majorHAnsi"/>
                <w:color w:val="000000"/>
                <w:sz w:val="16"/>
                <w:szCs w:val="16"/>
                <w:lang w:val="en-US"/>
              </w:rPr>
              <w:br/>
              <w:t>Modelling study by Pan et al. (2020), using Chinese RCT data assessing EQ-5D with Chinese utilities by Wang et al. (2014)</w:t>
            </w:r>
          </w:p>
        </w:tc>
        <w:tc>
          <w:tcPr>
            <w:tcW w:w="3260" w:type="dxa"/>
            <w:shd w:val="clear" w:color="auto" w:fill="auto"/>
            <w:tcMar>
              <w:top w:w="57" w:type="dxa"/>
              <w:bottom w:w="57" w:type="dxa"/>
            </w:tcMar>
            <w:hideMark/>
          </w:tcPr>
          <w:p w14:paraId="40523559"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Chinese stroke registry; Chinese CEA-modelling study cited by Han et al. (2022); Chinese CEA-modelling study by Pan et al. (2018) cited by Ni et al. (2022); micro-costing applied</w:t>
            </w:r>
            <w:r w:rsidRPr="007E56D0">
              <w:rPr>
                <w:rFonts w:asciiTheme="majorHAnsi" w:hAnsiTheme="majorHAnsi" w:cstheme="majorHAnsi"/>
                <w:sz w:val="16"/>
                <w:szCs w:val="16"/>
                <w:lang w:val="en-US"/>
              </w:rPr>
              <w:br/>
            </w:r>
          </w:p>
        </w:tc>
      </w:tr>
      <w:tr w:rsidR="009C1B66" w:rsidRPr="004515C5" w14:paraId="6281B8B5" w14:textId="77777777" w:rsidTr="00136CC9">
        <w:trPr>
          <w:tblHeader/>
        </w:trPr>
        <w:tc>
          <w:tcPr>
            <w:tcW w:w="1434" w:type="dxa"/>
            <w:shd w:val="clear" w:color="auto" w:fill="auto"/>
            <w:tcMar>
              <w:top w:w="57" w:type="dxa"/>
              <w:bottom w:w="57" w:type="dxa"/>
            </w:tcMar>
            <w:hideMark/>
          </w:tcPr>
          <w:p w14:paraId="114FAE96" w14:textId="0DEAEC8C"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Xia et al. (2023)</w:t>
            </w:r>
            <w:r w:rsidR="00225A46">
              <w:rPr>
                <w:rFonts w:asciiTheme="majorHAnsi" w:hAnsiTheme="majorHAnsi" w:cstheme="majorHAnsi"/>
                <w:color w:val="000000"/>
                <w:sz w:val="16"/>
                <w:szCs w:val="16"/>
                <w:lang w:val="en-US"/>
              </w:rPr>
              <w:t>, China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[42]</w:t>
            </w:r>
          </w:p>
        </w:tc>
        <w:tc>
          <w:tcPr>
            <w:tcW w:w="7513" w:type="dxa"/>
            <w:shd w:val="clear" w:color="auto" w:fill="auto"/>
            <w:tcMar>
              <w:top w:w="57" w:type="dxa"/>
              <w:bottom w:w="57" w:type="dxa"/>
            </w:tcMar>
            <w:hideMark/>
          </w:tcPr>
          <w:p w14:paraId="38E95EA6"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BAOCHE-trial , for sensitivity analysis: RCT-meta-analysis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IVT proportion in both arms: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lastRenderedPageBreak/>
              <w:t xml:space="preserve">BAOCHE-trial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sICH-incidence in both arms:</w:t>
            </w:r>
            <w:r w:rsidRPr="007E56D0">
              <w:rPr>
                <w:rFonts w:asciiTheme="majorHAnsi" w:hAnsiTheme="majorHAnsi" w:cstheme="majorHAnsi"/>
                <w:color w:val="000000"/>
                <w:sz w:val="16"/>
                <w:szCs w:val="16"/>
                <w:lang w:val="en-US"/>
              </w:rPr>
              <w:br/>
              <w:t xml:space="preserve">BAOCHE-trial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w:t>
            </w:r>
            <w:r w:rsidRPr="007E56D0">
              <w:rPr>
                <w:rFonts w:asciiTheme="majorHAnsi" w:hAnsiTheme="majorHAnsi" w:cstheme="majorHAnsi"/>
                <w:color w:val="000000"/>
                <w:sz w:val="16"/>
                <w:szCs w:val="16"/>
                <w:lang w:val="en-US"/>
              </w:rPr>
              <w:br/>
              <w:t>Assumed 0 (UK modelling study by Ganesalingam et al. (2015))</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SCHARR Alteplase HTA cited by UK modelling study by Ganesalingam et al. (2015) + Chinese cohort study by Xu et al. (2007)</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SCHARR Alteplase HTA and input article by Morris (UK modelling study by Ganesalingam et al. (2015))</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SCHARR Alteplase HTA, cited by UK modelling study by Ganesalingam et al. (2015), Chinese Health Statistics </w:t>
            </w:r>
          </w:p>
          <w:p w14:paraId="6BE0DBF2"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Yearbook + Chinese modelling study by Han et al. (2022)</w:t>
            </w:r>
          </w:p>
        </w:tc>
        <w:tc>
          <w:tcPr>
            <w:tcW w:w="2835" w:type="dxa"/>
            <w:shd w:val="clear" w:color="auto" w:fill="auto"/>
            <w:tcMar>
              <w:top w:w="57" w:type="dxa"/>
              <w:bottom w:w="57" w:type="dxa"/>
            </w:tcMar>
            <w:hideMark/>
          </w:tcPr>
          <w:p w14:paraId="2C62C45B"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mRS and recurrence specific utilities:</w:t>
            </w:r>
            <w:r w:rsidRPr="007E56D0">
              <w:rPr>
                <w:rFonts w:asciiTheme="majorHAnsi" w:hAnsiTheme="majorHAnsi" w:cstheme="majorHAnsi"/>
                <w:color w:val="000000"/>
                <w:sz w:val="16"/>
                <w:szCs w:val="16"/>
                <w:lang w:val="en-US"/>
              </w:rPr>
              <w:br/>
              <w:t xml:space="preserve">Chinese RCT assessing EQ-5D with Chinese utilities by Wang et al. (2014)  </w:t>
            </w:r>
            <w:r w:rsidRPr="007E56D0">
              <w:rPr>
                <w:rFonts w:asciiTheme="majorHAnsi" w:hAnsiTheme="majorHAnsi" w:cstheme="majorHAnsi"/>
                <w:color w:val="000000"/>
                <w:sz w:val="16"/>
                <w:szCs w:val="16"/>
                <w:lang w:val="en-US"/>
              </w:rPr>
              <w:br/>
            </w:r>
          </w:p>
        </w:tc>
        <w:tc>
          <w:tcPr>
            <w:tcW w:w="3260" w:type="dxa"/>
            <w:shd w:val="clear" w:color="auto" w:fill="auto"/>
            <w:tcMar>
              <w:top w:w="57" w:type="dxa"/>
              <w:bottom w:w="57" w:type="dxa"/>
            </w:tcMar>
            <w:hideMark/>
          </w:tcPr>
          <w:p w14:paraId="6413B132"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Multiple sources incl. Chinese stroke registry, taken from modelling studies; Chinese Health Statistics Yearbook; Hui et al. (2020)</w:t>
            </w:r>
          </w:p>
        </w:tc>
      </w:tr>
      <w:tr w:rsidR="009C1B66" w:rsidRPr="004515C5" w14:paraId="0D4B2F7A" w14:textId="77777777" w:rsidTr="00136CC9">
        <w:trPr>
          <w:tblHeader/>
        </w:trPr>
        <w:tc>
          <w:tcPr>
            <w:tcW w:w="1434" w:type="dxa"/>
            <w:shd w:val="clear" w:color="auto" w:fill="auto"/>
            <w:noWrap/>
            <w:tcMar>
              <w:top w:w="57" w:type="dxa"/>
              <w:bottom w:w="57" w:type="dxa"/>
            </w:tcMar>
            <w:hideMark/>
          </w:tcPr>
          <w:p w14:paraId="2597E706" w14:textId="0897E079"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Gao et al. (2024)</w:t>
            </w:r>
            <w:r w:rsidR="00225A46">
              <w:rPr>
                <w:rFonts w:asciiTheme="majorHAnsi" w:hAnsiTheme="majorHAnsi" w:cstheme="majorHAnsi"/>
                <w:color w:val="000000"/>
                <w:sz w:val="16"/>
                <w:szCs w:val="16"/>
                <w:lang w:val="en-US"/>
              </w:rPr>
              <w:t xml:space="preserve">, </w:t>
            </w:r>
            <w:r w:rsidR="00225A46" w:rsidRPr="00826F7E">
              <w:rPr>
                <w:lang w:val="en-US"/>
              </w:rPr>
              <w:t xml:space="preserve"> </w:t>
            </w:r>
            <w:r w:rsidR="00225A46" w:rsidRPr="00225A46">
              <w:rPr>
                <w:rFonts w:asciiTheme="majorHAnsi" w:hAnsiTheme="majorHAnsi" w:cstheme="majorHAnsi"/>
                <w:color w:val="000000"/>
                <w:sz w:val="16"/>
                <w:szCs w:val="16"/>
                <w:lang w:val="en-US"/>
              </w:rPr>
              <w:t>USA/Australia/Spain</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[43]</w:t>
            </w:r>
          </w:p>
        </w:tc>
        <w:tc>
          <w:tcPr>
            <w:tcW w:w="7513" w:type="dxa"/>
            <w:shd w:val="clear" w:color="auto" w:fill="auto"/>
            <w:tcMar>
              <w:top w:w="57" w:type="dxa"/>
              <w:bottom w:w="57" w:type="dxa"/>
            </w:tcMar>
            <w:hideMark/>
          </w:tcPr>
          <w:p w14:paraId="4F86A0E7"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SELECT2-RCT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Meta- analysis of register studies by Mohan et al. (2011) + Swedish cohort study by Pennlert et al. (2014) + cohort study by Park &amp; Ovbiagele (2016)</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Modelling study by Fagan et al. (1998) and Chinese cohort study by Chen et al. (2020)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w:t>
            </w:r>
          </w:p>
        </w:tc>
        <w:tc>
          <w:tcPr>
            <w:tcW w:w="2835" w:type="dxa"/>
            <w:shd w:val="clear" w:color="auto" w:fill="auto"/>
            <w:tcMar>
              <w:top w:w="57" w:type="dxa"/>
              <w:bottom w:w="57" w:type="dxa"/>
            </w:tcMar>
            <w:hideMark/>
          </w:tcPr>
          <w:p w14:paraId="7AD7A1F2"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Study by Rivero-Arias et al. (2010), mapping EQ-5D with UK-tariffs to mRS-scores in population-based UK OXVASC-study</w:t>
            </w:r>
          </w:p>
        </w:tc>
        <w:tc>
          <w:tcPr>
            <w:tcW w:w="3260" w:type="dxa"/>
            <w:shd w:val="clear" w:color="auto" w:fill="auto"/>
            <w:tcMar>
              <w:top w:w="57" w:type="dxa"/>
              <w:bottom w:w="57" w:type="dxa"/>
            </w:tcMar>
            <w:hideMark/>
          </w:tcPr>
          <w:p w14:paraId="3D6CAD90"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Multiple sources incl. CEA models from US, Spain and Australia by Sarraj et al. (2021), Arora et al. (2018) and de Andrés‐Nogales et al. (2017); official Australian fees for residential care and hospital fees; Spanish stroke costing study</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Informal care</w:t>
            </w:r>
            <w:r w:rsidRPr="007E56D0">
              <w:rPr>
                <w:rFonts w:asciiTheme="majorHAnsi" w:hAnsiTheme="majorHAnsi" w:cstheme="majorHAnsi"/>
                <w:sz w:val="16"/>
                <w:szCs w:val="16"/>
                <w:lang w:val="en-US"/>
              </w:rPr>
              <w:br/>
              <w:t>US CEA model by Sarraj et al. (2021); CEA of a multi-country RCT by Gao et al. (2023); Spanish stroke costing study by Alvarez‐Sabin et al. (2017)</w:t>
            </w:r>
          </w:p>
        </w:tc>
      </w:tr>
      <w:tr w:rsidR="009C1B66" w:rsidRPr="004515C5" w14:paraId="5994E1AC" w14:textId="77777777" w:rsidTr="00136CC9">
        <w:trPr>
          <w:tblHeader/>
        </w:trPr>
        <w:tc>
          <w:tcPr>
            <w:tcW w:w="1434" w:type="dxa"/>
            <w:shd w:val="clear" w:color="auto" w:fill="auto"/>
            <w:tcMar>
              <w:top w:w="57" w:type="dxa"/>
              <w:bottom w:w="57" w:type="dxa"/>
            </w:tcMar>
            <w:hideMark/>
          </w:tcPr>
          <w:p w14:paraId="18691DB6" w14:textId="422230D3"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Gottschalk et al. (2024)</w:t>
            </w:r>
            <w:r w:rsidR="00225A46">
              <w:rPr>
                <w:rFonts w:asciiTheme="majorHAnsi" w:hAnsiTheme="majorHAnsi" w:cstheme="majorHAnsi"/>
                <w:color w:val="000000"/>
                <w:sz w:val="16"/>
                <w:szCs w:val="16"/>
                <w:lang w:val="en-US"/>
              </w:rPr>
              <w:t>, Germany</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[44]</w:t>
            </w:r>
          </w:p>
        </w:tc>
        <w:tc>
          <w:tcPr>
            <w:tcW w:w="7513" w:type="dxa"/>
            <w:shd w:val="clear" w:color="auto" w:fill="auto"/>
            <w:tcMar>
              <w:top w:w="57" w:type="dxa"/>
              <w:bottom w:w="57" w:type="dxa"/>
            </w:tcMar>
            <w:hideMark/>
          </w:tcPr>
          <w:p w14:paraId="13A5800C"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TENSION-trial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 risk:</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lastRenderedPageBreak/>
              <w:t xml:space="preserve">Meta-Analysis by Lin et al. (2021) using mostly stroke cohorts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Control group of HERMES RCT-meta-Analysis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German life tables from Federal Statistical Office + Swedish cohort study by Slot et al. (2009) </w:t>
            </w:r>
          </w:p>
        </w:tc>
        <w:tc>
          <w:tcPr>
            <w:tcW w:w="2835" w:type="dxa"/>
            <w:shd w:val="clear" w:color="auto" w:fill="auto"/>
            <w:tcMar>
              <w:top w:w="57" w:type="dxa"/>
              <w:bottom w:w="57" w:type="dxa"/>
            </w:tcMar>
            <w:hideMark/>
          </w:tcPr>
          <w:p w14:paraId="4F2E1749"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mRS-specific utilities:</w:t>
            </w:r>
            <w:r w:rsidRPr="007E56D0">
              <w:rPr>
                <w:rFonts w:asciiTheme="majorHAnsi" w:hAnsiTheme="majorHAnsi" w:cstheme="majorHAnsi"/>
                <w:color w:val="000000"/>
                <w:sz w:val="16"/>
                <w:szCs w:val="16"/>
                <w:lang w:val="en-US"/>
              </w:rPr>
              <w:br/>
              <w:t>Study mapping EQ-5D-3L to mRS in international stroke trial participants with German tariffs by Ali et al. (2017)</w:t>
            </w:r>
          </w:p>
        </w:tc>
        <w:tc>
          <w:tcPr>
            <w:tcW w:w="3260" w:type="dxa"/>
            <w:shd w:val="clear" w:color="auto" w:fill="auto"/>
            <w:tcMar>
              <w:top w:w="57" w:type="dxa"/>
              <w:bottom w:w="57" w:type="dxa"/>
            </w:tcMar>
            <w:hideMark/>
          </w:tcPr>
          <w:p w14:paraId="36403DF0"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BARMER health insurance data</w:t>
            </w:r>
          </w:p>
        </w:tc>
      </w:tr>
      <w:tr w:rsidR="009C1B66" w:rsidRPr="004515C5" w14:paraId="01D3A0E5" w14:textId="77777777" w:rsidTr="00136CC9">
        <w:trPr>
          <w:tblHeader/>
        </w:trPr>
        <w:tc>
          <w:tcPr>
            <w:tcW w:w="1434" w:type="dxa"/>
            <w:shd w:val="clear" w:color="auto" w:fill="auto"/>
            <w:noWrap/>
            <w:tcMar>
              <w:top w:w="57" w:type="dxa"/>
              <w:bottom w:w="57" w:type="dxa"/>
            </w:tcMar>
            <w:hideMark/>
          </w:tcPr>
          <w:p w14:paraId="3FA27A3F" w14:textId="145D5C6B"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Mehrens et al. (2024)</w:t>
            </w:r>
            <w:r w:rsidR="00225A46">
              <w:rPr>
                <w:rFonts w:asciiTheme="majorHAnsi" w:hAnsiTheme="majorHAnsi" w:cstheme="majorHAnsi"/>
                <w:color w:val="000000"/>
                <w:sz w:val="16"/>
                <w:szCs w:val="16"/>
                <w:lang w:val="en-US"/>
              </w:rPr>
              <w:t>, USA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[45]</w:t>
            </w:r>
          </w:p>
        </w:tc>
        <w:tc>
          <w:tcPr>
            <w:tcW w:w="7513" w:type="dxa"/>
            <w:shd w:val="clear" w:color="auto" w:fill="auto"/>
            <w:tcMar>
              <w:top w:w="57" w:type="dxa"/>
              <w:bottom w:w="57" w:type="dxa"/>
            </w:tcMar>
            <w:hideMark/>
          </w:tcPr>
          <w:p w14:paraId="573898E7"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 ATTENTION and BAOCHE trials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Swedish cohort study by Pennlert et al. (2014)</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HERMES meta-analysis (control arm)</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Cohort study by Hong/Saver (2010) and US life tables by Arias et al. (2017)</w:t>
            </w:r>
          </w:p>
        </w:tc>
        <w:tc>
          <w:tcPr>
            <w:tcW w:w="2835" w:type="dxa"/>
            <w:shd w:val="clear" w:color="auto" w:fill="auto"/>
            <w:tcMar>
              <w:top w:w="57" w:type="dxa"/>
              <w:bottom w:w="57" w:type="dxa"/>
            </w:tcMar>
            <w:hideMark/>
          </w:tcPr>
          <w:p w14:paraId="314EC3D7"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sz w:val="16"/>
                <w:szCs w:val="16"/>
                <w:lang w:val="en-US"/>
              </w:rPr>
              <w:t>mRS-specific utilities:</w:t>
            </w:r>
            <w:r w:rsidRPr="007E56D0">
              <w:rPr>
                <w:rFonts w:asciiTheme="majorHAnsi" w:hAnsiTheme="majorHAnsi" w:cstheme="majorHAnsi"/>
                <w:color w:val="000000"/>
                <w:sz w:val="16"/>
                <w:szCs w:val="16"/>
                <w:lang w:val="en-US"/>
              </w:rPr>
              <w:br/>
              <w:t xml:space="preserve">Study by Chaisinanunkul et al. (2015) combining time-trade-off utilities from mapping-study in UK stroke cohort with person-trade-off utilities from international clinical expert panel </w:t>
            </w:r>
          </w:p>
        </w:tc>
        <w:tc>
          <w:tcPr>
            <w:tcW w:w="3260" w:type="dxa"/>
            <w:shd w:val="clear" w:color="auto" w:fill="auto"/>
            <w:tcMar>
              <w:top w:w="57" w:type="dxa"/>
              <w:bottom w:w="57" w:type="dxa"/>
            </w:tcMar>
            <w:hideMark/>
          </w:tcPr>
          <w:p w14:paraId="35BBD47D"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Multiple sources incl. US National Inpatient Sample data; UK trial costing study by Dawson et al. (2007); US trial costing by study Shireman et al. (2017)</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Productivity losses</w:t>
            </w:r>
            <w:r w:rsidRPr="007E56D0">
              <w:rPr>
                <w:rFonts w:asciiTheme="majorHAnsi" w:hAnsiTheme="majorHAnsi" w:cstheme="majorHAnsi"/>
                <w:sz w:val="16"/>
                <w:szCs w:val="16"/>
                <w:lang w:val="en-US"/>
              </w:rPr>
              <w:br/>
              <w:t>- Informal care</w:t>
            </w:r>
            <w:r w:rsidRPr="007E56D0">
              <w:rPr>
                <w:rFonts w:asciiTheme="majorHAnsi" w:hAnsiTheme="majorHAnsi" w:cstheme="majorHAnsi"/>
                <w:sz w:val="16"/>
                <w:szCs w:val="16"/>
                <w:lang w:val="en-US"/>
              </w:rPr>
              <w:br/>
              <w:t>Multiple sources incl. Japanese cohort study by Tanaka et al. (2014); Canadian community study by Vyas et al. (2016); US Census Bureau; National Bureau of Labor Statistics; US self-report longitudinal study by Hickenbottom et al. (2002)</w:t>
            </w:r>
            <w:r w:rsidRPr="007E56D0">
              <w:rPr>
                <w:rFonts w:asciiTheme="majorHAnsi" w:hAnsiTheme="majorHAnsi" w:cstheme="majorHAnsi"/>
                <w:sz w:val="16"/>
                <w:szCs w:val="16"/>
                <w:lang w:val="en-US"/>
              </w:rPr>
              <w:br/>
            </w:r>
          </w:p>
        </w:tc>
      </w:tr>
      <w:tr w:rsidR="009C1B66" w:rsidRPr="004515C5" w14:paraId="737B7A24" w14:textId="77777777" w:rsidTr="00136CC9">
        <w:trPr>
          <w:tblHeader/>
        </w:trPr>
        <w:tc>
          <w:tcPr>
            <w:tcW w:w="1434" w:type="dxa"/>
            <w:shd w:val="clear" w:color="auto" w:fill="auto"/>
            <w:tcMar>
              <w:top w:w="57" w:type="dxa"/>
              <w:bottom w:w="57" w:type="dxa"/>
            </w:tcMar>
            <w:hideMark/>
          </w:tcPr>
          <w:p w14:paraId="2ED030BB" w14:textId="71DCB153"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Ospel et al. (2024)</w:t>
            </w:r>
            <w:r w:rsidR="00225A46">
              <w:rPr>
                <w:rFonts w:asciiTheme="majorHAnsi" w:hAnsiTheme="majorHAnsi" w:cstheme="majorHAnsi"/>
                <w:color w:val="000000"/>
                <w:sz w:val="16"/>
                <w:szCs w:val="16"/>
                <w:lang w:val="en-US"/>
              </w:rPr>
              <w:t>, Canada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[46]</w:t>
            </w:r>
          </w:p>
        </w:tc>
        <w:tc>
          <w:tcPr>
            <w:tcW w:w="7513" w:type="dxa"/>
            <w:shd w:val="clear" w:color="auto" w:fill="auto"/>
            <w:tcMar>
              <w:top w:w="57" w:type="dxa"/>
              <w:bottom w:w="57" w:type="dxa"/>
            </w:tcMar>
            <w:hideMark/>
          </w:tcPr>
          <w:p w14:paraId="03EA50FA"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For real-world EVT-arm: ESCAPE-LATE study by Zerna et al. (under review)</w:t>
            </w:r>
            <w:r w:rsidRPr="007E56D0">
              <w:rPr>
                <w:rFonts w:asciiTheme="majorHAnsi" w:hAnsiTheme="majorHAnsi" w:cstheme="majorHAnsi"/>
                <w:color w:val="000000"/>
                <w:sz w:val="16"/>
                <w:szCs w:val="16"/>
                <w:lang w:val="en-US"/>
              </w:rPr>
              <w:br/>
              <w:t xml:space="preserve">For trial-based EVT-arm: ESCAPE RCT </w:t>
            </w:r>
            <w:r w:rsidRPr="007E56D0">
              <w:rPr>
                <w:rFonts w:asciiTheme="majorHAnsi" w:hAnsiTheme="majorHAnsi" w:cstheme="majorHAnsi"/>
                <w:color w:val="000000"/>
                <w:sz w:val="16"/>
                <w:szCs w:val="16"/>
                <w:lang w:val="en-US"/>
              </w:rPr>
              <w:br/>
              <w:t xml:space="preserve">For trial-based control arm: ESCAPE RCT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IVT proportion in both arms:</w:t>
            </w:r>
            <w:r w:rsidRPr="007E56D0">
              <w:rPr>
                <w:rFonts w:asciiTheme="majorHAnsi" w:hAnsiTheme="majorHAnsi" w:cstheme="majorHAnsi"/>
                <w:color w:val="000000"/>
                <w:sz w:val="16"/>
                <w:szCs w:val="16"/>
                <w:lang w:val="en-US"/>
              </w:rPr>
              <w:br/>
              <w:t>Zerna et al. (under review)</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Assumed 0</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Swedish cohort study by Pennlert et al. (2014)</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Control arm of HERMES RCT meta-analysis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US life tables by Arias et al. (2017) + RCT-based mRS mapping study by Hong et al. (2010)</w:t>
            </w:r>
          </w:p>
        </w:tc>
        <w:tc>
          <w:tcPr>
            <w:tcW w:w="2835" w:type="dxa"/>
            <w:shd w:val="clear" w:color="auto" w:fill="auto"/>
            <w:tcMar>
              <w:top w:w="57" w:type="dxa"/>
              <w:bottom w:w="57" w:type="dxa"/>
            </w:tcMar>
            <w:hideMark/>
          </w:tcPr>
          <w:p w14:paraId="4F314589"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r>
            <w:r w:rsidRPr="007E56D0">
              <w:rPr>
                <w:rFonts w:asciiTheme="majorHAnsi" w:hAnsiTheme="majorHAnsi" w:cstheme="majorHAnsi"/>
                <w:sz w:val="16"/>
                <w:szCs w:val="16"/>
                <w:lang w:val="en-US"/>
              </w:rPr>
              <w:t xml:space="preserve">Study by Chaisinanunkul et al. (2015) combining time-trade-off utilities from mapping-study in UK stroke cohort with person-trade-off utilities from international clinical expert panel </w:t>
            </w:r>
          </w:p>
        </w:tc>
        <w:tc>
          <w:tcPr>
            <w:tcW w:w="3260" w:type="dxa"/>
            <w:shd w:val="clear" w:color="auto" w:fill="auto"/>
            <w:tcMar>
              <w:top w:w="57" w:type="dxa"/>
              <w:bottom w:w="57" w:type="dxa"/>
            </w:tcMar>
            <w:hideMark/>
          </w:tcPr>
          <w:p w14:paraId="304573E2"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US trial costing study by Shireman et al. (2017); US National Inpatient Sample; "Gloede et al."; "Sevick et al."</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Productivity loss</w:t>
            </w:r>
            <w:r w:rsidRPr="007E56D0">
              <w:rPr>
                <w:rFonts w:asciiTheme="majorHAnsi" w:hAnsiTheme="majorHAnsi" w:cstheme="majorHAnsi"/>
                <w:sz w:val="16"/>
                <w:szCs w:val="16"/>
                <w:lang w:val="en-US"/>
              </w:rPr>
              <w:br/>
              <w:t>US census bureau and US bureau of labor statistics; "Vyas et al."; "Tanaka et al."; "Barral et al."</w:t>
            </w:r>
            <w:r w:rsidRPr="007E56D0">
              <w:rPr>
                <w:rFonts w:asciiTheme="majorHAnsi" w:hAnsiTheme="majorHAnsi" w:cstheme="majorHAnsi"/>
                <w:sz w:val="16"/>
                <w:szCs w:val="16"/>
                <w:lang w:val="en-US"/>
              </w:rPr>
              <w:br/>
            </w:r>
          </w:p>
        </w:tc>
      </w:tr>
      <w:tr w:rsidR="009C1B66" w:rsidRPr="004515C5" w14:paraId="5DBF5C82" w14:textId="77777777" w:rsidTr="00136CC9">
        <w:trPr>
          <w:tblHeader/>
        </w:trPr>
        <w:tc>
          <w:tcPr>
            <w:tcW w:w="1434" w:type="dxa"/>
            <w:shd w:val="clear" w:color="auto" w:fill="auto"/>
            <w:tcMar>
              <w:top w:w="57" w:type="dxa"/>
              <w:bottom w:w="57" w:type="dxa"/>
            </w:tcMar>
            <w:hideMark/>
          </w:tcPr>
          <w:p w14:paraId="6309BD7F" w14:textId="406DB342"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lastRenderedPageBreak/>
              <w:t>Pan et al. (2024)</w:t>
            </w:r>
            <w:r w:rsidR="00225A46">
              <w:rPr>
                <w:rFonts w:asciiTheme="majorHAnsi" w:hAnsiTheme="majorHAnsi" w:cstheme="majorHAnsi"/>
                <w:color w:val="000000"/>
                <w:sz w:val="16"/>
                <w:szCs w:val="16"/>
                <w:lang w:val="en-US"/>
              </w:rPr>
              <w:t>, China</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[47]</w:t>
            </w:r>
          </w:p>
        </w:tc>
        <w:tc>
          <w:tcPr>
            <w:tcW w:w="7513" w:type="dxa"/>
            <w:shd w:val="clear" w:color="auto" w:fill="auto"/>
            <w:tcMar>
              <w:top w:w="57" w:type="dxa"/>
              <w:bottom w:w="57" w:type="dxa"/>
            </w:tcMar>
            <w:hideMark/>
          </w:tcPr>
          <w:p w14:paraId="07B7AC3F"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 xml:space="preserve">Treatment efficacy at 90 days after stroke (incl. mRS-states, sICH probability, relative risk of sICH, morality rate): </w:t>
            </w:r>
            <w:r w:rsidRPr="007E56D0">
              <w:rPr>
                <w:rFonts w:asciiTheme="majorHAnsi" w:hAnsiTheme="majorHAnsi" w:cstheme="majorHAnsi"/>
                <w:color w:val="000000"/>
                <w:sz w:val="16"/>
                <w:szCs w:val="16"/>
                <w:lang w:val="en-US"/>
              </w:rPr>
              <w:br/>
              <w:t xml:space="preserve">ANGEL-ASPECT trial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TPs without recurrence/death:</w:t>
            </w:r>
            <w:r w:rsidRPr="007E56D0">
              <w:rPr>
                <w:rFonts w:asciiTheme="majorHAnsi" w:hAnsiTheme="majorHAnsi" w:cstheme="majorHAnsi"/>
                <w:color w:val="000000"/>
                <w:sz w:val="16"/>
                <w:szCs w:val="16"/>
                <w:lang w:val="en-US"/>
              </w:rPr>
              <w:br/>
              <w:t xml:space="preserve">Assumed 0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 risk:</w:t>
            </w:r>
            <w:r w:rsidRPr="007E56D0">
              <w:rPr>
                <w:rFonts w:asciiTheme="majorHAnsi" w:hAnsiTheme="majorHAnsi" w:cstheme="majorHAnsi"/>
                <w:color w:val="000000"/>
                <w:sz w:val="16"/>
                <w:szCs w:val="16"/>
                <w:lang w:val="en-US"/>
              </w:rPr>
              <w:br/>
              <w:t xml:space="preserve">Swedish cohort study by Pennlert et al. (2014) + Chinese stroke registry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 xml:space="preserve">Chinese stroke registry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Chinese census and official Chinese Health Statistics, mRS-specific adjustment by Swedish cohort study by Slot et al. (2009), Chinese stroke registry </w:t>
            </w:r>
          </w:p>
        </w:tc>
        <w:tc>
          <w:tcPr>
            <w:tcW w:w="2835" w:type="dxa"/>
            <w:shd w:val="clear" w:color="auto" w:fill="auto"/>
            <w:tcMar>
              <w:top w:w="57" w:type="dxa"/>
              <w:bottom w:w="57" w:type="dxa"/>
            </w:tcMar>
            <w:hideMark/>
          </w:tcPr>
          <w:p w14:paraId="2C57B113"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 xml:space="preserve">Chinese RCT assessing EQ-5D with Chinese utilities by Wang et al. (2014)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Recurrence-specific utilities:</w:t>
            </w:r>
            <w:r w:rsidRPr="007E56D0">
              <w:rPr>
                <w:rFonts w:asciiTheme="majorHAnsi" w:hAnsiTheme="majorHAnsi" w:cstheme="majorHAnsi"/>
                <w:color w:val="000000"/>
                <w:sz w:val="16"/>
                <w:szCs w:val="16"/>
                <w:lang w:val="en-US"/>
              </w:rPr>
              <w:br/>
              <w:t>UK model by Ganesalingam et al. (2015) citing Morris et al. (2011)</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sICH-specific utilities:</w:t>
            </w:r>
            <w:r w:rsidRPr="007E56D0">
              <w:rPr>
                <w:rFonts w:asciiTheme="majorHAnsi" w:hAnsiTheme="majorHAnsi" w:cstheme="majorHAnsi"/>
                <w:color w:val="000000"/>
                <w:sz w:val="16"/>
                <w:szCs w:val="16"/>
                <w:lang w:val="en-US"/>
              </w:rPr>
              <w:br/>
              <w:t>US model by Lee et al (2012), primary source is a review by Thomson et al. (2000), describing standard-gamble study with atrial fibrillation patients</w:t>
            </w:r>
          </w:p>
        </w:tc>
        <w:tc>
          <w:tcPr>
            <w:tcW w:w="3260" w:type="dxa"/>
            <w:shd w:val="clear" w:color="auto" w:fill="auto"/>
            <w:tcMar>
              <w:top w:w="57" w:type="dxa"/>
              <w:bottom w:w="57" w:type="dxa"/>
            </w:tcMar>
            <w:hideMark/>
          </w:tcPr>
          <w:p w14:paraId="3B30E49E"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ANGEL-ASPECT trial; Chinese stroke registry</w:t>
            </w:r>
          </w:p>
        </w:tc>
      </w:tr>
      <w:tr w:rsidR="009C1B66" w:rsidRPr="004515C5" w14:paraId="7DC4A9E2" w14:textId="77777777" w:rsidTr="00136CC9">
        <w:trPr>
          <w:tblHeader/>
        </w:trPr>
        <w:tc>
          <w:tcPr>
            <w:tcW w:w="1434" w:type="dxa"/>
            <w:shd w:val="clear" w:color="auto" w:fill="auto"/>
            <w:tcMar>
              <w:top w:w="57" w:type="dxa"/>
              <w:bottom w:w="57" w:type="dxa"/>
            </w:tcMar>
            <w:hideMark/>
          </w:tcPr>
          <w:p w14:paraId="114CE2A3" w14:textId="56393515"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Pinckaers et al. (2024)</w:t>
            </w:r>
            <w:r w:rsidR="00225A46">
              <w:rPr>
                <w:rFonts w:asciiTheme="majorHAnsi" w:hAnsiTheme="majorHAnsi" w:cstheme="majorHAnsi"/>
                <w:color w:val="000000"/>
                <w:sz w:val="16"/>
                <w:szCs w:val="16"/>
                <w:lang w:val="en-US"/>
              </w:rPr>
              <w:t xml:space="preserve">, </w:t>
            </w:r>
            <w:r w:rsidR="00FE06BE">
              <w:rPr>
                <w:rFonts w:asciiTheme="majorHAnsi" w:hAnsiTheme="majorHAnsi" w:cstheme="majorHAnsi"/>
                <w:color w:val="000000"/>
                <w:sz w:val="16"/>
                <w:szCs w:val="16"/>
                <w:lang w:val="en-US"/>
              </w:rPr>
              <w:t>Netherlands</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[48]</w:t>
            </w:r>
          </w:p>
        </w:tc>
        <w:tc>
          <w:tcPr>
            <w:tcW w:w="7513" w:type="dxa"/>
            <w:shd w:val="clear" w:color="auto" w:fill="auto"/>
            <w:tcMar>
              <w:top w:w="57" w:type="dxa"/>
              <w:bottom w:w="57" w:type="dxa"/>
            </w:tcMar>
            <w:hideMark/>
          </w:tcPr>
          <w:p w14:paraId="4D9F40E9"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MR CLEAN-LATE trial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90 days up until 5 years:</w:t>
            </w:r>
            <w:r w:rsidRPr="007E56D0">
              <w:rPr>
                <w:rFonts w:asciiTheme="majorHAnsi" w:hAnsiTheme="majorHAnsi" w:cstheme="majorHAnsi"/>
                <w:color w:val="000000"/>
                <w:sz w:val="16"/>
                <w:szCs w:val="16"/>
                <w:lang w:val="en-US"/>
              </w:rPr>
              <w:br/>
              <w:t xml:space="preserve">Population-based OXVASC cohort study, with conversion to cycle length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 xml:space="preserve">Dutch Actuarian Society </w:t>
            </w:r>
          </w:p>
        </w:tc>
        <w:tc>
          <w:tcPr>
            <w:tcW w:w="2835" w:type="dxa"/>
            <w:shd w:val="clear" w:color="auto" w:fill="auto"/>
            <w:tcMar>
              <w:top w:w="57" w:type="dxa"/>
              <w:bottom w:w="57" w:type="dxa"/>
            </w:tcMar>
            <w:hideMark/>
          </w:tcPr>
          <w:p w14:paraId="7189FF3C"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 xml:space="preserve">Study by Pinckaers et al. (2024) assessing EQ-5D-5L measures from Dutch perspective stroke cohort + trial data using Dutch tariffs </w:t>
            </w:r>
          </w:p>
        </w:tc>
        <w:tc>
          <w:tcPr>
            <w:tcW w:w="3260" w:type="dxa"/>
            <w:shd w:val="clear" w:color="auto" w:fill="auto"/>
            <w:tcMar>
              <w:top w:w="57" w:type="dxa"/>
              <w:bottom w:w="57" w:type="dxa"/>
            </w:tcMar>
            <w:hideMark/>
          </w:tcPr>
          <w:p w14:paraId="5611A3C5"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Pooled data from MR CLEAN LATE trial</w:t>
            </w:r>
            <w:r w:rsidRPr="007E56D0">
              <w:rPr>
                <w:rFonts w:asciiTheme="majorHAnsi" w:hAnsiTheme="majorHAnsi" w:cstheme="majorHAnsi"/>
                <w:sz w:val="16"/>
                <w:szCs w:val="16"/>
                <w:lang w:val="en-US"/>
              </w:rPr>
              <w:br/>
            </w:r>
            <w:r w:rsidRPr="007E56D0">
              <w:rPr>
                <w:rFonts w:asciiTheme="majorHAnsi" w:hAnsiTheme="majorHAnsi" w:cstheme="majorHAnsi"/>
                <w:sz w:val="16"/>
                <w:szCs w:val="16"/>
                <w:lang w:val="en-US"/>
              </w:rPr>
              <w:br/>
              <w:t>Indirect:</w:t>
            </w:r>
            <w:r w:rsidRPr="007E56D0">
              <w:rPr>
                <w:rFonts w:asciiTheme="majorHAnsi" w:hAnsiTheme="majorHAnsi" w:cstheme="majorHAnsi"/>
                <w:sz w:val="16"/>
                <w:szCs w:val="16"/>
                <w:lang w:val="en-US"/>
              </w:rPr>
              <w:br/>
              <w:t>- Informal care</w:t>
            </w:r>
            <w:r w:rsidRPr="007E56D0">
              <w:rPr>
                <w:rFonts w:asciiTheme="majorHAnsi" w:hAnsiTheme="majorHAnsi" w:cstheme="majorHAnsi"/>
                <w:sz w:val="16"/>
                <w:szCs w:val="16"/>
                <w:lang w:val="en-US"/>
              </w:rPr>
              <w:br/>
              <w:t>- Productivity loss</w:t>
            </w:r>
            <w:r w:rsidRPr="007E56D0">
              <w:rPr>
                <w:rFonts w:asciiTheme="majorHAnsi" w:hAnsiTheme="majorHAnsi" w:cstheme="majorHAnsi"/>
                <w:sz w:val="16"/>
                <w:szCs w:val="16"/>
                <w:lang w:val="en-US"/>
              </w:rPr>
              <w:br/>
              <w:t>Pooled data from MR CLEAN LATE trial</w:t>
            </w:r>
          </w:p>
        </w:tc>
      </w:tr>
      <w:tr w:rsidR="009C1B66" w:rsidRPr="004515C5" w14:paraId="4A3D7121" w14:textId="77777777" w:rsidTr="00136CC9">
        <w:trPr>
          <w:tblHeader/>
        </w:trPr>
        <w:tc>
          <w:tcPr>
            <w:tcW w:w="1434" w:type="dxa"/>
            <w:tcBorders>
              <w:bottom w:val="single" w:sz="4" w:space="0" w:color="auto"/>
            </w:tcBorders>
            <w:shd w:val="clear" w:color="auto" w:fill="auto"/>
            <w:noWrap/>
            <w:tcMar>
              <w:top w:w="57" w:type="dxa"/>
              <w:bottom w:w="57" w:type="dxa"/>
            </w:tcMar>
            <w:hideMark/>
          </w:tcPr>
          <w:p w14:paraId="7CB643D3" w14:textId="52BB5CAB"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Schwarting et al. (2024)</w:t>
            </w:r>
            <w:r w:rsidR="00FE06BE">
              <w:rPr>
                <w:rFonts w:asciiTheme="majorHAnsi" w:hAnsiTheme="majorHAnsi" w:cstheme="majorHAnsi"/>
                <w:color w:val="000000"/>
                <w:sz w:val="16"/>
                <w:szCs w:val="16"/>
                <w:lang w:val="en-US"/>
              </w:rPr>
              <w:t xml:space="preserve">, </w:t>
            </w:r>
            <w:r w:rsidR="00FE06BE" w:rsidRPr="00FE06BE">
              <w:rPr>
                <w:rFonts w:asciiTheme="majorHAnsi" w:hAnsiTheme="majorHAnsi" w:cstheme="majorHAnsi"/>
                <w:color w:val="000000"/>
                <w:sz w:val="16"/>
                <w:szCs w:val="16"/>
                <w:lang w:val="en-US"/>
              </w:rPr>
              <w:t xml:space="preserve">not stated but probably USA </w:t>
            </w:r>
            <w:r w:rsidRPr="007E56D0">
              <w:rPr>
                <w:rFonts w:asciiTheme="majorHAnsi" w:hAnsiTheme="majorHAnsi" w:cstheme="majorHAnsi"/>
                <w:color w:val="000000"/>
                <w:sz w:val="16"/>
                <w:szCs w:val="16"/>
                <w:lang w:val="en-US"/>
              </w:rPr>
              <w:t xml:space="preserve"> </w:t>
            </w:r>
            <w:r w:rsidR="00215B90">
              <w:rPr>
                <w:rFonts w:asciiTheme="majorHAnsi" w:hAnsiTheme="majorHAnsi" w:cstheme="majorHAnsi"/>
                <w:color w:val="000000"/>
                <w:sz w:val="16"/>
                <w:szCs w:val="16"/>
                <w:lang w:val="en-US"/>
              </w:rPr>
              <w:t>[49]</w:t>
            </w:r>
          </w:p>
        </w:tc>
        <w:tc>
          <w:tcPr>
            <w:tcW w:w="7513" w:type="dxa"/>
            <w:tcBorders>
              <w:bottom w:val="single" w:sz="4" w:space="0" w:color="auto"/>
            </w:tcBorders>
            <w:shd w:val="clear" w:color="auto" w:fill="auto"/>
            <w:tcMar>
              <w:top w:w="57" w:type="dxa"/>
              <w:bottom w:w="57" w:type="dxa"/>
            </w:tcMar>
            <w:hideMark/>
          </w:tcPr>
          <w:p w14:paraId="7754F840"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Treatment efficacy at 90 days after stroke:</w:t>
            </w:r>
            <w:r w:rsidRPr="007E56D0">
              <w:rPr>
                <w:rFonts w:asciiTheme="majorHAnsi" w:hAnsiTheme="majorHAnsi" w:cstheme="majorHAnsi"/>
                <w:color w:val="000000"/>
                <w:sz w:val="16"/>
                <w:szCs w:val="16"/>
                <w:lang w:val="en-US"/>
              </w:rPr>
              <w:br/>
              <w:t xml:space="preserve">SELECT2-RCT, RESCUE-Japan LIMIT and ANGEL-ASPECT RCTs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 xml:space="preserve">Long-term TPs without recurrence/death: </w:t>
            </w:r>
            <w:r w:rsidRPr="007E56D0">
              <w:rPr>
                <w:rFonts w:asciiTheme="majorHAnsi" w:hAnsiTheme="majorHAnsi" w:cstheme="majorHAnsi"/>
                <w:color w:val="000000"/>
                <w:sz w:val="16"/>
                <w:szCs w:val="16"/>
                <w:lang w:val="en-US"/>
              </w:rPr>
              <w:br/>
              <w:t xml:space="preserve">Assumed 0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Long-term recurrence risk:</w:t>
            </w:r>
            <w:r w:rsidRPr="007E56D0">
              <w:rPr>
                <w:rFonts w:asciiTheme="majorHAnsi" w:hAnsiTheme="majorHAnsi" w:cstheme="majorHAnsi"/>
                <w:color w:val="000000"/>
                <w:sz w:val="16"/>
                <w:szCs w:val="16"/>
                <w:lang w:val="en-US"/>
              </w:rPr>
              <w:br/>
              <w:t xml:space="preserve">Swedish prospective cohort study by Pennlert et al. (2014) </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TPs after recurrence:</w:t>
            </w:r>
            <w:r w:rsidRPr="007E56D0">
              <w:rPr>
                <w:rFonts w:asciiTheme="majorHAnsi" w:hAnsiTheme="majorHAnsi" w:cstheme="majorHAnsi"/>
                <w:color w:val="000000"/>
                <w:sz w:val="16"/>
                <w:szCs w:val="16"/>
                <w:lang w:val="en-US"/>
              </w:rPr>
              <w:br/>
              <w:t>Control arm of HERMES RCT-meta-analysis</w:t>
            </w:r>
            <w:r w:rsidRPr="007E56D0">
              <w:rPr>
                <w:rFonts w:asciiTheme="majorHAnsi" w:hAnsiTheme="majorHAnsi" w:cstheme="majorHAnsi"/>
                <w:color w:val="000000"/>
                <w:sz w:val="16"/>
                <w:szCs w:val="16"/>
                <w:lang w:val="en-US"/>
              </w:rPr>
              <w:br/>
            </w:r>
            <w:r w:rsidRPr="007E56D0">
              <w:rPr>
                <w:rFonts w:asciiTheme="majorHAnsi" w:hAnsiTheme="majorHAnsi" w:cstheme="majorHAnsi"/>
                <w:color w:val="000000"/>
                <w:sz w:val="16"/>
                <w:szCs w:val="16"/>
                <w:lang w:val="en-US"/>
              </w:rPr>
              <w:br/>
              <w:t>Non-stroke mortality:</w:t>
            </w:r>
            <w:r w:rsidRPr="007E56D0">
              <w:rPr>
                <w:rFonts w:asciiTheme="majorHAnsi" w:hAnsiTheme="majorHAnsi" w:cstheme="majorHAnsi"/>
                <w:color w:val="000000"/>
                <w:sz w:val="16"/>
                <w:szCs w:val="16"/>
                <w:lang w:val="en-US"/>
              </w:rPr>
              <w:br/>
              <w:t>US life tables by Arias et al. (2017) + prospective cohort study by Hong et al. (2014)</w:t>
            </w:r>
          </w:p>
        </w:tc>
        <w:tc>
          <w:tcPr>
            <w:tcW w:w="2835" w:type="dxa"/>
            <w:tcBorders>
              <w:bottom w:val="single" w:sz="4" w:space="0" w:color="auto"/>
            </w:tcBorders>
            <w:shd w:val="clear" w:color="auto" w:fill="auto"/>
            <w:tcMar>
              <w:top w:w="57" w:type="dxa"/>
              <w:bottom w:w="57" w:type="dxa"/>
            </w:tcMar>
            <w:hideMark/>
          </w:tcPr>
          <w:p w14:paraId="11C4A02C" w14:textId="77777777" w:rsidR="009C1B66" w:rsidRPr="007E56D0" w:rsidRDefault="009C1B66" w:rsidP="00136CC9">
            <w:pPr>
              <w:spacing w:after="0"/>
              <w:rPr>
                <w:rFonts w:asciiTheme="majorHAnsi" w:hAnsiTheme="majorHAnsi" w:cstheme="majorHAnsi"/>
                <w:color w:val="000000"/>
                <w:sz w:val="16"/>
                <w:szCs w:val="16"/>
                <w:lang w:val="en-US"/>
              </w:rPr>
            </w:pPr>
            <w:r w:rsidRPr="007E56D0">
              <w:rPr>
                <w:rFonts w:asciiTheme="majorHAnsi" w:hAnsiTheme="majorHAnsi" w:cstheme="majorHAnsi"/>
                <w:color w:val="000000"/>
                <w:sz w:val="16"/>
                <w:szCs w:val="16"/>
                <w:lang w:val="en-US"/>
              </w:rPr>
              <w:t>mRS-specific utilities:</w:t>
            </w:r>
            <w:r w:rsidRPr="007E56D0">
              <w:rPr>
                <w:rFonts w:asciiTheme="majorHAnsi" w:hAnsiTheme="majorHAnsi" w:cstheme="majorHAnsi"/>
                <w:color w:val="000000"/>
                <w:sz w:val="16"/>
                <w:szCs w:val="16"/>
                <w:lang w:val="en-US"/>
              </w:rPr>
              <w:br/>
              <w:t xml:space="preserve">Study by Chaisinanunkul et al. (2015) combining time-trade-off utilities from mapping-study in UK stroke cohort with person-trade-off utilities from international clinical expert panel </w:t>
            </w:r>
          </w:p>
        </w:tc>
        <w:tc>
          <w:tcPr>
            <w:tcW w:w="3260" w:type="dxa"/>
            <w:tcBorders>
              <w:bottom w:val="single" w:sz="4" w:space="0" w:color="auto"/>
            </w:tcBorders>
            <w:shd w:val="clear" w:color="auto" w:fill="auto"/>
            <w:tcMar>
              <w:top w:w="57" w:type="dxa"/>
              <w:bottom w:w="57" w:type="dxa"/>
            </w:tcMar>
            <w:hideMark/>
          </w:tcPr>
          <w:p w14:paraId="3F416145" w14:textId="77777777" w:rsidR="009C1B66" w:rsidRPr="007E56D0" w:rsidRDefault="009C1B66" w:rsidP="00136CC9">
            <w:pPr>
              <w:spacing w:after="0"/>
              <w:rPr>
                <w:rFonts w:asciiTheme="majorHAnsi" w:hAnsiTheme="majorHAnsi" w:cstheme="majorHAnsi"/>
                <w:sz w:val="16"/>
                <w:szCs w:val="16"/>
                <w:lang w:val="en-US"/>
              </w:rPr>
            </w:pPr>
            <w:r w:rsidRPr="007E56D0">
              <w:rPr>
                <w:rFonts w:asciiTheme="majorHAnsi" w:hAnsiTheme="majorHAnsi" w:cstheme="majorHAnsi"/>
                <w:sz w:val="16"/>
                <w:szCs w:val="16"/>
                <w:lang w:val="en-US"/>
              </w:rPr>
              <w:t>Direct:</w:t>
            </w:r>
            <w:r w:rsidRPr="007E56D0">
              <w:rPr>
                <w:rFonts w:asciiTheme="majorHAnsi" w:hAnsiTheme="majorHAnsi" w:cstheme="majorHAnsi"/>
                <w:sz w:val="16"/>
                <w:szCs w:val="16"/>
                <w:lang w:val="en-US"/>
              </w:rPr>
              <w:br/>
              <w:t>US claims data by Mu et al. (2016); US trial costing study by Shireman et al. (2017); US CEA model by Kunz et al (2016)</w:t>
            </w:r>
          </w:p>
        </w:tc>
      </w:tr>
      <w:tr w:rsidR="009C1B66" w:rsidRPr="004515C5" w14:paraId="081FE955" w14:textId="77777777" w:rsidTr="00136CC9">
        <w:trPr>
          <w:tblHeader/>
        </w:trPr>
        <w:tc>
          <w:tcPr>
            <w:tcW w:w="15042" w:type="dxa"/>
            <w:gridSpan w:val="4"/>
            <w:tcBorders>
              <w:top w:val="single" w:sz="4" w:space="0" w:color="auto"/>
              <w:bottom w:val="nil"/>
            </w:tcBorders>
            <w:shd w:val="clear" w:color="auto" w:fill="auto"/>
            <w:tcMar>
              <w:top w:w="57" w:type="dxa"/>
              <w:bottom w:w="57" w:type="dxa"/>
            </w:tcMar>
            <w:hideMark/>
          </w:tcPr>
          <w:p w14:paraId="3229C965" w14:textId="77777777" w:rsidR="009C1B66" w:rsidRPr="007E56D0" w:rsidRDefault="009C1B66" w:rsidP="00136CC9">
            <w:pPr>
              <w:spacing w:after="0"/>
              <w:rPr>
                <w:rFonts w:asciiTheme="majorHAnsi" w:hAnsiTheme="majorHAnsi" w:cstheme="majorHAnsi"/>
                <w:i/>
                <w:iCs/>
                <w:color w:val="000000"/>
                <w:sz w:val="16"/>
                <w:szCs w:val="16"/>
                <w:lang w:val="en-US"/>
              </w:rPr>
            </w:pPr>
            <w:r w:rsidRPr="007E56D0">
              <w:rPr>
                <w:rFonts w:asciiTheme="majorHAnsi" w:hAnsiTheme="majorHAnsi" w:cstheme="majorHAnsi"/>
                <w:i/>
                <w:iCs/>
                <w:color w:val="000000"/>
                <w:sz w:val="16"/>
                <w:szCs w:val="16"/>
                <w:lang w:val="en-US"/>
              </w:rPr>
              <w:t>BMM = Best Medical Management, CEA = Cost-Effectiveness Analysis, DRGs = Diagnosis-Related Groups, EQ-5D-3L/5L = EuroQol-5 Dimensions-3-Level/5-Level, HTA = Health Technology Assessment, IVT = Intravenous Thrombolysis, mRS = modified Rankin Scale, MT = Mechanical Thrombectomy, NICE = National Institute for Health and Care Excellence, RCT = Randomized Controlled Trial, sICH = symptomatic Intracranial Hemorrhage, TPs = Transition Probabilities.</w:t>
            </w:r>
          </w:p>
        </w:tc>
      </w:tr>
      <w:bookmarkEnd w:id="2"/>
    </w:tbl>
    <w:p w14:paraId="20262EB6" w14:textId="73DACA0A" w:rsidR="007529D1" w:rsidRPr="007E56D0" w:rsidRDefault="007529D1">
      <w:pPr>
        <w:rPr>
          <w:rFonts w:asciiTheme="majorHAnsi" w:hAnsiTheme="majorHAnsi" w:cstheme="majorHAnsi"/>
          <w:lang w:val="en-US"/>
        </w:rPr>
      </w:pPr>
    </w:p>
    <w:tbl>
      <w:tblPr>
        <w:tblpPr w:leftFromText="142" w:rightFromText="142" w:vertAnchor="page" w:horzAnchor="margin" w:tblpXSpec="center" w:tblpY="1379"/>
        <w:tblOverlap w:val="never"/>
        <w:tblW w:w="52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1"/>
        <w:gridCol w:w="7213"/>
        <w:gridCol w:w="7337"/>
        <w:gridCol w:w="39"/>
      </w:tblGrid>
      <w:tr w:rsidR="00C50E6D" w:rsidRPr="004515C5" w14:paraId="0A7CCA76" w14:textId="77777777" w:rsidTr="00751868">
        <w:trPr>
          <w:gridAfter w:val="1"/>
          <w:wAfter w:w="13" w:type="pct"/>
          <w:tblHeader/>
        </w:trPr>
        <w:tc>
          <w:tcPr>
            <w:tcW w:w="4987" w:type="pct"/>
            <w:gridSpan w:val="3"/>
            <w:tcBorders>
              <w:top w:val="nil"/>
              <w:left w:val="nil"/>
              <w:bottom w:val="single" w:sz="4" w:space="0" w:color="auto"/>
              <w:right w:val="nil"/>
            </w:tcBorders>
          </w:tcPr>
          <w:p w14:paraId="316A46BC" w14:textId="07CE09F9" w:rsidR="002C5FD6" w:rsidRDefault="00BF41A6" w:rsidP="00C50E6D">
            <w:pPr>
              <w:spacing w:before="20" w:after="20" w:line="240" w:lineRule="auto"/>
              <w:rPr>
                <w:rFonts w:asciiTheme="majorHAnsi" w:eastAsia="Times New Roman" w:hAnsiTheme="majorHAnsi" w:cstheme="majorHAnsi"/>
                <w:i/>
                <w:iCs/>
                <w:color w:val="000000"/>
                <w:sz w:val="24"/>
                <w:szCs w:val="24"/>
                <w:lang w:val="en-US" w:eastAsia="de-DE"/>
              </w:rPr>
            </w:pPr>
            <w:bookmarkStart w:id="3" w:name="_Hlk229522507"/>
            <w:r>
              <w:rPr>
                <w:rFonts w:asciiTheme="majorHAnsi" w:eastAsia="Times New Roman" w:hAnsiTheme="majorHAnsi" w:cstheme="majorHAnsi"/>
                <w:b/>
                <w:bCs/>
                <w:color w:val="000000"/>
                <w:sz w:val="24"/>
                <w:szCs w:val="24"/>
                <w:lang w:val="en-US" w:eastAsia="de-DE"/>
              </w:rPr>
              <w:lastRenderedPageBreak/>
              <w:t xml:space="preserve">Supplementary </w:t>
            </w:r>
            <w:r w:rsidR="00C50E6D" w:rsidRPr="00C50E6D">
              <w:rPr>
                <w:rFonts w:asciiTheme="majorHAnsi" w:eastAsia="Times New Roman" w:hAnsiTheme="majorHAnsi" w:cstheme="majorHAnsi"/>
                <w:b/>
                <w:bCs/>
                <w:color w:val="000000"/>
                <w:sz w:val="24"/>
                <w:szCs w:val="24"/>
                <w:lang w:val="en-US" w:eastAsia="de-DE"/>
              </w:rPr>
              <w:t xml:space="preserve">Table </w:t>
            </w:r>
            <w:r>
              <w:rPr>
                <w:rFonts w:asciiTheme="majorHAnsi" w:eastAsia="Times New Roman" w:hAnsiTheme="majorHAnsi" w:cstheme="majorHAnsi"/>
                <w:b/>
                <w:bCs/>
                <w:color w:val="000000"/>
                <w:sz w:val="24"/>
                <w:szCs w:val="24"/>
                <w:lang w:val="en-US" w:eastAsia="de-DE"/>
              </w:rPr>
              <w:t>S</w:t>
            </w:r>
            <w:r w:rsidR="0062435D">
              <w:rPr>
                <w:rFonts w:asciiTheme="majorHAnsi" w:eastAsia="Times New Roman" w:hAnsiTheme="majorHAnsi" w:cstheme="majorHAnsi"/>
                <w:b/>
                <w:bCs/>
                <w:color w:val="000000"/>
                <w:sz w:val="24"/>
                <w:szCs w:val="24"/>
                <w:lang w:val="en-US" w:eastAsia="de-DE"/>
              </w:rPr>
              <w:t>5</w:t>
            </w:r>
            <w:r w:rsidR="00C50E6D" w:rsidRPr="00C50E6D">
              <w:rPr>
                <w:rFonts w:asciiTheme="majorHAnsi" w:eastAsia="Times New Roman" w:hAnsiTheme="majorHAnsi" w:cstheme="majorHAnsi"/>
                <w:color w:val="000000"/>
                <w:sz w:val="24"/>
                <w:szCs w:val="24"/>
                <w:lang w:val="en-US" w:eastAsia="de-DE"/>
              </w:rPr>
              <w:t xml:space="preserve"> Framework for Assessing the Methodological Quality of Included Articles by Ramos et al. (2015) </w:t>
            </w:r>
            <w:r w:rsidR="00215B90">
              <w:rPr>
                <w:rFonts w:asciiTheme="majorHAnsi" w:eastAsia="Times New Roman" w:hAnsiTheme="majorHAnsi" w:cstheme="majorHAnsi"/>
                <w:color w:val="000000"/>
                <w:sz w:val="24"/>
                <w:szCs w:val="24"/>
                <w:lang w:val="en-US" w:eastAsia="de-DE"/>
              </w:rPr>
              <w:t>[50]</w:t>
            </w:r>
          </w:p>
          <w:p w14:paraId="6E428F35" w14:textId="626AAC8B" w:rsidR="00C50E6D" w:rsidRPr="00C50E6D" w:rsidRDefault="008D0DCD" w:rsidP="00C50E6D">
            <w:pPr>
              <w:spacing w:before="20" w:after="20" w:line="240" w:lineRule="auto"/>
              <w:rPr>
                <w:rFonts w:asciiTheme="majorHAnsi" w:eastAsia="Times New Roman" w:hAnsiTheme="majorHAnsi" w:cstheme="majorHAnsi"/>
                <w:b/>
                <w:bCs/>
                <w:color w:val="000000"/>
                <w:sz w:val="14"/>
                <w:szCs w:val="14"/>
                <w:lang w:val="en-US" w:eastAsia="de-DE"/>
              </w:rPr>
            </w:pPr>
            <w:hyperlink w:anchor="_CTVL0013c436b2c7f924375bd215988ef45ffcc" w:tooltip="Ramos, M. C. P., Barton, P., Jowett, S., and Sutton, A. J. 2015. A Systematic Review of Research Guidelines in Decision-Analytic Modeling. Value in he…" w:history="1"/>
          </w:p>
        </w:tc>
      </w:tr>
      <w:tr w:rsidR="00C50E6D" w:rsidRPr="004515C5" w14:paraId="0967C5AE" w14:textId="77777777" w:rsidTr="00751868">
        <w:trPr>
          <w:gridAfter w:val="1"/>
          <w:wAfter w:w="13" w:type="pct"/>
          <w:tblHeader/>
        </w:trPr>
        <w:tc>
          <w:tcPr>
            <w:tcW w:w="4987" w:type="pct"/>
            <w:gridSpan w:val="3"/>
            <w:tcBorders>
              <w:top w:val="single" w:sz="4" w:space="0" w:color="auto"/>
              <w:left w:val="nil"/>
              <w:bottom w:val="nil"/>
              <w:right w:val="nil"/>
            </w:tcBorders>
          </w:tcPr>
          <w:p w14:paraId="706FBB0D" w14:textId="77777777" w:rsidR="00C50E6D" w:rsidRPr="00C50E6D" w:rsidRDefault="00C50E6D" w:rsidP="00C50E6D">
            <w:pPr>
              <w:spacing w:before="20" w:after="20" w:line="240" w:lineRule="auto"/>
              <w:rPr>
                <w:rFonts w:asciiTheme="majorHAnsi" w:eastAsia="Times New Roman" w:hAnsiTheme="majorHAnsi" w:cstheme="majorHAnsi"/>
                <w:b/>
                <w:bCs/>
                <w:color w:val="000000"/>
                <w:sz w:val="20"/>
                <w:szCs w:val="20"/>
                <w:lang w:val="en-US" w:eastAsia="de-DE"/>
              </w:rPr>
            </w:pPr>
          </w:p>
        </w:tc>
      </w:tr>
      <w:tr w:rsidR="00C50E6D" w:rsidRPr="004515C5" w14:paraId="013784B9" w14:textId="77777777" w:rsidTr="00751868">
        <w:trPr>
          <w:tblHeader/>
        </w:trPr>
        <w:tc>
          <w:tcPr>
            <w:tcW w:w="2548" w:type="pct"/>
            <w:gridSpan w:val="2"/>
            <w:tcBorders>
              <w:top w:val="nil"/>
              <w:left w:val="nil"/>
              <w:bottom w:val="single" w:sz="4" w:space="0" w:color="auto"/>
              <w:right w:val="nil"/>
            </w:tcBorders>
          </w:tcPr>
          <w:p w14:paraId="6D1763AC" w14:textId="77777777" w:rsidR="00C50E6D" w:rsidRPr="00C50E6D" w:rsidRDefault="00C50E6D" w:rsidP="00C50E6D">
            <w:pPr>
              <w:spacing w:before="20" w:after="20" w:line="240" w:lineRule="auto"/>
              <w:rPr>
                <w:rFonts w:asciiTheme="majorHAnsi" w:eastAsia="Times New Roman" w:hAnsiTheme="majorHAnsi" w:cstheme="majorHAnsi"/>
                <w:b/>
                <w:bCs/>
                <w:color w:val="000000"/>
                <w:sz w:val="20"/>
                <w:szCs w:val="20"/>
                <w:lang w:val="en-US" w:eastAsia="de-DE"/>
              </w:rPr>
            </w:pPr>
          </w:p>
        </w:tc>
        <w:tc>
          <w:tcPr>
            <w:tcW w:w="2452" w:type="pct"/>
            <w:gridSpan w:val="2"/>
            <w:tcBorders>
              <w:top w:val="nil"/>
              <w:left w:val="nil"/>
              <w:bottom w:val="single" w:sz="4" w:space="0" w:color="auto"/>
              <w:right w:val="nil"/>
            </w:tcBorders>
            <w:shd w:val="clear" w:color="auto" w:fill="auto"/>
            <w:noWrap/>
          </w:tcPr>
          <w:p w14:paraId="3557B7EB" w14:textId="77777777" w:rsidR="00C50E6D" w:rsidRPr="00C50E6D" w:rsidRDefault="00C50E6D" w:rsidP="00C50E6D">
            <w:pPr>
              <w:spacing w:before="20" w:after="20" w:line="240" w:lineRule="auto"/>
              <w:rPr>
                <w:rFonts w:asciiTheme="majorHAnsi" w:eastAsia="Times New Roman" w:hAnsiTheme="majorHAnsi" w:cstheme="majorHAnsi"/>
                <w:b/>
                <w:bCs/>
                <w:color w:val="000000"/>
                <w:sz w:val="20"/>
                <w:szCs w:val="20"/>
                <w:lang w:val="en-US" w:eastAsia="de-DE"/>
              </w:rPr>
            </w:pPr>
            <w:r w:rsidRPr="00C50E6D">
              <w:rPr>
                <w:rFonts w:asciiTheme="majorHAnsi" w:eastAsia="Times New Roman" w:hAnsiTheme="majorHAnsi" w:cstheme="majorHAnsi"/>
                <w:b/>
                <w:bCs/>
                <w:color w:val="000000"/>
                <w:sz w:val="20"/>
                <w:szCs w:val="20"/>
                <w:lang w:val="en-US" w:eastAsia="de-DE"/>
              </w:rPr>
              <w:t>Supplementary information by the authors of this review</w:t>
            </w:r>
          </w:p>
        </w:tc>
      </w:tr>
      <w:tr w:rsidR="00C50E6D" w:rsidRPr="004515C5" w14:paraId="107FDFD8" w14:textId="77777777" w:rsidTr="00751868">
        <w:trPr>
          <w:trHeight w:val="300"/>
          <w:tblHeader/>
        </w:trPr>
        <w:tc>
          <w:tcPr>
            <w:tcW w:w="2548" w:type="pct"/>
            <w:gridSpan w:val="2"/>
            <w:tcBorders>
              <w:top w:val="nil"/>
              <w:left w:val="nil"/>
              <w:bottom w:val="single" w:sz="4" w:space="0" w:color="auto"/>
              <w:right w:val="nil"/>
            </w:tcBorders>
          </w:tcPr>
          <w:p w14:paraId="49EB5239" w14:textId="77777777" w:rsidR="00C50E6D" w:rsidRPr="00C50E6D" w:rsidRDefault="00C50E6D" w:rsidP="00C50E6D">
            <w:pPr>
              <w:spacing w:before="20" w:after="20" w:line="240" w:lineRule="auto"/>
              <w:rPr>
                <w:rFonts w:asciiTheme="majorHAnsi" w:eastAsia="Times New Roman" w:hAnsiTheme="majorHAnsi" w:cstheme="majorHAnsi"/>
                <w:b/>
                <w:bCs/>
                <w:color w:val="000000"/>
                <w:sz w:val="24"/>
                <w:szCs w:val="24"/>
                <w:lang w:val="en-US" w:eastAsia="de-DE"/>
              </w:rPr>
            </w:pPr>
            <w:r w:rsidRPr="00C50E6D">
              <w:rPr>
                <w:rFonts w:asciiTheme="majorHAnsi" w:eastAsia="Times New Roman" w:hAnsiTheme="majorHAnsi" w:cstheme="majorHAnsi"/>
                <w:b/>
                <w:bCs/>
                <w:color w:val="000000"/>
                <w:sz w:val="20"/>
                <w:szCs w:val="20"/>
                <w:lang w:val="en-US" w:eastAsia="de-DE"/>
              </w:rPr>
              <w:t>Problem concept</w:t>
            </w:r>
          </w:p>
        </w:tc>
        <w:tc>
          <w:tcPr>
            <w:tcW w:w="2452" w:type="pct"/>
            <w:gridSpan w:val="2"/>
            <w:tcBorders>
              <w:top w:val="single" w:sz="4" w:space="0" w:color="auto"/>
              <w:left w:val="nil"/>
              <w:bottom w:val="single" w:sz="4" w:space="0" w:color="auto"/>
              <w:right w:val="nil"/>
            </w:tcBorders>
            <w:shd w:val="clear" w:color="auto" w:fill="auto"/>
            <w:noWrap/>
            <w:hideMark/>
          </w:tcPr>
          <w:p w14:paraId="63BE2435"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4"/>
                <w:szCs w:val="14"/>
                <w:lang w:val="en-US" w:eastAsia="de-DE"/>
              </w:rPr>
            </w:pPr>
            <w:r w:rsidRPr="00C50E6D">
              <w:rPr>
                <w:rFonts w:asciiTheme="majorHAnsi" w:eastAsia="Times New Roman" w:hAnsiTheme="majorHAnsi" w:cstheme="majorHAnsi"/>
                <w:b/>
                <w:bCs/>
                <w:color w:val="000000"/>
                <w:sz w:val="14"/>
                <w:szCs w:val="14"/>
                <w:lang w:val="en-US" w:eastAsia="de-DE"/>
              </w:rPr>
              <w:t> </w:t>
            </w:r>
          </w:p>
        </w:tc>
      </w:tr>
      <w:tr w:rsidR="00C50E6D" w:rsidRPr="004515C5" w14:paraId="30BA7919" w14:textId="77777777" w:rsidTr="00751868">
        <w:trPr>
          <w:trHeight w:val="300"/>
          <w:tblHeader/>
        </w:trPr>
        <w:tc>
          <w:tcPr>
            <w:tcW w:w="2548" w:type="pct"/>
            <w:gridSpan w:val="2"/>
            <w:tcBorders>
              <w:top w:val="single" w:sz="4" w:space="0" w:color="auto"/>
              <w:left w:val="nil"/>
              <w:bottom w:val="nil"/>
              <w:right w:val="nil"/>
            </w:tcBorders>
          </w:tcPr>
          <w:p w14:paraId="14BB2C1A"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Decision problem</w:t>
            </w:r>
          </w:p>
        </w:tc>
        <w:tc>
          <w:tcPr>
            <w:tcW w:w="2452" w:type="pct"/>
            <w:gridSpan w:val="2"/>
            <w:tcBorders>
              <w:top w:val="single" w:sz="4" w:space="0" w:color="auto"/>
              <w:left w:val="nil"/>
              <w:bottom w:val="nil"/>
              <w:right w:val="nil"/>
            </w:tcBorders>
            <w:shd w:val="clear" w:color="auto" w:fill="auto"/>
            <w:noWrap/>
            <w:hideMark/>
          </w:tcPr>
          <w:p w14:paraId="6B97919F"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038103C2" w14:textId="77777777" w:rsidTr="00751868">
        <w:trPr>
          <w:trHeight w:val="300"/>
          <w:tblHeader/>
        </w:trPr>
        <w:tc>
          <w:tcPr>
            <w:tcW w:w="150" w:type="pct"/>
            <w:tcBorders>
              <w:top w:val="nil"/>
              <w:left w:val="nil"/>
              <w:bottom w:val="nil"/>
              <w:right w:val="nil"/>
            </w:tcBorders>
          </w:tcPr>
          <w:p w14:paraId="7CC48321"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w:t>
            </w:r>
          </w:p>
        </w:tc>
        <w:tc>
          <w:tcPr>
            <w:tcW w:w="2398" w:type="pct"/>
            <w:tcBorders>
              <w:top w:val="nil"/>
              <w:left w:val="nil"/>
              <w:bottom w:val="nil"/>
              <w:right w:val="nil"/>
            </w:tcBorders>
            <w:shd w:val="clear" w:color="auto" w:fill="auto"/>
            <w:noWrap/>
            <w:hideMark/>
          </w:tcPr>
          <w:p w14:paraId="19E77B08"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Is there a written statement of the decision problem and scope of the study?</w:t>
            </w:r>
          </w:p>
        </w:tc>
        <w:tc>
          <w:tcPr>
            <w:tcW w:w="2452" w:type="pct"/>
            <w:gridSpan w:val="2"/>
            <w:tcBorders>
              <w:top w:val="nil"/>
              <w:left w:val="nil"/>
              <w:bottom w:val="nil"/>
              <w:right w:val="nil"/>
            </w:tcBorders>
            <w:shd w:val="clear" w:color="auto" w:fill="auto"/>
            <w:noWrap/>
            <w:hideMark/>
          </w:tcPr>
          <w:p w14:paraId="6067A710" w14:textId="77777777" w:rsidR="00C50E6D" w:rsidRPr="00C50E6D" w:rsidRDefault="00C50E6D" w:rsidP="00C50E6D">
            <w:pPr>
              <w:spacing w:before="20" w:after="20" w:line="240" w:lineRule="auto"/>
              <w:rPr>
                <w:rFonts w:asciiTheme="majorHAnsi" w:eastAsia="Times New Roman" w:hAnsiTheme="majorHAnsi" w:cstheme="majorHAnsi"/>
                <w:color w:val="1F1F1F"/>
                <w:sz w:val="16"/>
                <w:szCs w:val="16"/>
                <w:lang w:val="en-US" w:eastAsia="de-DE"/>
              </w:rPr>
            </w:pPr>
          </w:p>
        </w:tc>
      </w:tr>
      <w:tr w:rsidR="00C50E6D" w:rsidRPr="004515C5" w14:paraId="57D6E6A6" w14:textId="77777777" w:rsidTr="00751868">
        <w:trPr>
          <w:trHeight w:val="300"/>
          <w:tblHeader/>
        </w:trPr>
        <w:tc>
          <w:tcPr>
            <w:tcW w:w="150" w:type="pct"/>
            <w:tcBorders>
              <w:top w:val="nil"/>
              <w:left w:val="nil"/>
              <w:bottom w:val="nil"/>
              <w:right w:val="nil"/>
            </w:tcBorders>
          </w:tcPr>
          <w:p w14:paraId="0779CF05"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2</w:t>
            </w:r>
          </w:p>
        </w:tc>
        <w:tc>
          <w:tcPr>
            <w:tcW w:w="2398" w:type="pct"/>
            <w:tcBorders>
              <w:top w:val="nil"/>
              <w:left w:val="nil"/>
              <w:bottom w:val="nil"/>
              <w:right w:val="nil"/>
            </w:tcBorders>
            <w:shd w:val="clear" w:color="auto" w:fill="auto"/>
            <w:noWrap/>
            <w:hideMark/>
          </w:tcPr>
          <w:p w14:paraId="6707A65D"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 xml:space="preserve"> Is the objective(s) of the study and model structure consistent with the stated decision problem and scope?</w:t>
            </w:r>
          </w:p>
        </w:tc>
        <w:tc>
          <w:tcPr>
            <w:tcW w:w="2452" w:type="pct"/>
            <w:gridSpan w:val="2"/>
            <w:tcBorders>
              <w:top w:val="nil"/>
              <w:left w:val="nil"/>
              <w:bottom w:val="nil"/>
              <w:right w:val="nil"/>
            </w:tcBorders>
            <w:shd w:val="clear" w:color="auto" w:fill="auto"/>
            <w:noWrap/>
            <w:hideMark/>
          </w:tcPr>
          <w:p w14:paraId="2B863CCA" w14:textId="77777777" w:rsidR="00C50E6D" w:rsidRPr="00C50E6D" w:rsidRDefault="00C50E6D" w:rsidP="00C50E6D">
            <w:pPr>
              <w:spacing w:before="20" w:after="20" w:line="240" w:lineRule="auto"/>
              <w:rPr>
                <w:rFonts w:asciiTheme="majorHAnsi" w:eastAsia="Times New Roman" w:hAnsiTheme="majorHAnsi" w:cstheme="majorHAnsi"/>
                <w:color w:val="1F1F1F"/>
                <w:sz w:val="16"/>
                <w:szCs w:val="16"/>
                <w:lang w:val="en-US" w:eastAsia="de-DE"/>
              </w:rPr>
            </w:pPr>
          </w:p>
        </w:tc>
      </w:tr>
      <w:tr w:rsidR="00C50E6D" w:rsidRPr="004515C5" w14:paraId="37F03F58" w14:textId="77777777" w:rsidTr="00751868">
        <w:trPr>
          <w:trHeight w:val="300"/>
          <w:tblHeader/>
        </w:trPr>
        <w:tc>
          <w:tcPr>
            <w:tcW w:w="2548" w:type="pct"/>
            <w:gridSpan w:val="2"/>
            <w:tcBorders>
              <w:top w:val="nil"/>
              <w:left w:val="nil"/>
              <w:bottom w:val="nil"/>
              <w:right w:val="nil"/>
            </w:tcBorders>
          </w:tcPr>
          <w:p w14:paraId="6A5B6344"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Analytical perspective</w:t>
            </w:r>
          </w:p>
        </w:tc>
        <w:tc>
          <w:tcPr>
            <w:tcW w:w="2452" w:type="pct"/>
            <w:gridSpan w:val="2"/>
            <w:tcBorders>
              <w:top w:val="nil"/>
              <w:left w:val="nil"/>
              <w:bottom w:val="nil"/>
              <w:right w:val="nil"/>
            </w:tcBorders>
            <w:shd w:val="clear" w:color="auto" w:fill="auto"/>
            <w:noWrap/>
            <w:hideMark/>
          </w:tcPr>
          <w:p w14:paraId="4EFC164C"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3BEBDBC6" w14:textId="77777777" w:rsidTr="00751868">
        <w:trPr>
          <w:trHeight w:val="300"/>
          <w:tblHeader/>
        </w:trPr>
        <w:tc>
          <w:tcPr>
            <w:tcW w:w="150" w:type="pct"/>
            <w:tcBorders>
              <w:top w:val="nil"/>
              <w:left w:val="nil"/>
              <w:bottom w:val="nil"/>
              <w:right w:val="nil"/>
            </w:tcBorders>
          </w:tcPr>
          <w:p w14:paraId="16BAF5BA"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3</w:t>
            </w:r>
          </w:p>
        </w:tc>
        <w:tc>
          <w:tcPr>
            <w:tcW w:w="2398" w:type="pct"/>
            <w:tcBorders>
              <w:top w:val="nil"/>
              <w:left w:val="nil"/>
              <w:bottom w:val="nil"/>
              <w:right w:val="nil"/>
            </w:tcBorders>
            <w:shd w:val="clear" w:color="auto" w:fill="auto"/>
            <w:noWrap/>
            <w:hideMark/>
          </w:tcPr>
          <w:p w14:paraId="1D71A37C"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the perspective of the model been stated?</w:t>
            </w:r>
          </w:p>
        </w:tc>
        <w:tc>
          <w:tcPr>
            <w:tcW w:w="2452" w:type="pct"/>
            <w:gridSpan w:val="2"/>
            <w:tcBorders>
              <w:top w:val="nil"/>
              <w:left w:val="nil"/>
              <w:bottom w:val="nil"/>
              <w:right w:val="nil"/>
            </w:tcBorders>
            <w:shd w:val="clear" w:color="auto" w:fill="auto"/>
            <w:noWrap/>
            <w:hideMark/>
          </w:tcPr>
          <w:p w14:paraId="2B998764" w14:textId="77777777" w:rsidR="00C50E6D" w:rsidRPr="00C50E6D" w:rsidRDefault="00C50E6D" w:rsidP="00C50E6D">
            <w:pPr>
              <w:spacing w:before="20" w:after="20" w:line="240" w:lineRule="auto"/>
              <w:rPr>
                <w:rFonts w:asciiTheme="majorHAnsi" w:eastAsia="Times New Roman" w:hAnsiTheme="majorHAnsi" w:cstheme="majorHAnsi"/>
                <w:color w:val="1F1F1F"/>
                <w:sz w:val="16"/>
                <w:szCs w:val="16"/>
                <w:lang w:val="en-US" w:eastAsia="de-DE"/>
              </w:rPr>
            </w:pPr>
          </w:p>
        </w:tc>
      </w:tr>
      <w:tr w:rsidR="00C50E6D" w:rsidRPr="004515C5" w14:paraId="5922DD3C" w14:textId="77777777" w:rsidTr="00751868">
        <w:trPr>
          <w:trHeight w:val="300"/>
          <w:tblHeader/>
        </w:trPr>
        <w:tc>
          <w:tcPr>
            <w:tcW w:w="2548" w:type="pct"/>
            <w:gridSpan w:val="2"/>
            <w:tcBorders>
              <w:top w:val="nil"/>
              <w:left w:val="nil"/>
              <w:bottom w:val="nil"/>
              <w:right w:val="nil"/>
            </w:tcBorders>
          </w:tcPr>
          <w:p w14:paraId="625B099A"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Target population</w:t>
            </w:r>
          </w:p>
          <w:p w14:paraId="598C4E82" w14:textId="77777777" w:rsidR="00C50E6D" w:rsidRPr="00C50E6D" w:rsidRDefault="00C50E6D" w:rsidP="00C50E6D">
            <w:pPr>
              <w:spacing w:before="20" w:after="20" w:line="240" w:lineRule="auto"/>
              <w:jc w:val="right"/>
              <w:rPr>
                <w:rFonts w:asciiTheme="majorHAnsi" w:eastAsia="Times New Roman" w:hAnsiTheme="majorHAnsi" w:cstheme="majorHAnsi"/>
                <w:color w:val="000000"/>
                <w:sz w:val="16"/>
                <w:szCs w:val="16"/>
                <w:lang w:val="en-US" w:eastAsia="de-DE"/>
              </w:rPr>
            </w:pPr>
          </w:p>
        </w:tc>
        <w:tc>
          <w:tcPr>
            <w:tcW w:w="2452" w:type="pct"/>
            <w:gridSpan w:val="2"/>
            <w:tcBorders>
              <w:top w:val="nil"/>
              <w:left w:val="nil"/>
              <w:bottom w:val="nil"/>
              <w:right w:val="nil"/>
            </w:tcBorders>
            <w:shd w:val="clear" w:color="auto" w:fill="auto"/>
            <w:noWrap/>
            <w:hideMark/>
          </w:tcPr>
          <w:p w14:paraId="76ACAAD6"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497E573A" w14:textId="77777777" w:rsidTr="00751868">
        <w:trPr>
          <w:trHeight w:val="300"/>
          <w:tblHeader/>
        </w:trPr>
        <w:tc>
          <w:tcPr>
            <w:tcW w:w="150" w:type="pct"/>
            <w:tcBorders>
              <w:top w:val="nil"/>
              <w:left w:val="nil"/>
              <w:bottom w:val="nil"/>
              <w:right w:val="nil"/>
            </w:tcBorders>
          </w:tcPr>
          <w:p w14:paraId="298E2CA0"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4</w:t>
            </w:r>
          </w:p>
        </w:tc>
        <w:tc>
          <w:tcPr>
            <w:tcW w:w="2398" w:type="pct"/>
            <w:tcBorders>
              <w:top w:val="nil"/>
              <w:left w:val="nil"/>
              <w:bottom w:val="nil"/>
              <w:right w:val="nil"/>
            </w:tcBorders>
            <w:shd w:val="clear" w:color="auto" w:fill="auto"/>
            <w:noWrap/>
            <w:hideMark/>
          </w:tcPr>
          <w:p w14:paraId="4E52CA32"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the target population been identified?</w:t>
            </w:r>
          </w:p>
        </w:tc>
        <w:tc>
          <w:tcPr>
            <w:tcW w:w="2452" w:type="pct"/>
            <w:gridSpan w:val="2"/>
            <w:tcBorders>
              <w:top w:val="nil"/>
              <w:left w:val="nil"/>
              <w:bottom w:val="nil"/>
              <w:right w:val="nil"/>
            </w:tcBorders>
            <w:shd w:val="clear" w:color="auto" w:fill="auto"/>
            <w:noWrap/>
            <w:hideMark/>
          </w:tcPr>
          <w:p w14:paraId="5923B25C"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0.5 pt. for elaborate clin. profile (not just "acute ischemic stroke"), 0.5 pt. for age, 1 pt. for both</w:t>
            </w:r>
          </w:p>
        </w:tc>
      </w:tr>
      <w:tr w:rsidR="00C50E6D" w:rsidRPr="004515C5" w14:paraId="74F73B78" w14:textId="77777777" w:rsidTr="00751868">
        <w:trPr>
          <w:trHeight w:val="300"/>
          <w:tblHeader/>
        </w:trPr>
        <w:tc>
          <w:tcPr>
            <w:tcW w:w="2548" w:type="pct"/>
            <w:gridSpan w:val="2"/>
            <w:tcBorders>
              <w:top w:val="nil"/>
              <w:left w:val="nil"/>
              <w:bottom w:val="nil"/>
              <w:right w:val="nil"/>
            </w:tcBorders>
          </w:tcPr>
          <w:p w14:paraId="0EE523D1"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Health outcomes</w:t>
            </w:r>
          </w:p>
          <w:p w14:paraId="079BB0F1" w14:textId="77777777" w:rsidR="00C50E6D" w:rsidRPr="00C50E6D" w:rsidRDefault="00C50E6D" w:rsidP="00C50E6D">
            <w:pPr>
              <w:spacing w:before="20" w:after="20" w:line="240" w:lineRule="auto"/>
              <w:jc w:val="right"/>
              <w:rPr>
                <w:rFonts w:asciiTheme="majorHAnsi" w:eastAsia="Times New Roman" w:hAnsiTheme="majorHAnsi" w:cstheme="majorHAnsi"/>
                <w:color w:val="000000"/>
                <w:sz w:val="16"/>
                <w:szCs w:val="16"/>
                <w:lang w:val="en-US" w:eastAsia="de-DE"/>
              </w:rPr>
            </w:pPr>
          </w:p>
        </w:tc>
        <w:tc>
          <w:tcPr>
            <w:tcW w:w="2452" w:type="pct"/>
            <w:gridSpan w:val="2"/>
            <w:tcBorders>
              <w:top w:val="nil"/>
              <w:left w:val="nil"/>
              <w:bottom w:val="nil"/>
              <w:right w:val="nil"/>
            </w:tcBorders>
            <w:shd w:val="clear" w:color="auto" w:fill="auto"/>
            <w:noWrap/>
            <w:hideMark/>
          </w:tcPr>
          <w:p w14:paraId="7ADFC0E0"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477EB0B6" w14:textId="77777777" w:rsidTr="00751868">
        <w:trPr>
          <w:trHeight w:val="300"/>
          <w:tblHeader/>
        </w:trPr>
        <w:tc>
          <w:tcPr>
            <w:tcW w:w="150" w:type="pct"/>
            <w:tcBorders>
              <w:top w:val="nil"/>
              <w:left w:val="nil"/>
              <w:bottom w:val="nil"/>
              <w:right w:val="nil"/>
            </w:tcBorders>
          </w:tcPr>
          <w:p w14:paraId="4BB17297"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5</w:t>
            </w:r>
          </w:p>
        </w:tc>
        <w:tc>
          <w:tcPr>
            <w:tcW w:w="2398" w:type="pct"/>
            <w:tcBorders>
              <w:top w:val="nil"/>
              <w:left w:val="nil"/>
              <w:bottom w:val="nil"/>
              <w:right w:val="nil"/>
            </w:tcBorders>
            <w:shd w:val="clear" w:color="auto" w:fill="auto"/>
            <w:noWrap/>
            <w:hideMark/>
          </w:tcPr>
          <w:p w14:paraId="7185D867"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Are the outcomes of the model stated and consistent with the perspective, scope, and overall objective(s) of the model?</w:t>
            </w:r>
          </w:p>
        </w:tc>
        <w:tc>
          <w:tcPr>
            <w:tcW w:w="2452" w:type="pct"/>
            <w:gridSpan w:val="2"/>
            <w:tcBorders>
              <w:top w:val="nil"/>
              <w:left w:val="nil"/>
              <w:bottom w:val="nil"/>
              <w:right w:val="nil"/>
            </w:tcBorders>
            <w:shd w:val="clear" w:color="auto" w:fill="auto"/>
            <w:noWrap/>
            <w:hideMark/>
          </w:tcPr>
          <w:p w14:paraId="36CBE78C" w14:textId="77777777" w:rsidR="00C50E6D" w:rsidRPr="00C50E6D" w:rsidRDefault="00C50E6D" w:rsidP="00C50E6D">
            <w:pPr>
              <w:spacing w:before="20" w:after="20" w:line="240" w:lineRule="auto"/>
              <w:rPr>
                <w:rFonts w:asciiTheme="majorHAnsi" w:eastAsia="Times New Roman" w:hAnsiTheme="majorHAnsi" w:cstheme="majorHAnsi"/>
                <w:color w:val="1F1F1F"/>
                <w:sz w:val="16"/>
                <w:szCs w:val="16"/>
                <w:lang w:val="en-US" w:eastAsia="de-DE"/>
              </w:rPr>
            </w:pPr>
          </w:p>
        </w:tc>
      </w:tr>
      <w:tr w:rsidR="00C50E6D" w:rsidRPr="004515C5" w14:paraId="68279309" w14:textId="77777777" w:rsidTr="00751868">
        <w:trPr>
          <w:trHeight w:val="300"/>
          <w:tblHeader/>
        </w:trPr>
        <w:tc>
          <w:tcPr>
            <w:tcW w:w="150" w:type="pct"/>
            <w:tcBorders>
              <w:top w:val="nil"/>
              <w:left w:val="nil"/>
              <w:bottom w:val="nil"/>
              <w:right w:val="nil"/>
            </w:tcBorders>
          </w:tcPr>
          <w:p w14:paraId="624E2190"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6</w:t>
            </w:r>
          </w:p>
        </w:tc>
        <w:tc>
          <w:tcPr>
            <w:tcW w:w="2398" w:type="pct"/>
            <w:tcBorders>
              <w:top w:val="nil"/>
              <w:left w:val="nil"/>
              <w:bottom w:val="nil"/>
              <w:right w:val="nil"/>
            </w:tcBorders>
            <w:shd w:val="clear" w:color="auto" w:fill="auto"/>
            <w:noWrap/>
            <w:hideMark/>
          </w:tcPr>
          <w:p w14:paraId="6A6A7D48"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any adverse effect of the intervention(s) been captured?</w:t>
            </w:r>
          </w:p>
        </w:tc>
        <w:tc>
          <w:tcPr>
            <w:tcW w:w="2452" w:type="pct"/>
            <w:gridSpan w:val="2"/>
            <w:tcBorders>
              <w:top w:val="nil"/>
              <w:left w:val="nil"/>
              <w:bottom w:val="nil"/>
              <w:right w:val="nil"/>
            </w:tcBorders>
            <w:shd w:val="clear" w:color="auto" w:fill="auto"/>
            <w:noWrap/>
            <w:hideMark/>
          </w:tcPr>
          <w:p w14:paraId="1255298C"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 pt. for either modelling adverse events or justification of not including them</w:t>
            </w:r>
          </w:p>
        </w:tc>
      </w:tr>
      <w:tr w:rsidR="00C50E6D" w:rsidRPr="004515C5" w14:paraId="2027D46F" w14:textId="77777777" w:rsidTr="00751868">
        <w:trPr>
          <w:trHeight w:val="300"/>
          <w:tblHeader/>
        </w:trPr>
        <w:tc>
          <w:tcPr>
            <w:tcW w:w="2548" w:type="pct"/>
            <w:gridSpan w:val="2"/>
            <w:tcBorders>
              <w:top w:val="nil"/>
              <w:left w:val="nil"/>
              <w:bottom w:val="nil"/>
              <w:right w:val="nil"/>
            </w:tcBorders>
          </w:tcPr>
          <w:p w14:paraId="51409C6E"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Comparators</w:t>
            </w:r>
          </w:p>
          <w:p w14:paraId="36BE11D6" w14:textId="77777777" w:rsidR="00C50E6D" w:rsidRPr="00C50E6D" w:rsidRDefault="00C50E6D" w:rsidP="00C50E6D">
            <w:pPr>
              <w:spacing w:before="20" w:after="20" w:line="240" w:lineRule="auto"/>
              <w:jc w:val="right"/>
              <w:rPr>
                <w:rFonts w:asciiTheme="majorHAnsi" w:eastAsia="Times New Roman" w:hAnsiTheme="majorHAnsi" w:cstheme="majorHAnsi"/>
                <w:color w:val="000000"/>
                <w:sz w:val="16"/>
                <w:szCs w:val="16"/>
                <w:lang w:val="en-US" w:eastAsia="de-DE"/>
              </w:rPr>
            </w:pPr>
          </w:p>
        </w:tc>
        <w:tc>
          <w:tcPr>
            <w:tcW w:w="2452" w:type="pct"/>
            <w:gridSpan w:val="2"/>
            <w:tcBorders>
              <w:top w:val="nil"/>
              <w:left w:val="nil"/>
              <w:bottom w:val="nil"/>
              <w:right w:val="nil"/>
            </w:tcBorders>
            <w:shd w:val="clear" w:color="auto" w:fill="auto"/>
            <w:noWrap/>
            <w:hideMark/>
          </w:tcPr>
          <w:p w14:paraId="34BF0B78"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14B16652" w14:textId="77777777" w:rsidTr="00751868">
        <w:trPr>
          <w:trHeight w:val="300"/>
          <w:tblHeader/>
        </w:trPr>
        <w:tc>
          <w:tcPr>
            <w:tcW w:w="150" w:type="pct"/>
            <w:tcBorders>
              <w:top w:val="nil"/>
              <w:left w:val="nil"/>
              <w:bottom w:val="nil"/>
              <w:right w:val="nil"/>
            </w:tcBorders>
          </w:tcPr>
          <w:p w14:paraId="330D77FF"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7</w:t>
            </w:r>
          </w:p>
        </w:tc>
        <w:tc>
          <w:tcPr>
            <w:tcW w:w="2398" w:type="pct"/>
            <w:tcBorders>
              <w:top w:val="nil"/>
              <w:left w:val="nil"/>
              <w:bottom w:val="nil"/>
              <w:right w:val="nil"/>
            </w:tcBorders>
            <w:shd w:val="clear" w:color="auto" w:fill="auto"/>
            <w:noWrap/>
            <w:hideMark/>
          </w:tcPr>
          <w:p w14:paraId="26C14B07"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Is there a clear definition of the alternative interventions under evaluation?</w:t>
            </w:r>
          </w:p>
        </w:tc>
        <w:tc>
          <w:tcPr>
            <w:tcW w:w="2452" w:type="pct"/>
            <w:gridSpan w:val="2"/>
            <w:tcBorders>
              <w:top w:val="nil"/>
              <w:left w:val="nil"/>
              <w:bottom w:val="nil"/>
              <w:right w:val="nil"/>
            </w:tcBorders>
            <w:shd w:val="clear" w:color="auto" w:fill="auto"/>
            <w:noWrap/>
            <w:hideMark/>
          </w:tcPr>
          <w:p w14:paraId="606819C4"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 pt. for defining comparators or explicit mentioning of e.g., IVT as comparator in introduction/methods</w:t>
            </w:r>
          </w:p>
        </w:tc>
      </w:tr>
      <w:tr w:rsidR="00C50E6D" w:rsidRPr="004515C5" w14:paraId="0DEEE62F" w14:textId="77777777" w:rsidTr="00751868">
        <w:trPr>
          <w:trHeight w:val="300"/>
          <w:tblHeader/>
        </w:trPr>
        <w:tc>
          <w:tcPr>
            <w:tcW w:w="150" w:type="pct"/>
            <w:tcBorders>
              <w:top w:val="nil"/>
              <w:left w:val="nil"/>
              <w:bottom w:val="nil"/>
              <w:right w:val="nil"/>
            </w:tcBorders>
          </w:tcPr>
          <w:p w14:paraId="74AF23C3"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8</w:t>
            </w:r>
          </w:p>
        </w:tc>
        <w:tc>
          <w:tcPr>
            <w:tcW w:w="2398" w:type="pct"/>
            <w:tcBorders>
              <w:top w:val="nil"/>
              <w:left w:val="nil"/>
              <w:bottom w:val="nil"/>
              <w:right w:val="nil"/>
            </w:tcBorders>
            <w:shd w:val="clear" w:color="auto" w:fill="auto"/>
            <w:noWrap/>
            <w:hideMark/>
          </w:tcPr>
          <w:p w14:paraId="7DFBF715"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Is there a discussion around feasible options or justification for the exclusion of feasible options?</w:t>
            </w:r>
          </w:p>
        </w:tc>
        <w:tc>
          <w:tcPr>
            <w:tcW w:w="2452" w:type="pct"/>
            <w:gridSpan w:val="2"/>
            <w:tcBorders>
              <w:top w:val="nil"/>
              <w:left w:val="nil"/>
              <w:bottom w:val="nil"/>
              <w:right w:val="nil"/>
            </w:tcBorders>
            <w:shd w:val="clear" w:color="auto" w:fill="auto"/>
            <w:noWrap/>
            <w:hideMark/>
          </w:tcPr>
          <w:p w14:paraId="4642DB96" w14:textId="77777777" w:rsidR="00C50E6D" w:rsidRPr="00C50E6D" w:rsidRDefault="00C50E6D" w:rsidP="00C50E6D">
            <w:pPr>
              <w:spacing w:before="20" w:after="20" w:line="240" w:lineRule="auto"/>
              <w:rPr>
                <w:rFonts w:asciiTheme="majorHAnsi" w:eastAsia="Times New Roman" w:hAnsiTheme="majorHAnsi" w:cstheme="majorHAnsi"/>
                <w:color w:val="1F1F1F"/>
                <w:sz w:val="16"/>
                <w:szCs w:val="16"/>
                <w:lang w:val="en-US" w:eastAsia="de-DE"/>
              </w:rPr>
            </w:pPr>
          </w:p>
        </w:tc>
      </w:tr>
      <w:tr w:rsidR="00C50E6D" w:rsidRPr="004515C5" w14:paraId="26D3121E" w14:textId="77777777" w:rsidTr="00751868">
        <w:trPr>
          <w:trHeight w:val="300"/>
          <w:tblHeader/>
        </w:trPr>
        <w:tc>
          <w:tcPr>
            <w:tcW w:w="2548" w:type="pct"/>
            <w:gridSpan w:val="2"/>
            <w:tcBorders>
              <w:top w:val="nil"/>
              <w:left w:val="nil"/>
              <w:bottom w:val="nil"/>
              <w:right w:val="nil"/>
            </w:tcBorders>
          </w:tcPr>
          <w:p w14:paraId="210140A3"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Time horizon</w:t>
            </w:r>
          </w:p>
          <w:p w14:paraId="48198375" w14:textId="77777777" w:rsidR="00C50E6D" w:rsidRPr="00C50E6D" w:rsidRDefault="00C50E6D" w:rsidP="00C50E6D">
            <w:pPr>
              <w:spacing w:before="20" w:after="20" w:line="240" w:lineRule="auto"/>
              <w:jc w:val="right"/>
              <w:rPr>
                <w:rFonts w:asciiTheme="majorHAnsi" w:eastAsia="Times New Roman" w:hAnsiTheme="majorHAnsi" w:cstheme="majorHAnsi"/>
                <w:color w:val="000000"/>
                <w:sz w:val="16"/>
                <w:szCs w:val="16"/>
                <w:lang w:val="en-US" w:eastAsia="de-DE"/>
              </w:rPr>
            </w:pPr>
          </w:p>
        </w:tc>
        <w:tc>
          <w:tcPr>
            <w:tcW w:w="2452" w:type="pct"/>
            <w:gridSpan w:val="2"/>
            <w:tcBorders>
              <w:top w:val="nil"/>
              <w:left w:val="nil"/>
              <w:bottom w:val="nil"/>
              <w:right w:val="nil"/>
            </w:tcBorders>
            <w:shd w:val="clear" w:color="auto" w:fill="auto"/>
            <w:noWrap/>
            <w:hideMark/>
          </w:tcPr>
          <w:p w14:paraId="15D4FBF8"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326E9133" w14:textId="77777777" w:rsidTr="00751868">
        <w:trPr>
          <w:trHeight w:val="300"/>
          <w:tblHeader/>
        </w:trPr>
        <w:tc>
          <w:tcPr>
            <w:tcW w:w="150" w:type="pct"/>
            <w:tcBorders>
              <w:top w:val="nil"/>
              <w:left w:val="nil"/>
              <w:bottom w:val="single" w:sz="4" w:space="0" w:color="auto"/>
              <w:right w:val="nil"/>
            </w:tcBorders>
          </w:tcPr>
          <w:p w14:paraId="0A6AC525"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9</w:t>
            </w:r>
          </w:p>
        </w:tc>
        <w:tc>
          <w:tcPr>
            <w:tcW w:w="2398" w:type="pct"/>
            <w:tcBorders>
              <w:top w:val="nil"/>
              <w:left w:val="nil"/>
              <w:bottom w:val="single" w:sz="4" w:space="0" w:color="auto"/>
              <w:right w:val="nil"/>
            </w:tcBorders>
            <w:shd w:val="clear" w:color="auto" w:fill="auto"/>
            <w:noWrap/>
            <w:hideMark/>
          </w:tcPr>
          <w:p w14:paraId="3D19D16B"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Is the time horizon of the model justified and sufficient to reflect all the important differences between options?</w:t>
            </w:r>
          </w:p>
        </w:tc>
        <w:tc>
          <w:tcPr>
            <w:tcW w:w="2452" w:type="pct"/>
            <w:gridSpan w:val="2"/>
            <w:tcBorders>
              <w:top w:val="nil"/>
              <w:left w:val="nil"/>
              <w:bottom w:val="single" w:sz="4" w:space="0" w:color="auto"/>
              <w:right w:val="nil"/>
            </w:tcBorders>
            <w:shd w:val="clear" w:color="auto" w:fill="auto"/>
            <w:noWrap/>
            <w:hideMark/>
          </w:tcPr>
          <w:p w14:paraId="2283B975"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 pt. if starting age + time horizon equals average life expectancy; justification should be provided if time horizon is shorter than lifetime</w:t>
            </w:r>
          </w:p>
        </w:tc>
      </w:tr>
      <w:tr w:rsidR="00C50E6D" w:rsidRPr="00C50E6D" w14:paraId="07A93FB2" w14:textId="77777777" w:rsidTr="00751868">
        <w:trPr>
          <w:trHeight w:val="300"/>
          <w:tblHeader/>
        </w:trPr>
        <w:tc>
          <w:tcPr>
            <w:tcW w:w="2548" w:type="pct"/>
            <w:gridSpan w:val="2"/>
            <w:tcBorders>
              <w:top w:val="single" w:sz="4" w:space="0" w:color="auto"/>
              <w:left w:val="nil"/>
              <w:bottom w:val="single" w:sz="4" w:space="0" w:color="auto"/>
              <w:right w:val="nil"/>
            </w:tcBorders>
          </w:tcPr>
          <w:p w14:paraId="56C5273F" w14:textId="77777777" w:rsidR="00C50E6D" w:rsidRPr="00C50E6D" w:rsidRDefault="00C50E6D" w:rsidP="00C50E6D">
            <w:pPr>
              <w:spacing w:before="20" w:after="20" w:line="240" w:lineRule="auto"/>
              <w:rPr>
                <w:rFonts w:asciiTheme="majorHAnsi" w:eastAsia="Times New Roman" w:hAnsiTheme="majorHAnsi" w:cstheme="majorHAnsi"/>
                <w:b/>
                <w:bCs/>
                <w:color w:val="000000"/>
                <w:sz w:val="20"/>
                <w:szCs w:val="20"/>
                <w:lang w:val="en-US" w:eastAsia="de-DE"/>
              </w:rPr>
            </w:pPr>
            <w:r w:rsidRPr="00C50E6D">
              <w:rPr>
                <w:rFonts w:asciiTheme="majorHAnsi" w:eastAsia="Times New Roman" w:hAnsiTheme="majorHAnsi" w:cstheme="majorHAnsi"/>
                <w:b/>
                <w:bCs/>
                <w:color w:val="000000"/>
                <w:sz w:val="20"/>
                <w:szCs w:val="20"/>
                <w:lang w:val="en-US" w:eastAsia="de-DE"/>
              </w:rPr>
              <w:t>Model concept</w:t>
            </w:r>
          </w:p>
        </w:tc>
        <w:tc>
          <w:tcPr>
            <w:tcW w:w="2452" w:type="pct"/>
            <w:gridSpan w:val="2"/>
            <w:tcBorders>
              <w:top w:val="single" w:sz="4" w:space="0" w:color="auto"/>
              <w:left w:val="nil"/>
              <w:bottom w:val="single" w:sz="4" w:space="0" w:color="auto"/>
              <w:right w:val="nil"/>
            </w:tcBorders>
            <w:shd w:val="clear" w:color="auto" w:fill="auto"/>
            <w:noWrap/>
            <w:hideMark/>
          </w:tcPr>
          <w:p w14:paraId="647F6DEE"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4"/>
                <w:szCs w:val="14"/>
                <w:lang w:val="en-US" w:eastAsia="de-DE"/>
              </w:rPr>
            </w:pPr>
          </w:p>
        </w:tc>
      </w:tr>
      <w:tr w:rsidR="00C50E6D" w:rsidRPr="00C50E6D" w14:paraId="56B172EF" w14:textId="77777777" w:rsidTr="00751868">
        <w:trPr>
          <w:trHeight w:val="300"/>
          <w:tblHeader/>
        </w:trPr>
        <w:tc>
          <w:tcPr>
            <w:tcW w:w="2548" w:type="pct"/>
            <w:gridSpan w:val="2"/>
            <w:tcBorders>
              <w:top w:val="single" w:sz="4" w:space="0" w:color="auto"/>
              <w:left w:val="nil"/>
              <w:bottom w:val="nil"/>
              <w:right w:val="nil"/>
            </w:tcBorders>
          </w:tcPr>
          <w:p w14:paraId="02FD494A"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Choice of model type</w:t>
            </w:r>
          </w:p>
          <w:p w14:paraId="49F14325" w14:textId="77777777" w:rsidR="00C50E6D" w:rsidRPr="00C50E6D" w:rsidRDefault="00C50E6D" w:rsidP="00C50E6D">
            <w:pPr>
              <w:spacing w:before="20" w:after="20" w:line="240" w:lineRule="auto"/>
              <w:jc w:val="right"/>
              <w:rPr>
                <w:rFonts w:asciiTheme="majorHAnsi" w:eastAsia="Times New Roman" w:hAnsiTheme="majorHAnsi" w:cstheme="majorHAnsi"/>
                <w:color w:val="000000"/>
                <w:sz w:val="14"/>
                <w:szCs w:val="14"/>
                <w:lang w:val="en-US" w:eastAsia="de-DE"/>
              </w:rPr>
            </w:pPr>
          </w:p>
        </w:tc>
        <w:tc>
          <w:tcPr>
            <w:tcW w:w="2452" w:type="pct"/>
            <w:gridSpan w:val="2"/>
            <w:tcBorders>
              <w:top w:val="single" w:sz="4" w:space="0" w:color="auto"/>
              <w:left w:val="nil"/>
              <w:bottom w:val="nil"/>
              <w:right w:val="nil"/>
            </w:tcBorders>
            <w:shd w:val="clear" w:color="auto" w:fill="auto"/>
            <w:noWrap/>
            <w:hideMark/>
          </w:tcPr>
          <w:p w14:paraId="47A9C32D" w14:textId="77777777" w:rsidR="00C50E6D" w:rsidRPr="00C50E6D" w:rsidRDefault="00C50E6D" w:rsidP="00C50E6D">
            <w:pPr>
              <w:spacing w:before="20" w:after="20" w:line="240" w:lineRule="auto"/>
              <w:rPr>
                <w:rFonts w:asciiTheme="majorHAnsi" w:eastAsia="Times New Roman" w:hAnsiTheme="majorHAnsi" w:cstheme="majorHAnsi"/>
                <w:sz w:val="14"/>
                <w:szCs w:val="14"/>
                <w:lang w:val="en-US" w:eastAsia="de-DE"/>
              </w:rPr>
            </w:pPr>
          </w:p>
        </w:tc>
      </w:tr>
      <w:tr w:rsidR="00C50E6D" w:rsidRPr="004515C5" w14:paraId="14595535" w14:textId="77777777" w:rsidTr="00751868">
        <w:trPr>
          <w:trHeight w:val="300"/>
          <w:tblHeader/>
        </w:trPr>
        <w:tc>
          <w:tcPr>
            <w:tcW w:w="150" w:type="pct"/>
            <w:tcBorders>
              <w:top w:val="nil"/>
              <w:left w:val="nil"/>
              <w:bottom w:val="nil"/>
              <w:right w:val="nil"/>
            </w:tcBorders>
          </w:tcPr>
          <w:p w14:paraId="70930FA4"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10</w:t>
            </w:r>
          </w:p>
        </w:tc>
        <w:tc>
          <w:tcPr>
            <w:tcW w:w="2398" w:type="pct"/>
            <w:tcBorders>
              <w:top w:val="nil"/>
              <w:left w:val="nil"/>
              <w:bottom w:val="nil"/>
              <w:right w:val="nil"/>
            </w:tcBorders>
            <w:shd w:val="clear" w:color="auto" w:fill="auto"/>
            <w:noWrap/>
            <w:hideMark/>
          </w:tcPr>
          <w:p w14:paraId="54CBF818"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the unit of representation been given?</w:t>
            </w:r>
          </w:p>
        </w:tc>
        <w:tc>
          <w:tcPr>
            <w:tcW w:w="2452" w:type="pct"/>
            <w:gridSpan w:val="2"/>
            <w:tcBorders>
              <w:top w:val="nil"/>
              <w:left w:val="nil"/>
              <w:bottom w:val="nil"/>
              <w:right w:val="nil"/>
            </w:tcBorders>
            <w:shd w:val="clear" w:color="auto" w:fill="auto"/>
            <w:noWrap/>
            <w:hideMark/>
          </w:tcPr>
          <w:p w14:paraId="2FF991C1" w14:textId="77777777" w:rsidR="00C50E6D" w:rsidRPr="00C50E6D" w:rsidRDefault="00C50E6D" w:rsidP="00C50E6D">
            <w:pPr>
              <w:spacing w:before="20" w:after="20" w:line="240" w:lineRule="auto"/>
              <w:rPr>
                <w:rFonts w:asciiTheme="majorHAnsi" w:eastAsia="Times New Roman" w:hAnsiTheme="majorHAnsi" w:cstheme="majorHAnsi"/>
                <w:color w:val="1F1F1F"/>
                <w:sz w:val="16"/>
                <w:szCs w:val="16"/>
                <w:lang w:val="en-US" w:eastAsia="de-DE"/>
              </w:rPr>
            </w:pPr>
          </w:p>
        </w:tc>
      </w:tr>
      <w:tr w:rsidR="00C50E6D" w:rsidRPr="004515C5" w14:paraId="2BAD5669" w14:textId="77777777" w:rsidTr="00751868">
        <w:trPr>
          <w:trHeight w:val="300"/>
          <w:tblHeader/>
        </w:trPr>
        <w:tc>
          <w:tcPr>
            <w:tcW w:w="150" w:type="pct"/>
            <w:tcBorders>
              <w:top w:val="nil"/>
              <w:left w:val="nil"/>
              <w:bottom w:val="nil"/>
              <w:right w:val="nil"/>
            </w:tcBorders>
          </w:tcPr>
          <w:p w14:paraId="42269FA8"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11</w:t>
            </w:r>
          </w:p>
        </w:tc>
        <w:tc>
          <w:tcPr>
            <w:tcW w:w="2398" w:type="pct"/>
            <w:tcBorders>
              <w:top w:val="nil"/>
              <w:left w:val="nil"/>
              <w:bottom w:val="nil"/>
              <w:right w:val="nil"/>
            </w:tcBorders>
            <w:shd w:val="clear" w:color="auto" w:fill="auto"/>
            <w:noWrap/>
            <w:hideMark/>
          </w:tcPr>
          <w:p w14:paraId="5EC7BBDB"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Is there a need to model the interaction between individuals in this model? Has this been discussed?</w:t>
            </w:r>
          </w:p>
        </w:tc>
        <w:tc>
          <w:tcPr>
            <w:tcW w:w="2452" w:type="pct"/>
            <w:gridSpan w:val="2"/>
            <w:tcBorders>
              <w:top w:val="nil"/>
              <w:left w:val="nil"/>
              <w:bottom w:val="nil"/>
              <w:right w:val="nil"/>
            </w:tcBorders>
            <w:shd w:val="clear" w:color="auto" w:fill="auto"/>
            <w:noWrap/>
            <w:hideMark/>
          </w:tcPr>
          <w:p w14:paraId="2F7EB9DE"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NA assigned for all articles since stroke is not transmissible</w:t>
            </w:r>
          </w:p>
        </w:tc>
      </w:tr>
      <w:tr w:rsidR="00C50E6D" w:rsidRPr="00C50E6D" w14:paraId="6E0D9223" w14:textId="77777777" w:rsidTr="00F139A6">
        <w:trPr>
          <w:trHeight w:val="300"/>
          <w:tblHeader/>
        </w:trPr>
        <w:tc>
          <w:tcPr>
            <w:tcW w:w="150" w:type="pct"/>
            <w:tcBorders>
              <w:top w:val="nil"/>
              <w:left w:val="nil"/>
              <w:bottom w:val="nil"/>
              <w:right w:val="nil"/>
            </w:tcBorders>
          </w:tcPr>
          <w:p w14:paraId="33D8CF0A"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12</w:t>
            </w:r>
          </w:p>
        </w:tc>
        <w:tc>
          <w:tcPr>
            <w:tcW w:w="2398" w:type="pct"/>
            <w:tcBorders>
              <w:top w:val="nil"/>
              <w:left w:val="nil"/>
              <w:bottom w:val="nil"/>
              <w:right w:val="nil"/>
            </w:tcBorders>
            <w:shd w:val="clear" w:color="auto" w:fill="auto"/>
            <w:noWrap/>
            <w:hideMark/>
          </w:tcPr>
          <w:p w14:paraId="1F8B84C2"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Does the decision problem require a short time horizon?</w:t>
            </w:r>
          </w:p>
        </w:tc>
        <w:tc>
          <w:tcPr>
            <w:tcW w:w="2452" w:type="pct"/>
            <w:gridSpan w:val="2"/>
            <w:tcBorders>
              <w:top w:val="nil"/>
              <w:left w:val="nil"/>
              <w:bottom w:val="nil"/>
              <w:right w:val="nil"/>
            </w:tcBorders>
            <w:shd w:val="clear" w:color="auto" w:fill="auto"/>
            <w:noWrap/>
            <w:hideMark/>
          </w:tcPr>
          <w:p w14:paraId="4670BCF3"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 xml:space="preserve">Lifetime deemed appropriate </w:t>
            </w:r>
          </w:p>
        </w:tc>
      </w:tr>
      <w:tr w:rsidR="00C50E6D" w:rsidRPr="004515C5" w14:paraId="72602A0A" w14:textId="77777777" w:rsidTr="00F139A6">
        <w:trPr>
          <w:trHeight w:val="300"/>
          <w:tblHeader/>
        </w:trPr>
        <w:tc>
          <w:tcPr>
            <w:tcW w:w="150" w:type="pct"/>
            <w:tcBorders>
              <w:top w:val="nil"/>
              <w:left w:val="nil"/>
              <w:bottom w:val="single" w:sz="4" w:space="0" w:color="auto"/>
              <w:right w:val="nil"/>
            </w:tcBorders>
          </w:tcPr>
          <w:p w14:paraId="19AC3D15"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13</w:t>
            </w:r>
          </w:p>
        </w:tc>
        <w:tc>
          <w:tcPr>
            <w:tcW w:w="2398" w:type="pct"/>
            <w:tcBorders>
              <w:top w:val="nil"/>
              <w:left w:val="nil"/>
              <w:bottom w:val="single" w:sz="4" w:space="0" w:color="auto"/>
              <w:right w:val="nil"/>
            </w:tcBorders>
            <w:shd w:val="clear" w:color="auto" w:fill="auto"/>
            <w:noWrap/>
            <w:hideMark/>
          </w:tcPr>
          <w:p w14:paraId="7FB0058C"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Is it necessary to model time in discrete cycles?</w:t>
            </w:r>
          </w:p>
        </w:tc>
        <w:tc>
          <w:tcPr>
            <w:tcW w:w="2452" w:type="pct"/>
            <w:gridSpan w:val="2"/>
            <w:tcBorders>
              <w:top w:val="nil"/>
              <w:left w:val="nil"/>
              <w:bottom w:val="single" w:sz="4" w:space="0" w:color="auto"/>
              <w:right w:val="nil"/>
            </w:tcBorders>
            <w:shd w:val="clear" w:color="auto" w:fill="auto"/>
            <w:noWrap/>
            <w:hideMark/>
          </w:tcPr>
          <w:p w14:paraId="1ED1D189"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p>
        </w:tc>
      </w:tr>
      <w:tr w:rsidR="00C50E6D" w:rsidRPr="004515C5" w14:paraId="3C0A67A4" w14:textId="77777777" w:rsidTr="00F139A6">
        <w:trPr>
          <w:trHeight w:val="300"/>
          <w:tblHeader/>
        </w:trPr>
        <w:tc>
          <w:tcPr>
            <w:tcW w:w="150" w:type="pct"/>
            <w:tcBorders>
              <w:top w:val="single" w:sz="4" w:space="0" w:color="auto"/>
              <w:left w:val="nil"/>
              <w:bottom w:val="nil"/>
              <w:right w:val="nil"/>
            </w:tcBorders>
          </w:tcPr>
          <w:p w14:paraId="6E39C774"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lastRenderedPageBreak/>
              <w:t>14</w:t>
            </w:r>
          </w:p>
        </w:tc>
        <w:tc>
          <w:tcPr>
            <w:tcW w:w="2398" w:type="pct"/>
            <w:tcBorders>
              <w:top w:val="single" w:sz="4" w:space="0" w:color="auto"/>
              <w:left w:val="nil"/>
              <w:bottom w:val="nil"/>
              <w:right w:val="nil"/>
            </w:tcBorders>
            <w:shd w:val="clear" w:color="auto" w:fill="auto"/>
            <w:noWrap/>
            <w:hideMark/>
          </w:tcPr>
          <w:p w14:paraId="39A596DD"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Is there a need to model competition for resources or the development of waiting lists or queues?</w:t>
            </w:r>
          </w:p>
        </w:tc>
        <w:tc>
          <w:tcPr>
            <w:tcW w:w="2452" w:type="pct"/>
            <w:gridSpan w:val="2"/>
            <w:tcBorders>
              <w:top w:val="single" w:sz="4" w:space="0" w:color="auto"/>
              <w:left w:val="nil"/>
              <w:bottom w:val="nil"/>
              <w:right w:val="nil"/>
            </w:tcBorders>
            <w:shd w:val="clear" w:color="auto" w:fill="auto"/>
            <w:noWrap/>
            <w:hideMark/>
          </w:tcPr>
          <w:p w14:paraId="20998184"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Since capacities and stroke demand should be approximately constant, there is no need to model competition, so 1 pt. assigned to all articles</w:t>
            </w:r>
          </w:p>
        </w:tc>
      </w:tr>
      <w:tr w:rsidR="00C50E6D" w:rsidRPr="004515C5" w14:paraId="24A58A69" w14:textId="77777777" w:rsidTr="00751868">
        <w:trPr>
          <w:trHeight w:val="300"/>
          <w:tblHeader/>
        </w:trPr>
        <w:tc>
          <w:tcPr>
            <w:tcW w:w="150" w:type="pct"/>
            <w:tcBorders>
              <w:top w:val="nil"/>
              <w:left w:val="nil"/>
              <w:bottom w:val="nil"/>
              <w:right w:val="nil"/>
            </w:tcBorders>
          </w:tcPr>
          <w:p w14:paraId="7636CB60"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15</w:t>
            </w:r>
          </w:p>
        </w:tc>
        <w:tc>
          <w:tcPr>
            <w:tcW w:w="2398" w:type="pct"/>
            <w:tcBorders>
              <w:top w:val="nil"/>
              <w:left w:val="nil"/>
              <w:bottom w:val="nil"/>
              <w:right w:val="nil"/>
            </w:tcBorders>
            <w:shd w:val="clear" w:color="auto" w:fill="auto"/>
            <w:noWrap/>
            <w:hideMark/>
          </w:tcPr>
          <w:p w14:paraId="2F25290C"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a type of model been chosen and discussed?</w:t>
            </w:r>
          </w:p>
        </w:tc>
        <w:tc>
          <w:tcPr>
            <w:tcW w:w="2452" w:type="pct"/>
            <w:gridSpan w:val="2"/>
            <w:tcBorders>
              <w:top w:val="nil"/>
              <w:left w:val="nil"/>
              <w:bottom w:val="nil"/>
              <w:right w:val="nil"/>
            </w:tcBorders>
            <w:shd w:val="clear" w:color="auto" w:fill="auto"/>
            <w:noWrap/>
            <w:hideMark/>
          </w:tcPr>
          <w:p w14:paraId="3FA47EE9"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 pt. for explicit discussion/comparison with other modelling types</w:t>
            </w:r>
          </w:p>
        </w:tc>
      </w:tr>
      <w:tr w:rsidR="00C50E6D" w:rsidRPr="00C50E6D" w14:paraId="4D116A90" w14:textId="77777777" w:rsidTr="00751868">
        <w:trPr>
          <w:trHeight w:val="300"/>
          <w:tblHeader/>
        </w:trPr>
        <w:tc>
          <w:tcPr>
            <w:tcW w:w="2548" w:type="pct"/>
            <w:gridSpan w:val="2"/>
            <w:tcBorders>
              <w:top w:val="nil"/>
              <w:left w:val="nil"/>
              <w:bottom w:val="nil"/>
              <w:right w:val="nil"/>
            </w:tcBorders>
          </w:tcPr>
          <w:p w14:paraId="7DBBA8D8"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Model structure</w:t>
            </w:r>
          </w:p>
          <w:p w14:paraId="23496A58" w14:textId="77777777" w:rsidR="00C50E6D" w:rsidRPr="00C50E6D" w:rsidRDefault="00C50E6D" w:rsidP="00C50E6D">
            <w:pPr>
              <w:spacing w:before="20" w:after="20" w:line="240" w:lineRule="auto"/>
              <w:jc w:val="right"/>
              <w:rPr>
                <w:rFonts w:asciiTheme="majorHAnsi" w:eastAsia="Times New Roman" w:hAnsiTheme="majorHAnsi" w:cstheme="majorHAnsi"/>
                <w:color w:val="000000"/>
                <w:sz w:val="16"/>
                <w:szCs w:val="16"/>
                <w:lang w:val="en-US" w:eastAsia="de-DE"/>
              </w:rPr>
            </w:pPr>
          </w:p>
        </w:tc>
        <w:tc>
          <w:tcPr>
            <w:tcW w:w="2452" w:type="pct"/>
            <w:gridSpan w:val="2"/>
            <w:tcBorders>
              <w:top w:val="nil"/>
              <w:left w:val="nil"/>
              <w:bottom w:val="nil"/>
              <w:right w:val="nil"/>
            </w:tcBorders>
            <w:shd w:val="clear" w:color="auto" w:fill="auto"/>
            <w:noWrap/>
            <w:hideMark/>
          </w:tcPr>
          <w:p w14:paraId="52817FD2"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37BE969D" w14:textId="77777777" w:rsidTr="00751868">
        <w:trPr>
          <w:trHeight w:val="300"/>
          <w:tblHeader/>
        </w:trPr>
        <w:tc>
          <w:tcPr>
            <w:tcW w:w="150" w:type="pct"/>
            <w:tcBorders>
              <w:top w:val="nil"/>
              <w:left w:val="nil"/>
              <w:bottom w:val="nil"/>
              <w:right w:val="nil"/>
            </w:tcBorders>
          </w:tcPr>
          <w:p w14:paraId="3031F6E5"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16</w:t>
            </w:r>
          </w:p>
        </w:tc>
        <w:tc>
          <w:tcPr>
            <w:tcW w:w="2398" w:type="pct"/>
            <w:tcBorders>
              <w:top w:val="nil"/>
              <w:left w:val="nil"/>
              <w:bottom w:val="nil"/>
              <w:right w:val="nil"/>
            </w:tcBorders>
            <w:shd w:val="clear" w:color="auto" w:fill="auto"/>
            <w:noWrap/>
            <w:hideMark/>
          </w:tcPr>
          <w:p w14:paraId="07D98E34"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the starting cohort been defined by demographic and clinical characteristics affecting the transition probabilities or state values?</w:t>
            </w:r>
          </w:p>
        </w:tc>
        <w:tc>
          <w:tcPr>
            <w:tcW w:w="2452" w:type="pct"/>
            <w:gridSpan w:val="2"/>
            <w:tcBorders>
              <w:top w:val="nil"/>
              <w:left w:val="nil"/>
              <w:bottom w:val="nil"/>
              <w:right w:val="nil"/>
            </w:tcBorders>
            <w:shd w:val="clear" w:color="auto" w:fill="auto"/>
            <w:noWrap/>
            <w:hideMark/>
          </w:tcPr>
          <w:p w14:paraId="403120A8"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 pt. if</w:t>
            </w:r>
            <w:r w:rsidRPr="00C50E6D">
              <w:rPr>
                <w:rFonts w:asciiTheme="majorHAnsi" w:eastAsia="Times New Roman" w:hAnsiTheme="majorHAnsi" w:cstheme="majorHAnsi"/>
                <w:color w:val="333333"/>
                <w:sz w:val="20"/>
                <w:szCs w:val="20"/>
                <w:lang w:val="en-US" w:eastAsia="de-DE"/>
              </w:rPr>
              <w:t xml:space="preserve"> </w:t>
            </w:r>
            <w:r w:rsidRPr="00C50E6D">
              <w:rPr>
                <w:rFonts w:asciiTheme="majorHAnsi" w:eastAsia="Times New Roman" w:hAnsiTheme="majorHAnsi" w:cstheme="majorHAnsi"/>
                <w:color w:val="000000"/>
                <w:sz w:val="16"/>
                <w:szCs w:val="16"/>
                <w:lang w:val="en-US" w:eastAsia="de-DE"/>
              </w:rPr>
              <w:t>parameter inputs are dependent on demographic/clinical characteristics and these characteristics are stated for the starting cohort</w:t>
            </w:r>
          </w:p>
        </w:tc>
      </w:tr>
      <w:tr w:rsidR="00C50E6D" w:rsidRPr="004515C5" w14:paraId="6D27B4AF" w14:textId="77777777" w:rsidTr="00751868">
        <w:trPr>
          <w:trHeight w:val="300"/>
          <w:tblHeader/>
        </w:trPr>
        <w:tc>
          <w:tcPr>
            <w:tcW w:w="150" w:type="pct"/>
            <w:tcBorders>
              <w:top w:val="nil"/>
              <w:left w:val="nil"/>
              <w:bottom w:val="single" w:sz="4" w:space="0" w:color="auto"/>
              <w:right w:val="nil"/>
            </w:tcBorders>
          </w:tcPr>
          <w:p w14:paraId="25A4C6C0"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17</w:t>
            </w:r>
          </w:p>
        </w:tc>
        <w:tc>
          <w:tcPr>
            <w:tcW w:w="2398" w:type="pct"/>
            <w:tcBorders>
              <w:top w:val="nil"/>
              <w:left w:val="nil"/>
              <w:bottom w:val="single" w:sz="4" w:space="0" w:color="auto"/>
              <w:right w:val="nil"/>
            </w:tcBorders>
            <w:shd w:val="clear" w:color="auto" w:fill="auto"/>
            <w:noWrap/>
            <w:hideMark/>
          </w:tcPr>
          <w:p w14:paraId="3D6972B1"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Have health states and transitions reflecting the biological/theoretical understanding of the disease or condition been modeled?</w:t>
            </w:r>
          </w:p>
        </w:tc>
        <w:tc>
          <w:tcPr>
            <w:tcW w:w="2452" w:type="pct"/>
            <w:gridSpan w:val="2"/>
            <w:tcBorders>
              <w:top w:val="nil"/>
              <w:left w:val="nil"/>
              <w:bottom w:val="single" w:sz="4" w:space="0" w:color="auto"/>
              <w:right w:val="nil"/>
            </w:tcBorders>
            <w:shd w:val="clear" w:color="auto" w:fill="auto"/>
            <w:noWrap/>
            <w:hideMark/>
          </w:tcPr>
          <w:p w14:paraId="1161B9F5"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 pt. for recurrence AND recovery modeled, 0.5 pt. for one of them, point deductions applied if model is not clear</w:t>
            </w:r>
          </w:p>
        </w:tc>
      </w:tr>
      <w:tr w:rsidR="00C50E6D" w:rsidRPr="00C50E6D" w14:paraId="484BFA42" w14:textId="77777777" w:rsidTr="00751868">
        <w:trPr>
          <w:trHeight w:val="300"/>
          <w:tblHeader/>
        </w:trPr>
        <w:tc>
          <w:tcPr>
            <w:tcW w:w="2548" w:type="pct"/>
            <w:gridSpan w:val="2"/>
            <w:tcBorders>
              <w:top w:val="single" w:sz="4" w:space="0" w:color="auto"/>
              <w:left w:val="nil"/>
              <w:bottom w:val="single" w:sz="4" w:space="0" w:color="auto"/>
              <w:right w:val="nil"/>
            </w:tcBorders>
          </w:tcPr>
          <w:p w14:paraId="274B7EC2" w14:textId="77777777" w:rsidR="00C50E6D" w:rsidRPr="00C50E6D" w:rsidRDefault="00C50E6D" w:rsidP="00C50E6D">
            <w:pPr>
              <w:spacing w:before="20" w:after="20" w:line="240" w:lineRule="auto"/>
              <w:rPr>
                <w:rFonts w:asciiTheme="majorHAnsi" w:eastAsia="Times New Roman" w:hAnsiTheme="majorHAnsi" w:cstheme="majorHAnsi"/>
                <w:b/>
                <w:bCs/>
                <w:color w:val="000000"/>
                <w:sz w:val="24"/>
                <w:szCs w:val="24"/>
                <w:lang w:val="en-US" w:eastAsia="de-DE"/>
              </w:rPr>
            </w:pPr>
            <w:r w:rsidRPr="00C50E6D">
              <w:rPr>
                <w:rFonts w:asciiTheme="majorHAnsi" w:eastAsia="Times New Roman" w:hAnsiTheme="majorHAnsi" w:cstheme="majorHAnsi"/>
                <w:b/>
                <w:bCs/>
                <w:color w:val="000000"/>
                <w:sz w:val="20"/>
                <w:szCs w:val="20"/>
                <w:lang w:val="en-US" w:eastAsia="de-DE"/>
              </w:rPr>
              <w:t>Synthesis of evidence</w:t>
            </w:r>
          </w:p>
        </w:tc>
        <w:tc>
          <w:tcPr>
            <w:tcW w:w="2452" w:type="pct"/>
            <w:gridSpan w:val="2"/>
            <w:tcBorders>
              <w:top w:val="single" w:sz="4" w:space="0" w:color="auto"/>
              <w:left w:val="nil"/>
              <w:bottom w:val="single" w:sz="4" w:space="0" w:color="auto"/>
              <w:right w:val="nil"/>
            </w:tcBorders>
            <w:shd w:val="clear" w:color="auto" w:fill="auto"/>
            <w:noWrap/>
            <w:hideMark/>
          </w:tcPr>
          <w:p w14:paraId="164AA295"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4"/>
                <w:szCs w:val="14"/>
                <w:lang w:val="en-US" w:eastAsia="de-DE"/>
              </w:rPr>
            </w:pPr>
          </w:p>
        </w:tc>
      </w:tr>
      <w:tr w:rsidR="00C50E6D" w:rsidRPr="00C50E6D" w14:paraId="3BA1A3A4" w14:textId="77777777" w:rsidTr="00751868">
        <w:trPr>
          <w:trHeight w:val="300"/>
          <w:tblHeader/>
        </w:trPr>
        <w:tc>
          <w:tcPr>
            <w:tcW w:w="2548" w:type="pct"/>
            <w:gridSpan w:val="2"/>
            <w:tcBorders>
              <w:top w:val="single" w:sz="4" w:space="0" w:color="auto"/>
              <w:left w:val="nil"/>
              <w:bottom w:val="nil"/>
              <w:right w:val="nil"/>
            </w:tcBorders>
          </w:tcPr>
          <w:p w14:paraId="25CC7E6F"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Data Sources</w:t>
            </w:r>
          </w:p>
          <w:p w14:paraId="311B349A" w14:textId="77777777" w:rsidR="00C50E6D" w:rsidRPr="00C50E6D" w:rsidRDefault="00C50E6D" w:rsidP="00C50E6D">
            <w:pPr>
              <w:spacing w:before="20" w:after="20" w:line="240" w:lineRule="auto"/>
              <w:jc w:val="right"/>
              <w:rPr>
                <w:rFonts w:asciiTheme="majorHAnsi" w:eastAsia="Times New Roman" w:hAnsiTheme="majorHAnsi" w:cstheme="majorHAnsi"/>
                <w:color w:val="000000"/>
                <w:sz w:val="16"/>
                <w:szCs w:val="16"/>
                <w:lang w:val="en-US" w:eastAsia="de-DE"/>
              </w:rPr>
            </w:pPr>
          </w:p>
        </w:tc>
        <w:tc>
          <w:tcPr>
            <w:tcW w:w="2452" w:type="pct"/>
            <w:gridSpan w:val="2"/>
            <w:tcBorders>
              <w:top w:val="single" w:sz="4" w:space="0" w:color="auto"/>
              <w:left w:val="nil"/>
              <w:bottom w:val="nil"/>
              <w:right w:val="nil"/>
            </w:tcBorders>
            <w:shd w:val="clear" w:color="auto" w:fill="auto"/>
            <w:noWrap/>
            <w:hideMark/>
          </w:tcPr>
          <w:p w14:paraId="7BBDCE56"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6F64C263" w14:textId="77777777" w:rsidTr="00751868">
        <w:trPr>
          <w:trHeight w:val="300"/>
          <w:tblHeader/>
        </w:trPr>
        <w:tc>
          <w:tcPr>
            <w:tcW w:w="150" w:type="pct"/>
            <w:tcBorders>
              <w:top w:val="nil"/>
              <w:left w:val="nil"/>
              <w:bottom w:val="nil"/>
              <w:right w:val="nil"/>
            </w:tcBorders>
          </w:tcPr>
          <w:p w14:paraId="430FA1B8"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18</w:t>
            </w:r>
          </w:p>
        </w:tc>
        <w:tc>
          <w:tcPr>
            <w:tcW w:w="2398" w:type="pct"/>
            <w:tcBorders>
              <w:top w:val="nil"/>
              <w:left w:val="nil"/>
              <w:bottom w:val="nil"/>
              <w:right w:val="nil"/>
            </w:tcBorders>
            <w:shd w:val="clear" w:color="auto" w:fill="auto"/>
            <w:noWrap/>
            <w:hideMark/>
          </w:tcPr>
          <w:p w14:paraId="49BBF333"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Have transition probabilities and intervention effects been derived from representative data sources for the decision problem?</w:t>
            </w:r>
          </w:p>
        </w:tc>
        <w:tc>
          <w:tcPr>
            <w:tcW w:w="2452" w:type="pct"/>
            <w:gridSpan w:val="2"/>
            <w:tcBorders>
              <w:top w:val="nil"/>
              <w:left w:val="nil"/>
              <w:bottom w:val="nil"/>
              <w:right w:val="nil"/>
            </w:tcBorders>
            <w:shd w:val="clear" w:color="auto" w:fill="auto"/>
            <w:noWrap/>
            <w:hideMark/>
          </w:tcPr>
          <w:p w14:paraId="4A6DBFD2"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 pt. for RCT + cohort data, 0.5 pt. for cohort data only</w:t>
            </w:r>
          </w:p>
        </w:tc>
      </w:tr>
      <w:tr w:rsidR="00C50E6D" w:rsidRPr="004515C5" w14:paraId="6687C7D7" w14:textId="77777777" w:rsidTr="00751868">
        <w:trPr>
          <w:trHeight w:val="300"/>
          <w:tblHeader/>
        </w:trPr>
        <w:tc>
          <w:tcPr>
            <w:tcW w:w="150" w:type="pct"/>
            <w:tcBorders>
              <w:top w:val="nil"/>
              <w:left w:val="nil"/>
              <w:bottom w:val="nil"/>
              <w:right w:val="nil"/>
            </w:tcBorders>
          </w:tcPr>
          <w:p w14:paraId="07824DC6"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19</w:t>
            </w:r>
          </w:p>
        </w:tc>
        <w:tc>
          <w:tcPr>
            <w:tcW w:w="2398" w:type="pct"/>
            <w:tcBorders>
              <w:top w:val="nil"/>
              <w:left w:val="nil"/>
              <w:bottom w:val="nil"/>
              <w:right w:val="nil"/>
            </w:tcBorders>
            <w:shd w:val="clear" w:color="auto" w:fill="auto"/>
            <w:noWrap/>
            <w:hideMark/>
          </w:tcPr>
          <w:p w14:paraId="2CEE5782"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Have (all) methods and assumptions used to derive transition probabilities and intervention effects been described/justified?</w:t>
            </w:r>
          </w:p>
        </w:tc>
        <w:tc>
          <w:tcPr>
            <w:tcW w:w="2452" w:type="pct"/>
            <w:gridSpan w:val="2"/>
            <w:tcBorders>
              <w:top w:val="nil"/>
              <w:left w:val="nil"/>
              <w:bottom w:val="nil"/>
              <w:right w:val="nil"/>
            </w:tcBorders>
            <w:shd w:val="clear" w:color="auto" w:fill="auto"/>
            <w:noWrap/>
            <w:hideMark/>
          </w:tcPr>
          <w:p w14:paraId="4E9FE101"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Point deductions applied if important assumptions e.g., about TPs after recurrence are missing or if TPs/structure is unclear or sources are missing</w:t>
            </w:r>
          </w:p>
        </w:tc>
      </w:tr>
      <w:tr w:rsidR="00C50E6D" w:rsidRPr="004515C5" w14:paraId="3FFD3F8D" w14:textId="77777777" w:rsidTr="00751868">
        <w:trPr>
          <w:trHeight w:val="300"/>
          <w:tblHeader/>
        </w:trPr>
        <w:tc>
          <w:tcPr>
            <w:tcW w:w="150" w:type="pct"/>
            <w:tcBorders>
              <w:top w:val="nil"/>
              <w:left w:val="nil"/>
              <w:bottom w:val="nil"/>
              <w:right w:val="nil"/>
            </w:tcBorders>
          </w:tcPr>
          <w:p w14:paraId="020A7334"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20</w:t>
            </w:r>
          </w:p>
        </w:tc>
        <w:tc>
          <w:tcPr>
            <w:tcW w:w="2398" w:type="pct"/>
            <w:tcBorders>
              <w:top w:val="nil"/>
              <w:left w:val="nil"/>
              <w:bottom w:val="nil"/>
              <w:right w:val="nil"/>
            </w:tcBorders>
            <w:shd w:val="clear" w:color="auto" w:fill="auto"/>
            <w:noWrap/>
            <w:hideMark/>
          </w:tcPr>
          <w:p w14:paraId="65F23B2D"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Have parameters relating to the effectiveness of interventions derived from observational studies been controlled for confounding?</w:t>
            </w:r>
          </w:p>
        </w:tc>
        <w:tc>
          <w:tcPr>
            <w:tcW w:w="2452" w:type="pct"/>
            <w:gridSpan w:val="2"/>
            <w:tcBorders>
              <w:top w:val="nil"/>
              <w:left w:val="nil"/>
              <w:bottom w:val="nil"/>
              <w:right w:val="nil"/>
            </w:tcBorders>
            <w:shd w:val="clear" w:color="auto" w:fill="auto"/>
            <w:noWrap/>
            <w:hideMark/>
          </w:tcPr>
          <w:p w14:paraId="18D50A6A"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If RCTs used = NA. Point deductions applied if non-RCT data used and confounding not addressed</w:t>
            </w:r>
          </w:p>
        </w:tc>
      </w:tr>
      <w:tr w:rsidR="00C50E6D" w:rsidRPr="004515C5" w14:paraId="7A901F70" w14:textId="77777777" w:rsidTr="00751868">
        <w:trPr>
          <w:trHeight w:val="300"/>
          <w:tblHeader/>
        </w:trPr>
        <w:tc>
          <w:tcPr>
            <w:tcW w:w="150" w:type="pct"/>
            <w:tcBorders>
              <w:top w:val="nil"/>
              <w:left w:val="nil"/>
              <w:bottom w:val="nil"/>
              <w:right w:val="nil"/>
            </w:tcBorders>
          </w:tcPr>
          <w:p w14:paraId="717BE327"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21</w:t>
            </w:r>
          </w:p>
        </w:tc>
        <w:tc>
          <w:tcPr>
            <w:tcW w:w="2398" w:type="pct"/>
            <w:tcBorders>
              <w:top w:val="nil"/>
              <w:left w:val="nil"/>
              <w:bottom w:val="nil"/>
              <w:right w:val="nil"/>
            </w:tcBorders>
            <w:shd w:val="clear" w:color="auto" w:fill="auto"/>
            <w:noWrap/>
            <w:hideMark/>
          </w:tcPr>
          <w:p w14:paraId="38C654B1"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the quality of the data been assessed appropriately?</w:t>
            </w:r>
          </w:p>
        </w:tc>
        <w:tc>
          <w:tcPr>
            <w:tcW w:w="2452" w:type="pct"/>
            <w:gridSpan w:val="2"/>
            <w:tcBorders>
              <w:top w:val="nil"/>
              <w:left w:val="nil"/>
              <w:bottom w:val="nil"/>
              <w:right w:val="nil"/>
            </w:tcBorders>
            <w:shd w:val="clear" w:color="auto" w:fill="auto"/>
            <w:noWrap/>
            <w:hideMark/>
          </w:tcPr>
          <w:p w14:paraId="2BABD827" w14:textId="77777777" w:rsidR="00C50E6D" w:rsidRPr="00C50E6D" w:rsidRDefault="00C50E6D" w:rsidP="00C50E6D">
            <w:pPr>
              <w:spacing w:before="20" w:after="20" w:line="240" w:lineRule="auto"/>
              <w:rPr>
                <w:rFonts w:asciiTheme="majorHAnsi" w:eastAsia="Times New Roman" w:hAnsiTheme="majorHAnsi" w:cstheme="majorHAnsi"/>
                <w:color w:val="1F1F1F"/>
                <w:sz w:val="16"/>
                <w:szCs w:val="16"/>
                <w:lang w:val="en-US" w:eastAsia="de-DE"/>
              </w:rPr>
            </w:pPr>
          </w:p>
        </w:tc>
      </w:tr>
      <w:tr w:rsidR="00C50E6D" w:rsidRPr="004515C5" w14:paraId="69DD3331" w14:textId="77777777" w:rsidTr="00751868">
        <w:trPr>
          <w:trHeight w:val="300"/>
          <w:tblHeader/>
        </w:trPr>
        <w:tc>
          <w:tcPr>
            <w:tcW w:w="150" w:type="pct"/>
            <w:tcBorders>
              <w:top w:val="nil"/>
              <w:left w:val="nil"/>
              <w:bottom w:val="nil"/>
              <w:right w:val="nil"/>
            </w:tcBorders>
          </w:tcPr>
          <w:p w14:paraId="061312A3"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22</w:t>
            </w:r>
          </w:p>
        </w:tc>
        <w:tc>
          <w:tcPr>
            <w:tcW w:w="2398" w:type="pct"/>
            <w:tcBorders>
              <w:top w:val="nil"/>
              <w:left w:val="nil"/>
              <w:bottom w:val="nil"/>
              <w:right w:val="nil"/>
            </w:tcBorders>
            <w:shd w:val="clear" w:color="auto" w:fill="auto"/>
            <w:noWrap/>
            <w:hideMark/>
          </w:tcPr>
          <w:p w14:paraId="24BEAFF0"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expert opinion been used, are the methods described and justified?</w:t>
            </w:r>
          </w:p>
        </w:tc>
        <w:tc>
          <w:tcPr>
            <w:tcW w:w="2452" w:type="pct"/>
            <w:gridSpan w:val="2"/>
            <w:tcBorders>
              <w:top w:val="nil"/>
              <w:left w:val="nil"/>
              <w:bottom w:val="nil"/>
              <w:right w:val="nil"/>
            </w:tcBorders>
            <w:shd w:val="clear" w:color="auto" w:fill="auto"/>
            <w:noWrap/>
            <w:hideMark/>
          </w:tcPr>
          <w:p w14:paraId="427050EC" w14:textId="77777777" w:rsidR="00C50E6D" w:rsidRPr="00C50E6D" w:rsidRDefault="00C50E6D" w:rsidP="00C50E6D">
            <w:pPr>
              <w:spacing w:before="20" w:after="20" w:line="240" w:lineRule="auto"/>
              <w:rPr>
                <w:rFonts w:asciiTheme="majorHAnsi" w:eastAsia="Times New Roman" w:hAnsiTheme="majorHAnsi" w:cstheme="majorHAnsi"/>
                <w:color w:val="1F1F1F"/>
                <w:sz w:val="16"/>
                <w:szCs w:val="16"/>
                <w:lang w:val="en-US" w:eastAsia="de-DE"/>
              </w:rPr>
            </w:pPr>
          </w:p>
        </w:tc>
      </w:tr>
      <w:tr w:rsidR="00C50E6D" w:rsidRPr="00C50E6D" w14:paraId="287E4252" w14:textId="77777777" w:rsidTr="00751868">
        <w:trPr>
          <w:trHeight w:val="300"/>
          <w:tblHeader/>
        </w:trPr>
        <w:tc>
          <w:tcPr>
            <w:tcW w:w="2548" w:type="pct"/>
            <w:gridSpan w:val="2"/>
            <w:tcBorders>
              <w:top w:val="nil"/>
              <w:left w:val="nil"/>
              <w:bottom w:val="nil"/>
              <w:right w:val="nil"/>
            </w:tcBorders>
          </w:tcPr>
          <w:p w14:paraId="6601C740"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Utilities</w:t>
            </w:r>
          </w:p>
        </w:tc>
        <w:tc>
          <w:tcPr>
            <w:tcW w:w="2452" w:type="pct"/>
            <w:gridSpan w:val="2"/>
            <w:tcBorders>
              <w:top w:val="nil"/>
              <w:left w:val="nil"/>
              <w:bottom w:val="nil"/>
              <w:right w:val="nil"/>
            </w:tcBorders>
            <w:shd w:val="clear" w:color="auto" w:fill="auto"/>
            <w:noWrap/>
            <w:hideMark/>
          </w:tcPr>
          <w:p w14:paraId="6D45C407"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6605AE74" w14:textId="77777777" w:rsidTr="00751868">
        <w:trPr>
          <w:trHeight w:val="300"/>
          <w:tblHeader/>
        </w:trPr>
        <w:tc>
          <w:tcPr>
            <w:tcW w:w="150" w:type="pct"/>
            <w:tcBorders>
              <w:top w:val="nil"/>
              <w:left w:val="nil"/>
              <w:bottom w:val="nil"/>
              <w:right w:val="nil"/>
            </w:tcBorders>
          </w:tcPr>
          <w:p w14:paraId="0EC30E59"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23</w:t>
            </w:r>
          </w:p>
        </w:tc>
        <w:tc>
          <w:tcPr>
            <w:tcW w:w="2398" w:type="pct"/>
            <w:tcBorders>
              <w:top w:val="nil"/>
              <w:left w:val="nil"/>
              <w:bottom w:val="nil"/>
              <w:right w:val="nil"/>
            </w:tcBorders>
            <w:shd w:val="clear" w:color="auto" w:fill="auto"/>
            <w:noWrap/>
            <w:hideMark/>
          </w:tcPr>
          <w:p w14:paraId="6C0A158A"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Are the utilities incorporated into the model appropriate?</w:t>
            </w:r>
          </w:p>
        </w:tc>
        <w:tc>
          <w:tcPr>
            <w:tcW w:w="2452" w:type="pct"/>
            <w:gridSpan w:val="2"/>
            <w:tcBorders>
              <w:top w:val="nil"/>
              <w:left w:val="nil"/>
              <w:bottom w:val="nil"/>
              <w:right w:val="nil"/>
            </w:tcBorders>
            <w:shd w:val="clear" w:color="auto" w:fill="auto"/>
            <w:noWrap/>
            <w:hideMark/>
          </w:tcPr>
          <w:p w14:paraId="59E94B96" w14:textId="376D9F68"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Point deductions applied if utilities are not country-specific</w:t>
            </w:r>
            <w:r w:rsidR="00327A89" w:rsidRPr="007E56D0">
              <w:rPr>
                <w:rFonts w:asciiTheme="majorHAnsi" w:eastAsia="Times New Roman" w:hAnsiTheme="majorHAnsi" w:cstheme="majorHAnsi"/>
                <w:color w:val="000000"/>
                <w:sz w:val="16"/>
                <w:szCs w:val="16"/>
                <w:lang w:val="en-US" w:eastAsia="de-DE"/>
              </w:rPr>
              <w:t xml:space="preserve"> </w:t>
            </w:r>
            <w:r w:rsidR="00327A89" w:rsidRPr="00C50E6D">
              <w:rPr>
                <w:rFonts w:asciiTheme="majorHAnsi" w:eastAsia="Times New Roman" w:hAnsiTheme="majorHAnsi" w:cstheme="majorHAnsi"/>
                <w:color w:val="000000"/>
                <w:sz w:val="16"/>
                <w:szCs w:val="16"/>
                <w:lang w:val="en-US" w:eastAsia="de-DE"/>
              </w:rPr>
              <w:t>or else flawed, e.g., if sources are missing</w:t>
            </w:r>
          </w:p>
        </w:tc>
      </w:tr>
      <w:tr w:rsidR="00C50E6D" w:rsidRPr="004515C5" w14:paraId="15B96CAD" w14:textId="77777777" w:rsidTr="00751868">
        <w:trPr>
          <w:trHeight w:val="300"/>
          <w:tblHeader/>
        </w:trPr>
        <w:tc>
          <w:tcPr>
            <w:tcW w:w="150" w:type="pct"/>
            <w:tcBorders>
              <w:top w:val="nil"/>
              <w:left w:val="nil"/>
              <w:bottom w:val="nil"/>
              <w:right w:val="nil"/>
            </w:tcBorders>
          </w:tcPr>
          <w:p w14:paraId="030286BD"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24</w:t>
            </w:r>
          </w:p>
        </w:tc>
        <w:tc>
          <w:tcPr>
            <w:tcW w:w="2398" w:type="pct"/>
            <w:tcBorders>
              <w:top w:val="nil"/>
              <w:left w:val="nil"/>
              <w:bottom w:val="nil"/>
              <w:right w:val="nil"/>
            </w:tcBorders>
            <w:shd w:val="clear" w:color="auto" w:fill="auto"/>
            <w:noWrap/>
            <w:hideMark/>
          </w:tcPr>
          <w:p w14:paraId="12F7B809"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Is the source for the utility weights referenced?</w:t>
            </w:r>
          </w:p>
        </w:tc>
        <w:tc>
          <w:tcPr>
            <w:tcW w:w="2452" w:type="pct"/>
            <w:gridSpan w:val="2"/>
            <w:tcBorders>
              <w:top w:val="nil"/>
              <w:left w:val="nil"/>
              <w:bottom w:val="nil"/>
              <w:right w:val="nil"/>
            </w:tcBorders>
            <w:shd w:val="clear" w:color="auto" w:fill="auto"/>
            <w:noWrap/>
            <w:hideMark/>
          </w:tcPr>
          <w:p w14:paraId="445BEDAA"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Point deductions applied if original source is not cited</w:t>
            </w:r>
          </w:p>
        </w:tc>
      </w:tr>
      <w:tr w:rsidR="00C50E6D" w:rsidRPr="004515C5" w14:paraId="510B32CA" w14:textId="77777777" w:rsidTr="00751868">
        <w:trPr>
          <w:trHeight w:val="300"/>
          <w:tblHeader/>
        </w:trPr>
        <w:tc>
          <w:tcPr>
            <w:tcW w:w="2548" w:type="pct"/>
            <w:gridSpan w:val="2"/>
            <w:tcBorders>
              <w:top w:val="nil"/>
              <w:left w:val="nil"/>
              <w:bottom w:val="nil"/>
              <w:right w:val="nil"/>
            </w:tcBorders>
          </w:tcPr>
          <w:p w14:paraId="058ADB21"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Cycle length and half-cycle correction</w:t>
            </w:r>
          </w:p>
        </w:tc>
        <w:tc>
          <w:tcPr>
            <w:tcW w:w="2452" w:type="pct"/>
            <w:gridSpan w:val="2"/>
            <w:tcBorders>
              <w:top w:val="nil"/>
              <w:left w:val="nil"/>
              <w:bottom w:val="nil"/>
              <w:right w:val="nil"/>
            </w:tcBorders>
            <w:shd w:val="clear" w:color="auto" w:fill="auto"/>
            <w:noWrap/>
            <w:hideMark/>
          </w:tcPr>
          <w:p w14:paraId="3B052FE5"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7338F9E0" w14:textId="77777777" w:rsidTr="00751868">
        <w:trPr>
          <w:trHeight w:val="300"/>
          <w:tblHeader/>
        </w:trPr>
        <w:tc>
          <w:tcPr>
            <w:tcW w:w="150" w:type="pct"/>
            <w:tcBorders>
              <w:top w:val="nil"/>
              <w:left w:val="nil"/>
              <w:bottom w:val="nil"/>
              <w:right w:val="nil"/>
            </w:tcBorders>
          </w:tcPr>
          <w:p w14:paraId="35A85DFA"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25</w:t>
            </w:r>
          </w:p>
        </w:tc>
        <w:tc>
          <w:tcPr>
            <w:tcW w:w="2398" w:type="pct"/>
            <w:tcBorders>
              <w:top w:val="nil"/>
              <w:left w:val="nil"/>
              <w:bottom w:val="nil"/>
              <w:right w:val="nil"/>
            </w:tcBorders>
            <w:shd w:val="clear" w:color="auto" w:fill="auto"/>
            <w:noWrap/>
            <w:hideMark/>
          </w:tcPr>
          <w:p w14:paraId="172A1D8F"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the choice of cycle length been justified?</w:t>
            </w:r>
          </w:p>
        </w:tc>
        <w:tc>
          <w:tcPr>
            <w:tcW w:w="2452" w:type="pct"/>
            <w:gridSpan w:val="2"/>
            <w:tcBorders>
              <w:top w:val="nil"/>
              <w:left w:val="nil"/>
              <w:bottom w:val="nil"/>
              <w:right w:val="nil"/>
            </w:tcBorders>
            <w:shd w:val="clear" w:color="auto" w:fill="auto"/>
            <w:noWrap/>
            <w:hideMark/>
          </w:tcPr>
          <w:p w14:paraId="45BCB357"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0.5 pts. if cycle length mentioned, 1 pt. if justified, 0 pt. if not mentioned</w:t>
            </w:r>
          </w:p>
        </w:tc>
      </w:tr>
      <w:tr w:rsidR="00C50E6D" w:rsidRPr="004515C5" w14:paraId="24CFC1A7" w14:textId="77777777" w:rsidTr="00751868">
        <w:trPr>
          <w:trHeight w:val="300"/>
          <w:tblHeader/>
        </w:trPr>
        <w:tc>
          <w:tcPr>
            <w:tcW w:w="150" w:type="pct"/>
            <w:tcBorders>
              <w:top w:val="nil"/>
              <w:left w:val="nil"/>
              <w:bottom w:val="nil"/>
              <w:right w:val="nil"/>
            </w:tcBorders>
          </w:tcPr>
          <w:p w14:paraId="6BD70E71"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26</w:t>
            </w:r>
          </w:p>
        </w:tc>
        <w:tc>
          <w:tcPr>
            <w:tcW w:w="2398" w:type="pct"/>
            <w:tcBorders>
              <w:top w:val="nil"/>
              <w:left w:val="nil"/>
              <w:bottom w:val="nil"/>
              <w:right w:val="nil"/>
            </w:tcBorders>
            <w:shd w:val="clear" w:color="auto" w:fill="auto"/>
            <w:noWrap/>
            <w:hideMark/>
          </w:tcPr>
          <w:p w14:paraId="3451FFDC"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the use of a half-cycle correction been stated?</w:t>
            </w:r>
          </w:p>
        </w:tc>
        <w:tc>
          <w:tcPr>
            <w:tcW w:w="2452" w:type="pct"/>
            <w:gridSpan w:val="2"/>
            <w:tcBorders>
              <w:top w:val="nil"/>
              <w:left w:val="nil"/>
              <w:bottom w:val="nil"/>
              <w:right w:val="nil"/>
            </w:tcBorders>
            <w:shd w:val="clear" w:color="auto" w:fill="auto"/>
            <w:noWrap/>
            <w:hideMark/>
          </w:tcPr>
          <w:p w14:paraId="48D169AC"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 pt. if half-cycle correction applied, 0 pts. if not applied</w:t>
            </w:r>
          </w:p>
        </w:tc>
      </w:tr>
      <w:tr w:rsidR="00C50E6D" w:rsidRPr="00C50E6D" w14:paraId="46329449" w14:textId="77777777" w:rsidTr="00751868">
        <w:trPr>
          <w:trHeight w:val="300"/>
          <w:tblHeader/>
        </w:trPr>
        <w:tc>
          <w:tcPr>
            <w:tcW w:w="2548" w:type="pct"/>
            <w:gridSpan w:val="2"/>
            <w:tcBorders>
              <w:top w:val="nil"/>
              <w:left w:val="nil"/>
              <w:bottom w:val="nil"/>
              <w:right w:val="nil"/>
            </w:tcBorders>
          </w:tcPr>
          <w:p w14:paraId="5144F929"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Resources/costs</w:t>
            </w:r>
          </w:p>
        </w:tc>
        <w:tc>
          <w:tcPr>
            <w:tcW w:w="2452" w:type="pct"/>
            <w:gridSpan w:val="2"/>
            <w:tcBorders>
              <w:top w:val="nil"/>
              <w:left w:val="nil"/>
              <w:bottom w:val="nil"/>
              <w:right w:val="nil"/>
            </w:tcBorders>
            <w:shd w:val="clear" w:color="auto" w:fill="auto"/>
            <w:noWrap/>
            <w:hideMark/>
          </w:tcPr>
          <w:p w14:paraId="5E177D66"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135FE0FC" w14:textId="77777777" w:rsidTr="00751868">
        <w:trPr>
          <w:trHeight w:val="300"/>
          <w:tblHeader/>
        </w:trPr>
        <w:tc>
          <w:tcPr>
            <w:tcW w:w="150" w:type="pct"/>
            <w:tcBorders>
              <w:top w:val="nil"/>
              <w:left w:val="nil"/>
              <w:bottom w:val="nil"/>
              <w:right w:val="nil"/>
            </w:tcBorders>
          </w:tcPr>
          <w:p w14:paraId="1D6F9362"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27</w:t>
            </w:r>
          </w:p>
        </w:tc>
        <w:tc>
          <w:tcPr>
            <w:tcW w:w="2398" w:type="pct"/>
            <w:tcBorders>
              <w:top w:val="nil"/>
              <w:left w:val="nil"/>
              <w:bottom w:val="nil"/>
              <w:right w:val="nil"/>
            </w:tcBorders>
            <w:shd w:val="clear" w:color="auto" w:fill="auto"/>
            <w:noWrap/>
            <w:hideMark/>
          </w:tcPr>
          <w:p w14:paraId="5C75C86D"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Are the costs incorporated into the model justified and sources described?</w:t>
            </w:r>
          </w:p>
        </w:tc>
        <w:tc>
          <w:tcPr>
            <w:tcW w:w="2452" w:type="pct"/>
            <w:gridSpan w:val="2"/>
            <w:tcBorders>
              <w:top w:val="nil"/>
              <w:left w:val="nil"/>
              <w:bottom w:val="nil"/>
              <w:right w:val="nil"/>
            </w:tcBorders>
            <w:shd w:val="clear" w:color="auto" w:fill="auto"/>
            <w:noWrap/>
            <w:hideMark/>
          </w:tcPr>
          <w:p w14:paraId="2D96F5C9"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Point deductions applied if costs not country-specific or else flawed, e.g., if sources are missing</w:t>
            </w:r>
          </w:p>
        </w:tc>
      </w:tr>
      <w:tr w:rsidR="00C50E6D" w:rsidRPr="004515C5" w14:paraId="401F80CD" w14:textId="77777777" w:rsidTr="00751868">
        <w:trPr>
          <w:trHeight w:val="300"/>
          <w:tblHeader/>
        </w:trPr>
        <w:tc>
          <w:tcPr>
            <w:tcW w:w="150" w:type="pct"/>
            <w:tcBorders>
              <w:top w:val="nil"/>
              <w:left w:val="nil"/>
              <w:bottom w:val="nil"/>
              <w:right w:val="nil"/>
            </w:tcBorders>
          </w:tcPr>
          <w:p w14:paraId="6046E987"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28</w:t>
            </w:r>
          </w:p>
        </w:tc>
        <w:tc>
          <w:tcPr>
            <w:tcW w:w="2398" w:type="pct"/>
            <w:tcBorders>
              <w:top w:val="nil"/>
              <w:left w:val="nil"/>
              <w:bottom w:val="nil"/>
              <w:right w:val="nil"/>
            </w:tcBorders>
            <w:shd w:val="clear" w:color="auto" w:fill="auto"/>
            <w:noWrap/>
            <w:hideMark/>
          </w:tcPr>
          <w:p w14:paraId="1B79D2E9"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Have discount rates been reported and justified given the target decision maker?</w:t>
            </w:r>
          </w:p>
        </w:tc>
        <w:tc>
          <w:tcPr>
            <w:tcW w:w="2452" w:type="pct"/>
            <w:gridSpan w:val="2"/>
            <w:tcBorders>
              <w:top w:val="nil"/>
              <w:left w:val="nil"/>
              <w:bottom w:val="nil"/>
              <w:right w:val="nil"/>
            </w:tcBorders>
            <w:shd w:val="clear" w:color="auto" w:fill="auto"/>
            <w:noWrap/>
            <w:hideMark/>
          </w:tcPr>
          <w:p w14:paraId="2B9CF995"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Point deductions if not reported, or if the same discount rate was applied to different countries or it is not clear whether outcomes are discounted as well</w:t>
            </w:r>
          </w:p>
        </w:tc>
      </w:tr>
      <w:tr w:rsidR="00C50E6D" w:rsidRPr="00C50E6D" w14:paraId="60964DFB" w14:textId="77777777" w:rsidTr="00751868">
        <w:trPr>
          <w:trHeight w:val="300"/>
          <w:tblHeader/>
        </w:trPr>
        <w:tc>
          <w:tcPr>
            <w:tcW w:w="2548" w:type="pct"/>
            <w:gridSpan w:val="2"/>
            <w:tcBorders>
              <w:top w:val="nil"/>
              <w:left w:val="nil"/>
              <w:bottom w:val="nil"/>
              <w:right w:val="nil"/>
            </w:tcBorders>
          </w:tcPr>
          <w:p w14:paraId="139D10BE"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Patient heterogeneity</w:t>
            </w:r>
          </w:p>
        </w:tc>
        <w:tc>
          <w:tcPr>
            <w:tcW w:w="2452" w:type="pct"/>
            <w:gridSpan w:val="2"/>
            <w:tcBorders>
              <w:top w:val="nil"/>
              <w:left w:val="nil"/>
              <w:bottom w:val="nil"/>
              <w:right w:val="nil"/>
            </w:tcBorders>
            <w:shd w:val="clear" w:color="auto" w:fill="auto"/>
            <w:noWrap/>
            <w:hideMark/>
          </w:tcPr>
          <w:p w14:paraId="0B97FB74"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5FE71A47" w14:textId="77777777" w:rsidTr="00F139A6">
        <w:trPr>
          <w:trHeight w:val="300"/>
          <w:tblHeader/>
        </w:trPr>
        <w:tc>
          <w:tcPr>
            <w:tcW w:w="150" w:type="pct"/>
            <w:tcBorders>
              <w:top w:val="nil"/>
              <w:left w:val="nil"/>
              <w:bottom w:val="nil"/>
              <w:right w:val="nil"/>
            </w:tcBorders>
          </w:tcPr>
          <w:p w14:paraId="013A82E9"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29</w:t>
            </w:r>
          </w:p>
        </w:tc>
        <w:tc>
          <w:tcPr>
            <w:tcW w:w="2398" w:type="pct"/>
            <w:tcBorders>
              <w:top w:val="nil"/>
              <w:left w:val="nil"/>
              <w:bottom w:val="nil"/>
              <w:right w:val="nil"/>
            </w:tcBorders>
            <w:shd w:val="clear" w:color="auto" w:fill="auto"/>
            <w:noWrap/>
            <w:hideMark/>
          </w:tcPr>
          <w:p w14:paraId="3CBCC743"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patient heterogeneity been considered?</w:t>
            </w:r>
          </w:p>
        </w:tc>
        <w:tc>
          <w:tcPr>
            <w:tcW w:w="2452" w:type="pct"/>
            <w:gridSpan w:val="2"/>
            <w:tcBorders>
              <w:top w:val="nil"/>
              <w:left w:val="nil"/>
              <w:bottom w:val="nil"/>
              <w:right w:val="nil"/>
            </w:tcBorders>
            <w:shd w:val="clear" w:color="auto" w:fill="auto"/>
            <w:noWrap/>
            <w:hideMark/>
          </w:tcPr>
          <w:p w14:paraId="31352C09"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0.5 pts. for systematic variation of age/sex, 0.5 pts. for systematic variation of other patient characteristics, i.e., severity, 1 pt. for both</w:t>
            </w:r>
          </w:p>
        </w:tc>
      </w:tr>
      <w:tr w:rsidR="00C50E6D" w:rsidRPr="00C50E6D" w14:paraId="61B3EEC7" w14:textId="77777777" w:rsidTr="00F139A6">
        <w:trPr>
          <w:trHeight w:val="300"/>
          <w:tblHeader/>
        </w:trPr>
        <w:tc>
          <w:tcPr>
            <w:tcW w:w="2548" w:type="pct"/>
            <w:gridSpan w:val="2"/>
            <w:tcBorders>
              <w:top w:val="nil"/>
              <w:left w:val="nil"/>
              <w:bottom w:val="single" w:sz="4" w:space="0" w:color="auto"/>
              <w:right w:val="nil"/>
            </w:tcBorders>
          </w:tcPr>
          <w:p w14:paraId="3FE7FACC"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Parameter precision</w:t>
            </w:r>
          </w:p>
        </w:tc>
        <w:tc>
          <w:tcPr>
            <w:tcW w:w="2452" w:type="pct"/>
            <w:gridSpan w:val="2"/>
            <w:tcBorders>
              <w:top w:val="nil"/>
              <w:left w:val="nil"/>
              <w:bottom w:val="single" w:sz="4" w:space="0" w:color="auto"/>
              <w:right w:val="nil"/>
            </w:tcBorders>
            <w:shd w:val="clear" w:color="auto" w:fill="auto"/>
            <w:noWrap/>
            <w:hideMark/>
          </w:tcPr>
          <w:p w14:paraId="418D3841"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166AE628" w14:textId="77777777" w:rsidTr="00F139A6">
        <w:trPr>
          <w:trHeight w:val="680"/>
          <w:tblHeader/>
        </w:trPr>
        <w:tc>
          <w:tcPr>
            <w:tcW w:w="150" w:type="pct"/>
            <w:tcBorders>
              <w:top w:val="single" w:sz="4" w:space="0" w:color="auto"/>
              <w:left w:val="nil"/>
              <w:bottom w:val="single" w:sz="4" w:space="0" w:color="auto"/>
              <w:right w:val="nil"/>
            </w:tcBorders>
          </w:tcPr>
          <w:p w14:paraId="4EDC27FA"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lastRenderedPageBreak/>
              <w:t>30</w:t>
            </w:r>
          </w:p>
        </w:tc>
        <w:tc>
          <w:tcPr>
            <w:tcW w:w="2398" w:type="pct"/>
            <w:tcBorders>
              <w:top w:val="single" w:sz="4" w:space="0" w:color="auto"/>
              <w:left w:val="nil"/>
              <w:bottom w:val="single" w:sz="4" w:space="0" w:color="auto"/>
              <w:right w:val="nil"/>
            </w:tcBorders>
            <w:shd w:val="clear" w:color="auto" w:fill="auto"/>
            <w:noWrap/>
            <w:hideMark/>
          </w:tcPr>
          <w:p w14:paraId="6EF679EF"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Have mean values and distributions around the mean and the source and rationale for the supporting evidence been clearly described for each parameter included in the model?</w:t>
            </w:r>
          </w:p>
        </w:tc>
        <w:tc>
          <w:tcPr>
            <w:tcW w:w="2452" w:type="pct"/>
            <w:gridSpan w:val="2"/>
            <w:tcBorders>
              <w:top w:val="single" w:sz="4" w:space="0" w:color="auto"/>
              <w:left w:val="nil"/>
              <w:bottom w:val="single" w:sz="4" w:space="0" w:color="auto"/>
              <w:right w:val="nil"/>
            </w:tcBorders>
            <w:shd w:val="clear" w:color="auto" w:fill="auto"/>
            <w:noWrap/>
            <w:hideMark/>
          </w:tcPr>
          <w:p w14:paraId="00B0B70C"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0.5 pts. for DSA ranges, 0.5 pts. for PSA distributions</w:t>
            </w:r>
          </w:p>
        </w:tc>
      </w:tr>
      <w:tr w:rsidR="00C50E6D" w:rsidRPr="00C50E6D" w14:paraId="141015F8" w14:textId="77777777" w:rsidTr="00751868">
        <w:trPr>
          <w:trHeight w:val="300"/>
          <w:tblHeader/>
        </w:trPr>
        <w:tc>
          <w:tcPr>
            <w:tcW w:w="2548" w:type="pct"/>
            <w:gridSpan w:val="2"/>
            <w:tcBorders>
              <w:top w:val="single" w:sz="4" w:space="0" w:color="auto"/>
              <w:left w:val="nil"/>
              <w:bottom w:val="single" w:sz="4" w:space="0" w:color="auto"/>
              <w:right w:val="nil"/>
            </w:tcBorders>
          </w:tcPr>
          <w:p w14:paraId="1E0C591D" w14:textId="77777777" w:rsidR="00C50E6D" w:rsidRPr="00C50E6D" w:rsidRDefault="00C50E6D" w:rsidP="00C50E6D">
            <w:pPr>
              <w:spacing w:before="20" w:after="20" w:line="240" w:lineRule="auto"/>
              <w:rPr>
                <w:rFonts w:asciiTheme="majorHAnsi" w:eastAsia="Times New Roman" w:hAnsiTheme="majorHAnsi" w:cstheme="majorHAnsi"/>
                <w:b/>
                <w:bCs/>
                <w:color w:val="000000"/>
                <w:sz w:val="24"/>
                <w:szCs w:val="24"/>
                <w:lang w:val="en-US" w:eastAsia="de-DE"/>
              </w:rPr>
            </w:pPr>
            <w:r w:rsidRPr="00C50E6D">
              <w:rPr>
                <w:rFonts w:asciiTheme="majorHAnsi" w:eastAsia="Times New Roman" w:hAnsiTheme="majorHAnsi" w:cstheme="majorHAnsi"/>
                <w:b/>
                <w:bCs/>
                <w:color w:val="000000"/>
                <w:sz w:val="20"/>
                <w:szCs w:val="20"/>
                <w:lang w:val="en-US" w:eastAsia="de-DE"/>
              </w:rPr>
              <w:t>Analysis of model uncertainty</w:t>
            </w:r>
          </w:p>
        </w:tc>
        <w:tc>
          <w:tcPr>
            <w:tcW w:w="2452" w:type="pct"/>
            <w:gridSpan w:val="2"/>
            <w:tcBorders>
              <w:top w:val="single" w:sz="4" w:space="0" w:color="auto"/>
              <w:left w:val="nil"/>
              <w:bottom w:val="single" w:sz="4" w:space="0" w:color="auto"/>
              <w:right w:val="nil"/>
            </w:tcBorders>
            <w:shd w:val="clear" w:color="auto" w:fill="auto"/>
            <w:noWrap/>
            <w:hideMark/>
          </w:tcPr>
          <w:p w14:paraId="5AC35E93"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4"/>
                <w:szCs w:val="14"/>
                <w:lang w:val="en-US" w:eastAsia="de-DE"/>
              </w:rPr>
            </w:pPr>
          </w:p>
        </w:tc>
      </w:tr>
      <w:tr w:rsidR="00C50E6D" w:rsidRPr="00C50E6D" w14:paraId="31302AB6" w14:textId="77777777" w:rsidTr="00751868">
        <w:trPr>
          <w:trHeight w:val="300"/>
          <w:tblHeader/>
        </w:trPr>
        <w:tc>
          <w:tcPr>
            <w:tcW w:w="2548" w:type="pct"/>
            <w:gridSpan w:val="2"/>
            <w:tcBorders>
              <w:top w:val="single" w:sz="4" w:space="0" w:color="auto"/>
              <w:left w:val="nil"/>
              <w:bottom w:val="nil"/>
              <w:right w:val="nil"/>
            </w:tcBorders>
          </w:tcPr>
          <w:p w14:paraId="48277DBF" w14:textId="77777777" w:rsidR="00C50E6D" w:rsidRPr="00C50E6D" w:rsidRDefault="00C50E6D" w:rsidP="00C50E6D">
            <w:pPr>
              <w:tabs>
                <w:tab w:val="center" w:pos="1214"/>
                <w:tab w:val="left" w:pos="1659"/>
              </w:tabs>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Uncertainty</w:t>
            </w:r>
          </w:p>
        </w:tc>
        <w:tc>
          <w:tcPr>
            <w:tcW w:w="2452" w:type="pct"/>
            <w:gridSpan w:val="2"/>
            <w:tcBorders>
              <w:top w:val="single" w:sz="4" w:space="0" w:color="auto"/>
              <w:left w:val="nil"/>
              <w:bottom w:val="nil"/>
              <w:right w:val="nil"/>
            </w:tcBorders>
            <w:shd w:val="clear" w:color="auto" w:fill="auto"/>
            <w:noWrap/>
            <w:hideMark/>
          </w:tcPr>
          <w:p w14:paraId="2E0FDA23"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1E7AC2E2" w14:textId="77777777" w:rsidTr="00751868">
        <w:trPr>
          <w:trHeight w:val="300"/>
          <w:tblHeader/>
        </w:trPr>
        <w:tc>
          <w:tcPr>
            <w:tcW w:w="150" w:type="pct"/>
            <w:tcBorders>
              <w:top w:val="nil"/>
              <w:left w:val="nil"/>
              <w:bottom w:val="nil"/>
              <w:right w:val="nil"/>
            </w:tcBorders>
          </w:tcPr>
          <w:p w14:paraId="1FE35239"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31</w:t>
            </w:r>
          </w:p>
        </w:tc>
        <w:tc>
          <w:tcPr>
            <w:tcW w:w="2398" w:type="pct"/>
            <w:tcBorders>
              <w:top w:val="nil"/>
              <w:left w:val="nil"/>
              <w:bottom w:val="nil"/>
              <w:right w:val="nil"/>
            </w:tcBorders>
            <w:shd w:val="clear" w:color="auto" w:fill="auto"/>
            <w:noWrap/>
            <w:hideMark/>
          </w:tcPr>
          <w:p w14:paraId="6ED620D5"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Have analyses of uncertainty pertaining to the decision problem been included and reported? If not, have the reasons been explained for its omission?</w:t>
            </w:r>
          </w:p>
        </w:tc>
        <w:tc>
          <w:tcPr>
            <w:tcW w:w="2452" w:type="pct"/>
            <w:gridSpan w:val="2"/>
            <w:tcBorders>
              <w:top w:val="nil"/>
              <w:left w:val="nil"/>
              <w:bottom w:val="nil"/>
              <w:right w:val="nil"/>
            </w:tcBorders>
            <w:shd w:val="clear" w:color="auto" w:fill="auto"/>
            <w:noWrap/>
            <w:hideMark/>
          </w:tcPr>
          <w:p w14:paraId="27B67A33"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 pt. for conducting PSA or DSA/scenario-analyses</w:t>
            </w:r>
          </w:p>
        </w:tc>
      </w:tr>
      <w:tr w:rsidR="00C50E6D" w:rsidRPr="00C50E6D" w14:paraId="352E58F0" w14:textId="77777777" w:rsidTr="00751868">
        <w:trPr>
          <w:trHeight w:val="300"/>
          <w:tblHeader/>
        </w:trPr>
        <w:tc>
          <w:tcPr>
            <w:tcW w:w="2548" w:type="pct"/>
            <w:gridSpan w:val="2"/>
            <w:tcBorders>
              <w:top w:val="nil"/>
              <w:left w:val="nil"/>
              <w:bottom w:val="nil"/>
              <w:right w:val="nil"/>
            </w:tcBorders>
          </w:tcPr>
          <w:p w14:paraId="66930F19"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Parameter estimation and uncertainty</w:t>
            </w:r>
          </w:p>
        </w:tc>
        <w:tc>
          <w:tcPr>
            <w:tcW w:w="2452" w:type="pct"/>
            <w:gridSpan w:val="2"/>
            <w:tcBorders>
              <w:top w:val="nil"/>
              <w:left w:val="nil"/>
              <w:bottom w:val="nil"/>
              <w:right w:val="nil"/>
            </w:tcBorders>
            <w:shd w:val="clear" w:color="auto" w:fill="auto"/>
            <w:noWrap/>
            <w:hideMark/>
          </w:tcPr>
          <w:p w14:paraId="32B7185C"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364AB0F6" w14:textId="77777777" w:rsidTr="00751868">
        <w:trPr>
          <w:trHeight w:val="300"/>
          <w:tblHeader/>
        </w:trPr>
        <w:tc>
          <w:tcPr>
            <w:tcW w:w="150" w:type="pct"/>
            <w:tcBorders>
              <w:top w:val="nil"/>
              <w:left w:val="nil"/>
              <w:bottom w:val="nil"/>
              <w:right w:val="nil"/>
            </w:tcBorders>
          </w:tcPr>
          <w:p w14:paraId="4E16CF05"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32</w:t>
            </w:r>
          </w:p>
        </w:tc>
        <w:tc>
          <w:tcPr>
            <w:tcW w:w="2398" w:type="pct"/>
            <w:tcBorders>
              <w:top w:val="nil"/>
              <w:left w:val="nil"/>
              <w:bottom w:val="nil"/>
              <w:right w:val="nil"/>
            </w:tcBorders>
            <w:shd w:val="clear" w:color="auto" w:fill="auto"/>
            <w:noWrap/>
            <w:hideMark/>
          </w:tcPr>
          <w:p w14:paraId="5C10D8DE"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one-way DSA or two-way sensitivity analysis been performed?</w:t>
            </w:r>
          </w:p>
        </w:tc>
        <w:tc>
          <w:tcPr>
            <w:tcW w:w="2452" w:type="pct"/>
            <w:gridSpan w:val="2"/>
            <w:tcBorders>
              <w:top w:val="nil"/>
              <w:left w:val="nil"/>
              <w:bottom w:val="nil"/>
              <w:right w:val="nil"/>
            </w:tcBorders>
            <w:shd w:val="clear" w:color="auto" w:fill="auto"/>
            <w:noWrap/>
            <w:hideMark/>
          </w:tcPr>
          <w:p w14:paraId="0D5CA5A0" w14:textId="32318530"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 pt. for conducting DSA/scenario-</w:t>
            </w:r>
            <w:r w:rsidR="00930E7E" w:rsidRPr="007E56D0">
              <w:rPr>
                <w:rFonts w:asciiTheme="majorHAnsi" w:eastAsia="Times New Roman" w:hAnsiTheme="majorHAnsi" w:cstheme="majorHAnsi"/>
                <w:color w:val="000000"/>
                <w:sz w:val="16"/>
                <w:szCs w:val="16"/>
                <w:lang w:val="en-US" w:eastAsia="de-DE"/>
              </w:rPr>
              <w:t>/subgroup-</w:t>
            </w:r>
            <w:r w:rsidRPr="00C50E6D">
              <w:rPr>
                <w:rFonts w:asciiTheme="majorHAnsi" w:eastAsia="Times New Roman" w:hAnsiTheme="majorHAnsi" w:cstheme="majorHAnsi"/>
                <w:color w:val="000000"/>
                <w:sz w:val="16"/>
                <w:szCs w:val="16"/>
                <w:lang w:val="en-US" w:eastAsia="de-DE"/>
              </w:rPr>
              <w:t>analyses, point deductions applied if not sufficiently documented/reported</w:t>
            </w:r>
          </w:p>
        </w:tc>
      </w:tr>
      <w:tr w:rsidR="00C50E6D" w:rsidRPr="004515C5" w14:paraId="613DDDE7" w14:textId="77777777" w:rsidTr="00751868">
        <w:trPr>
          <w:trHeight w:val="330"/>
          <w:tblHeader/>
        </w:trPr>
        <w:tc>
          <w:tcPr>
            <w:tcW w:w="150" w:type="pct"/>
            <w:tcBorders>
              <w:top w:val="nil"/>
              <w:left w:val="nil"/>
              <w:bottom w:val="nil"/>
              <w:right w:val="nil"/>
            </w:tcBorders>
          </w:tcPr>
          <w:p w14:paraId="6A738BEE"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33</w:t>
            </w:r>
          </w:p>
        </w:tc>
        <w:tc>
          <w:tcPr>
            <w:tcW w:w="2398" w:type="pct"/>
            <w:tcBorders>
              <w:top w:val="nil"/>
              <w:left w:val="nil"/>
              <w:bottom w:val="nil"/>
              <w:right w:val="nil"/>
            </w:tcBorders>
            <w:shd w:val="clear" w:color="auto" w:fill="auto"/>
            <w:noWrap/>
            <w:hideMark/>
          </w:tcPr>
          <w:p w14:paraId="6DCC1CFF"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a PSA been included?</w:t>
            </w:r>
          </w:p>
        </w:tc>
        <w:tc>
          <w:tcPr>
            <w:tcW w:w="2452" w:type="pct"/>
            <w:gridSpan w:val="2"/>
            <w:tcBorders>
              <w:top w:val="nil"/>
              <w:left w:val="nil"/>
              <w:bottom w:val="nil"/>
              <w:right w:val="nil"/>
            </w:tcBorders>
            <w:shd w:val="clear" w:color="auto" w:fill="auto"/>
            <w:noWrap/>
            <w:hideMark/>
          </w:tcPr>
          <w:p w14:paraId="4A816649"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1 pt. for conducting PSA, point deductions applied applied if not sufficiently documented/reported</w:t>
            </w:r>
          </w:p>
        </w:tc>
      </w:tr>
      <w:tr w:rsidR="00C50E6D" w:rsidRPr="004515C5" w14:paraId="29DD3744" w14:textId="77777777" w:rsidTr="00751868">
        <w:trPr>
          <w:trHeight w:val="300"/>
          <w:tblHeader/>
        </w:trPr>
        <w:tc>
          <w:tcPr>
            <w:tcW w:w="150" w:type="pct"/>
            <w:tcBorders>
              <w:top w:val="nil"/>
              <w:left w:val="nil"/>
              <w:bottom w:val="nil"/>
              <w:right w:val="nil"/>
            </w:tcBorders>
          </w:tcPr>
          <w:p w14:paraId="1D76C987"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34</w:t>
            </w:r>
          </w:p>
        </w:tc>
        <w:tc>
          <w:tcPr>
            <w:tcW w:w="2398" w:type="pct"/>
            <w:tcBorders>
              <w:top w:val="nil"/>
              <w:left w:val="nil"/>
              <w:bottom w:val="nil"/>
              <w:right w:val="nil"/>
            </w:tcBorders>
            <w:shd w:val="clear" w:color="auto" w:fill="auto"/>
            <w:noWrap/>
            <w:hideMark/>
          </w:tcPr>
          <w:p w14:paraId="711DF504"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correlation among parameters been assessed?</w:t>
            </w:r>
          </w:p>
        </w:tc>
        <w:tc>
          <w:tcPr>
            <w:tcW w:w="2452" w:type="pct"/>
            <w:gridSpan w:val="2"/>
            <w:tcBorders>
              <w:top w:val="nil"/>
              <w:left w:val="nil"/>
              <w:bottom w:val="nil"/>
              <w:right w:val="nil"/>
            </w:tcBorders>
            <w:shd w:val="clear" w:color="auto" w:fill="auto"/>
            <w:noWrap/>
            <w:hideMark/>
          </w:tcPr>
          <w:p w14:paraId="254D8467"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0.5 pts. for mentioning assumptions regarding correlation, 1 pt. for assessment</w:t>
            </w:r>
          </w:p>
        </w:tc>
      </w:tr>
      <w:tr w:rsidR="00C50E6D" w:rsidRPr="004515C5" w14:paraId="38959210" w14:textId="77777777" w:rsidTr="00751868">
        <w:trPr>
          <w:trHeight w:val="300"/>
          <w:tblHeader/>
        </w:trPr>
        <w:tc>
          <w:tcPr>
            <w:tcW w:w="150" w:type="pct"/>
            <w:tcBorders>
              <w:top w:val="nil"/>
              <w:left w:val="nil"/>
              <w:bottom w:val="nil"/>
              <w:right w:val="nil"/>
            </w:tcBorders>
          </w:tcPr>
          <w:p w14:paraId="269DE8FF"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35</w:t>
            </w:r>
          </w:p>
        </w:tc>
        <w:tc>
          <w:tcPr>
            <w:tcW w:w="2398" w:type="pct"/>
            <w:tcBorders>
              <w:top w:val="nil"/>
              <w:left w:val="nil"/>
              <w:bottom w:val="nil"/>
              <w:right w:val="nil"/>
            </w:tcBorders>
            <w:shd w:val="clear" w:color="auto" w:fill="auto"/>
            <w:noWrap/>
            <w:hideMark/>
          </w:tcPr>
          <w:p w14:paraId="13004872"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If model calibration was used to derive parameters, has the uncertainty around calibrated values been tested using DSA or PSA?</w:t>
            </w:r>
          </w:p>
        </w:tc>
        <w:tc>
          <w:tcPr>
            <w:tcW w:w="2452" w:type="pct"/>
            <w:gridSpan w:val="2"/>
            <w:tcBorders>
              <w:top w:val="nil"/>
              <w:left w:val="nil"/>
              <w:bottom w:val="nil"/>
              <w:right w:val="nil"/>
            </w:tcBorders>
            <w:shd w:val="clear" w:color="auto" w:fill="auto"/>
            <w:noWrap/>
            <w:hideMark/>
          </w:tcPr>
          <w:p w14:paraId="0CE7EDAC"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NA if no calibration conducted, 1 pt. if uncertainty around calibrated values tested, 0 pts. if calibration was conducted without uncertainty testing</w:t>
            </w:r>
          </w:p>
        </w:tc>
      </w:tr>
      <w:tr w:rsidR="00C50E6D" w:rsidRPr="00C50E6D" w14:paraId="4D1787F9" w14:textId="77777777" w:rsidTr="00751868">
        <w:trPr>
          <w:trHeight w:val="300"/>
          <w:tblHeader/>
        </w:trPr>
        <w:tc>
          <w:tcPr>
            <w:tcW w:w="2548" w:type="pct"/>
            <w:gridSpan w:val="2"/>
            <w:tcBorders>
              <w:top w:val="nil"/>
              <w:left w:val="nil"/>
              <w:bottom w:val="nil"/>
              <w:right w:val="nil"/>
            </w:tcBorders>
          </w:tcPr>
          <w:p w14:paraId="5D113A97"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Structural uncertainty</w:t>
            </w:r>
          </w:p>
        </w:tc>
        <w:tc>
          <w:tcPr>
            <w:tcW w:w="2452" w:type="pct"/>
            <w:gridSpan w:val="2"/>
            <w:tcBorders>
              <w:top w:val="nil"/>
              <w:left w:val="nil"/>
              <w:bottom w:val="nil"/>
              <w:right w:val="nil"/>
            </w:tcBorders>
            <w:shd w:val="clear" w:color="auto" w:fill="auto"/>
            <w:noWrap/>
            <w:hideMark/>
          </w:tcPr>
          <w:p w14:paraId="79019755"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4515C5" w14:paraId="02D30A83" w14:textId="77777777" w:rsidTr="00751868">
        <w:trPr>
          <w:trHeight w:val="300"/>
          <w:tblHeader/>
        </w:trPr>
        <w:tc>
          <w:tcPr>
            <w:tcW w:w="150" w:type="pct"/>
            <w:tcBorders>
              <w:top w:val="nil"/>
              <w:left w:val="nil"/>
              <w:bottom w:val="nil"/>
              <w:right w:val="nil"/>
            </w:tcBorders>
          </w:tcPr>
          <w:p w14:paraId="1AC82B1C"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36</w:t>
            </w:r>
          </w:p>
        </w:tc>
        <w:tc>
          <w:tcPr>
            <w:tcW w:w="2398" w:type="pct"/>
            <w:tcBorders>
              <w:top w:val="nil"/>
              <w:left w:val="nil"/>
              <w:bottom w:val="nil"/>
              <w:right w:val="nil"/>
            </w:tcBorders>
            <w:shd w:val="clear" w:color="auto" w:fill="auto"/>
            <w:noWrap/>
            <w:hideMark/>
          </w:tcPr>
          <w:p w14:paraId="0C2A87DF"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a discussion about the inclusion/exclusion of assumptions affecting the structure of the model been included?</w:t>
            </w:r>
          </w:p>
        </w:tc>
        <w:tc>
          <w:tcPr>
            <w:tcW w:w="2452" w:type="pct"/>
            <w:gridSpan w:val="2"/>
            <w:tcBorders>
              <w:top w:val="nil"/>
              <w:left w:val="nil"/>
              <w:bottom w:val="nil"/>
              <w:right w:val="nil"/>
            </w:tcBorders>
            <w:shd w:val="clear" w:color="auto" w:fill="auto"/>
            <w:noWrap/>
            <w:hideMark/>
          </w:tcPr>
          <w:p w14:paraId="56AB406A"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 xml:space="preserve">1 pt. for systematically testing structural assumptions, e.g., allowing recovery to lower mRS-values in scenario analyses </w:t>
            </w:r>
          </w:p>
        </w:tc>
      </w:tr>
      <w:tr w:rsidR="00C50E6D" w:rsidRPr="004515C5" w14:paraId="5223FEBD" w14:textId="77777777" w:rsidTr="00751868">
        <w:trPr>
          <w:trHeight w:val="300"/>
          <w:tblHeader/>
        </w:trPr>
        <w:tc>
          <w:tcPr>
            <w:tcW w:w="2548" w:type="pct"/>
            <w:gridSpan w:val="2"/>
            <w:tcBorders>
              <w:top w:val="nil"/>
              <w:left w:val="nil"/>
              <w:bottom w:val="nil"/>
              <w:right w:val="nil"/>
            </w:tcBorders>
          </w:tcPr>
          <w:p w14:paraId="7546FB8F"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Other reporting of uncertainty analyses</w:t>
            </w:r>
          </w:p>
        </w:tc>
        <w:tc>
          <w:tcPr>
            <w:tcW w:w="2452" w:type="pct"/>
            <w:gridSpan w:val="2"/>
            <w:tcBorders>
              <w:top w:val="nil"/>
              <w:left w:val="nil"/>
              <w:bottom w:val="nil"/>
              <w:right w:val="nil"/>
            </w:tcBorders>
            <w:shd w:val="clear" w:color="auto" w:fill="auto"/>
            <w:noWrap/>
            <w:hideMark/>
          </w:tcPr>
          <w:p w14:paraId="3F2D9117"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1E2D03" w14:paraId="02B41FD4" w14:textId="77777777" w:rsidTr="00751868">
        <w:trPr>
          <w:trHeight w:val="300"/>
          <w:tblHeader/>
        </w:trPr>
        <w:tc>
          <w:tcPr>
            <w:tcW w:w="150" w:type="pct"/>
            <w:tcBorders>
              <w:top w:val="nil"/>
              <w:left w:val="nil"/>
              <w:bottom w:val="single" w:sz="4" w:space="0" w:color="auto"/>
              <w:right w:val="nil"/>
            </w:tcBorders>
          </w:tcPr>
          <w:p w14:paraId="49F07B44"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37</w:t>
            </w:r>
          </w:p>
        </w:tc>
        <w:tc>
          <w:tcPr>
            <w:tcW w:w="2398" w:type="pct"/>
            <w:tcBorders>
              <w:top w:val="nil"/>
              <w:left w:val="nil"/>
              <w:bottom w:val="single" w:sz="4" w:space="0" w:color="auto"/>
              <w:right w:val="nil"/>
            </w:tcBorders>
            <w:shd w:val="clear" w:color="auto" w:fill="auto"/>
            <w:noWrap/>
            <w:hideMark/>
          </w:tcPr>
          <w:p w14:paraId="29B5BB0B"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the EVPI being measured/discussed?</w:t>
            </w:r>
          </w:p>
        </w:tc>
        <w:tc>
          <w:tcPr>
            <w:tcW w:w="2452" w:type="pct"/>
            <w:gridSpan w:val="2"/>
            <w:tcBorders>
              <w:top w:val="nil"/>
              <w:left w:val="nil"/>
              <w:bottom w:val="single" w:sz="4" w:space="0" w:color="auto"/>
              <w:right w:val="nil"/>
            </w:tcBorders>
            <w:shd w:val="clear" w:color="auto" w:fill="auto"/>
            <w:noWrap/>
            <w:hideMark/>
          </w:tcPr>
          <w:p w14:paraId="3BD55895" w14:textId="77777777" w:rsidR="00C50E6D" w:rsidRPr="00C50E6D" w:rsidRDefault="00C50E6D" w:rsidP="00C50E6D">
            <w:pPr>
              <w:spacing w:before="20" w:after="20" w:line="240" w:lineRule="auto"/>
              <w:rPr>
                <w:rFonts w:asciiTheme="majorHAnsi" w:eastAsia="Times New Roman" w:hAnsiTheme="majorHAnsi" w:cstheme="majorHAnsi"/>
                <w:color w:val="1F1F1F"/>
                <w:sz w:val="16"/>
                <w:szCs w:val="16"/>
                <w:lang w:val="en-US" w:eastAsia="de-DE"/>
              </w:rPr>
            </w:pPr>
          </w:p>
        </w:tc>
      </w:tr>
      <w:tr w:rsidR="00C50E6D" w:rsidRPr="00C50E6D" w14:paraId="7E521FD1" w14:textId="77777777" w:rsidTr="00751868">
        <w:trPr>
          <w:trHeight w:val="340"/>
          <w:tblHeader/>
        </w:trPr>
        <w:tc>
          <w:tcPr>
            <w:tcW w:w="2548" w:type="pct"/>
            <w:gridSpan w:val="2"/>
            <w:tcBorders>
              <w:top w:val="single" w:sz="4" w:space="0" w:color="auto"/>
              <w:left w:val="nil"/>
              <w:bottom w:val="single" w:sz="4" w:space="0" w:color="auto"/>
              <w:right w:val="nil"/>
            </w:tcBorders>
          </w:tcPr>
          <w:p w14:paraId="5335B75F" w14:textId="77777777" w:rsidR="00C50E6D" w:rsidRPr="00C50E6D" w:rsidRDefault="00C50E6D" w:rsidP="00C50E6D">
            <w:pPr>
              <w:spacing w:before="20" w:after="20" w:line="240" w:lineRule="auto"/>
              <w:rPr>
                <w:rFonts w:asciiTheme="majorHAnsi" w:eastAsia="Times New Roman" w:hAnsiTheme="majorHAnsi" w:cstheme="majorHAnsi"/>
                <w:b/>
                <w:bCs/>
                <w:color w:val="000000"/>
                <w:sz w:val="24"/>
                <w:szCs w:val="24"/>
                <w:lang w:val="en-US" w:eastAsia="de-DE"/>
              </w:rPr>
            </w:pPr>
            <w:r w:rsidRPr="00C50E6D">
              <w:rPr>
                <w:rFonts w:asciiTheme="majorHAnsi" w:eastAsia="Times New Roman" w:hAnsiTheme="majorHAnsi" w:cstheme="majorHAnsi"/>
                <w:b/>
                <w:bCs/>
                <w:color w:val="000000"/>
                <w:sz w:val="20"/>
                <w:szCs w:val="20"/>
                <w:lang w:val="en-US" w:eastAsia="de-DE"/>
              </w:rPr>
              <w:t>Model transparency and validation</w:t>
            </w:r>
          </w:p>
        </w:tc>
        <w:tc>
          <w:tcPr>
            <w:tcW w:w="2452" w:type="pct"/>
            <w:gridSpan w:val="2"/>
            <w:tcBorders>
              <w:top w:val="single" w:sz="4" w:space="0" w:color="auto"/>
              <w:left w:val="nil"/>
              <w:bottom w:val="single" w:sz="4" w:space="0" w:color="auto"/>
              <w:right w:val="nil"/>
            </w:tcBorders>
            <w:shd w:val="clear" w:color="auto" w:fill="auto"/>
            <w:noWrap/>
            <w:hideMark/>
          </w:tcPr>
          <w:p w14:paraId="4EC8898F"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4"/>
                <w:szCs w:val="14"/>
                <w:lang w:val="en-US" w:eastAsia="de-DE"/>
              </w:rPr>
            </w:pPr>
          </w:p>
        </w:tc>
      </w:tr>
      <w:tr w:rsidR="00C50E6D" w:rsidRPr="00C50E6D" w14:paraId="2FFADF0D" w14:textId="77777777" w:rsidTr="00751868">
        <w:trPr>
          <w:trHeight w:val="300"/>
          <w:tblHeader/>
        </w:trPr>
        <w:tc>
          <w:tcPr>
            <w:tcW w:w="2548" w:type="pct"/>
            <w:gridSpan w:val="2"/>
            <w:tcBorders>
              <w:top w:val="single" w:sz="4" w:space="0" w:color="auto"/>
              <w:left w:val="nil"/>
              <w:bottom w:val="nil"/>
              <w:right w:val="nil"/>
            </w:tcBorders>
          </w:tcPr>
          <w:p w14:paraId="2F9B9235"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Transparency</w:t>
            </w:r>
          </w:p>
        </w:tc>
        <w:tc>
          <w:tcPr>
            <w:tcW w:w="2452" w:type="pct"/>
            <w:gridSpan w:val="2"/>
            <w:tcBorders>
              <w:top w:val="single" w:sz="4" w:space="0" w:color="auto"/>
              <w:left w:val="nil"/>
              <w:bottom w:val="nil"/>
              <w:right w:val="nil"/>
            </w:tcBorders>
            <w:shd w:val="clear" w:color="auto" w:fill="auto"/>
            <w:noWrap/>
            <w:hideMark/>
          </w:tcPr>
          <w:p w14:paraId="7E44C9B3"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1E2D03" w14:paraId="47C3C2DA" w14:textId="77777777" w:rsidTr="00751868">
        <w:trPr>
          <w:trHeight w:val="300"/>
          <w:tblHeader/>
        </w:trPr>
        <w:tc>
          <w:tcPr>
            <w:tcW w:w="150" w:type="pct"/>
            <w:tcBorders>
              <w:top w:val="nil"/>
              <w:left w:val="nil"/>
              <w:bottom w:val="nil"/>
              <w:right w:val="nil"/>
            </w:tcBorders>
          </w:tcPr>
          <w:p w14:paraId="464BB57D"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38</w:t>
            </w:r>
          </w:p>
        </w:tc>
        <w:tc>
          <w:tcPr>
            <w:tcW w:w="2398" w:type="pct"/>
            <w:tcBorders>
              <w:top w:val="nil"/>
              <w:left w:val="nil"/>
              <w:bottom w:val="nil"/>
              <w:right w:val="nil"/>
            </w:tcBorders>
            <w:shd w:val="clear" w:color="auto" w:fill="auto"/>
            <w:noWrap/>
            <w:hideMark/>
          </w:tcPr>
          <w:p w14:paraId="617E45FD"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a graphical description of the model been provided?</w:t>
            </w:r>
          </w:p>
        </w:tc>
        <w:tc>
          <w:tcPr>
            <w:tcW w:w="2452" w:type="pct"/>
            <w:gridSpan w:val="2"/>
            <w:tcBorders>
              <w:top w:val="nil"/>
              <w:left w:val="nil"/>
              <w:bottom w:val="nil"/>
              <w:right w:val="nil"/>
            </w:tcBorders>
            <w:shd w:val="clear" w:color="auto" w:fill="auto"/>
            <w:noWrap/>
          </w:tcPr>
          <w:p w14:paraId="444FE2FC"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p>
        </w:tc>
      </w:tr>
      <w:tr w:rsidR="00C50E6D" w:rsidRPr="001E2D03" w14:paraId="51E692FA" w14:textId="77777777" w:rsidTr="00751868">
        <w:trPr>
          <w:trHeight w:val="300"/>
          <w:tblHeader/>
        </w:trPr>
        <w:tc>
          <w:tcPr>
            <w:tcW w:w="150" w:type="pct"/>
            <w:tcBorders>
              <w:top w:val="nil"/>
              <w:left w:val="nil"/>
              <w:bottom w:val="nil"/>
              <w:right w:val="nil"/>
            </w:tcBorders>
          </w:tcPr>
          <w:p w14:paraId="3C16EEDA"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39</w:t>
            </w:r>
          </w:p>
        </w:tc>
        <w:tc>
          <w:tcPr>
            <w:tcW w:w="2398" w:type="pct"/>
            <w:tcBorders>
              <w:top w:val="nil"/>
              <w:left w:val="nil"/>
              <w:bottom w:val="nil"/>
              <w:right w:val="nil"/>
            </w:tcBorders>
            <w:shd w:val="clear" w:color="auto" w:fill="auto"/>
            <w:noWrap/>
            <w:hideMark/>
          </w:tcPr>
          <w:p w14:paraId="56D5E9E0"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Have all sources of funding and their role been identified?</w:t>
            </w:r>
          </w:p>
        </w:tc>
        <w:tc>
          <w:tcPr>
            <w:tcW w:w="2452" w:type="pct"/>
            <w:gridSpan w:val="2"/>
            <w:tcBorders>
              <w:top w:val="nil"/>
              <w:left w:val="nil"/>
              <w:bottom w:val="nil"/>
              <w:right w:val="nil"/>
            </w:tcBorders>
            <w:shd w:val="clear" w:color="auto" w:fill="auto"/>
            <w:noWrap/>
          </w:tcPr>
          <w:p w14:paraId="677A178E"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p>
        </w:tc>
      </w:tr>
      <w:tr w:rsidR="00C50E6D" w:rsidRPr="001E2D03" w14:paraId="00CCF8D5" w14:textId="77777777" w:rsidTr="00751868">
        <w:trPr>
          <w:trHeight w:val="300"/>
          <w:tblHeader/>
        </w:trPr>
        <w:tc>
          <w:tcPr>
            <w:tcW w:w="150" w:type="pct"/>
            <w:tcBorders>
              <w:top w:val="nil"/>
              <w:left w:val="nil"/>
              <w:bottom w:val="nil"/>
              <w:right w:val="nil"/>
            </w:tcBorders>
          </w:tcPr>
          <w:p w14:paraId="15A16C58"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40</w:t>
            </w:r>
          </w:p>
        </w:tc>
        <w:tc>
          <w:tcPr>
            <w:tcW w:w="2398" w:type="pct"/>
            <w:tcBorders>
              <w:top w:val="nil"/>
              <w:left w:val="nil"/>
              <w:bottom w:val="nil"/>
              <w:right w:val="nil"/>
            </w:tcBorders>
            <w:shd w:val="clear" w:color="auto" w:fill="auto"/>
            <w:noWrap/>
            <w:hideMark/>
          </w:tcPr>
          <w:p w14:paraId="6CC6388B"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Have all methods used been customized to specific application(s) and settings?</w:t>
            </w:r>
          </w:p>
        </w:tc>
        <w:tc>
          <w:tcPr>
            <w:tcW w:w="2452" w:type="pct"/>
            <w:gridSpan w:val="2"/>
            <w:tcBorders>
              <w:top w:val="nil"/>
              <w:left w:val="nil"/>
              <w:bottom w:val="nil"/>
              <w:right w:val="nil"/>
            </w:tcBorders>
            <w:shd w:val="clear" w:color="auto" w:fill="auto"/>
            <w:noWrap/>
          </w:tcPr>
          <w:p w14:paraId="0B741EC4"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p>
        </w:tc>
      </w:tr>
      <w:tr w:rsidR="00C50E6D" w:rsidRPr="001E2D03" w14:paraId="0B72D1B5" w14:textId="77777777" w:rsidTr="00751868">
        <w:trPr>
          <w:trHeight w:val="300"/>
          <w:tblHeader/>
        </w:trPr>
        <w:tc>
          <w:tcPr>
            <w:tcW w:w="150" w:type="pct"/>
            <w:tcBorders>
              <w:top w:val="nil"/>
              <w:left w:val="nil"/>
              <w:bottom w:val="nil"/>
              <w:right w:val="nil"/>
            </w:tcBorders>
          </w:tcPr>
          <w:p w14:paraId="5272BCA0"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41</w:t>
            </w:r>
          </w:p>
        </w:tc>
        <w:tc>
          <w:tcPr>
            <w:tcW w:w="2398" w:type="pct"/>
            <w:tcBorders>
              <w:top w:val="nil"/>
              <w:left w:val="nil"/>
              <w:bottom w:val="nil"/>
              <w:right w:val="nil"/>
            </w:tcBorders>
            <w:shd w:val="clear" w:color="auto" w:fill="auto"/>
            <w:noWrap/>
            <w:hideMark/>
          </w:tcPr>
          <w:p w14:paraId="16BB1747"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the report used nontechnical language and clear figures and tables to enhance the understanding of the model?</w:t>
            </w:r>
          </w:p>
        </w:tc>
        <w:tc>
          <w:tcPr>
            <w:tcW w:w="2452" w:type="pct"/>
            <w:gridSpan w:val="2"/>
            <w:tcBorders>
              <w:top w:val="nil"/>
              <w:left w:val="nil"/>
              <w:bottom w:val="nil"/>
              <w:right w:val="nil"/>
            </w:tcBorders>
            <w:shd w:val="clear" w:color="auto" w:fill="auto"/>
            <w:noWrap/>
            <w:hideMark/>
          </w:tcPr>
          <w:p w14:paraId="2278B2DF"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Point deductions applied if figures were not clear, e.g., labels on axis units were missing</w:t>
            </w:r>
          </w:p>
        </w:tc>
      </w:tr>
      <w:tr w:rsidR="00C50E6D" w:rsidRPr="001E2D03" w14:paraId="5D1BC222" w14:textId="77777777" w:rsidTr="00751868">
        <w:trPr>
          <w:trHeight w:val="300"/>
          <w:tblHeader/>
        </w:trPr>
        <w:tc>
          <w:tcPr>
            <w:tcW w:w="150" w:type="pct"/>
            <w:tcBorders>
              <w:top w:val="nil"/>
              <w:left w:val="nil"/>
              <w:bottom w:val="nil"/>
              <w:right w:val="nil"/>
            </w:tcBorders>
          </w:tcPr>
          <w:p w14:paraId="4EE3C52D"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42</w:t>
            </w:r>
          </w:p>
        </w:tc>
        <w:tc>
          <w:tcPr>
            <w:tcW w:w="2398" w:type="pct"/>
            <w:tcBorders>
              <w:top w:val="nil"/>
              <w:left w:val="nil"/>
              <w:bottom w:val="nil"/>
              <w:right w:val="nil"/>
            </w:tcBorders>
            <w:shd w:val="clear" w:color="auto" w:fill="auto"/>
            <w:noWrap/>
            <w:hideMark/>
          </w:tcPr>
          <w:p w14:paraId="13102093"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Have limitations and strengths been acknowledged/discussed?</w:t>
            </w:r>
          </w:p>
        </w:tc>
        <w:tc>
          <w:tcPr>
            <w:tcW w:w="2452" w:type="pct"/>
            <w:gridSpan w:val="2"/>
            <w:tcBorders>
              <w:top w:val="nil"/>
              <w:left w:val="nil"/>
              <w:bottom w:val="nil"/>
              <w:right w:val="nil"/>
            </w:tcBorders>
            <w:shd w:val="clear" w:color="auto" w:fill="auto"/>
            <w:noWrap/>
            <w:hideMark/>
          </w:tcPr>
          <w:p w14:paraId="6CBE56FB"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p>
        </w:tc>
      </w:tr>
      <w:tr w:rsidR="00C50E6D" w:rsidRPr="001E2D03" w14:paraId="0C145CA8" w14:textId="77777777" w:rsidTr="00751868">
        <w:trPr>
          <w:trHeight w:val="300"/>
          <w:tblHeader/>
        </w:trPr>
        <w:tc>
          <w:tcPr>
            <w:tcW w:w="150" w:type="pct"/>
            <w:tcBorders>
              <w:top w:val="nil"/>
              <w:left w:val="nil"/>
              <w:bottom w:val="nil"/>
              <w:right w:val="nil"/>
            </w:tcBorders>
          </w:tcPr>
          <w:p w14:paraId="0CF3825F"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43</w:t>
            </w:r>
          </w:p>
        </w:tc>
        <w:tc>
          <w:tcPr>
            <w:tcW w:w="2398" w:type="pct"/>
            <w:tcBorders>
              <w:top w:val="nil"/>
              <w:left w:val="nil"/>
              <w:bottom w:val="nil"/>
              <w:right w:val="nil"/>
            </w:tcBorders>
            <w:shd w:val="clear" w:color="auto" w:fill="auto"/>
            <w:noWrap/>
            <w:hideMark/>
          </w:tcPr>
          <w:p w14:paraId="74DD3F30"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Is there any reference as to whether technical documentation would be made available at request?</w:t>
            </w:r>
          </w:p>
        </w:tc>
        <w:tc>
          <w:tcPr>
            <w:tcW w:w="2452" w:type="pct"/>
            <w:gridSpan w:val="2"/>
            <w:tcBorders>
              <w:top w:val="nil"/>
              <w:left w:val="nil"/>
              <w:bottom w:val="nil"/>
              <w:right w:val="nil"/>
            </w:tcBorders>
            <w:shd w:val="clear" w:color="auto" w:fill="auto"/>
            <w:noWrap/>
            <w:hideMark/>
          </w:tcPr>
          <w:p w14:paraId="66CE1BFB"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p>
        </w:tc>
      </w:tr>
      <w:tr w:rsidR="00C50E6D" w:rsidRPr="00C50E6D" w14:paraId="4C3FE6F4" w14:textId="77777777" w:rsidTr="00751868">
        <w:trPr>
          <w:trHeight w:val="300"/>
          <w:tblHeader/>
        </w:trPr>
        <w:tc>
          <w:tcPr>
            <w:tcW w:w="2548" w:type="pct"/>
            <w:gridSpan w:val="2"/>
            <w:tcBorders>
              <w:top w:val="nil"/>
              <w:left w:val="nil"/>
              <w:bottom w:val="nil"/>
              <w:right w:val="nil"/>
            </w:tcBorders>
          </w:tcPr>
          <w:p w14:paraId="04333ECD" w14:textId="77777777" w:rsidR="00C50E6D" w:rsidRPr="00C50E6D" w:rsidRDefault="00C50E6D" w:rsidP="00C50E6D">
            <w:pPr>
              <w:spacing w:before="20" w:after="20" w:line="240" w:lineRule="auto"/>
              <w:rPr>
                <w:rFonts w:asciiTheme="majorHAnsi" w:eastAsia="Times New Roman" w:hAnsiTheme="majorHAnsi" w:cstheme="majorHAnsi"/>
                <w:b/>
                <w:bCs/>
                <w:color w:val="000000"/>
                <w:sz w:val="16"/>
                <w:szCs w:val="16"/>
                <w:lang w:val="en-US" w:eastAsia="de-DE"/>
              </w:rPr>
            </w:pPr>
            <w:r w:rsidRPr="00C50E6D">
              <w:rPr>
                <w:rFonts w:asciiTheme="majorHAnsi" w:eastAsia="Times New Roman" w:hAnsiTheme="majorHAnsi" w:cstheme="majorHAnsi"/>
                <w:b/>
                <w:bCs/>
                <w:color w:val="000000"/>
                <w:sz w:val="16"/>
                <w:szCs w:val="16"/>
                <w:lang w:val="en-US" w:eastAsia="de-DE"/>
              </w:rPr>
              <w:t>Validation</w:t>
            </w:r>
          </w:p>
        </w:tc>
        <w:tc>
          <w:tcPr>
            <w:tcW w:w="2452" w:type="pct"/>
            <w:gridSpan w:val="2"/>
            <w:tcBorders>
              <w:top w:val="nil"/>
              <w:left w:val="nil"/>
              <w:bottom w:val="nil"/>
              <w:right w:val="nil"/>
            </w:tcBorders>
            <w:shd w:val="clear" w:color="auto" w:fill="auto"/>
            <w:noWrap/>
            <w:hideMark/>
          </w:tcPr>
          <w:p w14:paraId="3CFCE091" w14:textId="77777777" w:rsidR="00C50E6D" w:rsidRPr="00C50E6D" w:rsidRDefault="00C50E6D" w:rsidP="00C50E6D">
            <w:pPr>
              <w:spacing w:before="20" w:after="20" w:line="240" w:lineRule="auto"/>
              <w:rPr>
                <w:rFonts w:asciiTheme="majorHAnsi" w:eastAsia="Times New Roman" w:hAnsiTheme="majorHAnsi" w:cstheme="majorHAnsi"/>
                <w:sz w:val="16"/>
                <w:szCs w:val="16"/>
                <w:lang w:val="en-US" w:eastAsia="de-DE"/>
              </w:rPr>
            </w:pPr>
          </w:p>
        </w:tc>
      </w:tr>
      <w:tr w:rsidR="00C50E6D" w:rsidRPr="001E2D03" w14:paraId="1EB3C4C1" w14:textId="77777777" w:rsidTr="00751868">
        <w:trPr>
          <w:trHeight w:val="300"/>
          <w:tblHeader/>
        </w:trPr>
        <w:tc>
          <w:tcPr>
            <w:tcW w:w="150" w:type="pct"/>
            <w:tcBorders>
              <w:top w:val="nil"/>
              <w:left w:val="nil"/>
              <w:bottom w:val="nil"/>
              <w:right w:val="nil"/>
            </w:tcBorders>
          </w:tcPr>
          <w:p w14:paraId="4A8BF508"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44</w:t>
            </w:r>
          </w:p>
        </w:tc>
        <w:tc>
          <w:tcPr>
            <w:tcW w:w="2398" w:type="pct"/>
            <w:tcBorders>
              <w:top w:val="nil"/>
              <w:left w:val="nil"/>
              <w:bottom w:val="nil"/>
              <w:right w:val="nil"/>
            </w:tcBorders>
            <w:shd w:val="clear" w:color="auto" w:fill="auto"/>
            <w:noWrap/>
            <w:hideMark/>
          </w:tcPr>
          <w:p w14:paraId="76441E4D"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Is there any evidence of model’s face validity?</w:t>
            </w:r>
          </w:p>
        </w:tc>
        <w:tc>
          <w:tcPr>
            <w:tcW w:w="2452" w:type="pct"/>
            <w:gridSpan w:val="2"/>
            <w:tcBorders>
              <w:top w:val="nil"/>
              <w:left w:val="nil"/>
              <w:bottom w:val="nil"/>
              <w:right w:val="nil"/>
            </w:tcBorders>
            <w:shd w:val="clear" w:color="auto" w:fill="auto"/>
            <w:noWrap/>
            <w:hideMark/>
          </w:tcPr>
          <w:p w14:paraId="2E4B6D7B" w14:textId="77777777" w:rsidR="00C50E6D" w:rsidRPr="00C50E6D" w:rsidRDefault="00C50E6D" w:rsidP="00C50E6D">
            <w:pPr>
              <w:spacing w:before="20" w:after="20" w:line="240" w:lineRule="auto"/>
              <w:rPr>
                <w:rFonts w:asciiTheme="majorHAnsi" w:eastAsia="Times New Roman" w:hAnsiTheme="majorHAnsi" w:cstheme="majorHAnsi"/>
                <w:color w:val="1F1F1F"/>
                <w:sz w:val="16"/>
                <w:szCs w:val="16"/>
                <w:lang w:val="en-US" w:eastAsia="de-DE"/>
              </w:rPr>
            </w:pPr>
          </w:p>
        </w:tc>
      </w:tr>
      <w:tr w:rsidR="00C50E6D" w:rsidRPr="001E2D03" w14:paraId="236C2946" w14:textId="77777777" w:rsidTr="00751868">
        <w:trPr>
          <w:trHeight w:val="300"/>
          <w:tblHeader/>
        </w:trPr>
        <w:tc>
          <w:tcPr>
            <w:tcW w:w="150" w:type="pct"/>
            <w:tcBorders>
              <w:top w:val="nil"/>
              <w:left w:val="nil"/>
              <w:bottom w:val="nil"/>
              <w:right w:val="nil"/>
            </w:tcBorders>
          </w:tcPr>
          <w:p w14:paraId="718FD503"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45</w:t>
            </w:r>
          </w:p>
        </w:tc>
        <w:tc>
          <w:tcPr>
            <w:tcW w:w="2398" w:type="pct"/>
            <w:tcBorders>
              <w:top w:val="nil"/>
              <w:left w:val="nil"/>
              <w:bottom w:val="nil"/>
              <w:right w:val="nil"/>
            </w:tcBorders>
            <w:shd w:val="clear" w:color="auto" w:fill="auto"/>
            <w:noWrap/>
            <w:hideMark/>
          </w:tcPr>
          <w:p w14:paraId="35EBB712"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internal validity been assessed?</w:t>
            </w:r>
          </w:p>
        </w:tc>
        <w:tc>
          <w:tcPr>
            <w:tcW w:w="2452" w:type="pct"/>
            <w:gridSpan w:val="2"/>
            <w:tcBorders>
              <w:top w:val="nil"/>
              <w:left w:val="nil"/>
              <w:bottom w:val="nil"/>
              <w:right w:val="nil"/>
            </w:tcBorders>
            <w:shd w:val="clear" w:color="auto" w:fill="auto"/>
            <w:noWrap/>
            <w:hideMark/>
          </w:tcPr>
          <w:p w14:paraId="2EDB056E" w14:textId="77777777" w:rsidR="00C50E6D" w:rsidRPr="00C50E6D" w:rsidRDefault="00C50E6D" w:rsidP="00C50E6D">
            <w:pPr>
              <w:spacing w:before="20" w:after="20" w:line="240" w:lineRule="auto"/>
              <w:rPr>
                <w:rFonts w:asciiTheme="majorHAnsi" w:eastAsia="Times New Roman" w:hAnsiTheme="majorHAnsi" w:cstheme="majorHAnsi"/>
                <w:color w:val="1F1F1F"/>
                <w:sz w:val="16"/>
                <w:szCs w:val="16"/>
                <w:lang w:val="en-US" w:eastAsia="de-DE"/>
              </w:rPr>
            </w:pPr>
          </w:p>
        </w:tc>
      </w:tr>
      <w:tr w:rsidR="00C50E6D" w:rsidRPr="001E2D03" w14:paraId="62183A3C" w14:textId="77777777" w:rsidTr="00F139A6">
        <w:trPr>
          <w:trHeight w:val="300"/>
          <w:tblHeader/>
        </w:trPr>
        <w:tc>
          <w:tcPr>
            <w:tcW w:w="150" w:type="pct"/>
            <w:tcBorders>
              <w:top w:val="nil"/>
              <w:left w:val="nil"/>
              <w:bottom w:val="nil"/>
              <w:right w:val="nil"/>
            </w:tcBorders>
          </w:tcPr>
          <w:p w14:paraId="077833E1"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46</w:t>
            </w:r>
          </w:p>
        </w:tc>
        <w:tc>
          <w:tcPr>
            <w:tcW w:w="2398" w:type="pct"/>
            <w:tcBorders>
              <w:top w:val="nil"/>
              <w:left w:val="nil"/>
              <w:bottom w:val="nil"/>
              <w:right w:val="nil"/>
            </w:tcBorders>
            <w:shd w:val="clear" w:color="auto" w:fill="auto"/>
            <w:noWrap/>
            <w:hideMark/>
          </w:tcPr>
          <w:p w14:paraId="296B0339"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cross-validation been assessed?</w:t>
            </w:r>
          </w:p>
        </w:tc>
        <w:tc>
          <w:tcPr>
            <w:tcW w:w="2452" w:type="pct"/>
            <w:gridSpan w:val="2"/>
            <w:tcBorders>
              <w:top w:val="nil"/>
              <w:left w:val="nil"/>
              <w:bottom w:val="nil"/>
              <w:right w:val="nil"/>
            </w:tcBorders>
            <w:shd w:val="clear" w:color="auto" w:fill="auto"/>
            <w:noWrap/>
            <w:hideMark/>
          </w:tcPr>
          <w:p w14:paraId="09677C4D" w14:textId="77777777" w:rsidR="00C50E6D" w:rsidRPr="00C50E6D" w:rsidRDefault="00C50E6D" w:rsidP="00C50E6D">
            <w:pPr>
              <w:spacing w:before="20" w:after="20" w:line="240" w:lineRule="auto"/>
              <w:rPr>
                <w:rFonts w:asciiTheme="majorHAnsi" w:eastAsia="Times New Roman" w:hAnsiTheme="majorHAnsi" w:cstheme="majorHAnsi"/>
                <w:color w:val="1F1F1F"/>
                <w:sz w:val="16"/>
                <w:szCs w:val="16"/>
                <w:lang w:val="en-US" w:eastAsia="de-DE"/>
              </w:rPr>
            </w:pPr>
          </w:p>
        </w:tc>
      </w:tr>
      <w:tr w:rsidR="00C50E6D" w:rsidRPr="001E2D03" w14:paraId="6A0AC2AD" w14:textId="77777777" w:rsidTr="00F139A6">
        <w:trPr>
          <w:trHeight w:val="300"/>
          <w:tblHeader/>
        </w:trPr>
        <w:tc>
          <w:tcPr>
            <w:tcW w:w="150" w:type="pct"/>
            <w:tcBorders>
              <w:top w:val="nil"/>
              <w:left w:val="nil"/>
              <w:bottom w:val="single" w:sz="4" w:space="0" w:color="auto"/>
              <w:right w:val="nil"/>
            </w:tcBorders>
          </w:tcPr>
          <w:p w14:paraId="567F0CB4"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47</w:t>
            </w:r>
          </w:p>
        </w:tc>
        <w:tc>
          <w:tcPr>
            <w:tcW w:w="2398" w:type="pct"/>
            <w:tcBorders>
              <w:top w:val="nil"/>
              <w:left w:val="nil"/>
              <w:bottom w:val="single" w:sz="4" w:space="0" w:color="auto"/>
              <w:right w:val="nil"/>
            </w:tcBorders>
            <w:shd w:val="clear" w:color="auto" w:fill="auto"/>
            <w:noWrap/>
            <w:hideMark/>
          </w:tcPr>
          <w:p w14:paraId="6317275C"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external validity been assessed?</w:t>
            </w:r>
          </w:p>
        </w:tc>
        <w:tc>
          <w:tcPr>
            <w:tcW w:w="2452" w:type="pct"/>
            <w:gridSpan w:val="2"/>
            <w:tcBorders>
              <w:top w:val="nil"/>
              <w:left w:val="nil"/>
              <w:bottom w:val="single" w:sz="4" w:space="0" w:color="auto"/>
              <w:right w:val="nil"/>
            </w:tcBorders>
            <w:shd w:val="clear" w:color="auto" w:fill="auto"/>
            <w:noWrap/>
            <w:hideMark/>
          </w:tcPr>
          <w:p w14:paraId="0A4DE9B0" w14:textId="77777777" w:rsidR="00C50E6D" w:rsidRPr="00C50E6D" w:rsidRDefault="00C50E6D" w:rsidP="00C50E6D">
            <w:pPr>
              <w:spacing w:before="20" w:after="20" w:line="240" w:lineRule="auto"/>
              <w:rPr>
                <w:rFonts w:asciiTheme="majorHAnsi" w:eastAsia="Times New Roman" w:hAnsiTheme="majorHAnsi" w:cstheme="majorHAnsi"/>
                <w:color w:val="1F1F1F"/>
                <w:sz w:val="16"/>
                <w:szCs w:val="16"/>
                <w:lang w:val="en-US" w:eastAsia="de-DE"/>
              </w:rPr>
            </w:pPr>
          </w:p>
        </w:tc>
      </w:tr>
      <w:tr w:rsidR="00C50E6D" w:rsidRPr="001E2D03" w14:paraId="419AC4CA" w14:textId="77777777" w:rsidTr="00F139A6">
        <w:trPr>
          <w:trHeight w:val="300"/>
          <w:tblHeader/>
        </w:trPr>
        <w:tc>
          <w:tcPr>
            <w:tcW w:w="150" w:type="pct"/>
            <w:tcBorders>
              <w:top w:val="single" w:sz="4" w:space="0" w:color="auto"/>
              <w:left w:val="nil"/>
              <w:bottom w:val="single" w:sz="4" w:space="0" w:color="auto"/>
              <w:right w:val="nil"/>
            </w:tcBorders>
          </w:tcPr>
          <w:p w14:paraId="39DB5A76"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lastRenderedPageBreak/>
              <w:t>48</w:t>
            </w:r>
          </w:p>
        </w:tc>
        <w:tc>
          <w:tcPr>
            <w:tcW w:w="2398" w:type="pct"/>
            <w:tcBorders>
              <w:top w:val="single" w:sz="4" w:space="0" w:color="auto"/>
              <w:left w:val="nil"/>
              <w:bottom w:val="single" w:sz="4" w:space="0" w:color="auto"/>
              <w:right w:val="nil"/>
            </w:tcBorders>
            <w:shd w:val="clear" w:color="auto" w:fill="auto"/>
            <w:noWrap/>
            <w:hideMark/>
          </w:tcPr>
          <w:p w14:paraId="2F2A451F" w14:textId="77777777" w:rsidR="00C50E6D" w:rsidRPr="00C50E6D" w:rsidRDefault="00C50E6D" w:rsidP="00C50E6D">
            <w:pPr>
              <w:spacing w:before="20" w:after="20" w:line="240" w:lineRule="auto"/>
              <w:rPr>
                <w:rFonts w:asciiTheme="majorHAnsi" w:eastAsia="Times New Roman" w:hAnsiTheme="majorHAnsi" w:cstheme="majorHAnsi"/>
                <w:color w:val="000000"/>
                <w:sz w:val="16"/>
                <w:szCs w:val="16"/>
                <w:lang w:val="en-US" w:eastAsia="de-DE"/>
              </w:rPr>
            </w:pPr>
            <w:r w:rsidRPr="00C50E6D">
              <w:rPr>
                <w:rFonts w:asciiTheme="majorHAnsi" w:eastAsia="Times New Roman" w:hAnsiTheme="majorHAnsi" w:cstheme="majorHAnsi"/>
                <w:color w:val="000000"/>
                <w:sz w:val="16"/>
                <w:szCs w:val="16"/>
                <w:lang w:val="en-US" w:eastAsia="de-DE"/>
              </w:rPr>
              <w:t>Has the model’s predictive validity been assessed?</w:t>
            </w:r>
          </w:p>
        </w:tc>
        <w:tc>
          <w:tcPr>
            <w:tcW w:w="2452" w:type="pct"/>
            <w:gridSpan w:val="2"/>
            <w:tcBorders>
              <w:top w:val="single" w:sz="4" w:space="0" w:color="auto"/>
              <w:left w:val="nil"/>
              <w:bottom w:val="nil"/>
              <w:right w:val="nil"/>
            </w:tcBorders>
            <w:shd w:val="clear" w:color="auto" w:fill="auto"/>
            <w:noWrap/>
            <w:hideMark/>
          </w:tcPr>
          <w:p w14:paraId="03AA9174" w14:textId="77777777" w:rsidR="00C50E6D" w:rsidRPr="00C50E6D" w:rsidRDefault="00C50E6D" w:rsidP="00C50E6D">
            <w:pPr>
              <w:spacing w:before="20" w:after="20" w:line="240" w:lineRule="auto"/>
              <w:rPr>
                <w:rFonts w:asciiTheme="majorHAnsi" w:eastAsia="Times New Roman" w:hAnsiTheme="majorHAnsi" w:cstheme="majorHAnsi"/>
                <w:color w:val="1F1F1F"/>
                <w:sz w:val="16"/>
                <w:szCs w:val="16"/>
                <w:lang w:val="en-US" w:eastAsia="de-DE"/>
              </w:rPr>
            </w:pPr>
          </w:p>
        </w:tc>
      </w:tr>
      <w:tr w:rsidR="00C50E6D" w:rsidRPr="00C50E6D" w14:paraId="61E1FFC2" w14:textId="77777777" w:rsidTr="00751868">
        <w:trPr>
          <w:gridAfter w:val="1"/>
          <w:wAfter w:w="13" w:type="pct"/>
          <w:trHeight w:val="300"/>
          <w:tblHeader/>
        </w:trPr>
        <w:tc>
          <w:tcPr>
            <w:tcW w:w="4987" w:type="pct"/>
            <w:gridSpan w:val="3"/>
            <w:tcBorders>
              <w:top w:val="single" w:sz="4" w:space="0" w:color="auto"/>
              <w:left w:val="nil"/>
              <w:bottom w:val="nil"/>
              <w:right w:val="nil"/>
            </w:tcBorders>
          </w:tcPr>
          <w:p w14:paraId="697C5551" w14:textId="77777777" w:rsidR="00C50E6D" w:rsidRPr="00C50E6D" w:rsidRDefault="00C50E6D" w:rsidP="00C50E6D">
            <w:pPr>
              <w:spacing w:before="20" w:after="20" w:line="240" w:lineRule="auto"/>
              <w:rPr>
                <w:rFonts w:asciiTheme="majorHAnsi" w:eastAsia="Times New Roman" w:hAnsiTheme="majorHAnsi" w:cstheme="majorHAnsi"/>
                <w:i/>
                <w:iCs/>
                <w:color w:val="1F1F1F"/>
                <w:sz w:val="16"/>
                <w:szCs w:val="16"/>
                <w:lang w:val="en-US" w:eastAsia="de-DE"/>
              </w:rPr>
            </w:pPr>
            <w:r w:rsidRPr="00C50E6D">
              <w:rPr>
                <w:rFonts w:asciiTheme="majorHAnsi" w:eastAsia="Times New Roman" w:hAnsiTheme="majorHAnsi" w:cstheme="majorHAnsi"/>
                <w:i/>
                <w:iCs/>
                <w:color w:val="1F1F1F"/>
                <w:sz w:val="16"/>
                <w:szCs w:val="16"/>
                <w:lang w:val="en-US" w:eastAsia="de-DE"/>
              </w:rPr>
              <w:t>DSA = Deterministic Sensitivity Analysis, NA = Not Applicable, PSA = Probabilistic Sensitivity Analysis, pt. = point, RCT = Randomized Controlled Trial, TP = Transition Probability.</w:t>
            </w:r>
          </w:p>
        </w:tc>
      </w:tr>
    </w:tbl>
    <w:bookmarkEnd w:id="3"/>
    <w:p w14:paraId="6DB4C007" w14:textId="4D115FBE" w:rsidR="00C50E6D" w:rsidRPr="007E56D0" w:rsidRDefault="003B2D24" w:rsidP="003B2D24">
      <w:pPr>
        <w:tabs>
          <w:tab w:val="left" w:pos="1072"/>
        </w:tabs>
        <w:rPr>
          <w:rFonts w:asciiTheme="majorHAnsi" w:hAnsiTheme="majorHAnsi" w:cstheme="majorHAnsi"/>
          <w:lang w:val="en-US"/>
        </w:rPr>
      </w:pPr>
      <w:r>
        <w:rPr>
          <w:rFonts w:asciiTheme="majorHAnsi" w:hAnsiTheme="majorHAnsi" w:cstheme="majorHAnsi"/>
          <w:lang w:val="en-US"/>
        </w:rPr>
        <w:tab/>
      </w:r>
    </w:p>
    <w:p w14:paraId="588B9A95" w14:textId="77777777" w:rsidR="00C50E6D" w:rsidRPr="007E56D0" w:rsidRDefault="00C50E6D">
      <w:pPr>
        <w:rPr>
          <w:rFonts w:asciiTheme="majorHAnsi" w:hAnsiTheme="majorHAnsi" w:cstheme="majorHAnsi"/>
          <w:lang w:val="en-US"/>
        </w:rPr>
      </w:pPr>
    </w:p>
    <w:p w14:paraId="26A245C5" w14:textId="30823E31" w:rsidR="00215B90" w:rsidRPr="001E2D03" w:rsidRDefault="003B2D24" w:rsidP="00215B90">
      <w:pPr>
        <w:pStyle w:val="CitaviBibliographyHeading"/>
        <w:rPr>
          <w:rFonts w:cstheme="minorHAnsi"/>
          <w:b/>
          <w:bCs/>
          <w:color w:val="auto"/>
          <w:sz w:val="24"/>
          <w:szCs w:val="24"/>
        </w:rPr>
      </w:pPr>
      <w:r w:rsidRPr="001E2D03">
        <w:rPr>
          <w:rFonts w:cstheme="minorHAnsi"/>
          <w:b/>
          <w:bCs/>
          <w:color w:val="auto"/>
          <w:sz w:val="24"/>
          <w:szCs w:val="24"/>
        </w:rPr>
        <w:t xml:space="preserve">Supplementary </w:t>
      </w:r>
      <w:r w:rsidR="00215B90" w:rsidRPr="001E2D03">
        <w:rPr>
          <w:rFonts w:cstheme="minorHAnsi"/>
          <w:b/>
          <w:bCs/>
          <w:color w:val="auto"/>
          <w:sz w:val="24"/>
          <w:szCs w:val="24"/>
        </w:rPr>
        <w:t>References</w:t>
      </w:r>
    </w:p>
    <w:p w14:paraId="451BDC21"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[1]</w:t>
      </w:r>
      <w:r w:rsidRPr="001E2D03">
        <w:rPr>
          <w:rFonts w:cstheme="minorHAnsi"/>
          <w:color w:val="auto"/>
          <w:sz w:val="24"/>
          <w:szCs w:val="24"/>
        </w:rPr>
        <w:tab/>
      </w:r>
      <w:bookmarkStart w:id="4" w:name="_CTVL001bb7998c9fe2e4e4b8bbcbf6e3233f07e"/>
      <w:r w:rsidRPr="001E2D03">
        <w:rPr>
          <w:rFonts w:cstheme="minorHAnsi"/>
          <w:color w:val="auto"/>
          <w:sz w:val="24"/>
          <w:szCs w:val="24"/>
        </w:rPr>
        <w:t>Patil, C. G., Long, E. F., and Lansberg, M. G. 2009. Cost-effectiveness analysis of mechanical thrombectomy in acute ischemic stroke.</w:t>
      </w:r>
      <w:bookmarkEnd w:id="4"/>
      <w:r w:rsidRPr="001E2D03">
        <w:rPr>
          <w:rFonts w:cstheme="minorHAnsi"/>
          <w:color w:val="auto"/>
          <w:sz w:val="24"/>
          <w:szCs w:val="24"/>
        </w:rPr>
        <w:t xml:space="preserve"> </w:t>
      </w:r>
      <w:r w:rsidRPr="001E2D03">
        <w:rPr>
          <w:rFonts w:cstheme="minorHAnsi"/>
          <w:i/>
          <w:color w:val="auto"/>
          <w:sz w:val="24"/>
          <w:szCs w:val="24"/>
        </w:rPr>
        <w:t>J Neurosurg</w:t>
      </w:r>
      <w:r w:rsidRPr="001E2D03">
        <w:rPr>
          <w:rFonts w:cstheme="minorHAnsi"/>
          <w:color w:val="auto"/>
          <w:sz w:val="24"/>
          <w:szCs w:val="24"/>
        </w:rPr>
        <w:t xml:space="preserve"> 110, 3, 508–513.</w:t>
      </w:r>
    </w:p>
    <w:p w14:paraId="64049F4F"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[2]</w:t>
      </w:r>
      <w:r w:rsidRPr="001E2D03">
        <w:rPr>
          <w:rFonts w:cstheme="minorHAnsi"/>
          <w:color w:val="auto"/>
          <w:sz w:val="24"/>
          <w:szCs w:val="24"/>
        </w:rPr>
        <w:tab/>
      </w:r>
      <w:bookmarkStart w:id="5" w:name="_CTVL0019ee4155a8bfe48259965971ec5b40674"/>
      <w:r w:rsidRPr="001E2D03">
        <w:rPr>
          <w:rFonts w:cstheme="minorHAnsi"/>
          <w:color w:val="auto"/>
          <w:sz w:val="24"/>
          <w:szCs w:val="24"/>
        </w:rPr>
        <w:t>Kim, A. S., Nguyen-Huynh, M., and Johnston, S. C. 2011. A cost-utility analysis of mechanical thrombectomy as an adjunct to intravenous tissue-type plasminogen activator for acute large-vessel ischemic stroke.</w:t>
      </w:r>
      <w:bookmarkEnd w:id="5"/>
      <w:r w:rsidRPr="001E2D03">
        <w:rPr>
          <w:rFonts w:cstheme="minorHAnsi"/>
          <w:color w:val="auto"/>
          <w:sz w:val="24"/>
          <w:szCs w:val="24"/>
        </w:rPr>
        <w:t xml:space="preserve"> </w:t>
      </w:r>
      <w:r w:rsidRPr="001E2D03">
        <w:rPr>
          <w:rFonts w:cstheme="minorHAnsi"/>
          <w:i/>
          <w:color w:val="auto"/>
          <w:sz w:val="24"/>
          <w:szCs w:val="24"/>
        </w:rPr>
        <w:t>Stroke</w:t>
      </w:r>
      <w:r w:rsidRPr="001E2D03">
        <w:rPr>
          <w:rFonts w:cstheme="minorHAnsi"/>
          <w:color w:val="auto"/>
          <w:sz w:val="24"/>
          <w:szCs w:val="24"/>
        </w:rPr>
        <w:t xml:space="preserve"> 42, 7, 2013–2018.</w:t>
      </w:r>
    </w:p>
    <w:p w14:paraId="5F8164AB"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[3]</w:t>
      </w:r>
      <w:r w:rsidRPr="001E2D03">
        <w:rPr>
          <w:rFonts w:cstheme="minorHAnsi"/>
          <w:color w:val="auto"/>
          <w:sz w:val="24"/>
          <w:szCs w:val="24"/>
        </w:rPr>
        <w:tab/>
      </w:r>
      <w:bookmarkStart w:id="6" w:name="_CTVL001d42af0ea1960416a9a53be4dbe3e02e1"/>
      <w:r w:rsidRPr="001E2D03">
        <w:rPr>
          <w:rFonts w:cstheme="minorHAnsi"/>
          <w:color w:val="auto"/>
          <w:sz w:val="24"/>
          <w:szCs w:val="24"/>
        </w:rPr>
        <w:t>Nguyen-Huynh, M. N. and Johnston, S. C. 2011. Is mechanical clot removal or disruption a cost-effective treatment for acute stroke?</w:t>
      </w:r>
      <w:bookmarkEnd w:id="6"/>
      <w:r w:rsidRPr="001E2D03">
        <w:rPr>
          <w:rFonts w:cstheme="minorHAnsi"/>
          <w:color w:val="auto"/>
          <w:sz w:val="24"/>
          <w:szCs w:val="24"/>
        </w:rPr>
        <w:t xml:space="preserve"> </w:t>
      </w:r>
      <w:r w:rsidRPr="001E2D03">
        <w:rPr>
          <w:rFonts w:cstheme="minorHAnsi"/>
          <w:i/>
          <w:color w:val="auto"/>
          <w:sz w:val="24"/>
          <w:szCs w:val="24"/>
        </w:rPr>
        <w:t>AJNR Am J Neuroradiol</w:t>
      </w:r>
      <w:r w:rsidRPr="001E2D03">
        <w:rPr>
          <w:rFonts w:cstheme="minorHAnsi"/>
          <w:color w:val="auto"/>
          <w:sz w:val="24"/>
          <w:szCs w:val="24"/>
        </w:rPr>
        <w:t xml:space="preserve"> 32, 2, 244–249.</w:t>
      </w:r>
    </w:p>
    <w:p w14:paraId="2805A9E8"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[4]</w:t>
      </w:r>
      <w:r w:rsidRPr="001E2D03">
        <w:rPr>
          <w:rFonts w:cstheme="minorHAnsi"/>
          <w:color w:val="auto"/>
          <w:sz w:val="24"/>
          <w:szCs w:val="24"/>
        </w:rPr>
        <w:tab/>
      </w:r>
      <w:bookmarkStart w:id="7" w:name="_CTVL0012825775923994c6a930b2ae1197bf97c"/>
      <w:r w:rsidRPr="001E2D03">
        <w:rPr>
          <w:rFonts w:cstheme="minorHAnsi"/>
          <w:color w:val="auto"/>
          <w:sz w:val="24"/>
          <w:szCs w:val="24"/>
        </w:rPr>
        <w:t>Ganesalingam, J., Pizzo, E., Morris, S., Sunderland, T., Ames, D., and Lobotesis, K. 2015. Cost-utility analysis of mechanical thrombectomy using stent retrievers in acute ischemic stroke.</w:t>
      </w:r>
      <w:bookmarkEnd w:id="7"/>
      <w:r w:rsidRPr="001E2D03">
        <w:rPr>
          <w:rFonts w:cstheme="minorHAnsi"/>
          <w:color w:val="auto"/>
          <w:sz w:val="24"/>
          <w:szCs w:val="24"/>
        </w:rPr>
        <w:t xml:space="preserve"> </w:t>
      </w:r>
      <w:r w:rsidRPr="001E2D03">
        <w:rPr>
          <w:rFonts w:cstheme="minorHAnsi"/>
          <w:i/>
          <w:color w:val="auto"/>
          <w:sz w:val="24"/>
          <w:szCs w:val="24"/>
        </w:rPr>
        <w:t>Stroke</w:t>
      </w:r>
      <w:r w:rsidRPr="001E2D03">
        <w:rPr>
          <w:rFonts w:cstheme="minorHAnsi"/>
          <w:color w:val="auto"/>
          <w:sz w:val="24"/>
          <w:szCs w:val="24"/>
        </w:rPr>
        <w:t xml:space="preserve"> 46, 9, 2591–2598.</w:t>
      </w:r>
    </w:p>
    <w:p w14:paraId="40D01A0B"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[5]</w:t>
      </w:r>
      <w:r w:rsidRPr="001E2D03">
        <w:rPr>
          <w:rFonts w:cstheme="minorHAnsi"/>
          <w:color w:val="auto"/>
          <w:sz w:val="24"/>
          <w:szCs w:val="24"/>
        </w:rPr>
        <w:tab/>
      </w:r>
      <w:bookmarkStart w:id="8" w:name="_CTVL0012e0850e723184c289515006b2dafdb50"/>
      <w:r w:rsidRPr="001E2D03">
        <w:rPr>
          <w:rFonts w:cstheme="minorHAnsi"/>
          <w:color w:val="auto"/>
          <w:sz w:val="24"/>
          <w:szCs w:val="24"/>
        </w:rPr>
        <w:t>Leppert, M. H., Campbell, J. D., Simpson, J. R., and Burke, J. F. 2015. Cost-effectiveness of intra-arterial treatment as an adjunct to intravenous tissue-type plasminogen activator for acute ischemic stroke.</w:t>
      </w:r>
      <w:bookmarkEnd w:id="8"/>
      <w:r w:rsidRPr="001E2D03">
        <w:rPr>
          <w:rFonts w:cstheme="minorHAnsi"/>
          <w:color w:val="auto"/>
          <w:sz w:val="24"/>
          <w:szCs w:val="24"/>
        </w:rPr>
        <w:t xml:space="preserve"> </w:t>
      </w:r>
      <w:r w:rsidRPr="001E2D03">
        <w:rPr>
          <w:rFonts w:cstheme="minorHAnsi"/>
          <w:i/>
          <w:color w:val="auto"/>
          <w:sz w:val="24"/>
          <w:szCs w:val="24"/>
        </w:rPr>
        <w:t>Stroke</w:t>
      </w:r>
      <w:r w:rsidRPr="001E2D03">
        <w:rPr>
          <w:rFonts w:cstheme="minorHAnsi"/>
          <w:color w:val="auto"/>
          <w:sz w:val="24"/>
          <w:szCs w:val="24"/>
        </w:rPr>
        <w:t xml:space="preserve"> 46, 7, 1870–1876.</w:t>
      </w:r>
    </w:p>
    <w:p w14:paraId="759E16F6"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[6]</w:t>
      </w:r>
      <w:r w:rsidRPr="001E2D03">
        <w:rPr>
          <w:rFonts w:cstheme="minorHAnsi"/>
          <w:color w:val="auto"/>
          <w:sz w:val="24"/>
          <w:szCs w:val="24"/>
        </w:rPr>
        <w:tab/>
      </w:r>
      <w:bookmarkStart w:id="9" w:name="_CTVL00152d9872d632d4abe81247185ede1c57c"/>
      <w:r w:rsidRPr="001E2D03">
        <w:rPr>
          <w:rFonts w:cstheme="minorHAnsi"/>
          <w:color w:val="auto"/>
          <w:sz w:val="24"/>
          <w:szCs w:val="24"/>
        </w:rPr>
        <w:t>Aronsson, M., Persson, J., Blomstrand, C., Wester, P., and Levin, L. Å. 2016. Cost-effectiveness of endovascular thrombectomy in patients with acute ischemic stroke.</w:t>
      </w:r>
      <w:bookmarkEnd w:id="9"/>
      <w:r w:rsidRPr="001E2D03">
        <w:rPr>
          <w:rFonts w:cstheme="minorHAnsi"/>
          <w:color w:val="auto"/>
          <w:sz w:val="24"/>
          <w:szCs w:val="24"/>
        </w:rPr>
        <w:t xml:space="preserve"> </w:t>
      </w:r>
      <w:r w:rsidRPr="001E2D03">
        <w:rPr>
          <w:rFonts w:cstheme="minorHAnsi"/>
          <w:i/>
          <w:color w:val="auto"/>
          <w:sz w:val="24"/>
          <w:szCs w:val="24"/>
        </w:rPr>
        <w:t>Neurology</w:t>
      </w:r>
      <w:r w:rsidRPr="001E2D03">
        <w:rPr>
          <w:rFonts w:cstheme="minorHAnsi"/>
          <w:color w:val="auto"/>
          <w:sz w:val="24"/>
          <w:szCs w:val="24"/>
        </w:rPr>
        <w:t xml:space="preserve"> 86, 11, 1053–1059.</w:t>
      </w:r>
    </w:p>
    <w:p w14:paraId="372C69E7"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[7]</w:t>
      </w:r>
      <w:r w:rsidRPr="001E2D03">
        <w:rPr>
          <w:rFonts w:cstheme="minorHAnsi"/>
          <w:color w:val="auto"/>
          <w:sz w:val="24"/>
          <w:szCs w:val="24"/>
        </w:rPr>
        <w:tab/>
      </w:r>
      <w:bookmarkStart w:id="10" w:name="_CTVL001b6581c6513a0448f8d07b6abcbf78818"/>
      <w:r w:rsidRPr="001E2D03">
        <w:rPr>
          <w:rFonts w:cstheme="minorHAnsi"/>
          <w:color w:val="auto"/>
          <w:sz w:val="24"/>
          <w:szCs w:val="24"/>
        </w:rPr>
        <w:t>Health Quality Ontario. 2016. Mechanical thrombectomy in patients with acute ischemic stroke: a health technology assessment.</w:t>
      </w:r>
      <w:bookmarkEnd w:id="10"/>
      <w:r w:rsidRPr="001E2D03">
        <w:rPr>
          <w:rFonts w:cstheme="minorHAnsi"/>
          <w:color w:val="auto"/>
          <w:sz w:val="24"/>
          <w:szCs w:val="24"/>
        </w:rPr>
        <w:t xml:space="preserve"> </w:t>
      </w:r>
      <w:r w:rsidRPr="001E2D03">
        <w:rPr>
          <w:rFonts w:cstheme="minorHAnsi"/>
          <w:i/>
          <w:color w:val="auto"/>
          <w:sz w:val="24"/>
          <w:szCs w:val="24"/>
        </w:rPr>
        <w:t>Ont Health Technol Assess Ser</w:t>
      </w:r>
      <w:r w:rsidRPr="001E2D03">
        <w:rPr>
          <w:rFonts w:cstheme="minorHAnsi"/>
          <w:color w:val="auto"/>
          <w:sz w:val="24"/>
          <w:szCs w:val="24"/>
        </w:rPr>
        <w:t xml:space="preserve"> 16, 4, 1–79.</w:t>
      </w:r>
    </w:p>
    <w:p w14:paraId="46724A9A"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[8]</w:t>
      </w:r>
      <w:r w:rsidRPr="001E2D03">
        <w:rPr>
          <w:rFonts w:cstheme="minorHAnsi"/>
          <w:color w:val="auto"/>
          <w:sz w:val="24"/>
          <w:szCs w:val="24"/>
        </w:rPr>
        <w:tab/>
      </w:r>
      <w:bookmarkStart w:id="11" w:name="_CTVL0019c3301047a0b45a8924b31f133bf5ed2"/>
      <w:r w:rsidRPr="001E2D03">
        <w:rPr>
          <w:rFonts w:cstheme="minorHAnsi"/>
          <w:color w:val="auto"/>
          <w:sz w:val="24"/>
          <w:szCs w:val="24"/>
        </w:rPr>
        <w:t>Kunz, W. G., Hunink, M. G., Sommer, W. H., Beyer, S. E., Meinel, F. G., Dorn, F., Wirth, S., Reiser, M. F., Ertl-Wagner, B., and Thierfelder, K. M. 2016. Cost-effectiveness of endovascular stroke therapy: a patient subgroup analysis from a US healthcare perspective.</w:t>
      </w:r>
      <w:bookmarkEnd w:id="11"/>
      <w:r w:rsidRPr="001E2D03">
        <w:rPr>
          <w:rFonts w:cstheme="minorHAnsi"/>
          <w:color w:val="auto"/>
          <w:sz w:val="24"/>
          <w:szCs w:val="24"/>
        </w:rPr>
        <w:t xml:space="preserve"> </w:t>
      </w:r>
      <w:r w:rsidRPr="001E2D03">
        <w:rPr>
          <w:rFonts w:cstheme="minorHAnsi"/>
          <w:i/>
          <w:color w:val="auto"/>
          <w:sz w:val="24"/>
          <w:szCs w:val="24"/>
        </w:rPr>
        <w:t>Stroke</w:t>
      </w:r>
      <w:r w:rsidRPr="001E2D03">
        <w:rPr>
          <w:rFonts w:cstheme="minorHAnsi"/>
          <w:color w:val="auto"/>
          <w:sz w:val="24"/>
          <w:szCs w:val="24"/>
        </w:rPr>
        <w:t xml:space="preserve"> 47, 11, 2797–2804.</w:t>
      </w:r>
    </w:p>
    <w:p w14:paraId="1B253FC8"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[9]</w:t>
      </w:r>
      <w:r w:rsidRPr="001E2D03">
        <w:rPr>
          <w:rFonts w:cstheme="minorHAnsi"/>
          <w:color w:val="auto"/>
          <w:sz w:val="24"/>
          <w:szCs w:val="24"/>
        </w:rPr>
        <w:tab/>
      </w:r>
      <w:bookmarkStart w:id="12" w:name="_CTVL00175b9fad18ca54a75ab7339d7ed64ff7f"/>
      <w:r w:rsidRPr="001E2D03">
        <w:rPr>
          <w:rFonts w:cstheme="minorHAnsi"/>
          <w:color w:val="auto"/>
          <w:sz w:val="24"/>
          <w:szCs w:val="24"/>
        </w:rPr>
        <w:t>Lobotesis, K., Veltkamp, R., Carpenter, I. H., Claxton, L. M., Saver, J. L., and Hodgson, R. 2016. Cost-effectiveness of stent-retriever thrombectomy in combination with IV t-PA compared with IV t-PA alone for acute ischemic stroke in the UK.</w:t>
      </w:r>
      <w:bookmarkEnd w:id="12"/>
      <w:r w:rsidRPr="001E2D03">
        <w:rPr>
          <w:rFonts w:cstheme="minorHAnsi"/>
          <w:color w:val="auto"/>
          <w:sz w:val="24"/>
          <w:szCs w:val="24"/>
        </w:rPr>
        <w:t xml:space="preserve"> </w:t>
      </w:r>
      <w:r w:rsidRPr="001E2D03">
        <w:rPr>
          <w:rFonts w:cstheme="minorHAnsi"/>
          <w:i/>
          <w:color w:val="auto"/>
          <w:sz w:val="24"/>
          <w:szCs w:val="24"/>
        </w:rPr>
        <w:t>J Med Econ</w:t>
      </w:r>
      <w:r w:rsidRPr="001E2D03">
        <w:rPr>
          <w:rFonts w:cstheme="minorHAnsi"/>
          <w:color w:val="auto"/>
          <w:sz w:val="24"/>
          <w:szCs w:val="24"/>
        </w:rPr>
        <w:t xml:space="preserve"> 19, 8, 785–794.</w:t>
      </w:r>
    </w:p>
    <w:p w14:paraId="3A01C066" w14:textId="702327C0"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[10]</w:t>
      </w:r>
      <w:r w:rsidRPr="001E2D03">
        <w:rPr>
          <w:rFonts w:cstheme="minorHAnsi"/>
          <w:color w:val="auto"/>
          <w:sz w:val="24"/>
          <w:szCs w:val="24"/>
        </w:rPr>
        <w:tab/>
      </w:r>
      <w:bookmarkStart w:id="13" w:name="_CTVL00102a724830f99411482c338a103e7c407"/>
      <w:r w:rsidRPr="001E2D03">
        <w:rPr>
          <w:rFonts w:cstheme="minorHAnsi"/>
          <w:color w:val="auto"/>
          <w:sz w:val="24"/>
          <w:szCs w:val="24"/>
        </w:rPr>
        <w:t>Xie, X., Lambrinos, A., Chan, B., Dhalla, I. A., Krings, T., Casaubon, L. K., Lum, C., Sikich, N., Bharatha, A., Pereira, V. M., Stotts, G., Saposnik, G., O</w:t>
      </w:r>
      <w:r w:rsidR="00063281" w:rsidRPr="001E2D03">
        <w:rPr>
          <w:rFonts w:cstheme="minorHAnsi"/>
          <w:color w:val="auto"/>
          <w:sz w:val="24"/>
          <w:szCs w:val="24"/>
        </w:rPr>
        <w:t>’</w:t>
      </w:r>
      <w:r w:rsidRPr="001E2D03">
        <w:rPr>
          <w:rFonts w:cstheme="minorHAnsi"/>
          <w:color w:val="auto"/>
          <w:sz w:val="24"/>
          <w:szCs w:val="24"/>
        </w:rPr>
        <w:t>Callaghan, C., Kelloway, L., and Hill, M. D. 2016. Mechanical thrombectomy in patients with acute ischemic stroke: a cost-utility analysis.</w:t>
      </w:r>
      <w:bookmarkEnd w:id="13"/>
      <w:r w:rsidRPr="001E2D03">
        <w:rPr>
          <w:rFonts w:cstheme="minorHAnsi"/>
          <w:color w:val="auto"/>
          <w:sz w:val="24"/>
          <w:szCs w:val="24"/>
        </w:rPr>
        <w:t xml:space="preserve"> </w:t>
      </w:r>
      <w:r w:rsidRPr="001E2D03">
        <w:rPr>
          <w:rFonts w:cstheme="minorHAnsi"/>
          <w:i/>
          <w:color w:val="auto"/>
          <w:sz w:val="24"/>
          <w:szCs w:val="24"/>
        </w:rPr>
        <w:t>CMAJ Open</w:t>
      </w:r>
      <w:r w:rsidRPr="001E2D03">
        <w:rPr>
          <w:rFonts w:cstheme="minorHAnsi"/>
          <w:color w:val="auto"/>
          <w:sz w:val="24"/>
          <w:szCs w:val="24"/>
        </w:rPr>
        <w:t xml:space="preserve"> 4, 2, E316-E325.</w:t>
      </w:r>
    </w:p>
    <w:p w14:paraId="068440C5"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lastRenderedPageBreak/>
        <w:t>[11]</w:t>
      </w:r>
      <w:r w:rsidRPr="001E2D03">
        <w:rPr>
          <w:rFonts w:cstheme="minorHAnsi"/>
          <w:color w:val="auto"/>
          <w:sz w:val="24"/>
          <w:szCs w:val="24"/>
        </w:rPr>
        <w:tab/>
      </w:r>
      <w:bookmarkStart w:id="14" w:name="_CTVL001e6d52b68dae74f748b44e1a0a49b7309"/>
      <w:r w:rsidRPr="001E2D03">
        <w:rPr>
          <w:rFonts w:cstheme="minorHAnsi"/>
          <w:color w:val="auto"/>
          <w:sz w:val="24"/>
          <w:szCs w:val="24"/>
        </w:rPr>
        <w:t>Andrés-Nogales, F. de, Álvarez, M., Miquel, M. Á. de, Segura, T., Gil, A., Cardona, P., Casado, M. Á., Nogueira, R. G., and Dávalos, A. 2017. Cost-effectiveness of mechanical thrombectomy using stent retriever after intravenous tissue plasminogen activator compared with intravenous tissue plasminogen activator alone in the treatment of acute ischaemic stroke due to large vessel occlusion in Spain.</w:t>
      </w:r>
      <w:bookmarkEnd w:id="14"/>
      <w:r w:rsidRPr="001E2D03">
        <w:rPr>
          <w:rFonts w:cstheme="minorHAnsi"/>
          <w:color w:val="auto"/>
          <w:sz w:val="24"/>
          <w:szCs w:val="24"/>
        </w:rPr>
        <w:t xml:space="preserve"> </w:t>
      </w:r>
      <w:r w:rsidRPr="001E2D03">
        <w:rPr>
          <w:rFonts w:cstheme="minorHAnsi"/>
          <w:i/>
          <w:color w:val="auto"/>
          <w:sz w:val="24"/>
          <w:szCs w:val="24"/>
        </w:rPr>
        <w:t>Eur Stroke J</w:t>
      </w:r>
      <w:r w:rsidRPr="001E2D03">
        <w:rPr>
          <w:rFonts w:cstheme="minorHAnsi"/>
          <w:color w:val="auto"/>
          <w:sz w:val="24"/>
          <w:szCs w:val="24"/>
        </w:rPr>
        <w:t xml:space="preserve"> 2, 3, 272–284.</w:t>
      </w:r>
    </w:p>
    <w:p w14:paraId="0BE964CA"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[12]</w:t>
      </w:r>
      <w:r w:rsidRPr="001E2D03">
        <w:rPr>
          <w:rFonts w:cstheme="minorHAnsi"/>
          <w:color w:val="auto"/>
          <w:sz w:val="24"/>
          <w:szCs w:val="24"/>
        </w:rPr>
        <w:tab/>
      </w:r>
      <w:bookmarkStart w:id="15" w:name="_CTVL0012cdd5c808cdd4a87af37a86aa93c0d57"/>
      <w:r w:rsidRPr="001E2D03">
        <w:rPr>
          <w:rFonts w:cstheme="minorHAnsi"/>
          <w:color w:val="auto"/>
          <w:sz w:val="24"/>
          <w:szCs w:val="24"/>
        </w:rPr>
        <w:t>Health Information and Quality Authority (HIQA) Ireland. 2017. Health technology assessment of a national emergency endovascular service for mechanical thrombectomy in the management of acute ischaemic stroke.</w:t>
      </w:r>
    </w:p>
    <w:bookmarkEnd w:id="15"/>
    <w:p w14:paraId="582CEDE4"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[13]</w:t>
      </w:r>
      <w:r w:rsidRPr="001E2D03">
        <w:rPr>
          <w:rFonts w:cstheme="minorHAnsi"/>
          <w:color w:val="auto"/>
          <w:sz w:val="24"/>
          <w:szCs w:val="24"/>
        </w:rPr>
        <w:tab/>
      </w:r>
      <w:bookmarkStart w:id="16" w:name="_CTVL0013b8fd44513394d51a2b7fc7ad0f5203e"/>
      <w:r w:rsidRPr="001E2D03">
        <w:rPr>
          <w:rFonts w:cstheme="minorHAnsi"/>
          <w:color w:val="auto"/>
          <w:sz w:val="24"/>
          <w:szCs w:val="24"/>
        </w:rPr>
        <w:t>Steen Carlsson, K., Andsberg, G., Petersson, J., and Norrving, B. 2017. Long-term cost-effectiveness of thrombectomy for acute ischaemic stroke in real life: An analysis based on data from the Swedish Stroke Register (Riksstroke).</w:t>
      </w:r>
      <w:bookmarkEnd w:id="16"/>
      <w:r w:rsidRPr="001E2D03">
        <w:rPr>
          <w:rFonts w:cstheme="minorHAnsi"/>
          <w:color w:val="auto"/>
          <w:sz w:val="24"/>
          <w:szCs w:val="24"/>
        </w:rPr>
        <w:t xml:space="preserve"> </w:t>
      </w:r>
      <w:r w:rsidRPr="001E2D03">
        <w:rPr>
          <w:rFonts w:cstheme="minorHAnsi"/>
          <w:i/>
          <w:color w:val="auto"/>
          <w:sz w:val="24"/>
          <w:szCs w:val="24"/>
        </w:rPr>
        <w:t>Int J Stroke</w:t>
      </w:r>
      <w:r w:rsidRPr="001E2D03">
        <w:rPr>
          <w:rFonts w:cstheme="minorHAnsi"/>
          <w:color w:val="auto"/>
          <w:sz w:val="24"/>
          <w:szCs w:val="24"/>
        </w:rPr>
        <w:t xml:space="preserve"> 12, 8, 802–814.</w:t>
      </w:r>
    </w:p>
    <w:p w14:paraId="6804D040"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[14]</w:t>
      </w:r>
      <w:r w:rsidRPr="001E2D03">
        <w:rPr>
          <w:rFonts w:cstheme="minorHAnsi"/>
          <w:color w:val="auto"/>
          <w:sz w:val="24"/>
          <w:szCs w:val="24"/>
        </w:rPr>
        <w:tab/>
      </w:r>
      <w:bookmarkStart w:id="17" w:name="_CTVL0019077dc6549e644cea46e942d64cdef7e"/>
      <w:r w:rsidRPr="001E2D03">
        <w:rPr>
          <w:rFonts w:cstheme="minorHAnsi"/>
          <w:color w:val="auto"/>
          <w:sz w:val="24"/>
          <w:szCs w:val="24"/>
        </w:rPr>
        <w:t>Arora, N., Makino, K., Tilden, D., Lobotesis, K., Mitchell, P., and Gillespie, J. 2018. Cost-effectiveness of mechanical thrombectomy for acute ischemic stroke: an Australian payer perspective.</w:t>
      </w:r>
      <w:bookmarkEnd w:id="17"/>
      <w:r w:rsidRPr="001E2D03">
        <w:rPr>
          <w:rFonts w:cstheme="minorHAnsi"/>
          <w:color w:val="auto"/>
          <w:sz w:val="24"/>
          <w:szCs w:val="24"/>
        </w:rPr>
        <w:t xml:space="preserve"> </w:t>
      </w:r>
      <w:r w:rsidRPr="001E2D03">
        <w:rPr>
          <w:rFonts w:cstheme="minorHAnsi"/>
          <w:i/>
          <w:color w:val="auto"/>
          <w:sz w:val="24"/>
          <w:szCs w:val="24"/>
        </w:rPr>
        <w:t>J Med Econ</w:t>
      </w:r>
      <w:r w:rsidRPr="001E2D03">
        <w:rPr>
          <w:rFonts w:cstheme="minorHAnsi"/>
          <w:color w:val="auto"/>
          <w:sz w:val="24"/>
          <w:szCs w:val="24"/>
        </w:rPr>
        <w:t xml:space="preserve"> 21, 8, 799–809.</w:t>
      </w:r>
    </w:p>
    <w:p w14:paraId="193106B1"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[15]</w:t>
      </w:r>
      <w:r w:rsidRPr="001E2D03">
        <w:rPr>
          <w:rFonts w:cstheme="minorHAnsi"/>
          <w:color w:val="auto"/>
          <w:sz w:val="24"/>
          <w:szCs w:val="24"/>
        </w:rPr>
        <w:tab/>
      </w:r>
      <w:bookmarkStart w:id="18" w:name="_CTVL0012e496a0821ac45699549b5f115958ffd"/>
      <w:r w:rsidRPr="001E2D03">
        <w:rPr>
          <w:rFonts w:cstheme="minorHAnsi"/>
          <w:color w:val="auto"/>
          <w:sz w:val="24"/>
          <w:szCs w:val="24"/>
        </w:rPr>
        <w:t>Pan, Y., Cai, X., Huo, X., Zhao, X., Liu, L., Wang, Y., and Miao, Z. 2018. Cost-effectiveness of mechanical thrombectomy within 6 hours of acute ischaemic stroke in China.</w:t>
      </w:r>
      <w:bookmarkEnd w:id="18"/>
      <w:r w:rsidRPr="001E2D03">
        <w:rPr>
          <w:rFonts w:cstheme="minorHAnsi"/>
          <w:color w:val="auto"/>
          <w:sz w:val="24"/>
          <w:szCs w:val="24"/>
        </w:rPr>
        <w:t xml:space="preserve"> </w:t>
      </w:r>
      <w:r w:rsidRPr="001E2D03">
        <w:rPr>
          <w:rFonts w:cstheme="minorHAnsi"/>
          <w:i/>
          <w:color w:val="auto"/>
          <w:sz w:val="24"/>
          <w:szCs w:val="24"/>
        </w:rPr>
        <w:t>BMJ open</w:t>
      </w:r>
      <w:r w:rsidRPr="001E2D03">
        <w:rPr>
          <w:rFonts w:cstheme="minorHAnsi"/>
          <w:color w:val="auto"/>
          <w:sz w:val="24"/>
          <w:szCs w:val="24"/>
        </w:rPr>
        <w:t xml:space="preserve"> 8, 2, e018951.</w:t>
      </w:r>
    </w:p>
    <w:p w14:paraId="71269C0E"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[16]</w:t>
      </w:r>
      <w:r w:rsidRPr="001E2D03">
        <w:rPr>
          <w:rFonts w:cstheme="minorHAnsi"/>
          <w:color w:val="auto"/>
          <w:sz w:val="24"/>
          <w:szCs w:val="24"/>
        </w:rPr>
        <w:tab/>
      </w:r>
      <w:bookmarkStart w:id="19" w:name="_CTVL00189e80163a78a4822ab0a1311d42a176f"/>
      <w:r w:rsidRPr="001E2D03">
        <w:rPr>
          <w:rFonts w:cstheme="minorHAnsi"/>
          <w:color w:val="auto"/>
          <w:sz w:val="24"/>
          <w:szCs w:val="24"/>
        </w:rPr>
        <w:t>Ruggeri, M., Basile, M., Zini, A., Mangiafico, S., Agostoni, E. C., Lobotesis, K., Saver, J., Coretti, S., Drago, C., and Cicchetti, A. 2018. Cost-effectiveness analysis of mechanical thrombectomy with stent retriever in the treatment of acute ischemic stroke in Italy.</w:t>
      </w:r>
      <w:bookmarkEnd w:id="19"/>
      <w:r w:rsidRPr="001E2D03">
        <w:rPr>
          <w:rFonts w:cstheme="minorHAnsi"/>
          <w:color w:val="auto"/>
          <w:sz w:val="24"/>
          <w:szCs w:val="24"/>
        </w:rPr>
        <w:t xml:space="preserve"> </w:t>
      </w:r>
      <w:r w:rsidRPr="001E2D03">
        <w:rPr>
          <w:rFonts w:cstheme="minorHAnsi"/>
          <w:i/>
          <w:color w:val="auto"/>
          <w:sz w:val="24"/>
          <w:szCs w:val="24"/>
        </w:rPr>
        <w:t>J Med Econ</w:t>
      </w:r>
      <w:r w:rsidRPr="001E2D03">
        <w:rPr>
          <w:rFonts w:cstheme="minorHAnsi"/>
          <w:color w:val="auto"/>
          <w:sz w:val="24"/>
          <w:szCs w:val="24"/>
        </w:rPr>
        <w:t xml:space="preserve"> 21, 9, 902–911.</w:t>
      </w:r>
    </w:p>
    <w:p w14:paraId="2A16D480"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[17]</w:t>
      </w:r>
      <w:r w:rsidRPr="001E2D03">
        <w:rPr>
          <w:rFonts w:cstheme="minorHAnsi"/>
          <w:color w:val="auto"/>
          <w:sz w:val="24"/>
          <w:szCs w:val="24"/>
        </w:rPr>
        <w:tab/>
      </w:r>
      <w:bookmarkStart w:id="20" w:name="_CTVL00134528bbea64747f49488a6a0e8f85581"/>
      <w:r w:rsidRPr="001E2D03">
        <w:rPr>
          <w:rFonts w:cstheme="minorHAnsi"/>
          <w:color w:val="auto"/>
          <w:sz w:val="24"/>
          <w:szCs w:val="24"/>
        </w:rPr>
        <w:t>Kaboré, N., Marnat, G., Rouanet, F., Barreau, X., Verpillot, E., Menegon, P., Maachi, I., Berge, J., Sibon, I., and Bénard, A. 2019. Cost-effectiveness analysis of mechanical thrombectomy plus tissue-type plasminogen activator compared with tissue-type plasminogen activator alone for acute ischemic stroke in France.</w:t>
      </w:r>
      <w:bookmarkEnd w:id="20"/>
      <w:r w:rsidRPr="001E2D03">
        <w:rPr>
          <w:rFonts w:cstheme="minorHAnsi"/>
          <w:color w:val="auto"/>
          <w:sz w:val="24"/>
          <w:szCs w:val="24"/>
        </w:rPr>
        <w:t xml:space="preserve"> </w:t>
      </w:r>
      <w:r w:rsidRPr="001E2D03">
        <w:rPr>
          <w:rFonts w:cstheme="minorHAnsi"/>
          <w:i/>
          <w:color w:val="auto"/>
          <w:sz w:val="24"/>
          <w:szCs w:val="24"/>
        </w:rPr>
        <w:t>Rev Neurol (Paris)</w:t>
      </w:r>
      <w:r w:rsidRPr="001E2D03">
        <w:rPr>
          <w:rFonts w:cstheme="minorHAnsi"/>
          <w:color w:val="auto"/>
          <w:sz w:val="24"/>
          <w:szCs w:val="24"/>
        </w:rPr>
        <w:t xml:space="preserve"> 175, 4, 252–260.</w:t>
      </w:r>
    </w:p>
    <w:p w14:paraId="52D2B8C4"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[18]</w:t>
      </w:r>
      <w:r w:rsidRPr="001E2D03">
        <w:rPr>
          <w:rFonts w:cstheme="minorHAnsi"/>
          <w:color w:val="auto"/>
          <w:sz w:val="24"/>
          <w:szCs w:val="24"/>
        </w:rPr>
        <w:tab/>
      </w:r>
      <w:bookmarkStart w:id="21" w:name="_CTVL0013820046c993849cdb6e6e66da6aa4507"/>
      <w:r w:rsidRPr="001E2D03">
        <w:rPr>
          <w:rFonts w:cstheme="minorHAnsi"/>
          <w:color w:val="auto"/>
          <w:sz w:val="24"/>
          <w:szCs w:val="24"/>
        </w:rPr>
        <w:t>Barral, M., Armoiry, X., Boudour, S., Aulagner, G., Schott, A. M., Turjman, F., Gory, B., and Viprey, M. 2020. Cost-effectiveness of stent-retriever thrombectomy in large vessel occlusion strokes of the anterior circulation: Analysis from the French societal perspective.</w:t>
      </w:r>
      <w:bookmarkEnd w:id="21"/>
      <w:r w:rsidRPr="001E2D03">
        <w:rPr>
          <w:rFonts w:cstheme="minorHAnsi"/>
          <w:color w:val="auto"/>
          <w:sz w:val="24"/>
          <w:szCs w:val="24"/>
        </w:rPr>
        <w:t xml:space="preserve"> </w:t>
      </w:r>
      <w:r w:rsidRPr="001E2D03">
        <w:rPr>
          <w:rFonts w:cstheme="minorHAnsi"/>
          <w:i/>
          <w:color w:val="auto"/>
          <w:sz w:val="24"/>
          <w:szCs w:val="24"/>
        </w:rPr>
        <w:t>Rev Neurol (Paris)</w:t>
      </w:r>
      <w:r w:rsidRPr="001E2D03">
        <w:rPr>
          <w:rFonts w:cstheme="minorHAnsi"/>
          <w:color w:val="auto"/>
          <w:sz w:val="24"/>
          <w:szCs w:val="24"/>
        </w:rPr>
        <w:t xml:space="preserve"> 176, 3, 180–188.</w:t>
      </w:r>
    </w:p>
    <w:p w14:paraId="4E8B3188"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[19]</w:t>
      </w:r>
      <w:r w:rsidRPr="001E2D03">
        <w:rPr>
          <w:rFonts w:cstheme="minorHAnsi"/>
          <w:color w:val="auto"/>
          <w:sz w:val="24"/>
          <w:szCs w:val="24"/>
        </w:rPr>
        <w:tab/>
      </w:r>
      <w:bookmarkStart w:id="22" w:name="_CTVL0010d1e224779d64aa9b32dd24e3bf0b791"/>
      <w:r w:rsidRPr="001E2D03">
        <w:rPr>
          <w:rFonts w:cstheme="minorHAnsi"/>
          <w:color w:val="auto"/>
          <w:sz w:val="24"/>
          <w:szCs w:val="24"/>
        </w:rPr>
        <w:t>Heggie, R., Wu, O., White, P., Ford, G. A., Wardlaw, J., Brown, M. M., Clifton, A., and Muir, K. W. 2020. Mechanical thrombectomy in patients with acute ischemic stroke: A cost-effectiveness and value of implementation analysis.</w:t>
      </w:r>
      <w:bookmarkEnd w:id="22"/>
      <w:r w:rsidRPr="001E2D03">
        <w:rPr>
          <w:rFonts w:cstheme="minorHAnsi"/>
          <w:color w:val="auto"/>
          <w:sz w:val="24"/>
          <w:szCs w:val="24"/>
        </w:rPr>
        <w:t xml:space="preserve"> </w:t>
      </w:r>
      <w:r w:rsidRPr="001E2D03">
        <w:rPr>
          <w:rFonts w:cstheme="minorHAnsi"/>
          <w:i/>
          <w:color w:val="auto"/>
          <w:sz w:val="24"/>
          <w:szCs w:val="24"/>
        </w:rPr>
        <w:t>Int J Stroke</w:t>
      </w:r>
      <w:r w:rsidRPr="001E2D03">
        <w:rPr>
          <w:rFonts w:cstheme="minorHAnsi"/>
          <w:color w:val="auto"/>
          <w:sz w:val="24"/>
          <w:szCs w:val="24"/>
        </w:rPr>
        <w:t xml:space="preserve"> 15, 8, 881–898.</w:t>
      </w:r>
    </w:p>
    <w:p w14:paraId="41267AFA"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[20]</w:t>
      </w:r>
      <w:r w:rsidRPr="001E2D03">
        <w:rPr>
          <w:rFonts w:cstheme="minorHAnsi"/>
          <w:color w:val="auto"/>
          <w:sz w:val="24"/>
          <w:szCs w:val="24"/>
        </w:rPr>
        <w:tab/>
      </w:r>
      <w:bookmarkStart w:id="23" w:name="_CTVL0014801a017f11d4b289e87fa802c98f0ee"/>
      <w:r w:rsidRPr="001E2D03">
        <w:rPr>
          <w:rFonts w:cstheme="minorHAnsi"/>
          <w:color w:val="auto"/>
          <w:sz w:val="24"/>
          <w:szCs w:val="24"/>
        </w:rPr>
        <w:t>Peultier, A. C., Pandya, A., Sharma, R., Severens, J. L., and Redekop, W. K. 2020. Cost-effectiveness of mechanical thrombectomy more than 6 hours after symptom onset among patients with acute ischemic stroke.</w:t>
      </w:r>
      <w:bookmarkEnd w:id="23"/>
      <w:r w:rsidRPr="001E2D03">
        <w:rPr>
          <w:rFonts w:cstheme="minorHAnsi"/>
          <w:color w:val="auto"/>
          <w:sz w:val="24"/>
          <w:szCs w:val="24"/>
        </w:rPr>
        <w:t xml:space="preserve"> </w:t>
      </w:r>
      <w:r w:rsidRPr="001E2D03">
        <w:rPr>
          <w:rFonts w:cstheme="minorHAnsi"/>
          <w:i/>
          <w:color w:val="auto"/>
          <w:sz w:val="24"/>
          <w:szCs w:val="24"/>
        </w:rPr>
        <w:t>JAMA Netw Open</w:t>
      </w:r>
      <w:r w:rsidRPr="001E2D03">
        <w:rPr>
          <w:rFonts w:cstheme="minorHAnsi"/>
          <w:color w:val="auto"/>
          <w:sz w:val="24"/>
          <w:szCs w:val="24"/>
        </w:rPr>
        <w:t xml:space="preserve"> 3, 8, e2012476.</w:t>
      </w:r>
    </w:p>
    <w:p w14:paraId="57191105"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[21]</w:t>
      </w:r>
      <w:r w:rsidRPr="001E2D03">
        <w:rPr>
          <w:rFonts w:cstheme="minorHAnsi"/>
          <w:color w:val="auto"/>
          <w:sz w:val="24"/>
          <w:szCs w:val="24"/>
        </w:rPr>
        <w:tab/>
      </w:r>
      <w:bookmarkStart w:id="24" w:name="_CTVL001243a9c251d324197a1006b4f0c9ab8c5"/>
      <w:r w:rsidRPr="001E2D03">
        <w:rPr>
          <w:rFonts w:cstheme="minorHAnsi"/>
          <w:color w:val="auto"/>
          <w:sz w:val="24"/>
          <w:szCs w:val="24"/>
        </w:rPr>
        <w:t>Pizzo, E., Dumba, M., and Lobotesis, K. 2020. Cost-utility analysis of mechanical thrombectomy between 6 and 24 hours in acute ischemic stroke.</w:t>
      </w:r>
      <w:bookmarkEnd w:id="24"/>
      <w:r w:rsidRPr="001E2D03">
        <w:rPr>
          <w:rFonts w:cstheme="minorHAnsi"/>
          <w:color w:val="auto"/>
          <w:sz w:val="24"/>
          <w:szCs w:val="24"/>
        </w:rPr>
        <w:t xml:space="preserve"> </w:t>
      </w:r>
      <w:r w:rsidRPr="001E2D03">
        <w:rPr>
          <w:rFonts w:cstheme="minorHAnsi"/>
          <w:i/>
          <w:color w:val="auto"/>
          <w:sz w:val="24"/>
          <w:szCs w:val="24"/>
        </w:rPr>
        <w:t>Int J Stroke</w:t>
      </w:r>
      <w:r w:rsidRPr="001E2D03">
        <w:rPr>
          <w:rFonts w:cstheme="minorHAnsi"/>
          <w:color w:val="auto"/>
          <w:sz w:val="24"/>
          <w:szCs w:val="24"/>
        </w:rPr>
        <w:t xml:space="preserve"> 15, 1, 75–84.</w:t>
      </w:r>
    </w:p>
    <w:p w14:paraId="6B65C340"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[22]</w:t>
      </w:r>
      <w:r w:rsidRPr="001E2D03">
        <w:rPr>
          <w:rFonts w:cstheme="minorHAnsi"/>
          <w:color w:val="auto"/>
          <w:sz w:val="24"/>
          <w:szCs w:val="24"/>
        </w:rPr>
        <w:tab/>
      </w:r>
      <w:bookmarkStart w:id="25" w:name="_CTVL001c704e66392b248049f1cd501a2a250bd"/>
      <w:r w:rsidRPr="001E2D03">
        <w:rPr>
          <w:rFonts w:cstheme="minorHAnsi"/>
          <w:color w:val="auto"/>
          <w:sz w:val="24"/>
          <w:szCs w:val="24"/>
        </w:rPr>
        <w:t>Sarraj, A., Pizzo, E., Lobotesis, K., Grotta, J. C., Hassan, A. E., Abraham, M. G., Blackburn, S., Day, A. L., Dannenbaum, M. J., Hicks, W., and et al. 2021. Endovascular thrombectomy in patients with large core ischemic stroke: a cost-effectiveness analysis from the SELECT study.</w:t>
      </w:r>
      <w:bookmarkEnd w:id="25"/>
      <w:r w:rsidRPr="001E2D03">
        <w:rPr>
          <w:rFonts w:cstheme="minorHAnsi"/>
          <w:color w:val="auto"/>
          <w:sz w:val="24"/>
          <w:szCs w:val="24"/>
        </w:rPr>
        <w:t xml:space="preserve"> </w:t>
      </w:r>
      <w:r w:rsidRPr="001E2D03">
        <w:rPr>
          <w:rFonts w:cstheme="minorHAnsi"/>
          <w:i/>
          <w:color w:val="auto"/>
          <w:sz w:val="24"/>
          <w:szCs w:val="24"/>
        </w:rPr>
        <w:t>J Neurointerv Surg</w:t>
      </w:r>
      <w:r w:rsidRPr="001E2D03">
        <w:rPr>
          <w:rFonts w:cstheme="minorHAnsi"/>
          <w:color w:val="auto"/>
          <w:sz w:val="24"/>
          <w:szCs w:val="24"/>
        </w:rPr>
        <w:t xml:space="preserve"> 13, 10, 875–882.</w:t>
      </w:r>
    </w:p>
    <w:p w14:paraId="6C6EA1BA"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lastRenderedPageBreak/>
        <w:t>[23]</w:t>
      </w:r>
      <w:r w:rsidRPr="001E2D03">
        <w:rPr>
          <w:rFonts w:cstheme="minorHAnsi"/>
          <w:color w:val="auto"/>
          <w:sz w:val="24"/>
          <w:szCs w:val="24"/>
        </w:rPr>
        <w:tab/>
      </w:r>
      <w:bookmarkStart w:id="26" w:name="_CTVL001840d06b0db6e4adc8aa666fc7e8e1a48"/>
      <w:r w:rsidRPr="001E2D03">
        <w:rPr>
          <w:rFonts w:cstheme="minorHAnsi"/>
          <w:color w:val="auto"/>
          <w:sz w:val="24"/>
          <w:szCs w:val="24"/>
        </w:rPr>
        <w:t>Candio, P., Violato, M., Leal, J., and Luengo-Fernandez, R. 2021. Cost-effectiveness of mechanical thrombectomy for treatment of nonminor ischemic stroke across Europe.</w:t>
      </w:r>
      <w:bookmarkEnd w:id="26"/>
      <w:r w:rsidRPr="001E2D03">
        <w:rPr>
          <w:rFonts w:cstheme="minorHAnsi"/>
          <w:color w:val="auto"/>
          <w:sz w:val="24"/>
          <w:szCs w:val="24"/>
        </w:rPr>
        <w:t xml:space="preserve"> </w:t>
      </w:r>
      <w:r w:rsidRPr="001E2D03">
        <w:rPr>
          <w:rFonts w:cstheme="minorHAnsi"/>
          <w:i/>
          <w:color w:val="auto"/>
          <w:sz w:val="24"/>
          <w:szCs w:val="24"/>
        </w:rPr>
        <w:t>Stroke</w:t>
      </w:r>
      <w:r w:rsidRPr="001E2D03">
        <w:rPr>
          <w:rFonts w:cstheme="minorHAnsi"/>
          <w:color w:val="auto"/>
          <w:sz w:val="24"/>
          <w:szCs w:val="24"/>
        </w:rPr>
        <w:t xml:space="preserve"> 52, 2, 664–673.</w:t>
      </w:r>
    </w:p>
    <w:p w14:paraId="6BB8FBD1" w14:textId="77777777" w:rsidR="00215B90" w:rsidRPr="001E2D03" w:rsidRDefault="00215B90" w:rsidP="00215B90">
      <w:pPr>
        <w:pStyle w:val="CitaviBibliographyEntry"/>
        <w:rPr>
          <w:rFonts w:cstheme="minorHAnsi"/>
          <w:color w:val="auto"/>
          <w:sz w:val="24"/>
          <w:szCs w:val="24"/>
          <w:lang w:val="de-DE"/>
        </w:rPr>
      </w:pPr>
      <w:r w:rsidRPr="001E2D03">
        <w:rPr>
          <w:rFonts w:cstheme="minorHAnsi"/>
          <w:color w:val="auto"/>
          <w:sz w:val="24"/>
          <w:szCs w:val="24"/>
        </w:rPr>
        <w:t>[24]</w:t>
      </w:r>
      <w:r w:rsidRPr="001E2D03">
        <w:rPr>
          <w:rFonts w:cstheme="minorHAnsi"/>
          <w:color w:val="auto"/>
          <w:sz w:val="24"/>
          <w:szCs w:val="24"/>
        </w:rPr>
        <w:tab/>
      </w:r>
      <w:bookmarkStart w:id="27" w:name="_CTVL001490e506629c24d63a24946972c786a0f"/>
      <w:r w:rsidRPr="001E2D03">
        <w:rPr>
          <w:rFonts w:cstheme="minorHAnsi"/>
          <w:color w:val="auto"/>
          <w:sz w:val="24"/>
          <w:szCs w:val="24"/>
        </w:rPr>
        <w:t>Gao, L., Bivard, A., Parsons, M., Spratt, N. J., Levi, C., Butcher, K., Kleinig, T., Yan, B., Dong, Q., Cheng, X., Lou, M., Yin, C., Chen, C., Wang, P., Lin, L., Choi, P., Miteff, F., and Moodie, M. 2021. Real-World Cost-Effectiveness of Late Time Window Thrombectomy for Patients With Ischemic Stroke.</w:t>
      </w:r>
      <w:bookmarkEnd w:id="27"/>
      <w:r w:rsidRPr="001E2D03">
        <w:rPr>
          <w:rFonts w:cstheme="minorHAnsi"/>
          <w:color w:val="auto"/>
          <w:sz w:val="24"/>
          <w:szCs w:val="24"/>
        </w:rPr>
        <w:t xml:space="preserve"> </w:t>
      </w:r>
      <w:r w:rsidRPr="001E2D03">
        <w:rPr>
          <w:rFonts w:cstheme="minorHAnsi"/>
          <w:i/>
          <w:color w:val="auto"/>
          <w:sz w:val="24"/>
          <w:szCs w:val="24"/>
          <w:lang w:val="de-DE"/>
        </w:rPr>
        <w:t>Frontiers in neurology</w:t>
      </w:r>
      <w:r w:rsidRPr="001E2D03">
        <w:rPr>
          <w:rFonts w:cstheme="minorHAnsi"/>
          <w:color w:val="auto"/>
          <w:sz w:val="24"/>
          <w:szCs w:val="24"/>
          <w:lang w:val="de-DE"/>
        </w:rPr>
        <w:t xml:space="preserve"> 12, 780894.</w:t>
      </w:r>
    </w:p>
    <w:p w14:paraId="45925E5A"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lang w:val="de-DE"/>
        </w:rPr>
        <w:t>[25]</w:t>
      </w:r>
      <w:r w:rsidRPr="001E2D03">
        <w:rPr>
          <w:rFonts w:cstheme="minorHAnsi"/>
          <w:color w:val="auto"/>
          <w:sz w:val="24"/>
          <w:szCs w:val="24"/>
          <w:lang w:val="de-DE"/>
        </w:rPr>
        <w:tab/>
      </w:r>
      <w:bookmarkStart w:id="28" w:name="_CTVL0012536305b7ab8424cb09004c9580fdbd8"/>
      <w:r w:rsidRPr="001E2D03">
        <w:rPr>
          <w:rFonts w:cstheme="minorHAnsi"/>
          <w:color w:val="auto"/>
          <w:sz w:val="24"/>
          <w:szCs w:val="24"/>
          <w:lang w:val="de-DE"/>
        </w:rPr>
        <w:t xml:space="preserve">Khunte, M., Wu, X., Payabvash, S., Zhu, C., Matouk, C., Schindler, J., Sanelli, P., Gandhi, D., and Malhotra, A. 2021. </w:t>
      </w:r>
      <w:r w:rsidRPr="001E2D03">
        <w:rPr>
          <w:rFonts w:cstheme="minorHAnsi"/>
          <w:color w:val="auto"/>
          <w:sz w:val="24"/>
          <w:szCs w:val="24"/>
        </w:rPr>
        <w:t>Cost-effectiveness of endovascular thrombectomy in patients with acute stroke and M2 occlusion.</w:t>
      </w:r>
      <w:bookmarkEnd w:id="28"/>
      <w:r w:rsidRPr="001E2D03">
        <w:rPr>
          <w:rFonts w:cstheme="minorHAnsi"/>
          <w:color w:val="auto"/>
          <w:sz w:val="24"/>
          <w:szCs w:val="24"/>
        </w:rPr>
        <w:t xml:space="preserve"> </w:t>
      </w:r>
      <w:r w:rsidRPr="001E2D03">
        <w:rPr>
          <w:rFonts w:cstheme="minorHAnsi"/>
          <w:i/>
          <w:color w:val="auto"/>
          <w:sz w:val="24"/>
          <w:szCs w:val="24"/>
        </w:rPr>
        <w:t>J Neurointerv Surg</w:t>
      </w:r>
      <w:r w:rsidRPr="001E2D03">
        <w:rPr>
          <w:rFonts w:cstheme="minorHAnsi"/>
          <w:color w:val="auto"/>
          <w:sz w:val="24"/>
          <w:szCs w:val="24"/>
        </w:rPr>
        <w:t xml:space="preserve"> 13, 9, 784–789.</w:t>
      </w:r>
    </w:p>
    <w:p w14:paraId="3D28A890"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[26]</w:t>
      </w:r>
      <w:r w:rsidRPr="001E2D03">
        <w:rPr>
          <w:rFonts w:cstheme="minorHAnsi"/>
          <w:color w:val="auto"/>
          <w:sz w:val="24"/>
          <w:szCs w:val="24"/>
        </w:rPr>
        <w:tab/>
      </w:r>
      <w:bookmarkStart w:id="29" w:name="_CTVL0018d65b90dd64749ccbd489a2dcef90134"/>
      <w:r w:rsidRPr="001E2D03">
        <w:rPr>
          <w:rFonts w:cstheme="minorHAnsi"/>
          <w:color w:val="auto"/>
          <w:sz w:val="24"/>
          <w:szCs w:val="24"/>
        </w:rPr>
        <w:t>Nivelle, E., Dewilde, S., Peeters, A., Vanhooren, G., and Thijs, V. 2022. Thrombectomy is a cost-saving procedure up to 24 h after onset.</w:t>
      </w:r>
      <w:bookmarkEnd w:id="29"/>
      <w:r w:rsidRPr="001E2D03">
        <w:rPr>
          <w:rFonts w:cstheme="minorHAnsi"/>
          <w:color w:val="auto"/>
          <w:sz w:val="24"/>
          <w:szCs w:val="24"/>
        </w:rPr>
        <w:t xml:space="preserve"> </w:t>
      </w:r>
      <w:r w:rsidRPr="001E2D03">
        <w:rPr>
          <w:rFonts w:cstheme="minorHAnsi"/>
          <w:i/>
          <w:color w:val="auto"/>
          <w:sz w:val="24"/>
          <w:szCs w:val="24"/>
        </w:rPr>
        <w:t>Acta Neurol Belg</w:t>
      </w:r>
      <w:r w:rsidRPr="001E2D03">
        <w:rPr>
          <w:rFonts w:cstheme="minorHAnsi"/>
          <w:color w:val="auto"/>
          <w:sz w:val="24"/>
          <w:szCs w:val="24"/>
        </w:rPr>
        <w:t xml:space="preserve"> 122, 1, 163–171.</w:t>
      </w:r>
    </w:p>
    <w:p w14:paraId="22BF6046"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[27]</w:t>
      </w:r>
      <w:r w:rsidRPr="001E2D03">
        <w:rPr>
          <w:rFonts w:cstheme="minorHAnsi"/>
          <w:color w:val="auto"/>
          <w:sz w:val="24"/>
          <w:szCs w:val="24"/>
        </w:rPr>
        <w:tab/>
      </w:r>
      <w:bookmarkStart w:id="30" w:name="_CTVL00122fc8d0bce76480da4aab255b71a27f7"/>
      <w:r w:rsidRPr="001E2D03">
        <w:rPr>
          <w:rFonts w:cstheme="minorHAnsi"/>
          <w:color w:val="auto"/>
          <w:sz w:val="24"/>
          <w:szCs w:val="24"/>
        </w:rPr>
        <w:t>Sevick, L. K., Demchuk, A. M., Shuaib, A., Smith, E. E., Rempel, J. L., Butcher, K., Menon, B. K., Jeerakathil, T., Kamal, N., Thornton, J., and et al. 2021. A prospective economic evaluation of rapid endovascular therapy for acute ischemic stroke.</w:t>
      </w:r>
      <w:bookmarkEnd w:id="30"/>
      <w:r w:rsidRPr="001E2D03">
        <w:rPr>
          <w:rFonts w:cstheme="minorHAnsi"/>
          <w:color w:val="auto"/>
          <w:sz w:val="24"/>
          <w:szCs w:val="24"/>
        </w:rPr>
        <w:t xml:space="preserve"> </w:t>
      </w:r>
      <w:r w:rsidRPr="001E2D03">
        <w:rPr>
          <w:rFonts w:cstheme="minorHAnsi"/>
          <w:i/>
          <w:color w:val="auto"/>
          <w:sz w:val="24"/>
          <w:szCs w:val="24"/>
        </w:rPr>
        <w:t>Can J Neurol Sci</w:t>
      </w:r>
      <w:r w:rsidRPr="001E2D03">
        <w:rPr>
          <w:rFonts w:cstheme="minorHAnsi"/>
          <w:color w:val="auto"/>
          <w:sz w:val="24"/>
          <w:szCs w:val="24"/>
        </w:rPr>
        <w:t xml:space="preserve"> 48, 6, 791–798.</w:t>
      </w:r>
    </w:p>
    <w:p w14:paraId="582B7516"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[28]</w:t>
      </w:r>
      <w:r w:rsidRPr="001E2D03">
        <w:rPr>
          <w:rFonts w:cstheme="minorHAnsi"/>
          <w:color w:val="auto"/>
          <w:sz w:val="24"/>
          <w:szCs w:val="24"/>
        </w:rPr>
        <w:tab/>
      </w:r>
      <w:bookmarkStart w:id="31" w:name="_CTVL0013164f626cf494974adac85e01a0e2e37"/>
      <w:r w:rsidRPr="001E2D03">
        <w:rPr>
          <w:rFonts w:cstheme="minorHAnsi"/>
          <w:color w:val="auto"/>
          <w:sz w:val="24"/>
          <w:szCs w:val="24"/>
        </w:rPr>
        <w:t>Wu, X., Payabvash, S., Matouk, C. C., Lev, M. H., Wintermark, M., Sanelli, P., Gandhi, D., and Malhotra, A. 2021. Cost-effectiveness of endovascular thrombectomy in patients with low Alberta Stroke Program Early CT Scores (&lt; 6) at presentation.</w:t>
      </w:r>
      <w:bookmarkEnd w:id="31"/>
      <w:r w:rsidRPr="001E2D03">
        <w:rPr>
          <w:rFonts w:cstheme="minorHAnsi"/>
          <w:color w:val="auto"/>
          <w:sz w:val="24"/>
          <w:szCs w:val="24"/>
        </w:rPr>
        <w:t xml:space="preserve"> </w:t>
      </w:r>
      <w:r w:rsidRPr="001E2D03">
        <w:rPr>
          <w:rFonts w:cstheme="minorHAnsi"/>
          <w:i/>
          <w:color w:val="auto"/>
          <w:sz w:val="24"/>
          <w:szCs w:val="24"/>
        </w:rPr>
        <w:t>J Neurosurg</w:t>
      </w:r>
      <w:r w:rsidRPr="001E2D03">
        <w:rPr>
          <w:rFonts w:cstheme="minorHAnsi"/>
          <w:color w:val="auto"/>
          <w:sz w:val="24"/>
          <w:szCs w:val="24"/>
        </w:rPr>
        <w:t xml:space="preserve"> 135, 6, 1645–1655.</w:t>
      </w:r>
    </w:p>
    <w:p w14:paraId="2691DFF5"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[29]</w:t>
      </w:r>
      <w:r w:rsidRPr="001E2D03">
        <w:rPr>
          <w:rFonts w:cstheme="minorHAnsi"/>
          <w:color w:val="auto"/>
          <w:sz w:val="24"/>
          <w:szCs w:val="24"/>
        </w:rPr>
        <w:tab/>
      </w:r>
      <w:bookmarkStart w:id="32" w:name="_CTVL001057c0976e20e40c4a4ba513722801468"/>
      <w:r w:rsidRPr="001E2D03">
        <w:rPr>
          <w:rFonts w:cstheme="minorHAnsi"/>
          <w:color w:val="auto"/>
          <w:sz w:val="24"/>
          <w:szCs w:val="24"/>
        </w:rPr>
        <w:t>Khunte, M., Wu, X., Avery, E. W., Gandhi, D., Payabvash, S., Matouk, C., Heit, J. J., Wintermark, M., Albers, G. W., Sanelli, P., and Malhotra, A. 2022. Impact of collateral flow on cost-effectiveness of endovascular thrombectomy.</w:t>
      </w:r>
      <w:bookmarkEnd w:id="32"/>
      <w:r w:rsidRPr="001E2D03">
        <w:rPr>
          <w:rFonts w:cstheme="minorHAnsi"/>
          <w:color w:val="auto"/>
          <w:sz w:val="24"/>
          <w:szCs w:val="24"/>
        </w:rPr>
        <w:t xml:space="preserve"> </w:t>
      </w:r>
      <w:r w:rsidRPr="001E2D03">
        <w:rPr>
          <w:rFonts w:cstheme="minorHAnsi"/>
          <w:i/>
          <w:color w:val="auto"/>
          <w:sz w:val="24"/>
          <w:szCs w:val="24"/>
        </w:rPr>
        <w:t>J Neurosurg</w:t>
      </w:r>
      <w:r w:rsidRPr="001E2D03">
        <w:rPr>
          <w:rFonts w:cstheme="minorHAnsi"/>
          <w:color w:val="auto"/>
          <w:sz w:val="24"/>
          <w:szCs w:val="24"/>
        </w:rPr>
        <w:t xml:space="preserve"> 137, 6, 1801–1810.</w:t>
      </w:r>
    </w:p>
    <w:p w14:paraId="6FF862CF"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[30]</w:t>
      </w:r>
      <w:r w:rsidRPr="001E2D03">
        <w:rPr>
          <w:rFonts w:cstheme="minorHAnsi"/>
          <w:color w:val="auto"/>
          <w:sz w:val="24"/>
          <w:szCs w:val="24"/>
        </w:rPr>
        <w:tab/>
      </w:r>
      <w:bookmarkStart w:id="33" w:name="_CTVL001a3a1d9d9f5b94cc6a5e5aa8737d16b0a"/>
      <w:r w:rsidRPr="001E2D03">
        <w:rPr>
          <w:rFonts w:cstheme="minorHAnsi"/>
          <w:color w:val="auto"/>
          <w:sz w:val="24"/>
          <w:szCs w:val="24"/>
        </w:rPr>
        <w:t>Lylyk, P., Cirio, J., Toranzo, C., Aiello, E., Valencia, J., and Paredes-Fernández, D. 2022. Mechanical thrombectomy for acute ischemic stroke due to large vessel occlusion in Argentina: an economic analysis.</w:t>
      </w:r>
      <w:bookmarkEnd w:id="33"/>
      <w:r w:rsidRPr="001E2D03">
        <w:rPr>
          <w:rFonts w:cstheme="minorHAnsi"/>
          <w:color w:val="auto"/>
          <w:sz w:val="24"/>
          <w:szCs w:val="24"/>
        </w:rPr>
        <w:t xml:space="preserve"> </w:t>
      </w:r>
      <w:r w:rsidRPr="001E2D03">
        <w:rPr>
          <w:rFonts w:cstheme="minorHAnsi"/>
          <w:i/>
          <w:color w:val="auto"/>
          <w:sz w:val="24"/>
          <w:szCs w:val="24"/>
        </w:rPr>
        <w:t>J Stroke Cerebrovasc Dis</w:t>
      </w:r>
      <w:r w:rsidRPr="001E2D03">
        <w:rPr>
          <w:rFonts w:cstheme="minorHAnsi"/>
          <w:color w:val="auto"/>
          <w:sz w:val="24"/>
          <w:szCs w:val="24"/>
        </w:rPr>
        <w:t xml:space="preserve"> 31, 8, 106595.</w:t>
      </w:r>
    </w:p>
    <w:p w14:paraId="42F117B2"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[31]</w:t>
      </w:r>
      <w:r w:rsidRPr="001E2D03">
        <w:rPr>
          <w:rFonts w:cstheme="minorHAnsi"/>
          <w:color w:val="auto"/>
          <w:sz w:val="24"/>
          <w:szCs w:val="24"/>
        </w:rPr>
        <w:tab/>
      </w:r>
      <w:bookmarkStart w:id="34" w:name="_CTVL001e314f03578504cbca6cb8d5e48e186c7"/>
      <w:r w:rsidRPr="001E2D03">
        <w:rPr>
          <w:rFonts w:cstheme="minorHAnsi"/>
          <w:color w:val="auto"/>
          <w:sz w:val="24"/>
          <w:szCs w:val="24"/>
        </w:rPr>
        <w:t>Rattanavipapong, W., Worakijthamrongchai, T., Soboon, B., Luankongsomchit, V., Kongmuangpuk, M., Isaranuwatchai, W., Teerawattananon, Y., and Nilanont, Y. 2022. Economic evaluation of endovascular treatment for acute ischaemic stroke in Thailand.</w:t>
      </w:r>
      <w:bookmarkEnd w:id="34"/>
      <w:r w:rsidRPr="001E2D03">
        <w:rPr>
          <w:rFonts w:cstheme="minorHAnsi"/>
          <w:color w:val="auto"/>
          <w:sz w:val="24"/>
          <w:szCs w:val="24"/>
        </w:rPr>
        <w:t xml:space="preserve"> </w:t>
      </w:r>
      <w:r w:rsidRPr="001E2D03">
        <w:rPr>
          <w:rFonts w:cstheme="minorHAnsi"/>
          <w:i/>
          <w:color w:val="auto"/>
          <w:sz w:val="24"/>
          <w:szCs w:val="24"/>
        </w:rPr>
        <w:t>BMJ open</w:t>
      </w:r>
      <w:r w:rsidRPr="001E2D03">
        <w:rPr>
          <w:rFonts w:cstheme="minorHAnsi"/>
          <w:color w:val="auto"/>
          <w:sz w:val="24"/>
          <w:szCs w:val="24"/>
        </w:rPr>
        <w:t xml:space="preserve"> 12, 9, e064403.</w:t>
      </w:r>
    </w:p>
    <w:p w14:paraId="52521FB3"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[32]</w:t>
      </w:r>
      <w:r w:rsidRPr="001E2D03">
        <w:rPr>
          <w:rFonts w:cstheme="minorHAnsi"/>
          <w:color w:val="auto"/>
          <w:sz w:val="24"/>
          <w:szCs w:val="24"/>
        </w:rPr>
        <w:tab/>
      </w:r>
      <w:bookmarkStart w:id="35" w:name="_CTVL00176e2ad2e0c4149efb48c8e5344a89f91"/>
      <w:r w:rsidRPr="001E2D03">
        <w:rPr>
          <w:rFonts w:cstheme="minorHAnsi"/>
          <w:color w:val="auto"/>
          <w:sz w:val="24"/>
          <w:szCs w:val="24"/>
        </w:rPr>
        <w:t>Souza, A. C. de, Martins, S. O., Polanczyk, C. A., Araújo, D. V., Etges, A. P. B., Zanotto, B. S., Neyeloff, J. L., Carbonera, L. A., Chaves, M. L. F., Carvalho, J. J. F. de, Rebello, L. C., Abud, D. G., Cabral, L. S., Lima, F. O., Mont’Alverne, F., SC Magalhães, P., Diegoli, H., Safanelli, J., André Silveira Salvetti, T., Sousa Mendes Parente, B. de, Eli Frudit, M., Silva, G. S., Pontes-Neto, O. M., and Nogueira, R. G. 2022. Cost-effectiveness of mechanical thrombectomy for acute ischemic stroke in Brazil: results from the RESILIENT trial.</w:t>
      </w:r>
      <w:bookmarkEnd w:id="35"/>
      <w:r w:rsidRPr="001E2D03">
        <w:rPr>
          <w:rFonts w:cstheme="minorHAnsi"/>
          <w:color w:val="auto"/>
          <w:sz w:val="24"/>
          <w:szCs w:val="24"/>
        </w:rPr>
        <w:t xml:space="preserve"> </w:t>
      </w:r>
      <w:r w:rsidRPr="001E2D03">
        <w:rPr>
          <w:rFonts w:cstheme="minorHAnsi"/>
          <w:i/>
          <w:color w:val="auto"/>
          <w:sz w:val="24"/>
          <w:szCs w:val="24"/>
        </w:rPr>
        <w:t>Int J Stroke</w:t>
      </w:r>
      <w:r w:rsidRPr="001E2D03">
        <w:rPr>
          <w:rFonts w:cstheme="minorHAnsi"/>
          <w:color w:val="auto"/>
          <w:sz w:val="24"/>
          <w:szCs w:val="24"/>
        </w:rPr>
        <w:t xml:space="preserve"> 17, 8, 855–862.</w:t>
      </w:r>
    </w:p>
    <w:p w14:paraId="7B068FF1"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[33]</w:t>
      </w:r>
      <w:r w:rsidRPr="001E2D03">
        <w:rPr>
          <w:rFonts w:cstheme="minorHAnsi"/>
          <w:color w:val="auto"/>
          <w:sz w:val="24"/>
          <w:szCs w:val="24"/>
        </w:rPr>
        <w:tab/>
      </w:r>
      <w:bookmarkStart w:id="36" w:name="_CTVL00138c63509cf24411083d84355ec7122ba"/>
      <w:r w:rsidRPr="001E2D03">
        <w:rPr>
          <w:rFonts w:cstheme="minorHAnsi"/>
          <w:color w:val="auto"/>
          <w:sz w:val="24"/>
          <w:szCs w:val="24"/>
        </w:rPr>
        <w:t>Gao, L., Tan, E., Chen, C., Kleinig, T., Yan, B., Cheung, A., Levi, C., Garcia-Esperon, C., Cordato, D., Blair, C., Lin, L., Parsons, M., and Bivard, A. 2023. Cost-effectiveness of endovascular thrombectomy in M2 occlusion stroke: real-world experience versus clinical trials.</w:t>
      </w:r>
      <w:bookmarkEnd w:id="36"/>
      <w:r w:rsidRPr="001E2D03">
        <w:rPr>
          <w:rFonts w:cstheme="minorHAnsi"/>
          <w:color w:val="auto"/>
          <w:sz w:val="24"/>
          <w:szCs w:val="24"/>
        </w:rPr>
        <w:t xml:space="preserve"> </w:t>
      </w:r>
      <w:r w:rsidRPr="001E2D03">
        <w:rPr>
          <w:rFonts w:cstheme="minorHAnsi"/>
          <w:i/>
          <w:color w:val="auto"/>
          <w:sz w:val="24"/>
          <w:szCs w:val="24"/>
        </w:rPr>
        <w:t>J Endovasc Ther</w:t>
      </w:r>
      <w:r w:rsidRPr="001E2D03">
        <w:rPr>
          <w:rFonts w:cstheme="minorHAnsi"/>
          <w:color w:val="auto"/>
          <w:sz w:val="24"/>
          <w:szCs w:val="24"/>
        </w:rPr>
        <w:t xml:space="preserve"> 0, 0, 15266028231201098.</w:t>
      </w:r>
    </w:p>
    <w:p w14:paraId="70BCDE59"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lastRenderedPageBreak/>
        <w:t>[34]</w:t>
      </w:r>
      <w:r w:rsidRPr="001E2D03">
        <w:rPr>
          <w:rFonts w:cstheme="minorHAnsi"/>
          <w:color w:val="auto"/>
          <w:sz w:val="24"/>
          <w:szCs w:val="24"/>
        </w:rPr>
        <w:tab/>
      </w:r>
      <w:bookmarkStart w:id="37" w:name="_CTVL001b1d8738f8c784bccab5218f060c0c6e2"/>
      <w:r w:rsidRPr="001E2D03">
        <w:rPr>
          <w:rFonts w:cstheme="minorHAnsi"/>
          <w:color w:val="auto"/>
          <w:sz w:val="24"/>
          <w:szCs w:val="24"/>
        </w:rPr>
        <w:t>Gao, L., Moodie, M., Levi, C., Lin, L., Cheng, X., Kleinig, T., Butcher, K., Yan, B., Bivard, A., and Parsons, M. 2023. Modelling the long-term health outcome and costs of thrombectomy in treating stroke patients with large ischaemic core: comparison between clinical trials and real-world data.</w:t>
      </w:r>
      <w:bookmarkEnd w:id="37"/>
      <w:r w:rsidRPr="001E2D03">
        <w:rPr>
          <w:rFonts w:cstheme="minorHAnsi"/>
          <w:color w:val="auto"/>
          <w:sz w:val="24"/>
          <w:szCs w:val="24"/>
        </w:rPr>
        <w:t xml:space="preserve"> </w:t>
      </w:r>
      <w:r w:rsidRPr="001E2D03">
        <w:rPr>
          <w:rFonts w:cstheme="minorHAnsi"/>
          <w:i/>
          <w:color w:val="auto"/>
          <w:sz w:val="24"/>
          <w:szCs w:val="24"/>
        </w:rPr>
        <w:t>Cerebrovasc Dis</w:t>
      </w:r>
      <w:r w:rsidRPr="001E2D03">
        <w:rPr>
          <w:rFonts w:cstheme="minorHAnsi"/>
          <w:color w:val="auto"/>
          <w:sz w:val="24"/>
          <w:szCs w:val="24"/>
        </w:rPr>
        <w:t xml:space="preserve"> 52, 2, 137–144.</w:t>
      </w:r>
    </w:p>
    <w:p w14:paraId="0FB661AE"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[35]</w:t>
      </w:r>
      <w:r w:rsidRPr="001E2D03">
        <w:rPr>
          <w:rFonts w:cstheme="minorHAnsi"/>
          <w:color w:val="auto"/>
          <w:sz w:val="24"/>
          <w:szCs w:val="24"/>
        </w:rPr>
        <w:tab/>
      </w:r>
      <w:bookmarkStart w:id="38" w:name="_CTVL001d03a9e81db264c3a9bdcd2e6f71a5779"/>
      <w:r w:rsidRPr="001E2D03">
        <w:rPr>
          <w:rFonts w:cstheme="minorHAnsi"/>
          <w:color w:val="auto"/>
          <w:sz w:val="24"/>
          <w:szCs w:val="24"/>
        </w:rPr>
        <w:t>Khunte, M., Wu, X., Koo, A., Payabvash, S., Matouk, C., Heit, J. J., Wintermark, M., Albers, G. W., Sanelli, P. C., Gandhi, D., and Malhotra, A. 2023. Cost-effectiveness of thrombectomy in patients with minor stroke and large vessel occlusion: effect of thrombus location on cost-effectiveness and outcomes.</w:t>
      </w:r>
      <w:bookmarkEnd w:id="38"/>
      <w:r w:rsidRPr="001E2D03">
        <w:rPr>
          <w:rFonts w:cstheme="minorHAnsi"/>
          <w:color w:val="auto"/>
          <w:sz w:val="24"/>
          <w:szCs w:val="24"/>
        </w:rPr>
        <w:t xml:space="preserve"> </w:t>
      </w:r>
      <w:r w:rsidRPr="001E2D03">
        <w:rPr>
          <w:rFonts w:cstheme="minorHAnsi"/>
          <w:i/>
          <w:color w:val="auto"/>
          <w:sz w:val="24"/>
          <w:szCs w:val="24"/>
        </w:rPr>
        <w:t>J Neurointerv Surg</w:t>
      </w:r>
      <w:r w:rsidRPr="001E2D03">
        <w:rPr>
          <w:rFonts w:cstheme="minorHAnsi"/>
          <w:color w:val="auto"/>
          <w:sz w:val="24"/>
          <w:szCs w:val="24"/>
        </w:rPr>
        <w:t xml:space="preserve"> 15, 1, 39–45.</w:t>
      </w:r>
    </w:p>
    <w:p w14:paraId="3C38F052"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[36]</w:t>
      </w:r>
      <w:r w:rsidRPr="001E2D03">
        <w:rPr>
          <w:rFonts w:cstheme="minorHAnsi"/>
          <w:color w:val="auto"/>
          <w:sz w:val="24"/>
          <w:szCs w:val="24"/>
        </w:rPr>
        <w:tab/>
      </w:r>
      <w:bookmarkStart w:id="39" w:name="_CTVL001982c1fc0193b49c8baaa49d8a377e118"/>
      <w:r w:rsidRPr="001E2D03">
        <w:rPr>
          <w:rFonts w:cstheme="minorHAnsi"/>
          <w:color w:val="auto"/>
          <w:sz w:val="24"/>
          <w:szCs w:val="24"/>
        </w:rPr>
        <w:t>Moreu, M., Scarica, R., Pérez-García, C., Rosati, S., López-Frías, A., Egido, J. A., Gómez-Escalonilla, C., Simal, P., Arrazola, J., Bocquet, A. L., and Barthe, T. 2023. Mechanical thrombectomy is cost-effective versus medical management alone around Europe in patients with low ASPECTS.</w:t>
      </w:r>
      <w:bookmarkEnd w:id="39"/>
      <w:r w:rsidRPr="001E2D03">
        <w:rPr>
          <w:rFonts w:cstheme="minorHAnsi"/>
          <w:color w:val="auto"/>
          <w:sz w:val="24"/>
          <w:szCs w:val="24"/>
        </w:rPr>
        <w:t xml:space="preserve"> </w:t>
      </w:r>
      <w:r w:rsidRPr="001E2D03">
        <w:rPr>
          <w:rFonts w:cstheme="minorHAnsi"/>
          <w:i/>
          <w:color w:val="auto"/>
          <w:sz w:val="24"/>
          <w:szCs w:val="24"/>
        </w:rPr>
        <w:t>J Neurointerv Surg</w:t>
      </w:r>
      <w:r w:rsidRPr="001E2D03">
        <w:rPr>
          <w:rFonts w:cstheme="minorHAnsi"/>
          <w:color w:val="auto"/>
          <w:sz w:val="24"/>
          <w:szCs w:val="24"/>
        </w:rPr>
        <w:t xml:space="preserve"> 15, 7, 629–633.</w:t>
      </w:r>
    </w:p>
    <w:p w14:paraId="02772E3E"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[37]</w:t>
      </w:r>
      <w:r w:rsidRPr="001E2D03">
        <w:rPr>
          <w:rFonts w:cstheme="minorHAnsi"/>
          <w:color w:val="auto"/>
          <w:sz w:val="24"/>
          <w:szCs w:val="24"/>
        </w:rPr>
        <w:tab/>
      </w:r>
      <w:bookmarkStart w:id="40" w:name="_CTVL001b4ff846ab1474fc3991e78ad6562f465"/>
      <w:r w:rsidRPr="001E2D03">
        <w:rPr>
          <w:rFonts w:cstheme="minorHAnsi"/>
          <w:color w:val="auto"/>
          <w:sz w:val="24"/>
          <w:szCs w:val="24"/>
        </w:rPr>
        <w:t>Ospel, J. M., Kunz, W. G., McDonough, R. V., van Zwam, W., Pinckaers, F., Saver, J. L., Hill, M. D., Demchuk, A. M., Jovin, T. G., Mitchell, P., Campbell, B. C. V., White, P., Muir, K., Achit, H., Bracard, S., Brown, S., and Goyal, M. 2023. Cost-effectiveness of endovascular treatment in large vessel occlusion stroke with mild prestroke disability: results from the HERMES collaboration.</w:t>
      </w:r>
      <w:bookmarkEnd w:id="40"/>
      <w:r w:rsidRPr="001E2D03">
        <w:rPr>
          <w:rFonts w:cstheme="minorHAnsi"/>
          <w:color w:val="auto"/>
          <w:sz w:val="24"/>
          <w:szCs w:val="24"/>
        </w:rPr>
        <w:t xml:space="preserve"> </w:t>
      </w:r>
      <w:r w:rsidRPr="001E2D03">
        <w:rPr>
          <w:rFonts w:cstheme="minorHAnsi"/>
          <w:i/>
          <w:color w:val="auto"/>
          <w:sz w:val="24"/>
          <w:szCs w:val="24"/>
        </w:rPr>
        <w:t>Stroke</w:t>
      </w:r>
      <w:r w:rsidRPr="001E2D03">
        <w:rPr>
          <w:rFonts w:cstheme="minorHAnsi"/>
          <w:color w:val="auto"/>
          <w:sz w:val="24"/>
          <w:szCs w:val="24"/>
        </w:rPr>
        <w:t xml:space="preserve"> 54, 1, 226–233.</w:t>
      </w:r>
    </w:p>
    <w:p w14:paraId="30325FBA" w14:textId="77777777" w:rsidR="00215B90" w:rsidRPr="001E2D03" w:rsidRDefault="00215B90" w:rsidP="00215B90">
      <w:pPr>
        <w:pStyle w:val="CitaviBibliographyEntry"/>
        <w:rPr>
          <w:rFonts w:cstheme="minorHAnsi"/>
          <w:color w:val="auto"/>
          <w:sz w:val="24"/>
          <w:szCs w:val="24"/>
          <w:lang w:val="de-DE"/>
        </w:rPr>
      </w:pPr>
      <w:r w:rsidRPr="001E2D03">
        <w:rPr>
          <w:rFonts w:cstheme="minorHAnsi"/>
          <w:color w:val="auto"/>
          <w:sz w:val="24"/>
          <w:szCs w:val="24"/>
        </w:rPr>
        <w:t>[38]</w:t>
      </w:r>
      <w:r w:rsidRPr="001E2D03">
        <w:rPr>
          <w:rFonts w:cstheme="minorHAnsi"/>
          <w:color w:val="auto"/>
          <w:sz w:val="24"/>
          <w:szCs w:val="24"/>
        </w:rPr>
        <w:tab/>
      </w:r>
      <w:bookmarkStart w:id="41" w:name="_CTVL001e2eeb2282f5447d2a9e3ca870137ea24"/>
      <w:r w:rsidRPr="001E2D03">
        <w:rPr>
          <w:rFonts w:cstheme="minorHAnsi"/>
          <w:color w:val="auto"/>
          <w:sz w:val="24"/>
          <w:szCs w:val="24"/>
        </w:rPr>
        <w:t>Ospel, J. M., Kunz, W. G., McDonough, R. V., Goyal, M., Uchida, K., Sakai, N., Yamagami, H., and Yoshimura, S. 2023. Cost-effectiveness of endovascular treatment for acute stroke with large lnfarct: a United States perspective.</w:t>
      </w:r>
      <w:bookmarkEnd w:id="41"/>
      <w:r w:rsidRPr="001E2D03">
        <w:rPr>
          <w:rFonts w:cstheme="minorHAnsi"/>
          <w:color w:val="auto"/>
          <w:sz w:val="24"/>
          <w:szCs w:val="24"/>
        </w:rPr>
        <w:t xml:space="preserve"> </w:t>
      </w:r>
      <w:r w:rsidRPr="001E2D03">
        <w:rPr>
          <w:rFonts w:cstheme="minorHAnsi"/>
          <w:i/>
          <w:color w:val="auto"/>
          <w:sz w:val="24"/>
          <w:szCs w:val="24"/>
          <w:lang w:val="de-DE"/>
        </w:rPr>
        <w:t>Radiology</w:t>
      </w:r>
      <w:r w:rsidRPr="001E2D03">
        <w:rPr>
          <w:rFonts w:cstheme="minorHAnsi"/>
          <w:color w:val="auto"/>
          <w:sz w:val="24"/>
          <w:szCs w:val="24"/>
          <w:lang w:val="de-DE"/>
        </w:rPr>
        <w:t xml:space="preserve"> 309, 1, e223320.</w:t>
      </w:r>
    </w:p>
    <w:p w14:paraId="68548831" w14:textId="77777777" w:rsidR="00215B90" w:rsidRPr="001E2D03" w:rsidRDefault="00215B90" w:rsidP="00215B90">
      <w:pPr>
        <w:pStyle w:val="CitaviBibliographyEntry"/>
        <w:rPr>
          <w:rFonts w:cstheme="minorHAnsi"/>
          <w:color w:val="auto"/>
          <w:sz w:val="24"/>
          <w:szCs w:val="24"/>
          <w:lang w:val="de-DE"/>
        </w:rPr>
      </w:pPr>
      <w:r w:rsidRPr="001E2D03">
        <w:rPr>
          <w:rFonts w:cstheme="minorHAnsi"/>
          <w:color w:val="auto"/>
          <w:sz w:val="24"/>
          <w:szCs w:val="24"/>
          <w:lang w:val="de-DE"/>
        </w:rPr>
        <w:t>[39]</w:t>
      </w:r>
      <w:r w:rsidRPr="001E2D03">
        <w:rPr>
          <w:rFonts w:cstheme="minorHAnsi"/>
          <w:color w:val="auto"/>
          <w:sz w:val="24"/>
          <w:szCs w:val="24"/>
          <w:lang w:val="de-DE"/>
        </w:rPr>
        <w:tab/>
      </w:r>
      <w:bookmarkStart w:id="42" w:name="_CTVL0012440bb52d7d945a49e293431e51d3b8a"/>
      <w:r w:rsidRPr="001E2D03">
        <w:rPr>
          <w:rFonts w:cstheme="minorHAnsi"/>
          <w:color w:val="auto"/>
          <w:sz w:val="24"/>
          <w:szCs w:val="24"/>
          <w:lang w:val="de-DE"/>
        </w:rPr>
        <w:t xml:space="preserve">Sanmartin, M. X., Katz, J. M., Wang, J., Malhotra, A., Sangha, K., Bastani, M., Martinez, G., and Sanelli, P. C. 2023. </w:t>
      </w:r>
      <w:r w:rsidRPr="001E2D03">
        <w:rPr>
          <w:rFonts w:cstheme="minorHAnsi"/>
          <w:color w:val="auto"/>
          <w:sz w:val="24"/>
          <w:szCs w:val="24"/>
        </w:rPr>
        <w:t>Cost-effectiveness of endovascular thrombectomy in acute stroke patients with large ischemic core.</w:t>
      </w:r>
      <w:bookmarkEnd w:id="42"/>
      <w:r w:rsidRPr="001E2D03">
        <w:rPr>
          <w:rFonts w:cstheme="minorHAnsi"/>
          <w:color w:val="auto"/>
          <w:sz w:val="24"/>
          <w:szCs w:val="24"/>
        </w:rPr>
        <w:t xml:space="preserve"> </w:t>
      </w:r>
      <w:r w:rsidRPr="001E2D03">
        <w:rPr>
          <w:rFonts w:cstheme="minorHAnsi"/>
          <w:i/>
          <w:color w:val="auto"/>
          <w:sz w:val="24"/>
          <w:szCs w:val="24"/>
          <w:lang w:val="de-DE"/>
        </w:rPr>
        <w:t>J Neurointerv Surg</w:t>
      </w:r>
      <w:r w:rsidRPr="001E2D03">
        <w:rPr>
          <w:rFonts w:cstheme="minorHAnsi"/>
          <w:color w:val="auto"/>
          <w:sz w:val="24"/>
          <w:szCs w:val="24"/>
          <w:lang w:val="de-DE"/>
        </w:rPr>
        <w:t xml:space="preserve"> 15, e2, e166-e171.</w:t>
      </w:r>
    </w:p>
    <w:p w14:paraId="371698F2"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lang w:val="de-DE"/>
        </w:rPr>
        <w:t>[40]</w:t>
      </w:r>
      <w:r w:rsidRPr="001E2D03">
        <w:rPr>
          <w:rFonts w:cstheme="minorHAnsi"/>
          <w:color w:val="auto"/>
          <w:sz w:val="24"/>
          <w:szCs w:val="24"/>
          <w:lang w:val="de-DE"/>
        </w:rPr>
        <w:tab/>
      </w:r>
      <w:bookmarkStart w:id="43" w:name="_CTVL00190475c0ea7d54801b7436c15879aa8e3"/>
      <w:r w:rsidRPr="001E2D03">
        <w:rPr>
          <w:rFonts w:cstheme="minorHAnsi"/>
          <w:color w:val="auto"/>
          <w:sz w:val="24"/>
          <w:szCs w:val="24"/>
          <w:lang w:val="de-DE"/>
        </w:rPr>
        <w:t xml:space="preserve">Schwarting, J., Rühling, S., Bodden, J., Schwarting, S. K., Zimmer, C., Mehrens, D., Kirschke, J. S., Kunz, W. G., Boeckh-Behrens, T., and Froelich, M. F. 2023. </w:t>
      </w:r>
      <w:r w:rsidRPr="001E2D03">
        <w:rPr>
          <w:rFonts w:cstheme="minorHAnsi"/>
          <w:color w:val="auto"/>
          <w:sz w:val="24"/>
          <w:szCs w:val="24"/>
        </w:rPr>
        <w:t>Endovascular thrombectomy is cost-effective in acute basilar artery occlusion stroke.</w:t>
      </w:r>
      <w:bookmarkEnd w:id="43"/>
      <w:r w:rsidRPr="001E2D03">
        <w:rPr>
          <w:rFonts w:cstheme="minorHAnsi"/>
          <w:color w:val="auto"/>
          <w:sz w:val="24"/>
          <w:szCs w:val="24"/>
        </w:rPr>
        <w:t xml:space="preserve"> </w:t>
      </w:r>
      <w:r w:rsidRPr="001E2D03">
        <w:rPr>
          <w:rFonts w:cstheme="minorHAnsi"/>
          <w:i/>
          <w:color w:val="auto"/>
          <w:sz w:val="24"/>
          <w:szCs w:val="24"/>
        </w:rPr>
        <w:t>Front Neurol</w:t>
      </w:r>
      <w:r w:rsidRPr="001E2D03">
        <w:rPr>
          <w:rFonts w:cstheme="minorHAnsi"/>
          <w:color w:val="auto"/>
          <w:sz w:val="24"/>
          <w:szCs w:val="24"/>
        </w:rPr>
        <w:t xml:space="preserve"> 14.</w:t>
      </w:r>
    </w:p>
    <w:p w14:paraId="5B1ED3CC"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[41]</w:t>
      </w:r>
      <w:r w:rsidRPr="001E2D03">
        <w:rPr>
          <w:rFonts w:cstheme="minorHAnsi"/>
          <w:color w:val="auto"/>
          <w:sz w:val="24"/>
          <w:szCs w:val="24"/>
        </w:rPr>
        <w:tab/>
      </w:r>
      <w:bookmarkStart w:id="44" w:name="_CTVL00194259871296d4537ad37eba9fda484b6"/>
      <w:r w:rsidRPr="001E2D03">
        <w:rPr>
          <w:rFonts w:cstheme="minorHAnsi"/>
          <w:color w:val="auto"/>
          <w:sz w:val="24"/>
          <w:szCs w:val="24"/>
        </w:rPr>
        <w:t>Wang, L., Yu, Y., Zhou, L., Xu, P., Guo, X., Xie, Y., Cai, J., Pan, M., Tang, J., Gong, Q., Su, R., Lou, Y., and Liu, Y. 2023. Endovascular treatment for basilar artery occlusion: a cost-effectiveness analysis based on a meta-analysis.</w:t>
      </w:r>
      <w:bookmarkEnd w:id="44"/>
      <w:r w:rsidRPr="001E2D03">
        <w:rPr>
          <w:rFonts w:cstheme="minorHAnsi"/>
          <w:color w:val="auto"/>
          <w:sz w:val="24"/>
          <w:szCs w:val="24"/>
        </w:rPr>
        <w:t xml:space="preserve"> </w:t>
      </w:r>
      <w:r w:rsidRPr="001E2D03">
        <w:rPr>
          <w:rFonts w:cstheme="minorHAnsi"/>
          <w:i/>
          <w:color w:val="auto"/>
          <w:sz w:val="24"/>
          <w:szCs w:val="24"/>
        </w:rPr>
        <w:t>Front Neurol</w:t>
      </w:r>
      <w:r w:rsidRPr="001E2D03">
        <w:rPr>
          <w:rFonts w:cstheme="minorHAnsi"/>
          <w:color w:val="auto"/>
          <w:sz w:val="24"/>
          <w:szCs w:val="24"/>
        </w:rPr>
        <w:t xml:space="preserve"> 14.</w:t>
      </w:r>
    </w:p>
    <w:p w14:paraId="7549AEF8"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[42]</w:t>
      </w:r>
      <w:r w:rsidRPr="001E2D03">
        <w:rPr>
          <w:rFonts w:cstheme="minorHAnsi"/>
          <w:color w:val="auto"/>
          <w:sz w:val="24"/>
          <w:szCs w:val="24"/>
        </w:rPr>
        <w:tab/>
      </w:r>
      <w:bookmarkStart w:id="45" w:name="_CTVL0014a4896cbb6f64a7fb41a20e8cfecdcc9"/>
      <w:r w:rsidRPr="001E2D03">
        <w:rPr>
          <w:rFonts w:cstheme="minorHAnsi"/>
          <w:color w:val="auto"/>
          <w:sz w:val="24"/>
          <w:szCs w:val="24"/>
        </w:rPr>
        <w:t>Xia, H., Yang, Q., Wang, Q., Jia, J., Liu, X., and Meng, S. 2023. Economic evaluation of stent retrievers in basilar artery occlusion: an analysis from Chinese healthcare system perspective.</w:t>
      </w:r>
      <w:bookmarkEnd w:id="45"/>
      <w:r w:rsidRPr="001E2D03">
        <w:rPr>
          <w:rFonts w:cstheme="minorHAnsi"/>
          <w:color w:val="auto"/>
          <w:sz w:val="24"/>
          <w:szCs w:val="24"/>
        </w:rPr>
        <w:t xml:space="preserve"> </w:t>
      </w:r>
      <w:r w:rsidRPr="001E2D03">
        <w:rPr>
          <w:rFonts w:cstheme="minorHAnsi"/>
          <w:i/>
          <w:color w:val="auto"/>
          <w:sz w:val="24"/>
          <w:szCs w:val="24"/>
        </w:rPr>
        <w:t>PloS one</w:t>
      </w:r>
      <w:r w:rsidRPr="001E2D03">
        <w:rPr>
          <w:rFonts w:cstheme="minorHAnsi"/>
          <w:color w:val="auto"/>
          <w:sz w:val="24"/>
          <w:szCs w:val="24"/>
        </w:rPr>
        <w:t xml:space="preserve"> 18, 11, e0294929.</w:t>
      </w:r>
    </w:p>
    <w:p w14:paraId="4A4595DC"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[43]</w:t>
      </w:r>
      <w:r w:rsidRPr="001E2D03">
        <w:rPr>
          <w:rFonts w:cstheme="minorHAnsi"/>
          <w:color w:val="auto"/>
          <w:sz w:val="24"/>
          <w:szCs w:val="24"/>
        </w:rPr>
        <w:tab/>
      </w:r>
      <w:bookmarkStart w:id="46" w:name="_CTVL001f15a81e3cf4549e89b52c56e9a7b5831"/>
      <w:r w:rsidRPr="001E2D03">
        <w:rPr>
          <w:rFonts w:cstheme="minorHAnsi"/>
          <w:color w:val="auto"/>
          <w:sz w:val="24"/>
          <w:szCs w:val="24"/>
        </w:rPr>
        <w:t>Gao, L., Churilov, L., Johns, H., Pujara, D., Hassan, A. E., Abraham, M., Ortega-Gutierrez, S., Hussain, M. S., Chen, M., Blackburn, S., Sitton, C. W., Pinckaers, F. M. E., van Zwam, W. H., Tsivgoulis, G., Hill, M. D., Grotta, J. C., Kasner, S., Ribo, M., Campbell, B. C., Sarraj, A., and investigators, F. S. 2024. Cost-effectiveness of endovascular thrombectomy in patients with large ischemic stroke.</w:t>
      </w:r>
      <w:bookmarkEnd w:id="46"/>
      <w:r w:rsidRPr="001E2D03">
        <w:rPr>
          <w:rFonts w:cstheme="minorHAnsi"/>
          <w:color w:val="auto"/>
          <w:sz w:val="24"/>
          <w:szCs w:val="24"/>
        </w:rPr>
        <w:t xml:space="preserve"> </w:t>
      </w:r>
      <w:r w:rsidRPr="001E2D03">
        <w:rPr>
          <w:rFonts w:cstheme="minorHAnsi"/>
          <w:i/>
          <w:color w:val="auto"/>
          <w:sz w:val="24"/>
          <w:szCs w:val="24"/>
        </w:rPr>
        <w:t>Ann Neurol</w:t>
      </w:r>
      <w:r w:rsidRPr="001E2D03">
        <w:rPr>
          <w:rFonts w:cstheme="minorHAnsi"/>
          <w:color w:val="auto"/>
          <w:sz w:val="24"/>
          <w:szCs w:val="24"/>
        </w:rPr>
        <w:t xml:space="preserve"> 97, 2, 222–231.</w:t>
      </w:r>
    </w:p>
    <w:p w14:paraId="5BDC6DE8" w14:textId="77777777" w:rsidR="00215B90" w:rsidRPr="001E2D03" w:rsidRDefault="00215B90" w:rsidP="00215B90">
      <w:pPr>
        <w:pStyle w:val="CitaviBibliographyEntry"/>
        <w:rPr>
          <w:rFonts w:cstheme="minorHAnsi"/>
          <w:color w:val="auto"/>
          <w:sz w:val="24"/>
          <w:szCs w:val="24"/>
          <w:lang w:val="de-DE"/>
        </w:rPr>
      </w:pPr>
      <w:r w:rsidRPr="001E2D03">
        <w:rPr>
          <w:rFonts w:cstheme="minorHAnsi"/>
          <w:color w:val="auto"/>
          <w:sz w:val="24"/>
          <w:szCs w:val="24"/>
        </w:rPr>
        <w:t>[44]</w:t>
      </w:r>
      <w:r w:rsidRPr="001E2D03">
        <w:rPr>
          <w:rFonts w:cstheme="minorHAnsi"/>
          <w:color w:val="auto"/>
          <w:sz w:val="24"/>
          <w:szCs w:val="24"/>
        </w:rPr>
        <w:tab/>
      </w:r>
      <w:bookmarkStart w:id="47" w:name="_CTVL0015c2b0a47ca724ce18585d49371d52da1"/>
      <w:r w:rsidRPr="001E2D03">
        <w:rPr>
          <w:rFonts w:cstheme="minorHAnsi"/>
          <w:color w:val="auto"/>
          <w:sz w:val="24"/>
          <w:szCs w:val="24"/>
        </w:rPr>
        <w:t>Gottschalk, S., König, H. H., Subtil, F., Bonekamp, S., Denis, A., Aamodt, A. H., Fuentes, B., Gizewski, E. R., Hill, M. D., Krajina, A., Pierot, L., Simonsen, C. Z., Zeleňák, K., Bendszus, M., Thomalla, G., and Dams, J. 2024. Cost-effectiveness of endovascular thrombectomy for acute ischemic stroke with established large infarct in Germany: a decision tree and Markov model.</w:t>
      </w:r>
      <w:bookmarkEnd w:id="47"/>
      <w:r w:rsidRPr="001E2D03">
        <w:rPr>
          <w:rFonts w:cstheme="minorHAnsi"/>
          <w:color w:val="auto"/>
          <w:sz w:val="24"/>
          <w:szCs w:val="24"/>
        </w:rPr>
        <w:t xml:space="preserve"> </w:t>
      </w:r>
      <w:r w:rsidRPr="001E2D03">
        <w:rPr>
          <w:rFonts w:cstheme="minorHAnsi"/>
          <w:i/>
          <w:color w:val="auto"/>
          <w:sz w:val="24"/>
          <w:szCs w:val="24"/>
          <w:lang w:val="de-DE"/>
        </w:rPr>
        <w:t>J Neurointerv Surg</w:t>
      </w:r>
      <w:r w:rsidRPr="001E2D03">
        <w:rPr>
          <w:rFonts w:cstheme="minorHAnsi"/>
          <w:color w:val="auto"/>
          <w:sz w:val="24"/>
          <w:szCs w:val="24"/>
          <w:lang w:val="de-DE"/>
        </w:rPr>
        <w:t>.</w:t>
      </w:r>
    </w:p>
    <w:p w14:paraId="2C3D98FC"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lang w:val="de-DE"/>
        </w:rPr>
        <w:lastRenderedPageBreak/>
        <w:t>[45]</w:t>
      </w:r>
      <w:r w:rsidRPr="001E2D03">
        <w:rPr>
          <w:rFonts w:cstheme="minorHAnsi"/>
          <w:color w:val="auto"/>
          <w:sz w:val="24"/>
          <w:szCs w:val="24"/>
          <w:lang w:val="de-DE"/>
        </w:rPr>
        <w:tab/>
      </w:r>
      <w:bookmarkStart w:id="48" w:name="_CTVL001dd0e93a205f0408e9a2a5550b03ef243"/>
      <w:r w:rsidRPr="001E2D03">
        <w:rPr>
          <w:rFonts w:cstheme="minorHAnsi"/>
          <w:color w:val="auto"/>
          <w:sz w:val="24"/>
          <w:szCs w:val="24"/>
          <w:lang w:val="de-DE"/>
        </w:rPr>
        <w:t xml:space="preserve">Mehrens, D., Fabritius, M. P., Reidler, P., Liebig, T., Afat, S., Ospel, J. M., Fröhlich, M. F., Schwarting, J., Ricke, J., Dimitriadis, K., Goyal, M., and Kunz, W. G. 2024. </w:t>
      </w:r>
      <w:r w:rsidRPr="001E2D03">
        <w:rPr>
          <w:rFonts w:cstheme="minorHAnsi"/>
          <w:color w:val="auto"/>
          <w:sz w:val="24"/>
          <w:szCs w:val="24"/>
        </w:rPr>
        <w:t>Cost-effectiveness of endovascular treatment versus best medical management in basilar artery occlusion stroke: a U.S. healthcare perspective.</w:t>
      </w:r>
      <w:bookmarkEnd w:id="48"/>
      <w:r w:rsidRPr="001E2D03">
        <w:rPr>
          <w:rFonts w:cstheme="minorHAnsi"/>
          <w:color w:val="auto"/>
          <w:sz w:val="24"/>
          <w:szCs w:val="24"/>
        </w:rPr>
        <w:t xml:space="preserve"> </w:t>
      </w:r>
      <w:r w:rsidRPr="001E2D03">
        <w:rPr>
          <w:rFonts w:cstheme="minorHAnsi"/>
          <w:i/>
          <w:color w:val="auto"/>
          <w:sz w:val="24"/>
          <w:szCs w:val="24"/>
        </w:rPr>
        <w:t>Eur Stroke J</w:t>
      </w:r>
      <w:r w:rsidRPr="001E2D03">
        <w:rPr>
          <w:rFonts w:cstheme="minorHAnsi"/>
          <w:color w:val="auto"/>
          <w:sz w:val="24"/>
          <w:szCs w:val="24"/>
        </w:rPr>
        <w:t xml:space="preserve"> 9, 1, 97–104.</w:t>
      </w:r>
    </w:p>
    <w:p w14:paraId="6163A84F"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[46]</w:t>
      </w:r>
      <w:r w:rsidRPr="001E2D03">
        <w:rPr>
          <w:rFonts w:cstheme="minorHAnsi"/>
          <w:color w:val="auto"/>
          <w:sz w:val="24"/>
          <w:szCs w:val="24"/>
        </w:rPr>
        <w:tab/>
      </w:r>
      <w:bookmarkStart w:id="49" w:name="_CTVL001d0fe387756904de79892666dc3768204"/>
      <w:r w:rsidRPr="001E2D03">
        <w:rPr>
          <w:rFonts w:cstheme="minorHAnsi"/>
          <w:color w:val="auto"/>
          <w:sz w:val="24"/>
          <w:szCs w:val="24"/>
        </w:rPr>
        <w:t>Ospel, J. M., Zerna, C., Harrison, E., Kleinig, T. J., Puetz, V., Kaiser, D. P. O., Graham, B., Yu, A. Y. X., van Adel, B., Shankar, J. J., McTaggart, R. A., Pereira, V., Frei, D. F., Kunz, W. G., Goyal, M., and Hill, M. D. 2024. Cost-effectiveness of late endovascular thrombectomy vs. best medical management in a clinical trial setting and real-world setting.</w:t>
      </w:r>
      <w:bookmarkEnd w:id="49"/>
      <w:r w:rsidRPr="001E2D03">
        <w:rPr>
          <w:rFonts w:cstheme="minorHAnsi"/>
          <w:color w:val="auto"/>
          <w:sz w:val="24"/>
          <w:szCs w:val="24"/>
        </w:rPr>
        <w:t xml:space="preserve"> </w:t>
      </w:r>
      <w:r w:rsidRPr="001E2D03">
        <w:rPr>
          <w:rFonts w:cstheme="minorHAnsi"/>
          <w:i/>
          <w:color w:val="auto"/>
          <w:sz w:val="24"/>
          <w:szCs w:val="24"/>
        </w:rPr>
        <w:t>Can J Neurol Sci</w:t>
      </w:r>
      <w:r w:rsidRPr="001E2D03">
        <w:rPr>
          <w:rFonts w:cstheme="minorHAnsi"/>
          <w:color w:val="auto"/>
          <w:sz w:val="24"/>
          <w:szCs w:val="24"/>
        </w:rPr>
        <w:t xml:space="preserve"> 51, 6, 803–810.</w:t>
      </w:r>
    </w:p>
    <w:p w14:paraId="40F9DD35"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rPr>
        <w:t>[47]</w:t>
      </w:r>
      <w:r w:rsidRPr="001E2D03">
        <w:rPr>
          <w:rFonts w:cstheme="minorHAnsi"/>
          <w:color w:val="auto"/>
          <w:sz w:val="24"/>
          <w:szCs w:val="24"/>
        </w:rPr>
        <w:tab/>
      </w:r>
      <w:bookmarkStart w:id="50" w:name="_CTVL001d1a53282fc47404d9aceeca467bc4f3f"/>
      <w:r w:rsidRPr="001E2D03">
        <w:rPr>
          <w:rFonts w:cstheme="minorHAnsi"/>
          <w:color w:val="auto"/>
          <w:sz w:val="24"/>
          <w:szCs w:val="24"/>
        </w:rPr>
        <w:t>Pan, Y., Huo, X., Jin, A., Nguyen, T. N., Ma, G., Tong, X., Zhang, X., Gao, F., Ma, N., Mo, D., Ren, Z., Wang, Y., and Miao, Z. 2024. Cost-effectiveness of endovascular therapy for acute ischemic stroke with large infarct in China.</w:t>
      </w:r>
      <w:bookmarkEnd w:id="50"/>
      <w:r w:rsidRPr="001E2D03">
        <w:rPr>
          <w:rFonts w:cstheme="minorHAnsi"/>
          <w:color w:val="auto"/>
          <w:sz w:val="24"/>
          <w:szCs w:val="24"/>
        </w:rPr>
        <w:t xml:space="preserve"> </w:t>
      </w:r>
      <w:r w:rsidRPr="001E2D03">
        <w:rPr>
          <w:rFonts w:cstheme="minorHAnsi"/>
          <w:i/>
          <w:color w:val="auto"/>
          <w:sz w:val="24"/>
          <w:szCs w:val="24"/>
        </w:rPr>
        <w:t>J Neurointerv Surg</w:t>
      </w:r>
      <w:r w:rsidRPr="001E2D03">
        <w:rPr>
          <w:rFonts w:cstheme="minorHAnsi"/>
          <w:color w:val="auto"/>
          <w:sz w:val="24"/>
          <w:szCs w:val="24"/>
        </w:rPr>
        <w:t xml:space="preserve"> 16, 5, 453–458.</w:t>
      </w:r>
    </w:p>
    <w:p w14:paraId="2497BDCF" w14:textId="77777777" w:rsidR="00215B90" w:rsidRPr="001E2D03" w:rsidRDefault="00215B90" w:rsidP="00215B90">
      <w:pPr>
        <w:pStyle w:val="CitaviBibliographyEntry"/>
        <w:rPr>
          <w:rFonts w:cstheme="minorHAnsi"/>
          <w:color w:val="auto"/>
          <w:sz w:val="24"/>
          <w:szCs w:val="24"/>
          <w:lang w:val="de-DE"/>
        </w:rPr>
      </w:pPr>
      <w:r w:rsidRPr="001E2D03">
        <w:rPr>
          <w:rFonts w:cstheme="minorHAnsi"/>
          <w:color w:val="auto"/>
          <w:sz w:val="24"/>
          <w:szCs w:val="24"/>
        </w:rPr>
        <w:t>[48]</w:t>
      </w:r>
      <w:r w:rsidRPr="001E2D03">
        <w:rPr>
          <w:rFonts w:cstheme="minorHAnsi"/>
          <w:color w:val="auto"/>
          <w:sz w:val="24"/>
          <w:szCs w:val="24"/>
        </w:rPr>
        <w:tab/>
      </w:r>
      <w:bookmarkStart w:id="51" w:name="_CTVL001deda9dea3627404491a549b322d0c785"/>
      <w:r w:rsidRPr="001E2D03">
        <w:rPr>
          <w:rFonts w:cstheme="minorHAnsi"/>
          <w:color w:val="auto"/>
          <w:sz w:val="24"/>
          <w:szCs w:val="24"/>
        </w:rPr>
        <w:t>Pinckaers, F. M., Evers, S. M., Olthuis, S. G., Boogaarts, H. D., Postma, A. A., van Oostenbrugge, R. J., van Zwam, W. H., and Grutters, J. P. 2024. Cost-effectiveness of endovascular treatment after 6-24 h in ischaemic stroke patients with collateral flow on CT-angiography: A model-based economic evaluation of the MR CLEAN-LATE trial.</w:t>
      </w:r>
      <w:bookmarkEnd w:id="51"/>
      <w:r w:rsidRPr="001E2D03">
        <w:rPr>
          <w:rFonts w:cstheme="minorHAnsi"/>
          <w:color w:val="auto"/>
          <w:sz w:val="24"/>
          <w:szCs w:val="24"/>
        </w:rPr>
        <w:t xml:space="preserve"> </w:t>
      </w:r>
      <w:r w:rsidRPr="001E2D03">
        <w:rPr>
          <w:rFonts w:cstheme="minorHAnsi"/>
          <w:i/>
          <w:color w:val="auto"/>
          <w:sz w:val="24"/>
          <w:szCs w:val="24"/>
          <w:lang w:val="de-DE"/>
        </w:rPr>
        <w:t>Eur Stroke J</w:t>
      </w:r>
      <w:r w:rsidRPr="001E2D03">
        <w:rPr>
          <w:rFonts w:cstheme="minorHAnsi"/>
          <w:color w:val="auto"/>
          <w:sz w:val="24"/>
          <w:szCs w:val="24"/>
          <w:lang w:val="de-DE"/>
        </w:rPr>
        <w:t xml:space="preserve"> 9, 2, 348–355.</w:t>
      </w:r>
    </w:p>
    <w:p w14:paraId="7DC27479" w14:textId="77777777" w:rsidR="00215B90" w:rsidRPr="001E2D03" w:rsidRDefault="00215B90" w:rsidP="00215B90">
      <w:pPr>
        <w:pStyle w:val="CitaviBibliographyEntry"/>
        <w:rPr>
          <w:rFonts w:cstheme="minorHAnsi"/>
          <w:color w:val="auto"/>
          <w:sz w:val="24"/>
          <w:szCs w:val="24"/>
        </w:rPr>
      </w:pPr>
      <w:r w:rsidRPr="001E2D03">
        <w:rPr>
          <w:rFonts w:cstheme="minorHAnsi"/>
          <w:color w:val="auto"/>
          <w:sz w:val="24"/>
          <w:szCs w:val="24"/>
          <w:lang w:val="de-DE"/>
        </w:rPr>
        <w:t>[49]</w:t>
      </w:r>
      <w:r w:rsidRPr="001E2D03">
        <w:rPr>
          <w:rFonts w:cstheme="minorHAnsi"/>
          <w:color w:val="auto"/>
          <w:sz w:val="24"/>
          <w:szCs w:val="24"/>
          <w:lang w:val="de-DE"/>
        </w:rPr>
        <w:tab/>
      </w:r>
      <w:bookmarkStart w:id="52" w:name="_CTVL00183d3b162a10f45b6957bb4ba5f1263ae"/>
      <w:r w:rsidRPr="001E2D03">
        <w:rPr>
          <w:rFonts w:cstheme="minorHAnsi"/>
          <w:color w:val="auto"/>
          <w:sz w:val="24"/>
          <w:szCs w:val="24"/>
          <w:lang w:val="de-DE"/>
        </w:rPr>
        <w:t xml:space="preserve">Schwarting, J., Froelich, M. F., Kirschke, J. S., Mehrens, D., Bodden, J., Sepp, D., Reis, J., Dimitriadis, K., Ricke, J., Zimmer, C., Boeckh-Behrens, T., and Kunz, W. G. 2024. </w:t>
      </w:r>
      <w:r w:rsidRPr="001E2D03">
        <w:rPr>
          <w:rFonts w:cstheme="minorHAnsi"/>
          <w:color w:val="auto"/>
          <w:sz w:val="24"/>
          <w:szCs w:val="24"/>
        </w:rPr>
        <w:t>Endovascular thrombectomy is cost-saving in patients with acute ischemic stroke with large infarct.</w:t>
      </w:r>
      <w:bookmarkEnd w:id="52"/>
      <w:r w:rsidRPr="001E2D03">
        <w:rPr>
          <w:rFonts w:cstheme="minorHAnsi"/>
          <w:color w:val="auto"/>
          <w:sz w:val="24"/>
          <w:szCs w:val="24"/>
        </w:rPr>
        <w:t xml:space="preserve"> </w:t>
      </w:r>
      <w:r w:rsidRPr="001E2D03">
        <w:rPr>
          <w:rFonts w:cstheme="minorHAnsi"/>
          <w:i/>
          <w:color w:val="auto"/>
          <w:sz w:val="24"/>
          <w:szCs w:val="24"/>
        </w:rPr>
        <w:t>Front Neurol</w:t>
      </w:r>
      <w:r w:rsidRPr="001E2D03">
        <w:rPr>
          <w:rFonts w:cstheme="minorHAnsi"/>
          <w:color w:val="auto"/>
          <w:sz w:val="24"/>
          <w:szCs w:val="24"/>
        </w:rPr>
        <w:t xml:space="preserve"> 15.</w:t>
      </w:r>
    </w:p>
    <w:p w14:paraId="04C0242E" w14:textId="436FBBBE" w:rsidR="004B0326" w:rsidRPr="001E2D03" w:rsidRDefault="00215B90" w:rsidP="00215B90">
      <w:pPr>
        <w:pStyle w:val="CitaviBibliographyEntry"/>
        <w:rPr>
          <w:rFonts w:cstheme="minorHAnsi"/>
          <w:color w:val="auto"/>
          <w:sz w:val="24"/>
          <w:szCs w:val="24"/>
        </w:rPr>
      </w:pPr>
      <w:r w:rsidRPr="001E2D03">
        <w:rPr>
          <w:rFonts w:cstheme="minorHAnsi"/>
          <w:color w:val="auto"/>
          <w:sz w:val="24"/>
          <w:szCs w:val="24"/>
        </w:rPr>
        <w:t>[50]</w:t>
      </w:r>
      <w:r w:rsidRPr="001E2D03">
        <w:rPr>
          <w:rFonts w:cstheme="minorHAnsi"/>
          <w:color w:val="auto"/>
          <w:sz w:val="24"/>
          <w:szCs w:val="24"/>
        </w:rPr>
        <w:tab/>
      </w:r>
      <w:bookmarkStart w:id="53" w:name="_CTVL0013c436b2c7f924375bd215988ef45ffcc"/>
      <w:r w:rsidRPr="001E2D03">
        <w:rPr>
          <w:rFonts w:cstheme="minorHAnsi"/>
          <w:color w:val="auto"/>
          <w:sz w:val="24"/>
          <w:szCs w:val="24"/>
        </w:rPr>
        <w:t>Ramos, M. C. P., Barton, P., Jowett, S., and Sutton, A. J. 2015. A systematic review of research guidelines in decision-analytic modeling.</w:t>
      </w:r>
      <w:bookmarkEnd w:id="53"/>
      <w:r w:rsidRPr="001E2D03">
        <w:rPr>
          <w:rFonts w:cstheme="minorHAnsi"/>
          <w:color w:val="auto"/>
          <w:sz w:val="24"/>
          <w:szCs w:val="24"/>
        </w:rPr>
        <w:t xml:space="preserve"> </w:t>
      </w:r>
      <w:r w:rsidRPr="001E2D03">
        <w:rPr>
          <w:rFonts w:cstheme="minorHAnsi"/>
          <w:i/>
          <w:color w:val="auto"/>
          <w:sz w:val="24"/>
          <w:szCs w:val="24"/>
        </w:rPr>
        <w:t>Value Health</w:t>
      </w:r>
      <w:r w:rsidRPr="001E2D03">
        <w:rPr>
          <w:rFonts w:cstheme="minorHAnsi"/>
          <w:color w:val="auto"/>
          <w:sz w:val="24"/>
          <w:szCs w:val="24"/>
        </w:rPr>
        <w:t xml:space="preserve"> 18, 4, 512–529.</w:t>
      </w:r>
    </w:p>
    <w:p w14:paraId="0BA09836" w14:textId="77777777" w:rsidR="004B0326" w:rsidRPr="007E56D0" w:rsidRDefault="004B0326" w:rsidP="004B0326">
      <w:pPr>
        <w:rPr>
          <w:rFonts w:asciiTheme="majorHAnsi" w:hAnsiTheme="majorHAnsi" w:cstheme="majorHAnsi"/>
          <w:lang w:val="en-US"/>
        </w:rPr>
      </w:pPr>
    </w:p>
    <w:sectPr w:rsidR="004B0326" w:rsidRPr="007E56D0" w:rsidSect="00F369D9">
      <w:pgSz w:w="16838" w:h="11906" w:orient="landscape"/>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38FAD" w14:textId="77777777" w:rsidR="008D0DCD" w:rsidRDefault="008D0DCD" w:rsidP="00564942">
      <w:pPr>
        <w:spacing w:after="0" w:line="240" w:lineRule="auto"/>
      </w:pPr>
      <w:r>
        <w:separator/>
      </w:r>
    </w:p>
  </w:endnote>
  <w:endnote w:type="continuationSeparator" w:id="0">
    <w:p w14:paraId="67B8720B" w14:textId="77777777" w:rsidR="008D0DCD" w:rsidRDefault="008D0DCD" w:rsidP="00564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27018" w14:textId="77777777" w:rsidR="00932705" w:rsidRDefault="0093270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2A2EF" w14:textId="77777777" w:rsidR="00932705" w:rsidRDefault="00932705">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32621" w14:textId="77777777" w:rsidR="00932705" w:rsidRDefault="009327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8A385" w14:textId="77777777" w:rsidR="008D0DCD" w:rsidRDefault="008D0DCD" w:rsidP="00564942">
      <w:pPr>
        <w:spacing w:after="0" w:line="240" w:lineRule="auto"/>
      </w:pPr>
      <w:r>
        <w:separator/>
      </w:r>
    </w:p>
  </w:footnote>
  <w:footnote w:type="continuationSeparator" w:id="0">
    <w:p w14:paraId="7680E0FB" w14:textId="77777777" w:rsidR="008D0DCD" w:rsidRDefault="008D0DCD" w:rsidP="005649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A074A" w14:textId="77777777" w:rsidR="00932705" w:rsidRDefault="0093270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EE2CD" w14:textId="77777777" w:rsidR="00932705" w:rsidRDefault="0093270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311CC" w14:textId="77777777" w:rsidR="00932705" w:rsidRDefault="0093270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38E5AC"/>
    <w:lvl w:ilvl="0">
      <w:start w:val="1"/>
      <w:numFmt w:val="decimal"/>
      <w:pStyle w:val="Listennummer51"/>
      <w:lvlText w:val="%1."/>
      <w:lvlJc w:val="left"/>
      <w:pPr>
        <w:tabs>
          <w:tab w:val="num" w:pos="1492"/>
        </w:tabs>
        <w:ind w:left="1492" w:hanging="360"/>
      </w:pPr>
    </w:lvl>
  </w:abstractNum>
  <w:abstractNum w:abstractNumId="1" w15:restartNumberingAfterBreak="0">
    <w:nsid w:val="FFFFFF7D"/>
    <w:multiLevelType w:val="singleLevel"/>
    <w:tmpl w:val="935CA67A"/>
    <w:lvl w:ilvl="0">
      <w:start w:val="1"/>
      <w:numFmt w:val="decimal"/>
      <w:pStyle w:val="Listennummer41"/>
      <w:lvlText w:val="%1."/>
      <w:lvlJc w:val="left"/>
      <w:pPr>
        <w:tabs>
          <w:tab w:val="num" w:pos="1209"/>
        </w:tabs>
        <w:ind w:left="1209" w:hanging="360"/>
      </w:pPr>
    </w:lvl>
  </w:abstractNum>
  <w:abstractNum w:abstractNumId="2" w15:restartNumberingAfterBreak="0">
    <w:nsid w:val="FFFFFF7E"/>
    <w:multiLevelType w:val="singleLevel"/>
    <w:tmpl w:val="471A110A"/>
    <w:lvl w:ilvl="0">
      <w:start w:val="1"/>
      <w:numFmt w:val="decimal"/>
      <w:pStyle w:val="Listennummer31"/>
      <w:lvlText w:val="%1."/>
      <w:lvlJc w:val="left"/>
      <w:pPr>
        <w:tabs>
          <w:tab w:val="num" w:pos="926"/>
        </w:tabs>
        <w:ind w:left="926" w:hanging="360"/>
      </w:pPr>
    </w:lvl>
  </w:abstractNum>
  <w:abstractNum w:abstractNumId="3" w15:restartNumberingAfterBreak="0">
    <w:nsid w:val="FFFFFF7F"/>
    <w:multiLevelType w:val="singleLevel"/>
    <w:tmpl w:val="4948B268"/>
    <w:lvl w:ilvl="0">
      <w:start w:val="1"/>
      <w:numFmt w:val="decimal"/>
      <w:pStyle w:val="Listennummer21"/>
      <w:lvlText w:val="%1."/>
      <w:lvlJc w:val="left"/>
      <w:pPr>
        <w:tabs>
          <w:tab w:val="num" w:pos="643"/>
        </w:tabs>
        <w:ind w:left="643" w:hanging="360"/>
      </w:pPr>
    </w:lvl>
  </w:abstractNum>
  <w:abstractNum w:abstractNumId="4" w15:restartNumberingAfterBreak="0">
    <w:nsid w:val="FFFFFF80"/>
    <w:multiLevelType w:val="singleLevel"/>
    <w:tmpl w:val="B60693EC"/>
    <w:lvl w:ilvl="0">
      <w:start w:val="1"/>
      <w:numFmt w:val="bullet"/>
      <w:pStyle w:val="Aufzhlungszeichen51"/>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42ABC2"/>
    <w:lvl w:ilvl="0">
      <w:start w:val="1"/>
      <w:numFmt w:val="bullet"/>
      <w:pStyle w:val="Aufzhlungszeichen41"/>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F2DCB6"/>
    <w:lvl w:ilvl="0">
      <w:start w:val="1"/>
      <w:numFmt w:val="bullet"/>
      <w:pStyle w:val="Aufzhlungszeichen31"/>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88203C"/>
    <w:lvl w:ilvl="0">
      <w:start w:val="1"/>
      <w:numFmt w:val="bullet"/>
      <w:pStyle w:val="Aufzhlungszeichen21"/>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62D65C"/>
    <w:lvl w:ilvl="0">
      <w:start w:val="1"/>
      <w:numFmt w:val="decimal"/>
      <w:pStyle w:val="Listennummer1"/>
      <w:lvlText w:val="%1."/>
      <w:lvlJc w:val="left"/>
      <w:pPr>
        <w:tabs>
          <w:tab w:val="num" w:pos="360"/>
        </w:tabs>
        <w:ind w:left="360" w:hanging="360"/>
      </w:pPr>
    </w:lvl>
  </w:abstractNum>
  <w:abstractNum w:abstractNumId="9" w15:restartNumberingAfterBreak="0">
    <w:nsid w:val="FFFFFF89"/>
    <w:multiLevelType w:val="singleLevel"/>
    <w:tmpl w:val="157A3DC6"/>
    <w:lvl w:ilvl="0">
      <w:start w:val="1"/>
      <w:numFmt w:val="bullet"/>
      <w:pStyle w:val="Aufzhlungszeichen1"/>
      <w:lvlText w:val=""/>
      <w:lvlJc w:val="left"/>
      <w:pPr>
        <w:tabs>
          <w:tab w:val="num" w:pos="360"/>
        </w:tabs>
        <w:ind w:left="360" w:hanging="360"/>
      </w:pPr>
      <w:rPr>
        <w:rFonts w:ascii="Symbol" w:hAnsi="Symbol" w:hint="default"/>
      </w:rPr>
    </w:lvl>
  </w:abstractNum>
  <w:abstractNum w:abstractNumId="10" w15:restartNumberingAfterBreak="0">
    <w:nsid w:val="03B72822"/>
    <w:multiLevelType w:val="multilevel"/>
    <w:tmpl w:val="2424EC6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0795193A"/>
    <w:multiLevelType w:val="hybridMultilevel"/>
    <w:tmpl w:val="D99CB02A"/>
    <w:lvl w:ilvl="0" w:tplc="29169A1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F2C4026"/>
    <w:multiLevelType w:val="hybridMultilevel"/>
    <w:tmpl w:val="546AE0C6"/>
    <w:lvl w:ilvl="0" w:tplc="8AF44B92">
      <w:start w:val="1"/>
      <w:numFmt w:val="bullet"/>
      <w:lvlText w:val="•"/>
      <w:lvlJc w:val="left"/>
      <w:pPr>
        <w:tabs>
          <w:tab w:val="num" w:pos="720"/>
        </w:tabs>
        <w:ind w:left="720" w:hanging="360"/>
      </w:pPr>
      <w:rPr>
        <w:rFonts w:ascii="Arial" w:hAnsi="Arial" w:hint="default"/>
      </w:rPr>
    </w:lvl>
    <w:lvl w:ilvl="1" w:tplc="8BD01F2A" w:tentative="1">
      <w:start w:val="1"/>
      <w:numFmt w:val="bullet"/>
      <w:lvlText w:val="•"/>
      <w:lvlJc w:val="left"/>
      <w:pPr>
        <w:tabs>
          <w:tab w:val="num" w:pos="1440"/>
        </w:tabs>
        <w:ind w:left="1440" w:hanging="360"/>
      </w:pPr>
      <w:rPr>
        <w:rFonts w:ascii="Arial" w:hAnsi="Arial" w:hint="default"/>
      </w:rPr>
    </w:lvl>
    <w:lvl w:ilvl="2" w:tplc="EA405946" w:tentative="1">
      <w:start w:val="1"/>
      <w:numFmt w:val="bullet"/>
      <w:lvlText w:val="•"/>
      <w:lvlJc w:val="left"/>
      <w:pPr>
        <w:tabs>
          <w:tab w:val="num" w:pos="2160"/>
        </w:tabs>
        <w:ind w:left="2160" w:hanging="360"/>
      </w:pPr>
      <w:rPr>
        <w:rFonts w:ascii="Arial" w:hAnsi="Arial" w:hint="default"/>
      </w:rPr>
    </w:lvl>
    <w:lvl w:ilvl="3" w:tplc="59B029A6" w:tentative="1">
      <w:start w:val="1"/>
      <w:numFmt w:val="bullet"/>
      <w:lvlText w:val="•"/>
      <w:lvlJc w:val="left"/>
      <w:pPr>
        <w:tabs>
          <w:tab w:val="num" w:pos="2880"/>
        </w:tabs>
        <w:ind w:left="2880" w:hanging="360"/>
      </w:pPr>
      <w:rPr>
        <w:rFonts w:ascii="Arial" w:hAnsi="Arial" w:hint="default"/>
      </w:rPr>
    </w:lvl>
    <w:lvl w:ilvl="4" w:tplc="39EEDECE" w:tentative="1">
      <w:start w:val="1"/>
      <w:numFmt w:val="bullet"/>
      <w:lvlText w:val="•"/>
      <w:lvlJc w:val="left"/>
      <w:pPr>
        <w:tabs>
          <w:tab w:val="num" w:pos="3600"/>
        </w:tabs>
        <w:ind w:left="3600" w:hanging="360"/>
      </w:pPr>
      <w:rPr>
        <w:rFonts w:ascii="Arial" w:hAnsi="Arial" w:hint="default"/>
      </w:rPr>
    </w:lvl>
    <w:lvl w:ilvl="5" w:tplc="46EAF8D6" w:tentative="1">
      <w:start w:val="1"/>
      <w:numFmt w:val="bullet"/>
      <w:lvlText w:val="•"/>
      <w:lvlJc w:val="left"/>
      <w:pPr>
        <w:tabs>
          <w:tab w:val="num" w:pos="4320"/>
        </w:tabs>
        <w:ind w:left="4320" w:hanging="360"/>
      </w:pPr>
      <w:rPr>
        <w:rFonts w:ascii="Arial" w:hAnsi="Arial" w:hint="default"/>
      </w:rPr>
    </w:lvl>
    <w:lvl w:ilvl="6" w:tplc="BA7A6A38" w:tentative="1">
      <w:start w:val="1"/>
      <w:numFmt w:val="bullet"/>
      <w:lvlText w:val="•"/>
      <w:lvlJc w:val="left"/>
      <w:pPr>
        <w:tabs>
          <w:tab w:val="num" w:pos="5040"/>
        </w:tabs>
        <w:ind w:left="5040" w:hanging="360"/>
      </w:pPr>
      <w:rPr>
        <w:rFonts w:ascii="Arial" w:hAnsi="Arial" w:hint="default"/>
      </w:rPr>
    </w:lvl>
    <w:lvl w:ilvl="7" w:tplc="7834E284" w:tentative="1">
      <w:start w:val="1"/>
      <w:numFmt w:val="bullet"/>
      <w:lvlText w:val="•"/>
      <w:lvlJc w:val="left"/>
      <w:pPr>
        <w:tabs>
          <w:tab w:val="num" w:pos="5760"/>
        </w:tabs>
        <w:ind w:left="5760" w:hanging="360"/>
      </w:pPr>
      <w:rPr>
        <w:rFonts w:ascii="Arial" w:hAnsi="Arial" w:hint="default"/>
      </w:rPr>
    </w:lvl>
    <w:lvl w:ilvl="8" w:tplc="9FC0092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E071E40"/>
    <w:multiLevelType w:val="hybridMultilevel"/>
    <w:tmpl w:val="74A2F286"/>
    <w:lvl w:ilvl="0" w:tplc="369C8378">
      <w:numFmt w:val="bullet"/>
      <w:lvlText w:val="-"/>
      <w:lvlJc w:val="left"/>
      <w:pPr>
        <w:tabs>
          <w:tab w:val="num" w:pos="720"/>
        </w:tabs>
        <w:ind w:left="720" w:hanging="360"/>
      </w:pPr>
      <w:rPr>
        <w:rFonts w:ascii="Calibri Light" w:eastAsia="Times New Roman" w:hAnsi="Calibri Light" w:cs="Calibri Light"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180089"/>
    <w:multiLevelType w:val="hybridMultilevel"/>
    <w:tmpl w:val="EF4013D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461225"/>
    <w:multiLevelType w:val="hybridMultilevel"/>
    <w:tmpl w:val="863411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A4F4336"/>
    <w:multiLevelType w:val="multilevel"/>
    <w:tmpl w:val="2424EC6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3C4F5058"/>
    <w:multiLevelType w:val="hybridMultilevel"/>
    <w:tmpl w:val="A18AD70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5A19F4"/>
    <w:multiLevelType w:val="hybridMultilevel"/>
    <w:tmpl w:val="7438242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0C3239"/>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E5033DE"/>
    <w:multiLevelType w:val="multilevel"/>
    <w:tmpl w:val="2424EC6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446F086E"/>
    <w:multiLevelType w:val="multilevel"/>
    <w:tmpl w:val="8B20DF82"/>
    <w:lvl w:ilvl="0">
      <w:start w:val="1"/>
      <w:numFmt w:val="bullet"/>
      <w:pStyle w:val="Aufzhlung"/>
      <w:lvlText w:val=""/>
      <w:lvlJc w:val="left"/>
      <w:pPr>
        <w:ind w:left="454" w:hanging="227"/>
      </w:pPr>
      <w:rPr>
        <w:rFonts w:ascii="Wingdings" w:hAnsi="Wingdings" w:hint="default"/>
      </w:rPr>
    </w:lvl>
    <w:lvl w:ilvl="1">
      <w:start w:val="1"/>
      <w:numFmt w:val="bullet"/>
      <w:lvlText w:val=""/>
      <w:lvlJc w:val="left"/>
      <w:pPr>
        <w:ind w:left="681" w:hanging="227"/>
      </w:pPr>
      <w:rPr>
        <w:rFonts w:ascii="Wingdings" w:hAnsi="Wingdings" w:hint="default"/>
      </w:rPr>
    </w:lvl>
    <w:lvl w:ilvl="2">
      <w:start w:val="1"/>
      <w:numFmt w:val="bullet"/>
      <w:lvlText w:val=""/>
      <w:lvlJc w:val="left"/>
      <w:pPr>
        <w:ind w:left="908" w:hanging="227"/>
      </w:pPr>
      <w:rPr>
        <w:rFonts w:ascii="Wingdings" w:hAnsi="Wingdings" w:hint="default"/>
      </w:rPr>
    </w:lvl>
    <w:lvl w:ilvl="3">
      <w:start w:val="1"/>
      <w:numFmt w:val="bullet"/>
      <w:lvlText w:val=""/>
      <w:lvlJc w:val="left"/>
      <w:pPr>
        <w:ind w:left="1135" w:hanging="227"/>
      </w:pPr>
      <w:rPr>
        <w:rFonts w:ascii="Wingdings" w:hAnsi="Wingdings" w:hint="default"/>
      </w:rPr>
    </w:lvl>
    <w:lvl w:ilvl="4">
      <w:start w:val="1"/>
      <w:numFmt w:val="bullet"/>
      <w:lvlText w:val=""/>
      <w:lvlJc w:val="left"/>
      <w:pPr>
        <w:ind w:left="1362" w:hanging="227"/>
      </w:pPr>
      <w:rPr>
        <w:rFonts w:ascii="Wingdings" w:hAnsi="Wingdings" w:hint="default"/>
      </w:rPr>
    </w:lvl>
    <w:lvl w:ilvl="5">
      <w:start w:val="1"/>
      <w:numFmt w:val="bullet"/>
      <w:lvlText w:val=""/>
      <w:lvlJc w:val="left"/>
      <w:pPr>
        <w:ind w:left="1589" w:hanging="227"/>
      </w:pPr>
      <w:rPr>
        <w:rFonts w:ascii="Wingdings" w:hAnsi="Wingdings" w:hint="default"/>
      </w:rPr>
    </w:lvl>
    <w:lvl w:ilvl="6">
      <w:start w:val="1"/>
      <w:numFmt w:val="bullet"/>
      <w:lvlText w:val=""/>
      <w:lvlJc w:val="left"/>
      <w:pPr>
        <w:ind w:left="1816" w:hanging="227"/>
      </w:pPr>
      <w:rPr>
        <w:rFonts w:ascii="Wingdings" w:hAnsi="Wingdings" w:hint="default"/>
      </w:rPr>
    </w:lvl>
    <w:lvl w:ilvl="7">
      <w:start w:val="1"/>
      <w:numFmt w:val="bullet"/>
      <w:lvlText w:val=""/>
      <w:lvlJc w:val="left"/>
      <w:pPr>
        <w:ind w:left="2043" w:hanging="227"/>
      </w:pPr>
      <w:rPr>
        <w:rFonts w:ascii="Wingdings" w:hAnsi="Wingdings" w:hint="default"/>
      </w:rPr>
    </w:lvl>
    <w:lvl w:ilvl="8">
      <w:start w:val="1"/>
      <w:numFmt w:val="bullet"/>
      <w:lvlText w:val=""/>
      <w:lvlJc w:val="left"/>
      <w:pPr>
        <w:ind w:left="2270" w:hanging="227"/>
      </w:pPr>
      <w:rPr>
        <w:rFonts w:ascii="Wingdings" w:hAnsi="Wingdings" w:hint="default"/>
      </w:rPr>
    </w:lvl>
  </w:abstractNum>
  <w:abstractNum w:abstractNumId="22" w15:restartNumberingAfterBreak="0">
    <w:nsid w:val="46E15899"/>
    <w:multiLevelType w:val="multilevel"/>
    <w:tmpl w:val="17C40950"/>
    <w:lvl w:ilvl="0">
      <w:start w:val="1"/>
      <w:numFmt w:val="decimal"/>
      <w:pStyle w:val="Nummerierung"/>
      <w:lvlText w:val="%1."/>
      <w:lvlJc w:val="left"/>
      <w:pPr>
        <w:ind w:left="454" w:hanging="227"/>
      </w:pPr>
      <w:rPr>
        <w:rFonts w:hint="default"/>
      </w:rPr>
    </w:lvl>
    <w:lvl w:ilvl="1">
      <w:start w:val="1"/>
      <w:numFmt w:val="lowerLetter"/>
      <w:lvlText w:val="%2."/>
      <w:lvlJc w:val="left"/>
      <w:pPr>
        <w:ind w:left="681" w:hanging="227"/>
      </w:pPr>
      <w:rPr>
        <w:rFonts w:hint="default"/>
      </w:rPr>
    </w:lvl>
    <w:lvl w:ilvl="2">
      <w:start w:val="1"/>
      <w:numFmt w:val="lowerRoman"/>
      <w:lvlText w:val="%3."/>
      <w:lvlJc w:val="left"/>
      <w:pPr>
        <w:ind w:left="908" w:hanging="227"/>
      </w:pPr>
      <w:rPr>
        <w:rFonts w:hint="default"/>
      </w:rPr>
    </w:lvl>
    <w:lvl w:ilvl="3">
      <w:start w:val="1"/>
      <w:numFmt w:val="decimal"/>
      <w:lvlText w:val="%4."/>
      <w:lvlJc w:val="left"/>
      <w:pPr>
        <w:ind w:left="1135" w:hanging="227"/>
      </w:pPr>
      <w:rPr>
        <w:rFonts w:hint="default"/>
      </w:rPr>
    </w:lvl>
    <w:lvl w:ilvl="4">
      <w:start w:val="1"/>
      <w:numFmt w:val="lowerLetter"/>
      <w:lvlText w:val="%5."/>
      <w:lvlJc w:val="left"/>
      <w:pPr>
        <w:ind w:left="1362" w:hanging="227"/>
      </w:pPr>
      <w:rPr>
        <w:rFonts w:hint="default"/>
      </w:rPr>
    </w:lvl>
    <w:lvl w:ilvl="5">
      <w:start w:val="1"/>
      <w:numFmt w:val="lowerRoman"/>
      <w:lvlText w:val="%6."/>
      <w:lvlJc w:val="left"/>
      <w:pPr>
        <w:ind w:left="1589" w:hanging="227"/>
      </w:pPr>
      <w:rPr>
        <w:rFonts w:hint="default"/>
      </w:rPr>
    </w:lvl>
    <w:lvl w:ilvl="6">
      <w:start w:val="1"/>
      <w:numFmt w:val="decimal"/>
      <w:lvlText w:val="%7."/>
      <w:lvlJc w:val="left"/>
      <w:pPr>
        <w:ind w:left="1816" w:hanging="227"/>
      </w:pPr>
      <w:rPr>
        <w:rFonts w:hint="default"/>
      </w:rPr>
    </w:lvl>
    <w:lvl w:ilvl="7">
      <w:start w:val="1"/>
      <w:numFmt w:val="lowerLetter"/>
      <w:lvlText w:val="%8."/>
      <w:lvlJc w:val="left"/>
      <w:pPr>
        <w:ind w:left="2043" w:hanging="227"/>
      </w:pPr>
      <w:rPr>
        <w:rFonts w:hint="default"/>
      </w:rPr>
    </w:lvl>
    <w:lvl w:ilvl="8">
      <w:start w:val="1"/>
      <w:numFmt w:val="lowerRoman"/>
      <w:lvlText w:val="%9."/>
      <w:lvlJc w:val="left"/>
      <w:pPr>
        <w:ind w:left="2270" w:hanging="227"/>
      </w:pPr>
      <w:rPr>
        <w:rFonts w:hint="default"/>
      </w:rPr>
    </w:lvl>
  </w:abstractNum>
  <w:abstractNum w:abstractNumId="23" w15:restartNumberingAfterBreak="0">
    <w:nsid w:val="499E650B"/>
    <w:multiLevelType w:val="hybridMultilevel"/>
    <w:tmpl w:val="5FAE14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BB8263D"/>
    <w:multiLevelType w:val="hybridMultilevel"/>
    <w:tmpl w:val="4DB23002"/>
    <w:lvl w:ilvl="0" w:tplc="36C21A88">
      <w:start w:val="1"/>
      <w:numFmt w:val="bullet"/>
      <w:lvlText w:val="•"/>
      <w:lvlJc w:val="left"/>
      <w:pPr>
        <w:tabs>
          <w:tab w:val="num" w:pos="720"/>
        </w:tabs>
        <w:ind w:left="720" w:hanging="360"/>
      </w:pPr>
      <w:rPr>
        <w:rFonts w:ascii="Arial" w:hAnsi="Arial" w:hint="default"/>
      </w:rPr>
    </w:lvl>
    <w:lvl w:ilvl="1" w:tplc="32ECE8F8" w:tentative="1">
      <w:start w:val="1"/>
      <w:numFmt w:val="bullet"/>
      <w:lvlText w:val="•"/>
      <w:lvlJc w:val="left"/>
      <w:pPr>
        <w:tabs>
          <w:tab w:val="num" w:pos="1440"/>
        </w:tabs>
        <w:ind w:left="1440" w:hanging="360"/>
      </w:pPr>
      <w:rPr>
        <w:rFonts w:ascii="Arial" w:hAnsi="Arial" w:hint="default"/>
      </w:rPr>
    </w:lvl>
    <w:lvl w:ilvl="2" w:tplc="1C868BF0" w:tentative="1">
      <w:start w:val="1"/>
      <w:numFmt w:val="bullet"/>
      <w:lvlText w:val="•"/>
      <w:lvlJc w:val="left"/>
      <w:pPr>
        <w:tabs>
          <w:tab w:val="num" w:pos="2160"/>
        </w:tabs>
        <w:ind w:left="2160" w:hanging="360"/>
      </w:pPr>
      <w:rPr>
        <w:rFonts w:ascii="Arial" w:hAnsi="Arial" w:hint="default"/>
      </w:rPr>
    </w:lvl>
    <w:lvl w:ilvl="3" w:tplc="07C0B1D0" w:tentative="1">
      <w:start w:val="1"/>
      <w:numFmt w:val="bullet"/>
      <w:lvlText w:val="•"/>
      <w:lvlJc w:val="left"/>
      <w:pPr>
        <w:tabs>
          <w:tab w:val="num" w:pos="2880"/>
        </w:tabs>
        <w:ind w:left="2880" w:hanging="360"/>
      </w:pPr>
      <w:rPr>
        <w:rFonts w:ascii="Arial" w:hAnsi="Arial" w:hint="default"/>
      </w:rPr>
    </w:lvl>
    <w:lvl w:ilvl="4" w:tplc="FEC44000" w:tentative="1">
      <w:start w:val="1"/>
      <w:numFmt w:val="bullet"/>
      <w:lvlText w:val="•"/>
      <w:lvlJc w:val="left"/>
      <w:pPr>
        <w:tabs>
          <w:tab w:val="num" w:pos="3600"/>
        </w:tabs>
        <w:ind w:left="3600" w:hanging="360"/>
      </w:pPr>
      <w:rPr>
        <w:rFonts w:ascii="Arial" w:hAnsi="Arial" w:hint="default"/>
      </w:rPr>
    </w:lvl>
    <w:lvl w:ilvl="5" w:tplc="C9ECDBE0" w:tentative="1">
      <w:start w:val="1"/>
      <w:numFmt w:val="bullet"/>
      <w:lvlText w:val="•"/>
      <w:lvlJc w:val="left"/>
      <w:pPr>
        <w:tabs>
          <w:tab w:val="num" w:pos="4320"/>
        </w:tabs>
        <w:ind w:left="4320" w:hanging="360"/>
      </w:pPr>
      <w:rPr>
        <w:rFonts w:ascii="Arial" w:hAnsi="Arial" w:hint="default"/>
      </w:rPr>
    </w:lvl>
    <w:lvl w:ilvl="6" w:tplc="9B9892AE" w:tentative="1">
      <w:start w:val="1"/>
      <w:numFmt w:val="bullet"/>
      <w:lvlText w:val="•"/>
      <w:lvlJc w:val="left"/>
      <w:pPr>
        <w:tabs>
          <w:tab w:val="num" w:pos="5040"/>
        </w:tabs>
        <w:ind w:left="5040" w:hanging="360"/>
      </w:pPr>
      <w:rPr>
        <w:rFonts w:ascii="Arial" w:hAnsi="Arial" w:hint="default"/>
      </w:rPr>
    </w:lvl>
    <w:lvl w:ilvl="7" w:tplc="98569DC4" w:tentative="1">
      <w:start w:val="1"/>
      <w:numFmt w:val="bullet"/>
      <w:lvlText w:val="•"/>
      <w:lvlJc w:val="left"/>
      <w:pPr>
        <w:tabs>
          <w:tab w:val="num" w:pos="5760"/>
        </w:tabs>
        <w:ind w:left="5760" w:hanging="360"/>
      </w:pPr>
      <w:rPr>
        <w:rFonts w:ascii="Arial" w:hAnsi="Arial" w:hint="default"/>
      </w:rPr>
    </w:lvl>
    <w:lvl w:ilvl="8" w:tplc="190E70D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07557A7"/>
    <w:multiLevelType w:val="multilevel"/>
    <w:tmpl w:val="D7BCDD5E"/>
    <w:lvl w:ilvl="0">
      <w:start w:val="1"/>
      <w:numFmt w:val="decimal"/>
      <w:pStyle w:val="berschrift11"/>
      <w:lvlText w:val="%1"/>
      <w:lvlJc w:val="left"/>
      <w:pPr>
        <w:ind w:left="432" w:hanging="432"/>
      </w:pPr>
      <w:rPr>
        <w:rFonts w:hint="default"/>
      </w:rPr>
    </w:lvl>
    <w:lvl w:ilvl="1">
      <w:start w:val="1"/>
      <w:numFmt w:val="decimal"/>
      <w:pStyle w:val="berschrift21"/>
      <w:lvlText w:val="%1.%2"/>
      <w:lvlJc w:val="left"/>
      <w:pPr>
        <w:ind w:left="576" w:hanging="576"/>
      </w:pPr>
      <w:rPr>
        <w:rFonts w:hint="default"/>
      </w:rPr>
    </w:lvl>
    <w:lvl w:ilvl="2">
      <w:start w:val="1"/>
      <w:numFmt w:val="decimal"/>
      <w:pStyle w:val="berschrift31"/>
      <w:lvlText w:val="%1.%2.%3"/>
      <w:lvlJc w:val="left"/>
      <w:pPr>
        <w:ind w:left="720" w:hanging="720"/>
      </w:pPr>
      <w:rPr>
        <w:rFonts w:hint="default"/>
      </w:rPr>
    </w:lvl>
    <w:lvl w:ilvl="3">
      <w:start w:val="1"/>
      <w:numFmt w:val="decimal"/>
      <w:pStyle w:val="berschrift41"/>
      <w:lvlText w:val="%1.%2.%3.%4"/>
      <w:lvlJc w:val="left"/>
      <w:pPr>
        <w:ind w:left="864" w:hanging="864"/>
      </w:pPr>
      <w:rPr>
        <w:rFonts w:hint="default"/>
      </w:rPr>
    </w:lvl>
    <w:lvl w:ilvl="4">
      <w:start w:val="1"/>
      <w:numFmt w:val="decimal"/>
      <w:pStyle w:val="berschrift51"/>
      <w:lvlText w:val="%1.%2.%3.%4.%5"/>
      <w:lvlJc w:val="left"/>
      <w:pPr>
        <w:ind w:left="1008" w:hanging="1008"/>
      </w:pPr>
      <w:rPr>
        <w:rFonts w:hint="default"/>
      </w:rPr>
    </w:lvl>
    <w:lvl w:ilvl="5">
      <w:start w:val="1"/>
      <w:numFmt w:val="decimal"/>
      <w:pStyle w:val="berschrift61"/>
      <w:lvlText w:val="%1.%2.%3.%4.%5.%6"/>
      <w:lvlJc w:val="left"/>
      <w:pPr>
        <w:ind w:left="1152" w:hanging="1152"/>
      </w:pPr>
      <w:rPr>
        <w:rFonts w:hint="default"/>
      </w:rPr>
    </w:lvl>
    <w:lvl w:ilvl="6">
      <w:start w:val="1"/>
      <w:numFmt w:val="decimal"/>
      <w:pStyle w:val="berschrift71"/>
      <w:lvlText w:val="%1.%2.%3.%4.%5.%6.%7"/>
      <w:lvlJc w:val="left"/>
      <w:pPr>
        <w:ind w:left="1296" w:hanging="1296"/>
      </w:pPr>
      <w:rPr>
        <w:rFonts w:hint="default"/>
      </w:rPr>
    </w:lvl>
    <w:lvl w:ilvl="7">
      <w:start w:val="1"/>
      <w:numFmt w:val="decimal"/>
      <w:pStyle w:val="berschrift81"/>
      <w:lvlText w:val="%1.%2.%3.%4.%5.%6.%7.%8"/>
      <w:lvlJc w:val="left"/>
      <w:pPr>
        <w:ind w:left="1440" w:hanging="1440"/>
      </w:pPr>
      <w:rPr>
        <w:rFonts w:hint="default"/>
      </w:rPr>
    </w:lvl>
    <w:lvl w:ilvl="8">
      <w:start w:val="1"/>
      <w:numFmt w:val="decimal"/>
      <w:pStyle w:val="berschrift91"/>
      <w:lvlText w:val="%1.%2.%3.%4.%5.%6.%7.%8.%9"/>
      <w:lvlJc w:val="left"/>
      <w:pPr>
        <w:ind w:left="1584" w:hanging="1584"/>
      </w:pPr>
      <w:rPr>
        <w:rFonts w:hint="default"/>
      </w:rPr>
    </w:lvl>
  </w:abstractNum>
  <w:abstractNum w:abstractNumId="26" w15:restartNumberingAfterBreak="0">
    <w:nsid w:val="51561128"/>
    <w:multiLevelType w:val="multilevel"/>
    <w:tmpl w:val="0407001D"/>
    <w:styleLink w:val="Listeneutraldezimal"/>
    <w:lvl w:ilvl="0">
      <w:start w:val="1"/>
      <w:numFmt w:val="decimal"/>
      <w:lvlText w:val="%1)"/>
      <w:lvlJc w:val="left"/>
      <w:pPr>
        <w:ind w:left="360" w:hanging="360"/>
      </w:pPr>
      <w:rPr>
        <w:rFonts w:asciiTheme="majorHAnsi" w:hAnsiTheme="majorHAnsi"/>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FA5113B"/>
    <w:multiLevelType w:val="multilevel"/>
    <w:tmpl w:val="2424EC6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113745D"/>
    <w:multiLevelType w:val="hybridMultilevel"/>
    <w:tmpl w:val="88F6DB7C"/>
    <w:lvl w:ilvl="0" w:tplc="874C1622">
      <w:start w:val="5"/>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1883455"/>
    <w:multiLevelType w:val="multilevel"/>
    <w:tmpl w:val="2424EC6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79311159"/>
    <w:multiLevelType w:val="hybridMultilevel"/>
    <w:tmpl w:val="FCEEC1DC"/>
    <w:lvl w:ilvl="0" w:tplc="369C8378">
      <w:numFmt w:val="bullet"/>
      <w:lvlText w:val="-"/>
      <w:lvlJc w:val="left"/>
      <w:pPr>
        <w:ind w:left="720" w:hanging="360"/>
      </w:pPr>
      <w:rPr>
        <w:rFonts w:ascii="Calibri Light" w:eastAsia="Times New Roman"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FA23510"/>
    <w:multiLevelType w:val="hybridMultilevel"/>
    <w:tmpl w:val="D598D452"/>
    <w:lvl w:ilvl="0" w:tplc="7EDAE528">
      <w:start w:val="7"/>
      <w:numFmt w:val="bullet"/>
      <w:lvlText w:val="-"/>
      <w:lvlJc w:val="left"/>
      <w:pPr>
        <w:ind w:left="720" w:hanging="360"/>
      </w:pPr>
      <w:rPr>
        <w:rFonts w:ascii="Helvetica" w:eastAsia="Times New Roman" w:hAnsi="Helvetica" w:cs="Helvetica" w:hint="default"/>
        <w:color w:val="333333"/>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21"/>
  </w:num>
  <w:num w:numId="3">
    <w:abstractNumId w:val="22"/>
  </w:num>
  <w:num w:numId="4">
    <w:abstractNumId w:val="0"/>
  </w:num>
  <w:num w:numId="5">
    <w:abstractNumId w:val="1"/>
  </w:num>
  <w:num w:numId="6">
    <w:abstractNumId w:val="2"/>
  </w:num>
  <w:num w:numId="7">
    <w:abstractNumId w:val="3"/>
  </w:num>
  <w:num w:numId="8">
    <w:abstractNumId w:val="4"/>
  </w:num>
  <w:num w:numId="9">
    <w:abstractNumId w:val="5"/>
  </w:num>
  <w:num w:numId="10">
    <w:abstractNumId w:val="6"/>
  </w:num>
  <w:num w:numId="11">
    <w:abstractNumId w:val="7"/>
  </w:num>
  <w:num w:numId="12">
    <w:abstractNumId w:val="9"/>
  </w:num>
  <w:num w:numId="13">
    <w:abstractNumId w:val="30"/>
  </w:num>
  <w:num w:numId="14">
    <w:abstractNumId w:val="24"/>
  </w:num>
  <w:num w:numId="15">
    <w:abstractNumId w:val="12"/>
  </w:num>
  <w:num w:numId="16">
    <w:abstractNumId w:val="25"/>
  </w:num>
  <w:num w:numId="17">
    <w:abstractNumId w:val="26"/>
  </w:num>
  <w:num w:numId="18">
    <w:abstractNumId w:val="27"/>
  </w:num>
  <w:num w:numId="19">
    <w:abstractNumId w:val="29"/>
  </w:num>
  <w:num w:numId="20">
    <w:abstractNumId w:val="16"/>
  </w:num>
  <w:num w:numId="21">
    <w:abstractNumId w:val="20"/>
  </w:num>
  <w:num w:numId="22">
    <w:abstractNumId w:val="10"/>
  </w:num>
  <w:num w:numId="23">
    <w:abstractNumId w:val="28"/>
  </w:num>
  <w:num w:numId="24">
    <w:abstractNumId w:val="11"/>
  </w:num>
  <w:num w:numId="25">
    <w:abstractNumId w:val="15"/>
  </w:num>
  <w:num w:numId="26">
    <w:abstractNumId w:val="19"/>
  </w:num>
  <w:num w:numId="27">
    <w:abstractNumId w:val="17"/>
  </w:num>
  <w:num w:numId="28">
    <w:abstractNumId w:val="18"/>
  </w:num>
  <w:num w:numId="29">
    <w:abstractNumId w:val="14"/>
  </w:num>
  <w:num w:numId="30">
    <w:abstractNumId w:val="31"/>
  </w:num>
  <w:num w:numId="31">
    <w:abstractNumId w:val="13"/>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942"/>
    <w:rsid w:val="00000858"/>
    <w:rsid w:val="00004488"/>
    <w:rsid w:val="00006174"/>
    <w:rsid w:val="000137C3"/>
    <w:rsid w:val="00013D18"/>
    <w:rsid w:val="0001477F"/>
    <w:rsid w:val="0002072D"/>
    <w:rsid w:val="00021CD2"/>
    <w:rsid w:val="00031ED7"/>
    <w:rsid w:val="00036435"/>
    <w:rsid w:val="000408ED"/>
    <w:rsid w:val="00045B01"/>
    <w:rsid w:val="00054DF1"/>
    <w:rsid w:val="00054E45"/>
    <w:rsid w:val="00060FF9"/>
    <w:rsid w:val="00062D25"/>
    <w:rsid w:val="00063281"/>
    <w:rsid w:val="00064809"/>
    <w:rsid w:val="000673CD"/>
    <w:rsid w:val="00067599"/>
    <w:rsid w:val="00072033"/>
    <w:rsid w:val="00073DE9"/>
    <w:rsid w:val="00076B15"/>
    <w:rsid w:val="00080C1E"/>
    <w:rsid w:val="0008118F"/>
    <w:rsid w:val="00081F12"/>
    <w:rsid w:val="00084F40"/>
    <w:rsid w:val="00087810"/>
    <w:rsid w:val="0009030A"/>
    <w:rsid w:val="000A1BCD"/>
    <w:rsid w:val="000A7577"/>
    <w:rsid w:val="000A7D6A"/>
    <w:rsid w:val="000C0513"/>
    <w:rsid w:val="000C364D"/>
    <w:rsid w:val="000C7804"/>
    <w:rsid w:val="000E2B2D"/>
    <w:rsid w:val="000E43D3"/>
    <w:rsid w:val="000E5F91"/>
    <w:rsid w:val="000E60FD"/>
    <w:rsid w:val="000F078A"/>
    <w:rsid w:val="000F38C0"/>
    <w:rsid w:val="001030A1"/>
    <w:rsid w:val="00103A3A"/>
    <w:rsid w:val="00103B16"/>
    <w:rsid w:val="00103D2B"/>
    <w:rsid w:val="0012105F"/>
    <w:rsid w:val="00125867"/>
    <w:rsid w:val="0012733B"/>
    <w:rsid w:val="00132F69"/>
    <w:rsid w:val="00136CC9"/>
    <w:rsid w:val="00140E76"/>
    <w:rsid w:val="0014151B"/>
    <w:rsid w:val="0014662B"/>
    <w:rsid w:val="001466A2"/>
    <w:rsid w:val="00147D4A"/>
    <w:rsid w:val="001501C0"/>
    <w:rsid w:val="00160998"/>
    <w:rsid w:val="001627EF"/>
    <w:rsid w:val="001714CF"/>
    <w:rsid w:val="00171627"/>
    <w:rsid w:val="00172B8A"/>
    <w:rsid w:val="0017499F"/>
    <w:rsid w:val="001751E9"/>
    <w:rsid w:val="00176B49"/>
    <w:rsid w:val="001844B7"/>
    <w:rsid w:val="00184FC8"/>
    <w:rsid w:val="001904F3"/>
    <w:rsid w:val="00191FDC"/>
    <w:rsid w:val="001932F8"/>
    <w:rsid w:val="001A48ED"/>
    <w:rsid w:val="001C2661"/>
    <w:rsid w:val="001C4D52"/>
    <w:rsid w:val="001C5686"/>
    <w:rsid w:val="001C5EAC"/>
    <w:rsid w:val="001D5C1C"/>
    <w:rsid w:val="001D73CB"/>
    <w:rsid w:val="001D79B8"/>
    <w:rsid w:val="001E2D03"/>
    <w:rsid w:val="001E320F"/>
    <w:rsid w:val="001F2591"/>
    <w:rsid w:val="001F39C2"/>
    <w:rsid w:val="001F5A95"/>
    <w:rsid w:val="0020450D"/>
    <w:rsid w:val="0020474E"/>
    <w:rsid w:val="00206437"/>
    <w:rsid w:val="0021268B"/>
    <w:rsid w:val="00213ABF"/>
    <w:rsid w:val="002140C7"/>
    <w:rsid w:val="00215B90"/>
    <w:rsid w:val="0021673E"/>
    <w:rsid w:val="002204FC"/>
    <w:rsid w:val="00225A46"/>
    <w:rsid w:val="00226053"/>
    <w:rsid w:val="002314F2"/>
    <w:rsid w:val="00232B5F"/>
    <w:rsid w:val="00232E59"/>
    <w:rsid w:val="002332A7"/>
    <w:rsid w:val="0024196D"/>
    <w:rsid w:val="00246986"/>
    <w:rsid w:val="00250F18"/>
    <w:rsid w:val="00252148"/>
    <w:rsid w:val="002552B8"/>
    <w:rsid w:val="002554B8"/>
    <w:rsid w:val="00266677"/>
    <w:rsid w:val="00266FEB"/>
    <w:rsid w:val="002749FF"/>
    <w:rsid w:val="00276317"/>
    <w:rsid w:val="00282425"/>
    <w:rsid w:val="00282B9C"/>
    <w:rsid w:val="0028511E"/>
    <w:rsid w:val="0028589B"/>
    <w:rsid w:val="002876C5"/>
    <w:rsid w:val="00296649"/>
    <w:rsid w:val="002A206B"/>
    <w:rsid w:val="002A4F9E"/>
    <w:rsid w:val="002A595E"/>
    <w:rsid w:val="002A734F"/>
    <w:rsid w:val="002B36DB"/>
    <w:rsid w:val="002B55B3"/>
    <w:rsid w:val="002B682D"/>
    <w:rsid w:val="002C5FD6"/>
    <w:rsid w:val="002C68F8"/>
    <w:rsid w:val="002D3408"/>
    <w:rsid w:val="002D4568"/>
    <w:rsid w:val="002D5E96"/>
    <w:rsid w:val="002D6C70"/>
    <w:rsid w:val="002D76DA"/>
    <w:rsid w:val="002E2163"/>
    <w:rsid w:val="002F2ADB"/>
    <w:rsid w:val="002F4407"/>
    <w:rsid w:val="002F4F84"/>
    <w:rsid w:val="003046F7"/>
    <w:rsid w:val="0030743D"/>
    <w:rsid w:val="00307E43"/>
    <w:rsid w:val="00315F4D"/>
    <w:rsid w:val="00323A26"/>
    <w:rsid w:val="00324FD5"/>
    <w:rsid w:val="00325D65"/>
    <w:rsid w:val="00327A89"/>
    <w:rsid w:val="003308E1"/>
    <w:rsid w:val="0033631F"/>
    <w:rsid w:val="003430FC"/>
    <w:rsid w:val="003446C3"/>
    <w:rsid w:val="00352A05"/>
    <w:rsid w:val="003531A7"/>
    <w:rsid w:val="0035486F"/>
    <w:rsid w:val="00355D66"/>
    <w:rsid w:val="003642A1"/>
    <w:rsid w:val="00381F3C"/>
    <w:rsid w:val="00387D8E"/>
    <w:rsid w:val="003908BF"/>
    <w:rsid w:val="003915D7"/>
    <w:rsid w:val="00397FD4"/>
    <w:rsid w:val="003B10DD"/>
    <w:rsid w:val="003B1FE3"/>
    <w:rsid w:val="003B2D24"/>
    <w:rsid w:val="003B65BD"/>
    <w:rsid w:val="003B7214"/>
    <w:rsid w:val="003C3573"/>
    <w:rsid w:val="003C6AB3"/>
    <w:rsid w:val="003C766D"/>
    <w:rsid w:val="003D07CF"/>
    <w:rsid w:val="003D16A4"/>
    <w:rsid w:val="003F25E8"/>
    <w:rsid w:val="003F4BD6"/>
    <w:rsid w:val="003F795F"/>
    <w:rsid w:val="00404081"/>
    <w:rsid w:val="00404289"/>
    <w:rsid w:val="00405121"/>
    <w:rsid w:val="0040706F"/>
    <w:rsid w:val="00410998"/>
    <w:rsid w:val="004140A0"/>
    <w:rsid w:val="0042201E"/>
    <w:rsid w:val="0042476F"/>
    <w:rsid w:val="00425D8D"/>
    <w:rsid w:val="00432B77"/>
    <w:rsid w:val="00435B78"/>
    <w:rsid w:val="00442DDA"/>
    <w:rsid w:val="004515C5"/>
    <w:rsid w:val="004518B1"/>
    <w:rsid w:val="00453E4C"/>
    <w:rsid w:val="00456F37"/>
    <w:rsid w:val="00460183"/>
    <w:rsid w:val="00466B76"/>
    <w:rsid w:val="004775BC"/>
    <w:rsid w:val="00486B99"/>
    <w:rsid w:val="00491ADC"/>
    <w:rsid w:val="00494BAE"/>
    <w:rsid w:val="004A4C56"/>
    <w:rsid w:val="004B0326"/>
    <w:rsid w:val="004B283B"/>
    <w:rsid w:val="004C0DB3"/>
    <w:rsid w:val="004C1798"/>
    <w:rsid w:val="004C1844"/>
    <w:rsid w:val="004C2B4C"/>
    <w:rsid w:val="004C42CE"/>
    <w:rsid w:val="004D4B83"/>
    <w:rsid w:val="004E631D"/>
    <w:rsid w:val="004F027C"/>
    <w:rsid w:val="004F3EE5"/>
    <w:rsid w:val="004F533E"/>
    <w:rsid w:val="004F554C"/>
    <w:rsid w:val="0050139C"/>
    <w:rsid w:val="00503CE9"/>
    <w:rsid w:val="0051257D"/>
    <w:rsid w:val="00514B65"/>
    <w:rsid w:val="00514FD9"/>
    <w:rsid w:val="005151EF"/>
    <w:rsid w:val="00526B4A"/>
    <w:rsid w:val="00527D48"/>
    <w:rsid w:val="00540DF8"/>
    <w:rsid w:val="005450EF"/>
    <w:rsid w:val="0054663A"/>
    <w:rsid w:val="00553D6E"/>
    <w:rsid w:val="00554771"/>
    <w:rsid w:val="00554C80"/>
    <w:rsid w:val="00560756"/>
    <w:rsid w:val="005611A1"/>
    <w:rsid w:val="00564942"/>
    <w:rsid w:val="00576D8A"/>
    <w:rsid w:val="0058017D"/>
    <w:rsid w:val="0059545B"/>
    <w:rsid w:val="00596B09"/>
    <w:rsid w:val="005B28DF"/>
    <w:rsid w:val="005B5472"/>
    <w:rsid w:val="005B6CED"/>
    <w:rsid w:val="005C0B2E"/>
    <w:rsid w:val="005C57C4"/>
    <w:rsid w:val="005F1128"/>
    <w:rsid w:val="005F79D0"/>
    <w:rsid w:val="005F7EF0"/>
    <w:rsid w:val="006004C5"/>
    <w:rsid w:val="0060243C"/>
    <w:rsid w:val="0061555F"/>
    <w:rsid w:val="006240CE"/>
    <w:rsid w:val="0062435D"/>
    <w:rsid w:val="00624B78"/>
    <w:rsid w:val="006268DF"/>
    <w:rsid w:val="006269A0"/>
    <w:rsid w:val="00627FAD"/>
    <w:rsid w:val="00630127"/>
    <w:rsid w:val="006319F0"/>
    <w:rsid w:val="00633D8A"/>
    <w:rsid w:val="0064142F"/>
    <w:rsid w:val="00646338"/>
    <w:rsid w:val="00646A94"/>
    <w:rsid w:val="00650FC2"/>
    <w:rsid w:val="00653F03"/>
    <w:rsid w:val="00655A45"/>
    <w:rsid w:val="00662D04"/>
    <w:rsid w:val="00681C00"/>
    <w:rsid w:val="00685F26"/>
    <w:rsid w:val="00686EF1"/>
    <w:rsid w:val="00693ED0"/>
    <w:rsid w:val="006B624A"/>
    <w:rsid w:val="006C0182"/>
    <w:rsid w:val="006D04DF"/>
    <w:rsid w:val="006D1CA3"/>
    <w:rsid w:val="006D43BB"/>
    <w:rsid w:val="006D759C"/>
    <w:rsid w:val="006E0978"/>
    <w:rsid w:val="006E555B"/>
    <w:rsid w:val="006F0BC0"/>
    <w:rsid w:val="006F123C"/>
    <w:rsid w:val="006F1658"/>
    <w:rsid w:val="006F6EA7"/>
    <w:rsid w:val="006F7C82"/>
    <w:rsid w:val="006F7E76"/>
    <w:rsid w:val="00703D4C"/>
    <w:rsid w:val="0072305D"/>
    <w:rsid w:val="0073487E"/>
    <w:rsid w:val="00737CC8"/>
    <w:rsid w:val="00751868"/>
    <w:rsid w:val="007529D1"/>
    <w:rsid w:val="00784CB5"/>
    <w:rsid w:val="00791AB4"/>
    <w:rsid w:val="00791B94"/>
    <w:rsid w:val="00793382"/>
    <w:rsid w:val="00795DAB"/>
    <w:rsid w:val="00797DC4"/>
    <w:rsid w:val="007A3922"/>
    <w:rsid w:val="007A7A51"/>
    <w:rsid w:val="007B07F4"/>
    <w:rsid w:val="007C02C1"/>
    <w:rsid w:val="007C531F"/>
    <w:rsid w:val="007E31E0"/>
    <w:rsid w:val="007E56D0"/>
    <w:rsid w:val="007F25AA"/>
    <w:rsid w:val="007F2CF3"/>
    <w:rsid w:val="00800968"/>
    <w:rsid w:val="008012F7"/>
    <w:rsid w:val="00804394"/>
    <w:rsid w:val="00804530"/>
    <w:rsid w:val="00823D81"/>
    <w:rsid w:val="00824B82"/>
    <w:rsid w:val="00826F7E"/>
    <w:rsid w:val="00832534"/>
    <w:rsid w:val="00832A0C"/>
    <w:rsid w:val="00844B13"/>
    <w:rsid w:val="00845535"/>
    <w:rsid w:val="00851388"/>
    <w:rsid w:val="00852759"/>
    <w:rsid w:val="00855FA6"/>
    <w:rsid w:val="00866959"/>
    <w:rsid w:val="00870853"/>
    <w:rsid w:val="00871587"/>
    <w:rsid w:val="0087181D"/>
    <w:rsid w:val="0087472C"/>
    <w:rsid w:val="00875307"/>
    <w:rsid w:val="008815E4"/>
    <w:rsid w:val="008912C1"/>
    <w:rsid w:val="00893DF6"/>
    <w:rsid w:val="008A45A4"/>
    <w:rsid w:val="008C041A"/>
    <w:rsid w:val="008C49F2"/>
    <w:rsid w:val="008D0DCD"/>
    <w:rsid w:val="008D2F5E"/>
    <w:rsid w:val="008E0C91"/>
    <w:rsid w:val="008E69CE"/>
    <w:rsid w:val="008E79E9"/>
    <w:rsid w:val="008F0E0E"/>
    <w:rsid w:val="008F1461"/>
    <w:rsid w:val="008F1A13"/>
    <w:rsid w:val="008F1E20"/>
    <w:rsid w:val="008F283C"/>
    <w:rsid w:val="008F47A5"/>
    <w:rsid w:val="009143DA"/>
    <w:rsid w:val="00917404"/>
    <w:rsid w:val="00930E7E"/>
    <w:rsid w:val="00931E69"/>
    <w:rsid w:val="00932705"/>
    <w:rsid w:val="00933EC3"/>
    <w:rsid w:val="009343C6"/>
    <w:rsid w:val="00934AD0"/>
    <w:rsid w:val="009368E2"/>
    <w:rsid w:val="009412D4"/>
    <w:rsid w:val="00941BFB"/>
    <w:rsid w:val="00947FFC"/>
    <w:rsid w:val="009525D8"/>
    <w:rsid w:val="009527FF"/>
    <w:rsid w:val="00952A99"/>
    <w:rsid w:val="009660F7"/>
    <w:rsid w:val="0096760C"/>
    <w:rsid w:val="00967B3D"/>
    <w:rsid w:val="0097452E"/>
    <w:rsid w:val="00980EB8"/>
    <w:rsid w:val="00981007"/>
    <w:rsid w:val="00985229"/>
    <w:rsid w:val="0098701B"/>
    <w:rsid w:val="009879CF"/>
    <w:rsid w:val="00994DD9"/>
    <w:rsid w:val="009975B4"/>
    <w:rsid w:val="009A3356"/>
    <w:rsid w:val="009B7B74"/>
    <w:rsid w:val="009C1B66"/>
    <w:rsid w:val="009D412D"/>
    <w:rsid w:val="009D419A"/>
    <w:rsid w:val="009E26BC"/>
    <w:rsid w:val="009E2D20"/>
    <w:rsid w:val="009E4E7F"/>
    <w:rsid w:val="009E74B8"/>
    <w:rsid w:val="009F4589"/>
    <w:rsid w:val="00A00623"/>
    <w:rsid w:val="00A02E4B"/>
    <w:rsid w:val="00A03653"/>
    <w:rsid w:val="00A04E09"/>
    <w:rsid w:val="00A31B3E"/>
    <w:rsid w:val="00A323BC"/>
    <w:rsid w:val="00A33666"/>
    <w:rsid w:val="00A36D46"/>
    <w:rsid w:val="00A552EB"/>
    <w:rsid w:val="00A55750"/>
    <w:rsid w:val="00A56F19"/>
    <w:rsid w:val="00A62B17"/>
    <w:rsid w:val="00A648B6"/>
    <w:rsid w:val="00A663E5"/>
    <w:rsid w:val="00A679DD"/>
    <w:rsid w:val="00A752F0"/>
    <w:rsid w:val="00A76321"/>
    <w:rsid w:val="00A77EF5"/>
    <w:rsid w:val="00A81297"/>
    <w:rsid w:val="00A842FA"/>
    <w:rsid w:val="00A84993"/>
    <w:rsid w:val="00A864CF"/>
    <w:rsid w:val="00A9555F"/>
    <w:rsid w:val="00A95E71"/>
    <w:rsid w:val="00A96990"/>
    <w:rsid w:val="00AA4105"/>
    <w:rsid w:val="00AA4F5B"/>
    <w:rsid w:val="00AA5885"/>
    <w:rsid w:val="00AB0631"/>
    <w:rsid w:val="00AC2046"/>
    <w:rsid w:val="00AC605D"/>
    <w:rsid w:val="00AD2159"/>
    <w:rsid w:val="00AD78D9"/>
    <w:rsid w:val="00AE0166"/>
    <w:rsid w:val="00AE0723"/>
    <w:rsid w:val="00AE0C4D"/>
    <w:rsid w:val="00AF1F68"/>
    <w:rsid w:val="00AF4DDC"/>
    <w:rsid w:val="00AF6CF1"/>
    <w:rsid w:val="00AF7533"/>
    <w:rsid w:val="00B123C6"/>
    <w:rsid w:val="00B13CF1"/>
    <w:rsid w:val="00B15AD0"/>
    <w:rsid w:val="00B15B73"/>
    <w:rsid w:val="00B2059A"/>
    <w:rsid w:val="00B31283"/>
    <w:rsid w:val="00B340B9"/>
    <w:rsid w:val="00B3561A"/>
    <w:rsid w:val="00B36B66"/>
    <w:rsid w:val="00B40980"/>
    <w:rsid w:val="00B41129"/>
    <w:rsid w:val="00B45133"/>
    <w:rsid w:val="00B509E8"/>
    <w:rsid w:val="00B62AF9"/>
    <w:rsid w:val="00B63E34"/>
    <w:rsid w:val="00B80419"/>
    <w:rsid w:val="00B81DAC"/>
    <w:rsid w:val="00B83437"/>
    <w:rsid w:val="00B95D72"/>
    <w:rsid w:val="00B96B08"/>
    <w:rsid w:val="00BA5C8B"/>
    <w:rsid w:val="00BD10FE"/>
    <w:rsid w:val="00BD24DB"/>
    <w:rsid w:val="00BD420C"/>
    <w:rsid w:val="00BD592E"/>
    <w:rsid w:val="00BE1009"/>
    <w:rsid w:val="00BE3FA4"/>
    <w:rsid w:val="00BF2047"/>
    <w:rsid w:val="00BF41A6"/>
    <w:rsid w:val="00BF48E2"/>
    <w:rsid w:val="00C13E9B"/>
    <w:rsid w:val="00C169BA"/>
    <w:rsid w:val="00C2741E"/>
    <w:rsid w:val="00C313D5"/>
    <w:rsid w:val="00C43FA6"/>
    <w:rsid w:val="00C44483"/>
    <w:rsid w:val="00C463B8"/>
    <w:rsid w:val="00C50E6D"/>
    <w:rsid w:val="00C67BF5"/>
    <w:rsid w:val="00C700CF"/>
    <w:rsid w:val="00C70BD6"/>
    <w:rsid w:val="00C716A6"/>
    <w:rsid w:val="00C72A2A"/>
    <w:rsid w:val="00C86E9A"/>
    <w:rsid w:val="00C922C9"/>
    <w:rsid w:val="00CA5DAA"/>
    <w:rsid w:val="00CC1C20"/>
    <w:rsid w:val="00CC21BB"/>
    <w:rsid w:val="00CC72CA"/>
    <w:rsid w:val="00CC76AF"/>
    <w:rsid w:val="00CC79D2"/>
    <w:rsid w:val="00CD1645"/>
    <w:rsid w:val="00CD1D5E"/>
    <w:rsid w:val="00CD5955"/>
    <w:rsid w:val="00CE515B"/>
    <w:rsid w:val="00CE7E0F"/>
    <w:rsid w:val="00CF2E5B"/>
    <w:rsid w:val="00CF77B5"/>
    <w:rsid w:val="00CF7E7A"/>
    <w:rsid w:val="00D01F99"/>
    <w:rsid w:val="00D03957"/>
    <w:rsid w:val="00D05CB9"/>
    <w:rsid w:val="00D073B6"/>
    <w:rsid w:val="00D077E4"/>
    <w:rsid w:val="00D1613B"/>
    <w:rsid w:val="00D17FD6"/>
    <w:rsid w:val="00D26E71"/>
    <w:rsid w:val="00D35B9C"/>
    <w:rsid w:val="00D42A1F"/>
    <w:rsid w:val="00D46B77"/>
    <w:rsid w:val="00D47898"/>
    <w:rsid w:val="00D529CD"/>
    <w:rsid w:val="00D55D46"/>
    <w:rsid w:val="00D74122"/>
    <w:rsid w:val="00D90AD8"/>
    <w:rsid w:val="00D9247A"/>
    <w:rsid w:val="00D968DC"/>
    <w:rsid w:val="00DB3A91"/>
    <w:rsid w:val="00DB426F"/>
    <w:rsid w:val="00DB7CEF"/>
    <w:rsid w:val="00DC212F"/>
    <w:rsid w:val="00DC67E8"/>
    <w:rsid w:val="00DD1EAA"/>
    <w:rsid w:val="00DD489A"/>
    <w:rsid w:val="00DD6E0B"/>
    <w:rsid w:val="00DE00AD"/>
    <w:rsid w:val="00DE7037"/>
    <w:rsid w:val="00DF198B"/>
    <w:rsid w:val="00DF4925"/>
    <w:rsid w:val="00E0033F"/>
    <w:rsid w:val="00E02AB1"/>
    <w:rsid w:val="00E03D91"/>
    <w:rsid w:val="00E2180B"/>
    <w:rsid w:val="00E244EE"/>
    <w:rsid w:val="00E27545"/>
    <w:rsid w:val="00E30288"/>
    <w:rsid w:val="00E338AC"/>
    <w:rsid w:val="00E33B80"/>
    <w:rsid w:val="00E5405C"/>
    <w:rsid w:val="00E56628"/>
    <w:rsid w:val="00E572DC"/>
    <w:rsid w:val="00E61A69"/>
    <w:rsid w:val="00E64532"/>
    <w:rsid w:val="00E73EB9"/>
    <w:rsid w:val="00E74712"/>
    <w:rsid w:val="00E83D30"/>
    <w:rsid w:val="00E85C54"/>
    <w:rsid w:val="00E94ED3"/>
    <w:rsid w:val="00EA1685"/>
    <w:rsid w:val="00EB61B3"/>
    <w:rsid w:val="00EC1219"/>
    <w:rsid w:val="00EC26F5"/>
    <w:rsid w:val="00ED5D05"/>
    <w:rsid w:val="00EE3999"/>
    <w:rsid w:val="00EF1A88"/>
    <w:rsid w:val="00EF27D6"/>
    <w:rsid w:val="00EF680D"/>
    <w:rsid w:val="00F0318F"/>
    <w:rsid w:val="00F03795"/>
    <w:rsid w:val="00F03A3F"/>
    <w:rsid w:val="00F05280"/>
    <w:rsid w:val="00F05F0A"/>
    <w:rsid w:val="00F10D71"/>
    <w:rsid w:val="00F1163C"/>
    <w:rsid w:val="00F12321"/>
    <w:rsid w:val="00F139A6"/>
    <w:rsid w:val="00F13ADC"/>
    <w:rsid w:val="00F1568D"/>
    <w:rsid w:val="00F23458"/>
    <w:rsid w:val="00F2533A"/>
    <w:rsid w:val="00F32179"/>
    <w:rsid w:val="00F33E12"/>
    <w:rsid w:val="00F369D9"/>
    <w:rsid w:val="00F4267B"/>
    <w:rsid w:val="00F43764"/>
    <w:rsid w:val="00F548B9"/>
    <w:rsid w:val="00F626B4"/>
    <w:rsid w:val="00F77C72"/>
    <w:rsid w:val="00F91E8F"/>
    <w:rsid w:val="00F93592"/>
    <w:rsid w:val="00F96226"/>
    <w:rsid w:val="00F963FF"/>
    <w:rsid w:val="00FA03A5"/>
    <w:rsid w:val="00FA3569"/>
    <w:rsid w:val="00FA3E70"/>
    <w:rsid w:val="00FB0825"/>
    <w:rsid w:val="00FB14B1"/>
    <w:rsid w:val="00FB2B8B"/>
    <w:rsid w:val="00FB3E70"/>
    <w:rsid w:val="00FB6411"/>
    <w:rsid w:val="00FC50EC"/>
    <w:rsid w:val="00FC54C2"/>
    <w:rsid w:val="00FD182C"/>
    <w:rsid w:val="00FD1E27"/>
    <w:rsid w:val="00FD2ACE"/>
    <w:rsid w:val="00FD5B6B"/>
    <w:rsid w:val="00FD655B"/>
    <w:rsid w:val="00FD6A28"/>
    <w:rsid w:val="00FD6B43"/>
    <w:rsid w:val="00FE000C"/>
    <w:rsid w:val="00FE06BE"/>
    <w:rsid w:val="00FE207B"/>
    <w:rsid w:val="00FE6C5C"/>
    <w:rsid w:val="00FF0581"/>
    <w:rsid w:val="00FF1C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46BF50"/>
  <w15:chartTrackingRefBased/>
  <w15:docId w15:val="{D4AD239A-8A70-44BC-A6B9-F35790488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64942"/>
    <w:pPr>
      <w:keepNext/>
      <w:keepLines/>
      <w:spacing w:before="240" w:after="0"/>
      <w:outlineLvl w:val="0"/>
    </w:pPr>
    <w:rPr>
      <w:rFonts w:ascii="Calibri Light" w:hAnsi="Calibri Light" w:cs="Arial"/>
      <w:color w:val="004992"/>
      <w:sz w:val="50"/>
      <w:szCs w:val="36"/>
      <w:lang w:val="en-US"/>
    </w:rPr>
  </w:style>
  <w:style w:type="paragraph" w:styleId="berschrift2">
    <w:name w:val="heading 2"/>
    <w:basedOn w:val="Standard"/>
    <w:next w:val="Standard"/>
    <w:link w:val="berschrift2Zchn"/>
    <w:semiHidden/>
    <w:unhideWhenUsed/>
    <w:qFormat/>
    <w:rsid w:val="00564942"/>
    <w:pPr>
      <w:keepNext/>
      <w:keepLines/>
      <w:spacing w:before="40" w:after="0"/>
      <w:outlineLvl w:val="1"/>
    </w:pPr>
    <w:rPr>
      <w:rFonts w:ascii="Calibri Light" w:hAnsi="Calibri Light" w:cs="Arial"/>
      <w:color w:val="004992"/>
      <w:sz w:val="36"/>
      <w:szCs w:val="36"/>
      <w:lang w:val="en-US"/>
    </w:rPr>
  </w:style>
  <w:style w:type="paragraph" w:styleId="berschrift3">
    <w:name w:val="heading 3"/>
    <w:basedOn w:val="Standard"/>
    <w:next w:val="Standard"/>
    <w:link w:val="berschrift3Zchn"/>
    <w:uiPriority w:val="9"/>
    <w:semiHidden/>
    <w:unhideWhenUsed/>
    <w:qFormat/>
    <w:rsid w:val="00564942"/>
    <w:pPr>
      <w:keepNext/>
      <w:keepLines/>
      <w:spacing w:before="40" w:after="0"/>
      <w:outlineLvl w:val="2"/>
    </w:pPr>
    <w:rPr>
      <w:rFonts w:ascii="Calibri Light" w:eastAsia="Times New Roman" w:hAnsi="Calibri Light" w:cs="Arial"/>
      <w:b/>
      <w:bCs/>
      <w:color w:val="333333"/>
      <w:lang w:val="en-US"/>
    </w:rPr>
  </w:style>
  <w:style w:type="paragraph" w:styleId="berschrift4">
    <w:name w:val="heading 4"/>
    <w:basedOn w:val="Standard"/>
    <w:next w:val="Standard"/>
    <w:link w:val="berschrift4Zchn"/>
    <w:semiHidden/>
    <w:unhideWhenUsed/>
    <w:qFormat/>
    <w:rsid w:val="00564942"/>
    <w:pPr>
      <w:keepNext/>
      <w:keepLines/>
      <w:spacing w:before="40" w:after="0"/>
      <w:outlineLvl w:val="3"/>
    </w:pPr>
    <w:rPr>
      <w:rFonts w:ascii="Calibri" w:eastAsia="Times New Roman" w:hAnsi="Calibri" w:cs="Times New Roman"/>
      <w:b/>
      <w:bCs/>
      <w:i/>
      <w:iCs/>
      <w:color w:val="004992"/>
      <w:lang w:val="en-US"/>
    </w:rPr>
  </w:style>
  <w:style w:type="paragraph" w:styleId="berschrift5">
    <w:name w:val="heading 5"/>
    <w:basedOn w:val="Standard"/>
    <w:next w:val="Standard"/>
    <w:link w:val="berschrift5Zchn"/>
    <w:semiHidden/>
    <w:unhideWhenUsed/>
    <w:qFormat/>
    <w:rsid w:val="00564942"/>
    <w:pPr>
      <w:keepNext/>
      <w:keepLines/>
      <w:spacing w:before="40" w:after="0"/>
      <w:outlineLvl w:val="4"/>
    </w:pPr>
    <w:rPr>
      <w:rFonts w:ascii="Calibri" w:eastAsia="Times New Roman" w:hAnsi="Calibri" w:cs="Times New Roman"/>
      <w:color w:val="00366D"/>
      <w:lang w:val="en-US"/>
    </w:rPr>
  </w:style>
  <w:style w:type="paragraph" w:styleId="berschrift6">
    <w:name w:val="heading 6"/>
    <w:basedOn w:val="Standard"/>
    <w:next w:val="Standard"/>
    <w:link w:val="berschrift6Zchn"/>
    <w:semiHidden/>
    <w:unhideWhenUsed/>
    <w:qFormat/>
    <w:rsid w:val="00564942"/>
    <w:pPr>
      <w:keepNext/>
      <w:keepLines/>
      <w:spacing w:before="40" w:after="0"/>
      <w:outlineLvl w:val="5"/>
    </w:pPr>
    <w:rPr>
      <w:rFonts w:ascii="Calibri" w:eastAsia="Times New Roman" w:hAnsi="Calibri" w:cs="Times New Roman"/>
      <w:color w:val="002448"/>
      <w:lang w:val="en-US"/>
    </w:rPr>
  </w:style>
  <w:style w:type="paragraph" w:styleId="berschrift7">
    <w:name w:val="heading 7"/>
    <w:basedOn w:val="Standard"/>
    <w:next w:val="Standard"/>
    <w:link w:val="berschrift7Zchn"/>
    <w:semiHidden/>
    <w:unhideWhenUsed/>
    <w:qFormat/>
    <w:rsid w:val="00564942"/>
    <w:pPr>
      <w:keepNext/>
      <w:keepLines/>
      <w:spacing w:before="40" w:after="0"/>
      <w:outlineLvl w:val="6"/>
    </w:pPr>
    <w:rPr>
      <w:rFonts w:ascii="Calibri" w:eastAsia="Times New Roman" w:hAnsi="Calibri" w:cs="Times New Roman"/>
      <w:i/>
      <w:iCs/>
      <w:color w:val="002448"/>
      <w:lang w:val="en-US"/>
    </w:rPr>
  </w:style>
  <w:style w:type="paragraph" w:styleId="berschrift8">
    <w:name w:val="heading 8"/>
    <w:basedOn w:val="Standard"/>
    <w:next w:val="Standard"/>
    <w:link w:val="berschrift8Zchn"/>
    <w:semiHidden/>
    <w:unhideWhenUsed/>
    <w:qFormat/>
    <w:rsid w:val="00564942"/>
    <w:pPr>
      <w:keepNext/>
      <w:keepLines/>
      <w:spacing w:before="40" w:after="0"/>
      <w:outlineLvl w:val="7"/>
    </w:pPr>
    <w:rPr>
      <w:rFonts w:ascii="Calibri" w:eastAsia="Times New Roman" w:hAnsi="Calibri" w:cs="Times New Roman"/>
      <w:color w:val="525252"/>
      <w:sz w:val="21"/>
      <w:szCs w:val="21"/>
      <w:lang w:val="en-US"/>
    </w:rPr>
  </w:style>
  <w:style w:type="paragraph" w:styleId="berschrift9">
    <w:name w:val="heading 9"/>
    <w:basedOn w:val="Standard"/>
    <w:next w:val="Standard"/>
    <w:link w:val="berschrift9Zchn"/>
    <w:semiHidden/>
    <w:unhideWhenUsed/>
    <w:qFormat/>
    <w:rsid w:val="00564942"/>
    <w:pPr>
      <w:keepNext/>
      <w:keepLines/>
      <w:spacing w:before="40" w:after="0"/>
      <w:outlineLvl w:val="8"/>
    </w:pPr>
    <w:rPr>
      <w:rFonts w:ascii="Calibri" w:eastAsia="Times New Roman" w:hAnsi="Calibri" w:cs="Times New Roman"/>
      <w:i/>
      <w:iCs/>
      <w:color w:val="525252"/>
      <w:sz w:val="21"/>
      <w:szCs w:val="21"/>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1">
    <w:name w:val="Überschrift 11"/>
    <w:basedOn w:val="Titel"/>
    <w:next w:val="Standard"/>
    <w:uiPriority w:val="9"/>
    <w:rsid w:val="00564942"/>
    <w:pPr>
      <w:numPr>
        <w:numId w:val="16"/>
      </w:numPr>
      <w:contextualSpacing w:val="0"/>
      <w:outlineLvl w:val="0"/>
    </w:pPr>
    <w:rPr>
      <w:rFonts w:ascii="Calibri Light" w:eastAsia="Times New Roman" w:hAnsi="Calibri Light" w:cs="Arial"/>
      <w:color w:val="004992"/>
      <w:spacing w:val="0"/>
      <w:kern w:val="0"/>
      <w:sz w:val="50"/>
      <w:szCs w:val="36"/>
      <w:lang w:val="en-US" w:eastAsia="de-DE"/>
    </w:rPr>
  </w:style>
  <w:style w:type="paragraph" w:customStyle="1" w:styleId="berschrift21">
    <w:name w:val="Überschrift 21"/>
    <w:basedOn w:val="Titel"/>
    <w:next w:val="Standard"/>
    <w:unhideWhenUsed/>
    <w:rsid w:val="00564942"/>
    <w:pPr>
      <w:numPr>
        <w:ilvl w:val="1"/>
        <w:numId w:val="16"/>
      </w:numPr>
      <w:contextualSpacing w:val="0"/>
      <w:outlineLvl w:val="1"/>
    </w:pPr>
    <w:rPr>
      <w:rFonts w:ascii="Calibri Light" w:eastAsia="Times New Roman" w:hAnsi="Calibri Light" w:cs="Arial"/>
      <w:color w:val="004992"/>
      <w:spacing w:val="0"/>
      <w:kern w:val="0"/>
      <w:sz w:val="36"/>
      <w:szCs w:val="36"/>
      <w:lang w:val="en-US" w:eastAsia="de-DE"/>
    </w:rPr>
  </w:style>
  <w:style w:type="paragraph" w:customStyle="1" w:styleId="berschrift31">
    <w:name w:val="Überschrift 31"/>
    <w:basedOn w:val="Standard"/>
    <w:next w:val="Standard"/>
    <w:uiPriority w:val="9"/>
    <w:unhideWhenUsed/>
    <w:rsid w:val="00564942"/>
    <w:pPr>
      <w:keepNext/>
      <w:keepLines/>
      <w:numPr>
        <w:ilvl w:val="2"/>
        <w:numId w:val="16"/>
      </w:numPr>
      <w:spacing w:before="220" w:after="120" w:line="240" w:lineRule="auto"/>
      <w:outlineLvl w:val="2"/>
    </w:pPr>
    <w:rPr>
      <w:rFonts w:eastAsia="Times New Roman" w:cs="Arial"/>
      <w:b/>
      <w:bCs/>
      <w:color w:val="333333"/>
      <w:sz w:val="20"/>
      <w:lang w:val="en-US"/>
    </w:rPr>
  </w:style>
  <w:style w:type="paragraph" w:customStyle="1" w:styleId="berschrift41">
    <w:name w:val="Überschrift 41"/>
    <w:basedOn w:val="Standard"/>
    <w:next w:val="Standard"/>
    <w:unhideWhenUsed/>
    <w:rsid w:val="00564942"/>
    <w:pPr>
      <w:keepNext/>
      <w:keepLines/>
      <w:numPr>
        <w:ilvl w:val="3"/>
        <w:numId w:val="16"/>
      </w:numPr>
      <w:spacing w:before="200" w:after="120" w:line="240" w:lineRule="auto"/>
      <w:outlineLvl w:val="3"/>
    </w:pPr>
    <w:rPr>
      <w:rFonts w:ascii="Calibri" w:eastAsia="Times New Roman" w:hAnsi="Calibri" w:cs="Times New Roman"/>
      <w:b/>
      <w:bCs/>
      <w:i/>
      <w:iCs/>
      <w:color w:val="004992"/>
      <w:sz w:val="20"/>
      <w:szCs w:val="20"/>
      <w:lang w:val="en-US" w:eastAsia="de-DE"/>
    </w:rPr>
  </w:style>
  <w:style w:type="paragraph" w:customStyle="1" w:styleId="berschrift51">
    <w:name w:val="Überschrift 51"/>
    <w:basedOn w:val="Standard"/>
    <w:next w:val="Standard"/>
    <w:semiHidden/>
    <w:unhideWhenUsed/>
    <w:rsid w:val="00564942"/>
    <w:pPr>
      <w:keepNext/>
      <w:keepLines/>
      <w:numPr>
        <w:ilvl w:val="4"/>
        <w:numId w:val="16"/>
      </w:numPr>
      <w:spacing w:before="40" w:after="0" w:line="240" w:lineRule="auto"/>
      <w:outlineLvl w:val="4"/>
    </w:pPr>
    <w:rPr>
      <w:rFonts w:ascii="Calibri" w:eastAsia="Times New Roman" w:hAnsi="Calibri" w:cs="Times New Roman"/>
      <w:color w:val="00366D"/>
      <w:sz w:val="20"/>
      <w:szCs w:val="20"/>
      <w:lang w:val="en-US" w:eastAsia="de-DE"/>
    </w:rPr>
  </w:style>
  <w:style w:type="paragraph" w:customStyle="1" w:styleId="berschrift61">
    <w:name w:val="Überschrift 61"/>
    <w:basedOn w:val="Standard"/>
    <w:next w:val="Standard"/>
    <w:semiHidden/>
    <w:unhideWhenUsed/>
    <w:qFormat/>
    <w:rsid w:val="00564942"/>
    <w:pPr>
      <w:keepNext/>
      <w:keepLines/>
      <w:numPr>
        <w:ilvl w:val="5"/>
        <w:numId w:val="16"/>
      </w:numPr>
      <w:spacing w:before="40" w:after="0" w:line="240" w:lineRule="auto"/>
      <w:outlineLvl w:val="5"/>
    </w:pPr>
    <w:rPr>
      <w:rFonts w:ascii="Calibri" w:eastAsia="Times New Roman" w:hAnsi="Calibri" w:cs="Times New Roman"/>
      <w:color w:val="002448"/>
      <w:sz w:val="20"/>
      <w:szCs w:val="20"/>
      <w:lang w:val="en-US" w:eastAsia="de-DE"/>
    </w:rPr>
  </w:style>
  <w:style w:type="paragraph" w:customStyle="1" w:styleId="berschrift71">
    <w:name w:val="Überschrift 71"/>
    <w:basedOn w:val="Standard"/>
    <w:next w:val="Standard"/>
    <w:semiHidden/>
    <w:unhideWhenUsed/>
    <w:qFormat/>
    <w:rsid w:val="00564942"/>
    <w:pPr>
      <w:keepNext/>
      <w:keepLines/>
      <w:numPr>
        <w:ilvl w:val="6"/>
        <w:numId w:val="16"/>
      </w:numPr>
      <w:spacing w:before="40" w:after="0" w:line="240" w:lineRule="auto"/>
      <w:outlineLvl w:val="6"/>
    </w:pPr>
    <w:rPr>
      <w:rFonts w:ascii="Calibri" w:eastAsia="Times New Roman" w:hAnsi="Calibri" w:cs="Times New Roman"/>
      <w:i/>
      <w:iCs/>
      <w:color w:val="002448"/>
      <w:sz w:val="20"/>
      <w:szCs w:val="20"/>
      <w:lang w:val="en-US" w:eastAsia="de-DE"/>
    </w:rPr>
  </w:style>
  <w:style w:type="paragraph" w:customStyle="1" w:styleId="berschrift81">
    <w:name w:val="Überschrift 81"/>
    <w:basedOn w:val="Standard"/>
    <w:next w:val="Standard"/>
    <w:semiHidden/>
    <w:unhideWhenUsed/>
    <w:qFormat/>
    <w:rsid w:val="00564942"/>
    <w:pPr>
      <w:keepNext/>
      <w:keepLines/>
      <w:numPr>
        <w:ilvl w:val="7"/>
        <w:numId w:val="16"/>
      </w:numPr>
      <w:spacing w:before="40" w:after="0" w:line="240" w:lineRule="auto"/>
      <w:outlineLvl w:val="7"/>
    </w:pPr>
    <w:rPr>
      <w:rFonts w:ascii="Calibri" w:eastAsia="Times New Roman" w:hAnsi="Calibri" w:cs="Times New Roman"/>
      <w:color w:val="525252"/>
      <w:sz w:val="21"/>
      <w:szCs w:val="21"/>
      <w:lang w:val="en-US" w:eastAsia="de-DE"/>
    </w:rPr>
  </w:style>
  <w:style w:type="paragraph" w:customStyle="1" w:styleId="berschrift91">
    <w:name w:val="Überschrift 91"/>
    <w:basedOn w:val="Standard"/>
    <w:next w:val="Standard"/>
    <w:semiHidden/>
    <w:unhideWhenUsed/>
    <w:qFormat/>
    <w:rsid w:val="00564942"/>
    <w:pPr>
      <w:keepNext/>
      <w:keepLines/>
      <w:numPr>
        <w:ilvl w:val="8"/>
        <w:numId w:val="16"/>
      </w:numPr>
      <w:spacing w:before="40" w:after="0" w:line="240" w:lineRule="auto"/>
      <w:outlineLvl w:val="8"/>
    </w:pPr>
    <w:rPr>
      <w:rFonts w:ascii="Calibri" w:eastAsia="Times New Roman" w:hAnsi="Calibri" w:cs="Times New Roman"/>
      <w:i/>
      <w:iCs/>
      <w:color w:val="525252"/>
      <w:sz w:val="21"/>
      <w:szCs w:val="21"/>
      <w:lang w:val="en-US" w:eastAsia="de-DE"/>
    </w:rPr>
  </w:style>
  <w:style w:type="numbering" w:customStyle="1" w:styleId="KeineListe1">
    <w:name w:val="Keine Liste1"/>
    <w:next w:val="KeineListe"/>
    <w:uiPriority w:val="99"/>
    <w:semiHidden/>
    <w:unhideWhenUsed/>
    <w:rsid w:val="00564942"/>
  </w:style>
  <w:style w:type="character" w:customStyle="1" w:styleId="berschrift1Zchn">
    <w:name w:val="Überschrift 1 Zchn"/>
    <w:basedOn w:val="Absatz-Standardschriftart"/>
    <w:link w:val="berschrift1"/>
    <w:uiPriority w:val="9"/>
    <w:rsid w:val="00564942"/>
    <w:rPr>
      <w:rFonts w:ascii="Calibri Light" w:hAnsi="Calibri Light" w:cs="Arial"/>
      <w:color w:val="004992"/>
      <w:sz w:val="50"/>
      <w:szCs w:val="36"/>
      <w:lang w:val="en-US"/>
    </w:rPr>
  </w:style>
  <w:style w:type="character" w:customStyle="1" w:styleId="berschrift2Zchn">
    <w:name w:val="Überschrift 2 Zchn"/>
    <w:basedOn w:val="Absatz-Standardschriftart"/>
    <w:link w:val="berschrift2"/>
    <w:rsid w:val="00564942"/>
    <w:rPr>
      <w:rFonts w:ascii="Calibri Light" w:hAnsi="Calibri Light" w:cs="Arial"/>
      <w:color w:val="004992"/>
      <w:sz w:val="36"/>
      <w:szCs w:val="36"/>
      <w:lang w:val="en-US"/>
    </w:rPr>
  </w:style>
  <w:style w:type="character" w:customStyle="1" w:styleId="berschrift3Zchn">
    <w:name w:val="Überschrift 3 Zchn"/>
    <w:basedOn w:val="Absatz-Standardschriftart"/>
    <w:link w:val="berschrift3"/>
    <w:uiPriority w:val="9"/>
    <w:rsid w:val="00564942"/>
    <w:rPr>
      <w:rFonts w:ascii="Calibri Light" w:eastAsia="Times New Roman" w:hAnsi="Calibri Light" w:cs="Arial"/>
      <w:b/>
      <w:bCs/>
      <w:color w:val="333333"/>
      <w:szCs w:val="22"/>
      <w:lang w:val="en-US" w:eastAsia="en-US"/>
    </w:rPr>
  </w:style>
  <w:style w:type="character" w:customStyle="1" w:styleId="berschrift4Zchn">
    <w:name w:val="Überschrift 4 Zchn"/>
    <w:basedOn w:val="Absatz-Standardschriftart"/>
    <w:link w:val="berschrift4"/>
    <w:rsid w:val="00564942"/>
    <w:rPr>
      <w:rFonts w:ascii="Calibri" w:eastAsia="Times New Roman" w:hAnsi="Calibri" w:cs="Times New Roman"/>
      <w:b/>
      <w:bCs/>
      <w:i/>
      <w:iCs/>
      <w:color w:val="004992"/>
      <w:lang w:val="en-US"/>
    </w:rPr>
  </w:style>
  <w:style w:type="character" w:customStyle="1" w:styleId="berschrift5Zchn">
    <w:name w:val="Überschrift 5 Zchn"/>
    <w:basedOn w:val="Absatz-Standardschriftart"/>
    <w:link w:val="berschrift5"/>
    <w:semiHidden/>
    <w:rsid w:val="00564942"/>
    <w:rPr>
      <w:rFonts w:ascii="Calibri" w:eastAsia="Times New Roman" w:hAnsi="Calibri" w:cs="Times New Roman"/>
      <w:color w:val="00366D"/>
      <w:lang w:val="en-US"/>
    </w:rPr>
  </w:style>
  <w:style w:type="character" w:customStyle="1" w:styleId="berschrift6Zchn">
    <w:name w:val="Überschrift 6 Zchn"/>
    <w:basedOn w:val="Absatz-Standardschriftart"/>
    <w:link w:val="berschrift6"/>
    <w:semiHidden/>
    <w:rsid w:val="00564942"/>
    <w:rPr>
      <w:rFonts w:ascii="Calibri" w:eastAsia="Times New Roman" w:hAnsi="Calibri" w:cs="Times New Roman"/>
      <w:color w:val="002448"/>
      <w:lang w:val="en-US"/>
    </w:rPr>
  </w:style>
  <w:style w:type="character" w:customStyle="1" w:styleId="berschrift7Zchn">
    <w:name w:val="Überschrift 7 Zchn"/>
    <w:basedOn w:val="Absatz-Standardschriftart"/>
    <w:link w:val="berschrift7"/>
    <w:semiHidden/>
    <w:rsid w:val="00564942"/>
    <w:rPr>
      <w:rFonts w:ascii="Calibri" w:eastAsia="Times New Roman" w:hAnsi="Calibri" w:cs="Times New Roman"/>
      <w:i/>
      <w:iCs/>
      <w:color w:val="002448"/>
      <w:lang w:val="en-US"/>
    </w:rPr>
  </w:style>
  <w:style w:type="character" w:customStyle="1" w:styleId="berschrift8Zchn">
    <w:name w:val="Überschrift 8 Zchn"/>
    <w:basedOn w:val="Absatz-Standardschriftart"/>
    <w:link w:val="berschrift8"/>
    <w:semiHidden/>
    <w:rsid w:val="00564942"/>
    <w:rPr>
      <w:rFonts w:ascii="Calibri" w:eastAsia="Times New Roman" w:hAnsi="Calibri" w:cs="Times New Roman"/>
      <w:color w:val="525252"/>
      <w:sz w:val="21"/>
      <w:szCs w:val="21"/>
      <w:lang w:val="en-US"/>
    </w:rPr>
  </w:style>
  <w:style w:type="character" w:customStyle="1" w:styleId="berschrift9Zchn">
    <w:name w:val="Überschrift 9 Zchn"/>
    <w:basedOn w:val="Absatz-Standardschriftart"/>
    <w:link w:val="berschrift9"/>
    <w:semiHidden/>
    <w:rsid w:val="00564942"/>
    <w:rPr>
      <w:rFonts w:ascii="Calibri" w:eastAsia="Times New Roman" w:hAnsi="Calibri" w:cs="Times New Roman"/>
      <w:i/>
      <w:iCs/>
      <w:color w:val="525252"/>
      <w:sz w:val="21"/>
      <w:szCs w:val="21"/>
      <w:lang w:val="en-US"/>
    </w:rPr>
  </w:style>
  <w:style w:type="paragraph" w:customStyle="1" w:styleId="Kopfzeile1">
    <w:name w:val="Kopfzeile1"/>
    <w:basedOn w:val="Standard"/>
    <w:next w:val="Kopfzeile"/>
    <w:link w:val="KopfzeileZchn"/>
    <w:uiPriority w:val="99"/>
    <w:rsid w:val="00564942"/>
    <w:pPr>
      <w:tabs>
        <w:tab w:val="left" w:pos="993"/>
        <w:tab w:val="right" w:pos="9072"/>
      </w:tabs>
      <w:spacing w:after="0" w:line="220" w:lineRule="exact"/>
    </w:pPr>
    <w:rPr>
      <w:rFonts w:ascii="Calibri Light" w:hAnsi="Calibri Light" w:cs="Arial"/>
      <w:color w:val="333333"/>
      <w:sz w:val="16"/>
      <w:lang w:val="en-US"/>
    </w:rPr>
  </w:style>
  <w:style w:type="character" w:customStyle="1" w:styleId="KopfzeileZchn">
    <w:name w:val="Kopfzeile Zchn"/>
    <w:basedOn w:val="Absatz-Standardschriftart"/>
    <w:link w:val="Kopfzeile1"/>
    <w:uiPriority w:val="99"/>
    <w:rsid w:val="00564942"/>
    <w:rPr>
      <w:rFonts w:ascii="Calibri Light" w:hAnsi="Calibri Light" w:cs="Arial"/>
      <w:color w:val="333333"/>
      <w:sz w:val="16"/>
      <w:lang w:val="en-US"/>
    </w:rPr>
  </w:style>
  <w:style w:type="paragraph" w:customStyle="1" w:styleId="Fuzeile1">
    <w:name w:val="Fußzeile1"/>
    <w:basedOn w:val="Standard"/>
    <w:next w:val="Fuzeile"/>
    <w:link w:val="FuzeileZchn"/>
    <w:uiPriority w:val="99"/>
    <w:rsid w:val="00564942"/>
    <w:pPr>
      <w:autoSpaceDE w:val="0"/>
      <w:autoSpaceDN w:val="0"/>
      <w:adjustRightInd w:val="0"/>
      <w:spacing w:after="0" w:line="240" w:lineRule="auto"/>
    </w:pPr>
    <w:rPr>
      <w:rFonts w:ascii="Calibri Light" w:hAnsi="Calibri Light" w:cs="Arial"/>
      <w:color w:val="505050"/>
      <w:sz w:val="16"/>
      <w:szCs w:val="14"/>
      <w:lang w:val="en-US"/>
    </w:rPr>
  </w:style>
  <w:style w:type="character" w:customStyle="1" w:styleId="FuzeileZchn">
    <w:name w:val="Fußzeile Zchn"/>
    <w:basedOn w:val="Absatz-Standardschriftart"/>
    <w:link w:val="Fuzeile1"/>
    <w:uiPriority w:val="99"/>
    <w:rsid w:val="00564942"/>
    <w:rPr>
      <w:rFonts w:ascii="Calibri Light" w:hAnsi="Calibri Light" w:cs="Arial"/>
      <w:color w:val="505050"/>
      <w:sz w:val="16"/>
      <w:szCs w:val="14"/>
      <w:lang w:val="en-US"/>
    </w:rPr>
  </w:style>
  <w:style w:type="paragraph" w:customStyle="1" w:styleId="Dokumentstruktur1">
    <w:name w:val="Dokumentstruktur1"/>
    <w:basedOn w:val="Standard"/>
    <w:next w:val="Dokumentstruktur"/>
    <w:link w:val="DokumentstrukturZchn"/>
    <w:semiHidden/>
    <w:rsid w:val="00564942"/>
    <w:pPr>
      <w:shd w:val="clear" w:color="auto" w:fill="000080"/>
      <w:spacing w:after="120" w:line="240" w:lineRule="auto"/>
    </w:pPr>
    <w:rPr>
      <w:rFonts w:ascii="Tahoma" w:hAnsi="Tahoma" w:cs="Arial"/>
      <w:color w:val="333333"/>
      <w:lang w:val="en-US"/>
    </w:rPr>
  </w:style>
  <w:style w:type="character" w:customStyle="1" w:styleId="DokumentstrukturZchn">
    <w:name w:val="Dokumentstruktur Zchn"/>
    <w:basedOn w:val="Absatz-Standardschriftart"/>
    <w:link w:val="Dokumentstruktur1"/>
    <w:semiHidden/>
    <w:rsid w:val="00564942"/>
    <w:rPr>
      <w:rFonts w:ascii="Tahoma" w:hAnsi="Tahoma" w:cs="Arial"/>
      <w:color w:val="333333"/>
      <w:shd w:val="clear" w:color="auto" w:fill="000080"/>
      <w:lang w:val="en-US"/>
    </w:rPr>
  </w:style>
  <w:style w:type="table" w:styleId="Tabellenraster">
    <w:name w:val="Table Grid"/>
    <w:basedOn w:val="NormaleTabelle"/>
    <w:uiPriority w:val="99"/>
    <w:rsid w:val="00564942"/>
    <w:pPr>
      <w:spacing w:after="24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Titel1">
    <w:name w:val="2b Titel1"/>
    <w:basedOn w:val="Standard"/>
    <w:next w:val="Standard"/>
    <w:link w:val="TitelZchn"/>
    <w:qFormat/>
    <w:rsid w:val="00564942"/>
    <w:pPr>
      <w:spacing w:after="0" w:line="240" w:lineRule="auto"/>
      <w:outlineLvl w:val="0"/>
    </w:pPr>
    <w:rPr>
      <w:rFonts w:ascii="Calibri Light" w:hAnsi="Calibri Light" w:cs="Arial"/>
      <w:color w:val="004992"/>
      <w:sz w:val="44"/>
      <w:szCs w:val="36"/>
      <w:lang w:val="en-US"/>
    </w:rPr>
  </w:style>
  <w:style w:type="character" w:customStyle="1" w:styleId="TitelZchn">
    <w:name w:val="Titel Zchn"/>
    <w:aliases w:val="2b Titel Zchn"/>
    <w:basedOn w:val="Absatz-Standardschriftart"/>
    <w:link w:val="2bTitel1"/>
    <w:rsid w:val="00564942"/>
    <w:rPr>
      <w:rFonts w:ascii="Calibri Light" w:hAnsi="Calibri Light" w:cs="Arial"/>
      <w:color w:val="004992"/>
      <w:sz w:val="44"/>
      <w:szCs w:val="36"/>
      <w:lang w:val="en-US"/>
    </w:rPr>
  </w:style>
  <w:style w:type="paragraph" w:customStyle="1" w:styleId="Verzeichnis11">
    <w:name w:val="Verzeichnis 11"/>
    <w:basedOn w:val="Standard"/>
    <w:next w:val="Standard"/>
    <w:autoRedefine/>
    <w:uiPriority w:val="39"/>
    <w:unhideWhenUsed/>
    <w:rsid w:val="00564942"/>
    <w:pPr>
      <w:tabs>
        <w:tab w:val="right" w:leader="dot" w:pos="9072"/>
      </w:tabs>
      <w:spacing w:before="120" w:after="120" w:line="240" w:lineRule="auto"/>
    </w:pPr>
    <w:rPr>
      <w:rFonts w:cs="Arial"/>
      <w:b/>
      <w:bCs/>
      <w:noProof/>
      <w:color w:val="333333"/>
      <w:sz w:val="20"/>
      <w:lang w:val="en-US"/>
    </w:rPr>
  </w:style>
  <w:style w:type="paragraph" w:customStyle="1" w:styleId="Verzeichnis21">
    <w:name w:val="Verzeichnis 21"/>
    <w:basedOn w:val="Standard"/>
    <w:next w:val="Standard"/>
    <w:autoRedefine/>
    <w:uiPriority w:val="39"/>
    <w:unhideWhenUsed/>
    <w:rsid w:val="00564942"/>
    <w:pPr>
      <w:tabs>
        <w:tab w:val="right" w:leader="dot" w:pos="9072"/>
      </w:tabs>
      <w:spacing w:after="120" w:line="240" w:lineRule="auto"/>
      <w:ind w:left="220"/>
    </w:pPr>
    <w:rPr>
      <w:rFonts w:cs="Arial"/>
      <w:noProof/>
      <w:color w:val="333333"/>
      <w:sz w:val="20"/>
      <w:lang w:val="en-US"/>
    </w:rPr>
  </w:style>
  <w:style w:type="paragraph" w:customStyle="1" w:styleId="Verzeichnis31">
    <w:name w:val="Verzeichnis 31"/>
    <w:basedOn w:val="Standard"/>
    <w:next w:val="Standard"/>
    <w:autoRedefine/>
    <w:uiPriority w:val="39"/>
    <w:unhideWhenUsed/>
    <w:rsid w:val="00564942"/>
    <w:pPr>
      <w:tabs>
        <w:tab w:val="right" w:leader="dot" w:pos="9072"/>
      </w:tabs>
      <w:spacing w:after="120" w:line="240" w:lineRule="auto"/>
      <w:ind w:left="440"/>
    </w:pPr>
    <w:rPr>
      <w:rFonts w:cs="Arial"/>
      <w:iCs/>
      <w:noProof/>
      <w:color w:val="333333"/>
      <w:sz w:val="20"/>
      <w:lang w:val="en-US"/>
    </w:rPr>
  </w:style>
  <w:style w:type="paragraph" w:customStyle="1" w:styleId="Einrichtung1zeilig">
    <w:name w:val="Einrichtung 1zeilig"/>
    <w:basedOn w:val="Kopfzeile"/>
    <w:rsid w:val="00564942"/>
    <w:pPr>
      <w:tabs>
        <w:tab w:val="clear" w:pos="4536"/>
        <w:tab w:val="left" w:pos="993"/>
      </w:tabs>
      <w:spacing w:before="147" w:line="252" w:lineRule="auto"/>
    </w:pPr>
    <w:rPr>
      <w:rFonts w:eastAsia="Times New Roman" w:cs="Arial"/>
      <w:color w:val="004794"/>
      <w:sz w:val="23"/>
      <w:szCs w:val="23"/>
      <w:lang w:val="en-US" w:eastAsia="de-DE"/>
    </w:rPr>
  </w:style>
  <w:style w:type="paragraph" w:customStyle="1" w:styleId="Einrichtung2zeilig">
    <w:name w:val="Einrichtung 2zeilig"/>
    <w:basedOn w:val="Einrichtung1zeilig"/>
    <w:rsid w:val="00564942"/>
    <w:pPr>
      <w:tabs>
        <w:tab w:val="clear" w:pos="993"/>
        <w:tab w:val="clear" w:pos="9072"/>
      </w:tabs>
      <w:spacing w:before="0" w:line="258" w:lineRule="auto"/>
      <w:contextualSpacing/>
    </w:pPr>
    <w:rPr>
      <w:color w:val="004992"/>
      <w:sz w:val="18"/>
      <w:szCs w:val="16"/>
    </w:rPr>
  </w:style>
  <w:style w:type="paragraph" w:customStyle="1" w:styleId="KopfzeileAdress-Absender">
    <w:name w:val="Kopfzeile Adress-Absender"/>
    <w:basedOn w:val="Kopfzeile"/>
    <w:rsid w:val="00564942"/>
    <w:pPr>
      <w:tabs>
        <w:tab w:val="clear" w:pos="4536"/>
        <w:tab w:val="clear" w:pos="9072"/>
        <w:tab w:val="left" w:pos="993"/>
        <w:tab w:val="left" w:pos="2410"/>
        <w:tab w:val="left" w:pos="3402"/>
      </w:tabs>
    </w:pPr>
    <w:rPr>
      <w:rFonts w:eastAsia="Times New Roman" w:cs="Arial"/>
      <w:color w:val="333333"/>
      <w:sz w:val="12"/>
      <w:szCs w:val="20"/>
      <w:lang w:val="en-US" w:eastAsia="de-DE"/>
    </w:rPr>
  </w:style>
  <w:style w:type="paragraph" w:customStyle="1" w:styleId="Seitenleiste">
    <w:name w:val="Seitenleiste"/>
    <w:basedOn w:val="Kopfzeile"/>
    <w:rsid w:val="00564942"/>
    <w:pPr>
      <w:tabs>
        <w:tab w:val="clear" w:pos="4536"/>
        <w:tab w:val="left" w:pos="993"/>
      </w:tabs>
      <w:spacing w:line="276" w:lineRule="auto"/>
      <w:jc w:val="right"/>
    </w:pPr>
    <w:rPr>
      <w:rFonts w:eastAsia="Times New Roman" w:cs="Arial"/>
      <w:color w:val="333333"/>
      <w:sz w:val="16"/>
      <w:szCs w:val="20"/>
      <w:lang w:val="en-US" w:eastAsia="de-DE"/>
    </w:rPr>
  </w:style>
  <w:style w:type="paragraph" w:customStyle="1" w:styleId="EinrichtungLeitung">
    <w:name w:val="Einrichtung Leitung"/>
    <w:basedOn w:val="Kopfzeile"/>
    <w:rsid w:val="00564942"/>
    <w:pPr>
      <w:tabs>
        <w:tab w:val="clear" w:pos="4536"/>
        <w:tab w:val="left" w:pos="993"/>
      </w:tabs>
      <w:spacing w:line="276" w:lineRule="auto"/>
    </w:pPr>
    <w:rPr>
      <w:rFonts w:eastAsia="Times New Roman" w:cs="Arial"/>
      <w:color w:val="333333"/>
      <w:sz w:val="16"/>
      <w:szCs w:val="20"/>
      <w:lang w:val="en-US" w:eastAsia="de-DE"/>
    </w:rPr>
  </w:style>
  <w:style w:type="character" w:customStyle="1" w:styleId="Hyperlink1">
    <w:name w:val="Hyperlink1"/>
    <w:basedOn w:val="Absatz-Standardschriftart"/>
    <w:uiPriority w:val="99"/>
    <w:rsid w:val="00564942"/>
    <w:rPr>
      <w:color w:val="004992"/>
      <w:u w:val="none"/>
    </w:rPr>
  </w:style>
  <w:style w:type="paragraph" w:customStyle="1" w:styleId="KopfzeileTopSpace">
    <w:name w:val="Kopfzeile TopSpace"/>
    <w:basedOn w:val="Kopfzeile"/>
    <w:rsid w:val="00564942"/>
    <w:pPr>
      <w:tabs>
        <w:tab w:val="clear" w:pos="4536"/>
        <w:tab w:val="left" w:pos="993"/>
      </w:tabs>
    </w:pPr>
    <w:rPr>
      <w:rFonts w:eastAsia="Times New Roman" w:cs="Arial"/>
      <w:color w:val="333333"/>
      <w:sz w:val="16"/>
      <w:szCs w:val="20"/>
      <w:lang w:val="en-US" w:eastAsia="de-DE"/>
    </w:rPr>
  </w:style>
  <w:style w:type="paragraph" w:customStyle="1" w:styleId="XKopf">
    <w:name w:val="X Kopf"/>
    <w:basedOn w:val="Standard"/>
    <w:link w:val="XKopfZchn"/>
    <w:qFormat/>
    <w:rsid w:val="00564942"/>
    <w:pPr>
      <w:spacing w:after="0" w:line="240" w:lineRule="auto"/>
    </w:pPr>
    <w:rPr>
      <w:rFonts w:eastAsia="Times New Roman" w:cs="Arial"/>
      <w:color w:val="333333"/>
      <w:sz w:val="18"/>
      <w:szCs w:val="20"/>
      <w:lang w:val="en-US" w:eastAsia="de-DE"/>
    </w:rPr>
  </w:style>
  <w:style w:type="character" w:customStyle="1" w:styleId="XKopfZchn">
    <w:name w:val="X Kopf Zchn"/>
    <w:basedOn w:val="Absatz-Standardschriftart"/>
    <w:link w:val="XKopf"/>
    <w:rsid w:val="00564942"/>
    <w:rPr>
      <w:rFonts w:eastAsia="Times New Roman" w:cs="Arial"/>
      <w:color w:val="333333"/>
      <w:sz w:val="18"/>
      <w:szCs w:val="20"/>
      <w:lang w:val="en-US" w:eastAsia="de-DE"/>
    </w:rPr>
  </w:style>
  <w:style w:type="paragraph" w:customStyle="1" w:styleId="Empfnger-Adresse">
    <w:name w:val="Empfänger-Adresse"/>
    <w:basedOn w:val="Standard"/>
    <w:rsid w:val="00564942"/>
    <w:pPr>
      <w:spacing w:after="0" w:line="240" w:lineRule="auto"/>
    </w:pPr>
    <w:rPr>
      <w:rFonts w:eastAsia="Times New Roman" w:cs="Arial"/>
      <w:color w:val="333333"/>
      <w:sz w:val="20"/>
      <w:szCs w:val="20"/>
      <w:lang w:val="en-US" w:eastAsia="de-DE"/>
    </w:rPr>
  </w:style>
  <w:style w:type="character" w:customStyle="1" w:styleId="UKE-blau">
    <w:name w:val="UKE-blau"/>
    <w:basedOn w:val="Absatz-Standardschriftart"/>
    <w:uiPriority w:val="1"/>
    <w:rsid w:val="00564942"/>
    <w:rPr>
      <w:color w:val="004992"/>
    </w:rPr>
  </w:style>
  <w:style w:type="paragraph" w:customStyle="1" w:styleId="Sprechblasentext1">
    <w:name w:val="Sprechblasentext1"/>
    <w:basedOn w:val="Standard"/>
    <w:next w:val="Sprechblasentext"/>
    <w:link w:val="SprechblasentextZchn"/>
    <w:rsid w:val="00564942"/>
    <w:pPr>
      <w:spacing w:after="0" w:line="240" w:lineRule="auto"/>
    </w:pPr>
    <w:rPr>
      <w:rFonts w:ascii="Tahoma" w:hAnsi="Tahoma" w:cs="Tahoma"/>
      <w:color w:val="333333"/>
      <w:sz w:val="16"/>
      <w:szCs w:val="16"/>
      <w:lang w:val="en-US"/>
    </w:rPr>
  </w:style>
  <w:style w:type="character" w:customStyle="1" w:styleId="SprechblasentextZchn">
    <w:name w:val="Sprechblasentext Zchn"/>
    <w:basedOn w:val="Absatz-Standardschriftart"/>
    <w:link w:val="Sprechblasentext1"/>
    <w:rsid w:val="00564942"/>
    <w:rPr>
      <w:rFonts w:ascii="Tahoma" w:hAnsi="Tahoma" w:cs="Tahoma"/>
      <w:color w:val="333333"/>
      <w:sz w:val="16"/>
      <w:szCs w:val="16"/>
      <w:lang w:val="en-US"/>
    </w:rPr>
  </w:style>
  <w:style w:type="paragraph" w:customStyle="1" w:styleId="Teaser">
    <w:name w:val="Teaser"/>
    <w:basedOn w:val="Standard"/>
    <w:next w:val="Standard"/>
    <w:rsid w:val="00564942"/>
    <w:pPr>
      <w:spacing w:after="120" w:line="240" w:lineRule="auto"/>
    </w:pPr>
    <w:rPr>
      <w:rFonts w:eastAsia="Times New Roman" w:cs="Arial"/>
      <w:b/>
      <w:bCs/>
      <w:color w:val="575756"/>
      <w:sz w:val="20"/>
      <w:szCs w:val="20"/>
      <w:lang w:val="en-US" w:eastAsia="de-DE"/>
    </w:rPr>
  </w:style>
  <w:style w:type="paragraph" w:customStyle="1" w:styleId="Kontakt-berschrift">
    <w:name w:val="Kontakt-Überschrift"/>
    <w:basedOn w:val="Standard"/>
    <w:next w:val="Kontakt-Name"/>
    <w:link w:val="Kontakt-berschriftZchn"/>
    <w:rsid w:val="00564942"/>
    <w:pPr>
      <w:spacing w:after="0" w:line="480" w:lineRule="auto"/>
    </w:pPr>
    <w:rPr>
      <w:rFonts w:eastAsia="Times New Roman" w:cs="Arial"/>
      <w:color w:val="004992"/>
      <w:sz w:val="20"/>
      <w:szCs w:val="20"/>
      <w:lang w:val="en-US" w:eastAsia="de-DE"/>
    </w:rPr>
  </w:style>
  <w:style w:type="paragraph" w:customStyle="1" w:styleId="Kontakt-Name">
    <w:name w:val="Kontakt-Name"/>
    <w:basedOn w:val="Kontakt-berschrift"/>
    <w:next w:val="Kontakt-Text"/>
    <w:link w:val="Kontakt-NameZchn"/>
    <w:rsid w:val="00564942"/>
    <w:pPr>
      <w:spacing w:line="360" w:lineRule="auto"/>
    </w:pPr>
    <w:rPr>
      <w:b/>
      <w:color w:val="575756"/>
    </w:rPr>
  </w:style>
  <w:style w:type="paragraph" w:customStyle="1" w:styleId="Kontakt-Text">
    <w:name w:val="Kontakt-Text"/>
    <w:basedOn w:val="Kontakt-Name"/>
    <w:link w:val="Kontakt-TextZchn"/>
    <w:rsid w:val="00564942"/>
    <w:pPr>
      <w:tabs>
        <w:tab w:val="left" w:pos="3510"/>
      </w:tabs>
    </w:pPr>
    <w:rPr>
      <w:b w:val="0"/>
    </w:rPr>
  </w:style>
  <w:style w:type="paragraph" w:customStyle="1" w:styleId="Banner">
    <w:name w:val="Banner"/>
    <w:basedOn w:val="Standard"/>
    <w:next w:val="Kopfzeile"/>
    <w:rsid w:val="00564942"/>
    <w:pPr>
      <w:spacing w:after="120" w:line="240" w:lineRule="auto"/>
    </w:pPr>
    <w:rPr>
      <w:rFonts w:eastAsia="Times New Roman" w:cs="Arial"/>
      <w:color w:val="004992"/>
      <w:sz w:val="48"/>
      <w:szCs w:val="20"/>
      <w:lang w:val="en-US" w:eastAsia="de-DE"/>
    </w:rPr>
  </w:style>
  <w:style w:type="paragraph" w:styleId="KeinLeerraum">
    <w:name w:val="No Spacing"/>
    <w:uiPriority w:val="1"/>
    <w:rsid w:val="00564942"/>
    <w:pPr>
      <w:spacing w:after="0" w:line="240" w:lineRule="auto"/>
      <w:jc w:val="both"/>
    </w:pPr>
    <w:rPr>
      <w:rFonts w:ascii="Calibri Light" w:eastAsia="Times New Roman" w:hAnsi="Calibri Light" w:cs="Arial"/>
      <w:color w:val="575757"/>
      <w:szCs w:val="20"/>
      <w:lang w:eastAsia="de-DE"/>
    </w:rPr>
  </w:style>
  <w:style w:type="paragraph" w:customStyle="1" w:styleId="2aDach">
    <w:name w:val="2a Dach"/>
    <w:basedOn w:val="Standard"/>
    <w:link w:val="2aDachZchn"/>
    <w:qFormat/>
    <w:rsid w:val="00564942"/>
    <w:pPr>
      <w:spacing w:after="0" w:line="240" w:lineRule="auto"/>
      <w:ind w:right="2664"/>
    </w:pPr>
    <w:rPr>
      <w:rFonts w:eastAsia="Times New Roman" w:cs="Arial"/>
      <w:color w:val="333333"/>
      <w:sz w:val="23"/>
      <w:szCs w:val="25"/>
      <w:lang w:val="en-US" w:eastAsia="de-DE"/>
    </w:rPr>
  </w:style>
  <w:style w:type="character" w:customStyle="1" w:styleId="1bblau">
    <w:name w:val="1b blau"/>
    <w:basedOn w:val="Fett"/>
    <w:uiPriority w:val="1"/>
    <w:qFormat/>
    <w:rsid w:val="00564942"/>
    <w:rPr>
      <w:b w:val="0"/>
      <w:bCs/>
      <w:color w:val="004992"/>
    </w:rPr>
  </w:style>
  <w:style w:type="character" w:customStyle="1" w:styleId="2aDachZchn">
    <w:name w:val="2a Dach Zchn"/>
    <w:basedOn w:val="Absatz-Standardschriftart"/>
    <w:link w:val="2aDach"/>
    <w:rsid w:val="00564942"/>
    <w:rPr>
      <w:rFonts w:eastAsia="Times New Roman" w:cs="Arial"/>
      <w:color w:val="333333"/>
      <w:sz w:val="23"/>
      <w:szCs w:val="25"/>
      <w:lang w:val="en-US" w:eastAsia="de-DE"/>
    </w:rPr>
  </w:style>
  <w:style w:type="paragraph" w:customStyle="1" w:styleId="1cblaufett">
    <w:name w:val="1c blau fett"/>
    <w:basedOn w:val="Standard"/>
    <w:qFormat/>
    <w:rsid w:val="00564942"/>
    <w:pPr>
      <w:spacing w:after="120" w:line="240" w:lineRule="auto"/>
    </w:pPr>
    <w:rPr>
      <w:rFonts w:eastAsia="Times New Roman" w:cs="Arial"/>
      <w:b/>
      <w:color w:val="004992"/>
      <w:sz w:val="20"/>
      <w:szCs w:val="20"/>
      <w:lang w:val="en-US" w:eastAsia="de-DE"/>
    </w:rPr>
  </w:style>
  <w:style w:type="paragraph" w:customStyle="1" w:styleId="FuzeileUKE">
    <w:name w:val="Fußzeile UKE"/>
    <w:basedOn w:val="Fuzeile"/>
    <w:rsid w:val="00564942"/>
    <w:pPr>
      <w:tabs>
        <w:tab w:val="clear" w:pos="4536"/>
        <w:tab w:val="clear" w:pos="9072"/>
      </w:tabs>
      <w:autoSpaceDE w:val="0"/>
      <w:autoSpaceDN w:val="0"/>
      <w:adjustRightInd w:val="0"/>
      <w:jc w:val="right"/>
    </w:pPr>
    <w:rPr>
      <w:rFonts w:eastAsia="Times New Roman" w:cs="Arial"/>
      <w:b/>
      <w:color w:val="004992"/>
      <w:sz w:val="16"/>
      <w:szCs w:val="14"/>
      <w:lang w:val="en-US" w:eastAsia="de-DE"/>
    </w:rPr>
  </w:style>
  <w:style w:type="paragraph" w:customStyle="1" w:styleId="Zwischenberschrift">
    <w:name w:val="Zwischenüberschrift"/>
    <w:link w:val="ZwischenberschriftZchn"/>
    <w:qFormat/>
    <w:rsid w:val="00564942"/>
    <w:pPr>
      <w:spacing w:after="120" w:line="240" w:lineRule="auto"/>
      <w:outlineLvl w:val="2"/>
    </w:pPr>
    <w:rPr>
      <w:rFonts w:eastAsia="Times New Roman" w:cs="Arial"/>
      <w:color w:val="004992"/>
      <w:sz w:val="28"/>
      <w:szCs w:val="32"/>
      <w:lang w:eastAsia="de-DE"/>
    </w:rPr>
  </w:style>
  <w:style w:type="paragraph" w:customStyle="1" w:styleId="2-14pt">
    <w:name w:val="2 Ü-14pt"/>
    <w:basedOn w:val="Kontakt-Text"/>
    <w:link w:val="2-14ptZchn"/>
    <w:qFormat/>
    <w:rsid w:val="00564942"/>
    <w:pPr>
      <w:tabs>
        <w:tab w:val="left" w:pos="7405"/>
      </w:tabs>
      <w:spacing w:after="120" w:line="240" w:lineRule="auto"/>
      <w:outlineLvl w:val="1"/>
    </w:pPr>
    <w:rPr>
      <w:color w:val="004992"/>
      <w:sz w:val="32"/>
      <w:szCs w:val="32"/>
    </w:rPr>
  </w:style>
  <w:style w:type="character" w:customStyle="1" w:styleId="Kontakt-berschriftZchn">
    <w:name w:val="Kontakt-Überschrift Zchn"/>
    <w:basedOn w:val="Absatz-Standardschriftart"/>
    <w:link w:val="Kontakt-berschrift"/>
    <w:rsid w:val="00564942"/>
    <w:rPr>
      <w:rFonts w:eastAsia="Times New Roman" w:cs="Arial"/>
      <w:color w:val="004992"/>
      <w:sz w:val="20"/>
      <w:szCs w:val="20"/>
      <w:lang w:val="en-US" w:eastAsia="de-DE"/>
    </w:rPr>
  </w:style>
  <w:style w:type="character" w:customStyle="1" w:styleId="Kontakt-NameZchn">
    <w:name w:val="Kontakt-Name Zchn"/>
    <w:basedOn w:val="Kontakt-berschriftZchn"/>
    <w:link w:val="Kontakt-Name"/>
    <w:rsid w:val="00564942"/>
    <w:rPr>
      <w:rFonts w:eastAsia="Times New Roman" w:cs="Arial"/>
      <w:b/>
      <w:color w:val="575756"/>
      <w:sz w:val="20"/>
      <w:szCs w:val="20"/>
      <w:lang w:val="en-US" w:eastAsia="de-DE"/>
    </w:rPr>
  </w:style>
  <w:style w:type="character" w:customStyle="1" w:styleId="Kontakt-TextZchn">
    <w:name w:val="Kontakt-Text Zchn"/>
    <w:basedOn w:val="Kontakt-NameZchn"/>
    <w:link w:val="Kontakt-Text"/>
    <w:rsid w:val="00564942"/>
    <w:rPr>
      <w:rFonts w:eastAsia="Times New Roman" w:cs="Arial"/>
      <w:b w:val="0"/>
      <w:color w:val="575756"/>
      <w:sz w:val="20"/>
      <w:szCs w:val="20"/>
      <w:lang w:val="en-US" w:eastAsia="de-DE"/>
    </w:rPr>
  </w:style>
  <w:style w:type="character" w:customStyle="1" w:styleId="2-14ptZchn">
    <w:name w:val="2 Ü-14pt Zchn"/>
    <w:basedOn w:val="Kontakt-TextZchn"/>
    <w:link w:val="2-14pt"/>
    <w:rsid w:val="00564942"/>
    <w:rPr>
      <w:rFonts w:eastAsia="Times New Roman" w:cs="Arial"/>
      <w:b w:val="0"/>
      <w:color w:val="004992"/>
      <w:sz w:val="32"/>
      <w:szCs w:val="32"/>
      <w:lang w:val="en-US" w:eastAsia="de-DE"/>
    </w:rPr>
  </w:style>
  <w:style w:type="paragraph" w:customStyle="1" w:styleId="FormatvorlageKontakt-TextBenutzerdefinierteFarbeRGB0">
    <w:name w:val="Formatvorlage Kontakt-Text + Benutzerdefinierte Farbe(RGB(0"/>
    <w:aliases w:val="73,146)) Nach:..."/>
    <w:basedOn w:val="Kontakt-Text"/>
    <w:rsid w:val="00564942"/>
    <w:pPr>
      <w:spacing w:after="120" w:line="240" w:lineRule="auto"/>
    </w:pPr>
    <w:rPr>
      <w:rFonts w:cs="Times New Roman"/>
      <w:color w:val="004992"/>
    </w:rPr>
  </w:style>
  <w:style w:type="paragraph" w:customStyle="1" w:styleId="Formatvorlage1bblauFett">
    <w:name w:val="Formatvorlage 1b blau + Fett"/>
    <w:basedOn w:val="Standard"/>
    <w:rsid w:val="00564942"/>
    <w:pPr>
      <w:spacing w:after="120" w:line="240" w:lineRule="auto"/>
    </w:pPr>
    <w:rPr>
      <w:rFonts w:eastAsia="Times New Roman" w:cs="Arial"/>
      <w:b/>
      <w:bCs/>
      <w:color w:val="004992"/>
      <w:sz w:val="20"/>
      <w:szCs w:val="20"/>
      <w:lang w:val="en-US" w:eastAsia="de-DE"/>
    </w:rPr>
  </w:style>
  <w:style w:type="paragraph" w:customStyle="1" w:styleId="Formatvorlage2-14pt14Pt">
    <w:name w:val="Formatvorlage 2 Ü-14pt + 14 Pt."/>
    <w:basedOn w:val="2-14pt"/>
    <w:rsid w:val="00564942"/>
    <w:rPr>
      <w:sz w:val="28"/>
    </w:rPr>
  </w:style>
  <w:style w:type="paragraph" w:customStyle="1" w:styleId="KopfzeileGeschftsbereich">
    <w:name w:val="Kopfzeile_Geschäftsbereich"/>
    <w:basedOn w:val="Seitenleiste"/>
    <w:rsid w:val="00564942"/>
    <w:pPr>
      <w:tabs>
        <w:tab w:val="clear" w:pos="993"/>
        <w:tab w:val="left" w:pos="709"/>
      </w:tabs>
      <w:jc w:val="left"/>
    </w:pPr>
    <w:rPr>
      <w:color w:val="004890"/>
      <w:sz w:val="18"/>
      <w:szCs w:val="18"/>
    </w:rPr>
  </w:style>
  <w:style w:type="character" w:customStyle="1" w:styleId="1afett1">
    <w:name w:val="1a fett1"/>
    <w:qFormat/>
    <w:rsid w:val="00564942"/>
    <w:rPr>
      <w:b/>
      <w:bCs/>
      <w:color w:val="333333"/>
    </w:rPr>
  </w:style>
  <w:style w:type="paragraph" w:customStyle="1" w:styleId="KopfzeileGeschftsbereichSeite2">
    <w:name w:val="Kopfzeile_Geschäftsbereich_Seite2"/>
    <w:basedOn w:val="KopfzeileGeschftsbereich"/>
    <w:rsid w:val="00564942"/>
    <w:rPr>
      <w:sz w:val="16"/>
    </w:rPr>
  </w:style>
  <w:style w:type="paragraph" w:customStyle="1" w:styleId="ZusatzangabenDeckblatt">
    <w:name w:val="Zusatzangaben Deckblatt"/>
    <w:basedOn w:val="Standard"/>
    <w:qFormat/>
    <w:rsid w:val="00564942"/>
    <w:pPr>
      <w:spacing w:after="120" w:line="240" w:lineRule="auto"/>
      <w:jc w:val="right"/>
    </w:pPr>
    <w:rPr>
      <w:rFonts w:eastAsia="Times New Roman" w:cs="Arial"/>
      <w:color w:val="333333"/>
      <w:sz w:val="20"/>
      <w:szCs w:val="20"/>
      <w:lang w:val="en-US" w:eastAsia="de-DE"/>
    </w:rPr>
  </w:style>
  <w:style w:type="paragraph" w:customStyle="1" w:styleId="Listenabsatz1">
    <w:name w:val="Listenabsatz1"/>
    <w:basedOn w:val="Standard"/>
    <w:next w:val="Listenabsatz"/>
    <w:uiPriority w:val="34"/>
    <w:qFormat/>
    <w:rsid w:val="00564942"/>
    <w:pPr>
      <w:spacing w:after="120" w:line="240" w:lineRule="auto"/>
      <w:ind w:left="720"/>
      <w:contextualSpacing/>
    </w:pPr>
    <w:rPr>
      <w:rFonts w:eastAsia="Times New Roman" w:cs="Arial"/>
      <w:color w:val="333333"/>
      <w:sz w:val="20"/>
      <w:szCs w:val="20"/>
      <w:lang w:val="en-US" w:eastAsia="de-DE"/>
    </w:rPr>
  </w:style>
  <w:style w:type="paragraph" w:customStyle="1" w:styleId="Aufzhlung">
    <w:name w:val="Aufzählung"/>
    <w:basedOn w:val="Listenabsatz"/>
    <w:qFormat/>
    <w:rsid w:val="00564942"/>
    <w:pPr>
      <w:numPr>
        <w:numId w:val="2"/>
      </w:numPr>
      <w:spacing w:after="120" w:line="240" w:lineRule="auto"/>
    </w:pPr>
    <w:rPr>
      <w:rFonts w:eastAsia="Times New Roman" w:cs="Arial"/>
      <w:color w:val="333333"/>
      <w:sz w:val="20"/>
      <w:szCs w:val="20"/>
      <w:lang w:val="en-US" w:eastAsia="de-DE"/>
    </w:rPr>
  </w:style>
  <w:style w:type="paragraph" w:customStyle="1" w:styleId="Nummerierung">
    <w:name w:val="Nummerierung"/>
    <w:basedOn w:val="Standard"/>
    <w:rsid w:val="00564942"/>
    <w:pPr>
      <w:numPr>
        <w:numId w:val="3"/>
      </w:numPr>
      <w:spacing w:after="120" w:line="240" w:lineRule="auto"/>
    </w:pPr>
    <w:rPr>
      <w:rFonts w:eastAsia="Times New Roman" w:cs="Arial"/>
      <w:color w:val="333333"/>
      <w:sz w:val="20"/>
      <w:szCs w:val="20"/>
      <w:lang w:val="en-US" w:eastAsia="de-DE"/>
    </w:rPr>
  </w:style>
  <w:style w:type="character" w:styleId="Platzhaltertext">
    <w:name w:val="Placeholder Text"/>
    <w:basedOn w:val="Absatz-Standardschriftart"/>
    <w:uiPriority w:val="99"/>
    <w:semiHidden/>
    <w:rsid w:val="00564942"/>
    <w:rPr>
      <w:color w:val="808080"/>
    </w:rPr>
  </w:style>
  <w:style w:type="paragraph" w:customStyle="1" w:styleId="CitaviBibliographyHeading">
    <w:name w:val="Citavi Bibliography Heading"/>
    <w:basedOn w:val="Standard"/>
    <w:link w:val="CitaviBibliographyHeadingZchn"/>
    <w:uiPriority w:val="99"/>
    <w:rsid w:val="00564942"/>
    <w:pPr>
      <w:spacing w:after="240" w:line="240" w:lineRule="auto"/>
    </w:pPr>
    <w:rPr>
      <w:rFonts w:eastAsia="Times New Roman" w:cs="Arial"/>
      <w:color w:val="333333"/>
      <w:sz w:val="20"/>
      <w:szCs w:val="20"/>
      <w:lang w:val="en-US" w:eastAsia="de-DE"/>
    </w:rPr>
  </w:style>
  <w:style w:type="character" w:customStyle="1" w:styleId="CitaviBibliographyHeadingZchn">
    <w:name w:val="Citavi Bibliography Heading Zchn"/>
    <w:basedOn w:val="Absatz-Standardschriftart"/>
    <w:link w:val="CitaviBibliographyHeading"/>
    <w:uiPriority w:val="99"/>
    <w:rsid w:val="00564942"/>
    <w:rPr>
      <w:rFonts w:eastAsia="Times New Roman" w:cs="Arial"/>
      <w:color w:val="333333"/>
      <w:sz w:val="20"/>
      <w:szCs w:val="20"/>
      <w:lang w:val="en-US" w:eastAsia="de-DE"/>
    </w:rPr>
  </w:style>
  <w:style w:type="paragraph" w:customStyle="1" w:styleId="CitaviBibliographyEntry">
    <w:name w:val="Citavi Bibliography Entry"/>
    <w:basedOn w:val="Standard"/>
    <w:link w:val="CitaviBibliographyEntryZchn"/>
    <w:uiPriority w:val="99"/>
    <w:rsid w:val="00564942"/>
    <w:pPr>
      <w:tabs>
        <w:tab w:val="left" w:pos="567"/>
      </w:tabs>
      <w:spacing w:after="0" w:line="240" w:lineRule="auto"/>
      <w:ind w:left="567" w:hanging="567"/>
    </w:pPr>
    <w:rPr>
      <w:rFonts w:eastAsia="Times New Roman" w:cs="Arial"/>
      <w:color w:val="333333"/>
      <w:sz w:val="20"/>
      <w:szCs w:val="20"/>
      <w:lang w:val="en-US" w:eastAsia="de-DE"/>
    </w:rPr>
  </w:style>
  <w:style w:type="character" w:customStyle="1" w:styleId="CitaviBibliographyEntryZchn">
    <w:name w:val="Citavi Bibliography Entry Zchn"/>
    <w:basedOn w:val="Absatz-Standardschriftart"/>
    <w:link w:val="CitaviBibliographyEntry"/>
    <w:uiPriority w:val="99"/>
    <w:rsid w:val="00564942"/>
    <w:rPr>
      <w:rFonts w:eastAsia="Times New Roman" w:cs="Arial"/>
      <w:color w:val="333333"/>
      <w:sz w:val="20"/>
      <w:szCs w:val="20"/>
      <w:lang w:val="en-US" w:eastAsia="de-DE"/>
    </w:rPr>
  </w:style>
  <w:style w:type="paragraph" w:customStyle="1" w:styleId="CitaviChapterBibliographyHeading">
    <w:name w:val="Citavi Chapter Bibliography Heading"/>
    <w:basedOn w:val="berschrift2"/>
    <w:link w:val="CitaviChapterBibliographyHeadingZchn"/>
    <w:uiPriority w:val="99"/>
    <w:rsid w:val="00564942"/>
  </w:style>
  <w:style w:type="character" w:customStyle="1" w:styleId="CitaviChapterBibliographyHeadingZchn">
    <w:name w:val="Citavi Chapter Bibliography Heading Zchn"/>
    <w:basedOn w:val="Absatz-Standardschriftart"/>
    <w:link w:val="CitaviChapterBibliographyHeading"/>
    <w:uiPriority w:val="99"/>
    <w:rsid w:val="00564942"/>
    <w:rPr>
      <w:rFonts w:ascii="Calibri Light" w:hAnsi="Calibri Light" w:cs="Arial"/>
      <w:color w:val="004992"/>
      <w:sz w:val="36"/>
      <w:szCs w:val="36"/>
      <w:lang w:val="en-US"/>
    </w:rPr>
  </w:style>
  <w:style w:type="paragraph" w:customStyle="1" w:styleId="CitaviBibliographySubheading1">
    <w:name w:val="Citavi Bibliography Subheading 1"/>
    <w:basedOn w:val="berschrift2"/>
    <w:link w:val="CitaviBibliographySubheading1Zchn"/>
    <w:uiPriority w:val="99"/>
    <w:rsid w:val="00564942"/>
  </w:style>
  <w:style w:type="character" w:customStyle="1" w:styleId="CitaviBibliographySubheading1Zchn">
    <w:name w:val="Citavi Bibliography Subheading 1 Zchn"/>
    <w:basedOn w:val="Absatz-Standardschriftart"/>
    <w:link w:val="CitaviBibliographySubheading1"/>
    <w:uiPriority w:val="99"/>
    <w:rsid w:val="00564942"/>
    <w:rPr>
      <w:rFonts w:ascii="Calibri Light" w:hAnsi="Calibri Light" w:cs="Arial"/>
      <w:color w:val="004992"/>
      <w:sz w:val="36"/>
      <w:szCs w:val="36"/>
      <w:lang w:val="en-US"/>
    </w:rPr>
  </w:style>
  <w:style w:type="paragraph" w:customStyle="1" w:styleId="CitaviBibliographySubheading2">
    <w:name w:val="Citavi Bibliography Subheading 2"/>
    <w:basedOn w:val="berschrift3"/>
    <w:link w:val="CitaviBibliographySubheading2Zchn"/>
    <w:uiPriority w:val="99"/>
    <w:rsid w:val="00564942"/>
  </w:style>
  <w:style w:type="character" w:customStyle="1" w:styleId="CitaviBibliographySubheading2Zchn">
    <w:name w:val="Citavi Bibliography Subheading 2 Zchn"/>
    <w:basedOn w:val="Absatz-Standardschriftart"/>
    <w:link w:val="CitaviBibliographySubheading2"/>
    <w:uiPriority w:val="99"/>
    <w:rsid w:val="00564942"/>
    <w:rPr>
      <w:rFonts w:ascii="Calibri Light" w:eastAsia="Times New Roman" w:hAnsi="Calibri Light" w:cs="Arial"/>
      <w:b/>
      <w:bCs/>
      <w:color w:val="333333"/>
      <w:lang w:val="en-US"/>
    </w:rPr>
  </w:style>
  <w:style w:type="paragraph" w:customStyle="1" w:styleId="CitaviBibliographySubheading3">
    <w:name w:val="Citavi Bibliography Subheading 3"/>
    <w:basedOn w:val="berschrift4"/>
    <w:link w:val="CitaviBibliographySubheading3Zchn"/>
    <w:uiPriority w:val="99"/>
    <w:rsid w:val="00564942"/>
  </w:style>
  <w:style w:type="character" w:customStyle="1" w:styleId="CitaviBibliographySubheading3Zchn">
    <w:name w:val="Citavi Bibliography Subheading 3 Zchn"/>
    <w:basedOn w:val="Absatz-Standardschriftart"/>
    <w:link w:val="CitaviBibliographySubheading3"/>
    <w:uiPriority w:val="99"/>
    <w:rsid w:val="00564942"/>
    <w:rPr>
      <w:rFonts w:ascii="Calibri" w:eastAsia="Times New Roman" w:hAnsi="Calibri" w:cs="Times New Roman"/>
      <w:b/>
      <w:bCs/>
      <w:i/>
      <w:iCs/>
      <w:color w:val="004992"/>
      <w:lang w:val="en-US"/>
    </w:rPr>
  </w:style>
  <w:style w:type="paragraph" w:customStyle="1" w:styleId="CitaviBibliographySubheading4">
    <w:name w:val="Citavi Bibliography Subheading 4"/>
    <w:basedOn w:val="berschrift5"/>
    <w:link w:val="CitaviBibliographySubheading4Zchn"/>
    <w:uiPriority w:val="99"/>
    <w:rsid w:val="00564942"/>
  </w:style>
  <w:style w:type="character" w:customStyle="1" w:styleId="CitaviBibliographySubheading4Zchn">
    <w:name w:val="Citavi Bibliography Subheading 4 Zchn"/>
    <w:basedOn w:val="Absatz-Standardschriftart"/>
    <w:link w:val="CitaviBibliographySubheading4"/>
    <w:uiPriority w:val="99"/>
    <w:rsid w:val="00564942"/>
    <w:rPr>
      <w:rFonts w:ascii="Calibri" w:eastAsia="Times New Roman" w:hAnsi="Calibri" w:cs="Times New Roman"/>
      <w:color w:val="00366D"/>
      <w:lang w:val="en-US"/>
    </w:rPr>
  </w:style>
  <w:style w:type="paragraph" w:customStyle="1" w:styleId="CitaviBibliographySubheading5">
    <w:name w:val="Citavi Bibliography Subheading 5"/>
    <w:basedOn w:val="berschrift6"/>
    <w:link w:val="CitaviBibliographySubheading5Zchn"/>
    <w:uiPriority w:val="99"/>
    <w:rsid w:val="00564942"/>
  </w:style>
  <w:style w:type="character" w:customStyle="1" w:styleId="CitaviBibliographySubheading5Zchn">
    <w:name w:val="Citavi Bibliography Subheading 5 Zchn"/>
    <w:basedOn w:val="Absatz-Standardschriftart"/>
    <w:link w:val="CitaviBibliographySubheading5"/>
    <w:uiPriority w:val="99"/>
    <w:rsid w:val="00564942"/>
    <w:rPr>
      <w:rFonts w:ascii="Calibri" w:eastAsia="Times New Roman" w:hAnsi="Calibri" w:cs="Times New Roman"/>
      <w:color w:val="002448"/>
      <w:lang w:val="en-US"/>
    </w:rPr>
  </w:style>
  <w:style w:type="paragraph" w:customStyle="1" w:styleId="CitaviBibliographySubheading6">
    <w:name w:val="Citavi Bibliography Subheading 6"/>
    <w:basedOn w:val="berschrift7"/>
    <w:link w:val="CitaviBibliographySubheading6Zchn"/>
    <w:uiPriority w:val="99"/>
    <w:rsid w:val="00564942"/>
  </w:style>
  <w:style w:type="character" w:customStyle="1" w:styleId="CitaviBibliographySubheading6Zchn">
    <w:name w:val="Citavi Bibliography Subheading 6 Zchn"/>
    <w:basedOn w:val="Absatz-Standardschriftart"/>
    <w:link w:val="CitaviBibliographySubheading6"/>
    <w:uiPriority w:val="99"/>
    <w:rsid w:val="00564942"/>
    <w:rPr>
      <w:rFonts w:ascii="Calibri" w:eastAsia="Times New Roman" w:hAnsi="Calibri" w:cs="Times New Roman"/>
      <w:i/>
      <w:iCs/>
      <w:color w:val="002448"/>
      <w:lang w:val="en-US"/>
    </w:rPr>
  </w:style>
  <w:style w:type="paragraph" w:customStyle="1" w:styleId="CitaviBibliographySubheading7">
    <w:name w:val="Citavi Bibliography Subheading 7"/>
    <w:basedOn w:val="berschrift8"/>
    <w:link w:val="CitaviBibliographySubheading7Zchn"/>
    <w:uiPriority w:val="99"/>
    <w:rsid w:val="00564942"/>
  </w:style>
  <w:style w:type="character" w:customStyle="1" w:styleId="CitaviBibliographySubheading7Zchn">
    <w:name w:val="Citavi Bibliography Subheading 7 Zchn"/>
    <w:basedOn w:val="Absatz-Standardschriftart"/>
    <w:link w:val="CitaviBibliographySubheading7"/>
    <w:uiPriority w:val="99"/>
    <w:rsid w:val="00564942"/>
    <w:rPr>
      <w:rFonts w:ascii="Calibri" w:eastAsia="Times New Roman" w:hAnsi="Calibri" w:cs="Times New Roman"/>
      <w:color w:val="525252"/>
      <w:sz w:val="21"/>
      <w:szCs w:val="21"/>
      <w:lang w:val="en-US"/>
    </w:rPr>
  </w:style>
  <w:style w:type="paragraph" w:customStyle="1" w:styleId="CitaviBibliographySubheading8">
    <w:name w:val="Citavi Bibliography Subheading 8"/>
    <w:basedOn w:val="berschrift9"/>
    <w:link w:val="CitaviBibliographySubheading8Zchn"/>
    <w:uiPriority w:val="99"/>
    <w:rsid w:val="00564942"/>
  </w:style>
  <w:style w:type="character" w:customStyle="1" w:styleId="CitaviBibliographySubheading8Zchn">
    <w:name w:val="Citavi Bibliography Subheading 8 Zchn"/>
    <w:basedOn w:val="Absatz-Standardschriftart"/>
    <w:link w:val="CitaviBibliographySubheading8"/>
    <w:uiPriority w:val="99"/>
    <w:rsid w:val="00564942"/>
    <w:rPr>
      <w:rFonts w:ascii="Calibri" w:eastAsia="Times New Roman" w:hAnsi="Calibri" w:cs="Times New Roman"/>
      <w:i/>
      <w:iCs/>
      <w:color w:val="525252"/>
      <w:sz w:val="21"/>
      <w:szCs w:val="21"/>
      <w:lang w:val="en-US"/>
    </w:rPr>
  </w:style>
  <w:style w:type="character" w:styleId="Kommentarzeichen">
    <w:name w:val="annotation reference"/>
    <w:basedOn w:val="Absatz-Standardschriftart"/>
    <w:semiHidden/>
    <w:unhideWhenUsed/>
    <w:rsid w:val="00564942"/>
    <w:rPr>
      <w:sz w:val="16"/>
      <w:szCs w:val="16"/>
    </w:rPr>
  </w:style>
  <w:style w:type="paragraph" w:customStyle="1" w:styleId="Kommentartext1">
    <w:name w:val="Kommentartext1"/>
    <w:basedOn w:val="Standard"/>
    <w:next w:val="Kommentartext"/>
    <w:link w:val="KommentartextZchn"/>
    <w:unhideWhenUsed/>
    <w:rsid w:val="00564942"/>
    <w:pPr>
      <w:spacing w:after="120" w:line="240" w:lineRule="auto"/>
    </w:pPr>
    <w:rPr>
      <w:rFonts w:ascii="Calibri Light" w:hAnsi="Calibri Light" w:cs="Arial"/>
      <w:color w:val="333333"/>
      <w:lang w:val="en-US"/>
    </w:rPr>
  </w:style>
  <w:style w:type="character" w:customStyle="1" w:styleId="KommentartextZchn">
    <w:name w:val="Kommentartext Zchn"/>
    <w:basedOn w:val="Absatz-Standardschriftart"/>
    <w:link w:val="Kommentartext1"/>
    <w:rsid w:val="00564942"/>
    <w:rPr>
      <w:rFonts w:ascii="Calibri Light" w:hAnsi="Calibri Light" w:cs="Arial"/>
      <w:color w:val="333333"/>
      <w:lang w:val="en-US"/>
    </w:rPr>
  </w:style>
  <w:style w:type="paragraph" w:customStyle="1" w:styleId="Kommentarthema1">
    <w:name w:val="Kommentarthema1"/>
    <w:basedOn w:val="Kommentartext"/>
    <w:next w:val="Kommentartext"/>
    <w:semiHidden/>
    <w:unhideWhenUsed/>
    <w:rsid w:val="00564942"/>
    <w:pPr>
      <w:spacing w:after="120"/>
    </w:pPr>
    <w:rPr>
      <w:rFonts w:eastAsia="Times New Roman" w:cs="Arial"/>
      <w:b/>
      <w:bCs/>
      <w:color w:val="333333"/>
      <w:lang w:val="en-US" w:eastAsia="de-DE"/>
    </w:rPr>
  </w:style>
  <w:style w:type="character" w:customStyle="1" w:styleId="KommentarthemaZchn">
    <w:name w:val="Kommentarthema Zchn"/>
    <w:basedOn w:val="KommentartextZchn"/>
    <w:link w:val="Kommentarthema"/>
    <w:semiHidden/>
    <w:rsid w:val="00564942"/>
    <w:rPr>
      <w:rFonts w:ascii="Calibri Light" w:hAnsi="Calibri Light" w:cs="Arial"/>
      <w:color w:val="333333"/>
      <w:lang w:val="en-US"/>
    </w:rPr>
  </w:style>
  <w:style w:type="paragraph" w:customStyle="1" w:styleId="Inhaltsverzeichnisberschrift1">
    <w:name w:val="Inhaltsverzeichnisüberschrift1"/>
    <w:basedOn w:val="berschrift1"/>
    <w:next w:val="Standard"/>
    <w:uiPriority w:val="39"/>
    <w:semiHidden/>
    <w:unhideWhenUsed/>
    <w:qFormat/>
    <w:rsid w:val="00564942"/>
  </w:style>
  <w:style w:type="paragraph" w:customStyle="1" w:styleId="Literaturverzeichnis1">
    <w:name w:val="Literaturverzeichnis1"/>
    <w:basedOn w:val="Standard"/>
    <w:next w:val="Standard"/>
    <w:uiPriority w:val="37"/>
    <w:semiHidden/>
    <w:unhideWhenUsed/>
    <w:rsid w:val="00564942"/>
    <w:pPr>
      <w:spacing w:after="120" w:line="240" w:lineRule="auto"/>
    </w:pPr>
    <w:rPr>
      <w:rFonts w:eastAsia="Times New Roman" w:cs="Arial"/>
      <w:color w:val="333333"/>
      <w:sz w:val="20"/>
      <w:szCs w:val="20"/>
      <w:lang w:val="en-US" w:eastAsia="de-DE"/>
    </w:rPr>
  </w:style>
  <w:style w:type="character" w:styleId="Buchtitel">
    <w:name w:val="Book Title"/>
    <w:basedOn w:val="Absatz-Standardschriftart"/>
    <w:uiPriority w:val="33"/>
    <w:rsid w:val="00564942"/>
    <w:rPr>
      <w:b/>
      <w:bCs/>
      <w:i/>
      <w:iCs/>
      <w:spacing w:val="5"/>
    </w:rPr>
  </w:style>
  <w:style w:type="character" w:customStyle="1" w:styleId="IntensiverVerweis1">
    <w:name w:val="Intensiver Verweis1"/>
    <w:basedOn w:val="Absatz-Standardschriftart"/>
    <w:uiPriority w:val="32"/>
    <w:rsid w:val="00564942"/>
    <w:rPr>
      <w:b/>
      <w:bCs/>
      <w:smallCaps/>
      <w:color w:val="004992"/>
      <w:spacing w:val="5"/>
    </w:rPr>
  </w:style>
  <w:style w:type="character" w:customStyle="1" w:styleId="SchwacherVerweis1">
    <w:name w:val="Schwacher Verweis1"/>
    <w:basedOn w:val="Absatz-Standardschriftart"/>
    <w:uiPriority w:val="31"/>
    <w:rsid w:val="00564942"/>
    <w:rPr>
      <w:smallCaps/>
      <w:color w:val="7B7B7B"/>
    </w:rPr>
  </w:style>
  <w:style w:type="character" w:customStyle="1" w:styleId="IntensiveHervorhebung1">
    <w:name w:val="Intensive Hervorhebung1"/>
    <w:basedOn w:val="Absatz-Standardschriftart"/>
    <w:uiPriority w:val="21"/>
    <w:rsid w:val="00564942"/>
    <w:rPr>
      <w:i/>
      <w:iCs/>
      <w:color w:val="004992"/>
    </w:rPr>
  </w:style>
  <w:style w:type="character" w:customStyle="1" w:styleId="SchwacheHervorhebung1">
    <w:name w:val="Schwache Hervorhebung1"/>
    <w:basedOn w:val="Absatz-Standardschriftart"/>
    <w:uiPriority w:val="19"/>
    <w:rsid w:val="00564942"/>
    <w:rPr>
      <w:i/>
      <w:iCs/>
      <w:color w:val="666666"/>
    </w:rPr>
  </w:style>
  <w:style w:type="paragraph" w:customStyle="1" w:styleId="IntensivesZitat1">
    <w:name w:val="Intensives Zitat1"/>
    <w:basedOn w:val="Standard"/>
    <w:next w:val="Standard"/>
    <w:uiPriority w:val="30"/>
    <w:rsid w:val="00564942"/>
    <w:pPr>
      <w:pBdr>
        <w:top w:val="single" w:sz="4" w:space="10" w:color="004992"/>
        <w:bottom w:val="single" w:sz="4" w:space="10" w:color="004992"/>
      </w:pBdr>
      <w:spacing w:before="360" w:after="360" w:line="240" w:lineRule="auto"/>
      <w:ind w:left="864" w:right="864"/>
      <w:jc w:val="center"/>
    </w:pPr>
    <w:rPr>
      <w:rFonts w:eastAsia="Times New Roman" w:cs="Arial"/>
      <w:i/>
      <w:iCs/>
      <w:color w:val="004992"/>
      <w:sz w:val="20"/>
      <w:szCs w:val="20"/>
      <w:lang w:val="en-US" w:eastAsia="de-DE"/>
    </w:rPr>
  </w:style>
  <w:style w:type="character" w:customStyle="1" w:styleId="IntensivesZitatZchn">
    <w:name w:val="Intensives Zitat Zchn"/>
    <w:basedOn w:val="Absatz-Standardschriftart"/>
    <w:link w:val="IntensivesZitat"/>
    <w:uiPriority w:val="30"/>
    <w:rsid w:val="00564942"/>
    <w:rPr>
      <w:rFonts w:ascii="Calibri Light" w:hAnsi="Calibri Light" w:cs="Arial"/>
      <w:i/>
      <w:iCs/>
      <w:color w:val="004992"/>
      <w:lang w:val="en-US"/>
    </w:rPr>
  </w:style>
  <w:style w:type="paragraph" w:customStyle="1" w:styleId="Zitat1">
    <w:name w:val="Zitat1"/>
    <w:basedOn w:val="Standard"/>
    <w:next w:val="Standard"/>
    <w:uiPriority w:val="29"/>
    <w:rsid w:val="00564942"/>
    <w:pPr>
      <w:spacing w:before="200" w:line="240" w:lineRule="auto"/>
      <w:ind w:left="864" w:right="864"/>
      <w:jc w:val="center"/>
    </w:pPr>
    <w:rPr>
      <w:rFonts w:eastAsia="Times New Roman" w:cs="Arial"/>
      <w:i/>
      <w:iCs/>
      <w:color w:val="666666"/>
      <w:sz w:val="20"/>
      <w:szCs w:val="20"/>
      <w:lang w:val="en-US" w:eastAsia="de-DE"/>
    </w:rPr>
  </w:style>
  <w:style w:type="character" w:customStyle="1" w:styleId="ZitatZchn">
    <w:name w:val="Zitat Zchn"/>
    <w:basedOn w:val="Absatz-Standardschriftart"/>
    <w:link w:val="Zitat"/>
    <w:uiPriority w:val="29"/>
    <w:rsid w:val="00564942"/>
    <w:rPr>
      <w:rFonts w:ascii="Calibri Light" w:hAnsi="Calibri Light" w:cs="Arial"/>
      <w:i/>
      <w:iCs/>
      <w:color w:val="666666"/>
      <w:lang w:val="en-US"/>
    </w:rPr>
  </w:style>
  <w:style w:type="table" w:customStyle="1" w:styleId="MittlereListe1-Akzent11">
    <w:name w:val="Mittlere Liste 1 - Akzent 11"/>
    <w:basedOn w:val="NormaleTabelle"/>
    <w:next w:val="MittlereListe1-Akzent1"/>
    <w:uiPriority w:val="65"/>
    <w:semiHidden/>
    <w:unhideWhenUsed/>
    <w:rsid w:val="00564942"/>
    <w:pPr>
      <w:spacing w:after="0" w:line="240" w:lineRule="auto"/>
      <w:jc w:val="both"/>
    </w:pPr>
    <w:rPr>
      <w:rFonts w:ascii="Times New Roman" w:eastAsia="Times New Roman" w:hAnsi="Times New Roman" w:cs="Times New Roman"/>
      <w:color w:val="333333"/>
      <w:sz w:val="20"/>
      <w:szCs w:val="20"/>
      <w:lang w:eastAsia="de-DE"/>
    </w:rPr>
    <w:tblPr>
      <w:tblStyleRowBandSize w:val="1"/>
      <w:tblStyleColBandSize w:val="1"/>
      <w:tblBorders>
        <w:top w:val="single" w:sz="8" w:space="0" w:color="004992"/>
        <w:bottom w:val="single" w:sz="8" w:space="0" w:color="004992"/>
      </w:tblBorders>
    </w:tblPr>
    <w:tblStylePr w:type="firstRow">
      <w:rPr>
        <w:rFonts w:ascii="Calibri" w:eastAsia="Times New Roman" w:hAnsi="Calibri" w:cs="Times New Roman"/>
      </w:rPr>
      <w:tblPr/>
      <w:tcPr>
        <w:tcBorders>
          <w:top w:val="nil"/>
          <w:bottom w:val="single" w:sz="8" w:space="0" w:color="004992"/>
        </w:tcBorders>
      </w:tcPr>
    </w:tblStylePr>
    <w:tblStylePr w:type="lastRow">
      <w:rPr>
        <w:b/>
        <w:bCs/>
        <w:color w:val="AA9C8F"/>
      </w:rPr>
      <w:tblPr/>
      <w:tcPr>
        <w:tcBorders>
          <w:top w:val="single" w:sz="8" w:space="0" w:color="004992"/>
          <w:bottom w:val="single" w:sz="8" w:space="0" w:color="004992"/>
        </w:tcBorders>
      </w:tcPr>
    </w:tblStylePr>
    <w:tblStylePr w:type="firstCol">
      <w:rPr>
        <w:b/>
        <w:bCs/>
      </w:rPr>
    </w:tblStylePr>
    <w:tblStylePr w:type="lastCol">
      <w:rPr>
        <w:b/>
        <w:bCs/>
      </w:rPr>
      <w:tblPr/>
      <w:tcPr>
        <w:tcBorders>
          <w:top w:val="single" w:sz="8" w:space="0" w:color="004992"/>
          <w:bottom w:val="single" w:sz="8" w:space="0" w:color="004992"/>
        </w:tcBorders>
      </w:tcPr>
    </w:tblStylePr>
    <w:tblStylePr w:type="band1Vert">
      <w:tblPr/>
      <w:tcPr>
        <w:shd w:val="clear" w:color="auto" w:fill="A5D1FF"/>
      </w:tcPr>
    </w:tblStylePr>
    <w:tblStylePr w:type="band1Horz">
      <w:tblPr/>
      <w:tcPr>
        <w:shd w:val="clear" w:color="auto" w:fill="A5D1FF"/>
      </w:tcPr>
    </w:tblStylePr>
  </w:style>
  <w:style w:type="table" w:customStyle="1" w:styleId="MittlereSchattierung2-Akzent11">
    <w:name w:val="Mittlere Schattierung 2 - Akzent 11"/>
    <w:basedOn w:val="NormaleTabelle"/>
    <w:next w:val="MittlereSchattierung2-Akzent1"/>
    <w:uiPriority w:val="64"/>
    <w:semiHidden/>
    <w:unhideWhenUsed/>
    <w:rsid w:val="00564942"/>
    <w:pPr>
      <w:spacing w:after="0" w:line="240" w:lineRule="auto"/>
      <w:jc w:val="both"/>
    </w:pPr>
    <w:rPr>
      <w:rFonts w:ascii="Times New Roman" w:eastAsia="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499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4992"/>
      </w:tcPr>
    </w:tblStylePr>
    <w:tblStylePr w:type="lastCol">
      <w:rPr>
        <w:b/>
        <w:bCs/>
        <w:color w:val="FFFFFF"/>
      </w:rPr>
      <w:tblPr/>
      <w:tcPr>
        <w:tcBorders>
          <w:left w:val="nil"/>
          <w:right w:val="nil"/>
          <w:insideH w:val="nil"/>
          <w:insideV w:val="nil"/>
        </w:tcBorders>
        <w:shd w:val="clear" w:color="auto" w:fill="00499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ittlereSchattierung1-Akzent11">
    <w:name w:val="Mittlere Schattierung 1 - Akzent 11"/>
    <w:basedOn w:val="NormaleTabelle"/>
    <w:next w:val="MittlereSchattierung1-Akzent1"/>
    <w:uiPriority w:val="63"/>
    <w:semiHidden/>
    <w:unhideWhenUsed/>
    <w:rsid w:val="00564942"/>
    <w:pPr>
      <w:spacing w:after="0" w:line="240" w:lineRule="auto"/>
      <w:jc w:val="both"/>
    </w:pPr>
    <w:rPr>
      <w:rFonts w:ascii="Times New Roman" w:eastAsia="Times New Roman" w:hAnsi="Times New Roman" w:cs="Times New Roman"/>
      <w:sz w:val="20"/>
      <w:szCs w:val="20"/>
      <w:lang w:eastAsia="de-DE"/>
    </w:rPr>
    <w:tblPr>
      <w:tblStyleRowBandSize w:val="1"/>
      <w:tblStyleColBandSize w:val="1"/>
      <w:tblBorders>
        <w:top w:val="single" w:sz="8" w:space="0" w:color="0076ED"/>
        <w:left w:val="single" w:sz="8" w:space="0" w:color="0076ED"/>
        <w:bottom w:val="single" w:sz="8" w:space="0" w:color="0076ED"/>
        <w:right w:val="single" w:sz="8" w:space="0" w:color="0076ED"/>
        <w:insideH w:val="single" w:sz="8" w:space="0" w:color="0076ED"/>
      </w:tblBorders>
    </w:tblPr>
    <w:tblStylePr w:type="firstRow">
      <w:pPr>
        <w:spacing w:before="0" w:after="0" w:line="240" w:lineRule="auto"/>
      </w:pPr>
      <w:rPr>
        <w:b/>
        <w:bCs/>
        <w:color w:val="FFFFFF"/>
      </w:rPr>
      <w:tblPr/>
      <w:tcPr>
        <w:tcBorders>
          <w:top w:val="single" w:sz="8" w:space="0" w:color="0076ED"/>
          <w:left w:val="single" w:sz="8" w:space="0" w:color="0076ED"/>
          <w:bottom w:val="single" w:sz="8" w:space="0" w:color="0076ED"/>
          <w:right w:val="single" w:sz="8" w:space="0" w:color="0076ED"/>
          <w:insideH w:val="nil"/>
          <w:insideV w:val="nil"/>
        </w:tcBorders>
        <w:shd w:val="clear" w:color="auto" w:fill="004992"/>
      </w:tcPr>
    </w:tblStylePr>
    <w:tblStylePr w:type="lastRow">
      <w:pPr>
        <w:spacing w:before="0" w:after="0" w:line="240" w:lineRule="auto"/>
      </w:pPr>
      <w:rPr>
        <w:b/>
        <w:bCs/>
      </w:rPr>
      <w:tblPr/>
      <w:tcPr>
        <w:tcBorders>
          <w:top w:val="double" w:sz="6" w:space="0" w:color="0076ED"/>
          <w:left w:val="single" w:sz="8" w:space="0" w:color="0076ED"/>
          <w:bottom w:val="single" w:sz="8" w:space="0" w:color="0076ED"/>
          <w:right w:val="single" w:sz="8" w:space="0" w:color="0076ED"/>
          <w:insideH w:val="nil"/>
          <w:insideV w:val="nil"/>
        </w:tcBorders>
      </w:tcPr>
    </w:tblStylePr>
    <w:tblStylePr w:type="firstCol">
      <w:rPr>
        <w:b/>
        <w:bCs/>
      </w:rPr>
    </w:tblStylePr>
    <w:tblStylePr w:type="lastCol">
      <w:rPr>
        <w:b/>
        <w:bCs/>
      </w:rPr>
    </w:tblStylePr>
    <w:tblStylePr w:type="band1Vert">
      <w:tblPr/>
      <w:tcPr>
        <w:shd w:val="clear" w:color="auto" w:fill="A5D1FF"/>
      </w:tcPr>
    </w:tblStylePr>
    <w:tblStylePr w:type="band1Horz">
      <w:tblPr/>
      <w:tcPr>
        <w:tcBorders>
          <w:insideH w:val="nil"/>
          <w:insideV w:val="nil"/>
        </w:tcBorders>
        <w:shd w:val="clear" w:color="auto" w:fill="A5D1FF"/>
      </w:tcPr>
    </w:tblStylePr>
    <w:tblStylePr w:type="band2Horz">
      <w:tblPr/>
      <w:tcPr>
        <w:tcBorders>
          <w:insideH w:val="nil"/>
          <w:insideV w:val="nil"/>
        </w:tcBorders>
      </w:tcPr>
    </w:tblStylePr>
  </w:style>
  <w:style w:type="table" w:customStyle="1" w:styleId="HellesRaster-Akzent11">
    <w:name w:val="Helles Raster - Akzent 11"/>
    <w:basedOn w:val="NormaleTabelle"/>
    <w:next w:val="HellesRaster-Akzent1"/>
    <w:uiPriority w:val="62"/>
    <w:semiHidden/>
    <w:unhideWhenUsed/>
    <w:rsid w:val="00564942"/>
    <w:pPr>
      <w:spacing w:after="0" w:line="240" w:lineRule="auto"/>
      <w:jc w:val="both"/>
    </w:pPr>
    <w:rPr>
      <w:rFonts w:ascii="Times New Roman" w:eastAsia="Times New Roman" w:hAnsi="Times New Roman" w:cs="Times New Roman"/>
      <w:sz w:val="20"/>
      <w:szCs w:val="20"/>
      <w:lang w:eastAsia="de-DE"/>
    </w:rPr>
    <w:tblPr>
      <w:tblStyleRowBandSize w:val="1"/>
      <w:tblStyleColBandSize w:val="1"/>
      <w:tblBorders>
        <w:top w:val="single" w:sz="8" w:space="0" w:color="004992"/>
        <w:left w:val="single" w:sz="8" w:space="0" w:color="004992"/>
        <w:bottom w:val="single" w:sz="8" w:space="0" w:color="004992"/>
        <w:right w:val="single" w:sz="8" w:space="0" w:color="004992"/>
        <w:insideH w:val="single" w:sz="8" w:space="0" w:color="004992"/>
        <w:insideV w:val="single" w:sz="8" w:space="0" w:color="004992"/>
      </w:tblBorders>
    </w:tblPr>
    <w:tblStylePr w:type="firstRow">
      <w:pPr>
        <w:spacing w:before="0" w:after="0" w:line="240" w:lineRule="auto"/>
      </w:pPr>
      <w:rPr>
        <w:rFonts w:ascii="Calibri" w:eastAsia="Times New Roman" w:hAnsi="Calibri" w:cs="Times New Roman"/>
        <w:b/>
        <w:bCs/>
      </w:rPr>
      <w:tblPr/>
      <w:tcPr>
        <w:tcBorders>
          <w:top w:val="single" w:sz="8" w:space="0" w:color="004992"/>
          <w:left w:val="single" w:sz="8" w:space="0" w:color="004992"/>
          <w:bottom w:val="single" w:sz="18" w:space="0" w:color="004992"/>
          <w:right w:val="single" w:sz="8" w:space="0" w:color="004992"/>
          <w:insideH w:val="nil"/>
          <w:insideV w:val="single" w:sz="8" w:space="0" w:color="004992"/>
        </w:tcBorders>
      </w:tcPr>
    </w:tblStylePr>
    <w:tblStylePr w:type="lastRow">
      <w:pPr>
        <w:spacing w:before="0" w:after="0" w:line="240" w:lineRule="auto"/>
      </w:pPr>
      <w:rPr>
        <w:rFonts w:ascii="Calibri" w:eastAsia="Times New Roman" w:hAnsi="Calibri" w:cs="Times New Roman"/>
        <w:b/>
        <w:bCs/>
      </w:rPr>
      <w:tblPr/>
      <w:tcPr>
        <w:tcBorders>
          <w:top w:val="double" w:sz="6" w:space="0" w:color="004992"/>
          <w:left w:val="single" w:sz="8" w:space="0" w:color="004992"/>
          <w:bottom w:val="single" w:sz="8" w:space="0" w:color="004992"/>
          <w:right w:val="single" w:sz="8" w:space="0" w:color="004992"/>
          <w:insideH w:val="nil"/>
          <w:insideV w:val="single" w:sz="8" w:space="0" w:color="004992"/>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4992"/>
          <w:left w:val="single" w:sz="8" w:space="0" w:color="004992"/>
          <w:bottom w:val="single" w:sz="8" w:space="0" w:color="004992"/>
          <w:right w:val="single" w:sz="8" w:space="0" w:color="004992"/>
        </w:tcBorders>
      </w:tcPr>
    </w:tblStylePr>
    <w:tblStylePr w:type="band1Vert">
      <w:tblPr/>
      <w:tcPr>
        <w:tcBorders>
          <w:top w:val="single" w:sz="8" w:space="0" w:color="004992"/>
          <w:left w:val="single" w:sz="8" w:space="0" w:color="004992"/>
          <w:bottom w:val="single" w:sz="8" w:space="0" w:color="004992"/>
          <w:right w:val="single" w:sz="8" w:space="0" w:color="004992"/>
        </w:tcBorders>
        <w:shd w:val="clear" w:color="auto" w:fill="A5D1FF"/>
      </w:tcPr>
    </w:tblStylePr>
    <w:tblStylePr w:type="band1Horz">
      <w:tblPr/>
      <w:tcPr>
        <w:tcBorders>
          <w:top w:val="single" w:sz="8" w:space="0" w:color="004992"/>
          <w:left w:val="single" w:sz="8" w:space="0" w:color="004992"/>
          <w:bottom w:val="single" w:sz="8" w:space="0" w:color="004992"/>
          <w:right w:val="single" w:sz="8" w:space="0" w:color="004992"/>
          <w:insideV w:val="single" w:sz="8" w:space="0" w:color="004992"/>
        </w:tcBorders>
        <w:shd w:val="clear" w:color="auto" w:fill="A5D1FF"/>
      </w:tcPr>
    </w:tblStylePr>
    <w:tblStylePr w:type="band2Horz">
      <w:tblPr/>
      <w:tcPr>
        <w:tcBorders>
          <w:top w:val="single" w:sz="8" w:space="0" w:color="004992"/>
          <w:left w:val="single" w:sz="8" w:space="0" w:color="004992"/>
          <w:bottom w:val="single" w:sz="8" w:space="0" w:color="004992"/>
          <w:right w:val="single" w:sz="8" w:space="0" w:color="004992"/>
          <w:insideV w:val="single" w:sz="8" w:space="0" w:color="004992"/>
        </w:tcBorders>
      </w:tcPr>
    </w:tblStylePr>
  </w:style>
  <w:style w:type="table" w:customStyle="1" w:styleId="HelleListe-Akzent11">
    <w:name w:val="Helle Liste - Akzent 11"/>
    <w:basedOn w:val="NormaleTabelle"/>
    <w:next w:val="HelleListe-Akzent1"/>
    <w:uiPriority w:val="61"/>
    <w:semiHidden/>
    <w:unhideWhenUsed/>
    <w:rsid w:val="00564942"/>
    <w:pPr>
      <w:spacing w:after="0" w:line="240" w:lineRule="auto"/>
      <w:jc w:val="both"/>
    </w:pPr>
    <w:rPr>
      <w:rFonts w:ascii="Times New Roman" w:eastAsia="Times New Roman" w:hAnsi="Times New Roman" w:cs="Times New Roman"/>
      <w:sz w:val="20"/>
      <w:szCs w:val="20"/>
      <w:lang w:eastAsia="de-DE"/>
    </w:rPr>
    <w:tblPr>
      <w:tblStyleRowBandSize w:val="1"/>
      <w:tblStyleColBandSize w:val="1"/>
      <w:tblBorders>
        <w:top w:val="single" w:sz="8" w:space="0" w:color="004992"/>
        <w:left w:val="single" w:sz="8" w:space="0" w:color="004992"/>
        <w:bottom w:val="single" w:sz="8" w:space="0" w:color="004992"/>
        <w:right w:val="single" w:sz="8" w:space="0" w:color="004992"/>
      </w:tblBorders>
    </w:tblPr>
    <w:tblStylePr w:type="firstRow">
      <w:pPr>
        <w:spacing w:before="0" w:after="0" w:line="240" w:lineRule="auto"/>
      </w:pPr>
      <w:rPr>
        <w:b/>
        <w:bCs/>
        <w:color w:val="FFFFFF"/>
      </w:rPr>
      <w:tblPr/>
      <w:tcPr>
        <w:shd w:val="clear" w:color="auto" w:fill="004992"/>
      </w:tcPr>
    </w:tblStylePr>
    <w:tblStylePr w:type="lastRow">
      <w:pPr>
        <w:spacing w:before="0" w:after="0" w:line="240" w:lineRule="auto"/>
      </w:pPr>
      <w:rPr>
        <w:b/>
        <w:bCs/>
      </w:rPr>
      <w:tblPr/>
      <w:tcPr>
        <w:tcBorders>
          <w:top w:val="double" w:sz="6" w:space="0" w:color="004992"/>
          <w:left w:val="single" w:sz="8" w:space="0" w:color="004992"/>
          <w:bottom w:val="single" w:sz="8" w:space="0" w:color="004992"/>
          <w:right w:val="single" w:sz="8" w:space="0" w:color="004992"/>
        </w:tcBorders>
      </w:tcPr>
    </w:tblStylePr>
    <w:tblStylePr w:type="firstCol">
      <w:rPr>
        <w:b/>
        <w:bCs/>
      </w:rPr>
    </w:tblStylePr>
    <w:tblStylePr w:type="lastCol">
      <w:rPr>
        <w:b/>
        <w:bCs/>
      </w:rPr>
    </w:tblStylePr>
    <w:tblStylePr w:type="band1Vert">
      <w:tblPr/>
      <w:tcPr>
        <w:tcBorders>
          <w:top w:val="single" w:sz="8" w:space="0" w:color="004992"/>
          <w:left w:val="single" w:sz="8" w:space="0" w:color="004992"/>
          <w:bottom w:val="single" w:sz="8" w:space="0" w:color="004992"/>
          <w:right w:val="single" w:sz="8" w:space="0" w:color="004992"/>
        </w:tcBorders>
      </w:tcPr>
    </w:tblStylePr>
    <w:tblStylePr w:type="band1Horz">
      <w:tblPr/>
      <w:tcPr>
        <w:tcBorders>
          <w:top w:val="single" w:sz="8" w:space="0" w:color="004992"/>
          <w:left w:val="single" w:sz="8" w:space="0" w:color="004992"/>
          <w:bottom w:val="single" w:sz="8" w:space="0" w:color="004992"/>
          <w:right w:val="single" w:sz="8" w:space="0" w:color="004992"/>
        </w:tcBorders>
      </w:tcPr>
    </w:tblStylePr>
  </w:style>
  <w:style w:type="table" w:customStyle="1" w:styleId="HelleSchattierung-Akzent11">
    <w:name w:val="Helle Schattierung - Akzent 11"/>
    <w:basedOn w:val="NormaleTabelle"/>
    <w:next w:val="HelleSchattierung-Akzent1"/>
    <w:uiPriority w:val="60"/>
    <w:semiHidden/>
    <w:unhideWhenUsed/>
    <w:rsid w:val="00564942"/>
    <w:pPr>
      <w:spacing w:after="0" w:line="240" w:lineRule="auto"/>
      <w:jc w:val="both"/>
    </w:pPr>
    <w:rPr>
      <w:rFonts w:ascii="Times New Roman" w:eastAsia="Times New Roman" w:hAnsi="Times New Roman" w:cs="Times New Roman"/>
      <w:color w:val="00366D"/>
      <w:sz w:val="20"/>
      <w:szCs w:val="20"/>
      <w:lang w:eastAsia="de-DE"/>
    </w:rPr>
    <w:tblPr>
      <w:tblStyleRowBandSize w:val="1"/>
      <w:tblStyleColBandSize w:val="1"/>
      <w:tblBorders>
        <w:top w:val="single" w:sz="8" w:space="0" w:color="004992"/>
        <w:bottom w:val="single" w:sz="8" w:space="0" w:color="004992"/>
      </w:tblBorders>
    </w:tblPr>
    <w:tblStylePr w:type="firstRow">
      <w:pPr>
        <w:spacing w:before="0" w:after="0" w:line="240" w:lineRule="auto"/>
      </w:pPr>
      <w:rPr>
        <w:b/>
        <w:bCs/>
      </w:rPr>
      <w:tblPr/>
      <w:tcPr>
        <w:tcBorders>
          <w:top w:val="single" w:sz="8" w:space="0" w:color="004992"/>
          <w:left w:val="nil"/>
          <w:bottom w:val="single" w:sz="8" w:space="0" w:color="004992"/>
          <w:right w:val="nil"/>
          <w:insideH w:val="nil"/>
          <w:insideV w:val="nil"/>
        </w:tcBorders>
      </w:tcPr>
    </w:tblStylePr>
    <w:tblStylePr w:type="lastRow">
      <w:pPr>
        <w:spacing w:before="0" w:after="0" w:line="240" w:lineRule="auto"/>
      </w:pPr>
      <w:rPr>
        <w:b/>
        <w:bCs/>
      </w:rPr>
      <w:tblPr/>
      <w:tcPr>
        <w:tcBorders>
          <w:top w:val="single" w:sz="8" w:space="0" w:color="004992"/>
          <w:left w:val="nil"/>
          <w:bottom w:val="single" w:sz="8" w:space="0" w:color="00499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D1FF"/>
      </w:tcPr>
    </w:tblStylePr>
    <w:tblStylePr w:type="band1Horz">
      <w:tblPr/>
      <w:tcPr>
        <w:tcBorders>
          <w:left w:val="nil"/>
          <w:right w:val="nil"/>
          <w:insideH w:val="nil"/>
          <w:insideV w:val="nil"/>
        </w:tcBorders>
        <w:shd w:val="clear" w:color="auto" w:fill="A5D1FF"/>
      </w:tcPr>
    </w:tblStylePr>
  </w:style>
  <w:style w:type="table" w:customStyle="1" w:styleId="FarbigesRaster1">
    <w:name w:val="Farbiges Raster1"/>
    <w:basedOn w:val="NormaleTabelle"/>
    <w:next w:val="FarbigesRaster"/>
    <w:uiPriority w:val="73"/>
    <w:semiHidden/>
    <w:unhideWhenUsed/>
    <w:rsid w:val="00564942"/>
    <w:pPr>
      <w:spacing w:after="0" w:line="240" w:lineRule="auto"/>
      <w:jc w:val="both"/>
    </w:pPr>
    <w:rPr>
      <w:rFonts w:ascii="Times New Roman" w:eastAsia="Times New Roman" w:hAnsi="Times New Roman" w:cs="Times New Roman"/>
      <w:color w:val="333333"/>
      <w:sz w:val="20"/>
      <w:szCs w:val="20"/>
      <w:lang w:eastAsia="de-DE"/>
    </w:rPr>
    <w:tblPr>
      <w:tblStyleRowBandSize w:val="1"/>
      <w:tblStyleColBandSize w:val="1"/>
      <w:tblBorders>
        <w:insideH w:val="single" w:sz="4" w:space="0" w:color="FFFFFF"/>
      </w:tblBorders>
    </w:tblPr>
    <w:tcPr>
      <w:shd w:val="clear" w:color="auto" w:fill="D6D6D6"/>
    </w:tcPr>
    <w:tblStylePr w:type="firstRow">
      <w:rPr>
        <w:b/>
        <w:bCs/>
      </w:rPr>
      <w:tblPr/>
      <w:tcPr>
        <w:shd w:val="clear" w:color="auto" w:fill="ADADAD"/>
      </w:tcPr>
    </w:tblStylePr>
    <w:tblStylePr w:type="lastRow">
      <w:rPr>
        <w:b/>
        <w:bCs/>
        <w:color w:val="333333"/>
      </w:rPr>
      <w:tblPr/>
      <w:tcPr>
        <w:shd w:val="clear" w:color="auto" w:fill="ADADAD"/>
      </w:tcPr>
    </w:tblStylePr>
    <w:tblStylePr w:type="firstCol">
      <w:rPr>
        <w:color w:val="FFFFFF"/>
      </w:rPr>
      <w:tblPr/>
      <w:tcPr>
        <w:shd w:val="clear" w:color="auto" w:fill="262626"/>
      </w:tcPr>
    </w:tblStylePr>
    <w:tblStylePr w:type="lastCol">
      <w:rPr>
        <w:color w:val="FFFFFF"/>
      </w:rPr>
      <w:tblPr/>
      <w:tcPr>
        <w:shd w:val="clear" w:color="auto" w:fill="262626"/>
      </w:tcPr>
    </w:tblStylePr>
    <w:tblStylePr w:type="band1Vert">
      <w:tblPr/>
      <w:tcPr>
        <w:shd w:val="clear" w:color="auto" w:fill="999999"/>
      </w:tcPr>
    </w:tblStylePr>
    <w:tblStylePr w:type="band1Horz">
      <w:tblPr/>
      <w:tcPr>
        <w:shd w:val="clear" w:color="auto" w:fill="999999"/>
      </w:tcPr>
    </w:tblStylePr>
  </w:style>
  <w:style w:type="table" w:customStyle="1" w:styleId="FarbigeListe1">
    <w:name w:val="Farbige Liste1"/>
    <w:basedOn w:val="NormaleTabelle"/>
    <w:next w:val="FarbigeListe"/>
    <w:uiPriority w:val="72"/>
    <w:semiHidden/>
    <w:unhideWhenUsed/>
    <w:rsid w:val="00564942"/>
    <w:pPr>
      <w:spacing w:after="0" w:line="240" w:lineRule="auto"/>
      <w:jc w:val="both"/>
    </w:pPr>
    <w:rPr>
      <w:rFonts w:ascii="Times New Roman" w:eastAsia="Times New Roman" w:hAnsi="Times New Roman" w:cs="Times New Roman"/>
      <w:color w:val="333333"/>
      <w:sz w:val="20"/>
      <w:szCs w:val="20"/>
      <w:lang w:eastAsia="de-DE"/>
    </w:rPr>
    <w:tblPr>
      <w:tblStyleRowBandSize w:val="1"/>
      <w:tblStyleColBandSize w:val="1"/>
    </w:tblPr>
    <w:tcPr>
      <w:shd w:val="clear" w:color="auto" w:fill="EBEBEB"/>
    </w:tcPr>
    <w:tblStylePr w:type="firstRow">
      <w:rPr>
        <w:b/>
        <w:bCs/>
        <w:color w:val="FFFFFF"/>
      </w:rPr>
      <w:tblPr/>
      <w:tcPr>
        <w:tcBorders>
          <w:bottom w:val="single" w:sz="12" w:space="0" w:color="FFFFFF"/>
        </w:tcBorders>
        <w:shd w:val="clear" w:color="auto" w:fill="3DACB9"/>
      </w:tcPr>
    </w:tblStylePr>
    <w:tblStylePr w:type="lastRow">
      <w:rPr>
        <w:b/>
        <w:bCs/>
        <w:color w:val="3DACB9"/>
      </w:rPr>
      <w:tblPr/>
      <w:tcPr>
        <w:tcBorders>
          <w:top w:val="single" w:sz="12" w:space="0" w:color="333333"/>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cPr>
    </w:tblStylePr>
    <w:tblStylePr w:type="band1Horz">
      <w:tblPr/>
      <w:tcPr>
        <w:shd w:val="clear" w:color="auto" w:fill="D6D6D6"/>
      </w:tcPr>
    </w:tblStylePr>
  </w:style>
  <w:style w:type="table" w:customStyle="1" w:styleId="FarbigeSchattierung1">
    <w:name w:val="Farbige Schattierung1"/>
    <w:basedOn w:val="NormaleTabelle"/>
    <w:next w:val="FarbigeSchattierung"/>
    <w:uiPriority w:val="71"/>
    <w:semiHidden/>
    <w:unhideWhenUsed/>
    <w:rsid w:val="00564942"/>
    <w:pPr>
      <w:spacing w:after="0" w:line="240" w:lineRule="auto"/>
      <w:jc w:val="both"/>
    </w:pPr>
    <w:rPr>
      <w:rFonts w:ascii="Times New Roman" w:eastAsia="Times New Roman" w:hAnsi="Times New Roman" w:cs="Times New Roman"/>
      <w:color w:val="333333"/>
      <w:sz w:val="20"/>
      <w:szCs w:val="20"/>
      <w:lang w:eastAsia="de-DE"/>
    </w:rPr>
    <w:tblPr>
      <w:tblStyleRowBandSize w:val="1"/>
      <w:tblStyleColBandSize w:val="1"/>
      <w:tblBorders>
        <w:top w:val="single" w:sz="24" w:space="0" w:color="68C3CD"/>
        <w:left w:val="single" w:sz="4" w:space="0" w:color="333333"/>
        <w:bottom w:val="single" w:sz="4" w:space="0" w:color="333333"/>
        <w:right w:val="single" w:sz="4" w:space="0" w:color="333333"/>
        <w:insideH w:val="single" w:sz="4" w:space="0" w:color="FFFFFF"/>
        <w:insideV w:val="single" w:sz="4" w:space="0" w:color="FFFFFF"/>
      </w:tblBorders>
    </w:tblPr>
    <w:tcPr>
      <w:shd w:val="clear" w:color="auto" w:fill="EBEBEB"/>
    </w:tcPr>
    <w:tblStylePr w:type="firstRow">
      <w:rPr>
        <w:b/>
        <w:bCs/>
      </w:rPr>
      <w:tblPr/>
      <w:tcPr>
        <w:tcBorders>
          <w:top w:val="nil"/>
          <w:left w:val="nil"/>
          <w:bottom w:val="single" w:sz="24" w:space="0" w:color="68C3C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E1E1E"/>
      </w:tcPr>
    </w:tblStylePr>
    <w:tblStylePr w:type="firstCol">
      <w:rPr>
        <w:color w:val="FFFFFF"/>
      </w:rPr>
      <w:tblPr/>
      <w:tcPr>
        <w:tcBorders>
          <w:top w:val="nil"/>
          <w:left w:val="nil"/>
          <w:bottom w:val="nil"/>
          <w:right w:val="nil"/>
          <w:insideH w:val="single" w:sz="4" w:space="0" w:color="1E1E1E"/>
          <w:insideV w:val="nil"/>
        </w:tcBorders>
        <w:shd w:val="clear" w:color="auto" w:fill="1E1E1E"/>
      </w:tcPr>
    </w:tblStylePr>
    <w:tblStylePr w:type="lastCol">
      <w:rPr>
        <w:color w:val="FFFFFF"/>
      </w:rPr>
      <w:tblPr/>
      <w:tcPr>
        <w:tcBorders>
          <w:top w:val="nil"/>
          <w:left w:val="nil"/>
          <w:bottom w:val="nil"/>
          <w:right w:val="nil"/>
          <w:insideH w:val="nil"/>
          <w:insideV w:val="nil"/>
        </w:tcBorders>
        <w:shd w:val="clear" w:color="auto" w:fill="262626"/>
      </w:tcPr>
    </w:tblStylePr>
    <w:tblStylePr w:type="band1Vert">
      <w:tblPr/>
      <w:tcPr>
        <w:shd w:val="clear" w:color="auto" w:fill="ADADAD"/>
      </w:tcPr>
    </w:tblStylePr>
    <w:tblStylePr w:type="band1Horz">
      <w:tblPr/>
      <w:tcPr>
        <w:shd w:val="clear" w:color="auto" w:fill="999999"/>
      </w:tcPr>
    </w:tblStylePr>
    <w:tblStylePr w:type="neCell">
      <w:rPr>
        <w:color w:val="333333"/>
      </w:rPr>
    </w:tblStylePr>
    <w:tblStylePr w:type="nwCell">
      <w:rPr>
        <w:color w:val="333333"/>
      </w:rPr>
    </w:tblStylePr>
  </w:style>
  <w:style w:type="table" w:customStyle="1" w:styleId="DunkleListe1">
    <w:name w:val="Dunkle Liste1"/>
    <w:basedOn w:val="NormaleTabelle"/>
    <w:next w:val="DunkleListe"/>
    <w:uiPriority w:val="70"/>
    <w:semiHidden/>
    <w:unhideWhenUsed/>
    <w:rsid w:val="00564942"/>
    <w:pPr>
      <w:spacing w:after="0" w:line="240" w:lineRule="auto"/>
      <w:jc w:val="both"/>
    </w:pPr>
    <w:rPr>
      <w:rFonts w:ascii="Times New Roman" w:eastAsia="Times New Roman" w:hAnsi="Times New Roman" w:cs="Times New Roman"/>
      <w:color w:val="FFFFFF"/>
      <w:sz w:val="20"/>
      <w:szCs w:val="20"/>
      <w:lang w:eastAsia="de-DE"/>
    </w:rPr>
    <w:tblPr>
      <w:tblStyleRowBandSize w:val="1"/>
      <w:tblStyleColBandSize w:val="1"/>
    </w:tblPr>
    <w:tcPr>
      <w:shd w:val="clear" w:color="auto" w:fill="333333"/>
    </w:tcPr>
    <w:tblStylePr w:type="firstRow">
      <w:rPr>
        <w:b/>
        <w:bCs/>
      </w:rPr>
      <w:tblPr/>
      <w:tcPr>
        <w:tcBorders>
          <w:top w:val="nil"/>
          <w:left w:val="nil"/>
          <w:bottom w:val="single" w:sz="18" w:space="0" w:color="FFFFFF"/>
          <w:right w:val="nil"/>
          <w:insideH w:val="nil"/>
          <w:insideV w:val="nil"/>
        </w:tcBorders>
        <w:shd w:val="clear" w:color="auto" w:fill="333333"/>
      </w:tcPr>
    </w:tblStylePr>
    <w:tblStylePr w:type="lastRow">
      <w:tblPr/>
      <w:tcPr>
        <w:tcBorders>
          <w:top w:val="single" w:sz="18" w:space="0" w:color="FFFFFF"/>
          <w:left w:val="nil"/>
          <w:bottom w:val="nil"/>
          <w:right w:val="nil"/>
          <w:insideH w:val="nil"/>
          <w:insideV w:val="nil"/>
        </w:tcBorders>
        <w:shd w:val="clear" w:color="auto" w:fill="191919"/>
      </w:tcPr>
    </w:tblStylePr>
    <w:tblStylePr w:type="firstCol">
      <w:tblPr/>
      <w:tcPr>
        <w:tcBorders>
          <w:top w:val="nil"/>
          <w:left w:val="nil"/>
          <w:bottom w:val="nil"/>
          <w:right w:val="single" w:sz="18" w:space="0" w:color="FFFFFF"/>
          <w:insideH w:val="nil"/>
          <w:insideV w:val="nil"/>
        </w:tcBorders>
        <w:shd w:val="clear" w:color="auto" w:fill="262626"/>
      </w:tcPr>
    </w:tblStylePr>
    <w:tblStylePr w:type="lastCol">
      <w:tblPr/>
      <w:tcPr>
        <w:tcBorders>
          <w:top w:val="nil"/>
          <w:left w:val="single" w:sz="18" w:space="0" w:color="FFFFFF"/>
          <w:bottom w:val="nil"/>
          <w:right w:val="nil"/>
          <w:insideH w:val="nil"/>
          <w:insideV w:val="nil"/>
        </w:tcBorders>
        <w:shd w:val="clear" w:color="auto" w:fill="262626"/>
      </w:tcPr>
    </w:tblStylePr>
    <w:tblStylePr w:type="band1Vert">
      <w:tblPr/>
      <w:tcPr>
        <w:tcBorders>
          <w:top w:val="nil"/>
          <w:left w:val="nil"/>
          <w:bottom w:val="nil"/>
          <w:right w:val="nil"/>
          <w:insideH w:val="nil"/>
          <w:insideV w:val="nil"/>
        </w:tcBorders>
        <w:shd w:val="clear" w:color="auto" w:fill="262626"/>
      </w:tcPr>
    </w:tblStylePr>
    <w:tblStylePr w:type="band1Horz">
      <w:tblPr/>
      <w:tcPr>
        <w:tcBorders>
          <w:top w:val="nil"/>
          <w:left w:val="nil"/>
          <w:bottom w:val="nil"/>
          <w:right w:val="nil"/>
          <w:insideH w:val="nil"/>
          <w:insideV w:val="nil"/>
        </w:tcBorders>
        <w:shd w:val="clear" w:color="auto" w:fill="262626"/>
      </w:tcPr>
    </w:tblStylePr>
  </w:style>
  <w:style w:type="table" w:customStyle="1" w:styleId="MittleresRaster31">
    <w:name w:val="Mittleres Raster 31"/>
    <w:basedOn w:val="NormaleTabelle"/>
    <w:next w:val="MittleresRaster3"/>
    <w:uiPriority w:val="69"/>
    <w:semiHidden/>
    <w:unhideWhenUsed/>
    <w:rsid w:val="00564942"/>
    <w:pPr>
      <w:spacing w:after="0" w:line="240" w:lineRule="auto"/>
      <w:jc w:val="both"/>
    </w:pPr>
    <w:rPr>
      <w:rFonts w:ascii="Times New Roman" w:eastAsia="Times New Roman" w:hAnsi="Times New Roman" w:cs="Times New Roman"/>
      <w:sz w:val="20"/>
      <w:szCs w:val="20"/>
      <w:lang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CCC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33333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33333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33333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33333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999999"/>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999999"/>
      </w:tcPr>
    </w:tblStylePr>
  </w:style>
  <w:style w:type="table" w:customStyle="1" w:styleId="MittleresRaster21">
    <w:name w:val="Mittleres Raster 21"/>
    <w:basedOn w:val="NormaleTabelle"/>
    <w:next w:val="MittleresRaster2"/>
    <w:uiPriority w:val="68"/>
    <w:semiHidden/>
    <w:unhideWhenUsed/>
    <w:rsid w:val="00564942"/>
    <w:pPr>
      <w:spacing w:after="0" w:line="240" w:lineRule="auto"/>
      <w:jc w:val="both"/>
    </w:pPr>
    <w:rPr>
      <w:rFonts w:ascii="Calibri" w:eastAsia="Times New Roman" w:hAnsi="Calibri" w:cs="Times New Roman"/>
      <w:color w:val="333333"/>
      <w:sz w:val="20"/>
      <w:szCs w:val="20"/>
      <w:lang w:eastAsia="de-DE"/>
    </w:rPr>
    <w:tblPr>
      <w:tblStyleRowBandSize w:val="1"/>
      <w:tblStyleColBandSize w:val="1"/>
      <w:tblBorders>
        <w:top w:val="single" w:sz="8" w:space="0" w:color="333333"/>
        <w:left w:val="single" w:sz="8" w:space="0" w:color="333333"/>
        <w:bottom w:val="single" w:sz="8" w:space="0" w:color="333333"/>
        <w:right w:val="single" w:sz="8" w:space="0" w:color="333333"/>
        <w:insideH w:val="single" w:sz="8" w:space="0" w:color="333333"/>
        <w:insideV w:val="single" w:sz="8" w:space="0" w:color="333333"/>
      </w:tblBorders>
    </w:tblPr>
    <w:tcPr>
      <w:shd w:val="clear" w:color="auto" w:fill="CCCCCC"/>
    </w:tcPr>
    <w:tblStylePr w:type="firstRow">
      <w:rPr>
        <w:b/>
        <w:bCs/>
        <w:color w:val="333333"/>
      </w:rPr>
      <w:tblPr/>
      <w:tcPr>
        <w:shd w:val="clear" w:color="auto" w:fill="EBEBEB"/>
      </w:tcPr>
    </w:tblStylePr>
    <w:tblStylePr w:type="lastRow">
      <w:rPr>
        <w:b/>
        <w:bCs/>
        <w:color w:val="333333"/>
      </w:rPr>
      <w:tblPr/>
      <w:tcPr>
        <w:tcBorders>
          <w:top w:val="single" w:sz="12" w:space="0" w:color="333333"/>
          <w:left w:val="nil"/>
          <w:bottom w:val="nil"/>
          <w:right w:val="nil"/>
          <w:insideH w:val="nil"/>
          <w:insideV w:val="nil"/>
        </w:tcBorders>
        <w:shd w:val="clear" w:color="auto" w:fill="FFFFFF"/>
      </w:tcPr>
    </w:tblStylePr>
    <w:tblStylePr w:type="firstCol">
      <w:rPr>
        <w:b/>
        <w:bCs/>
        <w:color w:val="333333"/>
      </w:rPr>
      <w:tblPr/>
      <w:tcPr>
        <w:tcBorders>
          <w:top w:val="nil"/>
          <w:left w:val="nil"/>
          <w:bottom w:val="nil"/>
          <w:right w:val="nil"/>
          <w:insideH w:val="nil"/>
          <w:insideV w:val="nil"/>
        </w:tcBorders>
        <w:shd w:val="clear" w:color="auto" w:fill="FFFFFF"/>
      </w:tcPr>
    </w:tblStylePr>
    <w:tblStylePr w:type="lastCol">
      <w:rPr>
        <w:b w:val="0"/>
        <w:bCs w:val="0"/>
        <w:color w:val="333333"/>
      </w:rPr>
      <w:tblPr/>
      <w:tcPr>
        <w:tcBorders>
          <w:top w:val="nil"/>
          <w:left w:val="nil"/>
          <w:bottom w:val="nil"/>
          <w:right w:val="nil"/>
          <w:insideH w:val="nil"/>
          <w:insideV w:val="nil"/>
        </w:tcBorders>
        <w:shd w:val="clear" w:color="auto" w:fill="D6D6D6"/>
      </w:tcPr>
    </w:tblStylePr>
    <w:tblStylePr w:type="band1Vert">
      <w:tblPr/>
      <w:tcPr>
        <w:shd w:val="clear" w:color="auto" w:fill="999999"/>
      </w:tcPr>
    </w:tblStylePr>
    <w:tblStylePr w:type="band1Horz">
      <w:tblPr/>
      <w:tcPr>
        <w:tcBorders>
          <w:insideH w:val="single" w:sz="6" w:space="0" w:color="333333"/>
          <w:insideV w:val="single" w:sz="6" w:space="0" w:color="333333"/>
        </w:tcBorders>
        <w:shd w:val="clear" w:color="auto" w:fill="999999"/>
      </w:tcPr>
    </w:tblStylePr>
    <w:tblStylePr w:type="nwCell">
      <w:tblPr/>
      <w:tcPr>
        <w:shd w:val="clear" w:color="auto" w:fill="FFFFFF"/>
      </w:tcPr>
    </w:tblStylePr>
  </w:style>
  <w:style w:type="table" w:customStyle="1" w:styleId="MittleresRaster11">
    <w:name w:val="Mittleres Raster 11"/>
    <w:basedOn w:val="NormaleTabelle"/>
    <w:next w:val="MittleresRaster1"/>
    <w:uiPriority w:val="67"/>
    <w:semiHidden/>
    <w:unhideWhenUsed/>
    <w:rsid w:val="00564942"/>
    <w:pPr>
      <w:spacing w:after="0" w:line="240" w:lineRule="auto"/>
      <w:jc w:val="both"/>
    </w:pPr>
    <w:rPr>
      <w:rFonts w:ascii="Times New Roman" w:eastAsia="Times New Roman" w:hAnsi="Times New Roman" w:cs="Times New Roman"/>
      <w:sz w:val="20"/>
      <w:szCs w:val="20"/>
      <w:lang w:eastAsia="de-DE"/>
    </w:rPr>
    <w:tblPr>
      <w:tblStyleRowBandSize w:val="1"/>
      <w:tblStyleColBandSize w:val="1"/>
      <w:tblBorders>
        <w:top w:val="single" w:sz="8" w:space="0" w:color="666666"/>
        <w:left w:val="single" w:sz="8" w:space="0" w:color="666666"/>
        <w:bottom w:val="single" w:sz="8" w:space="0" w:color="666666"/>
        <w:right w:val="single" w:sz="8" w:space="0" w:color="666666"/>
        <w:insideH w:val="single" w:sz="8" w:space="0" w:color="666666"/>
        <w:insideV w:val="single" w:sz="8" w:space="0" w:color="666666"/>
      </w:tblBorders>
    </w:tblPr>
    <w:tcPr>
      <w:shd w:val="clear" w:color="auto" w:fill="CCCCCC"/>
    </w:tcPr>
    <w:tblStylePr w:type="firstRow">
      <w:rPr>
        <w:b/>
        <w:bCs/>
      </w:rPr>
    </w:tblStylePr>
    <w:tblStylePr w:type="lastRow">
      <w:rPr>
        <w:b/>
        <w:bCs/>
      </w:rPr>
      <w:tblPr/>
      <w:tcPr>
        <w:tcBorders>
          <w:top w:val="single" w:sz="18" w:space="0" w:color="666666"/>
        </w:tcBorders>
      </w:tcPr>
    </w:tblStylePr>
    <w:tblStylePr w:type="firstCol">
      <w:rPr>
        <w:b/>
        <w:bCs/>
      </w:rPr>
    </w:tblStylePr>
    <w:tblStylePr w:type="lastCol">
      <w:rPr>
        <w:b/>
        <w:bCs/>
      </w:rPr>
    </w:tblStylePr>
    <w:tblStylePr w:type="band1Vert">
      <w:tblPr/>
      <w:tcPr>
        <w:shd w:val="clear" w:color="auto" w:fill="999999"/>
      </w:tcPr>
    </w:tblStylePr>
    <w:tblStylePr w:type="band1Horz">
      <w:tblPr/>
      <w:tcPr>
        <w:shd w:val="clear" w:color="auto" w:fill="999999"/>
      </w:tcPr>
    </w:tblStylePr>
  </w:style>
  <w:style w:type="table" w:customStyle="1" w:styleId="MittlereListe21">
    <w:name w:val="Mittlere Liste 21"/>
    <w:basedOn w:val="NormaleTabelle"/>
    <w:next w:val="MittlereListe2"/>
    <w:uiPriority w:val="66"/>
    <w:semiHidden/>
    <w:unhideWhenUsed/>
    <w:rsid w:val="00564942"/>
    <w:pPr>
      <w:spacing w:after="0" w:line="240" w:lineRule="auto"/>
      <w:jc w:val="both"/>
    </w:pPr>
    <w:rPr>
      <w:rFonts w:ascii="Calibri" w:eastAsia="Times New Roman" w:hAnsi="Calibri" w:cs="Times New Roman"/>
      <w:color w:val="333333"/>
      <w:sz w:val="20"/>
      <w:szCs w:val="20"/>
      <w:lang w:eastAsia="de-DE"/>
    </w:rPr>
    <w:tblPr>
      <w:tblStyleRowBandSize w:val="1"/>
      <w:tblStyleColBandSize w:val="1"/>
      <w:tblBorders>
        <w:top w:val="single" w:sz="8" w:space="0" w:color="333333"/>
        <w:left w:val="single" w:sz="8" w:space="0" w:color="333333"/>
        <w:bottom w:val="single" w:sz="8" w:space="0" w:color="333333"/>
        <w:right w:val="single" w:sz="8" w:space="0" w:color="333333"/>
      </w:tblBorders>
    </w:tblPr>
    <w:tblStylePr w:type="firstRow">
      <w:rPr>
        <w:sz w:val="24"/>
        <w:szCs w:val="24"/>
      </w:rPr>
      <w:tblPr/>
      <w:tcPr>
        <w:tcBorders>
          <w:top w:val="nil"/>
          <w:left w:val="nil"/>
          <w:bottom w:val="single" w:sz="24" w:space="0" w:color="333333"/>
          <w:right w:val="nil"/>
          <w:insideH w:val="nil"/>
          <w:insideV w:val="nil"/>
        </w:tcBorders>
        <w:shd w:val="clear" w:color="auto" w:fill="FFFFFF"/>
      </w:tcPr>
    </w:tblStylePr>
    <w:tblStylePr w:type="lastRow">
      <w:tblPr/>
      <w:tcPr>
        <w:tcBorders>
          <w:top w:val="single" w:sz="8" w:space="0" w:color="333333"/>
          <w:left w:val="nil"/>
          <w:bottom w:val="nil"/>
          <w:right w:val="nil"/>
          <w:insideH w:val="nil"/>
          <w:insideV w:val="nil"/>
        </w:tcBorders>
        <w:shd w:val="clear" w:color="auto" w:fill="FFFFFF"/>
      </w:tcPr>
    </w:tblStylePr>
    <w:tblStylePr w:type="firstCol">
      <w:tblPr/>
      <w:tcPr>
        <w:tcBorders>
          <w:top w:val="nil"/>
          <w:left w:val="nil"/>
          <w:bottom w:val="nil"/>
          <w:right w:val="single" w:sz="8" w:space="0" w:color="333333"/>
          <w:insideH w:val="nil"/>
          <w:insideV w:val="nil"/>
        </w:tcBorders>
        <w:shd w:val="clear" w:color="auto" w:fill="FFFFFF"/>
      </w:tcPr>
    </w:tblStylePr>
    <w:tblStylePr w:type="lastCol">
      <w:tblPr/>
      <w:tcPr>
        <w:tcBorders>
          <w:top w:val="nil"/>
          <w:left w:val="single" w:sz="8" w:space="0" w:color="33333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CCCCC"/>
      </w:tcPr>
    </w:tblStylePr>
    <w:tblStylePr w:type="band1Horz">
      <w:tblPr/>
      <w:tcPr>
        <w:tcBorders>
          <w:top w:val="nil"/>
          <w:bottom w:val="nil"/>
          <w:insideH w:val="nil"/>
          <w:insideV w:val="nil"/>
        </w:tcBorders>
        <w:shd w:val="clear" w:color="auto" w:fill="CCCCCC"/>
      </w:tcPr>
    </w:tblStylePr>
    <w:tblStylePr w:type="nwCell">
      <w:tblPr/>
      <w:tcPr>
        <w:shd w:val="clear" w:color="auto" w:fill="FFFFFF"/>
      </w:tcPr>
    </w:tblStylePr>
    <w:tblStylePr w:type="swCell">
      <w:tblPr/>
      <w:tcPr>
        <w:tcBorders>
          <w:top w:val="nil"/>
        </w:tcBorders>
      </w:tcPr>
    </w:tblStylePr>
  </w:style>
  <w:style w:type="table" w:customStyle="1" w:styleId="MittlereListe11">
    <w:name w:val="Mittlere Liste 11"/>
    <w:basedOn w:val="NormaleTabelle"/>
    <w:next w:val="MittlereListe1"/>
    <w:uiPriority w:val="65"/>
    <w:semiHidden/>
    <w:unhideWhenUsed/>
    <w:rsid w:val="00564942"/>
    <w:pPr>
      <w:spacing w:after="0" w:line="240" w:lineRule="auto"/>
      <w:jc w:val="both"/>
    </w:pPr>
    <w:rPr>
      <w:rFonts w:ascii="Times New Roman" w:eastAsia="Times New Roman" w:hAnsi="Times New Roman" w:cs="Times New Roman"/>
      <w:color w:val="333333"/>
      <w:sz w:val="20"/>
      <w:szCs w:val="20"/>
      <w:lang w:eastAsia="de-DE"/>
    </w:rPr>
    <w:tblPr>
      <w:tblStyleRowBandSize w:val="1"/>
      <w:tblStyleColBandSize w:val="1"/>
      <w:tblBorders>
        <w:top w:val="single" w:sz="8" w:space="0" w:color="333333"/>
        <w:bottom w:val="single" w:sz="8" w:space="0" w:color="333333"/>
      </w:tblBorders>
    </w:tblPr>
    <w:tblStylePr w:type="firstRow">
      <w:rPr>
        <w:rFonts w:ascii="Calibri" w:eastAsia="Times New Roman" w:hAnsi="Calibri" w:cs="Times New Roman"/>
      </w:rPr>
      <w:tblPr/>
      <w:tcPr>
        <w:tcBorders>
          <w:top w:val="nil"/>
          <w:bottom w:val="single" w:sz="8" w:space="0" w:color="333333"/>
        </w:tcBorders>
      </w:tcPr>
    </w:tblStylePr>
    <w:tblStylePr w:type="lastRow">
      <w:rPr>
        <w:b/>
        <w:bCs/>
        <w:color w:val="AA9C8F"/>
      </w:rPr>
      <w:tblPr/>
      <w:tcPr>
        <w:tcBorders>
          <w:top w:val="single" w:sz="8" w:space="0" w:color="333333"/>
          <w:bottom w:val="single" w:sz="8" w:space="0" w:color="333333"/>
        </w:tcBorders>
      </w:tcPr>
    </w:tblStylePr>
    <w:tblStylePr w:type="firstCol">
      <w:rPr>
        <w:b/>
        <w:bCs/>
      </w:rPr>
    </w:tblStylePr>
    <w:tblStylePr w:type="lastCol">
      <w:rPr>
        <w:b/>
        <w:bCs/>
      </w:rPr>
      <w:tblPr/>
      <w:tcPr>
        <w:tcBorders>
          <w:top w:val="single" w:sz="8" w:space="0" w:color="333333"/>
          <w:bottom w:val="single" w:sz="8" w:space="0" w:color="333333"/>
        </w:tcBorders>
      </w:tcPr>
    </w:tblStylePr>
    <w:tblStylePr w:type="band1Vert">
      <w:tblPr/>
      <w:tcPr>
        <w:shd w:val="clear" w:color="auto" w:fill="CCCCCC"/>
      </w:tcPr>
    </w:tblStylePr>
    <w:tblStylePr w:type="band1Horz">
      <w:tblPr/>
      <w:tcPr>
        <w:shd w:val="clear" w:color="auto" w:fill="CCCCCC"/>
      </w:tcPr>
    </w:tblStylePr>
  </w:style>
  <w:style w:type="table" w:customStyle="1" w:styleId="MittlereSchattierung21">
    <w:name w:val="Mittlere Schattierung 21"/>
    <w:basedOn w:val="NormaleTabelle"/>
    <w:next w:val="MittlereSchattierung2"/>
    <w:uiPriority w:val="64"/>
    <w:semiHidden/>
    <w:unhideWhenUsed/>
    <w:rsid w:val="00564942"/>
    <w:pPr>
      <w:spacing w:after="0" w:line="240" w:lineRule="auto"/>
      <w:jc w:val="both"/>
    </w:pPr>
    <w:rPr>
      <w:rFonts w:ascii="Times New Roman" w:eastAsia="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33333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333333"/>
      </w:tcPr>
    </w:tblStylePr>
    <w:tblStylePr w:type="lastCol">
      <w:rPr>
        <w:b/>
        <w:bCs/>
        <w:color w:val="FFFFFF"/>
      </w:rPr>
      <w:tblPr/>
      <w:tcPr>
        <w:tcBorders>
          <w:left w:val="nil"/>
          <w:right w:val="nil"/>
          <w:insideH w:val="nil"/>
          <w:insideV w:val="nil"/>
        </w:tcBorders>
        <w:shd w:val="clear" w:color="auto" w:fill="33333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ittlereSchattierung11">
    <w:name w:val="Mittlere Schattierung 11"/>
    <w:basedOn w:val="NormaleTabelle"/>
    <w:next w:val="MittlereSchattierung1"/>
    <w:uiPriority w:val="63"/>
    <w:semiHidden/>
    <w:unhideWhenUsed/>
    <w:rsid w:val="00564942"/>
    <w:pPr>
      <w:spacing w:after="0" w:line="240" w:lineRule="auto"/>
      <w:jc w:val="both"/>
    </w:pPr>
    <w:rPr>
      <w:rFonts w:ascii="Times New Roman" w:eastAsia="Times New Roman" w:hAnsi="Times New Roman" w:cs="Times New Roman"/>
      <w:sz w:val="20"/>
      <w:szCs w:val="20"/>
      <w:lang w:eastAsia="de-DE"/>
    </w:rPr>
    <w:tblPr>
      <w:tblStyleRowBandSize w:val="1"/>
      <w:tblStyleColBandSize w:val="1"/>
      <w:tblBorders>
        <w:top w:val="single" w:sz="8" w:space="0" w:color="666666"/>
        <w:left w:val="single" w:sz="8" w:space="0" w:color="666666"/>
        <w:bottom w:val="single" w:sz="8" w:space="0" w:color="666666"/>
        <w:right w:val="single" w:sz="8" w:space="0" w:color="666666"/>
        <w:insideH w:val="single" w:sz="8" w:space="0" w:color="666666"/>
      </w:tblBorders>
    </w:tblPr>
    <w:tblStylePr w:type="firstRow">
      <w:pPr>
        <w:spacing w:before="0" w:after="0" w:line="240" w:lineRule="auto"/>
      </w:pPr>
      <w:rPr>
        <w:b/>
        <w:bCs/>
        <w:color w:val="FFFFFF"/>
      </w:rPr>
      <w:tblPr/>
      <w:tcPr>
        <w:tcBorders>
          <w:top w:val="single" w:sz="8" w:space="0" w:color="666666"/>
          <w:left w:val="single" w:sz="8" w:space="0" w:color="666666"/>
          <w:bottom w:val="single" w:sz="8" w:space="0" w:color="666666"/>
          <w:right w:val="single" w:sz="8" w:space="0" w:color="666666"/>
          <w:insideH w:val="nil"/>
          <w:insideV w:val="nil"/>
        </w:tcBorders>
        <w:shd w:val="clear" w:color="auto" w:fill="333333"/>
      </w:tcPr>
    </w:tblStylePr>
    <w:tblStylePr w:type="lastRow">
      <w:pPr>
        <w:spacing w:before="0" w:after="0" w:line="240" w:lineRule="auto"/>
      </w:pPr>
      <w:rPr>
        <w:b/>
        <w:bCs/>
      </w:rPr>
      <w:tblPr/>
      <w:tcPr>
        <w:tcBorders>
          <w:top w:val="double" w:sz="6" w:space="0" w:color="666666"/>
          <w:left w:val="single" w:sz="8" w:space="0" w:color="666666"/>
          <w:bottom w:val="single" w:sz="8" w:space="0" w:color="666666"/>
          <w:right w:val="single" w:sz="8" w:space="0" w:color="666666"/>
          <w:insideH w:val="nil"/>
          <w:insideV w:val="nil"/>
        </w:tcBorders>
      </w:tcPr>
    </w:tblStylePr>
    <w:tblStylePr w:type="firstCol">
      <w:rPr>
        <w:b/>
        <w:bCs/>
      </w:rPr>
    </w:tblStylePr>
    <w:tblStylePr w:type="lastCol">
      <w:rPr>
        <w:b/>
        <w:bCs/>
      </w:rPr>
    </w:tblStylePr>
    <w:tblStylePr w:type="band1Vert">
      <w:tblPr/>
      <w:tcPr>
        <w:shd w:val="clear" w:color="auto" w:fill="CCCCCC"/>
      </w:tcPr>
    </w:tblStylePr>
    <w:tblStylePr w:type="band1Horz">
      <w:tblPr/>
      <w:tcPr>
        <w:tcBorders>
          <w:insideH w:val="nil"/>
          <w:insideV w:val="nil"/>
        </w:tcBorders>
        <w:shd w:val="clear" w:color="auto" w:fill="CCCCCC"/>
      </w:tcPr>
    </w:tblStylePr>
    <w:tblStylePr w:type="band2Horz">
      <w:tblPr/>
      <w:tcPr>
        <w:tcBorders>
          <w:insideH w:val="nil"/>
          <w:insideV w:val="nil"/>
        </w:tcBorders>
      </w:tcPr>
    </w:tblStylePr>
  </w:style>
  <w:style w:type="table" w:customStyle="1" w:styleId="HellesRaster1">
    <w:name w:val="Helles Raster1"/>
    <w:basedOn w:val="NormaleTabelle"/>
    <w:next w:val="HellesRaster"/>
    <w:uiPriority w:val="62"/>
    <w:semiHidden/>
    <w:unhideWhenUsed/>
    <w:rsid w:val="00564942"/>
    <w:pPr>
      <w:spacing w:after="0" w:line="240" w:lineRule="auto"/>
      <w:jc w:val="both"/>
    </w:pPr>
    <w:rPr>
      <w:rFonts w:ascii="Times New Roman" w:eastAsia="Times New Roman" w:hAnsi="Times New Roman" w:cs="Times New Roman"/>
      <w:sz w:val="20"/>
      <w:szCs w:val="20"/>
      <w:lang w:eastAsia="de-DE"/>
    </w:rPr>
    <w:tblPr>
      <w:tblStyleRowBandSize w:val="1"/>
      <w:tblStyleColBandSize w:val="1"/>
      <w:tblBorders>
        <w:top w:val="single" w:sz="8" w:space="0" w:color="333333"/>
        <w:left w:val="single" w:sz="8" w:space="0" w:color="333333"/>
        <w:bottom w:val="single" w:sz="8" w:space="0" w:color="333333"/>
        <w:right w:val="single" w:sz="8" w:space="0" w:color="333333"/>
        <w:insideH w:val="single" w:sz="8" w:space="0" w:color="333333"/>
        <w:insideV w:val="single" w:sz="8" w:space="0" w:color="333333"/>
      </w:tblBorders>
    </w:tblPr>
    <w:tblStylePr w:type="firstRow">
      <w:pPr>
        <w:spacing w:before="0" w:after="0" w:line="240" w:lineRule="auto"/>
      </w:pPr>
      <w:rPr>
        <w:rFonts w:ascii="Calibri" w:eastAsia="Times New Roman" w:hAnsi="Calibri" w:cs="Times New Roman"/>
        <w:b/>
        <w:bCs/>
      </w:rPr>
      <w:tblPr/>
      <w:tcPr>
        <w:tcBorders>
          <w:top w:val="single" w:sz="8" w:space="0" w:color="333333"/>
          <w:left w:val="single" w:sz="8" w:space="0" w:color="333333"/>
          <w:bottom w:val="single" w:sz="18" w:space="0" w:color="333333"/>
          <w:right w:val="single" w:sz="8" w:space="0" w:color="333333"/>
          <w:insideH w:val="nil"/>
          <w:insideV w:val="single" w:sz="8" w:space="0" w:color="333333"/>
        </w:tcBorders>
      </w:tcPr>
    </w:tblStylePr>
    <w:tblStylePr w:type="lastRow">
      <w:pPr>
        <w:spacing w:before="0" w:after="0" w:line="240" w:lineRule="auto"/>
      </w:pPr>
      <w:rPr>
        <w:rFonts w:ascii="Calibri" w:eastAsia="Times New Roman" w:hAnsi="Calibri" w:cs="Times New Roman"/>
        <w:b/>
        <w:bCs/>
      </w:rPr>
      <w:tblPr/>
      <w:tcPr>
        <w:tcBorders>
          <w:top w:val="double" w:sz="6" w:space="0" w:color="333333"/>
          <w:left w:val="single" w:sz="8" w:space="0" w:color="333333"/>
          <w:bottom w:val="single" w:sz="8" w:space="0" w:color="333333"/>
          <w:right w:val="single" w:sz="8" w:space="0" w:color="333333"/>
          <w:insideH w:val="nil"/>
          <w:insideV w:val="single" w:sz="8" w:space="0" w:color="333333"/>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333333"/>
          <w:left w:val="single" w:sz="8" w:space="0" w:color="333333"/>
          <w:bottom w:val="single" w:sz="8" w:space="0" w:color="333333"/>
          <w:right w:val="single" w:sz="8" w:space="0" w:color="333333"/>
        </w:tcBorders>
      </w:tcPr>
    </w:tblStylePr>
    <w:tblStylePr w:type="band1Vert">
      <w:tblPr/>
      <w:tcPr>
        <w:tcBorders>
          <w:top w:val="single" w:sz="8" w:space="0" w:color="333333"/>
          <w:left w:val="single" w:sz="8" w:space="0" w:color="333333"/>
          <w:bottom w:val="single" w:sz="8" w:space="0" w:color="333333"/>
          <w:right w:val="single" w:sz="8" w:space="0" w:color="333333"/>
        </w:tcBorders>
        <w:shd w:val="clear" w:color="auto" w:fill="CCCCCC"/>
      </w:tcPr>
    </w:tblStylePr>
    <w:tblStylePr w:type="band1Horz">
      <w:tblPr/>
      <w:tcPr>
        <w:tcBorders>
          <w:top w:val="single" w:sz="8" w:space="0" w:color="333333"/>
          <w:left w:val="single" w:sz="8" w:space="0" w:color="333333"/>
          <w:bottom w:val="single" w:sz="8" w:space="0" w:color="333333"/>
          <w:right w:val="single" w:sz="8" w:space="0" w:color="333333"/>
          <w:insideV w:val="single" w:sz="8" w:space="0" w:color="333333"/>
        </w:tcBorders>
        <w:shd w:val="clear" w:color="auto" w:fill="CCCCCC"/>
      </w:tcPr>
    </w:tblStylePr>
    <w:tblStylePr w:type="band2Horz">
      <w:tblPr/>
      <w:tcPr>
        <w:tcBorders>
          <w:top w:val="single" w:sz="8" w:space="0" w:color="333333"/>
          <w:left w:val="single" w:sz="8" w:space="0" w:color="333333"/>
          <w:bottom w:val="single" w:sz="8" w:space="0" w:color="333333"/>
          <w:right w:val="single" w:sz="8" w:space="0" w:color="333333"/>
          <w:insideV w:val="single" w:sz="8" w:space="0" w:color="333333"/>
        </w:tcBorders>
      </w:tcPr>
    </w:tblStylePr>
  </w:style>
  <w:style w:type="table" w:customStyle="1" w:styleId="HelleListe1">
    <w:name w:val="Helle Liste1"/>
    <w:basedOn w:val="NormaleTabelle"/>
    <w:next w:val="HelleListe"/>
    <w:uiPriority w:val="61"/>
    <w:semiHidden/>
    <w:unhideWhenUsed/>
    <w:rsid w:val="00564942"/>
    <w:pPr>
      <w:spacing w:after="0" w:line="240" w:lineRule="auto"/>
      <w:jc w:val="both"/>
    </w:pPr>
    <w:rPr>
      <w:rFonts w:ascii="Times New Roman" w:eastAsia="Times New Roman" w:hAnsi="Times New Roman" w:cs="Times New Roman"/>
      <w:sz w:val="20"/>
      <w:szCs w:val="20"/>
      <w:lang w:eastAsia="de-DE"/>
    </w:rPr>
    <w:tblPr>
      <w:tblStyleRowBandSize w:val="1"/>
      <w:tblStyleColBandSize w:val="1"/>
      <w:tblBorders>
        <w:top w:val="single" w:sz="8" w:space="0" w:color="333333"/>
        <w:left w:val="single" w:sz="8" w:space="0" w:color="333333"/>
        <w:bottom w:val="single" w:sz="8" w:space="0" w:color="333333"/>
        <w:right w:val="single" w:sz="8" w:space="0" w:color="333333"/>
      </w:tblBorders>
    </w:tblPr>
    <w:tblStylePr w:type="firstRow">
      <w:pPr>
        <w:spacing w:before="0" w:after="0" w:line="240" w:lineRule="auto"/>
      </w:pPr>
      <w:rPr>
        <w:b/>
        <w:bCs/>
        <w:color w:val="FFFFFF"/>
      </w:rPr>
      <w:tblPr/>
      <w:tcPr>
        <w:shd w:val="clear" w:color="auto" w:fill="333333"/>
      </w:tcPr>
    </w:tblStylePr>
    <w:tblStylePr w:type="lastRow">
      <w:pPr>
        <w:spacing w:before="0" w:after="0" w:line="240" w:lineRule="auto"/>
      </w:pPr>
      <w:rPr>
        <w:b/>
        <w:bCs/>
      </w:rPr>
      <w:tblPr/>
      <w:tcPr>
        <w:tcBorders>
          <w:top w:val="double" w:sz="6" w:space="0" w:color="333333"/>
          <w:left w:val="single" w:sz="8" w:space="0" w:color="333333"/>
          <w:bottom w:val="single" w:sz="8" w:space="0" w:color="333333"/>
          <w:right w:val="single" w:sz="8" w:space="0" w:color="333333"/>
        </w:tcBorders>
      </w:tcPr>
    </w:tblStylePr>
    <w:tblStylePr w:type="firstCol">
      <w:rPr>
        <w:b/>
        <w:bCs/>
      </w:rPr>
    </w:tblStylePr>
    <w:tblStylePr w:type="lastCol">
      <w:rPr>
        <w:b/>
        <w:bCs/>
      </w:rPr>
    </w:tblStylePr>
    <w:tblStylePr w:type="band1Vert">
      <w:tblPr/>
      <w:tcPr>
        <w:tcBorders>
          <w:top w:val="single" w:sz="8" w:space="0" w:color="333333"/>
          <w:left w:val="single" w:sz="8" w:space="0" w:color="333333"/>
          <w:bottom w:val="single" w:sz="8" w:space="0" w:color="333333"/>
          <w:right w:val="single" w:sz="8" w:space="0" w:color="333333"/>
        </w:tcBorders>
      </w:tcPr>
    </w:tblStylePr>
    <w:tblStylePr w:type="band1Horz">
      <w:tblPr/>
      <w:tcPr>
        <w:tcBorders>
          <w:top w:val="single" w:sz="8" w:space="0" w:color="333333"/>
          <w:left w:val="single" w:sz="8" w:space="0" w:color="333333"/>
          <w:bottom w:val="single" w:sz="8" w:space="0" w:color="333333"/>
          <w:right w:val="single" w:sz="8" w:space="0" w:color="333333"/>
        </w:tcBorders>
      </w:tcPr>
    </w:tblStylePr>
  </w:style>
  <w:style w:type="table" w:customStyle="1" w:styleId="HelleSchattierung1">
    <w:name w:val="Helle Schattierung1"/>
    <w:basedOn w:val="NormaleTabelle"/>
    <w:next w:val="HelleSchattierung"/>
    <w:uiPriority w:val="60"/>
    <w:semiHidden/>
    <w:unhideWhenUsed/>
    <w:rsid w:val="00564942"/>
    <w:pPr>
      <w:spacing w:after="0" w:line="240" w:lineRule="auto"/>
      <w:jc w:val="both"/>
    </w:pPr>
    <w:rPr>
      <w:rFonts w:ascii="Times New Roman" w:eastAsia="Times New Roman" w:hAnsi="Times New Roman" w:cs="Times New Roman"/>
      <w:color w:val="262626"/>
      <w:sz w:val="20"/>
      <w:szCs w:val="20"/>
      <w:lang w:eastAsia="de-DE"/>
    </w:rPr>
    <w:tblPr>
      <w:tblStyleRowBandSize w:val="1"/>
      <w:tblStyleColBandSize w:val="1"/>
      <w:tblBorders>
        <w:top w:val="single" w:sz="8" w:space="0" w:color="333333"/>
        <w:bottom w:val="single" w:sz="8" w:space="0" w:color="333333"/>
      </w:tblBorders>
    </w:tblPr>
    <w:tblStylePr w:type="firstRow">
      <w:pPr>
        <w:spacing w:before="0" w:after="0" w:line="240" w:lineRule="auto"/>
      </w:pPr>
      <w:rPr>
        <w:b/>
        <w:bCs/>
      </w:rPr>
      <w:tblPr/>
      <w:tcPr>
        <w:tcBorders>
          <w:top w:val="single" w:sz="8" w:space="0" w:color="333333"/>
          <w:left w:val="nil"/>
          <w:bottom w:val="single" w:sz="8" w:space="0" w:color="333333"/>
          <w:right w:val="nil"/>
          <w:insideH w:val="nil"/>
          <w:insideV w:val="nil"/>
        </w:tcBorders>
      </w:tcPr>
    </w:tblStylePr>
    <w:tblStylePr w:type="lastRow">
      <w:pPr>
        <w:spacing w:before="0" w:after="0" w:line="240" w:lineRule="auto"/>
      </w:pPr>
      <w:rPr>
        <w:b/>
        <w:bCs/>
      </w:rPr>
      <w:tblPr/>
      <w:tcPr>
        <w:tcBorders>
          <w:top w:val="single" w:sz="8" w:space="0" w:color="333333"/>
          <w:left w:val="nil"/>
          <w:bottom w:val="single" w:sz="8" w:space="0" w:color="33333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CCCC"/>
      </w:tcPr>
    </w:tblStylePr>
    <w:tblStylePr w:type="band1Horz">
      <w:tblPr/>
      <w:tcPr>
        <w:tcBorders>
          <w:left w:val="nil"/>
          <w:right w:val="nil"/>
          <w:insideH w:val="nil"/>
          <w:insideV w:val="nil"/>
        </w:tcBorders>
        <w:shd w:val="clear" w:color="auto" w:fill="CCCCCC"/>
      </w:tcPr>
    </w:tblStylePr>
  </w:style>
  <w:style w:type="character" w:styleId="HTMLVariable">
    <w:name w:val="HTML Variable"/>
    <w:basedOn w:val="Absatz-Standardschriftart"/>
    <w:semiHidden/>
    <w:unhideWhenUsed/>
    <w:rsid w:val="00564942"/>
    <w:rPr>
      <w:i/>
      <w:iCs/>
    </w:rPr>
  </w:style>
  <w:style w:type="character" w:styleId="HTMLSchreibmaschine">
    <w:name w:val="HTML Typewriter"/>
    <w:basedOn w:val="Absatz-Standardschriftart"/>
    <w:semiHidden/>
    <w:unhideWhenUsed/>
    <w:rsid w:val="00564942"/>
    <w:rPr>
      <w:rFonts w:ascii="Consolas" w:hAnsi="Consolas"/>
      <w:sz w:val="20"/>
      <w:szCs w:val="20"/>
    </w:rPr>
  </w:style>
  <w:style w:type="character" w:styleId="HTMLBeispiel">
    <w:name w:val="HTML Sample"/>
    <w:basedOn w:val="Absatz-Standardschriftart"/>
    <w:semiHidden/>
    <w:unhideWhenUsed/>
    <w:rsid w:val="00564942"/>
    <w:rPr>
      <w:rFonts w:ascii="Consolas" w:hAnsi="Consolas"/>
      <w:sz w:val="24"/>
      <w:szCs w:val="24"/>
    </w:rPr>
  </w:style>
  <w:style w:type="paragraph" w:customStyle="1" w:styleId="HTMLVorformatiert1">
    <w:name w:val="HTML Vorformatiert1"/>
    <w:basedOn w:val="Standard"/>
    <w:next w:val="HTMLVorformatiert"/>
    <w:link w:val="HTMLVorformatiertZchn"/>
    <w:semiHidden/>
    <w:unhideWhenUsed/>
    <w:rsid w:val="00564942"/>
    <w:pPr>
      <w:spacing w:after="0" w:line="240" w:lineRule="auto"/>
    </w:pPr>
    <w:rPr>
      <w:rFonts w:ascii="Consolas" w:hAnsi="Consolas" w:cs="Arial"/>
      <w:color w:val="333333"/>
      <w:lang w:val="en-US"/>
    </w:rPr>
  </w:style>
  <w:style w:type="character" w:customStyle="1" w:styleId="HTMLVorformatiertZchn">
    <w:name w:val="HTML Vorformatiert Zchn"/>
    <w:basedOn w:val="Absatz-Standardschriftart"/>
    <w:link w:val="HTMLVorformatiert1"/>
    <w:semiHidden/>
    <w:rsid w:val="00564942"/>
    <w:rPr>
      <w:rFonts w:ascii="Consolas" w:hAnsi="Consolas" w:cs="Arial"/>
      <w:color w:val="333333"/>
      <w:lang w:val="en-US"/>
    </w:rPr>
  </w:style>
  <w:style w:type="character" w:styleId="HTMLTastatur">
    <w:name w:val="HTML Keyboard"/>
    <w:basedOn w:val="Absatz-Standardschriftart"/>
    <w:semiHidden/>
    <w:unhideWhenUsed/>
    <w:rsid w:val="00564942"/>
    <w:rPr>
      <w:rFonts w:ascii="Consolas" w:hAnsi="Consolas"/>
      <w:sz w:val="20"/>
      <w:szCs w:val="20"/>
    </w:rPr>
  </w:style>
  <w:style w:type="character" w:styleId="HTMLDefinition">
    <w:name w:val="HTML Definition"/>
    <w:basedOn w:val="Absatz-Standardschriftart"/>
    <w:semiHidden/>
    <w:unhideWhenUsed/>
    <w:rsid w:val="00564942"/>
    <w:rPr>
      <w:i/>
      <w:iCs/>
    </w:rPr>
  </w:style>
  <w:style w:type="character" w:styleId="HTMLCode">
    <w:name w:val="HTML Code"/>
    <w:basedOn w:val="Absatz-Standardschriftart"/>
    <w:semiHidden/>
    <w:unhideWhenUsed/>
    <w:rsid w:val="00564942"/>
    <w:rPr>
      <w:rFonts w:ascii="Consolas" w:hAnsi="Consolas"/>
      <w:sz w:val="20"/>
      <w:szCs w:val="20"/>
    </w:rPr>
  </w:style>
  <w:style w:type="character" w:styleId="HTMLZitat">
    <w:name w:val="HTML Cite"/>
    <w:basedOn w:val="Absatz-Standardschriftart"/>
    <w:semiHidden/>
    <w:unhideWhenUsed/>
    <w:rsid w:val="00564942"/>
    <w:rPr>
      <w:i/>
      <w:iCs/>
    </w:rPr>
  </w:style>
  <w:style w:type="paragraph" w:customStyle="1" w:styleId="HTMLAdresse1">
    <w:name w:val="HTML Adresse1"/>
    <w:basedOn w:val="Standard"/>
    <w:next w:val="HTMLAdresse"/>
    <w:link w:val="HTMLAdresseZchn"/>
    <w:semiHidden/>
    <w:unhideWhenUsed/>
    <w:rsid w:val="00564942"/>
    <w:pPr>
      <w:spacing w:after="0" w:line="240" w:lineRule="auto"/>
    </w:pPr>
    <w:rPr>
      <w:rFonts w:ascii="Calibri Light" w:hAnsi="Calibri Light" w:cs="Arial"/>
      <w:i/>
      <w:iCs/>
      <w:color w:val="333333"/>
      <w:lang w:val="en-US"/>
    </w:rPr>
  </w:style>
  <w:style w:type="character" w:customStyle="1" w:styleId="HTMLAdresseZchn">
    <w:name w:val="HTML Adresse Zchn"/>
    <w:basedOn w:val="Absatz-Standardschriftart"/>
    <w:link w:val="HTMLAdresse1"/>
    <w:semiHidden/>
    <w:rsid w:val="00564942"/>
    <w:rPr>
      <w:rFonts w:ascii="Calibri Light" w:hAnsi="Calibri Light" w:cs="Arial"/>
      <w:i/>
      <w:iCs/>
      <w:color w:val="333333"/>
      <w:lang w:val="en-US"/>
    </w:rPr>
  </w:style>
  <w:style w:type="character" w:styleId="HTMLAkronym">
    <w:name w:val="HTML Acronym"/>
    <w:basedOn w:val="Absatz-Standardschriftart"/>
    <w:semiHidden/>
    <w:unhideWhenUsed/>
    <w:rsid w:val="00564942"/>
  </w:style>
  <w:style w:type="paragraph" w:customStyle="1" w:styleId="StandardWeb1">
    <w:name w:val="Standard (Web)1"/>
    <w:basedOn w:val="Standard"/>
    <w:next w:val="StandardWeb"/>
    <w:semiHidden/>
    <w:unhideWhenUsed/>
    <w:rsid w:val="00564942"/>
    <w:pPr>
      <w:spacing w:after="120" w:line="240" w:lineRule="auto"/>
    </w:pPr>
    <w:rPr>
      <w:rFonts w:ascii="Times New Roman" w:eastAsia="Times New Roman" w:hAnsi="Times New Roman" w:cs="Times New Roman"/>
      <w:color w:val="333333"/>
      <w:sz w:val="24"/>
      <w:szCs w:val="24"/>
      <w:lang w:val="en-US" w:eastAsia="de-DE"/>
    </w:rPr>
  </w:style>
  <w:style w:type="paragraph" w:customStyle="1" w:styleId="NurText1">
    <w:name w:val="Nur Text1"/>
    <w:basedOn w:val="Standard"/>
    <w:next w:val="NurText"/>
    <w:link w:val="NurTextZchn"/>
    <w:semiHidden/>
    <w:unhideWhenUsed/>
    <w:rsid w:val="00564942"/>
    <w:pPr>
      <w:spacing w:after="0" w:line="240" w:lineRule="auto"/>
    </w:pPr>
    <w:rPr>
      <w:rFonts w:ascii="Consolas" w:hAnsi="Consolas" w:cs="Arial"/>
      <w:color w:val="333333"/>
      <w:sz w:val="21"/>
      <w:szCs w:val="21"/>
      <w:lang w:val="en-US"/>
    </w:rPr>
  </w:style>
  <w:style w:type="character" w:customStyle="1" w:styleId="NurTextZchn">
    <w:name w:val="Nur Text Zchn"/>
    <w:basedOn w:val="Absatz-Standardschriftart"/>
    <w:link w:val="NurText1"/>
    <w:semiHidden/>
    <w:rsid w:val="00564942"/>
    <w:rPr>
      <w:rFonts w:ascii="Consolas" w:hAnsi="Consolas" w:cs="Arial"/>
      <w:color w:val="333333"/>
      <w:sz w:val="21"/>
      <w:szCs w:val="21"/>
      <w:lang w:val="en-US"/>
    </w:rPr>
  </w:style>
  <w:style w:type="character" w:styleId="Hervorhebung">
    <w:name w:val="Emphasis"/>
    <w:basedOn w:val="Absatz-Standardschriftart"/>
    <w:rsid w:val="00564942"/>
    <w:rPr>
      <w:i/>
      <w:iCs/>
    </w:rPr>
  </w:style>
  <w:style w:type="character" w:customStyle="1" w:styleId="BesuchterLink1">
    <w:name w:val="BesuchterLink1"/>
    <w:basedOn w:val="Absatz-Standardschriftart"/>
    <w:uiPriority w:val="99"/>
    <w:semiHidden/>
    <w:unhideWhenUsed/>
    <w:rsid w:val="00564942"/>
    <w:rPr>
      <w:color w:val="004992"/>
      <w:u w:val="single"/>
    </w:rPr>
  </w:style>
  <w:style w:type="paragraph" w:customStyle="1" w:styleId="Blocktext1">
    <w:name w:val="Blocktext1"/>
    <w:basedOn w:val="Standard"/>
    <w:next w:val="Blocktext"/>
    <w:semiHidden/>
    <w:unhideWhenUsed/>
    <w:rsid w:val="00564942"/>
    <w:pPr>
      <w:pBdr>
        <w:top w:val="single" w:sz="2" w:space="10" w:color="004992"/>
        <w:left w:val="single" w:sz="2" w:space="10" w:color="004992"/>
        <w:bottom w:val="single" w:sz="2" w:space="10" w:color="004992"/>
        <w:right w:val="single" w:sz="2" w:space="10" w:color="004992"/>
      </w:pBdr>
      <w:spacing w:after="120" w:line="240" w:lineRule="auto"/>
      <w:ind w:left="1152" w:right="1152"/>
    </w:pPr>
    <w:rPr>
      <w:rFonts w:eastAsia="Times New Roman"/>
      <w:i/>
      <w:iCs/>
      <w:color w:val="004992"/>
      <w:sz w:val="20"/>
      <w:szCs w:val="20"/>
      <w:lang w:val="en-US" w:eastAsia="de-DE"/>
    </w:rPr>
  </w:style>
  <w:style w:type="paragraph" w:customStyle="1" w:styleId="Textkrper-Einzug31">
    <w:name w:val="Textkörper-Einzug 31"/>
    <w:basedOn w:val="Standard"/>
    <w:next w:val="Textkrper-Einzug3"/>
    <w:link w:val="Textkrper-Einzug3Zchn"/>
    <w:semiHidden/>
    <w:unhideWhenUsed/>
    <w:rsid w:val="00564942"/>
    <w:pPr>
      <w:spacing w:after="120" w:line="240" w:lineRule="auto"/>
      <w:ind w:left="283"/>
    </w:pPr>
    <w:rPr>
      <w:rFonts w:ascii="Calibri Light" w:hAnsi="Calibri Light" w:cs="Arial"/>
      <w:color w:val="333333"/>
      <w:sz w:val="16"/>
      <w:szCs w:val="16"/>
      <w:lang w:val="en-US"/>
    </w:rPr>
  </w:style>
  <w:style w:type="character" w:customStyle="1" w:styleId="Textkrper-Einzug3Zchn">
    <w:name w:val="Textkörper-Einzug 3 Zchn"/>
    <w:basedOn w:val="Absatz-Standardschriftart"/>
    <w:link w:val="Textkrper-Einzug31"/>
    <w:semiHidden/>
    <w:rsid w:val="00564942"/>
    <w:rPr>
      <w:rFonts w:ascii="Calibri Light" w:hAnsi="Calibri Light" w:cs="Arial"/>
      <w:color w:val="333333"/>
      <w:sz w:val="16"/>
      <w:szCs w:val="16"/>
      <w:lang w:val="en-US"/>
    </w:rPr>
  </w:style>
  <w:style w:type="paragraph" w:customStyle="1" w:styleId="Textkrper-Einzug21">
    <w:name w:val="Textkörper-Einzug 21"/>
    <w:basedOn w:val="Standard"/>
    <w:next w:val="Textkrper-Einzug2"/>
    <w:link w:val="Textkrper-Einzug2Zchn"/>
    <w:semiHidden/>
    <w:unhideWhenUsed/>
    <w:rsid w:val="00564942"/>
    <w:pPr>
      <w:spacing w:after="120" w:line="480" w:lineRule="auto"/>
      <w:ind w:left="283"/>
    </w:pPr>
    <w:rPr>
      <w:rFonts w:ascii="Calibri Light" w:hAnsi="Calibri Light" w:cs="Arial"/>
      <w:color w:val="333333"/>
      <w:lang w:val="en-US"/>
    </w:rPr>
  </w:style>
  <w:style w:type="character" w:customStyle="1" w:styleId="Textkrper-Einzug2Zchn">
    <w:name w:val="Textkörper-Einzug 2 Zchn"/>
    <w:basedOn w:val="Absatz-Standardschriftart"/>
    <w:link w:val="Textkrper-Einzug21"/>
    <w:semiHidden/>
    <w:rsid w:val="00564942"/>
    <w:rPr>
      <w:rFonts w:ascii="Calibri Light" w:hAnsi="Calibri Light" w:cs="Arial"/>
      <w:color w:val="333333"/>
      <w:lang w:val="en-US"/>
    </w:rPr>
  </w:style>
  <w:style w:type="paragraph" w:customStyle="1" w:styleId="Textkrper31">
    <w:name w:val="Textkörper 31"/>
    <w:basedOn w:val="Standard"/>
    <w:next w:val="Textkrper3"/>
    <w:link w:val="Textkrper3Zchn"/>
    <w:semiHidden/>
    <w:unhideWhenUsed/>
    <w:rsid w:val="00564942"/>
    <w:pPr>
      <w:spacing w:after="120" w:line="240" w:lineRule="auto"/>
    </w:pPr>
    <w:rPr>
      <w:rFonts w:ascii="Calibri Light" w:hAnsi="Calibri Light" w:cs="Arial"/>
      <w:color w:val="333333"/>
      <w:sz w:val="16"/>
      <w:szCs w:val="16"/>
      <w:lang w:val="en-US"/>
    </w:rPr>
  </w:style>
  <w:style w:type="character" w:customStyle="1" w:styleId="Textkrper3Zchn">
    <w:name w:val="Textkörper 3 Zchn"/>
    <w:basedOn w:val="Absatz-Standardschriftart"/>
    <w:link w:val="Textkrper31"/>
    <w:semiHidden/>
    <w:rsid w:val="00564942"/>
    <w:rPr>
      <w:rFonts w:ascii="Calibri Light" w:hAnsi="Calibri Light" w:cs="Arial"/>
      <w:color w:val="333333"/>
      <w:sz w:val="16"/>
      <w:szCs w:val="16"/>
      <w:lang w:val="en-US"/>
    </w:rPr>
  </w:style>
  <w:style w:type="paragraph" w:customStyle="1" w:styleId="Textkrper21">
    <w:name w:val="Textkörper 21"/>
    <w:basedOn w:val="Standard"/>
    <w:next w:val="Textkrper2"/>
    <w:link w:val="Textkrper2Zchn"/>
    <w:semiHidden/>
    <w:unhideWhenUsed/>
    <w:rsid w:val="00564942"/>
    <w:pPr>
      <w:spacing w:after="120" w:line="480" w:lineRule="auto"/>
    </w:pPr>
    <w:rPr>
      <w:rFonts w:ascii="Calibri Light" w:hAnsi="Calibri Light" w:cs="Arial"/>
      <w:color w:val="333333"/>
      <w:lang w:val="en-US"/>
    </w:rPr>
  </w:style>
  <w:style w:type="character" w:customStyle="1" w:styleId="Textkrper2Zchn">
    <w:name w:val="Textkörper 2 Zchn"/>
    <w:basedOn w:val="Absatz-Standardschriftart"/>
    <w:link w:val="Textkrper21"/>
    <w:semiHidden/>
    <w:rsid w:val="00564942"/>
    <w:rPr>
      <w:rFonts w:ascii="Calibri Light" w:hAnsi="Calibri Light" w:cs="Arial"/>
      <w:color w:val="333333"/>
      <w:lang w:val="en-US"/>
    </w:rPr>
  </w:style>
  <w:style w:type="paragraph" w:customStyle="1" w:styleId="Fu-Endnotenberschrift1">
    <w:name w:val="Fuß/-Endnotenüberschrift1"/>
    <w:basedOn w:val="Standard"/>
    <w:next w:val="Standard"/>
    <w:semiHidden/>
    <w:unhideWhenUsed/>
    <w:rsid w:val="00564942"/>
    <w:pPr>
      <w:spacing w:after="0" w:line="240" w:lineRule="auto"/>
    </w:pPr>
    <w:rPr>
      <w:rFonts w:eastAsia="Times New Roman" w:cs="Arial"/>
      <w:color w:val="333333"/>
      <w:sz w:val="20"/>
      <w:szCs w:val="20"/>
      <w:lang w:val="en-US" w:eastAsia="de-DE"/>
    </w:rPr>
  </w:style>
  <w:style w:type="character" w:customStyle="1" w:styleId="Fu-EndnotenberschriftZchn">
    <w:name w:val="Fuß/-Endnotenüberschrift Zchn"/>
    <w:basedOn w:val="Absatz-Standardschriftart"/>
    <w:link w:val="Fu-Endnotenberschrift"/>
    <w:semiHidden/>
    <w:rsid w:val="00564942"/>
    <w:rPr>
      <w:rFonts w:ascii="Calibri Light" w:hAnsi="Calibri Light" w:cs="Arial"/>
      <w:color w:val="333333"/>
      <w:lang w:val="en-US"/>
    </w:rPr>
  </w:style>
  <w:style w:type="paragraph" w:customStyle="1" w:styleId="Textkrper-Zeileneinzug1">
    <w:name w:val="Textkörper-Zeileneinzug1"/>
    <w:basedOn w:val="Standard"/>
    <w:next w:val="Textkrper-Zeileneinzug"/>
    <w:link w:val="Textkrper-ZeileneinzugZchn"/>
    <w:semiHidden/>
    <w:unhideWhenUsed/>
    <w:rsid w:val="00564942"/>
    <w:pPr>
      <w:spacing w:after="120" w:line="240" w:lineRule="auto"/>
      <w:ind w:left="283"/>
    </w:pPr>
    <w:rPr>
      <w:rFonts w:ascii="Calibri Light" w:hAnsi="Calibri Light" w:cs="Arial"/>
      <w:color w:val="333333"/>
      <w:lang w:val="en-US"/>
    </w:rPr>
  </w:style>
  <w:style w:type="character" w:customStyle="1" w:styleId="Textkrper-ZeileneinzugZchn">
    <w:name w:val="Textkörper-Zeileneinzug Zchn"/>
    <w:basedOn w:val="Absatz-Standardschriftart"/>
    <w:link w:val="Textkrper-Zeileneinzug1"/>
    <w:semiHidden/>
    <w:rsid w:val="00564942"/>
    <w:rPr>
      <w:rFonts w:ascii="Calibri Light" w:hAnsi="Calibri Light" w:cs="Arial"/>
      <w:color w:val="333333"/>
      <w:lang w:val="en-US"/>
    </w:rPr>
  </w:style>
  <w:style w:type="paragraph" w:customStyle="1" w:styleId="Textkrper-Erstzeileneinzug21">
    <w:name w:val="Textkörper-Erstzeileneinzug 21"/>
    <w:basedOn w:val="Textkrper-Zeileneinzug"/>
    <w:next w:val="Textkrper-Erstzeileneinzug2"/>
    <w:link w:val="Textkrper-Erstzeileneinzug2Zchn"/>
    <w:semiHidden/>
    <w:unhideWhenUsed/>
    <w:rsid w:val="00564942"/>
    <w:pPr>
      <w:spacing w:line="240" w:lineRule="auto"/>
      <w:ind w:left="360" w:firstLine="360"/>
    </w:pPr>
    <w:rPr>
      <w:rFonts w:ascii="Calibri Light" w:hAnsi="Calibri Light" w:cs="Arial"/>
      <w:color w:val="333333"/>
      <w:lang w:val="en-US"/>
    </w:rPr>
  </w:style>
  <w:style w:type="character" w:customStyle="1" w:styleId="Textkrper-Erstzeileneinzug2Zchn">
    <w:name w:val="Textkörper-Erstzeileneinzug 2 Zchn"/>
    <w:basedOn w:val="Textkrper-ZeileneinzugZchn"/>
    <w:link w:val="Textkrper-Erstzeileneinzug21"/>
    <w:semiHidden/>
    <w:rsid w:val="00564942"/>
    <w:rPr>
      <w:rFonts w:ascii="Calibri Light" w:hAnsi="Calibri Light" w:cs="Arial"/>
      <w:color w:val="333333"/>
      <w:lang w:val="en-US"/>
    </w:rPr>
  </w:style>
  <w:style w:type="paragraph" w:customStyle="1" w:styleId="Textkrper1">
    <w:name w:val="Textkörper1"/>
    <w:basedOn w:val="Standard"/>
    <w:next w:val="Textkrper"/>
    <w:link w:val="TextkrperZchn"/>
    <w:semiHidden/>
    <w:unhideWhenUsed/>
    <w:rsid w:val="00564942"/>
    <w:pPr>
      <w:spacing w:after="120" w:line="240" w:lineRule="auto"/>
    </w:pPr>
    <w:rPr>
      <w:rFonts w:ascii="Calibri Light" w:hAnsi="Calibri Light" w:cs="Arial"/>
      <w:color w:val="333333"/>
      <w:lang w:val="en-US"/>
    </w:rPr>
  </w:style>
  <w:style w:type="character" w:customStyle="1" w:styleId="TextkrperZchn">
    <w:name w:val="Textkörper Zchn"/>
    <w:basedOn w:val="Absatz-Standardschriftart"/>
    <w:link w:val="Textkrper1"/>
    <w:semiHidden/>
    <w:rsid w:val="00564942"/>
    <w:rPr>
      <w:rFonts w:ascii="Calibri Light" w:hAnsi="Calibri Light" w:cs="Arial"/>
      <w:color w:val="333333"/>
      <w:lang w:val="en-US"/>
    </w:rPr>
  </w:style>
  <w:style w:type="paragraph" w:customStyle="1" w:styleId="Textkrper-Erstzeileneinzug1">
    <w:name w:val="Textkörper-Erstzeileneinzug1"/>
    <w:basedOn w:val="Textkrper"/>
    <w:next w:val="Textkrper-Erstzeileneinzug"/>
    <w:link w:val="Textkrper-ErstzeileneinzugZchn"/>
    <w:rsid w:val="00564942"/>
    <w:pPr>
      <w:spacing w:line="240" w:lineRule="auto"/>
      <w:ind w:firstLine="360"/>
    </w:pPr>
    <w:rPr>
      <w:rFonts w:ascii="Calibri Light" w:hAnsi="Calibri Light" w:cs="Arial"/>
      <w:color w:val="333333"/>
      <w:lang w:val="en-US"/>
    </w:rPr>
  </w:style>
  <w:style w:type="character" w:customStyle="1" w:styleId="Textkrper-ErstzeileneinzugZchn">
    <w:name w:val="Textkörper-Erstzeileneinzug Zchn"/>
    <w:basedOn w:val="TextkrperZchn"/>
    <w:link w:val="Textkrper-Erstzeileneinzug1"/>
    <w:rsid w:val="00564942"/>
    <w:rPr>
      <w:rFonts w:ascii="Calibri Light" w:hAnsi="Calibri Light" w:cs="Arial"/>
      <w:color w:val="333333"/>
      <w:lang w:val="en-US"/>
    </w:rPr>
  </w:style>
  <w:style w:type="paragraph" w:customStyle="1" w:styleId="Datum1">
    <w:name w:val="Datum1"/>
    <w:basedOn w:val="Standard"/>
    <w:next w:val="Standard"/>
    <w:rsid w:val="00564942"/>
    <w:pPr>
      <w:spacing w:after="120" w:line="240" w:lineRule="auto"/>
    </w:pPr>
    <w:rPr>
      <w:rFonts w:eastAsia="Times New Roman" w:cs="Arial"/>
      <w:color w:val="333333"/>
      <w:sz w:val="20"/>
      <w:szCs w:val="20"/>
      <w:lang w:val="en-US" w:eastAsia="de-DE"/>
    </w:rPr>
  </w:style>
  <w:style w:type="character" w:customStyle="1" w:styleId="DatumZchn">
    <w:name w:val="Datum Zchn"/>
    <w:basedOn w:val="Absatz-Standardschriftart"/>
    <w:link w:val="Datum"/>
    <w:rsid w:val="00564942"/>
    <w:rPr>
      <w:rFonts w:ascii="Calibri Light" w:hAnsi="Calibri Light" w:cs="Arial"/>
      <w:color w:val="333333"/>
      <w:lang w:val="en-US"/>
    </w:rPr>
  </w:style>
  <w:style w:type="paragraph" w:customStyle="1" w:styleId="Anrede1">
    <w:name w:val="Anrede1"/>
    <w:basedOn w:val="Standard"/>
    <w:next w:val="Standard"/>
    <w:semiHidden/>
    <w:unhideWhenUsed/>
    <w:rsid w:val="00564942"/>
    <w:pPr>
      <w:spacing w:after="120" w:line="240" w:lineRule="auto"/>
    </w:pPr>
    <w:rPr>
      <w:rFonts w:eastAsia="Times New Roman" w:cs="Arial"/>
      <w:color w:val="333333"/>
      <w:sz w:val="20"/>
      <w:szCs w:val="20"/>
      <w:lang w:val="en-US" w:eastAsia="de-DE"/>
    </w:rPr>
  </w:style>
  <w:style w:type="character" w:customStyle="1" w:styleId="AnredeZchn">
    <w:name w:val="Anrede Zchn"/>
    <w:basedOn w:val="Absatz-Standardschriftart"/>
    <w:link w:val="Anrede"/>
    <w:semiHidden/>
    <w:rsid w:val="00564942"/>
    <w:rPr>
      <w:rFonts w:ascii="Calibri Light" w:hAnsi="Calibri Light" w:cs="Arial"/>
      <w:color w:val="333333"/>
      <w:lang w:val="en-US"/>
    </w:rPr>
  </w:style>
  <w:style w:type="paragraph" w:customStyle="1" w:styleId="Untertitel1">
    <w:name w:val="Untertitel1"/>
    <w:basedOn w:val="Standard"/>
    <w:next w:val="Standard"/>
    <w:rsid w:val="00564942"/>
    <w:pPr>
      <w:numPr>
        <w:ilvl w:val="1"/>
      </w:numPr>
      <w:spacing w:line="240" w:lineRule="auto"/>
    </w:pPr>
    <w:rPr>
      <w:rFonts w:eastAsia="Times New Roman"/>
      <w:color w:val="7B7B7B"/>
      <w:spacing w:val="15"/>
      <w:lang w:val="en-US" w:eastAsia="de-DE"/>
    </w:rPr>
  </w:style>
  <w:style w:type="character" w:customStyle="1" w:styleId="UntertitelZchn">
    <w:name w:val="Untertitel Zchn"/>
    <w:basedOn w:val="Absatz-Standardschriftart"/>
    <w:link w:val="Untertitel"/>
    <w:rsid w:val="00564942"/>
    <w:rPr>
      <w:rFonts w:ascii="Calibri Light" w:eastAsia="Times New Roman" w:hAnsi="Calibri Light" w:cs="Times New Roman"/>
      <w:color w:val="7B7B7B"/>
      <w:spacing w:val="15"/>
      <w:sz w:val="22"/>
      <w:szCs w:val="22"/>
      <w:lang w:val="en-US"/>
    </w:rPr>
  </w:style>
  <w:style w:type="paragraph" w:customStyle="1" w:styleId="Nachrichtenkopf1">
    <w:name w:val="Nachrichtenkopf1"/>
    <w:basedOn w:val="Standard"/>
    <w:next w:val="Nachrichtenkopf"/>
    <w:link w:val="NachrichtenkopfZchn"/>
    <w:semiHidden/>
    <w:unhideWhenUsed/>
    <w:rsid w:val="0056494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libri" w:eastAsia="Times New Roman" w:hAnsi="Calibri" w:cs="Times New Roman"/>
      <w:color w:val="333333"/>
      <w:sz w:val="24"/>
      <w:szCs w:val="24"/>
      <w:lang w:val="en-US"/>
    </w:rPr>
  </w:style>
  <w:style w:type="character" w:customStyle="1" w:styleId="NachrichtenkopfZchn">
    <w:name w:val="Nachrichtenkopf Zchn"/>
    <w:basedOn w:val="Absatz-Standardschriftart"/>
    <w:link w:val="Nachrichtenkopf1"/>
    <w:semiHidden/>
    <w:rsid w:val="00564942"/>
    <w:rPr>
      <w:rFonts w:ascii="Calibri" w:eastAsia="Times New Roman" w:hAnsi="Calibri" w:cs="Times New Roman"/>
      <w:color w:val="333333"/>
      <w:sz w:val="24"/>
      <w:szCs w:val="24"/>
      <w:shd w:val="pct20" w:color="auto" w:fill="auto"/>
      <w:lang w:val="en-US"/>
    </w:rPr>
  </w:style>
  <w:style w:type="paragraph" w:customStyle="1" w:styleId="Listenfortsetzung51">
    <w:name w:val="Listenfortsetzung 51"/>
    <w:basedOn w:val="Standard"/>
    <w:next w:val="Listenfortsetzung5"/>
    <w:semiHidden/>
    <w:unhideWhenUsed/>
    <w:rsid w:val="00564942"/>
    <w:pPr>
      <w:spacing w:after="120" w:line="240" w:lineRule="auto"/>
      <w:ind w:left="1415"/>
      <w:contextualSpacing/>
    </w:pPr>
    <w:rPr>
      <w:rFonts w:eastAsia="Times New Roman" w:cs="Arial"/>
      <w:color w:val="333333"/>
      <w:sz w:val="20"/>
      <w:szCs w:val="20"/>
      <w:lang w:val="en-US" w:eastAsia="de-DE"/>
    </w:rPr>
  </w:style>
  <w:style w:type="paragraph" w:customStyle="1" w:styleId="Listenfortsetzung41">
    <w:name w:val="Listenfortsetzung 41"/>
    <w:basedOn w:val="Standard"/>
    <w:next w:val="Listenfortsetzung4"/>
    <w:semiHidden/>
    <w:unhideWhenUsed/>
    <w:rsid w:val="00564942"/>
    <w:pPr>
      <w:spacing w:after="120" w:line="240" w:lineRule="auto"/>
      <w:ind w:left="1132"/>
      <w:contextualSpacing/>
    </w:pPr>
    <w:rPr>
      <w:rFonts w:eastAsia="Times New Roman" w:cs="Arial"/>
      <w:color w:val="333333"/>
      <w:sz w:val="20"/>
      <w:szCs w:val="20"/>
      <w:lang w:val="en-US" w:eastAsia="de-DE"/>
    </w:rPr>
  </w:style>
  <w:style w:type="paragraph" w:customStyle="1" w:styleId="Listenfortsetzung31">
    <w:name w:val="Listenfortsetzung 31"/>
    <w:basedOn w:val="Standard"/>
    <w:next w:val="Listenfortsetzung3"/>
    <w:semiHidden/>
    <w:unhideWhenUsed/>
    <w:rsid w:val="00564942"/>
    <w:pPr>
      <w:spacing w:after="120" w:line="240" w:lineRule="auto"/>
      <w:ind w:left="849"/>
      <w:contextualSpacing/>
    </w:pPr>
    <w:rPr>
      <w:rFonts w:eastAsia="Times New Roman" w:cs="Arial"/>
      <w:color w:val="333333"/>
      <w:sz w:val="20"/>
      <w:szCs w:val="20"/>
      <w:lang w:val="en-US" w:eastAsia="de-DE"/>
    </w:rPr>
  </w:style>
  <w:style w:type="paragraph" w:customStyle="1" w:styleId="Listenfortsetzung21">
    <w:name w:val="Listenfortsetzung 21"/>
    <w:basedOn w:val="Standard"/>
    <w:next w:val="Listenfortsetzung2"/>
    <w:semiHidden/>
    <w:unhideWhenUsed/>
    <w:rsid w:val="00564942"/>
    <w:pPr>
      <w:spacing w:after="120" w:line="240" w:lineRule="auto"/>
      <w:ind w:left="566"/>
      <w:contextualSpacing/>
    </w:pPr>
    <w:rPr>
      <w:rFonts w:eastAsia="Times New Roman" w:cs="Arial"/>
      <w:color w:val="333333"/>
      <w:sz w:val="20"/>
      <w:szCs w:val="20"/>
      <w:lang w:val="en-US" w:eastAsia="de-DE"/>
    </w:rPr>
  </w:style>
  <w:style w:type="paragraph" w:customStyle="1" w:styleId="Listenfortsetzung1">
    <w:name w:val="Listenfortsetzung1"/>
    <w:basedOn w:val="Standard"/>
    <w:next w:val="Listenfortsetzung"/>
    <w:semiHidden/>
    <w:unhideWhenUsed/>
    <w:rsid w:val="00564942"/>
    <w:pPr>
      <w:spacing w:after="120" w:line="240" w:lineRule="auto"/>
      <w:ind w:left="283"/>
      <w:contextualSpacing/>
    </w:pPr>
    <w:rPr>
      <w:rFonts w:eastAsia="Times New Roman" w:cs="Arial"/>
      <w:color w:val="333333"/>
      <w:sz w:val="20"/>
      <w:szCs w:val="20"/>
      <w:lang w:val="en-US" w:eastAsia="de-DE"/>
    </w:rPr>
  </w:style>
  <w:style w:type="paragraph" w:customStyle="1" w:styleId="Unterschrift1">
    <w:name w:val="Unterschrift1"/>
    <w:basedOn w:val="Standard"/>
    <w:next w:val="Unterschrift"/>
    <w:link w:val="UnterschriftZchn"/>
    <w:semiHidden/>
    <w:unhideWhenUsed/>
    <w:rsid w:val="00564942"/>
    <w:pPr>
      <w:spacing w:after="0" w:line="240" w:lineRule="auto"/>
      <w:ind w:left="4252"/>
    </w:pPr>
    <w:rPr>
      <w:rFonts w:ascii="Calibri Light" w:hAnsi="Calibri Light" w:cs="Arial"/>
      <w:color w:val="333333"/>
      <w:lang w:val="en-US"/>
    </w:rPr>
  </w:style>
  <w:style w:type="character" w:customStyle="1" w:styleId="UnterschriftZchn">
    <w:name w:val="Unterschrift Zchn"/>
    <w:basedOn w:val="Absatz-Standardschriftart"/>
    <w:link w:val="Unterschrift1"/>
    <w:semiHidden/>
    <w:rsid w:val="00564942"/>
    <w:rPr>
      <w:rFonts w:ascii="Calibri Light" w:hAnsi="Calibri Light" w:cs="Arial"/>
      <w:color w:val="333333"/>
      <w:lang w:val="en-US"/>
    </w:rPr>
  </w:style>
  <w:style w:type="paragraph" w:customStyle="1" w:styleId="Gruformel1">
    <w:name w:val="Grußformel1"/>
    <w:basedOn w:val="Standard"/>
    <w:next w:val="Gruformel"/>
    <w:link w:val="GruformelZchn"/>
    <w:semiHidden/>
    <w:unhideWhenUsed/>
    <w:rsid w:val="00564942"/>
    <w:pPr>
      <w:spacing w:after="0" w:line="240" w:lineRule="auto"/>
      <w:ind w:left="4252"/>
    </w:pPr>
    <w:rPr>
      <w:rFonts w:ascii="Calibri Light" w:hAnsi="Calibri Light" w:cs="Arial"/>
      <w:color w:val="333333"/>
      <w:lang w:val="en-US"/>
    </w:rPr>
  </w:style>
  <w:style w:type="character" w:customStyle="1" w:styleId="GruformelZchn">
    <w:name w:val="Grußformel Zchn"/>
    <w:basedOn w:val="Absatz-Standardschriftart"/>
    <w:link w:val="Gruformel1"/>
    <w:semiHidden/>
    <w:rsid w:val="00564942"/>
    <w:rPr>
      <w:rFonts w:ascii="Calibri Light" w:hAnsi="Calibri Light" w:cs="Arial"/>
      <w:color w:val="333333"/>
      <w:lang w:val="en-US"/>
    </w:rPr>
  </w:style>
  <w:style w:type="paragraph" w:customStyle="1" w:styleId="Listennummer51">
    <w:name w:val="Listennummer 51"/>
    <w:basedOn w:val="Standard"/>
    <w:next w:val="Listennummer5"/>
    <w:semiHidden/>
    <w:unhideWhenUsed/>
    <w:rsid w:val="00564942"/>
    <w:pPr>
      <w:numPr>
        <w:numId w:val="4"/>
      </w:numPr>
      <w:spacing w:after="120" w:line="240" w:lineRule="auto"/>
      <w:contextualSpacing/>
    </w:pPr>
    <w:rPr>
      <w:rFonts w:eastAsia="Times New Roman" w:cs="Arial"/>
      <w:color w:val="333333"/>
      <w:sz w:val="20"/>
      <w:szCs w:val="20"/>
      <w:lang w:val="en-US" w:eastAsia="de-DE"/>
    </w:rPr>
  </w:style>
  <w:style w:type="paragraph" w:customStyle="1" w:styleId="Listennummer41">
    <w:name w:val="Listennummer 41"/>
    <w:basedOn w:val="Standard"/>
    <w:next w:val="Listennummer4"/>
    <w:semiHidden/>
    <w:unhideWhenUsed/>
    <w:rsid w:val="00564942"/>
    <w:pPr>
      <w:numPr>
        <w:numId w:val="5"/>
      </w:numPr>
      <w:spacing w:after="120" w:line="240" w:lineRule="auto"/>
      <w:contextualSpacing/>
    </w:pPr>
    <w:rPr>
      <w:rFonts w:eastAsia="Times New Roman" w:cs="Arial"/>
      <w:color w:val="333333"/>
      <w:sz w:val="20"/>
      <w:szCs w:val="20"/>
      <w:lang w:val="en-US" w:eastAsia="de-DE"/>
    </w:rPr>
  </w:style>
  <w:style w:type="paragraph" w:customStyle="1" w:styleId="Listennummer31">
    <w:name w:val="Listennummer 31"/>
    <w:basedOn w:val="Standard"/>
    <w:next w:val="Listennummer3"/>
    <w:semiHidden/>
    <w:unhideWhenUsed/>
    <w:rsid w:val="00564942"/>
    <w:pPr>
      <w:numPr>
        <w:numId w:val="6"/>
      </w:numPr>
      <w:spacing w:after="120" w:line="240" w:lineRule="auto"/>
      <w:contextualSpacing/>
    </w:pPr>
    <w:rPr>
      <w:rFonts w:eastAsia="Times New Roman" w:cs="Arial"/>
      <w:color w:val="333333"/>
      <w:sz w:val="20"/>
      <w:szCs w:val="20"/>
      <w:lang w:val="en-US" w:eastAsia="de-DE"/>
    </w:rPr>
  </w:style>
  <w:style w:type="paragraph" w:customStyle="1" w:styleId="Listennummer21">
    <w:name w:val="Listennummer 21"/>
    <w:basedOn w:val="Standard"/>
    <w:next w:val="Listennummer2"/>
    <w:semiHidden/>
    <w:unhideWhenUsed/>
    <w:rsid w:val="00564942"/>
    <w:pPr>
      <w:numPr>
        <w:numId w:val="7"/>
      </w:numPr>
      <w:spacing w:after="120" w:line="240" w:lineRule="auto"/>
      <w:contextualSpacing/>
    </w:pPr>
    <w:rPr>
      <w:rFonts w:eastAsia="Times New Roman" w:cs="Arial"/>
      <w:color w:val="333333"/>
      <w:sz w:val="20"/>
      <w:szCs w:val="20"/>
      <w:lang w:val="en-US" w:eastAsia="de-DE"/>
    </w:rPr>
  </w:style>
  <w:style w:type="paragraph" w:customStyle="1" w:styleId="Aufzhlungszeichen51">
    <w:name w:val="Aufzählungszeichen 51"/>
    <w:basedOn w:val="Standard"/>
    <w:next w:val="Aufzhlungszeichen5"/>
    <w:semiHidden/>
    <w:unhideWhenUsed/>
    <w:rsid w:val="00564942"/>
    <w:pPr>
      <w:numPr>
        <w:numId w:val="8"/>
      </w:numPr>
      <w:spacing w:after="120" w:line="240" w:lineRule="auto"/>
      <w:contextualSpacing/>
    </w:pPr>
    <w:rPr>
      <w:rFonts w:eastAsia="Times New Roman" w:cs="Arial"/>
      <w:color w:val="333333"/>
      <w:sz w:val="20"/>
      <w:szCs w:val="20"/>
      <w:lang w:val="en-US" w:eastAsia="de-DE"/>
    </w:rPr>
  </w:style>
  <w:style w:type="paragraph" w:customStyle="1" w:styleId="Aufzhlungszeichen41">
    <w:name w:val="Aufzählungszeichen 41"/>
    <w:basedOn w:val="Standard"/>
    <w:next w:val="Aufzhlungszeichen4"/>
    <w:semiHidden/>
    <w:unhideWhenUsed/>
    <w:rsid w:val="00564942"/>
    <w:pPr>
      <w:numPr>
        <w:numId w:val="9"/>
      </w:numPr>
      <w:spacing w:after="120" w:line="240" w:lineRule="auto"/>
      <w:contextualSpacing/>
    </w:pPr>
    <w:rPr>
      <w:rFonts w:eastAsia="Times New Roman" w:cs="Arial"/>
      <w:color w:val="333333"/>
      <w:sz w:val="20"/>
      <w:szCs w:val="20"/>
      <w:lang w:val="en-US" w:eastAsia="de-DE"/>
    </w:rPr>
  </w:style>
  <w:style w:type="paragraph" w:customStyle="1" w:styleId="Aufzhlungszeichen31">
    <w:name w:val="Aufzählungszeichen 31"/>
    <w:basedOn w:val="Standard"/>
    <w:next w:val="Aufzhlungszeichen3"/>
    <w:semiHidden/>
    <w:unhideWhenUsed/>
    <w:rsid w:val="00564942"/>
    <w:pPr>
      <w:numPr>
        <w:numId w:val="10"/>
      </w:numPr>
      <w:spacing w:after="120" w:line="240" w:lineRule="auto"/>
      <w:contextualSpacing/>
    </w:pPr>
    <w:rPr>
      <w:rFonts w:eastAsia="Times New Roman" w:cs="Arial"/>
      <w:color w:val="333333"/>
      <w:sz w:val="20"/>
      <w:szCs w:val="20"/>
      <w:lang w:val="en-US" w:eastAsia="de-DE"/>
    </w:rPr>
  </w:style>
  <w:style w:type="paragraph" w:customStyle="1" w:styleId="Aufzhlungszeichen21">
    <w:name w:val="Aufzählungszeichen 21"/>
    <w:basedOn w:val="Standard"/>
    <w:next w:val="Aufzhlungszeichen2"/>
    <w:semiHidden/>
    <w:unhideWhenUsed/>
    <w:rsid w:val="00564942"/>
    <w:pPr>
      <w:numPr>
        <w:numId w:val="11"/>
      </w:numPr>
      <w:spacing w:after="120" w:line="240" w:lineRule="auto"/>
      <w:contextualSpacing/>
    </w:pPr>
    <w:rPr>
      <w:rFonts w:eastAsia="Times New Roman" w:cs="Arial"/>
      <w:color w:val="333333"/>
      <w:sz w:val="20"/>
      <w:szCs w:val="20"/>
      <w:lang w:val="en-US" w:eastAsia="de-DE"/>
    </w:rPr>
  </w:style>
  <w:style w:type="paragraph" w:customStyle="1" w:styleId="Liste51">
    <w:name w:val="Liste 51"/>
    <w:basedOn w:val="Standard"/>
    <w:next w:val="Liste5"/>
    <w:semiHidden/>
    <w:rsid w:val="00564942"/>
    <w:pPr>
      <w:spacing w:after="120" w:line="240" w:lineRule="auto"/>
      <w:ind w:left="1415" w:hanging="283"/>
      <w:contextualSpacing/>
    </w:pPr>
    <w:rPr>
      <w:rFonts w:eastAsia="Times New Roman" w:cs="Arial"/>
      <w:color w:val="333333"/>
      <w:sz w:val="20"/>
      <w:szCs w:val="20"/>
      <w:lang w:val="en-US" w:eastAsia="de-DE"/>
    </w:rPr>
  </w:style>
  <w:style w:type="paragraph" w:customStyle="1" w:styleId="Liste41">
    <w:name w:val="Liste 41"/>
    <w:basedOn w:val="Standard"/>
    <w:next w:val="Liste4"/>
    <w:semiHidden/>
    <w:rsid w:val="00564942"/>
    <w:pPr>
      <w:spacing w:after="120" w:line="240" w:lineRule="auto"/>
      <w:ind w:left="1132" w:hanging="283"/>
      <w:contextualSpacing/>
    </w:pPr>
    <w:rPr>
      <w:rFonts w:eastAsia="Times New Roman" w:cs="Arial"/>
      <w:color w:val="333333"/>
      <w:sz w:val="20"/>
      <w:szCs w:val="20"/>
      <w:lang w:val="en-US" w:eastAsia="de-DE"/>
    </w:rPr>
  </w:style>
  <w:style w:type="paragraph" w:customStyle="1" w:styleId="Liste31">
    <w:name w:val="Liste 31"/>
    <w:basedOn w:val="Standard"/>
    <w:next w:val="Liste3"/>
    <w:semiHidden/>
    <w:unhideWhenUsed/>
    <w:rsid w:val="00564942"/>
    <w:pPr>
      <w:spacing w:after="120" w:line="240" w:lineRule="auto"/>
      <w:ind w:left="849" w:hanging="283"/>
      <w:contextualSpacing/>
    </w:pPr>
    <w:rPr>
      <w:rFonts w:eastAsia="Times New Roman" w:cs="Arial"/>
      <w:color w:val="333333"/>
      <w:sz w:val="20"/>
      <w:szCs w:val="20"/>
      <w:lang w:val="en-US" w:eastAsia="de-DE"/>
    </w:rPr>
  </w:style>
  <w:style w:type="paragraph" w:customStyle="1" w:styleId="Liste21">
    <w:name w:val="Liste 21"/>
    <w:basedOn w:val="Standard"/>
    <w:next w:val="Liste2"/>
    <w:semiHidden/>
    <w:unhideWhenUsed/>
    <w:rsid w:val="00564942"/>
    <w:pPr>
      <w:spacing w:after="120" w:line="240" w:lineRule="auto"/>
      <w:ind w:left="566" w:hanging="283"/>
      <w:contextualSpacing/>
    </w:pPr>
    <w:rPr>
      <w:rFonts w:eastAsia="Times New Roman" w:cs="Arial"/>
      <w:color w:val="333333"/>
      <w:sz w:val="20"/>
      <w:szCs w:val="20"/>
      <w:lang w:val="en-US" w:eastAsia="de-DE"/>
    </w:rPr>
  </w:style>
  <w:style w:type="paragraph" w:customStyle="1" w:styleId="Listennummer1">
    <w:name w:val="Listennummer1"/>
    <w:basedOn w:val="Standard"/>
    <w:next w:val="Listennummer"/>
    <w:rsid w:val="00564942"/>
    <w:pPr>
      <w:numPr>
        <w:numId w:val="1"/>
      </w:numPr>
      <w:spacing w:after="120" w:line="240" w:lineRule="auto"/>
      <w:contextualSpacing/>
    </w:pPr>
    <w:rPr>
      <w:rFonts w:eastAsia="Times New Roman" w:cs="Arial"/>
      <w:color w:val="333333"/>
      <w:sz w:val="20"/>
      <w:szCs w:val="20"/>
      <w:lang w:val="en-US" w:eastAsia="de-DE"/>
    </w:rPr>
  </w:style>
  <w:style w:type="paragraph" w:customStyle="1" w:styleId="Aufzhlungszeichen1">
    <w:name w:val="Aufzählungszeichen1"/>
    <w:basedOn w:val="Standard"/>
    <w:next w:val="Aufzhlungszeichen"/>
    <w:semiHidden/>
    <w:unhideWhenUsed/>
    <w:rsid w:val="00564942"/>
    <w:pPr>
      <w:numPr>
        <w:numId w:val="12"/>
      </w:numPr>
      <w:spacing w:after="120" w:line="240" w:lineRule="auto"/>
      <w:contextualSpacing/>
    </w:pPr>
    <w:rPr>
      <w:rFonts w:eastAsia="Times New Roman" w:cs="Arial"/>
      <w:color w:val="333333"/>
      <w:sz w:val="20"/>
      <w:szCs w:val="20"/>
      <w:lang w:val="en-US" w:eastAsia="de-DE"/>
    </w:rPr>
  </w:style>
  <w:style w:type="paragraph" w:customStyle="1" w:styleId="Liste1">
    <w:name w:val="Liste1"/>
    <w:basedOn w:val="Standard"/>
    <w:next w:val="Liste"/>
    <w:semiHidden/>
    <w:unhideWhenUsed/>
    <w:rsid w:val="00564942"/>
    <w:pPr>
      <w:spacing w:after="120" w:line="240" w:lineRule="auto"/>
      <w:ind w:left="283" w:hanging="283"/>
      <w:contextualSpacing/>
    </w:pPr>
    <w:rPr>
      <w:rFonts w:eastAsia="Times New Roman" w:cs="Arial"/>
      <w:color w:val="333333"/>
      <w:sz w:val="20"/>
      <w:szCs w:val="20"/>
      <w:lang w:val="en-US" w:eastAsia="de-DE"/>
    </w:rPr>
  </w:style>
  <w:style w:type="paragraph" w:customStyle="1" w:styleId="RGV-berschrift1">
    <w:name w:val="RGV-Überschrift1"/>
    <w:basedOn w:val="Standard"/>
    <w:next w:val="Standard"/>
    <w:semiHidden/>
    <w:unhideWhenUsed/>
    <w:rsid w:val="00564942"/>
    <w:pPr>
      <w:spacing w:before="120" w:after="120" w:line="240" w:lineRule="auto"/>
    </w:pPr>
    <w:rPr>
      <w:rFonts w:ascii="Calibri" w:eastAsia="Times New Roman" w:hAnsi="Calibri" w:cs="Times New Roman"/>
      <w:b/>
      <w:bCs/>
      <w:color w:val="333333"/>
      <w:sz w:val="24"/>
      <w:szCs w:val="24"/>
      <w:lang w:val="en-US" w:eastAsia="de-DE"/>
    </w:rPr>
  </w:style>
  <w:style w:type="paragraph" w:customStyle="1" w:styleId="Makrotext1">
    <w:name w:val="Makrotext1"/>
    <w:next w:val="Makrotext"/>
    <w:link w:val="MakrotextZchn"/>
    <w:semiHidden/>
    <w:unhideWhenUsed/>
    <w:rsid w:val="0056494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s="Arial"/>
      <w:color w:val="333333"/>
    </w:rPr>
  </w:style>
  <w:style w:type="character" w:customStyle="1" w:styleId="MakrotextZchn">
    <w:name w:val="Makrotext Zchn"/>
    <w:basedOn w:val="Absatz-Standardschriftart"/>
    <w:link w:val="Makrotext1"/>
    <w:semiHidden/>
    <w:rsid w:val="00564942"/>
    <w:rPr>
      <w:rFonts w:ascii="Consolas" w:hAnsi="Consolas" w:cs="Arial"/>
      <w:color w:val="333333"/>
    </w:rPr>
  </w:style>
  <w:style w:type="paragraph" w:customStyle="1" w:styleId="Rechtsgrundlagenverzeichnis1">
    <w:name w:val="Rechtsgrundlagenverzeichnis1"/>
    <w:basedOn w:val="Standard"/>
    <w:next w:val="Standard"/>
    <w:semiHidden/>
    <w:unhideWhenUsed/>
    <w:rsid w:val="00564942"/>
    <w:pPr>
      <w:spacing w:after="0" w:line="240" w:lineRule="auto"/>
      <w:ind w:left="200" w:hanging="200"/>
    </w:pPr>
    <w:rPr>
      <w:rFonts w:eastAsia="Times New Roman" w:cs="Arial"/>
      <w:color w:val="333333"/>
      <w:sz w:val="20"/>
      <w:szCs w:val="20"/>
      <w:lang w:val="en-US" w:eastAsia="de-DE"/>
    </w:rPr>
  </w:style>
  <w:style w:type="paragraph" w:customStyle="1" w:styleId="Endnotentext1">
    <w:name w:val="Endnotentext1"/>
    <w:basedOn w:val="Standard"/>
    <w:next w:val="Endnotentext"/>
    <w:link w:val="EndnotentextZchn"/>
    <w:semiHidden/>
    <w:unhideWhenUsed/>
    <w:rsid w:val="00564942"/>
    <w:pPr>
      <w:spacing w:after="0" w:line="240" w:lineRule="auto"/>
    </w:pPr>
    <w:rPr>
      <w:rFonts w:ascii="Calibri Light" w:hAnsi="Calibri Light" w:cs="Arial"/>
      <w:color w:val="333333"/>
      <w:lang w:val="en-US"/>
    </w:rPr>
  </w:style>
  <w:style w:type="character" w:customStyle="1" w:styleId="EndnotentextZchn">
    <w:name w:val="Endnotentext Zchn"/>
    <w:basedOn w:val="Absatz-Standardschriftart"/>
    <w:link w:val="Endnotentext1"/>
    <w:semiHidden/>
    <w:rsid w:val="00564942"/>
    <w:rPr>
      <w:rFonts w:ascii="Calibri Light" w:hAnsi="Calibri Light" w:cs="Arial"/>
      <w:color w:val="333333"/>
      <w:lang w:val="en-US"/>
    </w:rPr>
  </w:style>
  <w:style w:type="character" w:styleId="Endnotenzeichen">
    <w:name w:val="endnote reference"/>
    <w:basedOn w:val="Absatz-Standardschriftart"/>
    <w:semiHidden/>
    <w:unhideWhenUsed/>
    <w:rsid w:val="00564942"/>
    <w:rPr>
      <w:vertAlign w:val="superscript"/>
    </w:rPr>
  </w:style>
  <w:style w:type="character" w:styleId="Seitenzahl">
    <w:name w:val="page number"/>
    <w:basedOn w:val="Absatz-Standardschriftart"/>
    <w:semiHidden/>
    <w:unhideWhenUsed/>
    <w:rsid w:val="00564942"/>
  </w:style>
  <w:style w:type="character" w:styleId="Zeilennummer">
    <w:name w:val="line number"/>
    <w:basedOn w:val="Absatz-Standardschriftart"/>
    <w:semiHidden/>
    <w:unhideWhenUsed/>
    <w:rsid w:val="00564942"/>
  </w:style>
  <w:style w:type="character" w:styleId="Funotenzeichen">
    <w:name w:val="footnote reference"/>
    <w:basedOn w:val="Absatz-Standardschriftart"/>
    <w:semiHidden/>
    <w:unhideWhenUsed/>
    <w:rsid w:val="00564942"/>
    <w:rPr>
      <w:vertAlign w:val="superscript"/>
    </w:rPr>
  </w:style>
  <w:style w:type="paragraph" w:customStyle="1" w:styleId="Umschlagabsenderadresse1">
    <w:name w:val="Umschlagabsenderadresse1"/>
    <w:basedOn w:val="Standard"/>
    <w:next w:val="Umschlagabsenderadresse"/>
    <w:semiHidden/>
    <w:unhideWhenUsed/>
    <w:rsid w:val="00564942"/>
    <w:pPr>
      <w:spacing w:after="0" w:line="240" w:lineRule="auto"/>
    </w:pPr>
    <w:rPr>
      <w:rFonts w:ascii="Calibri" w:eastAsia="Times New Roman" w:hAnsi="Calibri" w:cs="Times New Roman"/>
      <w:color w:val="333333"/>
      <w:sz w:val="20"/>
      <w:szCs w:val="20"/>
      <w:lang w:val="en-US" w:eastAsia="de-DE"/>
    </w:rPr>
  </w:style>
  <w:style w:type="paragraph" w:customStyle="1" w:styleId="Umschlagadresse1">
    <w:name w:val="Umschlagadresse1"/>
    <w:basedOn w:val="Standard"/>
    <w:next w:val="Umschlagadresse"/>
    <w:semiHidden/>
    <w:unhideWhenUsed/>
    <w:rsid w:val="00564942"/>
    <w:pPr>
      <w:framePr w:w="4320" w:h="2160" w:hRule="exact" w:hSpace="141" w:wrap="auto" w:hAnchor="page" w:xAlign="center" w:yAlign="bottom"/>
      <w:spacing w:after="0" w:line="240" w:lineRule="auto"/>
      <w:ind w:left="1"/>
    </w:pPr>
    <w:rPr>
      <w:rFonts w:ascii="Calibri" w:eastAsia="Times New Roman" w:hAnsi="Calibri" w:cs="Times New Roman"/>
      <w:color w:val="333333"/>
      <w:sz w:val="24"/>
      <w:szCs w:val="24"/>
      <w:lang w:val="en-US" w:eastAsia="de-DE"/>
    </w:rPr>
  </w:style>
  <w:style w:type="paragraph" w:customStyle="1" w:styleId="Abbildungsverzeichnis1">
    <w:name w:val="Abbildungsverzeichnis1"/>
    <w:basedOn w:val="Standard"/>
    <w:next w:val="Standard"/>
    <w:semiHidden/>
    <w:unhideWhenUsed/>
    <w:rsid w:val="00564942"/>
    <w:pPr>
      <w:spacing w:after="0" w:line="240" w:lineRule="auto"/>
    </w:pPr>
    <w:rPr>
      <w:rFonts w:eastAsia="Times New Roman" w:cs="Arial"/>
      <w:color w:val="333333"/>
      <w:sz w:val="20"/>
      <w:szCs w:val="20"/>
      <w:lang w:val="en-US" w:eastAsia="de-DE"/>
    </w:rPr>
  </w:style>
  <w:style w:type="paragraph" w:customStyle="1" w:styleId="Beschriftung1">
    <w:name w:val="Beschriftung1"/>
    <w:basedOn w:val="Standard"/>
    <w:next w:val="Standard"/>
    <w:semiHidden/>
    <w:unhideWhenUsed/>
    <w:qFormat/>
    <w:rsid w:val="00564942"/>
    <w:pPr>
      <w:spacing w:after="200" w:line="240" w:lineRule="auto"/>
    </w:pPr>
    <w:rPr>
      <w:rFonts w:eastAsia="Times New Roman" w:cs="Arial"/>
      <w:i/>
      <w:iCs/>
      <w:color w:val="AA9C8F"/>
      <w:sz w:val="18"/>
      <w:szCs w:val="18"/>
      <w:lang w:val="en-US" w:eastAsia="de-DE"/>
    </w:rPr>
  </w:style>
  <w:style w:type="paragraph" w:customStyle="1" w:styleId="Index11">
    <w:name w:val="Index 11"/>
    <w:basedOn w:val="Standard"/>
    <w:next w:val="Standard"/>
    <w:autoRedefine/>
    <w:semiHidden/>
    <w:unhideWhenUsed/>
    <w:rsid w:val="00564942"/>
    <w:pPr>
      <w:spacing w:after="0" w:line="240" w:lineRule="auto"/>
      <w:ind w:left="200" w:hanging="200"/>
    </w:pPr>
    <w:rPr>
      <w:rFonts w:eastAsia="Times New Roman" w:cs="Arial"/>
      <w:color w:val="333333"/>
      <w:sz w:val="20"/>
      <w:szCs w:val="20"/>
      <w:lang w:val="en-US" w:eastAsia="de-DE"/>
    </w:rPr>
  </w:style>
  <w:style w:type="paragraph" w:customStyle="1" w:styleId="Indexberschrift1">
    <w:name w:val="Indexüberschrift1"/>
    <w:basedOn w:val="Standard"/>
    <w:next w:val="Index1"/>
    <w:semiHidden/>
    <w:unhideWhenUsed/>
    <w:rsid w:val="00564942"/>
    <w:pPr>
      <w:spacing w:after="120" w:line="240" w:lineRule="auto"/>
    </w:pPr>
    <w:rPr>
      <w:rFonts w:ascii="Calibri" w:eastAsia="Times New Roman" w:hAnsi="Calibri" w:cs="Times New Roman"/>
      <w:b/>
      <w:bCs/>
      <w:color w:val="333333"/>
      <w:sz w:val="20"/>
      <w:szCs w:val="20"/>
      <w:lang w:val="en-US" w:eastAsia="de-DE"/>
    </w:rPr>
  </w:style>
  <w:style w:type="paragraph" w:customStyle="1" w:styleId="Funotentext1">
    <w:name w:val="Fußnotentext1"/>
    <w:basedOn w:val="Standard"/>
    <w:next w:val="Funotentext"/>
    <w:link w:val="FunotentextZchn"/>
    <w:semiHidden/>
    <w:unhideWhenUsed/>
    <w:rsid w:val="00564942"/>
    <w:pPr>
      <w:spacing w:after="0" w:line="240" w:lineRule="auto"/>
    </w:pPr>
    <w:rPr>
      <w:rFonts w:ascii="Calibri Light" w:hAnsi="Calibri Light" w:cs="Arial"/>
      <w:color w:val="333333"/>
      <w:lang w:val="en-US"/>
    </w:rPr>
  </w:style>
  <w:style w:type="character" w:customStyle="1" w:styleId="FunotentextZchn">
    <w:name w:val="Fußnotentext Zchn"/>
    <w:basedOn w:val="Absatz-Standardschriftart"/>
    <w:link w:val="Funotentext1"/>
    <w:semiHidden/>
    <w:rsid w:val="00564942"/>
    <w:rPr>
      <w:rFonts w:ascii="Calibri Light" w:hAnsi="Calibri Light" w:cs="Arial"/>
      <w:color w:val="333333"/>
      <w:lang w:val="en-US"/>
    </w:rPr>
  </w:style>
  <w:style w:type="paragraph" w:customStyle="1" w:styleId="Standardeinzug1">
    <w:name w:val="Standardeinzug1"/>
    <w:basedOn w:val="Standard"/>
    <w:next w:val="Standardeinzug"/>
    <w:semiHidden/>
    <w:unhideWhenUsed/>
    <w:rsid w:val="00564942"/>
    <w:pPr>
      <w:spacing w:after="120" w:line="240" w:lineRule="auto"/>
      <w:ind w:left="709"/>
    </w:pPr>
    <w:rPr>
      <w:rFonts w:eastAsia="Times New Roman" w:cs="Arial"/>
      <w:color w:val="333333"/>
      <w:sz w:val="20"/>
      <w:szCs w:val="20"/>
      <w:lang w:val="en-US" w:eastAsia="de-DE"/>
    </w:rPr>
  </w:style>
  <w:style w:type="paragraph" w:customStyle="1" w:styleId="Verzeichnis91">
    <w:name w:val="Verzeichnis 91"/>
    <w:basedOn w:val="Standard"/>
    <w:next w:val="Standard"/>
    <w:autoRedefine/>
    <w:semiHidden/>
    <w:unhideWhenUsed/>
    <w:rsid w:val="00564942"/>
    <w:pPr>
      <w:spacing w:after="100" w:line="240" w:lineRule="auto"/>
      <w:ind w:left="1600"/>
    </w:pPr>
    <w:rPr>
      <w:rFonts w:eastAsia="Times New Roman" w:cs="Arial"/>
      <w:color w:val="333333"/>
      <w:sz w:val="20"/>
      <w:szCs w:val="20"/>
      <w:lang w:val="en-US" w:eastAsia="de-DE"/>
    </w:rPr>
  </w:style>
  <w:style w:type="paragraph" w:customStyle="1" w:styleId="Verzeichnis81">
    <w:name w:val="Verzeichnis 81"/>
    <w:basedOn w:val="Standard"/>
    <w:next w:val="Standard"/>
    <w:autoRedefine/>
    <w:semiHidden/>
    <w:unhideWhenUsed/>
    <w:rsid w:val="00564942"/>
    <w:pPr>
      <w:spacing w:after="100" w:line="240" w:lineRule="auto"/>
      <w:ind w:left="1400"/>
    </w:pPr>
    <w:rPr>
      <w:rFonts w:eastAsia="Times New Roman" w:cs="Arial"/>
      <w:color w:val="333333"/>
      <w:sz w:val="20"/>
      <w:szCs w:val="20"/>
      <w:lang w:val="en-US" w:eastAsia="de-DE"/>
    </w:rPr>
  </w:style>
  <w:style w:type="paragraph" w:customStyle="1" w:styleId="Verzeichnis71">
    <w:name w:val="Verzeichnis 71"/>
    <w:basedOn w:val="Standard"/>
    <w:next w:val="Standard"/>
    <w:autoRedefine/>
    <w:semiHidden/>
    <w:unhideWhenUsed/>
    <w:rsid w:val="00564942"/>
    <w:pPr>
      <w:spacing w:after="100" w:line="240" w:lineRule="auto"/>
      <w:ind w:left="1200"/>
    </w:pPr>
    <w:rPr>
      <w:rFonts w:eastAsia="Times New Roman" w:cs="Arial"/>
      <w:color w:val="333333"/>
      <w:sz w:val="20"/>
      <w:szCs w:val="20"/>
      <w:lang w:val="en-US" w:eastAsia="de-DE"/>
    </w:rPr>
  </w:style>
  <w:style w:type="paragraph" w:customStyle="1" w:styleId="Verzeichnis61">
    <w:name w:val="Verzeichnis 61"/>
    <w:basedOn w:val="Standard"/>
    <w:next w:val="Standard"/>
    <w:autoRedefine/>
    <w:semiHidden/>
    <w:unhideWhenUsed/>
    <w:rsid w:val="00564942"/>
    <w:pPr>
      <w:spacing w:after="100" w:line="240" w:lineRule="auto"/>
      <w:ind w:left="1000"/>
    </w:pPr>
    <w:rPr>
      <w:rFonts w:eastAsia="Times New Roman" w:cs="Arial"/>
      <w:color w:val="333333"/>
      <w:sz w:val="20"/>
      <w:szCs w:val="20"/>
      <w:lang w:val="en-US" w:eastAsia="de-DE"/>
    </w:rPr>
  </w:style>
  <w:style w:type="paragraph" w:customStyle="1" w:styleId="Verzeichnis51">
    <w:name w:val="Verzeichnis 51"/>
    <w:basedOn w:val="Standard"/>
    <w:next w:val="Standard"/>
    <w:autoRedefine/>
    <w:semiHidden/>
    <w:unhideWhenUsed/>
    <w:rsid w:val="00564942"/>
    <w:pPr>
      <w:spacing w:after="100" w:line="240" w:lineRule="auto"/>
      <w:ind w:left="800"/>
    </w:pPr>
    <w:rPr>
      <w:rFonts w:eastAsia="Times New Roman" w:cs="Arial"/>
      <w:color w:val="333333"/>
      <w:sz w:val="20"/>
      <w:szCs w:val="20"/>
      <w:lang w:val="en-US" w:eastAsia="de-DE"/>
    </w:rPr>
  </w:style>
  <w:style w:type="paragraph" w:customStyle="1" w:styleId="Verzeichnis41">
    <w:name w:val="Verzeichnis 41"/>
    <w:basedOn w:val="Standard"/>
    <w:next w:val="Standard"/>
    <w:autoRedefine/>
    <w:semiHidden/>
    <w:unhideWhenUsed/>
    <w:rsid w:val="00564942"/>
    <w:pPr>
      <w:spacing w:after="100" w:line="240" w:lineRule="auto"/>
      <w:ind w:left="600"/>
    </w:pPr>
    <w:rPr>
      <w:rFonts w:eastAsia="Times New Roman" w:cs="Arial"/>
      <w:color w:val="333333"/>
      <w:sz w:val="20"/>
      <w:szCs w:val="20"/>
      <w:lang w:val="en-US" w:eastAsia="de-DE"/>
    </w:rPr>
  </w:style>
  <w:style w:type="paragraph" w:customStyle="1" w:styleId="Index91">
    <w:name w:val="Index 91"/>
    <w:basedOn w:val="Standard"/>
    <w:next w:val="Standard"/>
    <w:autoRedefine/>
    <w:semiHidden/>
    <w:unhideWhenUsed/>
    <w:rsid w:val="00564942"/>
    <w:pPr>
      <w:spacing w:after="0" w:line="240" w:lineRule="auto"/>
      <w:ind w:left="1800" w:hanging="200"/>
    </w:pPr>
    <w:rPr>
      <w:rFonts w:eastAsia="Times New Roman" w:cs="Arial"/>
      <w:color w:val="333333"/>
      <w:sz w:val="20"/>
      <w:szCs w:val="20"/>
      <w:lang w:val="en-US" w:eastAsia="de-DE"/>
    </w:rPr>
  </w:style>
  <w:style w:type="paragraph" w:customStyle="1" w:styleId="Index81">
    <w:name w:val="Index 81"/>
    <w:basedOn w:val="Standard"/>
    <w:next w:val="Standard"/>
    <w:autoRedefine/>
    <w:semiHidden/>
    <w:unhideWhenUsed/>
    <w:rsid w:val="00564942"/>
    <w:pPr>
      <w:spacing w:after="0" w:line="240" w:lineRule="auto"/>
      <w:ind w:left="1600" w:hanging="200"/>
    </w:pPr>
    <w:rPr>
      <w:rFonts w:eastAsia="Times New Roman" w:cs="Arial"/>
      <w:color w:val="333333"/>
      <w:sz w:val="20"/>
      <w:szCs w:val="20"/>
      <w:lang w:val="en-US" w:eastAsia="de-DE"/>
    </w:rPr>
  </w:style>
  <w:style w:type="paragraph" w:customStyle="1" w:styleId="Index71">
    <w:name w:val="Index 71"/>
    <w:basedOn w:val="Standard"/>
    <w:next w:val="Standard"/>
    <w:autoRedefine/>
    <w:semiHidden/>
    <w:unhideWhenUsed/>
    <w:rsid w:val="00564942"/>
    <w:pPr>
      <w:spacing w:after="0" w:line="240" w:lineRule="auto"/>
      <w:ind w:left="1400" w:hanging="200"/>
    </w:pPr>
    <w:rPr>
      <w:rFonts w:eastAsia="Times New Roman" w:cs="Arial"/>
      <w:color w:val="333333"/>
      <w:sz w:val="20"/>
      <w:szCs w:val="20"/>
      <w:lang w:val="en-US" w:eastAsia="de-DE"/>
    </w:rPr>
  </w:style>
  <w:style w:type="paragraph" w:customStyle="1" w:styleId="Index61">
    <w:name w:val="Index 61"/>
    <w:basedOn w:val="Standard"/>
    <w:next w:val="Standard"/>
    <w:autoRedefine/>
    <w:semiHidden/>
    <w:unhideWhenUsed/>
    <w:rsid w:val="00564942"/>
    <w:pPr>
      <w:spacing w:after="0" w:line="240" w:lineRule="auto"/>
      <w:ind w:left="1200" w:hanging="200"/>
    </w:pPr>
    <w:rPr>
      <w:rFonts w:eastAsia="Times New Roman" w:cs="Arial"/>
      <w:color w:val="333333"/>
      <w:sz w:val="20"/>
      <w:szCs w:val="20"/>
      <w:lang w:val="en-US" w:eastAsia="de-DE"/>
    </w:rPr>
  </w:style>
  <w:style w:type="paragraph" w:customStyle="1" w:styleId="Index51">
    <w:name w:val="Index 51"/>
    <w:basedOn w:val="Standard"/>
    <w:next w:val="Standard"/>
    <w:autoRedefine/>
    <w:semiHidden/>
    <w:unhideWhenUsed/>
    <w:rsid w:val="00564942"/>
    <w:pPr>
      <w:spacing w:after="0" w:line="240" w:lineRule="auto"/>
      <w:ind w:left="1000" w:hanging="200"/>
    </w:pPr>
    <w:rPr>
      <w:rFonts w:eastAsia="Times New Roman" w:cs="Arial"/>
      <w:color w:val="333333"/>
      <w:sz w:val="20"/>
      <w:szCs w:val="20"/>
      <w:lang w:val="en-US" w:eastAsia="de-DE"/>
    </w:rPr>
  </w:style>
  <w:style w:type="paragraph" w:customStyle="1" w:styleId="Index41">
    <w:name w:val="Index 41"/>
    <w:basedOn w:val="Standard"/>
    <w:next w:val="Standard"/>
    <w:autoRedefine/>
    <w:semiHidden/>
    <w:unhideWhenUsed/>
    <w:rsid w:val="00564942"/>
    <w:pPr>
      <w:spacing w:after="0" w:line="240" w:lineRule="auto"/>
      <w:ind w:left="800" w:hanging="200"/>
    </w:pPr>
    <w:rPr>
      <w:rFonts w:eastAsia="Times New Roman" w:cs="Arial"/>
      <w:color w:val="333333"/>
      <w:sz w:val="20"/>
      <w:szCs w:val="20"/>
      <w:lang w:val="en-US" w:eastAsia="de-DE"/>
    </w:rPr>
  </w:style>
  <w:style w:type="paragraph" w:customStyle="1" w:styleId="Index31">
    <w:name w:val="Index 31"/>
    <w:basedOn w:val="Standard"/>
    <w:next w:val="Standard"/>
    <w:autoRedefine/>
    <w:semiHidden/>
    <w:unhideWhenUsed/>
    <w:rsid w:val="00564942"/>
    <w:pPr>
      <w:spacing w:after="0" w:line="240" w:lineRule="auto"/>
      <w:ind w:left="600" w:hanging="200"/>
    </w:pPr>
    <w:rPr>
      <w:rFonts w:eastAsia="Times New Roman" w:cs="Arial"/>
      <w:color w:val="333333"/>
      <w:sz w:val="20"/>
      <w:szCs w:val="20"/>
      <w:lang w:val="en-US" w:eastAsia="de-DE"/>
    </w:rPr>
  </w:style>
  <w:style w:type="paragraph" w:customStyle="1" w:styleId="Index21">
    <w:name w:val="Index 21"/>
    <w:basedOn w:val="Standard"/>
    <w:next w:val="Standard"/>
    <w:autoRedefine/>
    <w:semiHidden/>
    <w:unhideWhenUsed/>
    <w:rsid w:val="00564942"/>
    <w:pPr>
      <w:spacing w:after="0" w:line="240" w:lineRule="auto"/>
      <w:ind w:left="400" w:hanging="200"/>
    </w:pPr>
    <w:rPr>
      <w:rFonts w:eastAsia="Times New Roman" w:cs="Arial"/>
      <w:color w:val="333333"/>
      <w:sz w:val="20"/>
      <w:szCs w:val="20"/>
      <w:lang w:val="en-US" w:eastAsia="de-DE"/>
    </w:rPr>
  </w:style>
  <w:style w:type="character" w:customStyle="1" w:styleId="ZwischenberschriftZchn">
    <w:name w:val="Zwischenüberschrift Zchn"/>
    <w:basedOn w:val="Absatz-Standardschriftart"/>
    <w:link w:val="Zwischenberschrift"/>
    <w:rsid w:val="00564942"/>
    <w:rPr>
      <w:rFonts w:eastAsia="Times New Roman" w:cs="Arial"/>
      <w:color w:val="004992"/>
      <w:sz w:val="28"/>
      <w:szCs w:val="32"/>
      <w:lang w:eastAsia="de-DE"/>
    </w:rPr>
  </w:style>
  <w:style w:type="paragraph" w:customStyle="1" w:styleId="MDPI31text">
    <w:name w:val="MDPI_3.1_text"/>
    <w:link w:val="MDPI31textZchn"/>
    <w:qFormat/>
    <w:rsid w:val="00564942"/>
    <w:pPr>
      <w:adjustRightInd w:val="0"/>
      <w:snapToGrid w:val="0"/>
      <w:spacing w:after="0" w:line="480" w:lineRule="auto"/>
      <w:jc w:val="both"/>
    </w:pPr>
    <w:rPr>
      <w:rFonts w:ascii="Times New Roman" w:eastAsia="Times New Roman" w:hAnsi="Times New Roman" w:cs="Times New Roman"/>
      <w:snapToGrid w:val="0"/>
      <w:color w:val="000000"/>
      <w:lang w:val="en-US" w:eastAsia="de-DE" w:bidi="en-US"/>
    </w:rPr>
  </w:style>
  <w:style w:type="paragraph" w:customStyle="1" w:styleId="MDPI21heading1">
    <w:name w:val="MDPI_2.1_heading1"/>
    <w:qFormat/>
    <w:rsid w:val="00564942"/>
    <w:pPr>
      <w:adjustRightInd w:val="0"/>
      <w:snapToGrid w:val="0"/>
      <w:spacing w:before="240" w:after="60" w:line="228" w:lineRule="auto"/>
      <w:outlineLvl w:val="0"/>
    </w:pPr>
    <w:rPr>
      <w:rFonts w:ascii="Times New Roman" w:eastAsia="Times New Roman" w:hAnsi="Times New Roman" w:cs="Times New Roman"/>
      <w:b/>
      <w:snapToGrid w:val="0"/>
      <w:color w:val="000000"/>
      <w:sz w:val="26"/>
      <w:lang w:val="en-US" w:eastAsia="de-DE" w:bidi="en-US"/>
    </w:rPr>
  </w:style>
  <w:style w:type="character" w:customStyle="1" w:styleId="MDPI31textZchn">
    <w:name w:val="MDPI_3.1_text Zchn"/>
    <w:link w:val="MDPI31text"/>
    <w:rsid w:val="00564942"/>
    <w:rPr>
      <w:rFonts w:ascii="Times New Roman" w:eastAsia="Times New Roman" w:hAnsi="Times New Roman" w:cs="Times New Roman"/>
      <w:snapToGrid w:val="0"/>
      <w:color w:val="000000"/>
      <w:lang w:val="en-US" w:eastAsia="de-DE" w:bidi="en-US"/>
    </w:rPr>
  </w:style>
  <w:style w:type="character" w:styleId="NichtaufgelsteErwhnung">
    <w:name w:val="Unresolved Mention"/>
    <w:basedOn w:val="Absatz-Standardschriftart"/>
    <w:uiPriority w:val="99"/>
    <w:semiHidden/>
    <w:unhideWhenUsed/>
    <w:rsid w:val="00564942"/>
    <w:rPr>
      <w:color w:val="605E5C"/>
      <w:shd w:val="clear" w:color="auto" w:fill="E1DFDD"/>
    </w:rPr>
  </w:style>
  <w:style w:type="paragraph" w:customStyle="1" w:styleId="msonormal0">
    <w:name w:val="msonormal"/>
    <w:basedOn w:val="Standard"/>
    <w:rsid w:val="00564942"/>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font5">
    <w:name w:val="font5"/>
    <w:basedOn w:val="Standard"/>
    <w:rsid w:val="00564942"/>
    <w:pPr>
      <w:spacing w:before="100" w:beforeAutospacing="1" w:after="100" w:afterAutospacing="1" w:line="240" w:lineRule="auto"/>
    </w:pPr>
    <w:rPr>
      <w:rFonts w:ascii="Calibri" w:eastAsia="Times New Roman" w:hAnsi="Calibri" w:cs="Calibri"/>
      <w:b/>
      <w:bCs/>
      <w:color w:val="000000"/>
      <w:sz w:val="16"/>
      <w:szCs w:val="16"/>
      <w:lang w:eastAsia="de-DE"/>
    </w:rPr>
  </w:style>
  <w:style w:type="paragraph" w:customStyle="1" w:styleId="font6">
    <w:name w:val="font6"/>
    <w:basedOn w:val="Standard"/>
    <w:rsid w:val="00564942"/>
    <w:pPr>
      <w:spacing w:before="100" w:beforeAutospacing="1" w:after="100" w:afterAutospacing="1" w:line="240" w:lineRule="auto"/>
    </w:pPr>
    <w:rPr>
      <w:rFonts w:ascii="Calibri" w:eastAsia="Times New Roman" w:hAnsi="Calibri" w:cs="Calibri"/>
      <w:color w:val="000000"/>
      <w:sz w:val="16"/>
      <w:szCs w:val="16"/>
      <w:lang w:eastAsia="de-DE"/>
    </w:rPr>
  </w:style>
  <w:style w:type="paragraph" w:customStyle="1" w:styleId="font7">
    <w:name w:val="font7"/>
    <w:basedOn w:val="Standard"/>
    <w:rsid w:val="00564942"/>
    <w:pPr>
      <w:spacing w:before="100" w:beforeAutospacing="1" w:after="100" w:afterAutospacing="1" w:line="240" w:lineRule="auto"/>
    </w:pPr>
    <w:rPr>
      <w:rFonts w:ascii="Georgia" w:eastAsia="Times New Roman" w:hAnsi="Georgia" w:cs="Times New Roman"/>
      <w:color w:val="1F1F1F"/>
      <w:sz w:val="16"/>
      <w:szCs w:val="16"/>
      <w:lang w:eastAsia="de-DE"/>
    </w:rPr>
  </w:style>
  <w:style w:type="paragraph" w:customStyle="1" w:styleId="font8">
    <w:name w:val="font8"/>
    <w:basedOn w:val="Standard"/>
    <w:rsid w:val="00564942"/>
    <w:pPr>
      <w:spacing w:before="100" w:beforeAutospacing="1" w:after="100" w:afterAutospacing="1" w:line="240" w:lineRule="auto"/>
    </w:pPr>
    <w:rPr>
      <w:rFonts w:ascii="Georgia" w:eastAsia="Times New Roman" w:hAnsi="Georgia" w:cs="Times New Roman"/>
      <w:b/>
      <w:bCs/>
      <w:i/>
      <w:iCs/>
      <w:color w:val="1F1F1F"/>
      <w:sz w:val="16"/>
      <w:szCs w:val="16"/>
      <w:lang w:eastAsia="de-DE"/>
    </w:rPr>
  </w:style>
  <w:style w:type="paragraph" w:customStyle="1" w:styleId="font9">
    <w:name w:val="font9"/>
    <w:basedOn w:val="Standard"/>
    <w:rsid w:val="00564942"/>
    <w:pPr>
      <w:spacing w:before="100" w:beforeAutospacing="1" w:after="100" w:afterAutospacing="1" w:line="240" w:lineRule="auto"/>
    </w:pPr>
    <w:rPr>
      <w:rFonts w:ascii="Calibri" w:eastAsia="Times New Roman" w:hAnsi="Calibri" w:cs="Calibri"/>
      <w:b/>
      <w:bCs/>
      <w:i/>
      <w:iCs/>
      <w:color w:val="000000"/>
      <w:sz w:val="16"/>
      <w:szCs w:val="16"/>
      <w:lang w:eastAsia="de-DE"/>
    </w:rPr>
  </w:style>
  <w:style w:type="paragraph" w:customStyle="1" w:styleId="font10">
    <w:name w:val="font10"/>
    <w:basedOn w:val="Standard"/>
    <w:rsid w:val="00564942"/>
    <w:pPr>
      <w:spacing w:before="100" w:beforeAutospacing="1" w:after="100" w:afterAutospacing="1" w:line="240" w:lineRule="auto"/>
    </w:pPr>
    <w:rPr>
      <w:rFonts w:ascii="Calibri" w:eastAsia="Times New Roman" w:hAnsi="Calibri" w:cs="Calibri"/>
      <w:b/>
      <w:bCs/>
      <w:i/>
      <w:iCs/>
      <w:color w:val="FF0000"/>
      <w:sz w:val="16"/>
      <w:szCs w:val="16"/>
      <w:lang w:eastAsia="de-DE"/>
    </w:rPr>
  </w:style>
  <w:style w:type="paragraph" w:customStyle="1" w:styleId="font11">
    <w:name w:val="font11"/>
    <w:basedOn w:val="Standard"/>
    <w:rsid w:val="00564942"/>
    <w:pPr>
      <w:spacing w:before="100" w:beforeAutospacing="1" w:after="100" w:afterAutospacing="1" w:line="240" w:lineRule="auto"/>
    </w:pPr>
    <w:rPr>
      <w:rFonts w:ascii="Calibri" w:eastAsia="Times New Roman" w:hAnsi="Calibri" w:cs="Calibri"/>
      <w:b/>
      <w:bCs/>
      <w:i/>
      <w:iCs/>
      <w:sz w:val="16"/>
      <w:szCs w:val="16"/>
      <w:lang w:eastAsia="de-DE"/>
    </w:rPr>
  </w:style>
  <w:style w:type="paragraph" w:customStyle="1" w:styleId="font12">
    <w:name w:val="font12"/>
    <w:basedOn w:val="Standard"/>
    <w:rsid w:val="00564942"/>
    <w:pPr>
      <w:spacing w:before="100" w:beforeAutospacing="1" w:after="100" w:afterAutospacing="1" w:line="240" w:lineRule="auto"/>
    </w:pPr>
    <w:rPr>
      <w:rFonts w:ascii="Segoe UI" w:eastAsia="Times New Roman" w:hAnsi="Segoe UI" w:cs="Segoe UI"/>
      <w:color w:val="000000"/>
      <w:sz w:val="18"/>
      <w:szCs w:val="18"/>
      <w:lang w:eastAsia="de-DE"/>
    </w:rPr>
  </w:style>
  <w:style w:type="paragraph" w:customStyle="1" w:styleId="font13">
    <w:name w:val="font13"/>
    <w:basedOn w:val="Standard"/>
    <w:rsid w:val="00564942"/>
    <w:pPr>
      <w:spacing w:before="100" w:beforeAutospacing="1" w:after="100" w:afterAutospacing="1" w:line="240" w:lineRule="auto"/>
    </w:pPr>
    <w:rPr>
      <w:rFonts w:ascii="Segoe UI" w:eastAsia="Times New Roman" w:hAnsi="Segoe UI" w:cs="Segoe UI"/>
      <w:b/>
      <w:bCs/>
      <w:color w:val="000000"/>
      <w:sz w:val="18"/>
      <w:szCs w:val="18"/>
      <w:lang w:eastAsia="de-DE"/>
    </w:rPr>
  </w:style>
  <w:style w:type="paragraph" w:customStyle="1" w:styleId="font14">
    <w:name w:val="font14"/>
    <w:basedOn w:val="Standard"/>
    <w:rsid w:val="00564942"/>
    <w:pPr>
      <w:spacing w:before="100" w:beforeAutospacing="1" w:after="100" w:afterAutospacing="1" w:line="240" w:lineRule="auto"/>
    </w:pPr>
    <w:rPr>
      <w:rFonts w:ascii="Segoe UI" w:eastAsia="Times New Roman" w:hAnsi="Segoe UI" w:cs="Segoe UI"/>
      <w:color w:val="000000"/>
      <w:sz w:val="18"/>
      <w:szCs w:val="18"/>
      <w:lang w:eastAsia="de-DE"/>
    </w:rPr>
  </w:style>
  <w:style w:type="paragraph" w:customStyle="1" w:styleId="font15">
    <w:name w:val="font15"/>
    <w:basedOn w:val="Standard"/>
    <w:rsid w:val="00564942"/>
    <w:pPr>
      <w:spacing w:before="100" w:beforeAutospacing="1" w:after="100" w:afterAutospacing="1" w:line="240" w:lineRule="auto"/>
    </w:pPr>
    <w:rPr>
      <w:rFonts w:ascii="Segoe UI" w:eastAsia="Times New Roman" w:hAnsi="Segoe UI" w:cs="Segoe UI"/>
      <w:b/>
      <w:bCs/>
      <w:color w:val="000000"/>
      <w:sz w:val="18"/>
      <w:szCs w:val="18"/>
      <w:lang w:eastAsia="de-DE"/>
    </w:rPr>
  </w:style>
  <w:style w:type="paragraph" w:customStyle="1" w:styleId="font16">
    <w:name w:val="font16"/>
    <w:basedOn w:val="Standard"/>
    <w:rsid w:val="00564942"/>
    <w:pPr>
      <w:spacing w:before="100" w:beforeAutospacing="1" w:after="100" w:afterAutospacing="1" w:line="240" w:lineRule="auto"/>
    </w:pPr>
    <w:rPr>
      <w:rFonts w:ascii="Segoe UI" w:eastAsia="Times New Roman" w:hAnsi="Segoe UI" w:cs="Segoe UI"/>
      <w:b/>
      <w:bCs/>
      <w:color w:val="000000"/>
      <w:sz w:val="18"/>
      <w:szCs w:val="18"/>
      <w:lang w:eastAsia="de-DE"/>
    </w:rPr>
  </w:style>
  <w:style w:type="paragraph" w:customStyle="1" w:styleId="font17">
    <w:name w:val="font17"/>
    <w:basedOn w:val="Standard"/>
    <w:rsid w:val="00564942"/>
    <w:pPr>
      <w:spacing w:before="100" w:beforeAutospacing="1" w:after="100" w:afterAutospacing="1" w:line="240" w:lineRule="auto"/>
    </w:pPr>
    <w:rPr>
      <w:rFonts w:ascii="Segoe UI" w:eastAsia="Times New Roman" w:hAnsi="Segoe UI" w:cs="Segoe UI"/>
      <w:color w:val="000000"/>
      <w:sz w:val="18"/>
      <w:szCs w:val="18"/>
      <w:lang w:eastAsia="de-DE"/>
    </w:rPr>
  </w:style>
  <w:style w:type="paragraph" w:customStyle="1" w:styleId="xl65">
    <w:name w:val="xl65"/>
    <w:basedOn w:val="Standard"/>
    <w:rsid w:val="00564942"/>
    <w:pPr>
      <w:pBdr>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de-DE"/>
    </w:rPr>
  </w:style>
  <w:style w:type="paragraph" w:customStyle="1" w:styleId="xl66">
    <w:name w:val="xl66"/>
    <w:basedOn w:val="Standard"/>
    <w:rsid w:val="00564942"/>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de-DE"/>
    </w:rPr>
  </w:style>
  <w:style w:type="paragraph" w:customStyle="1" w:styleId="xl67">
    <w:name w:val="xl67"/>
    <w:basedOn w:val="Standard"/>
    <w:rsid w:val="00564942"/>
    <w:pPr>
      <w:spacing w:before="100" w:beforeAutospacing="1" w:after="100" w:afterAutospacing="1" w:line="240" w:lineRule="auto"/>
    </w:pPr>
    <w:rPr>
      <w:rFonts w:ascii="Times New Roman" w:eastAsia="Times New Roman" w:hAnsi="Times New Roman" w:cs="Times New Roman"/>
      <w:b/>
      <w:bCs/>
      <w:sz w:val="16"/>
      <w:szCs w:val="16"/>
      <w:lang w:eastAsia="de-DE"/>
    </w:rPr>
  </w:style>
  <w:style w:type="paragraph" w:customStyle="1" w:styleId="xl68">
    <w:name w:val="xl68"/>
    <w:basedOn w:val="Standard"/>
    <w:rsid w:val="00564942"/>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xl69">
    <w:name w:val="xl69"/>
    <w:basedOn w:val="Standard"/>
    <w:rsid w:val="00564942"/>
    <w:pPr>
      <w:pBdr>
        <w:top w:val="single" w:sz="8" w:space="0" w:color="auto"/>
        <w:bottom w:val="single" w:sz="8"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20"/>
      <w:szCs w:val="20"/>
      <w:lang w:eastAsia="de-DE"/>
    </w:rPr>
  </w:style>
  <w:style w:type="paragraph" w:customStyle="1" w:styleId="xl70">
    <w:name w:val="xl70"/>
    <w:basedOn w:val="Standard"/>
    <w:rsid w:val="00564942"/>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xl71">
    <w:name w:val="xl71"/>
    <w:basedOn w:val="Standard"/>
    <w:rsid w:val="00564942"/>
    <w:pPr>
      <w:pBdr>
        <w:top w:val="single" w:sz="8" w:space="0" w:color="8E8E8E"/>
        <w:bottom w:val="single" w:sz="8" w:space="0" w:color="8E8E8E"/>
      </w:pBdr>
      <w:spacing w:before="100" w:beforeAutospacing="1" w:after="100" w:afterAutospacing="1" w:line="240" w:lineRule="auto"/>
      <w:textAlignment w:val="center"/>
    </w:pPr>
    <w:rPr>
      <w:rFonts w:ascii="Georgia" w:eastAsia="Times New Roman" w:hAnsi="Georgia" w:cs="Times New Roman"/>
      <w:color w:val="1F1F1F"/>
      <w:sz w:val="16"/>
      <w:szCs w:val="16"/>
      <w:lang w:eastAsia="de-DE"/>
    </w:rPr>
  </w:style>
  <w:style w:type="paragraph" w:customStyle="1" w:styleId="xl72">
    <w:name w:val="xl72"/>
    <w:basedOn w:val="Standard"/>
    <w:rsid w:val="00564942"/>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xl73">
    <w:name w:val="xl73"/>
    <w:basedOn w:val="Standard"/>
    <w:rsid w:val="00564942"/>
    <w:pPr>
      <w:spacing w:before="100" w:beforeAutospacing="1" w:after="100" w:afterAutospacing="1" w:line="240" w:lineRule="auto"/>
    </w:pPr>
    <w:rPr>
      <w:rFonts w:ascii="Georgia" w:eastAsia="Times New Roman" w:hAnsi="Georgia" w:cs="Times New Roman"/>
      <w:color w:val="1F1F1F"/>
      <w:sz w:val="16"/>
      <w:szCs w:val="16"/>
      <w:lang w:eastAsia="de-DE"/>
    </w:rPr>
  </w:style>
  <w:style w:type="paragraph" w:customStyle="1" w:styleId="xl74">
    <w:name w:val="xl74"/>
    <w:basedOn w:val="Standard"/>
    <w:rsid w:val="00564942"/>
    <w:pPr>
      <w:spacing w:before="100" w:beforeAutospacing="1" w:after="100" w:afterAutospacing="1" w:line="240" w:lineRule="auto"/>
      <w:textAlignment w:val="top"/>
    </w:pPr>
    <w:rPr>
      <w:rFonts w:ascii="Times New Roman" w:eastAsia="Times New Roman" w:hAnsi="Times New Roman" w:cs="Times New Roman"/>
      <w:sz w:val="16"/>
      <w:szCs w:val="16"/>
      <w:lang w:eastAsia="de-DE"/>
    </w:rPr>
  </w:style>
  <w:style w:type="paragraph" w:customStyle="1" w:styleId="xl75">
    <w:name w:val="xl75"/>
    <w:basedOn w:val="Standard"/>
    <w:rsid w:val="00564942"/>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de-DE"/>
    </w:rPr>
  </w:style>
  <w:style w:type="paragraph" w:customStyle="1" w:styleId="xl76">
    <w:name w:val="xl76"/>
    <w:basedOn w:val="Standard"/>
    <w:rsid w:val="0056494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de-DE"/>
    </w:rPr>
  </w:style>
  <w:style w:type="paragraph" w:customStyle="1" w:styleId="xl77">
    <w:name w:val="xl77"/>
    <w:basedOn w:val="Standard"/>
    <w:rsid w:val="00564942"/>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de-DE"/>
    </w:rPr>
  </w:style>
  <w:style w:type="paragraph" w:customStyle="1" w:styleId="xl78">
    <w:name w:val="xl78"/>
    <w:basedOn w:val="Standard"/>
    <w:rsid w:val="00564942"/>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de-DE"/>
    </w:rPr>
  </w:style>
  <w:style w:type="paragraph" w:customStyle="1" w:styleId="xl79">
    <w:name w:val="xl79"/>
    <w:basedOn w:val="Standard"/>
    <w:rsid w:val="00564942"/>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de-DE"/>
    </w:rPr>
  </w:style>
  <w:style w:type="paragraph" w:customStyle="1" w:styleId="xl80">
    <w:name w:val="xl80"/>
    <w:basedOn w:val="Standard"/>
    <w:rsid w:val="00564942"/>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lang w:eastAsia="de-DE"/>
    </w:rPr>
  </w:style>
  <w:style w:type="paragraph" w:customStyle="1" w:styleId="xl81">
    <w:name w:val="xl81"/>
    <w:basedOn w:val="Standard"/>
    <w:rsid w:val="00564942"/>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de-DE"/>
    </w:rPr>
  </w:style>
  <w:style w:type="paragraph" w:customStyle="1" w:styleId="xl82">
    <w:name w:val="xl82"/>
    <w:basedOn w:val="Standard"/>
    <w:rsid w:val="00564942"/>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de-DE"/>
    </w:rPr>
  </w:style>
  <w:style w:type="paragraph" w:customStyle="1" w:styleId="xl83">
    <w:name w:val="xl83"/>
    <w:basedOn w:val="Standard"/>
    <w:rsid w:val="00564942"/>
    <w:pPr>
      <w:spacing w:before="100" w:beforeAutospacing="1" w:after="100" w:afterAutospacing="1" w:line="240" w:lineRule="auto"/>
      <w:jc w:val="right"/>
      <w:textAlignment w:val="top"/>
    </w:pPr>
    <w:rPr>
      <w:rFonts w:ascii="Times New Roman" w:eastAsia="Times New Roman" w:hAnsi="Times New Roman" w:cs="Times New Roman"/>
      <w:sz w:val="16"/>
      <w:szCs w:val="16"/>
      <w:lang w:eastAsia="de-DE"/>
    </w:rPr>
  </w:style>
  <w:style w:type="paragraph" w:customStyle="1" w:styleId="xl84">
    <w:name w:val="xl84"/>
    <w:basedOn w:val="Standard"/>
    <w:rsid w:val="00564942"/>
    <w:pPr>
      <w:spacing w:before="100" w:beforeAutospacing="1" w:after="100" w:afterAutospacing="1" w:line="240" w:lineRule="auto"/>
      <w:textAlignment w:val="top"/>
    </w:pPr>
    <w:rPr>
      <w:rFonts w:ascii="Times New Roman" w:eastAsia="Times New Roman" w:hAnsi="Times New Roman" w:cs="Times New Roman"/>
      <w:sz w:val="16"/>
      <w:szCs w:val="16"/>
      <w:lang w:eastAsia="de-DE"/>
    </w:rPr>
  </w:style>
  <w:style w:type="paragraph" w:customStyle="1" w:styleId="xl85">
    <w:name w:val="xl85"/>
    <w:basedOn w:val="Standard"/>
    <w:rsid w:val="00564942"/>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de-DE"/>
    </w:rPr>
  </w:style>
  <w:style w:type="paragraph" w:customStyle="1" w:styleId="xl86">
    <w:name w:val="xl86"/>
    <w:basedOn w:val="Standard"/>
    <w:rsid w:val="00564942"/>
    <w:pPr>
      <w:spacing w:before="100" w:beforeAutospacing="1" w:after="100" w:afterAutospacing="1" w:line="240" w:lineRule="auto"/>
      <w:jc w:val="right"/>
      <w:textAlignment w:val="top"/>
    </w:pPr>
    <w:rPr>
      <w:rFonts w:ascii="Times New Roman" w:eastAsia="Times New Roman" w:hAnsi="Times New Roman" w:cs="Times New Roman"/>
      <w:sz w:val="16"/>
      <w:szCs w:val="16"/>
      <w:lang w:eastAsia="de-DE"/>
    </w:rPr>
  </w:style>
  <w:style w:type="paragraph" w:customStyle="1" w:styleId="xl87">
    <w:name w:val="xl87"/>
    <w:basedOn w:val="Standard"/>
    <w:rsid w:val="00564942"/>
    <w:pPr>
      <w:spacing w:before="100" w:beforeAutospacing="1" w:after="100" w:afterAutospacing="1" w:line="240" w:lineRule="auto"/>
      <w:textAlignment w:val="top"/>
    </w:pPr>
    <w:rPr>
      <w:rFonts w:ascii="Times New Roman" w:eastAsia="Times New Roman" w:hAnsi="Times New Roman" w:cs="Times New Roman"/>
      <w:b/>
      <w:bCs/>
      <w:sz w:val="16"/>
      <w:szCs w:val="16"/>
      <w:lang w:eastAsia="de-DE"/>
    </w:rPr>
  </w:style>
  <w:style w:type="paragraph" w:customStyle="1" w:styleId="xl88">
    <w:name w:val="xl88"/>
    <w:basedOn w:val="Standard"/>
    <w:rsid w:val="00564942"/>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lang w:eastAsia="de-DE"/>
    </w:rPr>
  </w:style>
  <w:style w:type="paragraph" w:customStyle="1" w:styleId="xl89">
    <w:name w:val="xl89"/>
    <w:basedOn w:val="Standard"/>
    <w:rsid w:val="00564942"/>
    <w:pPr>
      <w:spacing w:before="100" w:beforeAutospacing="1" w:after="100" w:afterAutospacing="1" w:line="240" w:lineRule="auto"/>
      <w:textAlignment w:val="top"/>
    </w:pPr>
    <w:rPr>
      <w:rFonts w:ascii="Times New Roman" w:eastAsia="Times New Roman" w:hAnsi="Times New Roman" w:cs="Times New Roman"/>
      <w:sz w:val="16"/>
      <w:szCs w:val="16"/>
      <w:lang w:eastAsia="de-DE"/>
    </w:rPr>
  </w:style>
  <w:style w:type="paragraph" w:customStyle="1" w:styleId="xl90">
    <w:name w:val="xl90"/>
    <w:basedOn w:val="Standard"/>
    <w:rsid w:val="00564942"/>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de-DE"/>
    </w:rPr>
  </w:style>
  <w:style w:type="paragraph" w:customStyle="1" w:styleId="xl91">
    <w:name w:val="xl91"/>
    <w:basedOn w:val="Standard"/>
    <w:rsid w:val="00564942"/>
    <w:pPr>
      <w:spacing w:before="100" w:beforeAutospacing="1" w:after="100" w:afterAutospacing="1" w:line="240" w:lineRule="auto"/>
    </w:pPr>
    <w:rPr>
      <w:rFonts w:ascii="Times New Roman" w:eastAsia="Times New Roman" w:hAnsi="Times New Roman" w:cs="Times New Roman"/>
      <w:b/>
      <w:bCs/>
      <w:sz w:val="16"/>
      <w:szCs w:val="16"/>
      <w:lang w:eastAsia="de-DE"/>
    </w:rPr>
  </w:style>
  <w:style w:type="paragraph" w:customStyle="1" w:styleId="xl92">
    <w:name w:val="xl92"/>
    <w:basedOn w:val="Standard"/>
    <w:rsid w:val="00564942"/>
    <w:pPr>
      <w:spacing w:before="100" w:beforeAutospacing="1" w:after="100" w:afterAutospacing="1" w:line="240" w:lineRule="auto"/>
      <w:textAlignment w:val="top"/>
    </w:pPr>
    <w:rPr>
      <w:rFonts w:ascii="Times New Roman" w:eastAsia="Times New Roman" w:hAnsi="Times New Roman" w:cs="Times New Roman"/>
      <w:b/>
      <w:bCs/>
      <w:sz w:val="16"/>
      <w:szCs w:val="16"/>
      <w:lang w:eastAsia="de-DE"/>
    </w:rPr>
  </w:style>
  <w:style w:type="paragraph" w:customStyle="1" w:styleId="xl93">
    <w:name w:val="xl93"/>
    <w:basedOn w:val="Standard"/>
    <w:rsid w:val="00564942"/>
    <w:pPr>
      <w:spacing w:before="100" w:beforeAutospacing="1" w:after="100" w:afterAutospacing="1" w:line="240" w:lineRule="auto"/>
    </w:pPr>
    <w:rPr>
      <w:rFonts w:ascii="Times New Roman" w:eastAsia="Times New Roman" w:hAnsi="Times New Roman" w:cs="Times New Roman"/>
      <w:sz w:val="16"/>
      <w:szCs w:val="16"/>
      <w:lang w:eastAsia="de-DE"/>
    </w:rPr>
  </w:style>
  <w:style w:type="paragraph" w:customStyle="1" w:styleId="xl94">
    <w:name w:val="xl94"/>
    <w:basedOn w:val="Standard"/>
    <w:rsid w:val="00564942"/>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xl95">
    <w:name w:val="xl95"/>
    <w:basedOn w:val="Standard"/>
    <w:rsid w:val="00564942"/>
    <w:pPr>
      <w:spacing w:before="100" w:beforeAutospacing="1" w:after="100" w:afterAutospacing="1" w:line="240" w:lineRule="auto"/>
    </w:pPr>
    <w:rPr>
      <w:rFonts w:ascii="Times New Roman" w:eastAsia="Times New Roman" w:hAnsi="Times New Roman" w:cs="Times New Roman"/>
      <w:sz w:val="16"/>
      <w:szCs w:val="16"/>
      <w:lang w:eastAsia="de-DE"/>
    </w:rPr>
  </w:style>
  <w:style w:type="paragraph" w:customStyle="1" w:styleId="xl96">
    <w:name w:val="xl96"/>
    <w:basedOn w:val="Standard"/>
    <w:rsid w:val="00564942"/>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de-DE"/>
    </w:rPr>
  </w:style>
  <w:style w:type="paragraph" w:customStyle="1" w:styleId="xl97">
    <w:name w:val="xl97"/>
    <w:basedOn w:val="Standard"/>
    <w:rsid w:val="00564942"/>
    <w:pPr>
      <w:spacing w:before="100" w:beforeAutospacing="1" w:after="100" w:afterAutospacing="1" w:line="240" w:lineRule="auto"/>
    </w:pPr>
    <w:rPr>
      <w:rFonts w:ascii="Georgia" w:eastAsia="Times New Roman" w:hAnsi="Georgia" w:cs="Times New Roman"/>
      <w:color w:val="1F1F1F"/>
      <w:sz w:val="16"/>
      <w:szCs w:val="16"/>
      <w:lang w:eastAsia="de-DE"/>
    </w:rPr>
  </w:style>
  <w:style w:type="paragraph" w:customStyle="1" w:styleId="xl98">
    <w:name w:val="xl98"/>
    <w:basedOn w:val="Standard"/>
    <w:rsid w:val="00564942"/>
    <w:pPr>
      <w:spacing w:before="100" w:beforeAutospacing="1" w:after="100" w:afterAutospacing="1" w:line="240" w:lineRule="auto"/>
      <w:textAlignment w:val="top"/>
    </w:pPr>
    <w:rPr>
      <w:rFonts w:ascii="Times New Roman" w:eastAsia="Times New Roman" w:hAnsi="Times New Roman" w:cs="Times New Roman"/>
      <w:b/>
      <w:bCs/>
      <w:sz w:val="16"/>
      <w:szCs w:val="16"/>
      <w:lang w:eastAsia="de-DE"/>
    </w:rPr>
  </w:style>
  <w:style w:type="paragraph" w:customStyle="1" w:styleId="xl99">
    <w:name w:val="xl99"/>
    <w:basedOn w:val="Standard"/>
    <w:rsid w:val="00564942"/>
    <w:pPr>
      <w:spacing w:before="100" w:beforeAutospacing="1" w:after="100" w:afterAutospacing="1" w:line="240" w:lineRule="auto"/>
      <w:textAlignment w:val="top"/>
    </w:pPr>
    <w:rPr>
      <w:rFonts w:ascii="Georgia" w:eastAsia="Times New Roman" w:hAnsi="Georgia" w:cs="Times New Roman"/>
      <w:b/>
      <w:bCs/>
      <w:i/>
      <w:iCs/>
      <w:sz w:val="16"/>
      <w:szCs w:val="16"/>
      <w:lang w:eastAsia="de-DE"/>
    </w:rPr>
  </w:style>
  <w:style w:type="paragraph" w:customStyle="1" w:styleId="xl100">
    <w:name w:val="xl100"/>
    <w:basedOn w:val="Standard"/>
    <w:rsid w:val="00564942"/>
    <w:pPr>
      <w:spacing w:before="100" w:beforeAutospacing="1" w:after="100" w:afterAutospacing="1" w:line="240" w:lineRule="auto"/>
    </w:pPr>
    <w:rPr>
      <w:rFonts w:ascii="Times New Roman" w:eastAsia="Times New Roman" w:hAnsi="Times New Roman" w:cs="Times New Roman"/>
      <w:color w:val="808080"/>
      <w:sz w:val="24"/>
      <w:szCs w:val="24"/>
      <w:lang w:eastAsia="de-DE"/>
    </w:rPr>
  </w:style>
  <w:style w:type="paragraph" w:customStyle="1" w:styleId="xl101">
    <w:name w:val="xl101"/>
    <w:basedOn w:val="Standard"/>
    <w:rsid w:val="00564942"/>
    <w:pPr>
      <w:spacing w:before="100" w:beforeAutospacing="1" w:after="100" w:afterAutospacing="1" w:line="240" w:lineRule="auto"/>
    </w:pPr>
    <w:rPr>
      <w:rFonts w:ascii="Times New Roman" w:eastAsia="Times New Roman" w:hAnsi="Times New Roman" w:cs="Times New Roman"/>
      <w:b/>
      <w:bCs/>
      <w:sz w:val="24"/>
      <w:szCs w:val="24"/>
      <w:lang w:eastAsia="de-DE"/>
    </w:rPr>
  </w:style>
  <w:style w:type="paragraph" w:customStyle="1" w:styleId="xl102">
    <w:name w:val="xl102"/>
    <w:basedOn w:val="Standard"/>
    <w:rsid w:val="00564942"/>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de-DE"/>
    </w:rPr>
  </w:style>
  <w:style w:type="paragraph" w:customStyle="1" w:styleId="xl103">
    <w:name w:val="xl103"/>
    <w:basedOn w:val="Standard"/>
    <w:rsid w:val="00564942"/>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de-DE"/>
    </w:rPr>
  </w:style>
  <w:style w:type="paragraph" w:customStyle="1" w:styleId="xl104">
    <w:name w:val="xl104"/>
    <w:basedOn w:val="Standard"/>
    <w:rsid w:val="00564942"/>
    <w:pPr>
      <w:pBdr>
        <w:top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de-DE"/>
    </w:rPr>
  </w:style>
  <w:style w:type="paragraph" w:customStyle="1" w:styleId="xl105">
    <w:name w:val="xl105"/>
    <w:basedOn w:val="Standard"/>
    <w:rsid w:val="00564942"/>
    <w:pPr>
      <w:pBdr>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de-DE"/>
    </w:rPr>
  </w:style>
  <w:style w:type="paragraph" w:customStyle="1" w:styleId="xl106">
    <w:name w:val="xl106"/>
    <w:basedOn w:val="Standard"/>
    <w:rsid w:val="00564942"/>
    <w:pPr>
      <w:spacing w:before="100" w:beforeAutospacing="1" w:after="100" w:afterAutospacing="1" w:line="240" w:lineRule="auto"/>
      <w:textAlignment w:val="top"/>
    </w:pPr>
    <w:rPr>
      <w:rFonts w:ascii="Times New Roman" w:eastAsia="Times New Roman" w:hAnsi="Times New Roman" w:cs="Times New Roman"/>
      <w:sz w:val="16"/>
      <w:szCs w:val="16"/>
      <w:lang w:eastAsia="de-DE"/>
    </w:rPr>
  </w:style>
  <w:style w:type="paragraph" w:customStyle="1" w:styleId="xl107">
    <w:name w:val="xl107"/>
    <w:basedOn w:val="Standard"/>
    <w:rsid w:val="00564942"/>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de-DE"/>
    </w:rPr>
  </w:style>
  <w:style w:type="paragraph" w:customStyle="1" w:styleId="xl108">
    <w:name w:val="xl108"/>
    <w:basedOn w:val="Standard"/>
    <w:rsid w:val="00564942"/>
    <w:pPr>
      <w:pBdr>
        <w:top w:val="single" w:sz="8"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lang w:eastAsia="de-DE"/>
    </w:rPr>
  </w:style>
  <w:style w:type="paragraph" w:customStyle="1" w:styleId="xl109">
    <w:name w:val="xl109"/>
    <w:basedOn w:val="Standard"/>
    <w:rsid w:val="00564942"/>
    <w:pPr>
      <w:pBdr>
        <w:top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lang w:eastAsia="de-DE"/>
    </w:rPr>
  </w:style>
  <w:style w:type="paragraph" w:customStyle="1" w:styleId="xl110">
    <w:name w:val="xl110"/>
    <w:basedOn w:val="Standard"/>
    <w:rsid w:val="00564942"/>
    <w:pPr>
      <w:pBdr>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lang w:eastAsia="de-DE"/>
    </w:rPr>
  </w:style>
  <w:style w:type="paragraph" w:customStyle="1" w:styleId="xl111">
    <w:name w:val="xl111"/>
    <w:basedOn w:val="Standard"/>
    <w:rsid w:val="00564942"/>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de-DE"/>
    </w:rPr>
  </w:style>
  <w:style w:type="paragraph" w:customStyle="1" w:styleId="xl112">
    <w:name w:val="xl112"/>
    <w:basedOn w:val="Standard"/>
    <w:rsid w:val="00564942"/>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de-DE"/>
    </w:rPr>
  </w:style>
  <w:style w:type="paragraph" w:customStyle="1" w:styleId="xl113">
    <w:name w:val="xl113"/>
    <w:basedOn w:val="Standard"/>
    <w:rsid w:val="00564942"/>
    <w:pPr>
      <w:pBdr>
        <w:top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0"/>
      <w:szCs w:val="20"/>
      <w:lang w:eastAsia="de-DE"/>
    </w:rPr>
  </w:style>
  <w:style w:type="paragraph" w:customStyle="1" w:styleId="xl114">
    <w:name w:val="xl114"/>
    <w:basedOn w:val="Standard"/>
    <w:rsid w:val="00564942"/>
    <w:pPr>
      <w:pBdr>
        <w:top w:val="single" w:sz="8" w:space="0" w:color="auto"/>
      </w:pBdr>
      <w:spacing w:before="100" w:beforeAutospacing="1" w:after="100" w:afterAutospacing="1" w:line="240" w:lineRule="auto"/>
    </w:pPr>
    <w:rPr>
      <w:rFonts w:ascii="Times New Roman" w:eastAsia="Times New Roman" w:hAnsi="Times New Roman" w:cs="Times New Roman"/>
      <w:b/>
      <w:bCs/>
      <w:sz w:val="16"/>
      <w:szCs w:val="16"/>
      <w:lang w:eastAsia="de-DE"/>
    </w:rPr>
  </w:style>
  <w:style w:type="paragraph" w:customStyle="1" w:styleId="xl115">
    <w:name w:val="xl115"/>
    <w:basedOn w:val="Standard"/>
    <w:rsid w:val="00564942"/>
    <w:pPr>
      <w:pBdr>
        <w:top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de-DE"/>
    </w:rPr>
  </w:style>
  <w:style w:type="paragraph" w:customStyle="1" w:styleId="xl116">
    <w:name w:val="xl116"/>
    <w:basedOn w:val="Standard"/>
    <w:rsid w:val="00564942"/>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0"/>
      <w:szCs w:val="20"/>
      <w:lang w:eastAsia="de-DE"/>
    </w:rPr>
  </w:style>
  <w:style w:type="paragraph" w:customStyle="1" w:styleId="xl117">
    <w:name w:val="xl117"/>
    <w:basedOn w:val="Standard"/>
    <w:rsid w:val="00564942"/>
    <w:pPr>
      <w:spacing w:before="100" w:beforeAutospacing="1" w:after="100" w:afterAutospacing="1" w:line="240" w:lineRule="auto"/>
    </w:pPr>
    <w:rPr>
      <w:rFonts w:ascii="Times New Roman" w:eastAsia="Times New Roman" w:hAnsi="Times New Roman" w:cs="Times New Roman"/>
      <w:b/>
      <w:bCs/>
      <w:sz w:val="20"/>
      <w:szCs w:val="20"/>
      <w:lang w:eastAsia="de-DE"/>
    </w:rPr>
  </w:style>
  <w:style w:type="paragraph" w:customStyle="1" w:styleId="berarbeitung1">
    <w:name w:val="Überarbeitung1"/>
    <w:next w:val="berarbeitung"/>
    <w:hidden/>
    <w:uiPriority w:val="99"/>
    <w:semiHidden/>
    <w:rsid w:val="00564942"/>
    <w:pPr>
      <w:spacing w:after="0" w:line="240" w:lineRule="auto"/>
    </w:pPr>
    <w:rPr>
      <w:rFonts w:eastAsia="Times New Roman" w:cs="Arial"/>
      <w:color w:val="333333"/>
      <w:sz w:val="20"/>
      <w:szCs w:val="20"/>
      <w:lang w:val="en-US" w:eastAsia="de-DE"/>
    </w:rPr>
  </w:style>
  <w:style w:type="numbering" w:customStyle="1" w:styleId="Listeneutraldezimal">
    <w:name w:val="Liste neutral dezimal"/>
    <w:uiPriority w:val="99"/>
    <w:rsid w:val="00564942"/>
    <w:pPr>
      <w:numPr>
        <w:numId w:val="17"/>
      </w:numPr>
    </w:pPr>
  </w:style>
  <w:style w:type="paragraph" w:styleId="Titel">
    <w:name w:val="Title"/>
    <w:basedOn w:val="Standard"/>
    <w:next w:val="Standard"/>
    <w:link w:val="TitelZchn1"/>
    <w:uiPriority w:val="10"/>
    <w:qFormat/>
    <w:rsid w:val="0056494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1">
    <w:name w:val="Titel Zchn1"/>
    <w:basedOn w:val="Absatz-Standardschriftart"/>
    <w:link w:val="Titel"/>
    <w:uiPriority w:val="10"/>
    <w:rsid w:val="00564942"/>
    <w:rPr>
      <w:rFonts w:asciiTheme="majorHAnsi" w:eastAsiaTheme="majorEastAsia" w:hAnsiTheme="majorHAnsi" w:cstheme="majorBidi"/>
      <w:spacing w:val="-10"/>
      <w:kern w:val="28"/>
      <w:sz w:val="56"/>
      <w:szCs w:val="56"/>
    </w:rPr>
  </w:style>
  <w:style w:type="character" w:customStyle="1" w:styleId="berschrift1Zchn1">
    <w:name w:val="Überschrift 1 Zchn1"/>
    <w:basedOn w:val="Absatz-Standardschriftart"/>
    <w:uiPriority w:val="9"/>
    <w:rsid w:val="00564942"/>
    <w:rPr>
      <w:rFonts w:asciiTheme="majorHAnsi" w:eastAsiaTheme="majorEastAsia" w:hAnsiTheme="majorHAnsi" w:cstheme="majorBidi"/>
      <w:color w:val="2F5496" w:themeColor="accent1" w:themeShade="BF"/>
      <w:sz w:val="32"/>
      <w:szCs w:val="32"/>
    </w:rPr>
  </w:style>
  <w:style w:type="character" w:customStyle="1" w:styleId="berschrift2Zchn1">
    <w:name w:val="Überschrift 2 Zchn1"/>
    <w:basedOn w:val="Absatz-Standardschriftart"/>
    <w:uiPriority w:val="9"/>
    <w:semiHidden/>
    <w:rsid w:val="00564942"/>
    <w:rPr>
      <w:rFonts w:asciiTheme="majorHAnsi" w:eastAsiaTheme="majorEastAsia" w:hAnsiTheme="majorHAnsi" w:cstheme="majorBidi"/>
      <w:color w:val="2F5496" w:themeColor="accent1" w:themeShade="BF"/>
      <w:sz w:val="26"/>
      <w:szCs w:val="26"/>
    </w:rPr>
  </w:style>
  <w:style w:type="character" w:customStyle="1" w:styleId="berschrift3Zchn1">
    <w:name w:val="Überschrift 3 Zchn1"/>
    <w:basedOn w:val="Absatz-Standardschriftart"/>
    <w:uiPriority w:val="9"/>
    <w:semiHidden/>
    <w:rsid w:val="00564942"/>
    <w:rPr>
      <w:rFonts w:asciiTheme="majorHAnsi" w:eastAsiaTheme="majorEastAsia" w:hAnsiTheme="majorHAnsi" w:cstheme="majorBidi"/>
      <w:color w:val="1F3763" w:themeColor="accent1" w:themeShade="7F"/>
      <w:sz w:val="24"/>
      <w:szCs w:val="24"/>
    </w:rPr>
  </w:style>
  <w:style w:type="character" w:customStyle="1" w:styleId="berschrift4Zchn1">
    <w:name w:val="Überschrift 4 Zchn1"/>
    <w:basedOn w:val="Absatz-Standardschriftart"/>
    <w:uiPriority w:val="9"/>
    <w:semiHidden/>
    <w:rsid w:val="00564942"/>
    <w:rPr>
      <w:rFonts w:asciiTheme="majorHAnsi" w:eastAsiaTheme="majorEastAsia" w:hAnsiTheme="majorHAnsi" w:cstheme="majorBidi"/>
      <w:i/>
      <w:iCs/>
      <w:color w:val="2F5496" w:themeColor="accent1" w:themeShade="BF"/>
    </w:rPr>
  </w:style>
  <w:style w:type="character" w:customStyle="1" w:styleId="berschrift5Zchn1">
    <w:name w:val="Überschrift 5 Zchn1"/>
    <w:basedOn w:val="Absatz-Standardschriftart"/>
    <w:uiPriority w:val="9"/>
    <w:semiHidden/>
    <w:rsid w:val="00564942"/>
    <w:rPr>
      <w:rFonts w:asciiTheme="majorHAnsi" w:eastAsiaTheme="majorEastAsia" w:hAnsiTheme="majorHAnsi" w:cstheme="majorBidi"/>
      <w:color w:val="2F5496" w:themeColor="accent1" w:themeShade="BF"/>
    </w:rPr>
  </w:style>
  <w:style w:type="character" w:customStyle="1" w:styleId="berschrift6Zchn1">
    <w:name w:val="Überschrift 6 Zchn1"/>
    <w:basedOn w:val="Absatz-Standardschriftart"/>
    <w:uiPriority w:val="9"/>
    <w:semiHidden/>
    <w:rsid w:val="00564942"/>
    <w:rPr>
      <w:rFonts w:asciiTheme="majorHAnsi" w:eastAsiaTheme="majorEastAsia" w:hAnsiTheme="majorHAnsi" w:cstheme="majorBidi"/>
      <w:color w:val="1F3763" w:themeColor="accent1" w:themeShade="7F"/>
    </w:rPr>
  </w:style>
  <w:style w:type="character" w:customStyle="1" w:styleId="berschrift7Zchn1">
    <w:name w:val="Überschrift 7 Zchn1"/>
    <w:basedOn w:val="Absatz-Standardschriftart"/>
    <w:uiPriority w:val="9"/>
    <w:semiHidden/>
    <w:rsid w:val="00564942"/>
    <w:rPr>
      <w:rFonts w:asciiTheme="majorHAnsi" w:eastAsiaTheme="majorEastAsia" w:hAnsiTheme="majorHAnsi" w:cstheme="majorBidi"/>
      <w:i/>
      <w:iCs/>
      <w:color w:val="1F3763" w:themeColor="accent1" w:themeShade="7F"/>
    </w:rPr>
  </w:style>
  <w:style w:type="character" w:customStyle="1" w:styleId="berschrift8Zchn1">
    <w:name w:val="Überschrift 8 Zchn1"/>
    <w:basedOn w:val="Absatz-Standardschriftart"/>
    <w:uiPriority w:val="9"/>
    <w:semiHidden/>
    <w:rsid w:val="00564942"/>
    <w:rPr>
      <w:rFonts w:asciiTheme="majorHAnsi" w:eastAsiaTheme="majorEastAsia" w:hAnsiTheme="majorHAnsi" w:cstheme="majorBidi"/>
      <w:color w:val="272727" w:themeColor="text1" w:themeTint="D8"/>
      <w:sz w:val="21"/>
      <w:szCs w:val="21"/>
    </w:rPr>
  </w:style>
  <w:style w:type="character" w:customStyle="1" w:styleId="berschrift9Zchn1">
    <w:name w:val="Überschrift 9 Zchn1"/>
    <w:basedOn w:val="Absatz-Standardschriftart"/>
    <w:uiPriority w:val="9"/>
    <w:semiHidden/>
    <w:rsid w:val="00564942"/>
    <w:rPr>
      <w:rFonts w:asciiTheme="majorHAnsi" w:eastAsiaTheme="majorEastAsia" w:hAnsiTheme="majorHAnsi" w:cstheme="majorBidi"/>
      <w:i/>
      <w:iCs/>
      <w:color w:val="272727" w:themeColor="text1" w:themeTint="D8"/>
      <w:sz w:val="21"/>
      <w:szCs w:val="21"/>
    </w:rPr>
  </w:style>
  <w:style w:type="paragraph" w:styleId="Kopfzeile">
    <w:name w:val="header"/>
    <w:basedOn w:val="Standard"/>
    <w:link w:val="KopfzeileZchn1"/>
    <w:uiPriority w:val="99"/>
    <w:unhideWhenUsed/>
    <w:rsid w:val="00564942"/>
    <w:pPr>
      <w:tabs>
        <w:tab w:val="center" w:pos="4536"/>
        <w:tab w:val="right" w:pos="9072"/>
      </w:tabs>
      <w:spacing w:after="0" w:line="240" w:lineRule="auto"/>
    </w:pPr>
  </w:style>
  <w:style w:type="character" w:customStyle="1" w:styleId="KopfzeileZchn1">
    <w:name w:val="Kopfzeile Zchn1"/>
    <w:basedOn w:val="Absatz-Standardschriftart"/>
    <w:link w:val="Kopfzeile"/>
    <w:uiPriority w:val="99"/>
    <w:rsid w:val="00564942"/>
  </w:style>
  <w:style w:type="paragraph" w:styleId="Fuzeile">
    <w:name w:val="footer"/>
    <w:basedOn w:val="Standard"/>
    <w:link w:val="FuzeileZchn1"/>
    <w:uiPriority w:val="99"/>
    <w:unhideWhenUsed/>
    <w:rsid w:val="00564942"/>
    <w:pPr>
      <w:tabs>
        <w:tab w:val="center" w:pos="4536"/>
        <w:tab w:val="right" w:pos="9072"/>
      </w:tabs>
      <w:spacing w:after="0" w:line="240" w:lineRule="auto"/>
    </w:pPr>
  </w:style>
  <w:style w:type="character" w:customStyle="1" w:styleId="FuzeileZchn1">
    <w:name w:val="Fußzeile Zchn1"/>
    <w:basedOn w:val="Absatz-Standardschriftart"/>
    <w:link w:val="Fuzeile"/>
    <w:uiPriority w:val="99"/>
    <w:rsid w:val="00564942"/>
  </w:style>
  <w:style w:type="paragraph" w:styleId="Dokumentstruktur">
    <w:name w:val="Document Map"/>
    <w:basedOn w:val="Standard"/>
    <w:link w:val="DokumentstrukturZchn1"/>
    <w:uiPriority w:val="99"/>
    <w:semiHidden/>
    <w:unhideWhenUsed/>
    <w:rsid w:val="00564942"/>
    <w:pPr>
      <w:spacing w:after="0" w:line="240" w:lineRule="auto"/>
    </w:pPr>
    <w:rPr>
      <w:rFonts w:ascii="Segoe UI" w:hAnsi="Segoe UI" w:cs="Segoe UI"/>
      <w:sz w:val="16"/>
      <w:szCs w:val="16"/>
    </w:rPr>
  </w:style>
  <w:style w:type="character" w:customStyle="1" w:styleId="DokumentstrukturZchn1">
    <w:name w:val="Dokumentstruktur Zchn1"/>
    <w:basedOn w:val="Absatz-Standardschriftart"/>
    <w:link w:val="Dokumentstruktur"/>
    <w:uiPriority w:val="99"/>
    <w:semiHidden/>
    <w:rsid w:val="00564942"/>
    <w:rPr>
      <w:rFonts w:ascii="Segoe UI" w:hAnsi="Segoe UI" w:cs="Segoe UI"/>
      <w:sz w:val="16"/>
      <w:szCs w:val="16"/>
    </w:rPr>
  </w:style>
  <w:style w:type="character" w:styleId="Hyperlink">
    <w:name w:val="Hyperlink"/>
    <w:basedOn w:val="Absatz-Standardschriftart"/>
    <w:uiPriority w:val="99"/>
    <w:semiHidden/>
    <w:unhideWhenUsed/>
    <w:rsid w:val="00564942"/>
    <w:rPr>
      <w:color w:val="0563C1" w:themeColor="hyperlink"/>
      <w:u w:val="single"/>
    </w:rPr>
  </w:style>
  <w:style w:type="paragraph" w:styleId="Sprechblasentext">
    <w:name w:val="Balloon Text"/>
    <w:basedOn w:val="Standard"/>
    <w:link w:val="SprechblasentextZchn1"/>
    <w:uiPriority w:val="99"/>
    <w:semiHidden/>
    <w:unhideWhenUsed/>
    <w:rsid w:val="00564942"/>
    <w:pPr>
      <w:spacing w:after="0" w:line="240" w:lineRule="auto"/>
    </w:pPr>
    <w:rPr>
      <w:rFonts w:ascii="Segoe UI" w:hAnsi="Segoe UI" w:cs="Segoe UI"/>
      <w:sz w:val="18"/>
      <w:szCs w:val="18"/>
    </w:rPr>
  </w:style>
  <w:style w:type="character" w:customStyle="1" w:styleId="SprechblasentextZchn1">
    <w:name w:val="Sprechblasentext Zchn1"/>
    <w:basedOn w:val="Absatz-Standardschriftart"/>
    <w:link w:val="Sprechblasentext"/>
    <w:uiPriority w:val="99"/>
    <w:semiHidden/>
    <w:rsid w:val="00564942"/>
    <w:rPr>
      <w:rFonts w:ascii="Segoe UI" w:hAnsi="Segoe UI" w:cs="Segoe UI"/>
      <w:sz w:val="18"/>
      <w:szCs w:val="18"/>
    </w:rPr>
  </w:style>
  <w:style w:type="character" w:styleId="Fett">
    <w:name w:val="Strong"/>
    <w:basedOn w:val="Absatz-Standardschriftart"/>
    <w:uiPriority w:val="22"/>
    <w:qFormat/>
    <w:rsid w:val="00564942"/>
    <w:rPr>
      <w:b/>
      <w:bCs/>
    </w:rPr>
  </w:style>
  <w:style w:type="paragraph" w:styleId="Listenabsatz">
    <w:name w:val="List Paragraph"/>
    <w:basedOn w:val="Standard"/>
    <w:uiPriority w:val="34"/>
    <w:qFormat/>
    <w:rsid w:val="00564942"/>
    <w:pPr>
      <w:ind w:left="720"/>
      <w:contextualSpacing/>
    </w:pPr>
  </w:style>
  <w:style w:type="paragraph" w:styleId="Kommentartext">
    <w:name w:val="annotation text"/>
    <w:basedOn w:val="Standard"/>
    <w:link w:val="KommentartextZchn1"/>
    <w:unhideWhenUsed/>
    <w:rsid w:val="00564942"/>
    <w:pPr>
      <w:spacing w:line="240" w:lineRule="auto"/>
    </w:pPr>
    <w:rPr>
      <w:sz w:val="20"/>
      <w:szCs w:val="20"/>
    </w:rPr>
  </w:style>
  <w:style w:type="character" w:customStyle="1" w:styleId="KommentartextZchn1">
    <w:name w:val="Kommentartext Zchn1"/>
    <w:basedOn w:val="Absatz-Standardschriftart"/>
    <w:link w:val="Kommentartext"/>
    <w:uiPriority w:val="99"/>
    <w:semiHidden/>
    <w:rsid w:val="00564942"/>
    <w:rPr>
      <w:sz w:val="20"/>
      <w:szCs w:val="20"/>
    </w:rPr>
  </w:style>
  <w:style w:type="paragraph" w:styleId="Kommentarthema">
    <w:name w:val="annotation subject"/>
    <w:basedOn w:val="Kommentartext"/>
    <w:next w:val="Kommentartext"/>
    <w:link w:val="KommentarthemaZchn"/>
    <w:semiHidden/>
    <w:unhideWhenUsed/>
    <w:rsid w:val="00564942"/>
    <w:rPr>
      <w:sz w:val="22"/>
      <w:szCs w:val="22"/>
    </w:rPr>
  </w:style>
  <w:style w:type="character" w:customStyle="1" w:styleId="KommentarthemaZchn1">
    <w:name w:val="Kommentarthema Zchn1"/>
    <w:basedOn w:val="KommentartextZchn1"/>
    <w:uiPriority w:val="99"/>
    <w:semiHidden/>
    <w:rsid w:val="00564942"/>
    <w:rPr>
      <w:b/>
      <w:bCs/>
      <w:sz w:val="20"/>
      <w:szCs w:val="20"/>
    </w:rPr>
  </w:style>
  <w:style w:type="character" w:styleId="IntensiverVerweis">
    <w:name w:val="Intense Reference"/>
    <w:basedOn w:val="Absatz-Standardschriftart"/>
    <w:uiPriority w:val="32"/>
    <w:qFormat/>
    <w:rsid w:val="00564942"/>
    <w:rPr>
      <w:b/>
      <w:bCs/>
      <w:smallCaps/>
      <w:color w:val="4472C4" w:themeColor="accent1"/>
      <w:spacing w:val="5"/>
    </w:rPr>
  </w:style>
  <w:style w:type="character" w:styleId="SchwacherVerweis">
    <w:name w:val="Subtle Reference"/>
    <w:basedOn w:val="Absatz-Standardschriftart"/>
    <w:uiPriority w:val="31"/>
    <w:qFormat/>
    <w:rsid w:val="00564942"/>
    <w:rPr>
      <w:smallCaps/>
      <w:color w:val="5A5A5A" w:themeColor="text1" w:themeTint="A5"/>
    </w:rPr>
  </w:style>
  <w:style w:type="character" w:styleId="IntensiveHervorhebung">
    <w:name w:val="Intense Emphasis"/>
    <w:basedOn w:val="Absatz-Standardschriftart"/>
    <w:uiPriority w:val="21"/>
    <w:qFormat/>
    <w:rsid w:val="00564942"/>
    <w:rPr>
      <w:i/>
      <w:iCs/>
      <w:color w:val="4472C4" w:themeColor="accent1"/>
    </w:rPr>
  </w:style>
  <w:style w:type="character" w:styleId="SchwacheHervorhebung">
    <w:name w:val="Subtle Emphasis"/>
    <w:basedOn w:val="Absatz-Standardschriftart"/>
    <w:uiPriority w:val="19"/>
    <w:qFormat/>
    <w:rsid w:val="00564942"/>
    <w:rPr>
      <w:i/>
      <w:iCs/>
      <w:color w:val="404040" w:themeColor="text1" w:themeTint="BF"/>
    </w:rPr>
  </w:style>
  <w:style w:type="paragraph" w:styleId="IntensivesZitat">
    <w:name w:val="Intense Quote"/>
    <w:basedOn w:val="Standard"/>
    <w:next w:val="Standard"/>
    <w:link w:val="IntensivesZitatZchn"/>
    <w:uiPriority w:val="30"/>
    <w:qFormat/>
    <w:rsid w:val="00564942"/>
    <w:pPr>
      <w:pBdr>
        <w:top w:val="single" w:sz="4" w:space="10" w:color="4472C4" w:themeColor="accent1"/>
        <w:bottom w:val="single" w:sz="4" w:space="10" w:color="4472C4" w:themeColor="accent1"/>
      </w:pBdr>
      <w:spacing w:before="360" w:after="360"/>
      <w:ind w:left="864" w:right="864"/>
      <w:jc w:val="center"/>
    </w:pPr>
    <w:rPr>
      <w:rFonts w:ascii="Calibri Light" w:hAnsi="Calibri Light" w:cs="Arial"/>
      <w:i/>
      <w:iCs/>
      <w:color w:val="004992"/>
      <w:lang w:val="en-US"/>
    </w:rPr>
  </w:style>
  <w:style w:type="character" w:customStyle="1" w:styleId="IntensivesZitatZchn1">
    <w:name w:val="Intensives Zitat Zchn1"/>
    <w:basedOn w:val="Absatz-Standardschriftart"/>
    <w:uiPriority w:val="30"/>
    <w:rsid w:val="00564942"/>
    <w:rPr>
      <w:i/>
      <w:iCs/>
      <w:color w:val="4472C4" w:themeColor="accent1"/>
    </w:rPr>
  </w:style>
  <w:style w:type="paragraph" w:styleId="Zitat">
    <w:name w:val="Quote"/>
    <w:basedOn w:val="Standard"/>
    <w:next w:val="Standard"/>
    <w:link w:val="ZitatZchn"/>
    <w:uiPriority w:val="29"/>
    <w:qFormat/>
    <w:rsid w:val="00564942"/>
    <w:pPr>
      <w:spacing w:before="200"/>
      <w:ind w:left="864" w:right="864"/>
      <w:jc w:val="center"/>
    </w:pPr>
    <w:rPr>
      <w:rFonts w:ascii="Calibri Light" w:hAnsi="Calibri Light" w:cs="Arial"/>
      <w:i/>
      <w:iCs/>
      <w:color w:val="666666"/>
      <w:lang w:val="en-US"/>
    </w:rPr>
  </w:style>
  <w:style w:type="character" w:customStyle="1" w:styleId="ZitatZchn1">
    <w:name w:val="Zitat Zchn1"/>
    <w:basedOn w:val="Absatz-Standardschriftart"/>
    <w:uiPriority w:val="29"/>
    <w:rsid w:val="00564942"/>
    <w:rPr>
      <w:i/>
      <w:iCs/>
      <w:color w:val="404040" w:themeColor="text1" w:themeTint="BF"/>
    </w:rPr>
  </w:style>
  <w:style w:type="table" w:styleId="MittlereListe1-Akzent1">
    <w:name w:val="Medium List 1 Accent 1"/>
    <w:basedOn w:val="NormaleTabelle"/>
    <w:uiPriority w:val="65"/>
    <w:semiHidden/>
    <w:unhideWhenUsed/>
    <w:rsid w:val="0056494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ittlereSchattierung2-Akzent1">
    <w:name w:val="Medium Shading 2 Accent 1"/>
    <w:basedOn w:val="NormaleTabelle"/>
    <w:uiPriority w:val="64"/>
    <w:semiHidden/>
    <w:unhideWhenUsed/>
    <w:rsid w:val="005649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Akzent1">
    <w:name w:val="Medium Shading 1 Accent 1"/>
    <w:basedOn w:val="NormaleTabelle"/>
    <w:uiPriority w:val="63"/>
    <w:semiHidden/>
    <w:unhideWhenUsed/>
    <w:rsid w:val="0056494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HellesRaster-Akzent1">
    <w:name w:val="Light Grid Accent 1"/>
    <w:basedOn w:val="NormaleTabelle"/>
    <w:uiPriority w:val="62"/>
    <w:semiHidden/>
    <w:unhideWhenUsed/>
    <w:rsid w:val="0056494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HelleListe-Akzent1">
    <w:name w:val="Light List Accent 1"/>
    <w:basedOn w:val="NormaleTabelle"/>
    <w:uiPriority w:val="61"/>
    <w:semiHidden/>
    <w:unhideWhenUsed/>
    <w:rsid w:val="0056494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HelleSchattierung-Akzent1">
    <w:name w:val="Light Shading Accent 1"/>
    <w:basedOn w:val="NormaleTabelle"/>
    <w:uiPriority w:val="60"/>
    <w:semiHidden/>
    <w:unhideWhenUsed/>
    <w:rsid w:val="0056494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FarbigesRaster">
    <w:name w:val="Colorful Grid"/>
    <w:basedOn w:val="NormaleTabelle"/>
    <w:uiPriority w:val="73"/>
    <w:semiHidden/>
    <w:unhideWhenUsed/>
    <w:rsid w:val="0056494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Liste">
    <w:name w:val="Colorful List"/>
    <w:basedOn w:val="NormaleTabelle"/>
    <w:uiPriority w:val="72"/>
    <w:semiHidden/>
    <w:unhideWhenUsed/>
    <w:rsid w:val="0056494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Schattierung">
    <w:name w:val="Colorful Shading"/>
    <w:basedOn w:val="NormaleTabelle"/>
    <w:uiPriority w:val="71"/>
    <w:semiHidden/>
    <w:unhideWhenUsed/>
    <w:rsid w:val="0056494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unkleListe">
    <w:name w:val="Dark List"/>
    <w:basedOn w:val="NormaleTabelle"/>
    <w:uiPriority w:val="70"/>
    <w:semiHidden/>
    <w:unhideWhenUsed/>
    <w:rsid w:val="0056494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ittleresRaster3">
    <w:name w:val="Medium Grid 3"/>
    <w:basedOn w:val="NormaleTabelle"/>
    <w:uiPriority w:val="69"/>
    <w:semiHidden/>
    <w:unhideWhenUsed/>
    <w:rsid w:val="0056494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2">
    <w:name w:val="Medium Grid 2"/>
    <w:basedOn w:val="NormaleTabelle"/>
    <w:uiPriority w:val="68"/>
    <w:semiHidden/>
    <w:unhideWhenUsed/>
    <w:rsid w:val="005649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1">
    <w:name w:val="Medium Grid 1"/>
    <w:basedOn w:val="NormaleTabelle"/>
    <w:uiPriority w:val="67"/>
    <w:semiHidden/>
    <w:unhideWhenUsed/>
    <w:rsid w:val="0056494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Liste2">
    <w:name w:val="Medium List 2"/>
    <w:basedOn w:val="NormaleTabelle"/>
    <w:uiPriority w:val="66"/>
    <w:semiHidden/>
    <w:unhideWhenUsed/>
    <w:rsid w:val="0056494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1">
    <w:name w:val="Medium List 1"/>
    <w:basedOn w:val="NormaleTabelle"/>
    <w:uiPriority w:val="65"/>
    <w:semiHidden/>
    <w:unhideWhenUsed/>
    <w:rsid w:val="0056494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Schattierung2">
    <w:name w:val="Medium Shading 2"/>
    <w:basedOn w:val="NormaleTabelle"/>
    <w:uiPriority w:val="64"/>
    <w:semiHidden/>
    <w:unhideWhenUsed/>
    <w:rsid w:val="0056494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1">
    <w:name w:val="Medium Shading 1"/>
    <w:basedOn w:val="NormaleTabelle"/>
    <w:uiPriority w:val="63"/>
    <w:semiHidden/>
    <w:unhideWhenUsed/>
    <w:rsid w:val="0056494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HellesRaster">
    <w:name w:val="Light Grid"/>
    <w:basedOn w:val="NormaleTabelle"/>
    <w:uiPriority w:val="62"/>
    <w:semiHidden/>
    <w:unhideWhenUsed/>
    <w:rsid w:val="0056494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Liste">
    <w:name w:val="Light List"/>
    <w:basedOn w:val="NormaleTabelle"/>
    <w:uiPriority w:val="61"/>
    <w:semiHidden/>
    <w:unhideWhenUsed/>
    <w:rsid w:val="0056494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
    <w:name w:val="Light Shading"/>
    <w:basedOn w:val="NormaleTabelle"/>
    <w:uiPriority w:val="60"/>
    <w:semiHidden/>
    <w:unhideWhenUsed/>
    <w:rsid w:val="0056494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TMLVorformatiert">
    <w:name w:val="HTML Preformatted"/>
    <w:basedOn w:val="Standard"/>
    <w:link w:val="HTMLVorformatiertZchn1"/>
    <w:uiPriority w:val="99"/>
    <w:semiHidden/>
    <w:unhideWhenUsed/>
    <w:rsid w:val="00564942"/>
    <w:pPr>
      <w:spacing w:after="0" w:line="240" w:lineRule="auto"/>
    </w:pPr>
    <w:rPr>
      <w:rFonts w:ascii="Consolas" w:hAnsi="Consolas"/>
      <w:sz w:val="20"/>
      <w:szCs w:val="20"/>
    </w:rPr>
  </w:style>
  <w:style w:type="character" w:customStyle="1" w:styleId="HTMLVorformatiertZchn1">
    <w:name w:val="HTML Vorformatiert Zchn1"/>
    <w:basedOn w:val="Absatz-Standardschriftart"/>
    <w:link w:val="HTMLVorformatiert"/>
    <w:uiPriority w:val="99"/>
    <w:semiHidden/>
    <w:rsid w:val="00564942"/>
    <w:rPr>
      <w:rFonts w:ascii="Consolas" w:hAnsi="Consolas"/>
      <w:sz w:val="20"/>
      <w:szCs w:val="20"/>
    </w:rPr>
  </w:style>
  <w:style w:type="paragraph" w:styleId="HTMLAdresse">
    <w:name w:val="HTML Address"/>
    <w:basedOn w:val="Standard"/>
    <w:link w:val="HTMLAdresseZchn1"/>
    <w:uiPriority w:val="99"/>
    <w:semiHidden/>
    <w:unhideWhenUsed/>
    <w:rsid w:val="00564942"/>
    <w:pPr>
      <w:spacing w:after="0" w:line="240" w:lineRule="auto"/>
    </w:pPr>
    <w:rPr>
      <w:i/>
      <w:iCs/>
    </w:rPr>
  </w:style>
  <w:style w:type="character" w:customStyle="1" w:styleId="HTMLAdresseZchn1">
    <w:name w:val="HTML Adresse Zchn1"/>
    <w:basedOn w:val="Absatz-Standardschriftart"/>
    <w:link w:val="HTMLAdresse"/>
    <w:uiPriority w:val="99"/>
    <w:semiHidden/>
    <w:rsid w:val="00564942"/>
    <w:rPr>
      <w:i/>
      <w:iCs/>
    </w:rPr>
  </w:style>
  <w:style w:type="paragraph" w:styleId="StandardWeb">
    <w:name w:val="Normal (Web)"/>
    <w:basedOn w:val="Standard"/>
    <w:uiPriority w:val="99"/>
    <w:semiHidden/>
    <w:unhideWhenUsed/>
    <w:rsid w:val="00564942"/>
    <w:rPr>
      <w:rFonts w:ascii="Times New Roman" w:hAnsi="Times New Roman" w:cs="Times New Roman"/>
      <w:sz w:val="24"/>
      <w:szCs w:val="24"/>
    </w:rPr>
  </w:style>
  <w:style w:type="paragraph" w:styleId="NurText">
    <w:name w:val="Plain Text"/>
    <w:basedOn w:val="Standard"/>
    <w:link w:val="NurTextZchn1"/>
    <w:uiPriority w:val="99"/>
    <w:semiHidden/>
    <w:unhideWhenUsed/>
    <w:rsid w:val="00564942"/>
    <w:pPr>
      <w:spacing w:after="0" w:line="240" w:lineRule="auto"/>
    </w:pPr>
    <w:rPr>
      <w:rFonts w:ascii="Consolas" w:hAnsi="Consolas"/>
      <w:sz w:val="21"/>
      <w:szCs w:val="21"/>
    </w:rPr>
  </w:style>
  <w:style w:type="character" w:customStyle="1" w:styleId="NurTextZchn1">
    <w:name w:val="Nur Text Zchn1"/>
    <w:basedOn w:val="Absatz-Standardschriftart"/>
    <w:link w:val="NurText"/>
    <w:uiPriority w:val="99"/>
    <w:semiHidden/>
    <w:rsid w:val="00564942"/>
    <w:rPr>
      <w:rFonts w:ascii="Consolas" w:hAnsi="Consolas"/>
      <w:sz w:val="21"/>
      <w:szCs w:val="21"/>
    </w:rPr>
  </w:style>
  <w:style w:type="character" w:styleId="BesuchterLink">
    <w:name w:val="FollowedHyperlink"/>
    <w:basedOn w:val="Absatz-Standardschriftart"/>
    <w:uiPriority w:val="99"/>
    <w:semiHidden/>
    <w:unhideWhenUsed/>
    <w:rsid w:val="00564942"/>
    <w:rPr>
      <w:color w:val="954F72" w:themeColor="followedHyperlink"/>
      <w:u w:val="single"/>
    </w:rPr>
  </w:style>
  <w:style w:type="paragraph" w:styleId="Blocktext">
    <w:name w:val="Block Text"/>
    <w:basedOn w:val="Standard"/>
    <w:uiPriority w:val="99"/>
    <w:semiHidden/>
    <w:unhideWhenUsed/>
    <w:rsid w:val="0056494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eastAsiaTheme="minorEastAsia"/>
      <w:i/>
      <w:iCs/>
      <w:color w:val="4472C4" w:themeColor="accent1"/>
    </w:rPr>
  </w:style>
  <w:style w:type="paragraph" w:styleId="Textkrper-Einzug3">
    <w:name w:val="Body Text Indent 3"/>
    <w:basedOn w:val="Standard"/>
    <w:link w:val="Textkrper-Einzug3Zchn1"/>
    <w:uiPriority w:val="99"/>
    <w:semiHidden/>
    <w:unhideWhenUsed/>
    <w:rsid w:val="00564942"/>
    <w:pPr>
      <w:spacing w:after="120"/>
      <w:ind w:left="283"/>
    </w:pPr>
    <w:rPr>
      <w:sz w:val="16"/>
      <w:szCs w:val="16"/>
    </w:rPr>
  </w:style>
  <w:style w:type="character" w:customStyle="1" w:styleId="Textkrper-Einzug3Zchn1">
    <w:name w:val="Textkörper-Einzug 3 Zchn1"/>
    <w:basedOn w:val="Absatz-Standardschriftart"/>
    <w:link w:val="Textkrper-Einzug3"/>
    <w:uiPriority w:val="99"/>
    <w:semiHidden/>
    <w:rsid w:val="00564942"/>
    <w:rPr>
      <w:sz w:val="16"/>
      <w:szCs w:val="16"/>
    </w:rPr>
  </w:style>
  <w:style w:type="paragraph" w:styleId="Textkrper-Einzug2">
    <w:name w:val="Body Text Indent 2"/>
    <w:basedOn w:val="Standard"/>
    <w:link w:val="Textkrper-Einzug2Zchn1"/>
    <w:uiPriority w:val="99"/>
    <w:semiHidden/>
    <w:unhideWhenUsed/>
    <w:rsid w:val="00564942"/>
    <w:pPr>
      <w:spacing w:after="120" w:line="480" w:lineRule="auto"/>
      <w:ind w:left="283"/>
    </w:pPr>
  </w:style>
  <w:style w:type="character" w:customStyle="1" w:styleId="Textkrper-Einzug2Zchn1">
    <w:name w:val="Textkörper-Einzug 2 Zchn1"/>
    <w:basedOn w:val="Absatz-Standardschriftart"/>
    <w:link w:val="Textkrper-Einzug2"/>
    <w:uiPriority w:val="99"/>
    <w:semiHidden/>
    <w:rsid w:val="00564942"/>
  </w:style>
  <w:style w:type="paragraph" w:styleId="Textkrper3">
    <w:name w:val="Body Text 3"/>
    <w:basedOn w:val="Standard"/>
    <w:link w:val="Textkrper3Zchn1"/>
    <w:uiPriority w:val="99"/>
    <w:semiHidden/>
    <w:unhideWhenUsed/>
    <w:rsid w:val="00564942"/>
    <w:pPr>
      <w:spacing w:after="120"/>
    </w:pPr>
    <w:rPr>
      <w:sz w:val="16"/>
      <w:szCs w:val="16"/>
    </w:rPr>
  </w:style>
  <w:style w:type="character" w:customStyle="1" w:styleId="Textkrper3Zchn1">
    <w:name w:val="Textkörper 3 Zchn1"/>
    <w:basedOn w:val="Absatz-Standardschriftart"/>
    <w:link w:val="Textkrper3"/>
    <w:uiPriority w:val="99"/>
    <w:semiHidden/>
    <w:rsid w:val="00564942"/>
    <w:rPr>
      <w:sz w:val="16"/>
      <w:szCs w:val="16"/>
    </w:rPr>
  </w:style>
  <w:style w:type="paragraph" w:styleId="Textkrper2">
    <w:name w:val="Body Text 2"/>
    <w:basedOn w:val="Standard"/>
    <w:link w:val="Textkrper2Zchn1"/>
    <w:uiPriority w:val="99"/>
    <w:semiHidden/>
    <w:unhideWhenUsed/>
    <w:rsid w:val="00564942"/>
    <w:pPr>
      <w:spacing w:after="120" w:line="480" w:lineRule="auto"/>
    </w:pPr>
  </w:style>
  <w:style w:type="character" w:customStyle="1" w:styleId="Textkrper2Zchn1">
    <w:name w:val="Textkörper 2 Zchn1"/>
    <w:basedOn w:val="Absatz-Standardschriftart"/>
    <w:link w:val="Textkrper2"/>
    <w:uiPriority w:val="99"/>
    <w:semiHidden/>
    <w:rsid w:val="00564942"/>
  </w:style>
  <w:style w:type="paragraph" w:styleId="Fu-Endnotenberschrift">
    <w:name w:val="Note Heading"/>
    <w:basedOn w:val="Standard"/>
    <w:next w:val="Standard"/>
    <w:link w:val="Fu-EndnotenberschriftZchn"/>
    <w:semiHidden/>
    <w:unhideWhenUsed/>
    <w:rsid w:val="00564942"/>
    <w:pPr>
      <w:spacing w:after="0" w:line="240" w:lineRule="auto"/>
    </w:pPr>
    <w:rPr>
      <w:rFonts w:ascii="Calibri Light" w:hAnsi="Calibri Light" w:cs="Arial"/>
      <w:color w:val="333333"/>
      <w:lang w:val="en-US"/>
    </w:rPr>
  </w:style>
  <w:style w:type="character" w:customStyle="1" w:styleId="Fu-EndnotenberschriftZchn1">
    <w:name w:val="Fuß/-Endnotenüberschrift Zchn1"/>
    <w:basedOn w:val="Absatz-Standardschriftart"/>
    <w:uiPriority w:val="99"/>
    <w:semiHidden/>
    <w:rsid w:val="00564942"/>
  </w:style>
  <w:style w:type="paragraph" w:styleId="Textkrper-Zeileneinzug">
    <w:name w:val="Body Text Indent"/>
    <w:basedOn w:val="Standard"/>
    <w:link w:val="Textkrper-ZeileneinzugZchn1"/>
    <w:uiPriority w:val="99"/>
    <w:semiHidden/>
    <w:unhideWhenUsed/>
    <w:rsid w:val="00564942"/>
    <w:pPr>
      <w:spacing w:after="120"/>
      <w:ind w:left="283"/>
    </w:pPr>
  </w:style>
  <w:style w:type="character" w:customStyle="1" w:styleId="Textkrper-ZeileneinzugZchn1">
    <w:name w:val="Textkörper-Zeileneinzug Zchn1"/>
    <w:basedOn w:val="Absatz-Standardschriftart"/>
    <w:link w:val="Textkrper-Zeileneinzug"/>
    <w:uiPriority w:val="99"/>
    <w:semiHidden/>
    <w:rsid w:val="00564942"/>
  </w:style>
  <w:style w:type="paragraph" w:styleId="Textkrper-Erstzeileneinzug2">
    <w:name w:val="Body Text First Indent 2"/>
    <w:basedOn w:val="Textkrper-Zeileneinzug"/>
    <w:link w:val="Textkrper-Erstzeileneinzug2Zchn1"/>
    <w:uiPriority w:val="99"/>
    <w:semiHidden/>
    <w:unhideWhenUsed/>
    <w:rsid w:val="00564942"/>
    <w:pPr>
      <w:spacing w:after="160"/>
      <w:ind w:left="360" w:firstLine="360"/>
    </w:pPr>
  </w:style>
  <w:style w:type="character" w:customStyle="1" w:styleId="Textkrper-Erstzeileneinzug2Zchn1">
    <w:name w:val="Textkörper-Erstzeileneinzug 2 Zchn1"/>
    <w:basedOn w:val="Textkrper-ZeileneinzugZchn1"/>
    <w:link w:val="Textkrper-Erstzeileneinzug2"/>
    <w:uiPriority w:val="99"/>
    <w:semiHidden/>
    <w:rsid w:val="00564942"/>
  </w:style>
  <w:style w:type="paragraph" w:styleId="Textkrper">
    <w:name w:val="Body Text"/>
    <w:basedOn w:val="Standard"/>
    <w:link w:val="TextkrperZchn1"/>
    <w:uiPriority w:val="99"/>
    <w:semiHidden/>
    <w:unhideWhenUsed/>
    <w:rsid w:val="00564942"/>
    <w:pPr>
      <w:spacing w:after="120"/>
    </w:pPr>
  </w:style>
  <w:style w:type="character" w:customStyle="1" w:styleId="TextkrperZchn1">
    <w:name w:val="Textkörper Zchn1"/>
    <w:basedOn w:val="Absatz-Standardschriftart"/>
    <w:link w:val="Textkrper"/>
    <w:uiPriority w:val="99"/>
    <w:semiHidden/>
    <w:rsid w:val="00564942"/>
  </w:style>
  <w:style w:type="paragraph" w:styleId="Textkrper-Erstzeileneinzug">
    <w:name w:val="Body Text First Indent"/>
    <w:basedOn w:val="Textkrper"/>
    <w:link w:val="Textkrper-ErstzeileneinzugZchn1"/>
    <w:uiPriority w:val="99"/>
    <w:semiHidden/>
    <w:unhideWhenUsed/>
    <w:rsid w:val="00564942"/>
    <w:pPr>
      <w:spacing w:after="160"/>
      <w:ind w:firstLine="360"/>
    </w:pPr>
  </w:style>
  <w:style w:type="character" w:customStyle="1" w:styleId="Textkrper-ErstzeileneinzugZchn1">
    <w:name w:val="Textkörper-Erstzeileneinzug Zchn1"/>
    <w:basedOn w:val="TextkrperZchn1"/>
    <w:link w:val="Textkrper-Erstzeileneinzug"/>
    <w:uiPriority w:val="99"/>
    <w:semiHidden/>
    <w:rsid w:val="00564942"/>
  </w:style>
  <w:style w:type="paragraph" w:styleId="Datum">
    <w:name w:val="Date"/>
    <w:basedOn w:val="Standard"/>
    <w:next w:val="Standard"/>
    <w:link w:val="DatumZchn"/>
    <w:semiHidden/>
    <w:unhideWhenUsed/>
    <w:rsid w:val="00564942"/>
    <w:rPr>
      <w:rFonts w:ascii="Calibri Light" w:hAnsi="Calibri Light" w:cs="Arial"/>
      <w:color w:val="333333"/>
      <w:lang w:val="en-US"/>
    </w:rPr>
  </w:style>
  <w:style w:type="character" w:customStyle="1" w:styleId="DatumZchn1">
    <w:name w:val="Datum Zchn1"/>
    <w:basedOn w:val="Absatz-Standardschriftart"/>
    <w:uiPriority w:val="99"/>
    <w:semiHidden/>
    <w:rsid w:val="00564942"/>
  </w:style>
  <w:style w:type="paragraph" w:styleId="Anrede">
    <w:name w:val="Salutation"/>
    <w:basedOn w:val="Standard"/>
    <w:next w:val="Standard"/>
    <w:link w:val="AnredeZchn"/>
    <w:semiHidden/>
    <w:unhideWhenUsed/>
    <w:rsid w:val="00564942"/>
    <w:rPr>
      <w:rFonts w:ascii="Calibri Light" w:hAnsi="Calibri Light" w:cs="Arial"/>
      <w:color w:val="333333"/>
      <w:lang w:val="en-US"/>
    </w:rPr>
  </w:style>
  <w:style w:type="character" w:customStyle="1" w:styleId="AnredeZchn1">
    <w:name w:val="Anrede Zchn1"/>
    <w:basedOn w:val="Absatz-Standardschriftart"/>
    <w:uiPriority w:val="99"/>
    <w:semiHidden/>
    <w:rsid w:val="00564942"/>
  </w:style>
  <w:style w:type="paragraph" w:styleId="Untertitel">
    <w:name w:val="Subtitle"/>
    <w:basedOn w:val="Standard"/>
    <w:next w:val="Standard"/>
    <w:link w:val="UntertitelZchn"/>
    <w:qFormat/>
    <w:rsid w:val="00564942"/>
    <w:pPr>
      <w:numPr>
        <w:ilvl w:val="1"/>
      </w:numPr>
    </w:pPr>
    <w:rPr>
      <w:rFonts w:ascii="Calibri Light" w:eastAsia="Times New Roman" w:hAnsi="Calibri Light" w:cs="Times New Roman"/>
      <w:color w:val="7B7B7B"/>
      <w:spacing w:val="15"/>
      <w:lang w:val="en-US"/>
    </w:rPr>
  </w:style>
  <w:style w:type="character" w:customStyle="1" w:styleId="UntertitelZchn1">
    <w:name w:val="Untertitel Zchn1"/>
    <w:basedOn w:val="Absatz-Standardschriftart"/>
    <w:uiPriority w:val="11"/>
    <w:rsid w:val="00564942"/>
    <w:rPr>
      <w:rFonts w:eastAsiaTheme="minorEastAsia"/>
      <w:color w:val="5A5A5A" w:themeColor="text1" w:themeTint="A5"/>
      <w:spacing w:val="15"/>
    </w:rPr>
  </w:style>
  <w:style w:type="paragraph" w:styleId="Nachrichtenkopf">
    <w:name w:val="Message Header"/>
    <w:basedOn w:val="Standard"/>
    <w:link w:val="NachrichtenkopfZchn1"/>
    <w:uiPriority w:val="99"/>
    <w:semiHidden/>
    <w:unhideWhenUsed/>
    <w:rsid w:val="0056494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1">
    <w:name w:val="Nachrichtenkopf Zchn1"/>
    <w:basedOn w:val="Absatz-Standardschriftart"/>
    <w:link w:val="Nachrichtenkopf"/>
    <w:uiPriority w:val="99"/>
    <w:semiHidden/>
    <w:rsid w:val="00564942"/>
    <w:rPr>
      <w:rFonts w:asciiTheme="majorHAnsi" w:eastAsiaTheme="majorEastAsia" w:hAnsiTheme="majorHAnsi" w:cstheme="majorBidi"/>
      <w:sz w:val="24"/>
      <w:szCs w:val="24"/>
      <w:shd w:val="pct20" w:color="auto" w:fill="auto"/>
    </w:rPr>
  </w:style>
  <w:style w:type="paragraph" w:styleId="Listenfortsetzung5">
    <w:name w:val="List Continue 5"/>
    <w:basedOn w:val="Standard"/>
    <w:uiPriority w:val="99"/>
    <w:semiHidden/>
    <w:unhideWhenUsed/>
    <w:rsid w:val="00564942"/>
    <w:pPr>
      <w:spacing w:after="120"/>
      <w:ind w:left="1415"/>
      <w:contextualSpacing/>
    </w:pPr>
  </w:style>
  <w:style w:type="paragraph" w:styleId="Listenfortsetzung4">
    <w:name w:val="List Continue 4"/>
    <w:basedOn w:val="Standard"/>
    <w:uiPriority w:val="99"/>
    <w:semiHidden/>
    <w:unhideWhenUsed/>
    <w:rsid w:val="00564942"/>
    <w:pPr>
      <w:spacing w:after="120"/>
      <w:ind w:left="1132"/>
      <w:contextualSpacing/>
    </w:pPr>
  </w:style>
  <w:style w:type="paragraph" w:styleId="Listenfortsetzung3">
    <w:name w:val="List Continue 3"/>
    <w:basedOn w:val="Standard"/>
    <w:uiPriority w:val="99"/>
    <w:semiHidden/>
    <w:unhideWhenUsed/>
    <w:rsid w:val="00564942"/>
    <w:pPr>
      <w:spacing w:after="120"/>
      <w:ind w:left="849"/>
      <w:contextualSpacing/>
    </w:pPr>
  </w:style>
  <w:style w:type="paragraph" w:styleId="Listenfortsetzung2">
    <w:name w:val="List Continue 2"/>
    <w:basedOn w:val="Standard"/>
    <w:uiPriority w:val="99"/>
    <w:semiHidden/>
    <w:unhideWhenUsed/>
    <w:rsid w:val="00564942"/>
    <w:pPr>
      <w:spacing w:after="120"/>
      <w:ind w:left="566"/>
      <w:contextualSpacing/>
    </w:pPr>
  </w:style>
  <w:style w:type="paragraph" w:styleId="Listenfortsetzung">
    <w:name w:val="List Continue"/>
    <w:basedOn w:val="Standard"/>
    <w:uiPriority w:val="99"/>
    <w:semiHidden/>
    <w:unhideWhenUsed/>
    <w:rsid w:val="00564942"/>
    <w:pPr>
      <w:spacing w:after="120"/>
      <w:ind w:left="283"/>
      <w:contextualSpacing/>
    </w:pPr>
  </w:style>
  <w:style w:type="paragraph" w:styleId="Unterschrift">
    <w:name w:val="Signature"/>
    <w:basedOn w:val="Standard"/>
    <w:link w:val="UnterschriftZchn1"/>
    <w:uiPriority w:val="99"/>
    <w:semiHidden/>
    <w:unhideWhenUsed/>
    <w:rsid w:val="00564942"/>
    <w:pPr>
      <w:spacing w:after="0" w:line="240" w:lineRule="auto"/>
      <w:ind w:left="4252"/>
    </w:pPr>
  </w:style>
  <w:style w:type="character" w:customStyle="1" w:styleId="UnterschriftZchn1">
    <w:name w:val="Unterschrift Zchn1"/>
    <w:basedOn w:val="Absatz-Standardschriftart"/>
    <w:link w:val="Unterschrift"/>
    <w:uiPriority w:val="99"/>
    <w:semiHidden/>
    <w:rsid w:val="00564942"/>
  </w:style>
  <w:style w:type="paragraph" w:styleId="Gruformel">
    <w:name w:val="Closing"/>
    <w:basedOn w:val="Standard"/>
    <w:link w:val="GruformelZchn1"/>
    <w:uiPriority w:val="99"/>
    <w:semiHidden/>
    <w:unhideWhenUsed/>
    <w:rsid w:val="00564942"/>
    <w:pPr>
      <w:spacing w:after="0" w:line="240" w:lineRule="auto"/>
      <w:ind w:left="4252"/>
    </w:pPr>
  </w:style>
  <w:style w:type="character" w:customStyle="1" w:styleId="GruformelZchn1">
    <w:name w:val="Grußformel Zchn1"/>
    <w:basedOn w:val="Absatz-Standardschriftart"/>
    <w:link w:val="Gruformel"/>
    <w:uiPriority w:val="99"/>
    <w:semiHidden/>
    <w:rsid w:val="00564942"/>
  </w:style>
  <w:style w:type="paragraph" w:styleId="Listennummer5">
    <w:name w:val="List Number 5"/>
    <w:basedOn w:val="Standard"/>
    <w:uiPriority w:val="99"/>
    <w:semiHidden/>
    <w:unhideWhenUsed/>
    <w:rsid w:val="00564942"/>
    <w:pPr>
      <w:tabs>
        <w:tab w:val="num" w:pos="360"/>
      </w:tabs>
      <w:ind w:left="360" w:hanging="360"/>
      <w:contextualSpacing/>
    </w:pPr>
  </w:style>
  <w:style w:type="paragraph" w:styleId="Listennummer4">
    <w:name w:val="List Number 4"/>
    <w:basedOn w:val="Standard"/>
    <w:uiPriority w:val="99"/>
    <w:semiHidden/>
    <w:unhideWhenUsed/>
    <w:rsid w:val="00564942"/>
    <w:pPr>
      <w:ind w:left="454" w:hanging="227"/>
      <w:contextualSpacing/>
    </w:pPr>
  </w:style>
  <w:style w:type="paragraph" w:styleId="Listennummer3">
    <w:name w:val="List Number 3"/>
    <w:basedOn w:val="Standard"/>
    <w:uiPriority w:val="99"/>
    <w:semiHidden/>
    <w:unhideWhenUsed/>
    <w:rsid w:val="00564942"/>
    <w:pPr>
      <w:ind w:left="454" w:hanging="227"/>
      <w:contextualSpacing/>
    </w:pPr>
  </w:style>
  <w:style w:type="paragraph" w:styleId="Listennummer2">
    <w:name w:val="List Number 2"/>
    <w:basedOn w:val="Standard"/>
    <w:uiPriority w:val="99"/>
    <w:semiHidden/>
    <w:unhideWhenUsed/>
    <w:rsid w:val="00564942"/>
    <w:pPr>
      <w:tabs>
        <w:tab w:val="num" w:pos="1492"/>
      </w:tabs>
      <w:ind w:left="1492" w:hanging="360"/>
      <w:contextualSpacing/>
    </w:pPr>
  </w:style>
  <w:style w:type="paragraph" w:styleId="Aufzhlungszeichen5">
    <w:name w:val="List Bullet 5"/>
    <w:basedOn w:val="Standard"/>
    <w:uiPriority w:val="99"/>
    <w:semiHidden/>
    <w:unhideWhenUsed/>
    <w:rsid w:val="00564942"/>
    <w:pPr>
      <w:tabs>
        <w:tab w:val="num" w:pos="1209"/>
      </w:tabs>
      <w:ind w:left="1209" w:hanging="360"/>
      <w:contextualSpacing/>
    </w:pPr>
  </w:style>
  <w:style w:type="paragraph" w:styleId="Aufzhlungszeichen4">
    <w:name w:val="List Bullet 4"/>
    <w:basedOn w:val="Standard"/>
    <w:uiPriority w:val="99"/>
    <w:semiHidden/>
    <w:unhideWhenUsed/>
    <w:rsid w:val="00564942"/>
    <w:pPr>
      <w:tabs>
        <w:tab w:val="num" w:pos="926"/>
      </w:tabs>
      <w:ind w:left="926" w:hanging="360"/>
      <w:contextualSpacing/>
    </w:pPr>
  </w:style>
  <w:style w:type="paragraph" w:styleId="Aufzhlungszeichen3">
    <w:name w:val="List Bullet 3"/>
    <w:basedOn w:val="Standard"/>
    <w:uiPriority w:val="99"/>
    <w:semiHidden/>
    <w:unhideWhenUsed/>
    <w:rsid w:val="00564942"/>
    <w:pPr>
      <w:tabs>
        <w:tab w:val="num" w:pos="643"/>
      </w:tabs>
      <w:ind w:left="643" w:hanging="360"/>
      <w:contextualSpacing/>
    </w:pPr>
  </w:style>
  <w:style w:type="paragraph" w:styleId="Aufzhlungszeichen2">
    <w:name w:val="List Bullet 2"/>
    <w:basedOn w:val="Standard"/>
    <w:uiPriority w:val="99"/>
    <w:semiHidden/>
    <w:unhideWhenUsed/>
    <w:rsid w:val="00564942"/>
    <w:pPr>
      <w:tabs>
        <w:tab w:val="num" w:pos="1492"/>
      </w:tabs>
      <w:ind w:left="1492" w:hanging="360"/>
      <w:contextualSpacing/>
    </w:pPr>
  </w:style>
  <w:style w:type="paragraph" w:styleId="Liste5">
    <w:name w:val="List 5"/>
    <w:basedOn w:val="Standard"/>
    <w:uiPriority w:val="99"/>
    <w:semiHidden/>
    <w:unhideWhenUsed/>
    <w:rsid w:val="00564942"/>
    <w:pPr>
      <w:ind w:left="1415" w:hanging="283"/>
      <w:contextualSpacing/>
    </w:pPr>
  </w:style>
  <w:style w:type="paragraph" w:styleId="Liste4">
    <w:name w:val="List 4"/>
    <w:basedOn w:val="Standard"/>
    <w:uiPriority w:val="99"/>
    <w:semiHidden/>
    <w:unhideWhenUsed/>
    <w:rsid w:val="00564942"/>
    <w:pPr>
      <w:ind w:left="1132" w:hanging="283"/>
      <w:contextualSpacing/>
    </w:pPr>
  </w:style>
  <w:style w:type="paragraph" w:styleId="Liste3">
    <w:name w:val="List 3"/>
    <w:basedOn w:val="Standard"/>
    <w:uiPriority w:val="99"/>
    <w:semiHidden/>
    <w:unhideWhenUsed/>
    <w:rsid w:val="00564942"/>
    <w:pPr>
      <w:ind w:left="849" w:hanging="283"/>
      <w:contextualSpacing/>
    </w:pPr>
  </w:style>
  <w:style w:type="paragraph" w:styleId="Liste2">
    <w:name w:val="List 2"/>
    <w:basedOn w:val="Standard"/>
    <w:uiPriority w:val="99"/>
    <w:semiHidden/>
    <w:unhideWhenUsed/>
    <w:rsid w:val="00564942"/>
    <w:pPr>
      <w:ind w:left="566" w:hanging="283"/>
      <w:contextualSpacing/>
    </w:pPr>
  </w:style>
  <w:style w:type="paragraph" w:styleId="Listennummer">
    <w:name w:val="List Number"/>
    <w:basedOn w:val="Standard"/>
    <w:uiPriority w:val="99"/>
    <w:semiHidden/>
    <w:unhideWhenUsed/>
    <w:rsid w:val="00564942"/>
    <w:pPr>
      <w:tabs>
        <w:tab w:val="num" w:pos="1209"/>
      </w:tabs>
      <w:ind w:left="1209" w:hanging="360"/>
      <w:contextualSpacing/>
    </w:pPr>
  </w:style>
  <w:style w:type="paragraph" w:styleId="Aufzhlungszeichen">
    <w:name w:val="List Bullet"/>
    <w:basedOn w:val="Standard"/>
    <w:uiPriority w:val="99"/>
    <w:semiHidden/>
    <w:unhideWhenUsed/>
    <w:rsid w:val="00564942"/>
    <w:pPr>
      <w:tabs>
        <w:tab w:val="num" w:pos="926"/>
      </w:tabs>
      <w:ind w:left="926" w:hanging="360"/>
      <w:contextualSpacing/>
    </w:pPr>
  </w:style>
  <w:style w:type="paragraph" w:styleId="Liste">
    <w:name w:val="List"/>
    <w:basedOn w:val="Standard"/>
    <w:uiPriority w:val="99"/>
    <w:semiHidden/>
    <w:unhideWhenUsed/>
    <w:rsid w:val="00564942"/>
    <w:pPr>
      <w:ind w:left="283" w:hanging="283"/>
      <w:contextualSpacing/>
    </w:pPr>
  </w:style>
  <w:style w:type="paragraph" w:styleId="Makrotext">
    <w:name w:val="macro"/>
    <w:link w:val="MakrotextZchn1"/>
    <w:uiPriority w:val="99"/>
    <w:semiHidden/>
    <w:unhideWhenUsed/>
    <w:rsid w:val="0056494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Zchn1">
    <w:name w:val="Makrotext Zchn1"/>
    <w:basedOn w:val="Absatz-Standardschriftart"/>
    <w:link w:val="Makrotext"/>
    <w:uiPriority w:val="99"/>
    <w:semiHidden/>
    <w:rsid w:val="00564942"/>
    <w:rPr>
      <w:rFonts w:ascii="Consolas" w:hAnsi="Consolas"/>
      <w:sz w:val="20"/>
      <w:szCs w:val="20"/>
    </w:rPr>
  </w:style>
  <w:style w:type="paragraph" w:styleId="Endnotentext">
    <w:name w:val="endnote text"/>
    <w:basedOn w:val="Standard"/>
    <w:link w:val="EndnotentextZchn1"/>
    <w:uiPriority w:val="99"/>
    <w:semiHidden/>
    <w:unhideWhenUsed/>
    <w:rsid w:val="00564942"/>
    <w:pPr>
      <w:spacing w:after="0" w:line="240" w:lineRule="auto"/>
    </w:pPr>
    <w:rPr>
      <w:sz w:val="20"/>
      <w:szCs w:val="20"/>
    </w:rPr>
  </w:style>
  <w:style w:type="character" w:customStyle="1" w:styleId="EndnotentextZchn1">
    <w:name w:val="Endnotentext Zchn1"/>
    <w:basedOn w:val="Absatz-Standardschriftart"/>
    <w:link w:val="Endnotentext"/>
    <w:uiPriority w:val="99"/>
    <w:semiHidden/>
    <w:rsid w:val="00564942"/>
    <w:rPr>
      <w:sz w:val="20"/>
      <w:szCs w:val="20"/>
    </w:rPr>
  </w:style>
  <w:style w:type="paragraph" w:styleId="Umschlagabsenderadresse">
    <w:name w:val="envelope return"/>
    <w:basedOn w:val="Standard"/>
    <w:uiPriority w:val="99"/>
    <w:semiHidden/>
    <w:unhideWhenUsed/>
    <w:rsid w:val="00564942"/>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564942"/>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Index1">
    <w:name w:val="index 1"/>
    <w:basedOn w:val="Standard"/>
    <w:next w:val="Standard"/>
    <w:autoRedefine/>
    <w:uiPriority w:val="99"/>
    <w:semiHidden/>
    <w:unhideWhenUsed/>
    <w:rsid w:val="00564942"/>
    <w:pPr>
      <w:spacing w:after="0" w:line="240" w:lineRule="auto"/>
      <w:ind w:left="220" w:hanging="220"/>
    </w:pPr>
  </w:style>
  <w:style w:type="paragraph" w:styleId="Funotentext">
    <w:name w:val="footnote text"/>
    <w:basedOn w:val="Standard"/>
    <w:link w:val="FunotentextZchn1"/>
    <w:uiPriority w:val="99"/>
    <w:semiHidden/>
    <w:unhideWhenUsed/>
    <w:rsid w:val="00564942"/>
    <w:pPr>
      <w:spacing w:after="0" w:line="240" w:lineRule="auto"/>
    </w:pPr>
    <w:rPr>
      <w:sz w:val="20"/>
      <w:szCs w:val="20"/>
    </w:rPr>
  </w:style>
  <w:style w:type="character" w:customStyle="1" w:styleId="FunotentextZchn1">
    <w:name w:val="Fußnotentext Zchn1"/>
    <w:basedOn w:val="Absatz-Standardschriftart"/>
    <w:link w:val="Funotentext"/>
    <w:uiPriority w:val="99"/>
    <w:semiHidden/>
    <w:rsid w:val="00564942"/>
    <w:rPr>
      <w:sz w:val="20"/>
      <w:szCs w:val="20"/>
    </w:rPr>
  </w:style>
  <w:style w:type="paragraph" w:styleId="Standardeinzug">
    <w:name w:val="Normal Indent"/>
    <w:basedOn w:val="Standard"/>
    <w:uiPriority w:val="99"/>
    <w:semiHidden/>
    <w:unhideWhenUsed/>
    <w:rsid w:val="00564942"/>
    <w:pPr>
      <w:ind w:left="708"/>
    </w:pPr>
  </w:style>
  <w:style w:type="paragraph" w:styleId="berarbeitung">
    <w:name w:val="Revision"/>
    <w:hidden/>
    <w:uiPriority w:val="99"/>
    <w:semiHidden/>
    <w:rsid w:val="005649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17783</Words>
  <Characters>112038</Characters>
  <Application>Microsoft Office Word</Application>
  <DocSecurity>0</DocSecurity>
  <Lines>933</Lines>
  <Paragraphs>259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dc:creator>
  <cp:keywords/>
  <dc:description/>
  <cp:lastModifiedBy>A</cp:lastModifiedBy>
  <cp:revision>4</cp:revision>
  <dcterms:created xsi:type="dcterms:W3CDTF">2026-06-12T13:43:00Z</dcterms:created>
  <dcterms:modified xsi:type="dcterms:W3CDTF">2026-06-12T13:46:00Z</dcterms:modified>
</cp:coreProperties>
</file>